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highlight w:val="none"/>
          <w:shd w:val="clear" w:color="auto" w:fill="auto"/>
        </w:rPr>
      </w:pPr>
      <w:r>
        <w:rPr>
          <w:highlight w:val="none"/>
          <w:shd w:val="clear" w:color="auto" w:fill="auto"/>
        </w:rPr>
        <w:t xml:space="preserve"> </w:t>
      </w:r>
      <w:r/>
    </w:p>
    <w:p>
      <w:pPr>
        <w:pStyle w:val="864"/>
        <w:jc w:val="center"/>
        <w:spacing w:before="120" w:beforeAutospacing="0" w:after="120" w:afterAutospacing="0" w:line="360" w:lineRule="auto"/>
        <w:rPr>
          <w:color w:val="000000" w:themeColor="text1"/>
          <w:highlight w:val="none"/>
          <w:shd w:val="clear" w:color="auto" w:fill="auto"/>
          <w14:textFill>
            <w14:solidFill>
              <w14:schemeClr w14:val="tx1"/>
            </w14:solidFill>
          </w14:textFill>
        </w:rPr>
      </w:pPr>
      <w:r>
        <w:rPr>
          <w:rFonts w:ascii="Arial" w:hAnsi="Arial" w:cs="Arial"/>
          <w:b/>
          <w:color w:val="000000" w:themeColor="text1"/>
          <w:sz w:val="84"/>
          <w:szCs w:val="84"/>
          <w:highlight w:val="none"/>
          <w:shd w:val="clear" w:color="auto" w:fill="auto"/>
          <w14:textFill>
            <w14:solidFill>
              <w14:schemeClr w14:val="tx1"/>
            </w14:solidFill>
          </w14:textFill>
        </w:rPr>
        <w:t xml:space="preserve">招 标 文 件</w:t>
      </w:r>
      <w:r/>
    </w:p>
    <w:p>
      <w:pPr>
        <w:pStyle w:val="864"/>
        <w:jc w:val="center"/>
        <w:spacing w:before="120" w:beforeAutospacing="0" w:after="120" w:afterAutospacing="0" w:line="360" w:lineRule="auto"/>
        <w:rPr>
          <w:rFonts w:ascii="Arial" w:hAnsi="Arial" w:eastAsia="宋体" w:cs="Arial"/>
          <w:b/>
          <w:color w:val="000000" w:themeColor="text1"/>
          <w:sz w:val="28"/>
          <w:szCs w:val="28"/>
          <w:highlight w:val="none"/>
          <w:shd w:val="clear" w:color="auto" w:fill="auto"/>
          <w14:textFill>
            <w14:solidFill>
              <w14:schemeClr w14:val="tx1"/>
            </w14:solidFill>
          </w14:textFill>
        </w:rPr>
      </w:pPr>
      <w:r>
        <w:rPr>
          <w:rFonts w:ascii="Arial" w:hAnsi="Arial" w:cs="Arial"/>
          <w:b/>
          <w:color w:val="000000" w:themeColor="text1"/>
          <w:highlight w:val="none"/>
          <w:shd w:val="clear" w:color="auto" w:fill="auto"/>
          <w14:textFill>
            <w14:solidFill>
              <w14:schemeClr w14:val="tx1"/>
            </w14:solidFill>
          </w14:textFill>
        </w:rPr>
        <w:t xml:space="preserve">项目名称：</w:t>
      </w:r>
      <w:r>
        <w:rPr>
          <w:rFonts w:hint="eastAsia" w:ascii="Arial" w:hAnsi="Arial" w:eastAsia="宋体" w:cs="Arial"/>
          <w:b/>
          <w:color w:val="000000" w:themeColor="text1"/>
          <w:highlight w:val="none"/>
          <w:shd w:val="clear" w:color="auto" w:fill="auto"/>
          <w14:textFill>
            <w14:solidFill>
              <w14:schemeClr w14:val="tx1"/>
            </w14:solidFill>
          </w14:textFill>
        </w:rPr>
        <w:t xml:space="preserve">盐城市响水生态环境监测站规范化建设仪器设备添置项目</w:t>
      </w:r>
      <w:r/>
    </w:p>
    <w:p>
      <w:pPr>
        <w:pStyle w:val="864"/>
        <w:ind w:firstLine="2249"/>
        <w:jc w:val="center"/>
        <w:spacing w:before="120" w:beforeAutospacing="0" w:after="12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120" w:beforeAutospacing="0" w:after="120" w:afterAutospacing="0" w:line="360" w:lineRule="auto"/>
        <w:rPr>
          <w:rFonts w:ascii="Arial" w:hAnsi="Arial" w:cs="Arial"/>
          <w:b/>
          <w:color w:val="000000" w:themeColor="text1"/>
          <w:sz w:val="28"/>
          <w:szCs w:val="28"/>
          <w:highlight w:val="none"/>
          <w:shd w:val="clear" w:color="auto" w:fill="auto"/>
          <w14:textFill>
            <w14:solidFill>
              <w14:schemeClr w14:val="tx1"/>
            </w14:solidFill>
          </w14:textFill>
        </w:rPr>
      </w:pPr>
      <w:r>
        <w:rPr>
          <w:rFonts w:ascii="Arial" w:hAnsi="Arial" w:cs="Arial"/>
          <w:b/>
          <w:color w:val="000000" w:themeColor="text1"/>
          <w:sz w:val="28"/>
          <w:szCs w:val="28"/>
          <w:highlight w:val="none"/>
          <w:shd w:val="clear" w:color="auto" w:fill="auto"/>
          <w14:textFill>
            <w14:solidFill>
              <w14:schemeClr w14:val="tx1"/>
            </w14:solidFill>
          </w14:textFill>
        </w:rPr>
        <w:t xml:space="preserve">项目编号：</w:t>
      </w:r>
      <w:r>
        <w:rPr>
          <w:rFonts w:hint="eastAsia" w:ascii="Arial" w:hAnsi="Arial" w:cs="Arial"/>
          <w:b/>
          <w:color w:val="000000" w:themeColor="text1"/>
          <w:sz w:val="28"/>
          <w:szCs w:val="28"/>
          <w:highlight w:val="none"/>
          <w:shd w:val="clear" w:color="auto" w:fill="auto"/>
          <w14:textFill>
            <w14:solidFill>
              <w14:schemeClr w14:val="tx1"/>
            </w14:solidFill>
          </w14:textFill>
        </w:rPr>
        <w:t xml:space="preserve">JSZC-320921-JSMR-C2024-0014</w:t>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Autospacing="0" w:afterAutospacing="0"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864"/>
        <w:jc w:val="center"/>
        <w:spacing w:before="120" w:beforeAutospacing="0" w:after="120" w:afterAutospacing="0" w:line="360" w:lineRule="auto"/>
        <w:rPr>
          <w:rFonts w:ascii="Arial" w:hAnsi="Arial" w:cs="Arial"/>
          <w:b/>
          <w:color w:val="000000" w:themeColor="text1"/>
          <w:sz w:val="32"/>
          <w:szCs w:val="32"/>
          <w:highlight w:val="none"/>
          <w:shd w:val="clear" w:color="auto" w:fill="auto"/>
          <w14:textFill>
            <w14:solidFill>
              <w14:schemeClr w14:val="tx1"/>
            </w14:solidFill>
          </w14:textFill>
        </w:rPr>
      </w:pPr>
      <w:r>
        <w:rPr>
          <w:rFonts w:hint="eastAsia" w:ascii="Arial" w:hAnsi="Arial" w:cs="Arial"/>
          <w:b/>
          <w:color w:val="000000" w:themeColor="text1"/>
          <w:sz w:val="32"/>
          <w:szCs w:val="32"/>
          <w:highlight w:val="none"/>
          <w:shd w:val="clear" w:color="auto" w:fill="auto"/>
          <w14:textFill>
            <w14:solidFill>
              <w14:schemeClr w14:val="tx1"/>
            </w14:solidFill>
          </w14:textFill>
        </w:rPr>
        <w:t xml:space="preserve">采购单位：盐城市响水生态环境局</w:t>
      </w:r>
      <w:r/>
    </w:p>
    <w:p>
      <w:pPr>
        <w:pStyle w:val="864"/>
        <w:jc w:val="center"/>
        <w:spacing w:before="120" w:beforeAutospacing="0" w:after="120" w:afterAutospacing="0" w:line="360" w:lineRule="auto"/>
        <w:rPr>
          <w:color w:val="000000" w:themeColor="text1"/>
          <w:highlight w:val="none"/>
          <w:shd w:val="clear" w:color="auto" w:fill="auto"/>
          <w14:textFill>
            <w14:solidFill>
              <w14:schemeClr w14:val="tx1"/>
            </w14:solidFill>
          </w14:textFill>
        </w:rPr>
      </w:pPr>
      <w:r>
        <w:rPr>
          <w:rFonts w:hint="eastAsia" w:ascii="Arial" w:hAnsi="Arial" w:cs="Arial"/>
          <w:b/>
          <w:color w:val="000000" w:themeColor="text1"/>
          <w:sz w:val="32"/>
          <w:szCs w:val="32"/>
          <w:highlight w:val="none"/>
          <w:u w:val="single"/>
          <w:shd w:val="clear" w:color="auto" w:fill="auto"/>
          <w14:textFill>
            <w14:solidFill>
              <w14:schemeClr w14:val="tx1"/>
            </w14:solidFill>
          </w14:textFill>
        </w:rPr>
        <w:t xml:space="preserve">2024</w:t>
      </w:r>
      <w:r>
        <w:rPr>
          <w:rFonts w:ascii="Arial" w:hAnsi="Arial" w:cs="Arial"/>
          <w:b/>
          <w:color w:val="000000" w:themeColor="text1"/>
          <w:sz w:val="32"/>
          <w:szCs w:val="32"/>
          <w:highlight w:val="none"/>
          <w:shd w:val="clear" w:color="auto" w:fill="auto"/>
          <w14:textFill>
            <w14:solidFill>
              <w14:schemeClr w14:val="tx1"/>
            </w14:solidFill>
          </w14:textFill>
        </w:rPr>
        <w:t xml:space="preserve">年</w:t>
      </w:r>
      <w:r>
        <w:rPr>
          <w:rFonts w:hint="eastAsia" w:ascii="Arial" w:hAnsi="Arial" w:cs="Arial"/>
          <w:b/>
          <w:color w:val="000000" w:themeColor="text1"/>
          <w:sz w:val="32"/>
          <w:szCs w:val="32"/>
          <w:highlight w:val="none"/>
          <w:u w:val="single"/>
          <w:shd w:val="clear" w:color="auto" w:fill="auto"/>
          <w14:textFill>
            <w14:solidFill>
              <w14:schemeClr w14:val="tx1"/>
            </w14:solidFill>
          </w14:textFill>
        </w:rPr>
        <w:t xml:space="preserve">11</w:t>
      </w:r>
      <w:r>
        <w:rPr>
          <w:rFonts w:ascii="Arial" w:hAnsi="Arial" w:cs="Arial"/>
          <w:b/>
          <w:color w:val="000000" w:themeColor="text1"/>
          <w:sz w:val="32"/>
          <w:szCs w:val="32"/>
          <w:highlight w:val="none"/>
          <w:shd w:val="clear" w:color="auto" w:fill="auto"/>
          <w14:textFill>
            <w14:solidFill>
              <w14:schemeClr w14:val="tx1"/>
            </w14:solidFill>
          </w14:textFill>
        </w:rPr>
        <w:t xml:space="preserve">月</w:t>
      </w:r>
      <w:r>
        <w:rPr>
          <w:rFonts w:hint="eastAsia" w:ascii="Arial" w:hAnsi="Arial" w:cs="Arial"/>
          <w:b/>
          <w:color w:val="000000" w:themeColor="text1"/>
          <w:sz w:val="32"/>
          <w:szCs w:val="32"/>
          <w:highlight w:val="none"/>
          <w:u w:val="single"/>
          <w:shd w:val="clear" w:color="auto" w:fill="auto"/>
          <w14:textFill>
            <w14:solidFill>
              <w14:schemeClr w14:val="tx1"/>
            </w14:solidFill>
          </w14:textFill>
        </w:rPr>
      </w:r>
      <w:r>
        <w:rPr>
          <w:rFonts w:ascii="Arial" w:hAnsi="Arial" w:cs="Arial"/>
          <w:b/>
          <w:color w:val="000000" w:themeColor="text1"/>
          <w:sz w:val="32"/>
          <w:szCs w:val="32"/>
          <w:highlight w:val="none"/>
          <w:shd w:val="clear" w:color="auto" w:fill="auto"/>
          <w14:textFill>
            <w14:solidFill>
              <w14:schemeClr w14:val="tx1"/>
            </w14:solidFill>
          </w14:textFill>
        </w:rPr>
      </w:r>
      <w:r/>
    </w:p>
    <w:p>
      <w:pPr>
        <w:pStyle w:val="864"/>
        <w:spacing w:before="120" w:beforeAutospacing="0" w:after="120" w:afterAutospacing="0" w:line="360" w:lineRule="auto"/>
        <w:rPr>
          <w:highlight w:val="none"/>
          <w:shd w:val="clear" w:color="auto" w:fill="auto"/>
        </w:rPr>
      </w:pPr>
      <w:r>
        <w:rPr>
          <w:rFonts w:ascii="Arial" w:hAnsi="Arial" w:cs="Arial"/>
          <w:color w:val="000000"/>
          <w:highlight w:val="none"/>
          <w:shd w:val="clear" w:color="auto" w:fill="auto"/>
        </w:rPr>
        <w:t xml:space="preserve">                        </w:t>
      </w:r>
      <w:r/>
    </w:p>
    <w:p>
      <w:pPr>
        <w:pStyle w:val="864"/>
        <w:jc w:val="center"/>
        <w:spacing w:before="120" w:beforeAutospacing="0" w:after="120" w:afterAutospacing="0" w:line="360" w:lineRule="auto"/>
        <w:rPr>
          <w:highlight w:val="none"/>
          <w:shd w:val="clear" w:color="auto" w:fill="auto"/>
        </w:rPr>
      </w:pPr>
      <w:r>
        <w:rPr>
          <w:highlight w:val="none"/>
          <w:shd w:val="clear" w:color="auto" w:fill="auto"/>
        </w:rPr>
        <w:t xml:space="preserve"> </w:t>
      </w:r>
      <w:r/>
    </w:p>
    <w:p>
      <w:pPr>
        <w:pStyle w:val="864"/>
        <w:jc w:val="center"/>
        <w:spacing w:beforeAutospacing="0" w:afterAutospacing="0" w:line="480" w:lineRule="auto"/>
        <w:rPr>
          <w:highlight w:val="none"/>
          <w:shd w:val="clear" w:color="auto" w:fill="auto"/>
        </w:rPr>
      </w:pPr>
      <w:r>
        <w:rPr>
          <w:rFonts w:ascii="Times New Roman" w:hAnsi="Times New Roman"/>
          <w:color w:val="000000"/>
          <w:sz w:val="21"/>
          <w:szCs w:val="21"/>
          <w:highlight w:val="none"/>
          <w:shd w:val="clear" w:color="auto" w:fill="auto"/>
        </w:rPr>
        <w:br w:type="page" w:clear="all"/>
      </w:r>
      <w:r>
        <w:rPr>
          <w:rFonts w:ascii="Times New Roman" w:hAnsi="Times New Roman"/>
          <w:color w:val="000000"/>
          <w:sz w:val="21"/>
          <w:szCs w:val="21"/>
          <w:highlight w:val="none"/>
          <w:shd w:val="clear" w:color="auto" w:fill="auto"/>
        </w:rPr>
        <w:t xml:space="preserve"> </w:t>
      </w:r>
      <w:bookmarkStart w:id="0" w:name="_Toc513029200"/>
      <w:r/>
      <w:bookmarkStart w:id="1" w:name="_Toc16938516"/>
      <w:r/>
      <w:bookmarkStart w:id="2" w:name="_Toc120614210"/>
      <w:r/>
      <w:bookmarkStart w:id="3" w:name="_Toc479757206"/>
      <w:r/>
      <w:bookmarkStart w:id="4" w:name="_Toc523127445"/>
      <w:r/>
      <w:bookmarkStart w:id="5" w:name="_Toc20823272"/>
      <w:r>
        <w:rPr>
          <w:rFonts w:ascii="黑体" w:hAnsi="宋体" w:eastAsia="黑体" w:cs="黑体"/>
          <w:b/>
          <w:color w:val="000000"/>
          <w:sz w:val="44"/>
          <w:szCs w:val="44"/>
          <w:highlight w:val="none"/>
          <w:shd w:val="clear" w:color="auto" w:fill="auto"/>
        </w:rPr>
        <w:t xml:space="preserve">总  目  录</w:t>
      </w:r>
      <w:bookmarkEnd w:id="0"/>
      <w:r/>
      <w:bookmarkEnd w:id="1"/>
      <w:r/>
      <w:bookmarkEnd w:id="2"/>
      <w:r/>
      <w:bookmarkEnd w:id="3"/>
      <w:r/>
      <w:bookmarkEnd w:id="4"/>
      <w:r/>
      <w:bookmarkEnd w:id="5"/>
      <w:r/>
      <w:r/>
    </w:p>
    <w:p>
      <w:pPr>
        <w:pStyle w:val="864"/>
        <w:jc w:val="both"/>
        <w:spacing w:beforeAutospacing="0" w:afterAutospacing="0" w:line="480" w:lineRule="auto"/>
        <w:rPr>
          <w:highlight w:val="none"/>
          <w:shd w:val="clear" w:color="auto" w:fill="auto"/>
        </w:rPr>
      </w:pPr>
      <w:r>
        <w:rPr>
          <w:highlight w:val="none"/>
          <w:shd w:val="clear" w:color="auto" w:fill="auto"/>
        </w:rPr>
        <w:t xml:space="preserve"> </w:t>
      </w:r>
      <w:r/>
    </w:p>
    <w:p>
      <w:pPr>
        <w:pStyle w:val="864"/>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color w:val="000000"/>
          <w:sz w:val="36"/>
          <w:szCs w:val="36"/>
          <w:highlight w:val="none"/>
          <w:shd w:val="clear" w:color="auto" w:fill="auto"/>
          <w:lang w:val="en-US" w:eastAsia="zh-CN"/>
        </w:rPr>
        <w:t xml:space="preserve">招标公告</w:t>
      </w:r>
      <w:r>
        <w:rPr>
          <w:rFonts w:hint="eastAsia" w:ascii="黑体" w:hAnsi="宋体" w:eastAsia="黑体" w:cs="黑体"/>
          <w:color w:val="000000"/>
          <w:sz w:val="36"/>
          <w:szCs w:val="36"/>
          <w:highlight w:val="none"/>
          <w:shd w:val="clear" w:color="auto" w:fill="auto"/>
        </w:rPr>
        <w:t xml:space="preserve">…………………………………… </w:t>
      </w:r>
      <w:r/>
    </w:p>
    <w:p>
      <w:pPr>
        <w:pStyle w:val="864"/>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color w:val="000000"/>
          <w:sz w:val="36"/>
          <w:szCs w:val="36"/>
          <w:highlight w:val="none"/>
          <w:shd w:val="clear" w:color="auto" w:fill="auto"/>
        </w:rPr>
        <w:t xml:space="preserve">投标人须知…………………………………  </w:t>
      </w:r>
      <w:r/>
    </w:p>
    <w:p>
      <w:pPr>
        <w:pStyle w:val="864"/>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color w:val="000000"/>
          <w:sz w:val="36"/>
          <w:szCs w:val="36"/>
          <w:highlight w:val="none"/>
          <w:shd w:val="clear" w:color="auto" w:fill="auto"/>
        </w:rPr>
        <w:t xml:space="preserve">合同</w:t>
      </w:r>
      <w:r>
        <w:rPr>
          <w:rFonts w:hint="eastAsia" w:ascii="黑体" w:hAnsi="宋体" w:eastAsia="黑体" w:cs="黑体"/>
          <w:color w:val="000000"/>
          <w:sz w:val="36"/>
          <w:szCs w:val="36"/>
          <w:highlight w:val="none"/>
          <w:shd w:val="clear" w:color="auto" w:fill="auto"/>
          <w:lang w:eastAsia="zh-CN"/>
        </w:rPr>
        <w:t xml:space="preserve">条款</w:t>
      </w:r>
      <w:r>
        <w:rPr>
          <w:rFonts w:hint="eastAsia" w:ascii="黑体" w:hAnsi="宋体" w:eastAsia="黑体" w:cs="黑体"/>
          <w:color w:val="000000"/>
          <w:sz w:val="36"/>
          <w:szCs w:val="36"/>
          <w:highlight w:val="none"/>
          <w:shd w:val="clear" w:color="auto" w:fill="auto"/>
        </w:rPr>
        <w:t xml:space="preserve">……………………………………</w:t>
      </w:r>
      <w:r/>
    </w:p>
    <w:p>
      <w:pPr>
        <w:pStyle w:val="864"/>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color w:val="000000"/>
          <w:sz w:val="36"/>
          <w:szCs w:val="36"/>
          <w:highlight w:val="none"/>
          <w:shd w:val="clear" w:color="auto" w:fill="auto"/>
        </w:rPr>
        <w:t xml:space="preserve">采购需求……………………………………</w:t>
      </w:r>
      <w:r/>
    </w:p>
    <w:p>
      <w:pPr>
        <w:pStyle w:val="864"/>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color w:val="000000"/>
          <w:sz w:val="36"/>
          <w:szCs w:val="36"/>
          <w:highlight w:val="none"/>
          <w:shd w:val="clear" w:color="auto" w:fill="auto"/>
        </w:rPr>
        <w:t xml:space="preserve">评标方法与评标标准………………………</w:t>
      </w:r>
      <w:r/>
    </w:p>
    <w:p>
      <w:pPr>
        <w:pStyle w:val="864"/>
        <w:ind w:left="2160" w:hanging="1440"/>
        <w:jc w:val="both"/>
        <w:spacing w:beforeAutospacing="0" w:afterAutospacing="0" w:line="480" w:lineRule="auto"/>
        <w:tabs>
          <w:tab w:val="left" w:pos="1441" w:leader="none"/>
        </w:tabs>
        <w:rPr>
          <w:highlight w:val="none"/>
          <w:shd w:val="clear" w:color="auto" w:fill="auto"/>
        </w:rPr>
      </w:pPr>
      <w:r>
        <w:rPr>
          <w:rFonts w:hint="eastAsia" w:ascii="黑体" w:hAnsi="宋体" w:eastAsia="黑体" w:cs="黑体"/>
          <w:color w:val="000000"/>
          <w:sz w:val="36"/>
          <w:szCs w:val="36"/>
          <w:highlight w:val="none"/>
          <w:shd w:val="clear" w:color="auto" w:fill="auto"/>
        </w:rPr>
        <w:t xml:space="preserve">投标文件格式………………………………</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both"/>
        <w:spacing w:beforeAutospacing="0" w:afterAutospacing="0"/>
        <w:rPr>
          <w:highlight w:val="none"/>
          <w:shd w:val="clear" w:color="auto" w:fill="auto"/>
        </w:rPr>
      </w:pPr>
      <w:r>
        <w:rPr>
          <w:highlight w:val="none"/>
          <w:shd w:val="clear" w:color="auto" w:fill="auto"/>
        </w:rPr>
        <w:t xml:space="preserve"> </w:t>
      </w:r>
      <w:r/>
    </w:p>
    <w:p>
      <w:pPr>
        <w:pStyle w:val="864"/>
        <w:jc w:val="center"/>
        <w:keepNext/>
        <w:spacing w:beforeAutospacing="0" w:afterAutospacing="0" w:line="360" w:lineRule="auto"/>
        <w:rPr>
          <w:rFonts w:hint="default" w:eastAsia="黑体"/>
          <w:sz w:val="28"/>
          <w:szCs w:val="28"/>
          <w:highlight w:val="none"/>
          <w:shd w:val="clear" w:color="auto" w:fill="auto"/>
          <w:lang w:val="en-US" w:eastAsia="zh-CN"/>
        </w:rPr>
      </w:pPr>
      <w:r/>
      <w:bookmarkStart w:id="6" w:name="_Toc28359086"/>
      <w:r>
        <w:rPr>
          <w:rFonts w:hint="eastAsia" w:ascii="黑体" w:hAnsi="宋体" w:eastAsia="黑体" w:cs="黑体"/>
          <w:color w:val="000000"/>
          <w:sz w:val="28"/>
          <w:szCs w:val="28"/>
          <w:highlight w:val="none"/>
          <w:shd w:val="clear" w:color="auto" w:fill="auto"/>
        </w:rPr>
        <w:t xml:space="preserve">第一章 </w:t>
      </w:r>
      <w:r>
        <w:rPr>
          <w:rFonts w:hint="eastAsia" w:ascii="黑体" w:hAnsi="宋体" w:eastAsia="黑体" w:cs="黑体"/>
          <w:color w:val="000000"/>
          <w:sz w:val="28"/>
          <w:szCs w:val="28"/>
          <w:highlight w:val="none"/>
          <w:shd w:val="clear" w:color="auto" w:fill="auto"/>
          <w:lang w:val="en-US" w:eastAsia="zh-CN"/>
        </w:rPr>
        <w:t xml:space="preserve">招标公告</w:t>
      </w:r>
      <w:r/>
    </w:p>
    <w:p>
      <w:pPr>
        <w:pStyle w:val="864"/>
        <w:ind w:firstLine="480"/>
        <w:jc w:val="both"/>
        <w:spacing w:beforeAutospacing="0" w:afterAutospacing="0" w:line="360" w:lineRule="auto"/>
        <w:rPr>
          <w:rFonts w:hint="eastAsia" w:asciiTheme="majorEastAsia" w:hAnsiTheme="majorEastAsia" w:eastAsiaTheme="majorEastAsia" w:cstheme="majorEastAsia"/>
          <w:color w:val="000000" w:themeColor="text1"/>
          <w:sz w:val="28"/>
          <w:szCs w:val="28"/>
          <w:highlight w:val="none"/>
          <w:shd w:val="clear" w:color="auto" w:fill="auto"/>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000000" w:themeColor="text1"/>
          <w:sz w:val="28"/>
          <w:szCs w:val="28"/>
          <w:highlight w:val="none"/>
          <w:shd w:val="clear" w:color="auto" w:fill="auto"/>
          <w14:textFill>
            <w14:solidFill>
              <w14:schemeClr w14:val="tx1"/>
            </w14:solidFill>
          </w14:textFill>
        </w:rPr>
        <w:t xml:space="preserve">项目概况</w:t>
      </w:r>
      <w:r/>
    </w:p>
    <w:p>
      <w:pPr>
        <w:pStyle w:val="864"/>
        <w:ind w:firstLine="480"/>
        <w:jc w:val="both"/>
        <w:spacing w:beforeAutospacing="0" w:afterAutospacing="0" w:line="360" w:lineRule="auto"/>
        <w:rPr>
          <w:rFonts w:hint="eastAsia" w:ascii="宋体" w:hAnsi="宋体" w:eastAsia="宋体" w:cs="宋体"/>
          <w:sz w:val="28"/>
          <w:szCs w:val="28"/>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盐城市响水生态环境监测站规范化建设仪器设备添置项目</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招标项目的潜在投标人可在</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“中国政府采购网</w:t>
      </w:r>
      <w:r>
        <w:rPr>
          <w:rFonts w:hint="eastAsia" w:ascii="宋体" w:hAnsi="宋体" w:eastAsia="宋体" w:cs="宋体"/>
          <w:color w:val="000000" w:themeColor="text1"/>
          <w:sz w:val="28"/>
          <w:szCs w:val="28"/>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江苏政府采购网、盐城市政府采购网”</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获取招标文件，并于</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2024年</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27</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日</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点</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00</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分</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（北京时间）前递交投标文件。</w:t>
      </w:r>
      <w:r/>
    </w:p>
    <w:p>
      <w:pPr>
        <w:pStyle w:val="864"/>
        <w:ind w:firstLine="498"/>
        <w:jc w:val="both"/>
        <w:keepLines/>
        <w:keepNext/>
        <w:spacing w:before="145" w:beforeAutospacing="0" w:after="145" w:afterAutospacing="0" w:line="360" w:lineRule="auto"/>
        <w:rPr>
          <w:sz w:val="28"/>
          <w:szCs w:val="28"/>
          <w:highlight w:val="none"/>
          <w:shd w:val="clear" w:color="auto" w:fill="auto"/>
        </w:rPr>
      </w:pPr>
      <w:r/>
      <w:bookmarkStart w:id="7" w:name="_Toc28359002"/>
      <w:r/>
      <w:bookmarkStart w:id="8" w:name="_Toc35393621"/>
      <w:r/>
      <w:bookmarkStart w:id="9" w:name="_Toc38985263"/>
      <w:r/>
      <w:bookmarkStart w:id="10" w:name="_Toc35393790"/>
      <w:r/>
      <w:bookmarkStart w:id="11" w:name="_Toc28359079"/>
      <w:r/>
      <w:bookmarkStart w:id="12" w:name="_Hlk24379207"/>
      <w:r>
        <w:rPr>
          <w:rFonts w:ascii="Times New Roman" w:hAnsi="Times New Roman"/>
          <w:b/>
          <w:color w:val="000000"/>
          <w:sz w:val="28"/>
          <w:szCs w:val="28"/>
          <w:highlight w:val="none"/>
          <w:shd w:val="clear" w:color="auto" w:fill="auto"/>
        </w:rPr>
        <w:t xml:space="preserve">一、项目基本情况</w:t>
      </w:r>
      <w:bookmarkEnd w:id="7"/>
      <w:r/>
      <w:bookmarkEnd w:id="8"/>
      <w:r/>
      <w:bookmarkEnd w:id="9"/>
      <w:r/>
      <w:bookmarkEnd w:id="10"/>
      <w:r/>
      <w:bookmarkEnd w:id="11"/>
      <w:r/>
      <w:bookmarkEnd w:id="12"/>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1.项目编号：JSZC-320921-JSMR-C2024-0014</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2.项目名称：盐城市响水生态环境监测站规范化建设仪器设备添置项目</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3.采购方式：公开招标</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4.预算金额：4980000.00元</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5.最高限价：</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4980000.00元</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6.采购需求（简介）：盐城市响水生态环境监测站规范化建设仪器设备添置项目，主要针对监测站规范化建设进行仪器设备添置。（详细内容见本招标文件第四章）</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7.合同履行期限：90日历天</w:t>
      </w:r>
      <w:r/>
    </w:p>
    <w:p>
      <w:pPr>
        <w:pStyle w:val="864"/>
        <w:ind w:firstLine="480"/>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8.本项目不接受联合体</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参与招标。</w:t>
      </w:r>
      <w:r/>
    </w:p>
    <w:p>
      <w:pPr>
        <w:pStyle w:val="864"/>
        <w:ind w:firstLine="498"/>
        <w:jc w:val="both"/>
        <w:keepLines/>
        <w:keepNext/>
        <w:spacing w:before="145" w:beforeAutospacing="0" w:after="145" w:afterAutospacing="0" w:line="360" w:lineRule="auto"/>
        <w:rPr>
          <w:sz w:val="28"/>
          <w:szCs w:val="28"/>
          <w:highlight w:val="none"/>
          <w:shd w:val="clear" w:color="auto" w:fill="auto"/>
        </w:rPr>
      </w:pPr>
      <w:r/>
      <w:bookmarkStart w:id="13" w:name="_Toc28359003"/>
      <w:r/>
      <w:bookmarkStart w:id="14" w:name="_Toc35393791"/>
      <w:r/>
      <w:bookmarkStart w:id="15" w:name="_Toc35393622"/>
      <w:r/>
      <w:bookmarkStart w:id="16" w:name="_Toc38985264"/>
      <w:r/>
      <w:bookmarkStart w:id="17" w:name="_Toc28359080"/>
      <w:r>
        <w:rPr>
          <w:rFonts w:ascii="Times New Roman" w:hAnsi="Times New Roman"/>
          <w:b/>
          <w:color w:val="000000"/>
          <w:sz w:val="28"/>
          <w:szCs w:val="28"/>
          <w:highlight w:val="none"/>
          <w:shd w:val="clear" w:color="auto" w:fill="auto"/>
        </w:rPr>
        <w:t xml:space="preserve">二、申请人的资格要求：</w:t>
      </w:r>
      <w:bookmarkEnd w:id="13"/>
      <w:r/>
      <w:bookmarkEnd w:id="14"/>
      <w:r/>
      <w:bookmarkEnd w:id="15"/>
      <w:r/>
      <w:bookmarkEnd w:id="16"/>
      <w:r/>
      <w:bookmarkEnd w:id="17"/>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1.满足《中华人民共和国政府采购法》第二十二条规定，并提供下列材料：</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1.1法人或者其他组织的营业执照等证明文件，自然人的身份证明；</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1.2上一年度的财务状况报表（成立不满一年无需提供）；</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1.3</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具备履行合同所必需的设备和专业技术能力的书面声明；</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依法缴纳税收和社会保障资金的相关材料（提供提交响应文件截止时间前一年内至少一个月依法缴纳税收及缴纳社</w:t>
      </w:r>
      <w:bookmarkStart w:id="264" w:name="_GoBack"/>
      <w:r/>
      <w:bookmarkEnd w:id="264"/>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会保障资金的证明材料。供应商依法享受缓缴、免缴税收、社会保障资金的提供证明材料。）；</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.5参加政府采购活动前3年内在经营活动中没有重大违法记录的书面声明。</w:t>
      </w:r>
      <w:r/>
    </w:p>
    <w:p>
      <w:pPr>
        <w:pStyle w:val="864"/>
        <w:ind w:firstLine="480"/>
        <w:jc w:val="both"/>
        <w:spacing w:beforeAutospacing="0" w:afterAutospacing="0" w:line="360" w:lineRule="auto"/>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1.6法律、行政法规规定的其他条件。</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1.7</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1.8</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单位负责人为同一人或者存在直接控股、管理关系的不同供应商，不得参加同一合同项下的政府采购活动。</w:t>
      </w:r>
      <w:r/>
    </w:p>
    <w:p>
      <w:pPr>
        <w:pStyle w:val="864"/>
        <w:ind w:firstLine="480"/>
        <w:jc w:val="both"/>
        <w:spacing w:beforeAutospacing="0" w:afterAutospacing="0"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落实政府采购政策需满足的资格要求：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864"/>
        <w:ind w:left="0" w:right="0" w:firstLine="560"/>
        <w:jc w:val="both"/>
        <w:keepLines w:val="0"/>
        <w:keepNext w:val="0"/>
        <w:spacing w:before="0" w:beforeAutospacing="0" w:after="0" w:afterAutospacing="0" w:line="360" w:lineRule="auto"/>
        <w:shd w:val="clear" w:color="auto" w:fill="ffffff"/>
        <w:widowControl/>
        <w:rPr>
          <w:rFonts w:hint="default" w:ascii="Times New Roman" w:hAnsi="Times New Roman" w:cs="Times New Roman"/>
          <w:i w:val="0"/>
          <w:iCs w:val="0"/>
          <w:caps w:val="0"/>
          <w:color w:val="333333"/>
          <w:spacing w:val="0"/>
          <w:sz w:val="28"/>
          <w:szCs w:val="28"/>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shd w:val="clear" w:color="auto" w:fill="auto"/>
          <w:lang w:val="en-US" w:eastAsia="zh-CN"/>
          <w14:textFill>
            <w14:solidFill>
              <w14:schemeClr w14:val="tx1"/>
            </w14:solidFill>
          </w14:textFill>
        </w:rPr>
        <w:t xml:space="preserve">无</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  </w:t>
      </w:r>
      <w:r/>
    </w:p>
    <w:p>
      <w:pPr>
        <w:pStyle w:val="864"/>
        <w:ind w:firstLine="498"/>
        <w:jc w:val="both"/>
        <w:keepLines/>
        <w:keepNext/>
        <w:spacing w:before="145" w:beforeAutospacing="0" w:after="145" w:afterAutospacing="0" w:line="360" w:lineRule="auto"/>
        <w:rPr>
          <w:sz w:val="28"/>
          <w:szCs w:val="28"/>
          <w:highlight w:val="none"/>
          <w:shd w:val="clear" w:color="auto" w:fill="auto"/>
        </w:rPr>
      </w:pPr>
      <w:r>
        <w:rPr>
          <w:rFonts w:ascii="Times New Roman" w:hAnsi="Times New Roman"/>
          <w:b/>
          <w:color w:val="000000"/>
          <w:sz w:val="28"/>
          <w:szCs w:val="28"/>
          <w:highlight w:val="none"/>
          <w:shd w:val="clear" w:color="auto" w:fill="auto"/>
        </w:rPr>
        <w:t xml:space="preserve">三、获取招标文件</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793"/>
      <w:r/>
      <w:bookmarkStart w:id="20" w:name="_Toc28359082"/>
      <w:r/>
      <w:bookmarkStart w:id="21" w:name="_Toc35393624"/>
      <w:r/>
      <w:bookmarkStart w:id="22" w:name="_Toc28359005"/>
      <w:r>
        <w:rPr>
          <w:rFonts w:hint="eastAsia" w:ascii="宋体" w:hAnsi="宋体" w:eastAsia="宋体" w:cs="宋体"/>
          <w:color w:val="000000"/>
          <w:sz w:val="28"/>
          <w:szCs w:val="28"/>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2024</w:t>
      </w:r>
      <w:r>
        <w:rPr>
          <w:rFonts w:hint="eastAsia" w:ascii="宋体" w:hAnsi="宋体" w:eastAsia="宋体" w:cs="宋体"/>
          <w:i w:val="0"/>
          <w:iCs w:val="0"/>
          <w:caps w:val="0"/>
          <w:color w:val="333333"/>
          <w:spacing w:val="0"/>
          <w:sz w:val="28"/>
          <w:szCs w:val="28"/>
          <w:highlight w:val="none"/>
          <w:u w:val="single"/>
          <w:shd w:val="clear" w:color="auto" w:fill="auto"/>
        </w:rPr>
        <w:t xml:space="preserve">年</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8"/>
          <w:szCs w:val="28"/>
          <w:highlight w:val="none"/>
          <w:u w:val="single"/>
          <w:shd w:val="clear" w:color="auto" w:fill="auto"/>
        </w:rPr>
        <w:t xml:space="preserve">月4</w:t>
      </w:r>
      <w:r>
        <w:rPr>
          <w:rFonts w:hint="eastAsia" w:ascii="宋体" w:hAnsi="宋体" w:eastAsia="宋体" w:cs="宋体"/>
          <w:i w:val="0"/>
          <w:iCs w:val="0"/>
          <w:caps w:val="0"/>
          <w:color w:val="333333"/>
          <w:spacing w:val="0"/>
          <w:sz w:val="28"/>
          <w:szCs w:val="28"/>
          <w:highlight w:val="none"/>
          <w:u w:val="single"/>
          <w:shd w:val="clear" w:color="auto" w:fill="auto"/>
        </w:rPr>
        <w:t xml:space="preserve">日</w:t>
      </w:r>
      <w:r>
        <w:rPr>
          <w:rFonts w:hint="eastAsia" w:ascii="宋体" w:hAnsi="宋体" w:eastAsia="宋体" w:cs="宋体"/>
          <w:i w:val="0"/>
          <w:iCs w:val="0"/>
          <w:caps w:val="0"/>
          <w:color w:val="333333"/>
          <w:spacing w:val="0"/>
          <w:sz w:val="28"/>
          <w:szCs w:val="28"/>
          <w:highlight w:val="none"/>
          <w:shd w:val="clear" w:color="auto" w:fill="auto"/>
        </w:rPr>
        <w:t xml:space="preserve">至</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2024</w:t>
      </w:r>
      <w:r>
        <w:rPr>
          <w:rFonts w:hint="eastAsia" w:ascii="宋体" w:hAnsi="宋体" w:eastAsia="宋体" w:cs="宋体"/>
          <w:i w:val="0"/>
          <w:iCs w:val="0"/>
          <w:caps w:val="0"/>
          <w:color w:val="333333"/>
          <w:spacing w:val="0"/>
          <w:sz w:val="28"/>
          <w:szCs w:val="28"/>
          <w:highlight w:val="none"/>
          <w:u w:val="single"/>
          <w:shd w:val="clear" w:color="auto" w:fill="auto"/>
        </w:rPr>
        <w:t xml:space="preserve">年</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8"/>
          <w:szCs w:val="28"/>
          <w:highlight w:val="none"/>
          <w:u w:val="single"/>
          <w:shd w:val="clear" w:color="auto" w:fill="auto"/>
        </w:rPr>
        <w:t xml:space="preserve">月11</w:t>
      </w:r>
      <w:r>
        <w:rPr>
          <w:rFonts w:hint="eastAsia" w:ascii="宋体" w:hAnsi="宋体" w:eastAsia="宋体" w:cs="宋体"/>
          <w:i w:val="0"/>
          <w:iCs w:val="0"/>
          <w:caps w:val="0"/>
          <w:color w:val="333333"/>
          <w:spacing w:val="0"/>
          <w:sz w:val="28"/>
          <w:szCs w:val="28"/>
          <w:highlight w:val="none"/>
          <w:u w:val="single"/>
          <w:shd w:val="clear" w:color="auto" w:fill="auto"/>
        </w:rPr>
        <w:t xml:space="preserve">日</w:t>
      </w:r>
      <w:r>
        <w:rPr>
          <w:rFonts w:hint="eastAsia" w:ascii="宋体" w:hAnsi="宋体" w:eastAsia="宋体" w:cs="宋体"/>
          <w:i w:val="0"/>
          <w:iCs w:val="0"/>
          <w:caps w:val="0"/>
          <w:color w:val="333333"/>
          <w:spacing w:val="0"/>
          <w:sz w:val="28"/>
          <w:szCs w:val="28"/>
          <w:highlight w:val="none"/>
          <w:shd w:val="clear" w:color="auto" w:fill="auto"/>
        </w:rPr>
        <w:t xml:space="preserve">，</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每天上午</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00:00</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至</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12:00</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，下午</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12:00</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至</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23:59</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（北京时间，法定节假日除外 ）</w:t>
      </w:r>
      <w:r>
        <w:rPr>
          <w:rFonts w:hint="eastAsia" w:ascii="宋体" w:hAnsi="宋体" w:eastAsia="宋体" w:cs="宋体"/>
          <w:color w:val="000000"/>
          <w:sz w:val="28"/>
          <w:szCs w:val="28"/>
          <w:highlight w:val="none"/>
          <w:shd w:val="clear" w:color="auto" w:fill="auto"/>
        </w:rPr>
        <w:t xml:space="preserve">。</w:t>
      </w:r>
      <w:r/>
    </w:p>
    <w:p>
      <w:pPr>
        <w:ind w:firstLine="560"/>
        <w:jc w:val="left"/>
        <w:keepLines w:val="0"/>
        <w:keepNext w:val="0"/>
        <w:spacing w:line="360" w:lineRule="auto"/>
        <w:widowControl/>
        <w:rPr>
          <w:rFonts w:hint="eastAsia" w:ascii="宋体" w:hAnsi="宋体" w:eastAsia="宋体" w:cs="宋体"/>
          <w:color w:val="000000"/>
          <w:sz w:val="28"/>
          <w:szCs w:val="28"/>
          <w:highlight w:val="none"/>
          <w:shd w:val="clear" w:color="auto" w:fill="auto"/>
          <w:lang w:val="en-US" w:eastAsia="zh-CN" w:bidi="ar-SA"/>
        </w:rPr>
        <w:suppressLineNumbers w:val="0"/>
      </w:pPr>
      <w:r>
        <w:rPr>
          <w:rFonts w:hint="eastAsia" w:ascii="宋体" w:hAnsi="宋体" w:eastAsia="宋体" w:cs="宋体"/>
          <w:color w:val="000000"/>
          <w:sz w:val="28"/>
          <w:szCs w:val="28"/>
          <w:highlight w:val="none"/>
          <w:shd w:val="clear" w:color="auto" w:fill="auto"/>
          <w:lang w:val="en-US" w:eastAsia="zh-CN" w:bidi="ar-SA"/>
        </w:rPr>
        <w:t xml:space="preserve">2.地点：“苏采云”系统内免费下载（投标人必须在苏采云系统中获取采购文件，方能参与政府采购项目）；</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3.方式：本项目采用网上注册登记方式。 </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3.1潜在供应商访问电子招标响应交易平台的网络地址和方法： </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3.2潜在投标人访问“苏采云”系统方法：江苏省政府采购网首页-“苏采云”链接。 </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3.3采购文件（后缀名为“.kedt”）、供应商操作手册及政府采购客户端工具可通过“苏采云”系统相应链接进行下载。 </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3.4采购代理机构将数据电文形式的采购文件加载至“苏采云”系统，供潜在供应商下载或者查阅。 </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lang w:val="en-US" w:eastAsia="zh-CN"/>
        </w:rPr>
        <w:t xml:space="preserve">3.5请潜在投标单位提前安装相应的控件（详见《“苏采云”系统供应商操作手册》）并使用谷歌浏览器登录“苏采云”系统参与不见面开评标。 </w:t>
      </w:r>
      <w:r/>
    </w:p>
    <w:p>
      <w:pPr>
        <w:ind w:firstLine="560"/>
        <w:jc w:val="left"/>
        <w:keepLines w:val="0"/>
        <w:keepNext w:val="0"/>
        <w:spacing w:line="360" w:lineRule="auto"/>
        <w:widowControl/>
        <w:rPr>
          <w:rFonts w:hint="eastAsia" w:ascii="宋体" w:hAnsi="宋体" w:eastAsia="宋体" w:cs="宋体"/>
          <w:color w:val="000000"/>
          <w:sz w:val="28"/>
          <w:szCs w:val="28"/>
          <w:highlight w:val="none"/>
          <w:shd w:val="clear" w:color="auto" w:fill="auto"/>
          <w:lang w:val="en-US" w:eastAsia="zh-CN" w:bidi="ar-SA"/>
        </w:rPr>
        <w:suppressLineNumbers w:val="0"/>
      </w:pPr>
      <w:r>
        <w:rPr>
          <w:rFonts w:hint="eastAsia" w:ascii="宋体" w:hAnsi="宋体" w:eastAsia="宋体" w:cs="宋体"/>
          <w:color w:val="000000"/>
          <w:sz w:val="28"/>
          <w:szCs w:val="28"/>
          <w:highlight w:val="none"/>
          <w:shd w:val="clear" w:color="auto" w:fill="auto"/>
          <w:lang w:val="en-US" w:eastAsia="zh-CN" w:bidi="ar-SA"/>
        </w:rPr>
        <w:t xml:space="preserve">如潜在投标人未按上述要求操作，将自行承担所产生的风险。</w:t>
      </w:r>
      <w:r/>
    </w:p>
    <w:p>
      <w:pPr>
        <w:ind w:firstLine="480"/>
        <w:jc w:val="left"/>
        <w:spacing w:line="360" w:lineRule="auto"/>
        <w:widowControl/>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lang w:val="en-US" w:eastAsia="zh-CN"/>
        </w:rPr>
        <w:t xml:space="preserve">4.售价：0元</w:t>
      </w:r>
      <w:r/>
    </w:p>
    <w:p>
      <w:pPr>
        <w:pStyle w:val="864"/>
        <w:ind w:firstLine="498"/>
        <w:jc w:val="both"/>
        <w:keepLines/>
        <w:keepNext/>
        <w:spacing w:before="145" w:beforeAutospacing="0" w:after="145" w:afterAutospacing="0" w:line="360" w:lineRule="auto"/>
        <w:rPr>
          <w:sz w:val="28"/>
          <w:szCs w:val="28"/>
          <w:highlight w:val="none"/>
          <w:shd w:val="clear" w:color="auto" w:fill="auto"/>
        </w:rPr>
      </w:pPr>
      <w:r>
        <w:rPr>
          <w:rFonts w:ascii="Times New Roman" w:hAnsi="Times New Roman"/>
          <w:b/>
          <w:color w:val="000000"/>
          <w:sz w:val="28"/>
          <w:szCs w:val="28"/>
          <w:highlight w:val="none"/>
          <w:shd w:val="clear" w:color="auto" w:fill="auto"/>
        </w:rPr>
        <w:t xml:space="preserve">四、提交投标文件截止时间、开标时间和地点</w:t>
      </w:r>
      <w:r/>
    </w:p>
    <w:p>
      <w:pPr>
        <w:pStyle w:val="86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8"/>
          <w:szCs w:val="28"/>
          <w:highlight w:val="none"/>
          <w:shd w:val="clear" w:color="auto" w:fill="auto"/>
        </w:rPr>
        <w:t xml:space="preserve">1.时间：</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2024</w:t>
      </w:r>
      <w:r>
        <w:rPr>
          <w:rFonts w:hint="eastAsia" w:ascii="宋体" w:hAnsi="宋体" w:eastAsia="宋体" w:cs="宋体"/>
          <w:i w:val="0"/>
          <w:iCs w:val="0"/>
          <w:caps w:val="0"/>
          <w:color w:val="333333"/>
          <w:spacing w:val="0"/>
          <w:sz w:val="28"/>
          <w:szCs w:val="28"/>
          <w:highlight w:val="none"/>
          <w:u w:val="single"/>
          <w:shd w:val="clear" w:color="auto" w:fill="auto"/>
        </w:rPr>
        <w:t xml:space="preserve">年</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8"/>
          <w:szCs w:val="28"/>
          <w:highlight w:val="none"/>
          <w:u w:val="single"/>
          <w:shd w:val="clear" w:color="auto" w:fill="auto"/>
        </w:rPr>
        <w:t xml:space="preserve">月</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27</w:t>
      </w:r>
      <w:r>
        <w:rPr>
          <w:rFonts w:hint="eastAsia" w:ascii="宋体" w:hAnsi="宋体" w:eastAsia="宋体" w:cs="宋体"/>
          <w:i w:val="0"/>
          <w:iCs w:val="0"/>
          <w:caps w:val="0"/>
          <w:color w:val="333333"/>
          <w:spacing w:val="0"/>
          <w:sz w:val="28"/>
          <w:szCs w:val="28"/>
          <w:highlight w:val="none"/>
          <w:u w:val="single"/>
          <w:shd w:val="clear" w:color="auto" w:fill="auto"/>
        </w:rPr>
        <w:t xml:space="preserve">日</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9</w:t>
      </w:r>
      <w:r>
        <w:rPr>
          <w:rFonts w:hint="eastAsia" w:ascii="宋体" w:hAnsi="宋体" w:eastAsia="宋体" w:cs="宋体"/>
          <w:i w:val="0"/>
          <w:iCs w:val="0"/>
          <w:caps w:val="0"/>
          <w:color w:val="333333"/>
          <w:spacing w:val="0"/>
          <w:sz w:val="28"/>
          <w:szCs w:val="28"/>
          <w:highlight w:val="none"/>
          <w:u w:val="single"/>
          <w:shd w:val="clear" w:color="auto" w:fill="auto"/>
        </w:rPr>
        <w:t xml:space="preserve">点</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 xml:space="preserve">00</w:t>
      </w:r>
      <w:r>
        <w:rPr>
          <w:rFonts w:hint="eastAsia" w:ascii="宋体" w:hAnsi="宋体" w:eastAsia="宋体" w:cs="宋体"/>
          <w:i w:val="0"/>
          <w:iCs w:val="0"/>
          <w:caps w:val="0"/>
          <w:color w:val="333333"/>
          <w:spacing w:val="0"/>
          <w:sz w:val="28"/>
          <w:szCs w:val="28"/>
          <w:highlight w:val="none"/>
          <w:u w:val="single"/>
          <w:shd w:val="clear" w:color="auto" w:fill="auto"/>
        </w:rPr>
        <w:t xml:space="preserve">分</w:t>
      </w:r>
      <w:r>
        <w:rPr>
          <w:rFonts w:hint="eastAsia" w:ascii="宋体" w:hAnsi="宋体" w:eastAsia="宋体" w:cs="宋体"/>
          <w:color w:val="000000"/>
          <w:sz w:val="28"/>
          <w:szCs w:val="28"/>
          <w:highlight w:val="none"/>
          <w:shd w:val="clear" w:color="auto" w:fill="auto"/>
        </w:rPr>
        <w:t xml:space="preserve">（北京时间）</w:t>
      </w:r>
      <w:r/>
    </w:p>
    <w:p>
      <w:pPr>
        <w:pStyle w:val="864"/>
        <w:ind w:firstLine="48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2.地点：</w:t>
      </w:r>
      <w:r>
        <w:rPr>
          <w:rFonts w:hint="eastAsia" w:ascii="宋体" w:hAnsi="宋体" w:eastAsia="宋体" w:cs="宋体"/>
          <w:color w:val="auto"/>
          <w:sz w:val="28"/>
          <w:szCs w:val="28"/>
          <w:highlight w:val="none"/>
          <w:shd w:val="clear" w:color="auto" w:fill="auto"/>
        </w:rPr>
        <w:t xml:space="preserve">“苏采云”政府采购交易系统网上开标大厅。</w:t>
      </w:r>
      <w:r/>
    </w:p>
    <w:p>
      <w:pPr>
        <w:pStyle w:val="864"/>
        <w:ind w:firstLine="498"/>
        <w:jc w:val="both"/>
        <w:keepLines/>
        <w:keepNext/>
        <w:spacing w:before="145" w:beforeAutospacing="0" w:after="145" w:afterAutospacing="0" w:line="360" w:lineRule="auto"/>
        <w:rPr>
          <w:sz w:val="28"/>
          <w:szCs w:val="28"/>
          <w:highlight w:val="none"/>
          <w:shd w:val="clear" w:color="auto" w:fill="auto"/>
        </w:rPr>
      </w:pPr>
      <w:r/>
      <w:bookmarkStart w:id="23" w:name="_Toc28359007"/>
      <w:r/>
      <w:bookmarkStart w:id="24" w:name="_Toc35393794"/>
      <w:r/>
      <w:bookmarkStart w:id="25" w:name="_Toc28359084"/>
      <w:r/>
      <w:bookmarkStart w:id="26" w:name="_Toc35393625"/>
      <w:r/>
      <w:bookmarkStart w:id="27" w:name="_Toc38985267"/>
      <w:r>
        <w:rPr>
          <w:rFonts w:ascii="Times New Roman" w:hAnsi="Times New Roman"/>
          <w:b/>
          <w:color w:val="000000"/>
          <w:sz w:val="28"/>
          <w:szCs w:val="28"/>
          <w:highlight w:val="none"/>
          <w:shd w:val="clear" w:color="auto" w:fill="auto"/>
        </w:rPr>
        <w:t xml:space="preserve">五、公告期限</w:t>
      </w:r>
      <w:bookmarkEnd w:id="23"/>
      <w:r/>
      <w:bookmarkEnd w:id="24"/>
      <w:r/>
      <w:bookmarkEnd w:id="25"/>
      <w:r/>
      <w:bookmarkEnd w:id="26"/>
      <w:r/>
      <w:bookmarkEnd w:id="27"/>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自本公告发布之日起5个工作日。</w:t>
      </w:r>
      <w:bookmarkEnd w:id="28"/>
      <w:r/>
      <w:bookmarkEnd w:id="29"/>
      <w:r/>
      <w:bookmarkEnd w:id="30"/>
      <w:r/>
      <w:r/>
    </w:p>
    <w:p>
      <w:pPr>
        <w:pStyle w:val="864"/>
        <w:ind w:firstLine="498"/>
        <w:jc w:val="both"/>
        <w:keepLines/>
        <w:keepNext/>
        <w:spacing w:before="145" w:beforeAutospacing="0" w:after="145" w:afterAutospacing="0" w:line="360" w:lineRule="auto"/>
        <w:rPr>
          <w:sz w:val="28"/>
          <w:szCs w:val="28"/>
          <w:highlight w:val="none"/>
          <w:shd w:val="clear" w:color="auto" w:fill="auto"/>
        </w:rPr>
      </w:pPr>
      <w:r>
        <w:rPr>
          <w:rFonts w:ascii="Times New Roman" w:hAnsi="Times New Roman"/>
          <w:b/>
          <w:color w:val="000000"/>
          <w:sz w:val="28"/>
          <w:szCs w:val="28"/>
          <w:highlight w:val="none"/>
          <w:shd w:val="clear" w:color="auto" w:fill="auto"/>
        </w:rPr>
        <w:t xml:space="preserve">六、其他补充事宜</w:t>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：在盐城市政府采购网点击【办事指南】-【供应商参与政府采购活动相关资料】。</w:t>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2.有关本次招标的事项若存在变动或修改，敬请及时关注盐城市政府代理机构在“</w:t>
      </w:r>
      <w:r>
        <w:rPr>
          <w:rFonts w:hint="eastAsia" w:ascii="宋体" w:hAnsi="宋体" w:eastAsia="宋体" w:cs="宋体"/>
          <w:color w:val="000000"/>
          <w:sz w:val="28"/>
          <w:szCs w:val="28"/>
          <w:highlight w:val="none"/>
          <w:shd w:val="clear" w:color="auto" w:fill="auto"/>
          <w:lang w:val="en-US" w:eastAsia="zh-CN" w:bidi="ar-SA"/>
        </w:rPr>
        <w:t xml:space="preserve">中国政府采购网</w:t>
      </w:r>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”、“江苏政府采购网”、“盐城市政府采购网”发布的更正公告。</w:t>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3.本次招标不收取投标保证金，不收取质量保证金。</w:t>
      </w:r>
      <w:r/>
    </w:p>
    <w:p>
      <w:pPr>
        <w:pStyle w:val="856"/>
        <w:ind w:firstLine="560"/>
        <w:jc w:val="both"/>
        <w:spacing w:beforeAutospacing="0" w:afterAutospacing="0" w:line="360" w:lineRule="auto"/>
        <w:shd w:val="clear" w:color="auto" w:fill="ffffff"/>
        <w:widowControl/>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4、本项目公告在《中国政府采购网》《江苏政府采购网》《盐城市政府采购网》公示发布，敬请各供应商关注。</w:t>
      </w:r>
      <w:r/>
    </w:p>
    <w:p>
      <w:pPr>
        <w:pStyle w:val="856"/>
        <w:ind w:firstLine="560"/>
        <w:jc w:val="both"/>
        <w:spacing w:beforeAutospacing="0" w:afterAutospacing="0" w:line="360" w:lineRule="auto"/>
        <w:shd w:val="clear" w:color="auto" w:fill="ffffff"/>
        <w:widowControl/>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5、本项目支持节能环保产品（财库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〔2019〕9号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〔2019〕18号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〔2019〕19号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）；支持中小微企业（财库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〔2020〕46号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）、（苏财购</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〔2020〕52号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）、（工信部联企业</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）；支持监狱企业（财库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〔2014〕68号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）；促进残疾人就业（财库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〔2017〕141号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）、《商品包装政府采购需求标准（试行）》《快递包装政府采购需求标准（试行）》（财办库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〔2020〕123号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）、《绿色数据中心政府采购需求标准（试行）》（财库</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〔2023〕7号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）等政策、（《关于在全省政府采购领域推行电子履约保函（保险）的通知》（苏财购2023）150号））等政策。</w:t>
      </w:r>
      <w:r/>
    </w:p>
    <w:p>
      <w:pPr>
        <w:pStyle w:val="856"/>
        <w:ind w:firstLine="560"/>
        <w:jc w:val="both"/>
        <w:spacing w:beforeAutospacing="0" w:afterAutospacing="0" w:line="360" w:lineRule="auto"/>
        <w:shd w:val="clear" w:color="auto" w:fill="ffffff"/>
        <w:widowControl/>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6、根据《关于在政府采购活动中应用第三方信用报告落实“信易购”应用场景的通知》（盐财购</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〔2021〕19号</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），第三方信用服务机构依据标准规范评定为AA级及以上的政府采购供应商，可免费获取采购文件，需提供信用管理部门备案的第三方信用报告，且信用报告通过“信用盐城网”可查实。</w:t>
      </w:r>
      <w:r/>
    </w:p>
    <w:p>
      <w:pPr>
        <w:pStyle w:val="856"/>
        <w:ind w:firstLine="560"/>
        <w:jc w:val="both"/>
        <w:spacing w:beforeAutospacing="0" w:afterAutospacing="0" w:line="360" w:lineRule="auto"/>
        <w:shd w:val="clear" w:color="auto" w:fill="ffffff"/>
        <w:widowControl/>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7、各投标人在投标截止时间前应当每天都上网查询，以便获取更新的澄清、修改、补充内容。凡</w:t>
      </w:r>
      <w:r>
        <w:rPr>
          <w:rFonts w:hint="eastAsia" w:ascii="宋体" w:hAnsi="宋体" w:eastAsia="宋体" w:cs="宋体"/>
          <w:b w:val="0"/>
          <w:bCs w:val="0"/>
          <w:color w:val="000000" w:themeColor="text1"/>
          <w:sz w:val="28"/>
          <w:szCs w:val="28"/>
          <w:highlight w:val="none"/>
          <w:shd w:val="clear" w:color="auto" w:fill="auto"/>
          <w:lang w:eastAsia="zh-CN"/>
          <w14:textFill>
            <w14:solidFill>
              <w14:schemeClr w14:val="tx1"/>
            </w14:solidFill>
          </w14:textFill>
        </w:rPr>
        <w:t xml:space="preserve">涉及</w:t>
      </w: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该项目的补充说明和修改，均以江苏政府采购网上的更正或补充通知为准。</w:t>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8"/>
          <w:szCs w:val="28"/>
          <w:highlight w:val="none"/>
          <w:shd w:val="clear" w:color="auto" w:fill="auto"/>
          <w14:textFill>
            <w14:solidFill>
              <w14:schemeClr w14:val="tx1"/>
            </w14:solidFill>
          </w14:textFill>
        </w:rPr>
        <w:t xml:space="preserve">8、因供应商的系统环境、操作等原因导致报名、开评标过程中出现问题由供应商自行承担负责。</w:t>
      </w:r>
      <w:r/>
    </w:p>
    <w:p>
      <w:pPr>
        <w:pStyle w:val="856"/>
        <w:ind w:left="0" w:right="0" w:firstLine="560"/>
        <w:jc w:val="both"/>
        <w:keepLines w:val="0"/>
        <w:keepNext w:val="0"/>
        <w:spacing w:before="0" w:beforeAutospacing="0" w:after="0" w:afterAutospacing="0" w:line="360" w:lineRule="auto"/>
        <w:shd w:val="clear" w:color="auto" w:fill="ffffff"/>
        <w:widowControl/>
        <w:rPr>
          <w:rFonts w:hint="eastAsia" w:ascii="微软雅黑" w:hAnsi="微软雅黑" w:eastAsia="微软雅黑" w:cs="微软雅黑"/>
          <w:b w:val="0"/>
          <w:bCs w:val="0"/>
          <w:i w:val="0"/>
          <w:iCs w:val="0"/>
          <w:caps w:val="0"/>
          <w:color w:val="333333"/>
          <w:spacing w:val="0"/>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8"/>
          <w:szCs w:val="28"/>
          <w:highlight w:val="none"/>
          <w:u w:val="none"/>
          <w:shd w:val="clear" w:color="auto" w:fill="auto"/>
          <w:lang w:val="en-US" w:eastAsia="zh-CN"/>
        </w:rPr>
        <w:t xml:space="preserve">七</w:t>
      </w:r>
      <w:r>
        <w:rPr>
          <w:rFonts w:hint="eastAsia" w:ascii="黑体" w:hAnsi="宋体" w:eastAsia="黑体" w:cs="黑体"/>
          <w:b w:val="0"/>
          <w:bCs w:val="0"/>
          <w:i w:val="0"/>
          <w:iCs w:val="0"/>
          <w:caps w:val="0"/>
          <w:color w:val="333333"/>
          <w:spacing w:val="0"/>
          <w:sz w:val="28"/>
          <w:szCs w:val="28"/>
          <w:highlight w:val="none"/>
          <w:u w:val="none"/>
          <w:shd w:val="clear" w:color="auto" w:fill="auto"/>
        </w:rPr>
        <w:t xml:space="preserve">、对本次</w:t>
      </w:r>
      <w:r>
        <w:rPr>
          <w:rFonts w:hint="eastAsia" w:ascii="黑体" w:eastAsia="黑体" w:cs="黑体"/>
          <w:b w:val="0"/>
          <w:bCs w:val="0"/>
          <w:i w:val="0"/>
          <w:iCs w:val="0"/>
          <w:caps w:val="0"/>
          <w:color w:val="333333"/>
          <w:spacing w:val="0"/>
          <w:sz w:val="28"/>
          <w:szCs w:val="28"/>
          <w:highlight w:val="none"/>
          <w:u w:val="none"/>
          <w:shd w:val="clear" w:color="auto" w:fill="auto"/>
          <w:lang w:val="en-US" w:eastAsia="zh-CN"/>
        </w:rPr>
        <w:t xml:space="preserve">招标</w:t>
      </w:r>
      <w:r>
        <w:rPr>
          <w:rFonts w:hint="eastAsia" w:ascii="黑体" w:hAnsi="宋体" w:eastAsia="黑体" w:cs="黑体"/>
          <w:b w:val="0"/>
          <w:bCs w:val="0"/>
          <w:i w:val="0"/>
          <w:iCs w:val="0"/>
          <w:caps w:val="0"/>
          <w:color w:val="333333"/>
          <w:spacing w:val="0"/>
          <w:sz w:val="28"/>
          <w:szCs w:val="28"/>
          <w:highlight w:val="none"/>
          <w:u w:val="none"/>
          <w:shd w:val="clear" w:color="auto" w:fill="auto"/>
        </w:rPr>
        <w:t xml:space="preserve">提出询问，请按以下方式联系。</w:t>
      </w:r>
      <w:bookmarkEnd w:id="31"/>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1.采购人信息</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名 称：盐城市响水生态环境局  </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地址：盐城市响水县双园路391号</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联系人：王文            </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联系方式：17715900800     </w:t>
      </w:r>
      <w:bookmarkStart w:id="32" w:name="_Toc28359009"/>
      <w:r/>
      <w:bookmarkEnd w:id="32"/>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2.采购代理机构信息</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名 称：江苏明润资产房地产评估造价咨询有限公司  </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地 址：响水县开发区名门春天18号公寓311室</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联系人：沈善国                     </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联系方式：</w:t>
      </w:r>
      <w:bookmarkStart w:id="33" w:name="_Toc28359010"/>
      <w:r/>
      <w:bookmarkStart w:id="34" w:name="_Toc28359087"/>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19825968305       </w:t>
      </w:r>
      <w:bookmarkEnd w:id="33"/>
      <w:r/>
      <w:bookmarkEnd w:id="34"/>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bookmarkStart w:id="35" w:name="_Toc28359021"/>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3.</w:t>
      </w:r>
      <w:bookmarkEnd w:id="35"/>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项目联系方式</w:t>
      </w:r>
      <w:r/>
    </w:p>
    <w:p>
      <w:pPr>
        <w:pStyle w:val="864"/>
        <w:ind w:firstLine="560"/>
        <w:jc w:val="both"/>
        <w:spacing w:beforeAutospacing="0" w:afterAutospacing="0" w:line="360" w:lineRule="auto"/>
        <w:shd w:val="clear" w:color="auto" w:fill="ffffff"/>
        <w:widowControl/>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项目联系人：沈善国</w:t>
      </w:r>
      <w:r/>
    </w:p>
    <w:p>
      <w:pPr>
        <w:pStyle w:val="864"/>
        <w:ind w:left="0" w:right="0" w:firstLine="560"/>
        <w:jc w:val="both"/>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333333"/>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电　　 话：19825968305</w:t>
      </w:r>
      <w:r>
        <w:rPr>
          <w:rFonts w:hint="eastAsia" w:ascii="宋体" w:hAnsi="宋体" w:eastAsia="宋体" w:cs="宋体"/>
          <w:i w:val="0"/>
          <w:iCs w:val="0"/>
          <w:caps w:val="0"/>
          <w:color w:val="333333"/>
          <w:spacing w:val="0"/>
          <w:sz w:val="28"/>
          <w:szCs w:val="28"/>
          <w:highlight w:val="none"/>
          <w:shd w:val="clear" w:color="auto" w:fill="auto"/>
          <w:lang w:val="en-US" w:eastAsia="zh-CN"/>
        </w:rPr>
        <w:t xml:space="preserve">　</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　　　　　　　　　　</w:t>
      </w:r>
      <w:r/>
    </w:p>
    <w:p>
      <w:pPr>
        <w:spacing w:line="360" w:lineRule="auto"/>
        <w:rPr>
          <w:sz w:val="28"/>
          <w:szCs w:val="28"/>
          <w:highlight w:val="none"/>
          <w:shd w:val="clear" w:color="auto" w:fill="auto"/>
        </w:rPr>
      </w:pPr>
      <w:r>
        <w:rPr>
          <w:sz w:val="28"/>
          <w:szCs w:val="28"/>
          <w:highlight w:val="none"/>
          <w:shd w:val="clear" w:color="auto" w:fill="auto"/>
        </w:rPr>
        <w:t xml:space="preserve"> </w:t>
      </w:r>
      <w:r/>
    </w:p>
    <w:p>
      <w:pPr>
        <w:spacing w:line="360" w:lineRule="auto"/>
        <w:rPr>
          <w:rFonts w:hint="eastAsia" w:ascii="黑体" w:hAnsi="宋体" w:eastAsia="黑体" w:cs="黑体"/>
          <w:b/>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br w:type="page" w:clear="all"/>
      </w:r>
      <w:bookmarkStart w:id="36" w:name="_Toc120614211"/>
      <w:r/>
      <w:r/>
    </w:p>
    <w:p>
      <w:pPr>
        <w:pStyle w:val="864"/>
        <w:ind w:firstLine="2429"/>
        <w:jc w:val="both"/>
        <w:keepLines/>
        <w:keepNext/>
        <w:spacing w:before="260" w:beforeAutospacing="0" w:after="260" w:afterAutospacing="0" w:line="360" w:lineRule="auto"/>
        <w:rPr>
          <w:sz w:val="28"/>
          <w:szCs w:val="28"/>
          <w:highlight w:val="none"/>
          <w:shd w:val="clear" w:color="auto" w:fill="auto"/>
        </w:rPr>
      </w:pPr>
      <w:r>
        <w:rPr>
          <w:rFonts w:hint="eastAsia" w:ascii="黑体" w:hAnsi="宋体" w:eastAsia="黑体" w:cs="黑体"/>
          <w:b/>
          <w:color w:val="000000"/>
          <w:sz w:val="28"/>
          <w:szCs w:val="28"/>
          <w:highlight w:val="none"/>
          <w:shd w:val="clear" w:color="auto" w:fill="auto"/>
        </w:rPr>
        <w:t xml:space="preserve">第二章  </w:t>
      </w:r>
      <w:bookmarkEnd w:id="36"/>
      <w:r/>
      <w:bookmarkStart w:id="37" w:name="_Toc16938518"/>
      <w:r/>
      <w:bookmarkStart w:id="38" w:name="_Toc513029202"/>
      <w:r/>
      <w:bookmarkStart w:id="39" w:name="_Toc120614213"/>
      <w:r/>
      <w:bookmarkStart w:id="40" w:name="_Toc20823274"/>
      <w:r>
        <w:rPr>
          <w:rFonts w:hint="eastAsia" w:ascii="黑体" w:hAnsi="宋体" w:eastAsia="黑体" w:cs="黑体"/>
          <w:b/>
          <w:color w:val="000000"/>
          <w:sz w:val="28"/>
          <w:szCs w:val="28"/>
          <w:highlight w:val="none"/>
          <w:shd w:val="clear" w:color="auto" w:fill="auto"/>
        </w:rPr>
        <w:t xml:space="preserve">投标人须知</w:t>
      </w:r>
      <w:bookmarkEnd w:id="37"/>
      <w:r/>
      <w:bookmarkEnd w:id="38"/>
      <w:r/>
      <w:bookmarkEnd w:id="39"/>
      <w:r/>
      <w:bookmarkEnd w:id="40"/>
      <w:r/>
      <w:r/>
    </w:p>
    <w:p>
      <w:pPr>
        <w:pStyle w:val="864"/>
        <w:ind w:firstLine="498"/>
        <w:jc w:val="both"/>
        <w:keepLines/>
        <w:keepNext/>
        <w:spacing w:before="145" w:beforeAutospacing="0" w:after="145" w:afterAutospacing="0" w:line="360" w:lineRule="auto"/>
        <w:rPr>
          <w:sz w:val="28"/>
          <w:szCs w:val="28"/>
          <w:highlight w:val="none"/>
          <w:shd w:val="clear" w:color="auto" w:fill="auto"/>
        </w:rPr>
      </w:pPr>
      <w:r/>
      <w:bookmarkStart w:id="41" w:name="_Toc20823275"/>
      <w:r/>
      <w:bookmarkStart w:id="42" w:name="_Toc16938519"/>
      <w:r/>
      <w:bookmarkStart w:id="43" w:name="_Toc120614214"/>
      <w:r/>
      <w:bookmarkStart w:id="44" w:name="_Toc513029203"/>
      <w:r>
        <w:rPr>
          <w:rFonts w:ascii="Times New Roman" w:hAnsi="Times New Roman"/>
          <w:b/>
          <w:color w:val="000000"/>
          <w:sz w:val="28"/>
          <w:szCs w:val="28"/>
          <w:highlight w:val="none"/>
          <w:shd w:val="clear" w:color="auto" w:fill="auto"/>
        </w:rPr>
        <w:t xml:space="preserve">一、总则</w:t>
      </w:r>
      <w:bookmarkEnd w:id="41"/>
      <w:r/>
      <w:bookmarkEnd w:id="42"/>
      <w:r/>
      <w:bookmarkEnd w:id="43"/>
      <w:r/>
      <w:bookmarkEnd w:id="44"/>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45" w:name="_Toc20823276"/>
      <w:r/>
      <w:bookmarkStart w:id="46" w:name="_Toc458694821"/>
      <w:r/>
      <w:bookmarkStart w:id="47" w:name="_Toc513029204"/>
      <w:r/>
      <w:bookmarkStart w:id="48" w:name="_Toc16938520"/>
      <w:r/>
      <w:bookmarkStart w:id="49" w:name="_Hlt16619475"/>
      <w:r>
        <w:rPr>
          <w:rFonts w:ascii="Arial" w:hAnsi="Arial" w:cs="Arial"/>
          <w:color w:val="000000"/>
          <w:sz w:val="28"/>
          <w:szCs w:val="28"/>
          <w:highlight w:val="none"/>
          <w:shd w:val="clear" w:color="auto" w:fill="auto"/>
        </w:rPr>
        <w:t xml:space="preserve">1</w:t>
      </w:r>
      <w:bookmarkEnd w:id="45"/>
      <w:r>
        <w:rPr>
          <w:rFonts w:ascii="Arial" w:hAnsi="Arial" w:cs="Arial"/>
          <w:color w:val="000000"/>
          <w:sz w:val="28"/>
          <w:szCs w:val="28"/>
          <w:highlight w:val="none"/>
          <w:shd w:val="clear" w:color="auto" w:fill="auto"/>
        </w:rPr>
        <w:t xml:space="preserve">、招标方式</w:t>
      </w:r>
      <w:bookmarkEnd w:id="46"/>
      <w:r/>
      <w:bookmarkEnd w:id="47"/>
      <w:r/>
      <w:bookmarkEnd w:id="48"/>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1.1本次招标采取公开招标方式，本招标文件仅适用于招标公告中所述项目。</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50" w:name="_Toc20823277"/>
      <w:r/>
      <w:bookmarkStart w:id="51" w:name="_Toc513029205"/>
      <w:r/>
      <w:bookmarkStart w:id="52" w:name="_Toc16938521"/>
      <w:r>
        <w:rPr>
          <w:rFonts w:ascii="Arial" w:hAnsi="Arial" w:cs="Arial"/>
          <w:color w:val="000000"/>
          <w:sz w:val="28"/>
          <w:szCs w:val="28"/>
          <w:highlight w:val="none"/>
          <w:shd w:val="clear" w:color="auto" w:fill="auto"/>
        </w:rPr>
        <w:t xml:space="preserve">2、合格的投标人</w:t>
      </w:r>
      <w:bookmarkEnd w:id="50"/>
      <w:r/>
      <w:bookmarkEnd w:id="51"/>
      <w:r/>
      <w:bookmarkEnd w:id="52"/>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2.1满足招标公告中供应商的资格要求的规定。</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2.2 满足本文件实质性要求和条件的规定。</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53" w:name="_Toc16938522"/>
      <w:r/>
      <w:bookmarkStart w:id="54" w:name="_Toc20823278"/>
      <w:r/>
      <w:bookmarkStart w:id="55" w:name="_Toc513029206"/>
      <w:r>
        <w:rPr>
          <w:rFonts w:ascii="Arial" w:hAnsi="Arial" w:cs="Arial"/>
          <w:color w:val="000000"/>
          <w:sz w:val="28"/>
          <w:szCs w:val="28"/>
          <w:highlight w:val="none"/>
          <w:shd w:val="clear" w:color="auto" w:fill="auto"/>
        </w:rPr>
        <w:t xml:space="preserve">3、适用法律</w:t>
      </w:r>
      <w:bookmarkEnd w:id="53"/>
      <w:r/>
      <w:bookmarkEnd w:id="54"/>
      <w:r/>
      <w:bookmarkEnd w:id="55"/>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3.1本次招标及由此产生的合同受中华人民共和国有关的法律法规制约和保护。</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56" w:name="_Toc16938523"/>
      <w:r/>
      <w:bookmarkStart w:id="57" w:name="_Toc513029207"/>
      <w:r/>
      <w:bookmarkStart w:id="58" w:name="_Toc20823279"/>
      <w:r/>
      <w:bookmarkStart w:id="59" w:name="_Toc462564067"/>
      <w:r>
        <w:rPr>
          <w:rFonts w:ascii="Arial" w:hAnsi="Arial" w:cs="Arial"/>
          <w:color w:val="000000"/>
          <w:sz w:val="28"/>
          <w:szCs w:val="28"/>
          <w:highlight w:val="none"/>
          <w:shd w:val="clear" w:color="auto" w:fill="auto"/>
        </w:rPr>
        <w:t xml:space="preserve">4、投标费用</w:t>
      </w:r>
      <w:bookmarkEnd w:id="56"/>
      <w:r/>
      <w:bookmarkEnd w:id="57"/>
      <w:r/>
      <w:bookmarkEnd w:id="58"/>
      <w:r/>
      <w:bookmarkEnd w:id="59"/>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4.1投标人应自行承担所有与参加投标有关的费用，无论投标过程中的做法和结果如何，江苏明润资产房地产评估造价咨询有限公司（以下简称</w:t>
      </w:r>
      <w:r>
        <w:rPr>
          <w:rFonts w:hint="eastAsia" w:ascii="宋体" w:hAnsi="宋体" w:eastAsia="宋体" w:cs="宋体"/>
          <w:color w:val="000000"/>
          <w:sz w:val="28"/>
          <w:szCs w:val="28"/>
          <w:highlight w:val="none"/>
          <w:shd w:val="clear" w:color="auto" w:fill="auto"/>
          <w:lang w:val="en-US" w:eastAsia="zh-CN"/>
        </w:rPr>
        <w:t xml:space="preserve">代理机构</w:t>
      </w:r>
      <w:r>
        <w:rPr>
          <w:rFonts w:hint="eastAsia" w:ascii="宋体" w:hAnsi="宋体" w:eastAsia="宋体" w:cs="宋体"/>
          <w:color w:val="000000"/>
          <w:sz w:val="28"/>
          <w:szCs w:val="28"/>
          <w:highlight w:val="none"/>
          <w:shd w:val="clear" w:color="auto" w:fill="auto"/>
        </w:rPr>
        <w:t xml:space="preserve">）在任何情况下均无义务和责任承担这些费用。</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4.2本次招标</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和采购人不收取标书工本费与中标服务费。本项目采购代理费按苏招协</w:t>
      </w:r>
      <w:r>
        <w:rPr>
          <w:rFonts w:hint="eastAsia" w:ascii="宋体" w:hAnsi="宋体" w:eastAsia="宋体" w:cs="宋体"/>
          <w:color w:val="000000"/>
          <w:sz w:val="28"/>
          <w:szCs w:val="28"/>
          <w:highlight w:val="none"/>
          <w:shd w:val="clear" w:color="auto" w:fill="auto"/>
          <w:lang w:eastAsia="zh-CN"/>
        </w:rPr>
        <w:t xml:space="preserve">〔2022〕2号</w:t>
      </w:r>
      <w:r>
        <w:rPr>
          <w:rFonts w:hint="eastAsia" w:ascii="宋体" w:hAnsi="宋体" w:eastAsia="宋体" w:cs="宋体"/>
          <w:color w:val="000000"/>
          <w:sz w:val="28"/>
          <w:szCs w:val="28"/>
          <w:highlight w:val="none"/>
          <w:shd w:val="clear" w:color="auto" w:fill="auto"/>
        </w:rPr>
        <w:t xml:space="preserve">文件标准收费标准执行，招标代理费包含在投标报价中由中标人代为支付，不得单独列项。由中标单位在领取中标通知书时，一次性支付给代理机构。</w:t>
      </w:r>
      <w:r/>
    </w:p>
    <w:p>
      <w:pPr>
        <w:pStyle w:val="864"/>
        <w:ind w:firstLine="562"/>
        <w:jc w:val="both"/>
        <w:keepLines/>
        <w:keepNext/>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5、</w:t>
      </w:r>
      <w:r>
        <w:rPr>
          <w:rFonts w:hint="eastAsia" w:ascii="黑体" w:hAnsi="宋体" w:eastAsia="黑体" w:cs="黑体"/>
          <w:color w:val="000000"/>
          <w:sz w:val="28"/>
          <w:szCs w:val="28"/>
          <w:highlight w:val="none"/>
          <w:shd w:val="clear" w:color="auto" w:fill="auto"/>
        </w:rPr>
        <w:t xml:space="preserve">招标文件的约束力</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5.1投标人一旦参加本项目采购活动，即被认为接受了本招标文件的规定和约束。</w:t>
      </w:r>
      <w:r/>
    </w:p>
    <w:p>
      <w:pPr>
        <w:pStyle w:val="864"/>
        <w:ind w:firstLine="562"/>
        <w:jc w:val="both"/>
        <w:keepLines/>
        <w:keepNext/>
        <w:pageBreakBefore w:val="0"/>
        <w:spacing w:before="145" w:beforeAutospacing="0" w:after="145" w:afterAutospacing="0" w:line="360" w:lineRule="auto"/>
        <w:widowControl w:val="off"/>
        <w:rPr>
          <w:sz w:val="28"/>
          <w:szCs w:val="28"/>
          <w:highlight w:val="none"/>
          <w:shd w:val="clear" w:color="auto" w:fill="auto"/>
        </w:rPr>
      </w:pPr>
      <w:r/>
      <w:bookmarkStart w:id="60" w:name="_Toc16938525"/>
      <w:r/>
      <w:bookmarkStart w:id="61" w:name="_Toc20823281"/>
      <w:r/>
      <w:bookmarkStart w:id="62" w:name="_Toc513029209"/>
      <w:r/>
      <w:bookmarkStart w:id="63" w:name="_Toc120614215"/>
      <w:r>
        <w:rPr>
          <w:rFonts w:ascii="Times New Roman" w:hAnsi="Times New Roman"/>
          <w:b/>
          <w:color w:val="000000"/>
          <w:sz w:val="28"/>
          <w:szCs w:val="28"/>
          <w:highlight w:val="none"/>
          <w:shd w:val="clear" w:color="auto" w:fill="auto"/>
        </w:rPr>
        <w:t xml:space="preserve">二、招标文件</w:t>
      </w:r>
      <w:bookmarkEnd w:id="60"/>
      <w:r/>
      <w:bookmarkEnd w:id="61"/>
      <w:r/>
      <w:bookmarkEnd w:id="62"/>
      <w:r/>
      <w:bookmarkEnd w:id="63"/>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64" w:name="_Toc16938526"/>
      <w:r/>
      <w:bookmarkStart w:id="65" w:name="_Toc20823282"/>
      <w:r/>
      <w:bookmarkStart w:id="66" w:name="_Toc513029210"/>
      <w:r>
        <w:rPr>
          <w:rFonts w:ascii="Arial" w:hAnsi="Arial" w:cs="Arial"/>
          <w:color w:val="000000"/>
          <w:sz w:val="28"/>
          <w:szCs w:val="28"/>
          <w:highlight w:val="none"/>
          <w:shd w:val="clear" w:color="auto" w:fill="auto"/>
        </w:rPr>
        <w:t xml:space="preserve">6、招标文件构成</w:t>
      </w:r>
      <w:bookmarkEnd w:id="64"/>
      <w:r/>
      <w:bookmarkEnd w:id="65"/>
      <w:r/>
      <w:bookmarkEnd w:id="66"/>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6.1 招标文件由以下部分组成：</w:t>
      </w:r>
      <w:r/>
    </w:p>
    <w:p>
      <w:pPr>
        <w:pStyle w:val="864"/>
        <w:ind w:firstLine="560"/>
        <w:jc w:val="both"/>
        <w:pageBreakBefore w:val="0"/>
        <w:spacing w:beforeAutospacing="0" w:afterAutospacing="0" w:line="360" w:lineRule="auto"/>
        <w:widowControl w:val="off"/>
        <w:rPr>
          <w:rFonts w:hint="eastAsia" w:ascii="宋体" w:hAnsi="宋体" w:eastAsia="宋体" w:cs="宋体"/>
          <w:color w:val="000000"/>
          <w:sz w:val="28"/>
          <w:szCs w:val="28"/>
          <w:highlight w:val="none"/>
          <w:shd w:val="clear" w:color="auto" w:fill="auto"/>
          <w:lang w:val="en-US" w:eastAsia="zh-CN"/>
        </w:rPr>
      </w:pPr>
      <w:r>
        <w:rPr>
          <w:rFonts w:hint="eastAsia" w:ascii="宋体" w:hAnsi="宋体" w:eastAsia="宋体" w:cs="宋体"/>
          <w:color w:val="000000"/>
          <w:sz w:val="28"/>
          <w:szCs w:val="28"/>
          <w:highlight w:val="none"/>
          <w:shd w:val="clear" w:color="auto" w:fill="auto"/>
        </w:rPr>
        <w:t xml:space="preserve">（1）</w:t>
      </w:r>
      <w:r>
        <w:rPr>
          <w:rFonts w:hint="eastAsia" w:ascii="宋体" w:hAnsi="宋体" w:eastAsia="宋体" w:cs="宋体"/>
          <w:color w:val="000000"/>
          <w:sz w:val="28"/>
          <w:szCs w:val="28"/>
          <w:highlight w:val="none"/>
          <w:shd w:val="clear" w:color="auto" w:fill="auto"/>
          <w:lang w:val="en-US" w:eastAsia="zh-CN"/>
        </w:rPr>
        <w:t xml:space="preserve">招标公告</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（2）投标人须知</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（3）合同文本</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（4）采购需求</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w:t>
      </w:r>
      <w:r>
        <w:rPr>
          <w:rFonts w:ascii="Times New Roman" w:hAnsi="Times New Roman"/>
          <w:color w:val="000000"/>
          <w:sz w:val="28"/>
          <w:szCs w:val="28"/>
          <w:highlight w:val="none"/>
          <w:shd w:val="clear" w:color="auto" w:fill="auto"/>
        </w:rPr>
        <w:t xml:space="preserve">评标方法与评标标准</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（6）投标文件格式</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请仔细检查招标文件是否齐全，如有缺漏请立即与</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联系解决。</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67" w:name="_Toc513029211"/>
      <w:r/>
      <w:bookmarkStart w:id="68" w:name="_Toc462564070"/>
      <w:r/>
      <w:bookmarkStart w:id="69" w:name="_Toc16938527"/>
      <w:r/>
      <w:bookmarkStart w:id="70" w:name="_Toc20823283"/>
      <w:r>
        <w:rPr>
          <w:rFonts w:ascii="Arial" w:hAnsi="Arial" w:cs="Arial"/>
          <w:color w:val="000000"/>
          <w:sz w:val="28"/>
          <w:szCs w:val="28"/>
          <w:highlight w:val="none"/>
          <w:shd w:val="clear" w:color="auto" w:fill="auto"/>
        </w:rPr>
        <w:t xml:space="preserve">7、招标文件的澄清</w:t>
      </w:r>
      <w:bookmarkEnd w:id="67"/>
      <w:r/>
      <w:bookmarkEnd w:id="68"/>
      <w:r/>
      <w:bookmarkEnd w:id="69"/>
      <w:r/>
      <w:bookmarkEnd w:id="70"/>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7.1任何要求对招标文件进行澄清的投标人，应在投标截止期</w:t>
      </w:r>
      <w:r>
        <w:rPr>
          <w:rFonts w:ascii="仿宋_GB2312" w:eastAsia="仿宋_GB2312" w:cs="仿宋_GB2312"/>
          <w:b/>
          <w:color w:val="000000"/>
          <w:sz w:val="28"/>
          <w:szCs w:val="28"/>
          <w:highlight w:val="none"/>
          <w:shd w:val="clear" w:color="auto" w:fill="auto"/>
        </w:rPr>
        <w:t xml:space="preserve">十日</w:t>
      </w:r>
      <w:r>
        <w:rPr>
          <w:rFonts w:ascii="仿宋_GB2312" w:eastAsia="仿宋_GB2312" w:cs="仿宋_GB2312"/>
          <w:color w:val="000000"/>
          <w:sz w:val="28"/>
          <w:szCs w:val="28"/>
          <w:highlight w:val="none"/>
          <w:shd w:val="clear" w:color="auto" w:fill="auto"/>
        </w:rPr>
        <w:t xml:space="preserve">前</w:t>
      </w:r>
      <w:r>
        <w:rPr>
          <w:rFonts w:hint="eastAsia" w:ascii="宋体" w:hAnsi="宋体" w:eastAsia="宋体" w:cs="宋体"/>
          <w:color w:val="000000"/>
          <w:sz w:val="28"/>
          <w:szCs w:val="28"/>
          <w:highlight w:val="none"/>
          <w:shd w:val="clear" w:color="auto" w:fill="auto"/>
        </w:rPr>
        <w:t xml:space="preserve">按招标公告中的通讯地址，以书面形式通知</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71" w:name="_Toc16938528"/>
      <w:r/>
      <w:bookmarkStart w:id="72" w:name="_Toc462564071"/>
      <w:r/>
      <w:bookmarkStart w:id="73" w:name="_Toc513029212"/>
      <w:r/>
      <w:bookmarkStart w:id="74" w:name="_Toc20823284"/>
      <w:r>
        <w:rPr>
          <w:rFonts w:ascii="Arial" w:hAnsi="Arial" w:cs="Arial"/>
          <w:color w:val="000000"/>
          <w:sz w:val="28"/>
          <w:szCs w:val="28"/>
          <w:highlight w:val="none"/>
          <w:shd w:val="clear" w:color="auto" w:fill="auto"/>
        </w:rPr>
        <w:t xml:space="preserve">8、招标文件的修改</w:t>
      </w:r>
      <w:bookmarkEnd w:id="71"/>
      <w:r/>
      <w:bookmarkEnd w:id="72"/>
      <w:r/>
      <w:bookmarkEnd w:id="73"/>
      <w:r/>
      <w:bookmarkEnd w:id="74"/>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8.1在投标截止时间</w:t>
      </w:r>
      <w:r>
        <w:rPr>
          <w:rFonts w:ascii="仿宋_GB2312" w:eastAsia="仿宋_GB2312" w:cs="仿宋_GB2312"/>
          <w:color w:val="000000"/>
          <w:sz w:val="28"/>
          <w:szCs w:val="28"/>
          <w:highlight w:val="none"/>
          <w:shd w:val="clear" w:color="auto" w:fill="auto"/>
        </w:rPr>
        <w:t xml:space="preserve">前</w:t>
      </w:r>
      <w:r>
        <w:rPr>
          <w:rFonts w:hint="eastAsia" w:ascii="宋体" w:hAnsi="宋体" w:eastAsia="宋体" w:cs="宋体"/>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可以对招标文件进行修改。</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8.2</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有权按照法定的要求推迟投标截止日期和开标日期。</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8.3招标文件的修改将在</w:t>
      </w:r>
      <w:r>
        <w:rPr>
          <w:rFonts w:hint="eastAsia" w:ascii="仿宋" w:hAnsi="仿宋" w:eastAsia="仿宋" w:cs="仿宋"/>
          <w:color w:val="000000"/>
          <w:sz w:val="28"/>
          <w:szCs w:val="28"/>
          <w:highlight w:val="none"/>
          <w:shd w:val="clear" w:color="auto" w:fill="auto"/>
          <w:lang w:val="en-US" w:eastAsia="zh-CN" w:bidi="ar-SA"/>
        </w:rPr>
        <w:t xml:space="preserve">中国政府采购网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江苏政府采购网</w:t>
      </w:r>
      <w:r>
        <w:rPr>
          <w:rFonts w:hint="eastAsia" w:ascii="宋体" w:hAnsi="宋体" w:eastAsia="宋体" w:cs="宋体"/>
          <w:color w:val="000000"/>
          <w:sz w:val="28"/>
          <w:szCs w:val="28"/>
          <w:highlight w:val="none"/>
          <w:shd w:val="clear" w:color="auto" w:fill="auto"/>
          <w:lang w:eastAsia="zh-CN"/>
        </w:rPr>
        <w:t xml:space="preserve">、</w:t>
      </w:r>
      <w:r>
        <w:rPr>
          <w:rFonts w:hint="eastAsia" w:ascii="宋体" w:hAnsi="宋体" w:eastAsia="宋体" w:cs="宋体"/>
          <w:color w:val="000000"/>
          <w:sz w:val="28"/>
          <w:szCs w:val="28"/>
          <w:highlight w:val="none"/>
          <w:shd w:val="clear" w:color="auto" w:fill="auto"/>
          <w:lang w:val="en-US" w:eastAsia="zh-CN"/>
        </w:rPr>
        <w:t xml:space="preserve">盐城市政府采购网</w:t>
      </w:r>
      <w:r>
        <w:rPr>
          <w:rFonts w:hint="eastAsia" w:ascii="宋体" w:hAnsi="宋体" w:eastAsia="宋体" w:cs="宋体"/>
          <w:color w:val="000000"/>
          <w:sz w:val="28"/>
          <w:szCs w:val="28"/>
          <w:highlight w:val="none"/>
          <w:shd w:val="clear" w:color="auto" w:fill="auto"/>
        </w:rPr>
        <w:t xml:space="preserve">公布，补充文件将作为招标文件的组成部分，并对投标人具有约束力。</w:t>
      </w:r>
      <w:r/>
    </w:p>
    <w:p>
      <w:pPr>
        <w:pStyle w:val="864"/>
        <w:ind w:firstLine="562"/>
        <w:jc w:val="both"/>
        <w:keepLines/>
        <w:keepNext/>
        <w:pageBreakBefore w:val="0"/>
        <w:spacing w:before="145" w:beforeAutospacing="0" w:after="145" w:afterAutospacing="0" w:line="360" w:lineRule="auto"/>
        <w:widowControl w:val="off"/>
        <w:rPr>
          <w:sz w:val="28"/>
          <w:szCs w:val="28"/>
          <w:highlight w:val="none"/>
          <w:shd w:val="clear" w:color="auto" w:fill="auto"/>
        </w:rPr>
      </w:pPr>
      <w:r/>
      <w:bookmarkStart w:id="75" w:name="_Toc16938529"/>
      <w:r/>
      <w:bookmarkStart w:id="76" w:name="_Toc120614216"/>
      <w:r/>
      <w:bookmarkStart w:id="77" w:name="_Toc20823285"/>
      <w:r/>
      <w:bookmarkStart w:id="78" w:name="_Toc462564072"/>
      <w:r/>
      <w:bookmarkStart w:id="79" w:name="_Toc513029213"/>
      <w:r>
        <w:rPr>
          <w:rFonts w:ascii="Times New Roman" w:hAnsi="Times New Roman"/>
          <w:b/>
          <w:color w:val="000000"/>
          <w:sz w:val="28"/>
          <w:szCs w:val="28"/>
          <w:highlight w:val="none"/>
          <w:shd w:val="clear" w:color="auto" w:fill="auto"/>
        </w:rPr>
        <w:t xml:space="preserve">三、投标文件的编制</w:t>
      </w:r>
      <w:bookmarkEnd w:id="75"/>
      <w:r/>
      <w:bookmarkEnd w:id="76"/>
      <w:r/>
      <w:bookmarkEnd w:id="77"/>
      <w:r/>
      <w:bookmarkEnd w:id="78"/>
      <w:r/>
      <w:bookmarkEnd w:id="79"/>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80" w:name="_Toc513029214"/>
      <w:r/>
      <w:bookmarkStart w:id="81" w:name="_Toc462564073"/>
      <w:r/>
      <w:bookmarkStart w:id="82" w:name="_Toc16938530"/>
      <w:r/>
      <w:bookmarkStart w:id="83" w:name="_Toc20823286"/>
      <w:r>
        <w:rPr>
          <w:rFonts w:ascii="Arial" w:hAnsi="Arial" w:cs="Arial"/>
          <w:color w:val="000000"/>
          <w:sz w:val="28"/>
          <w:szCs w:val="28"/>
          <w:highlight w:val="none"/>
          <w:shd w:val="clear" w:color="auto" w:fill="auto"/>
        </w:rPr>
        <w:t xml:space="preserve">9、投标文件的语言及度量衡单位</w:t>
      </w:r>
      <w:bookmarkEnd w:id="80"/>
      <w:r/>
      <w:bookmarkEnd w:id="81"/>
      <w:r/>
      <w:bookmarkEnd w:id="82"/>
      <w:r/>
      <w:bookmarkEnd w:id="83"/>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9.1 投标人提交的投标文件以及投标人与</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就有关投标的所有来往通知、函件和文件均应使用</w:t>
      </w:r>
      <w:r>
        <w:rPr>
          <w:rFonts w:hint="eastAsia" w:ascii="宋体" w:hAnsi="宋体" w:eastAsia="宋体" w:cs="宋体"/>
          <w:b/>
          <w:color w:val="000000"/>
          <w:sz w:val="28"/>
          <w:szCs w:val="28"/>
          <w:highlight w:val="none"/>
          <w:shd w:val="clear" w:color="auto" w:fill="auto"/>
        </w:rPr>
        <w:t xml:space="preserve">简体中文</w:t>
      </w:r>
      <w:r>
        <w:rPr>
          <w:rFonts w:hint="eastAsia" w:ascii="宋体" w:hAnsi="宋体" w:eastAsia="宋体" w:cs="宋体"/>
          <w:color w:val="000000"/>
          <w:sz w:val="28"/>
          <w:szCs w:val="28"/>
          <w:highlight w:val="none"/>
          <w:shd w:val="clear" w:color="auto" w:fill="auto"/>
        </w:rPr>
        <w:t xml:space="preserve">。</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9.2 除技术性能另有规定外，投标文件所使用的度量衡单位，均须采用国家法定计量单位。</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84" w:name="_Toc462564074"/>
      <w:r/>
      <w:bookmarkStart w:id="85" w:name="_Toc513029215"/>
      <w:r/>
      <w:bookmarkStart w:id="86" w:name="_Toc20823287"/>
      <w:r/>
      <w:bookmarkStart w:id="87" w:name="_Toc16938531"/>
      <w:r>
        <w:rPr>
          <w:rFonts w:ascii="Arial" w:hAnsi="Arial" w:cs="Arial"/>
          <w:color w:val="000000"/>
          <w:sz w:val="28"/>
          <w:szCs w:val="28"/>
          <w:highlight w:val="none"/>
          <w:shd w:val="clear" w:color="auto" w:fill="auto"/>
        </w:rPr>
        <w:t xml:space="preserve">10、投标文件构成</w:t>
      </w:r>
      <w:bookmarkEnd w:id="84"/>
      <w:r/>
      <w:bookmarkEnd w:id="85"/>
      <w:r/>
      <w:bookmarkEnd w:id="86"/>
      <w:r/>
      <w:bookmarkEnd w:id="87"/>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10.1投标人编写的投标文件应包括资格证明文件、符合性证明文件、投标分项报价表、技术要求响应及偏离表、商务要求响应及偏离表、其他证明文件、投标函、开标一览表等部分。</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r>
      <w:r>
        <w:rPr>
          <w:rFonts w:hint="eastAsia" w:ascii="宋体" w:hAnsi="宋体" w:eastAsia="宋体" w:cs="宋体"/>
          <w:color w:val="000000"/>
          <w:sz w:val="28"/>
          <w:szCs w:val="28"/>
          <w:highlight w:val="none"/>
          <w:shd w:val="clear" w:color="auto" w:fill="auto"/>
        </w:rPr>
        <w:t xml:space="preserve">10.2</w:t>
      </w:r>
      <w:r>
        <w:rPr>
          <w:rFonts w:hint="eastAsia" w:ascii="宋体" w:hAnsi="宋体" w:eastAsia="宋体" w:cs="宋体"/>
          <w:color w:val="000000"/>
          <w:sz w:val="28"/>
          <w:szCs w:val="28"/>
          <w:highlight w:val="none"/>
          <w:shd w:val="clear" w:color="auto" w:fill="auto"/>
        </w:rPr>
        <w:t xml:space="preserve">如标书制作工具中格式和内容与</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lang w:val="en-US" w:eastAsia="zh-CN"/>
        </w:rPr>
        <w:t xml:space="preserve">中国政府采购网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“江苏政府采购网”</w:t>
      </w:r>
      <w:r>
        <w:rPr>
          <w:rFonts w:hint="eastAsia" w:ascii="宋体" w:hAnsi="宋体" w:eastAsia="宋体" w:cs="宋体"/>
          <w:color w:val="000000"/>
          <w:sz w:val="28"/>
          <w:szCs w:val="28"/>
          <w:highlight w:val="none"/>
          <w:shd w:val="clear" w:color="auto" w:fill="auto"/>
          <w:lang w:eastAsia="zh-CN"/>
        </w:rPr>
        <w:t xml:space="preserve">、</w:t>
      </w:r>
      <w:r>
        <w:rPr>
          <w:rFonts w:hint="eastAsia" w:ascii="宋体" w:hAnsi="宋体" w:eastAsia="宋体" w:cs="宋体"/>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lang w:val="en-US" w:eastAsia="zh-CN"/>
        </w:rPr>
        <w:t xml:space="preserve">盐城市政府采购网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发布的招标文件不一致，请以</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lang w:val="en-US" w:eastAsia="zh-CN"/>
        </w:rPr>
        <w:t xml:space="preserve">中国政府采购网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“江苏政府采购网”</w:t>
      </w:r>
      <w:r>
        <w:rPr>
          <w:rFonts w:hint="eastAsia" w:ascii="宋体" w:hAnsi="宋体" w:eastAsia="宋体" w:cs="宋体"/>
          <w:color w:val="000000"/>
          <w:sz w:val="28"/>
          <w:szCs w:val="28"/>
          <w:highlight w:val="none"/>
          <w:shd w:val="clear" w:color="auto" w:fill="auto"/>
          <w:lang w:eastAsia="zh-CN"/>
        </w:rPr>
        <w:t xml:space="preserve">、</w:t>
      </w:r>
      <w:r>
        <w:rPr>
          <w:rFonts w:hint="eastAsia" w:ascii="宋体" w:hAnsi="宋体" w:eastAsia="宋体" w:cs="宋体"/>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lang w:val="en-US" w:eastAsia="zh-CN"/>
        </w:rPr>
        <w:t xml:space="preserve">盐城市政府采购网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发布的招标文件为准。</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88" w:name="_Toc14577357"/>
      <w:r/>
      <w:bookmarkStart w:id="89" w:name="_Toc49090508"/>
      <w:r/>
      <w:bookmarkStart w:id="90" w:name="_Toc513029216"/>
      <w:r/>
      <w:bookmarkStart w:id="91" w:name="_Toc513029219"/>
      <w:r/>
      <w:bookmarkStart w:id="92" w:name="_Toc49090509"/>
      <w:r/>
      <w:bookmarkStart w:id="93" w:name="_Toc14577354"/>
      <w:r/>
      <w:bookmarkStart w:id="94" w:name="_Toc49090507"/>
      <w:r/>
      <w:bookmarkStart w:id="95" w:name="_Toc14577355"/>
      <w:r/>
      <w:bookmarkStart w:id="96" w:name="_Hlt26668975"/>
      <w:r/>
      <w:bookmarkStart w:id="97" w:name="_Hlt26954838"/>
      <w:r/>
      <w:bookmarkStart w:id="98" w:name="_Hlt26670360"/>
      <w:r>
        <w:rPr>
          <w:rFonts w:ascii="Arial" w:hAnsi="Arial" w:cs="Arial"/>
          <w:color w:val="000000"/>
          <w:sz w:val="28"/>
          <w:szCs w:val="28"/>
          <w:highlight w:val="none"/>
          <w:shd w:val="clear" w:color="auto" w:fill="auto"/>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11.1投标人应按照招标文件要求提交证明文件，证明其及投标标的符合招标文件规定。</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11.2招标文件对证明文件无明确形式要求的，证明文件可以以文字资料、图纸和数据等形式提交。</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rPr>
          <w:rFonts w:ascii="Arial" w:hAnsi="Arial" w:cs="Arial"/>
          <w:color w:val="000000"/>
          <w:sz w:val="28"/>
          <w:szCs w:val="28"/>
          <w:highlight w:val="none"/>
          <w:shd w:val="clear" w:color="auto" w:fill="auto"/>
        </w:rPr>
        <w:t xml:space="preserve">12、投标分项报价表</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12.1投标人应按照招标文件规定格式填报投标分项报价表。</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12.2投标货币。投标文件中的单价和总价无特殊规定的采用人民币报价，以元为单位标注。招标文件中另有规定的按规定执行。</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99" w:name="_Hlt26670482"/>
      <w:r/>
      <w:bookmarkStart w:id="100" w:name="_Hlt26954846"/>
      <w:r/>
      <w:bookmarkStart w:id="101" w:name="_Hlt26954848"/>
      <w:r/>
      <w:bookmarkStart w:id="102" w:name="_Hlt26670486"/>
      <w:r/>
      <w:bookmarkStart w:id="103" w:name="_Hlt26954731"/>
      <w:r>
        <w:rPr>
          <w:rFonts w:ascii="Arial" w:hAnsi="Arial" w:cs="Arial"/>
          <w:color w:val="000000"/>
          <w:sz w:val="28"/>
          <w:szCs w:val="28"/>
          <w:highlight w:val="none"/>
          <w:shd w:val="clear" w:color="auto" w:fill="auto"/>
        </w:rPr>
        <w:t xml:space="preserve">13、技术要求响应及偏离表、商务要求响应及偏离表</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13.1投标人需对招标文件中的技术要求与商务要求逐项作出响应或偏离，并说明原因。</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13.2投标人可在投标文件中提供认为需要的其他技术文件或说明。</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rPr>
          <w:rFonts w:ascii="Arial" w:hAnsi="Arial" w:cs="Arial"/>
          <w:color w:val="000000"/>
          <w:sz w:val="28"/>
          <w:szCs w:val="28"/>
          <w:highlight w:val="none"/>
          <w:shd w:val="clear" w:color="auto" w:fill="auto"/>
        </w:rPr>
        <w:t xml:space="preserve">14、服务承诺、培训计划、人员安排及其他</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14.1投标人需根据招标文件要求提供有关售后服务的管理制度，售后服务机构的分布情况，售后服务人员的数量、素质、技术水平及售后服务的反应能力等。</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14.2投标人需根据招标文件要求提供培训计划。</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14.3投标人需根据招标文件要求提供所投标的的主要组成部分、功能设计、实现思路及关键技术等。</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04" w:name="_Toc49090510"/>
      <w:r/>
      <w:bookmarkStart w:id="105" w:name="_Toc14577359"/>
      <w:r>
        <w:rPr>
          <w:rFonts w:ascii="Arial" w:hAnsi="Arial" w:cs="Arial"/>
          <w:color w:val="000000"/>
          <w:sz w:val="28"/>
          <w:szCs w:val="28"/>
          <w:highlight w:val="none"/>
          <w:shd w:val="clear" w:color="auto" w:fill="auto"/>
        </w:rPr>
        <w:t xml:space="preserve">15、投标函和开标一览表</w:t>
      </w:r>
      <w:bookmarkEnd w:id="104"/>
      <w:r/>
      <w:bookmarkEnd w:id="105"/>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15.1投标人应按照招标文件中提供的格式完整、正确填写投标函、开标一览表。</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15.2对于采用货币报价的项目，开标一览表中的投标总报价应与投标分项报价表中的投标总报价一致，如不一致，不作为无效投标处理，但评标时按开标一览表中价格为准。</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06" w:name="_Toc49090511"/>
      <w:r/>
      <w:bookmarkStart w:id="107" w:name="_Toc14577360"/>
      <w:r>
        <w:rPr>
          <w:rFonts w:ascii="Arial" w:hAnsi="Arial" w:cs="Arial"/>
          <w:color w:val="000000"/>
          <w:sz w:val="28"/>
          <w:szCs w:val="28"/>
          <w:highlight w:val="none"/>
          <w:shd w:val="clear" w:color="auto" w:fill="auto"/>
        </w:rPr>
        <w:t xml:space="preserve">16、投标有效期</w:t>
      </w:r>
      <w:bookmarkEnd w:id="106"/>
      <w:r/>
      <w:bookmarkEnd w:id="107"/>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16.1投标有效期为</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规定的开标之日后</w:t>
      </w:r>
      <w:r>
        <w:rPr>
          <w:rFonts w:ascii="仿宋_GB2312" w:eastAsia="仿宋_GB2312" w:cs="仿宋_GB2312"/>
          <w:b/>
          <w:color w:val="000000"/>
          <w:sz w:val="28"/>
          <w:szCs w:val="28"/>
          <w:highlight w:val="none"/>
          <w:u w:val="single"/>
          <w:shd w:val="clear" w:color="auto" w:fill="auto"/>
        </w:rPr>
        <w:t xml:space="preserve">六十（60）天</w:t>
      </w:r>
      <w:r>
        <w:rPr>
          <w:rFonts w:hint="eastAsia" w:ascii="宋体" w:hAnsi="宋体" w:eastAsia="宋体" w:cs="宋体"/>
          <w:color w:val="000000"/>
          <w:sz w:val="28"/>
          <w:szCs w:val="28"/>
          <w:highlight w:val="none"/>
          <w:shd w:val="clear" w:color="auto" w:fill="auto"/>
        </w:rPr>
        <w:t xml:space="preserve">。投标有效期比规定短的将被视为未实质性响应招标文件而予以拒绝。</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rPr>
          <w:rFonts w:ascii="Arial" w:hAnsi="Arial" w:cs="Arial"/>
          <w:color w:val="000000"/>
          <w:sz w:val="28"/>
          <w:szCs w:val="28"/>
          <w:highlight w:val="none"/>
          <w:shd w:val="clear" w:color="auto" w:fill="auto"/>
        </w:rPr>
        <w:t xml:space="preserve">17、投标有效期的延长</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17.1在特殊情况下，</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的这一要求而放弃投标，同意延长投标有效期的投标人既不能要求也不允许修改其投标文件。受投标有效期约束的所有权利与义务均延长至新的有效期。</w:t>
      </w:r>
      <w:r/>
    </w:p>
    <w:p>
      <w:pPr>
        <w:pStyle w:val="864"/>
        <w:ind w:firstLine="562"/>
        <w:jc w:val="both"/>
        <w:keepLines/>
        <w:keepNext/>
        <w:pageBreakBefore w:val="0"/>
        <w:spacing w:before="145" w:beforeAutospacing="0" w:after="145" w:afterAutospacing="0" w:line="360" w:lineRule="auto"/>
        <w:widowControl w:val="off"/>
        <w:rPr>
          <w:sz w:val="28"/>
          <w:szCs w:val="28"/>
          <w:highlight w:val="none"/>
          <w:shd w:val="clear" w:color="auto" w:fill="auto"/>
        </w:rPr>
      </w:pPr>
      <w:r/>
      <w:bookmarkStart w:id="108" w:name="_Toc513029224"/>
      <w:r/>
      <w:bookmarkStart w:id="109" w:name="_Toc120614217"/>
      <w:r/>
      <w:bookmarkStart w:id="110" w:name="_Toc16938540"/>
      <w:r/>
      <w:bookmarkStart w:id="111" w:name="_Toc20823296"/>
      <w:r/>
      <w:bookmarkStart w:id="112" w:name="_Hlt26954739"/>
      <w:r/>
      <w:bookmarkStart w:id="113" w:name="_Hlt26954852"/>
      <w:r>
        <w:rPr>
          <w:rFonts w:ascii="Times New Roman" w:hAnsi="Times New Roman"/>
          <w:b/>
          <w:color w:val="000000"/>
          <w:sz w:val="28"/>
          <w:szCs w:val="28"/>
          <w:highlight w:val="none"/>
          <w:shd w:val="clear" w:color="auto" w:fill="auto"/>
        </w:rPr>
        <w:t xml:space="preserve">四、投标文件的递交</w:t>
      </w:r>
      <w:bookmarkEnd w:id="108"/>
      <w:r/>
      <w:bookmarkEnd w:id="109"/>
      <w:r/>
      <w:bookmarkEnd w:id="110"/>
      <w:r/>
      <w:bookmarkEnd w:id="111"/>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14" w:name="_Toc462564084"/>
      <w:r/>
      <w:bookmarkStart w:id="115" w:name="_Toc20823297"/>
      <w:r/>
      <w:bookmarkStart w:id="116" w:name="_Toc16938541"/>
      <w:r/>
      <w:bookmarkStart w:id="117" w:name="_Toc513029225"/>
      <w:r>
        <w:rPr>
          <w:rFonts w:ascii="Arial" w:hAnsi="Arial" w:cs="Arial"/>
          <w:color w:val="000000"/>
          <w:sz w:val="28"/>
          <w:szCs w:val="28"/>
          <w:highlight w:val="none"/>
          <w:shd w:val="clear" w:color="auto" w:fill="auto"/>
        </w:rPr>
        <w:t xml:space="preserve">18、电子</w:t>
      </w:r>
      <w:r>
        <w:rPr>
          <w:rFonts w:hint="eastAsia" w:ascii="黑体" w:hAnsi="宋体" w:eastAsia="黑体" w:cs="黑体"/>
          <w:color w:val="000000"/>
          <w:sz w:val="28"/>
          <w:szCs w:val="28"/>
          <w:highlight w:val="none"/>
          <w:shd w:val="clear" w:color="auto" w:fill="auto"/>
        </w:rPr>
        <w:t xml:space="preserve">投标文件</w:t>
      </w:r>
      <w:bookmarkEnd w:id="114"/>
      <w:r/>
      <w:bookmarkEnd w:id="115"/>
      <w:r/>
      <w:bookmarkEnd w:id="116"/>
      <w:r/>
      <w:bookmarkEnd w:id="117"/>
      <w:r>
        <w:rPr>
          <w:rFonts w:hint="eastAsia" w:ascii="黑体" w:hAnsi="宋体" w:eastAsia="黑体" w:cs="黑体"/>
          <w:color w:val="000000"/>
          <w:sz w:val="28"/>
          <w:szCs w:val="28"/>
          <w:highlight w:val="none"/>
          <w:shd w:val="clear" w:color="auto" w:fill="auto"/>
        </w:rPr>
        <w:t xml:space="preserve">的递交</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18.1投标人应当按照《操作手册》规定，在投标截止时间前制作并上传电子投标文件。</w:t>
      </w:r>
      <w:bookmarkStart w:id="118" w:name="_Toc16938542"/>
      <w:r/>
      <w:bookmarkEnd w:id="118"/>
      <w:r/>
      <w:bookmarkStart w:id="119" w:name="_Toc20823298"/>
      <w:r/>
      <w:bookmarkEnd w:id="119"/>
      <w:r/>
      <w:bookmarkStart w:id="120" w:name="_Toc513029226"/>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rPr>
          <w:rFonts w:ascii="Arial" w:hAnsi="Arial" w:cs="Arial"/>
          <w:color w:val="000000"/>
          <w:sz w:val="28"/>
          <w:szCs w:val="28"/>
          <w:highlight w:val="none"/>
          <w:shd w:val="clear" w:color="auto" w:fill="auto"/>
        </w:rPr>
        <w:t xml:space="preserve">19、投标截止日期</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19.1投标人上传电子投标文件的时间不得迟于招标公告中规定的投标截止时间。</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投标人应充分考虑到网络环境、网络带宽等风险因素，如因投标人自身原因造成的电子投标文件上传不成功的按照本招标文件第二章第27.1.2条规定做无效投标处理。</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19.2</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可以按照规定，通过修改招标文件酌情延长投标截止日期，在此情况下，投标人的所有权利和义务以及投标人受制的截止日期均应以延长后新的截止日期为准。</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21" w:name="_Toc16938543"/>
      <w:r/>
      <w:bookmarkStart w:id="122" w:name="_Toc20823299"/>
      <w:r/>
      <w:bookmarkStart w:id="123" w:name="_Toc513029227"/>
      <w:r>
        <w:rPr>
          <w:rFonts w:ascii="Arial" w:hAnsi="Arial" w:cs="Arial"/>
          <w:color w:val="000000"/>
          <w:sz w:val="28"/>
          <w:szCs w:val="28"/>
          <w:highlight w:val="none"/>
          <w:shd w:val="clear" w:color="auto" w:fill="auto"/>
        </w:rPr>
        <w:t xml:space="preserve">20、投标文件</w:t>
      </w:r>
      <w:bookmarkEnd w:id="121"/>
      <w:r/>
      <w:bookmarkEnd w:id="122"/>
      <w:r/>
      <w:bookmarkEnd w:id="123"/>
      <w:r>
        <w:rPr>
          <w:rFonts w:ascii="Arial" w:hAnsi="Arial" w:cs="Arial"/>
          <w:color w:val="000000"/>
          <w:sz w:val="28"/>
          <w:szCs w:val="28"/>
          <w:highlight w:val="none"/>
          <w:shd w:val="clear" w:color="auto" w:fill="auto"/>
        </w:rPr>
        <w:t xml:space="preserve">的拒收</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20.1</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拒绝接收在其规定的投标截止时间后上传的任何投标文件。</w:t>
      </w:r>
      <w:r/>
    </w:p>
    <w:p>
      <w:pPr>
        <w:pStyle w:val="864"/>
        <w:ind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24" w:name="_Toc20823300"/>
      <w:r/>
      <w:bookmarkStart w:id="125" w:name="_Toc16938544"/>
      <w:r/>
      <w:bookmarkStart w:id="126" w:name="_Toc513029228"/>
      <w:r>
        <w:rPr>
          <w:rFonts w:ascii="Arial" w:hAnsi="Arial" w:cs="Arial"/>
          <w:color w:val="000000"/>
          <w:sz w:val="28"/>
          <w:szCs w:val="28"/>
          <w:highlight w:val="none"/>
          <w:shd w:val="clear" w:color="auto" w:fill="auto"/>
        </w:rPr>
        <w:t xml:space="preserve">21、投标文件的撤回和修改</w:t>
      </w:r>
      <w:bookmarkEnd w:id="124"/>
      <w:r/>
      <w:bookmarkEnd w:id="125"/>
      <w:r/>
      <w:bookmarkEnd w:id="126"/>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21.1投标文件的撤回</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21.1.1电子投标文件的撤回</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投标人可在投标截止时间前，撤回其电子投标文件，具体操作方法见《操作手册》。</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21.1.2投标人撤回电子投标文件，则认为其不再参与本项目投标活动。</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21.2投标文件的修改</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21.2.1投标人可在投标截止时间前，对其电子投标文件进行修改，具体操作方法见《操作手册》。</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21.2.2在投标截止时间之后，投标人不得对其电子投标文件作任何修改。</w:t>
      </w:r>
      <w:r/>
    </w:p>
    <w:p>
      <w:pPr>
        <w:pStyle w:val="864"/>
        <w:ind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21.3在投标截止时间至招标文件中规定的投标有效期满之间的这段时间内，投标人不得撤回其投标。</w:t>
      </w:r>
      <w:r/>
    </w:p>
    <w:p>
      <w:pPr>
        <w:pStyle w:val="864"/>
        <w:ind w:left="0" w:firstLine="562"/>
        <w:jc w:val="both"/>
        <w:keepLines/>
        <w:keepNext/>
        <w:pageBreakBefore w:val="0"/>
        <w:spacing w:beforeAutospacing="0" w:afterAutospacing="0" w:line="360" w:lineRule="auto"/>
        <w:widowControl w:val="off"/>
        <w:rPr>
          <w:sz w:val="28"/>
          <w:szCs w:val="28"/>
          <w:highlight w:val="none"/>
          <w:shd w:val="clear" w:color="auto" w:fill="auto"/>
        </w:rPr>
      </w:pPr>
      <w:r/>
      <w:bookmarkStart w:id="127" w:name="_Toc120614218"/>
      <w:r/>
      <w:bookmarkStart w:id="128" w:name="_Toc20823301"/>
      <w:r/>
      <w:bookmarkStart w:id="129" w:name="_Toc16938545"/>
      <w:r/>
      <w:bookmarkStart w:id="130" w:name="_Toc513029229"/>
      <w:r>
        <w:rPr>
          <w:rFonts w:ascii="Times New Roman" w:hAnsi="Times New Roman"/>
          <w:b/>
          <w:color w:val="000000"/>
          <w:sz w:val="28"/>
          <w:szCs w:val="28"/>
          <w:highlight w:val="none"/>
          <w:shd w:val="clear" w:color="auto" w:fill="auto"/>
        </w:rPr>
        <w:t xml:space="preserve">五、开标与评标</w:t>
      </w:r>
      <w:bookmarkEnd w:id="127"/>
      <w:r/>
      <w:bookmarkEnd w:id="128"/>
      <w:r/>
      <w:bookmarkEnd w:id="129"/>
      <w:r/>
      <w:bookmarkEnd w:id="130"/>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31" w:name="_Toc513029230"/>
      <w:r/>
      <w:bookmarkStart w:id="132" w:name="_Toc16938546"/>
      <w:r/>
      <w:bookmarkStart w:id="133" w:name="_Toc20823302"/>
      <w:r>
        <w:rPr>
          <w:rFonts w:ascii="Arial" w:hAnsi="Arial" w:cs="Arial"/>
          <w:color w:val="000000"/>
          <w:sz w:val="28"/>
          <w:szCs w:val="28"/>
          <w:highlight w:val="none"/>
          <w:shd w:val="clear" w:color="auto" w:fill="auto"/>
        </w:rPr>
        <w:t xml:space="preserve">22、开标</w:t>
      </w:r>
      <w:bookmarkEnd w:id="131"/>
      <w:r/>
      <w:bookmarkEnd w:id="132"/>
      <w:r/>
      <w:bookmarkEnd w:id="133"/>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22.1</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将在招标公告中规定的时间和地点组织公开开标。投标人应当按照《操作手册》规定，参加开标活动</w:t>
      </w:r>
      <w:r>
        <w:rPr>
          <w:rFonts w:hint="eastAsia" w:ascii="宋体" w:hAnsi="宋体" w:eastAsia="宋体" w:cs="宋体"/>
          <w:color w:val="auto"/>
          <w:sz w:val="28"/>
          <w:szCs w:val="28"/>
          <w:highlight w:val="none"/>
          <w:shd w:val="clear" w:color="auto" w:fill="auto"/>
        </w:rPr>
        <w:t xml:space="preserve">和在苏采云系统规定的时间内对投标文件进行解密。</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22.2开标仪式由</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组织。苏采云系统将自动对项目进行开标，并宣布各投标人名称和投标价格。</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22.3投标人在开标过程中涉及到的投标文件解密、开标结果确认等工作，应按照《操作手册》规定执行。</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8"/>
          <w:szCs w:val="28"/>
          <w:highlight w:val="none"/>
          <w:shd w:val="clear" w:color="auto" w:fill="auto"/>
        </w:rPr>
        <w:t xml:space="preserve">，视同认可开标结果。</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34" w:name="_Toc20823303"/>
      <w:r/>
      <w:bookmarkStart w:id="135" w:name="_Toc513029231"/>
      <w:r/>
      <w:bookmarkStart w:id="136" w:name="_Toc16938547"/>
      <w:r>
        <w:rPr>
          <w:rFonts w:ascii="Arial" w:hAnsi="Arial" w:cs="Arial"/>
          <w:color w:val="000000"/>
          <w:sz w:val="28"/>
          <w:szCs w:val="28"/>
          <w:highlight w:val="none"/>
          <w:shd w:val="clear" w:color="auto" w:fill="auto"/>
        </w:rPr>
        <w:t xml:space="preserve">23、评标委员会</w:t>
      </w:r>
      <w:bookmarkEnd w:id="134"/>
      <w:r/>
      <w:bookmarkEnd w:id="135"/>
      <w:r/>
      <w:bookmarkEnd w:id="136"/>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23.1开标后，</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将立即组织评标委员会（以下简称评委会）进行评标。</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23.2评委会由采购人代表和有关技术、经济等方面的专家组成，且人员构成符合政府采购有关规定。</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23.3评委会独立工作，负责评审所有投标文件并确定中标侯选人。</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rPr>
          <w:rFonts w:hint="eastAsia" w:ascii="黑体" w:hAnsi="宋体" w:eastAsia="黑体" w:cs="黑体"/>
          <w:color w:val="000000"/>
          <w:sz w:val="28"/>
          <w:szCs w:val="28"/>
          <w:highlight w:val="none"/>
          <w:shd w:val="clear" w:color="auto" w:fill="auto"/>
        </w:rPr>
        <w:t xml:space="preserve">24．评标过程的保密与公正</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24.1凡是与审查、澄清、评价和比较投标的有关资料以及授标建议等，采购人、评委、</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均不得向投标人或与评标无关的其他人员透露。</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24.2在评标过程中，投标人不得以任何行为影响评标过程，否则其投标文件将被作为无效投标文件。</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24.3</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和评标委员会不向未中标的投标人解释未中标原因，也不公布评标过程中的相关</w:t>
      </w:r>
      <w:r>
        <w:rPr>
          <w:rFonts w:hint="eastAsia" w:ascii="宋体" w:hAnsi="宋体" w:eastAsia="宋体" w:cs="宋体"/>
          <w:color w:val="auto"/>
          <w:sz w:val="28"/>
          <w:szCs w:val="28"/>
          <w:highlight w:val="none"/>
          <w:shd w:val="clear" w:color="auto" w:fill="auto"/>
        </w:rPr>
        <w:t xml:space="preserve">细节。</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8"/>
          <w:szCs w:val="28"/>
          <w:highlight w:val="none"/>
          <w:shd w:val="clear" w:color="auto" w:fill="auto"/>
        </w:rPr>
        <w:t xml:space="preserve">排序情况。</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37" w:name="_Toc20823304"/>
      <w:r/>
      <w:bookmarkStart w:id="138" w:name="_Toc16938548"/>
      <w:r/>
      <w:bookmarkStart w:id="139" w:name="_Toc513029232"/>
      <w:r>
        <w:rPr>
          <w:rFonts w:ascii="Arial" w:hAnsi="Arial" w:cs="Arial"/>
          <w:color w:val="000000"/>
          <w:sz w:val="28"/>
          <w:szCs w:val="28"/>
          <w:highlight w:val="none"/>
          <w:shd w:val="clear" w:color="auto" w:fill="auto"/>
        </w:rPr>
        <w:t xml:space="preserve">25．投标文件的澄清</w:t>
      </w:r>
      <w:bookmarkEnd w:id="137"/>
      <w:r/>
      <w:bookmarkEnd w:id="138"/>
      <w:r/>
      <w:bookmarkEnd w:id="139"/>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bookmarkStart w:id="140" w:name="_Toc513029233"/>
      <w:r/>
      <w:bookmarkStart w:id="141" w:name="_Toc20823305"/>
      <w:r/>
      <w:bookmarkStart w:id="142" w:name="_Toc16938549"/>
      <w:r>
        <w:rPr>
          <w:rFonts w:hint="eastAsia" w:ascii="宋体" w:hAnsi="宋体" w:eastAsia="宋体" w:cs="宋体"/>
          <w:color w:val="000000"/>
          <w:sz w:val="28"/>
          <w:szCs w:val="28"/>
          <w:highlight w:val="none"/>
          <w:shd w:val="clear" w:color="auto" w:fill="auto"/>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投标人的澄清、说明或者补正不得超出投标文件的范围或者改变投标文件的实质性内容。</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评标委员会并非对每个投标人都做澄清要求。</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25.3接到评委会澄清、说明和补正要求的投标人如未按规定做出澄清、</w:t>
      </w:r>
      <w:r>
        <w:rPr>
          <w:rFonts w:hint="eastAsia" w:ascii="宋体" w:hAnsi="宋体" w:eastAsia="宋体" w:cs="宋体"/>
          <w:color w:val="000000"/>
          <w:sz w:val="28"/>
          <w:szCs w:val="28"/>
          <w:highlight w:val="none"/>
          <w:shd w:val="clear" w:color="auto" w:fill="auto"/>
        </w:rPr>
        <w:t xml:space="preserve">说明和补正，其风险由投标人自行承担。</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rPr>
          <w:rFonts w:ascii="Arial" w:hAnsi="Arial" w:cs="Arial"/>
          <w:color w:val="000000"/>
          <w:sz w:val="28"/>
          <w:szCs w:val="28"/>
          <w:highlight w:val="none"/>
          <w:shd w:val="clear" w:color="auto" w:fill="auto"/>
        </w:rPr>
        <w:t xml:space="preserve">26、对投标文件的初审</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26.1投标文件初审分为资格审查和符合性审查。</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26.1.1 资格审查：依据法律法规和招标文件的规定，由采购人对投标文件中的资格证明文件进行审查。资格审查的结论，采购人以书面形式向评委会进行反馈。</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26.1.2符合性审查：依据招标文件的规定，由评委会从投标文件的有效性、完整性和对招标文件的响应程度进行审查，以确定是否对招标文件的实质性要求作出响应。</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26.1.3未通过资格审查或符合性审查的投标人，</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将</w:t>
      </w:r>
      <w:r>
        <w:rPr>
          <w:rFonts w:hint="eastAsia" w:ascii="宋体" w:hAnsi="宋体" w:eastAsia="宋体" w:cs="宋体"/>
          <w:color w:val="auto"/>
          <w:sz w:val="28"/>
          <w:szCs w:val="28"/>
          <w:highlight w:val="none"/>
          <w:shd w:val="clear" w:color="auto" w:fill="auto"/>
        </w:rPr>
        <w:t xml:space="preserve">在苏采云系统中告知未通过资格审查或符合性审查的原因，评审结束后，</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将不再告知未通过资格审查或符合性审查的原因。</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26.3如果投标文件实质上没有响应招标文件的要求，评委会将予以拒绝，投标人不得通过修改或撤销不合要求的偏离或保留而使其投标成为实质性响应的投标。</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26.4评委会将对确定为实质性响应的投标进行进一步审核，看其是否有计算上或累加上的算术错误，修正错误的原则如下：</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（1）投标文件中开标一览表内容与投标文件中相应内容不一致的，以开标一览表为准。</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（2）大写金额和小写金额不一致的，以大写金额为准。</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（3）单价金额小数点或者百分比有明显错位的，以开标一览表的总价为准，并修改单价。</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（4）总价金额与按单价汇总金额不一致的，以单价金额计算结果为准。</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同时出现两种以上错误的，按照前款规定的顺序修正。</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bookmarkStart w:id="143" w:name="_Toc16938550"/>
      <w:r/>
      <w:bookmarkStart w:id="144" w:name="_Toc513029234"/>
      <w:r/>
      <w:bookmarkStart w:id="145" w:name="_Toc20823306"/>
      <w:r>
        <w:rPr>
          <w:rFonts w:hint="eastAsia" w:ascii="宋体" w:hAnsi="宋体" w:eastAsia="宋体" w:cs="宋体"/>
          <w:color w:val="000000"/>
          <w:sz w:val="28"/>
          <w:szCs w:val="28"/>
          <w:highlight w:val="none"/>
          <w:shd w:val="clear" w:color="auto" w:fil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非单一产品采购项目，招标文件中将载明其中的核心产品。多家投标人提供的核心产品品牌相同的，按前两款规定处理。</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26.7投标人在开、评标全过程中应保持通讯畅通，及时登录苏采云系统查阅、答复相关信息，并安排专人与</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及评标委员会联系。</w:t>
      </w:r>
      <w:r/>
    </w:p>
    <w:p>
      <w:pPr>
        <w:pStyle w:val="864"/>
        <w:ind w:left="0" w:firstLine="560"/>
        <w:jc w:val="both"/>
        <w:keepLines/>
        <w:keepNext/>
        <w:pageBreakBefore w:val="0"/>
        <w:spacing w:beforeAutospacing="0" w:afterAutospacing="0" w:line="360" w:lineRule="auto"/>
        <w:widowControl w:val="off"/>
        <w:rPr>
          <w:color w:val="auto"/>
          <w:sz w:val="28"/>
          <w:szCs w:val="28"/>
          <w:highlight w:val="none"/>
          <w:shd w:val="clear" w:color="auto" w:fill="auto"/>
        </w:rPr>
      </w:pPr>
      <w:r>
        <w:rPr>
          <w:rFonts w:ascii="Arial" w:hAnsi="Arial" w:cs="Arial"/>
          <w:color w:val="auto"/>
          <w:sz w:val="28"/>
          <w:szCs w:val="28"/>
          <w:highlight w:val="none"/>
          <w:shd w:val="clear" w:color="auto" w:fill="auto"/>
        </w:rPr>
        <w:t xml:space="preserve">27、无效投标条款和废标条款</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bookmarkStart w:id="146" w:name="_Toc16938551"/>
      <w:r/>
      <w:bookmarkStart w:id="147" w:name="_Toc20823307"/>
      <w:r/>
      <w:bookmarkStart w:id="148" w:name="_Toc513029235"/>
      <w:r>
        <w:rPr>
          <w:rFonts w:hint="eastAsia" w:ascii="宋体" w:hAnsi="宋体" w:eastAsia="宋体" w:cs="宋体"/>
          <w:color w:val="auto"/>
          <w:sz w:val="28"/>
          <w:szCs w:val="28"/>
          <w:highlight w:val="none"/>
          <w:shd w:val="clear" w:color="auto" w:fill="auto"/>
        </w:rPr>
        <w:t xml:space="preserve">27.1无效投标条款</w:t>
      </w:r>
      <w:bookmarkEnd w:id="146"/>
      <w:r/>
      <w:bookmarkEnd w:id="147"/>
      <w:r/>
      <w:bookmarkEnd w:id="148"/>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27.1.1投标人在苏采云系统规定的时间内未成功解密电子投标文件的。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27.1.2投标人未按照招标文件要求上传电子投标文件的。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27.1.3同一投标人提交两个（含两个）以上不同的投标报价的。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27.1.4投标人不具备招标文件中规定资格要求的。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27.1.5投标人的报价超过了采购预算或最高限价的。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27.1.6未通过符合性审查的。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27.1.7不符合招标文件中规定的实质性要求和条件的（</w:t>
      </w:r>
      <w:r>
        <w:rPr>
          <w:rFonts w:hint="eastAsia" w:ascii="宋体" w:hAnsi="宋体" w:eastAsia="宋体" w:cs="宋体"/>
          <w:i/>
          <w:color w:val="000000"/>
          <w:sz w:val="28"/>
          <w:szCs w:val="28"/>
          <w:highlight w:val="none"/>
          <w:u w:val="single"/>
          <w:shd w:val="clear" w:color="auto" w:fill="auto"/>
        </w:rPr>
        <w:t xml:space="preserve">本招标文件中斜体且有下划线部分为实质性要求和条件）。</w:t>
      </w:r>
      <w:r/>
    </w:p>
    <w:p>
      <w:pPr>
        <w:pStyle w:val="864"/>
        <w:ind w:left="0" w:firstLine="560"/>
        <w:jc w:val="left"/>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27.1.9投标文件含有采购人不能接受的附加条件的。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27.1.10评标委员会认为投标人的报价明显低</w:t>
      </w:r>
      <w:r>
        <w:rPr>
          <w:rFonts w:hint="eastAsia" w:ascii="宋体" w:hAnsi="宋体" w:eastAsia="宋体" w:cs="宋体"/>
          <w:color w:val="auto"/>
          <w:sz w:val="28"/>
          <w:szCs w:val="28"/>
          <w:highlight w:val="none"/>
          <w:shd w:val="clear" w:color="auto" w:fill="auto"/>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27.1.12 投标文件未按照招标文件要求加盖CA电子公章的。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27.1.13其他法律、法规及本招标文件规定的属无效投标的情形。</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27.2废标条款</w:t>
      </w:r>
      <w:r/>
    </w:p>
    <w:p>
      <w:pPr>
        <w:pStyle w:val="864"/>
        <w:ind w:left="0" w:firstLine="560"/>
        <w:jc w:val="both"/>
        <w:pageBreakBefore w:val="0"/>
        <w:spacing w:beforeAutospacing="0" w:afterAutospacing="0" w:line="36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27.2.1符合专业条件的供应商或者对招标文件作实质响应的供应商不足三家的。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27.2.2出现影响采购公正的违法、违规行为的。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27.2.3因重大变故，采购任务取消的。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27.2.4评标委员会认定招标文件存在歧义、重大缺陷导致评审工作无法进行。</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27.2.5因苏采云系统系统故障原因造成开标不成功的。</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27.3投标截止时间结束后参加投标的供应商不足三家的处理：</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27.3.1如出现投标截止时间结束后参加投标的供应商或者</w:t>
      </w:r>
      <w:r>
        <w:rPr>
          <w:rFonts w:hint="eastAsia" w:ascii="宋体" w:hAnsi="宋体" w:eastAsia="宋体" w:cs="宋体"/>
          <w:color w:val="000000"/>
          <w:sz w:val="28"/>
          <w:szCs w:val="28"/>
          <w:highlight w:val="none"/>
          <w:shd w:val="clear" w:color="auto" w:fill="auto"/>
        </w:rPr>
        <w:t xml:space="preserve">在评标期间对招标文件做出实质响应的供应商不足三家情况，按政府采购相关规定执行。</w:t>
      </w:r>
      <w:r/>
    </w:p>
    <w:p>
      <w:pPr>
        <w:pStyle w:val="864"/>
        <w:ind w:left="0" w:firstLine="562"/>
        <w:jc w:val="both"/>
        <w:keepLines/>
        <w:keepNext/>
        <w:pageBreakBefore w:val="0"/>
        <w:spacing w:beforeAutospacing="0" w:afterAutospacing="0" w:line="360" w:lineRule="auto"/>
        <w:widowControl w:val="off"/>
        <w:rPr>
          <w:sz w:val="28"/>
          <w:szCs w:val="28"/>
          <w:highlight w:val="none"/>
          <w:shd w:val="clear" w:color="auto" w:fill="auto"/>
        </w:rPr>
      </w:pPr>
      <w:r/>
      <w:bookmarkStart w:id="149" w:name="_Toc120614219"/>
      <w:r>
        <w:rPr>
          <w:rFonts w:ascii="Times New Roman" w:hAnsi="Times New Roman"/>
          <w:b/>
          <w:color w:val="000000"/>
          <w:sz w:val="28"/>
          <w:szCs w:val="28"/>
          <w:highlight w:val="none"/>
          <w:shd w:val="clear" w:color="auto" w:fill="auto"/>
        </w:rPr>
        <w:t xml:space="preserve">六、定标</w:t>
      </w:r>
      <w:bookmarkEnd w:id="149"/>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50" w:name="_Toc20823310"/>
      <w:r/>
      <w:bookmarkStart w:id="151" w:name="_Toc16938554"/>
      <w:r/>
      <w:bookmarkStart w:id="152" w:name="_Toc513029238"/>
      <w:r>
        <w:rPr>
          <w:rFonts w:hint="eastAsia" w:ascii="黑体" w:hAnsi="宋体" w:eastAsia="黑体" w:cs="黑体"/>
          <w:color w:val="000000"/>
          <w:sz w:val="28"/>
          <w:szCs w:val="28"/>
          <w:highlight w:val="none"/>
          <w:shd w:val="clear" w:color="auto" w:fill="auto"/>
        </w:rPr>
        <w:t xml:space="preserve">28、</w:t>
      </w:r>
      <w:bookmarkEnd w:id="150"/>
      <w:r>
        <w:rPr>
          <w:rFonts w:hint="eastAsia" w:ascii="黑体" w:hAnsi="宋体" w:eastAsia="黑体" w:cs="黑体"/>
          <w:color w:val="000000"/>
          <w:sz w:val="28"/>
          <w:szCs w:val="28"/>
          <w:highlight w:val="none"/>
          <w:shd w:val="clear" w:color="auto" w:fill="auto"/>
        </w:rPr>
        <w:t xml:space="preserve">确定</w:t>
      </w:r>
      <w:bookmarkEnd w:id="151"/>
      <w:r/>
      <w:bookmarkEnd w:id="152"/>
      <w:r>
        <w:rPr>
          <w:rFonts w:hint="eastAsia" w:ascii="黑体" w:hAnsi="宋体" w:eastAsia="黑体" w:cs="黑体"/>
          <w:color w:val="000000"/>
          <w:sz w:val="28"/>
          <w:szCs w:val="28"/>
          <w:highlight w:val="none"/>
          <w:shd w:val="clear" w:color="auto" w:fill="auto"/>
        </w:rPr>
        <w:t xml:space="preserve">中标单位</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28.1中标候选人的选取原则和数量见招标文件第五章规定。 </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28.2采购人应根据评委会推荐的中标候选人确定中标人。</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28.3</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将在</w:t>
      </w:r>
      <w:r>
        <w:rPr>
          <w:rFonts w:hint="eastAsia" w:ascii="仿宋" w:hAnsi="仿宋" w:eastAsia="仿宋" w:cs="仿宋"/>
          <w:color w:val="000000"/>
          <w:sz w:val="28"/>
          <w:szCs w:val="28"/>
          <w:highlight w:val="none"/>
          <w:shd w:val="clear" w:color="auto" w:fill="auto"/>
          <w:lang w:val="en-US" w:eastAsia="zh-CN" w:bidi="ar-SA"/>
        </w:rPr>
        <w:t xml:space="preserve">中国政府采购网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“江苏政府采购网”</w:t>
      </w:r>
      <w:r>
        <w:rPr>
          <w:rFonts w:hint="eastAsia" w:ascii="宋体" w:hAnsi="宋体" w:eastAsia="宋体" w:cs="宋体"/>
          <w:color w:val="000000"/>
          <w:sz w:val="28"/>
          <w:szCs w:val="28"/>
          <w:highlight w:val="none"/>
          <w:shd w:val="clear" w:color="auto" w:fill="auto"/>
          <w:lang w:eastAsia="zh-CN"/>
        </w:rPr>
        <w:t xml:space="preserve">、</w:t>
      </w:r>
      <w:r>
        <w:rPr>
          <w:rFonts w:hint="eastAsia" w:ascii="宋体" w:hAnsi="宋体" w:eastAsia="宋体" w:cs="宋体"/>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lang w:val="en-US" w:eastAsia="zh-CN"/>
        </w:rPr>
        <w:t xml:space="preserve">盐城市政府采购网</w:t>
      </w:r>
      <w:r>
        <w:rPr>
          <w:rFonts w:hint="eastAsia" w:ascii="仿宋" w:hAnsi="仿宋" w:eastAsia="仿宋" w:cs="仿宋"/>
          <w:i w:val="0"/>
          <w:iCs w:val="0"/>
          <w:caps w:val="0"/>
          <w:color w:val="333333"/>
          <w:spacing w:val="0"/>
          <w:sz w:val="28"/>
          <w:szCs w:val="28"/>
          <w:highlight w:val="none"/>
          <w:shd w:val="clear" w:color="auto" w:fill="auto"/>
          <w:lang w:val="en-US" w:eastAsia="zh-CN"/>
        </w:rPr>
        <w:t xml:space="preserve">”</w:t>
      </w:r>
      <w:r>
        <w:rPr>
          <w:rFonts w:hint="eastAsia" w:ascii="宋体" w:hAnsi="宋体" w:eastAsia="宋体" w:cs="宋体"/>
          <w:color w:val="000000"/>
          <w:sz w:val="28"/>
          <w:szCs w:val="28"/>
          <w:highlight w:val="none"/>
          <w:shd w:val="clear" w:color="auto" w:fill="auto"/>
        </w:rPr>
        <w:t xml:space="preserve">发布中标公告，公告期限为1个工作日。</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28.4若有充分证据证明，中标人出现下列情况之一的，一经查实，将被取消中标资格：</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28.4.1提供虚假材料谋取中标的。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28.4.2向采购人、</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行贿或者提供其他不正当利益的。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28.4.3属于本文件规定的无效条件，但在评标过程中又未被评委会发现的。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28.4.4与采购人或者其他供应商恶意串通的。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28.4.5采取不正当手段诋毁、排挤其他供应商的。</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bookmarkStart w:id="153" w:name="_Toc200451960"/>
      <w:r>
        <w:rPr>
          <w:rFonts w:hint="eastAsia" w:ascii="宋体" w:hAnsi="宋体" w:eastAsia="宋体" w:cs="宋体"/>
          <w:color w:val="000000"/>
          <w:sz w:val="28"/>
          <w:szCs w:val="28"/>
          <w:highlight w:val="none"/>
          <w:shd w:val="clear" w:color="auto" w:fill="auto"/>
        </w:rPr>
        <w:t xml:space="preserve">28.5.</w:t>
      </w:r>
      <w:r>
        <w:rPr>
          <w:rFonts w:ascii="Times New Roman" w:hAnsi="Times New Roman"/>
          <w:color w:val="000000"/>
          <w:sz w:val="28"/>
          <w:szCs w:val="28"/>
          <w:highlight w:val="none"/>
          <w:shd w:val="clear" w:color="auto" w:fill="auto"/>
        </w:rPr>
        <w:t xml:space="preserve"> 有下列情形之一的，视为投标人串通投标，投标无效：</w:t>
      </w:r>
      <w:bookmarkEnd w:id="153"/>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28.5.1不同投标人的投标文件由同一单位或者个人编制；</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28.5.2不同投标人委托同一单位或者个人办理投标事宜；</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28.5.3不同投标人的投标文件载明的项目管理成员或者联系人员为同一人；</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28.5.4不同投标人的投标文件异常一致或者投标报价呈规律性差异；</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rPr>
          <w:rFonts w:hint="eastAsia" w:ascii="黑体" w:hAnsi="宋体" w:eastAsia="黑体" w:cs="黑体"/>
          <w:color w:val="000000"/>
          <w:sz w:val="28"/>
          <w:szCs w:val="28"/>
          <w:highlight w:val="none"/>
          <w:shd w:val="clear" w:color="auto" w:fill="auto"/>
        </w:rPr>
        <w:t xml:space="preserve">29、质疑处理</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29.1提出质疑的供应商应当是参与所质疑项目采购活动的供应商。潜在供应商依法获取其可质疑的采购文件的，可以对采购文件提出质疑。</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或采购人提出质疑。上述应知其权益受到损害之日，是指：</w:t>
      </w:r>
      <w:r/>
    </w:p>
    <w:p>
      <w:pPr>
        <w:pStyle w:val="864"/>
        <w:ind w:left="0" w:firstLine="560"/>
        <w:jc w:val="left"/>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29.2.1</w:t>
      </w:r>
      <w:r>
        <w:rPr>
          <w:rFonts w:ascii="Times New Roman" w:hAnsi="Times New Roman"/>
          <w:color w:val="000000"/>
          <w:sz w:val="28"/>
          <w:szCs w:val="28"/>
          <w:highlight w:val="none"/>
          <w:shd w:val="clear" w:color="auto" w:fill="auto"/>
        </w:rPr>
        <w:t xml:space="preserve">对可以质疑的采购文件提出质疑的，为收到采购文件之日或者采购文件公告期限届满之日；</w:t>
      </w:r>
      <w:r>
        <w:rPr>
          <w:rFonts w:ascii="Times New Roman" w:hAnsi="Times New Roman"/>
          <w:color w:val="000000"/>
          <w:sz w:val="28"/>
          <w:szCs w:val="28"/>
          <w:highlight w:val="none"/>
          <w:shd w:val="clear" w:color="auto" w:fill="auto"/>
        </w:rPr>
        <w:br/>
      </w:r>
      <w:r>
        <w:rPr>
          <w:rFonts w:ascii="Times New Roman" w:hAnsi="Times New Roman"/>
          <w:color w:val="000000"/>
          <w:sz w:val="28"/>
          <w:szCs w:val="28"/>
          <w:highlight w:val="none"/>
          <w:shd w:val="clear" w:color="auto" w:fill="auto"/>
        </w:rPr>
        <w:t xml:space="preserve">     </w:t>
      </w:r>
      <w:r>
        <w:rPr>
          <w:rFonts w:hint="eastAsia" w:ascii="宋体" w:hAnsi="宋体" w:eastAsia="宋体" w:cs="宋体"/>
          <w:color w:val="000000"/>
          <w:sz w:val="28"/>
          <w:szCs w:val="28"/>
          <w:highlight w:val="none"/>
          <w:shd w:val="clear" w:color="auto" w:fill="auto"/>
        </w:rPr>
        <w:t xml:space="preserve">29.2.2</w:t>
      </w:r>
      <w:r>
        <w:rPr>
          <w:rFonts w:ascii="Times New Roman" w:hAnsi="Times New Roman"/>
          <w:color w:val="000000"/>
          <w:sz w:val="28"/>
          <w:szCs w:val="28"/>
          <w:highlight w:val="none"/>
          <w:shd w:val="clear" w:color="auto" w:fill="auto"/>
        </w:rPr>
        <w:t xml:space="preserve">对采购过程提出质疑的，为各采购程序环节结束之日；</w:t>
      </w:r>
      <w:r>
        <w:rPr>
          <w:rFonts w:ascii="Times New Roman" w:hAnsi="Times New Roman"/>
          <w:color w:val="000000"/>
          <w:sz w:val="28"/>
          <w:szCs w:val="28"/>
          <w:highlight w:val="none"/>
          <w:shd w:val="clear" w:color="auto" w:fill="auto"/>
        </w:rPr>
        <w:br/>
      </w:r>
      <w:r>
        <w:rPr>
          <w:rFonts w:ascii="Times New Roman" w:hAnsi="Times New Roman"/>
          <w:color w:val="000000"/>
          <w:sz w:val="28"/>
          <w:szCs w:val="28"/>
          <w:highlight w:val="none"/>
          <w:shd w:val="clear" w:color="auto" w:fill="auto"/>
        </w:rPr>
        <w:t xml:space="preserve">  </w:t>
      </w:r>
      <w:r>
        <w:rPr>
          <w:rFonts w:hint="eastAsia" w:ascii="Times New Roman" w:hAnsi="Times New Roman"/>
          <w:color w:val="000000"/>
          <w:sz w:val="28"/>
          <w:szCs w:val="28"/>
          <w:highlight w:val="none"/>
          <w:shd w:val="clear" w:color="auto" w:fill="auto"/>
          <w:lang w:val="en-US" w:eastAsia="zh-CN"/>
        </w:rPr>
        <w:t xml:space="preserve"> </w:t>
      </w:r>
      <w:r>
        <w:rPr>
          <w:rFonts w:ascii="Times New Roman" w:hAnsi="Times New Roman"/>
          <w:color w:val="000000"/>
          <w:sz w:val="28"/>
          <w:szCs w:val="28"/>
          <w:highlight w:val="none"/>
          <w:shd w:val="clear" w:color="auto" w:fill="auto"/>
        </w:rPr>
        <w:t xml:space="preserve"> </w:t>
      </w:r>
      <w:r>
        <w:rPr>
          <w:rFonts w:hint="eastAsia" w:ascii="Times New Roman" w:hAnsi="Times New Roman"/>
          <w:color w:val="000000"/>
          <w:sz w:val="28"/>
          <w:szCs w:val="28"/>
          <w:highlight w:val="none"/>
          <w:shd w:val="clear" w:color="auto" w:fill="auto"/>
          <w:lang w:val="en-US" w:eastAsia="zh-CN"/>
        </w:rPr>
        <w:t xml:space="preserve"> </w:t>
      </w:r>
      <w:r>
        <w:rPr>
          <w:rFonts w:hint="eastAsia" w:ascii="宋体" w:hAnsi="宋体" w:eastAsia="宋体" w:cs="宋体"/>
          <w:color w:val="000000"/>
          <w:sz w:val="28"/>
          <w:szCs w:val="28"/>
          <w:highlight w:val="none"/>
          <w:shd w:val="clear" w:color="auto" w:fill="auto"/>
        </w:rPr>
        <w:t xml:space="preserve">29.2.3</w:t>
      </w:r>
      <w:r>
        <w:rPr>
          <w:rFonts w:ascii="Times New Roman" w:hAnsi="Times New Roman"/>
          <w:color w:val="000000"/>
          <w:sz w:val="28"/>
          <w:szCs w:val="28"/>
          <w:highlight w:val="none"/>
          <w:shd w:val="clear" w:color="auto" w:fill="auto"/>
        </w:rPr>
        <w:t xml:space="preserve">对中标或者成交结果提出质疑的，为中标或者成交结果公告期限届满之日。</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ascii="Times New Roman" w:hAnsi="Times New Roman"/>
          <w:color w:val="000000"/>
          <w:sz w:val="28"/>
          <w:szCs w:val="28"/>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8"/>
          <w:szCs w:val="28"/>
          <w:highlight w:val="none"/>
          <w:shd w:val="clear" w:color="auto" w:fill="auto"/>
          <w:lang w:eastAsia="zh-CN"/>
        </w:rPr>
        <w:t xml:space="preserve">代理机构</w:t>
      </w:r>
      <w:r>
        <w:rPr>
          <w:rFonts w:ascii="Times New Roman" w:hAnsi="Times New Roman"/>
          <w:color w:val="000000"/>
          <w:sz w:val="28"/>
          <w:szCs w:val="28"/>
          <w:highlight w:val="none"/>
          <w:shd w:val="clear" w:color="auto" w:fill="auto"/>
        </w:rPr>
        <w:t xml:space="preserve">、采购人将只对供应商第一次质疑作出答复。</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left="0" w:firstLine="560"/>
        <w:jc w:val="both"/>
        <w:pageBreakBefore w:val="0"/>
        <w:spacing w:beforeAutospacing="0" w:afterAutospacing="0" w:line="360" w:lineRule="auto"/>
        <w:widowControl w:val="off"/>
        <w:rPr>
          <w:rFonts w:ascii="宋体" w:hAnsi="宋体" w:eastAsia="宋体" w:cs="宋体"/>
          <w:color w:val="auto"/>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29.4供应</w:t>
      </w:r>
      <w:r>
        <w:rPr>
          <w:rFonts w:hint="eastAsia" w:ascii="宋体" w:hAnsi="宋体" w:eastAsia="宋体" w:cs="宋体"/>
          <w:color w:val="auto"/>
          <w:sz w:val="28"/>
          <w:szCs w:val="28"/>
          <w:highlight w:val="none"/>
          <w:shd w:val="clear" w:color="auto" w:fill="auto"/>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提出，由</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负责答复。</w:t>
      </w:r>
      <w:r/>
    </w:p>
    <w:p>
      <w:pPr>
        <w:pStyle w:val="864"/>
        <w:ind w:left="0" w:firstLine="560"/>
        <w:jc w:val="both"/>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采购人及</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只接收以纸质原件形式送达的质疑,采购人和</w:t>
      </w:r>
      <w:r>
        <w:rPr>
          <w:rFonts w:hint="eastAsia" w:ascii="宋体" w:hAnsi="宋体" w:eastAsia="宋体" w:cs="宋体"/>
          <w:color w:val="auto"/>
          <w:sz w:val="28"/>
          <w:szCs w:val="28"/>
          <w:highlight w:val="none"/>
          <w:shd w:val="clear" w:color="auto" w:fill="auto"/>
          <w:lang w:eastAsia="zh-CN"/>
        </w:rPr>
        <w:t xml:space="preserve">代理机构</w:t>
      </w:r>
      <w:r>
        <w:rPr>
          <w:rFonts w:hint="eastAsia" w:ascii="宋体" w:hAnsi="宋体" w:eastAsia="宋体" w:cs="宋体"/>
          <w:color w:val="auto"/>
          <w:sz w:val="28"/>
          <w:szCs w:val="28"/>
          <w:highlight w:val="none"/>
          <w:shd w:val="clear" w:color="auto" w:fill="auto"/>
        </w:rPr>
        <w:t xml:space="preserve">不接受未填写快递运单的快件。质疑接收部门为</w:t>
      </w:r>
      <w:r>
        <w:rPr>
          <w:rFonts w:hint="eastAsia" w:ascii="宋体" w:hAnsi="宋体" w:eastAsia="宋体" w:cs="宋体"/>
          <w:color w:val="auto"/>
          <w:sz w:val="28"/>
          <w:szCs w:val="28"/>
          <w:highlight w:val="none"/>
          <w:shd w:val="clear" w:color="auto" w:fill="auto"/>
          <w:lang w:val="en-US" w:eastAsia="zh-CN"/>
        </w:rPr>
        <w:t xml:space="preserve">公共资源交易中心业务</w:t>
      </w:r>
      <w:r>
        <w:rPr>
          <w:rFonts w:hint="eastAsia" w:ascii="宋体" w:hAnsi="宋体" w:eastAsia="宋体" w:cs="宋体"/>
          <w:color w:val="auto"/>
          <w:sz w:val="28"/>
          <w:szCs w:val="28"/>
          <w:highlight w:val="none"/>
          <w:shd w:val="clear" w:color="auto" w:fill="auto"/>
        </w:rPr>
        <w:t xml:space="preserve">受理处，联系地址：盐城市府西路1号市公共资源交易中心522，联系电话：0515-86665052。</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29.5以下情形的质疑不予受理</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29.5.1内容不符合《政府采购质疑和投诉办法》第十二条规定的质疑。</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29.5.2超出政府采购法定期限的质疑。</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29.5.3以传真、电子邮件等方式递交的非原件形式的质疑。</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29.5.4未参加投标活动的供应商或在投标活动中自身权益未受到损害的供应商所提出的质疑。</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29.5.5供应商组成联合体参加投标，联合体中任何一方或多方未按要求签字、盖章、加盖公章的质疑。</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有权依据政府采购的有关规定，报请政府采购监管部门对该供应商进行相应的行政处罚和记录该供应商的失信信息。</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rPr>
          <w:rFonts w:hint="eastAsia" w:ascii="黑体" w:hAnsi="宋体" w:eastAsia="黑体" w:cs="黑体"/>
          <w:color w:val="000000"/>
          <w:sz w:val="28"/>
          <w:szCs w:val="28"/>
          <w:highlight w:val="none"/>
          <w:shd w:val="clear" w:color="auto" w:fill="auto"/>
        </w:rPr>
        <w:t xml:space="preserve">30、中标通知书</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30.l中标结果确定后，</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将向中标人发出中标通知书。请中标人在中标结果公告届满之日起30日内,使用CA数字证书</w:t>
      </w:r>
      <w:r>
        <w:rPr>
          <w:rFonts w:hint="eastAsia" w:ascii="宋体" w:hAnsi="宋体" w:eastAsia="宋体" w:cs="宋体"/>
          <w:color w:val="auto"/>
          <w:sz w:val="28"/>
          <w:szCs w:val="28"/>
          <w:highlight w:val="none"/>
          <w:shd w:val="clear" w:color="auto" w:fill="auto"/>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8"/>
          <w:szCs w:val="28"/>
          <w:highlight w:val="none"/>
          <w:shd w:val="clear" w:color="auto" w:fill="auto"/>
        </w:rPr>
        <w:t xml:space="preserve">标人自行承担。</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4"/>
        <w:ind w:left="0" w:firstLine="562"/>
        <w:jc w:val="both"/>
        <w:keepLines/>
        <w:keepNext/>
        <w:pageBreakBefore w:val="0"/>
        <w:spacing w:beforeAutospacing="0" w:afterAutospacing="0" w:line="360" w:lineRule="auto"/>
        <w:widowControl w:val="off"/>
        <w:rPr>
          <w:sz w:val="28"/>
          <w:szCs w:val="28"/>
          <w:highlight w:val="none"/>
          <w:shd w:val="clear" w:color="auto" w:fill="auto"/>
        </w:rPr>
      </w:pPr>
      <w:r/>
      <w:bookmarkStart w:id="154" w:name="_Toc513029236"/>
      <w:r/>
      <w:bookmarkStart w:id="155" w:name="_Toc16938552"/>
      <w:r/>
      <w:bookmarkStart w:id="156" w:name="_Toc120614220"/>
      <w:r/>
      <w:bookmarkStart w:id="157" w:name="_Toc20823308"/>
      <w:r>
        <w:rPr>
          <w:rFonts w:ascii="Times New Roman" w:hAnsi="Times New Roman"/>
          <w:b/>
          <w:color w:val="000000"/>
          <w:sz w:val="28"/>
          <w:szCs w:val="28"/>
          <w:highlight w:val="none"/>
          <w:shd w:val="clear" w:color="auto" w:fill="auto"/>
        </w:rPr>
        <w:t xml:space="preserve">七、授予合同</w:t>
      </w:r>
      <w:bookmarkEnd w:id="154"/>
      <w:r/>
      <w:bookmarkEnd w:id="155"/>
      <w:r/>
      <w:bookmarkEnd w:id="156"/>
      <w:r/>
      <w:bookmarkEnd w:id="157"/>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58" w:name="_Toc16938553"/>
      <w:r/>
      <w:bookmarkStart w:id="159" w:name="_Toc513029237"/>
      <w:r/>
      <w:bookmarkStart w:id="160" w:name="_Toc20823309"/>
      <w:r>
        <w:rPr>
          <w:rFonts w:hint="eastAsia" w:ascii="黑体" w:hAnsi="宋体" w:eastAsia="黑体" w:cs="黑体"/>
          <w:color w:val="000000"/>
          <w:sz w:val="28"/>
          <w:szCs w:val="28"/>
          <w:highlight w:val="none"/>
          <w:shd w:val="clear" w:color="auto" w:fill="auto"/>
        </w:rPr>
        <w:t xml:space="preserve">31. 签订合同</w:t>
      </w:r>
      <w:bookmarkEnd w:id="158"/>
      <w:r/>
      <w:bookmarkEnd w:id="159"/>
      <w:r/>
      <w:bookmarkEnd w:id="160"/>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31.l中标人应当在中标通知书发出之日起三十日内，按照招标文件确定的事项与采购人签订政府采购合同。</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31.2招标文件、中标人的投标文件及招标过程中有关澄清、承诺文件均应作为合同附件。</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31.3签订合同后，</w:t>
      </w:r>
      <w:r>
        <w:rPr>
          <w:rFonts w:hint="eastAsia" w:ascii="宋体" w:hAnsi="宋体" w:eastAsia="宋体" w:cs="宋体"/>
          <w:i/>
          <w:color w:val="000000"/>
          <w:sz w:val="28"/>
          <w:szCs w:val="28"/>
          <w:highlight w:val="none"/>
          <w:u w:val="single"/>
          <w:shd w:val="clear" w:color="auto" w:fill="auto"/>
        </w:rPr>
        <w:t xml:space="preserve">中标人不得将合同标的进行转包</w:t>
      </w:r>
      <w:r>
        <w:rPr>
          <w:rFonts w:hint="eastAsia" w:ascii="宋体" w:hAnsi="宋体" w:eastAsia="宋体" w:cs="宋体"/>
          <w:color w:val="000000"/>
          <w:sz w:val="28"/>
          <w:szCs w:val="28"/>
          <w:highlight w:val="none"/>
          <w:shd w:val="clear" w:color="auto" w:fill="auto"/>
        </w:rPr>
        <w:t xml:space="preserve">。未经采购人同意，中标人也不得采用分包的形式履行合同，否则采购人有权终止合同。转包或分包造成采购人损失的，中标人应承担相应赔偿责任。</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rPr>
          <w:rFonts w:hint="eastAsia" w:ascii="黑体" w:hAnsi="宋体" w:eastAsia="黑体" w:cs="黑体"/>
          <w:color w:val="000000"/>
          <w:sz w:val="28"/>
          <w:szCs w:val="28"/>
          <w:highlight w:val="none"/>
          <w:shd w:val="clear" w:color="auto" w:fill="auto"/>
        </w:rPr>
        <w:t xml:space="preserve">32、货物（包含与货物相关的服务）的追加</w:t>
      </w:r>
      <w:r/>
    </w:p>
    <w:p>
      <w:pPr>
        <w:pStyle w:val="864"/>
        <w:ind w:left="0" w:firstLine="560"/>
        <w:jc w:val="both"/>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4"/>
        <w:ind w:left="0" w:firstLine="560"/>
        <w:jc w:val="both"/>
        <w:keepLines/>
        <w:keepNext/>
        <w:pageBreakBefore w:val="0"/>
        <w:spacing w:beforeAutospacing="0" w:afterAutospacing="0" w:line="360" w:lineRule="auto"/>
        <w:widowControl w:val="off"/>
        <w:rPr>
          <w:sz w:val="28"/>
          <w:szCs w:val="28"/>
          <w:highlight w:val="none"/>
          <w:shd w:val="clear" w:color="auto" w:fill="auto"/>
        </w:rPr>
      </w:pPr>
      <w:r/>
      <w:bookmarkStart w:id="161" w:name="_Toc120614221"/>
      <w:r/>
      <w:bookmarkStart w:id="162" w:name="_Toc20823314"/>
      <w:r/>
      <w:bookmarkStart w:id="163" w:name="_Toc513029242"/>
      <w:r/>
      <w:bookmarkStart w:id="164" w:name="_Toc479757207"/>
      <w:r/>
      <w:bookmarkStart w:id="165" w:name="_Toc16938558"/>
      <w:r>
        <w:rPr>
          <w:rFonts w:hint="eastAsia" w:ascii="黑体" w:hAnsi="宋体" w:eastAsia="黑体" w:cs="黑体"/>
          <w:color w:val="000000"/>
          <w:sz w:val="28"/>
          <w:szCs w:val="28"/>
          <w:highlight w:val="none"/>
          <w:shd w:val="clear" w:color="auto" w:fill="auto"/>
        </w:rPr>
        <w:t xml:space="preserve">33、</w:t>
      </w:r>
      <w:bookmarkEnd w:id="161"/>
      <w:r/>
      <w:bookmarkEnd w:id="162"/>
      <w:r/>
      <w:bookmarkEnd w:id="163"/>
      <w:r/>
      <w:bookmarkEnd w:id="164"/>
      <w:r/>
      <w:bookmarkEnd w:id="165"/>
      <w:r>
        <w:rPr>
          <w:rFonts w:hint="eastAsia" w:ascii="黑体" w:hAnsi="宋体" w:eastAsia="黑体" w:cs="黑体"/>
          <w:color w:val="000000"/>
          <w:sz w:val="28"/>
          <w:szCs w:val="28"/>
          <w:highlight w:val="none"/>
          <w:shd w:val="clear" w:color="auto" w:fill="auto"/>
        </w:rPr>
        <w:t xml:space="preserve">政府采购</w:t>
      </w:r>
      <w:r>
        <w:rPr>
          <w:rFonts w:hint="eastAsia" w:ascii="黑体" w:hAnsi="宋体" w:eastAsia="黑体" w:cs="黑体"/>
          <w:color w:val="000000"/>
          <w:sz w:val="28"/>
          <w:szCs w:val="28"/>
          <w:highlight w:val="none"/>
          <w:shd w:val="clear" w:color="auto" w:fill="auto"/>
          <w:lang w:eastAsia="zh-CN"/>
        </w:rPr>
        <w:t xml:space="preserve">线上合同信用融资</w:t>
      </w:r>
      <w:r>
        <w:rPr>
          <w:rFonts w:hint="eastAsia" w:ascii="黑体" w:hAnsi="宋体" w:eastAsia="黑体" w:cs="黑体"/>
          <w:color w:val="000000"/>
          <w:sz w:val="28"/>
          <w:szCs w:val="28"/>
          <w:highlight w:val="none"/>
          <w:shd w:val="clear" w:color="auto" w:fill="auto"/>
        </w:rPr>
        <w:t xml:space="preserve">政策</w:t>
      </w:r>
      <w:r/>
    </w:p>
    <w:p>
      <w:pPr>
        <w:pStyle w:val="864"/>
        <w:ind w:left="0" w:firstLine="560"/>
        <w:keepNext/>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根据《转发江苏省财政厅 中国人民银行南京分行&lt;关于深入推进政府采购线上合同信用融资工作的通知&gt;的通知》（盐财购〔2021〕20号）规定，中标供</w:t>
      </w:r>
      <w:r>
        <w:rPr>
          <w:rFonts w:hint="eastAsia" w:ascii="宋体" w:hAnsi="宋体" w:eastAsia="宋体" w:cs="宋体"/>
          <w:color w:val="000000"/>
          <w:sz w:val="28"/>
          <w:szCs w:val="28"/>
          <w:highlight w:val="none"/>
          <w:shd w:val="clear" w:color="auto" w:fill="auto"/>
        </w:rPr>
        <w:t xml:space="preserve">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8"/>
          <w:szCs w:val="28"/>
          <w:highlight w:val="none"/>
          <w:shd w:val="clear" w:color="auto" w:fill="auto"/>
        </w:rPr>
        <w:t xml:space="preserve">具体操作流程请参考苏采云系统中供应商操作手册</w:t>
      </w:r>
      <w:r>
        <w:rPr>
          <w:rFonts w:ascii="宋体" w:hAnsi="宋体" w:eastAsia="宋体" w:cs="宋体"/>
          <w:sz w:val="28"/>
          <w:szCs w:val="28"/>
          <w:highlight w:val="none"/>
          <w:shd w:val="clear" w:color="auto" w:fill="auto"/>
        </w:rPr>
        <w:t xml:space="preserve">。</w:t>
      </w:r>
      <w:r>
        <w:rPr>
          <w:sz w:val="28"/>
          <w:szCs w:val="28"/>
          <w:highlight w:val="none"/>
          <w:shd w:val="clear" w:color="auto" w:fill="auto"/>
        </w:rPr>
        <w:t xml:space="preserve"> </w:t>
      </w:r>
      <w:r/>
    </w:p>
    <w:p>
      <w:pPr>
        <w:pStyle w:val="864"/>
        <w:ind w:left="0" w:firstLine="560"/>
        <w:jc w:val="both"/>
        <w:pageBreakBefore w:val="0"/>
        <w:spacing w:beforeAutospacing="0" w:afterAutospacing="0" w:line="360" w:lineRule="auto"/>
        <w:widowControl w:val="off"/>
        <w:rPr>
          <w:rFonts w:hint="eastAsia" w:eastAsia="黑体"/>
          <w:sz w:val="28"/>
          <w:szCs w:val="28"/>
          <w:highlight w:val="none"/>
          <w:shd w:val="clear" w:color="auto" w:fill="auto"/>
          <w:lang w:eastAsia="zh-CN"/>
        </w:rPr>
      </w:pPr>
      <w:r>
        <w:rPr>
          <w:sz w:val="28"/>
          <w:szCs w:val="28"/>
          <w:highlight w:val="none"/>
          <w:shd w:val="clear" w:color="auto" w:fill="auto"/>
        </w:rPr>
        <w:t xml:space="preserve"> </w:t>
      </w:r>
      <w:r>
        <w:rPr>
          <w:rFonts w:hint="eastAsia" w:ascii="黑体" w:hAnsi="宋体" w:eastAsia="黑体" w:cs="黑体"/>
          <w:color w:val="000000"/>
          <w:sz w:val="28"/>
          <w:szCs w:val="28"/>
          <w:highlight w:val="none"/>
          <w:shd w:val="clear" w:color="auto" w:fill="auto"/>
        </w:rPr>
        <w:t xml:space="preserve">3</w:t>
      </w:r>
      <w:r>
        <w:rPr>
          <w:rFonts w:hint="eastAsia" w:ascii="黑体" w:hAnsi="宋体" w:eastAsia="黑体" w:cs="黑体"/>
          <w:color w:val="000000"/>
          <w:sz w:val="28"/>
          <w:szCs w:val="28"/>
          <w:highlight w:val="none"/>
          <w:shd w:val="clear" w:color="auto" w:fill="auto"/>
          <w:lang w:val="en-US" w:eastAsia="zh-CN"/>
        </w:rPr>
        <w:t xml:space="preserve">4</w:t>
      </w:r>
      <w:r>
        <w:rPr>
          <w:rFonts w:hint="eastAsia" w:ascii="黑体" w:hAnsi="宋体" w:eastAsia="黑体" w:cs="黑体"/>
          <w:color w:val="000000"/>
          <w:sz w:val="28"/>
          <w:szCs w:val="28"/>
          <w:highlight w:val="none"/>
          <w:shd w:val="clear" w:color="auto" w:fill="auto"/>
        </w:rPr>
        <w:t xml:space="preserve">、</w:t>
      </w:r>
      <w:r>
        <w:rPr>
          <w:rFonts w:hint="eastAsia" w:ascii="黑体" w:hAnsi="宋体" w:eastAsia="黑体" w:cs="黑体"/>
          <w:color w:val="000000"/>
          <w:sz w:val="28"/>
          <w:szCs w:val="28"/>
          <w:highlight w:val="none"/>
          <w:shd w:val="clear" w:color="auto" w:fill="auto"/>
          <w:lang w:eastAsia="zh-CN"/>
        </w:rPr>
        <w:t xml:space="preserve">其他</w:t>
      </w:r>
      <w:r/>
    </w:p>
    <w:p>
      <w:pPr>
        <w:ind w:left="0" w:firstLine="560"/>
        <w:pageBreakBefore w:val="0"/>
        <w:spacing w:line="360" w:lineRule="auto"/>
        <w:widowControl w:val="off"/>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bidi="ar-SA"/>
          <w14:textFill>
            <w14:solidFill>
              <w14:schemeClr w14:val="tx1"/>
            </w14:solidFill>
          </w14:textFill>
        </w:rPr>
        <w:t xml:space="preserve">34.1</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财办库〔2020〕123号</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执行。</w:t>
      </w:r>
      <w:r/>
    </w:p>
    <w:p>
      <w:pPr>
        <w:ind w:left="0" w:firstLine="560"/>
        <w:pageBreakBefore w:val="0"/>
        <w:spacing w:line="360" w:lineRule="auto"/>
        <w:widowControl w:val="off"/>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34.2</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本文件中若涉及到数据中心采购，应按照《&lt;绿色数据中心政府采购需求标准（试行）&gt;的通知》（财库〔2023〕7号）执行。</w:t>
      </w:r>
      <w:r/>
    </w:p>
    <w:p>
      <w:pPr>
        <w:pStyle w:val="864"/>
        <w:ind w:left="0" w:firstLine="560"/>
        <w:jc w:val="both"/>
        <w:pageBreakBefore w:val="0"/>
        <w:spacing w:beforeAutospacing="0" w:afterAutospacing="0" w:line="360" w:lineRule="auto"/>
        <w:widowControl w:val="off"/>
        <w:rPr>
          <w:rFonts w:hint="eastAsia" w:ascii="宋体" w:hAnsi="宋体" w:eastAsia="宋体" w:cs="宋体"/>
          <w:color w:val="000000"/>
          <w:sz w:val="28"/>
          <w:szCs w:val="28"/>
          <w:highlight w:val="none"/>
          <w:shd w:val="clear" w:color="auto" w:fill="auto"/>
          <w:lang w:val="en-US" w:eastAsia="zh-CN"/>
        </w:rPr>
      </w:pPr>
      <w:r>
        <w:rPr>
          <w:rFonts w:hint="eastAsia" w:ascii="宋体" w:hAnsi="宋体" w:eastAsia="宋体" w:cs="宋体"/>
          <w:color w:val="000000"/>
          <w:sz w:val="28"/>
          <w:szCs w:val="28"/>
          <w:highlight w:val="none"/>
          <w:shd w:val="clear" w:color="auto" w:fill="auto"/>
          <w:lang w:val="en-US" w:eastAsia="zh-CN"/>
        </w:rPr>
        <w:t xml:space="preserve">34.3本项目落实预付款制度，预付款比例为</w:t>
      </w:r>
      <w:r>
        <w:rPr>
          <w:rFonts w:hint="eastAsia" w:ascii="宋体" w:hAnsi="宋体" w:eastAsia="宋体" w:cs="宋体"/>
          <w:color w:val="000000"/>
          <w:sz w:val="28"/>
          <w:szCs w:val="28"/>
          <w:highlight w:val="none"/>
          <w:u w:val="single"/>
          <w:shd w:val="clear" w:color="auto" w:fill="auto"/>
          <w:lang w:val="en-US" w:eastAsia="zh-CN"/>
        </w:rPr>
        <w:t xml:space="preserve">30</w:t>
      </w:r>
      <w:r>
        <w:rPr>
          <w:rFonts w:hint="eastAsia" w:ascii="宋体" w:hAnsi="宋体" w:eastAsia="宋体" w:cs="宋体"/>
          <w:color w:val="000000"/>
          <w:sz w:val="28"/>
          <w:szCs w:val="28"/>
          <w:highlight w:val="none"/>
          <w:shd w:val="clear" w:color="auto" w:fill="auto"/>
          <w:lang w:val="en-US" w:eastAsia="zh-CN"/>
        </w:rPr>
        <w:t xml:space="preserve">%。在签订合同时，中标、成交供应商明确书面表示无需预付款或者主动要求降低预付款比例的，采购人可就预付款比例作相应调整。</w:t>
      </w:r>
      <w:r/>
    </w:p>
    <w:p>
      <w:pPr>
        <w:pStyle w:val="864"/>
        <w:ind w:left="0" w:firstLine="560"/>
        <w:jc w:val="both"/>
        <w:pageBreakBefore w:val="0"/>
        <w:spacing w:beforeAutospacing="0" w:afterAutospacing="0" w:line="360" w:lineRule="auto"/>
        <w:widowControl w:val="off"/>
        <w:rPr>
          <w:rFonts w:hint="eastAsia" w:ascii="宋体" w:hAnsi="宋体" w:eastAsia="宋体" w:cs="宋体"/>
          <w:color w:val="000000"/>
          <w:sz w:val="28"/>
          <w:szCs w:val="28"/>
          <w:highlight w:val="none"/>
          <w:shd w:val="clear" w:color="auto" w:fill="auto"/>
          <w:lang w:val="en-US" w:eastAsia="zh-CN"/>
        </w:rPr>
      </w:pPr>
      <w:r>
        <w:rPr>
          <w:rFonts w:hint="eastAsia" w:ascii="宋体" w:hAnsi="宋体" w:eastAsia="宋体" w:cs="宋体"/>
          <w:color w:val="000000"/>
          <w:sz w:val="28"/>
          <w:szCs w:val="28"/>
          <w:highlight w:val="none"/>
          <w:shd w:val="clear" w:color="auto" w:fill="auto"/>
          <w:lang w:val="en-US" w:eastAsia="zh-CN"/>
        </w:rPr>
        <w:t xml:space="preserve">34.4 确需收取履约保证金的，履约保证金的缴纳形式：</w:t>
      </w:r>
      <w:r/>
    </w:p>
    <w:p>
      <w:pPr>
        <w:pStyle w:val="864"/>
        <w:ind w:left="0" w:firstLine="560"/>
        <w:jc w:val="both"/>
        <w:pageBreakBefore w:val="0"/>
        <w:spacing w:beforeAutospacing="0" w:afterAutospacing="0" w:line="360" w:lineRule="auto"/>
        <w:widowControl w:val="off"/>
        <w:rPr>
          <w:rFonts w:hint="eastAsia" w:ascii="宋体" w:hAnsi="宋体" w:eastAsia="宋体" w:cs="宋体"/>
          <w:color w:val="000000"/>
          <w:sz w:val="28"/>
          <w:szCs w:val="28"/>
          <w:highlight w:val="none"/>
          <w:shd w:val="clear" w:color="auto" w:fill="auto"/>
          <w:lang w:val="en-US" w:eastAsia="zh-CN"/>
        </w:rPr>
      </w:pPr>
      <w:r>
        <w:rPr>
          <w:rFonts w:hint="eastAsia" w:ascii="宋体" w:hAnsi="宋体" w:eastAsia="宋体" w:cs="宋体"/>
          <w:color w:val="000000"/>
          <w:sz w:val="28"/>
          <w:szCs w:val="28"/>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4"/>
        <w:ind w:left="0" w:firstLine="560"/>
        <w:jc w:val="both"/>
        <w:pageBreakBefore w:val="0"/>
        <w:spacing w:beforeAutospacing="0" w:afterAutospacing="0" w:line="360" w:lineRule="auto"/>
        <w:widowControl w:val="off"/>
        <w:rPr>
          <w:rFonts w:hint="eastAsia" w:ascii="宋体" w:hAnsi="宋体" w:eastAsia="宋体" w:cs="宋体"/>
          <w:color w:val="000000"/>
          <w:sz w:val="28"/>
          <w:szCs w:val="28"/>
          <w:highlight w:val="none"/>
          <w:shd w:val="clear" w:color="auto" w:fill="auto"/>
          <w:lang w:val="en-US" w:eastAsia="zh-CN"/>
        </w:rPr>
      </w:pPr>
      <w:r>
        <w:rPr>
          <w:rFonts w:hint="eastAsia" w:ascii="宋体" w:hAnsi="宋体" w:eastAsia="宋体" w:cs="宋体"/>
          <w:color w:val="000000"/>
          <w:sz w:val="28"/>
          <w:szCs w:val="28"/>
          <w:highlight w:val="none"/>
          <w:shd w:val="clear" w:color="auto" w:fill="auto"/>
          <w:lang w:val="en-US" w:eastAsia="zh-CN"/>
        </w:rPr>
        <w:t xml:space="preserve"> 如以履约保函（保险）形式缴纳履约保证金，供应商可通过政府采购电子履约保函（保险）平台（www.jsdzbh.com）在线申请履约保函（保险）。</w:t>
      </w:r>
      <w:r/>
    </w:p>
    <w:p>
      <w:pPr>
        <w:ind w:left="0" w:firstLine="560"/>
        <w:pageBreakBefore w:val="0"/>
        <w:spacing w:line="360" w:lineRule="auto"/>
        <w:widowControl w:val="off"/>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pStyle w:val="864"/>
        <w:ind w:firstLine="480"/>
        <w:jc w:val="both"/>
        <w:spacing w:beforeAutospacing="0" w:afterAutospacing="0"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w:t>
      </w:r>
      <w:r/>
    </w:p>
    <w:p>
      <w:pPr>
        <w:pStyle w:val="864"/>
        <w:ind w:firstLine="480"/>
        <w:jc w:val="both"/>
        <w:spacing w:beforeAutospacing="0" w:afterAutospacing="0"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jc w:val="center"/>
        <w:spacing w:line="360" w:lineRule="auto"/>
        <w:widowControl/>
        <w:rPr>
          <w:rFonts w:ascii="宋体" w:hAnsi="宋体" w:cs="宋体"/>
          <w:b/>
          <w:sz w:val="28"/>
          <w:szCs w:val="28"/>
          <w:highlight w:val="none"/>
          <w:shd w:val="clear" w:color="auto" w:fill="auto"/>
        </w:rPr>
      </w:pPr>
      <w:r>
        <w:rPr>
          <w:sz w:val="28"/>
          <w:szCs w:val="28"/>
          <w:highlight w:val="none"/>
          <w:shd w:val="clear" w:color="auto" w:fill="auto"/>
        </w:rPr>
        <w:t xml:space="preserve"> </w:t>
      </w:r>
      <w:bookmarkStart w:id="166" w:name="_Toc479757211"/>
      <w:r/>
      <w:bookmarkStart w:id="167" w:name="_Hlt16619350"/>
      <w:r/>
      <w:bookmarkStart w:id="168" w:name="_Toc462564139"/>
      <w:r/>
      <w:bookmarkStart w:id="169" w:name="_Toc16938590"/>
      <w:r/>
      <w:bookmarkStart w:id="170" w:name="_Toc20823346"/>
      <w:r/>
      <w:bookmarkStart w:id="171" w:name="_Toc120614244"/>
      <w:r/>
      <w:bookmarkStart w:id="172" w:name="_Hlt16619369"/>
      <w:r>
        <w:rPr>
          <w:rFonts w:hint="eastAsia" w:ascii="宋体" w:hAnsi="宋体" w:cs="宋体"/>
          <w:b/>
          <w:sz w:val="28"/>
          <w:szCs w:val="28"/>
          <w:highlight w:val="none"/>
          <w:shd w:val="clear" w:color="auto" w:fill="auto"/>
        </w:rPr>
        <w:t xml:space="preserve">第三</w:t>
      </w:r>
      <w:r>
        <w:rPr>
          <w:rFonts w:hint="eastAsia" w:ascii="宋体" w:hAnsi="宋体" w:cs="宋体"/>
          <w:b/>
          <w:sz w:val="28"/>
          <w:szCs w:val="28"/>
          <w:highlight w:val="none"/>
          <w:shd w:val="clear" w:color="auto" w:fill="auto"/>
          <w:lang w:eastAsia="zh-CN"/>
        </w:rPr>
        <w:t xml:space="preserve">章</w:t>
      </w:r>
      <w:r>
        <w:rPr>
          <w:rFonts w:hint="eastAsia" w:ascii="宋体" w:hAnsi="宋体" w:cs="宋体"/>
          <w:b/>
          <w:sz w:val="28"/>
          <w:szCs w:val="28"/>
          <w:highlight w:val="none"/>
          <w:shd w:val="clear" w:color="auto" w:fill="auto"/>
        </w:rPr>
        <w:t xml:space="preserve">  合同条款</w:t>
      </w:r>
      <w:r/>
    </w:p>
    <w:p>
      <w:pPr>
        <w:spacing w:line="360" w:lineRule="auto"/>
        <w:rPr>
          <w:rFonts w:ascii="宋体" w:hAnsi="宋体" w:cs="宋体"/>
          <w:sz w:val="28"/>
          <w:szCs w:val="28"/>
          <w:highlight w:val="none"/>
          <w:shd w:val="clear" w:color="auto" w:fill="auto"/>
        </w:rPr>
      </w:pPr>
      <w:r/>
      <w:bookmarkStart w:id="173" w:name="EB6d2006462e294de090c16e672cecc3bd"/>
      <w:r/>
      <w:bookmarkEnd w:id="173"/>
      <w:r/>
      <w:r/>
    </w:p>
    <w:p>
      <w:pPr>
        <w:jc w:val="center"/>
        <w:spacing w:line="360" w:lineRule="auto"/>
        <w:rPr>
          <w:rFonts w:ascii="宋体" w:hAnsi="宋体" w:cs="宋体"/>
          <w:b/>
          <w:bCs/>
          <w:spacing w:val="-20"/>
          <w:sz w:val="28"/>
          <w:szCs w:val="28"/>
          <w:highlight w:val="none"/>
          <w:shd w:val="clear" w:color="auto" w:fill="auto"/>
        </w:rPr>
      </w:pPr>
      <w:r/>
      <w:bookmarkStart w:id="174" w:name="_Toc3995"/>
      <w:r/>
      <w:r/>
    </w:p>
    <w:p>
      <w:pPr>
        <w:jc w:val="center"/>
        <w:spacing w:line="360" w:lineRule="auto"/>
        <w:rPr>
          <w:rFonts w:ascii="宋体" w:hAnsi="宋体" w:cs="宋体"/>
          <w:b/>
          <w:bCs/>
          <w:spacing w:val="-20"/>
          <w:sz w:val="28"/>
          <w:szCs w:val="28"/>
          <w:highlight w:val="none"/>
          <w:shd w:val="clear" w:color="auto" w:fill="auto"/>
        </w:rPr>
      </w:pPr>
      <w:r>
        <w:rPr>
          <w:rFonts w:ascii="宋体" w:hAnsi="宋体" w:cs="宋体"/>
          <w:b/>
          <w:bCs/>
          <w:spacing w:val="-20"/>
          <w:sz w:val="28"/>
          <w:szCs w:val="28"/>
          <w:highlight w:val="none"/>
          <w:shd w:val="clear" w:color="auto" w:fill="auto"/>
        </w:rPr>
      </w:r>
      <w:r/>
    </w:p>
    <w:p>
      <w:pPr>
        <w:jc w:val="center"/>
        <w:spacing w:line="360" w:lineRule="auto"/>
        <w:rPr>
          <w:rFonts w:ascii="宋体" w:hAnsi="宋体" w:cs="宋体"/>
          <w:b/>
          <w:bCs/>
          <w:spacing w:val="-20"/>
          <w:sz w:val="28"/>
          <w:szCs w:val="28"/>
          <w:highlight w:val="none"/>
          <w:shd w:val="clear" w:color="auto" w:fill="auto"/>
        </w:rPr>
      </w:pPr>
      <w:r>
        <w:rPr>
          <w:rFonts w:ascii="宋体" w:hAnsi="宋体" w:cs="宋体"/>
          <w:b/>
          <w:bCs/>
          <w:spacing w:val="-20"/>
          <w:sz w:val="28"/>
          <w:szCs w:val="28"/>
          <w:highlight w:val="none"/>
          <w:shd w:val="clear" w:color="auto" w:fill="auto"/>
        </w:rPr>
      </w:r>
      <w:r/>
    </w:p>
    <w:p>
      <w:pPr>
        <w:jc w:val="center"/>
        <w:spacing w:line="360" w:lineRule="auto"/>
        <w:rPr>
          <w:rFonts w:ascii="宋体" w:hAnsi="宋体" w:cs="宋体"/>
          <w:b/>
          <w:bCs/>
          <w:spacing w:val="-20"/>
          <w:sz w:val="28"/>
          <w:szCs w:val="28"/>
          <w:highlight w:val="none"/>
          <w:shd w:val="clear" w:color="auto" w:fill="auto"/>
        </w:rPr>
      </w:pPr>
      <w:r>
        <w:rPr>
          <w:rFonts w:ascii="宋体" w:hAnsi="宋体" w:cs="宋体"/>
          <w:b/>
          <w:bCs/>
          <w:spacing w:val="-20"/>
          <w:sz w:val="28"/>
          <w:szCs w:val="28"/>
          <w:highlight w:val="none"/>
          <w:shd w:val="clear" w:color="auto" w:fill="auto"/>
        </w:rPr>
      </w:r>
      <w:r/>
    </w:p>
    <w:p>
      <w:pPr>
        <w:jc w:val="center"/>
        <w:spacing w:line="360" w:lineRule="auto"/>
        <w:rPr>
          <w:rFonts w:ascii="宋体" w:hAnsi="宋体" w:cs="宋体"/>
          <w:sz w:val="28"/>
          <w:szCs w:val="28"/>
          <w:highlight w:val="none"/>
          <w:shd w:val="clear" w:color="auto" w:fill="auto"/>
        </w:rPr>
      </w:pPr>
      <w:r>
        <w:rPr>
          <w:rFonts w:ascii="宋体" w:hAnsi="宋体" w:cs="宋体"/>
          <w:sz w:val="28"/>
          <w:szCs w:val="28"/>
          <w:highlight w:val="none"/>
          <w:shd w:val="clear" w:color="auto" w:fill="auto"/>
        </w:rPr>
      </w:r>
      <w:r/>
    </w:p>
    <w:p>
      <w:pPr>
        <w:jc w:val="center"/>
        <w:spacing w:line="360" w:lineRule="auto"/>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政府采购货物买卖合同</w:t>
      </w:r>
      <w:r/>
    </w:p>
    <w:p>
      <w:pPr>
        <w:jc w:val="center"/>
        <w:spacing w:line="360" w:lineRule="auto"/>
        <w:rPr>
          <w:rFonts w:ascii="宋体" w:hAnsi="宋体" w:cs="宋体"/>
          <w:sz w:val="28"/>
          <w:szCs w:val="28"/>
          <w:highlight w:val="none"/>
          <w:shd w:val="clear" w:color="auto" w:fill="auto"/>
        </w:rPr>
      </w:pPr>
      <w:r>
        <w:rPr>
          <w:rFonts w:ascii="宋体" w:hAnsi="宋体" w:cs="宋体"/>
          <w:sz w:val="28"/>
          <w:szCs w:val="28"/>
          <w:highlight w:val="none"/>
          <w:shd w:val="clear" w:color="auto" w:fill="auto"/>
        </w:rPr>
      </w:r>
      <w:r/>
    </w:p>
    <w:p>
      <w:pPr>
        <w:spacing w:line="360" w:lineRule="auto"/>
        <w:rPr>
          <w:rFonts w:ascii="宋体" w:hAnsi="宋体" w:cs="宋体"/>
          <w:sz w:val="28"/>
          <w:szCs w:val="28"/>
          <w:highlight w:val="none"/>
          <w:shd w:val="clear" w:color="auto" w:fill="auto"/>
        </w:rPr>
      </w:pPr>
      <w:r>
        <w:rPr>
          <w:rFonts w:ascii="宋体" w:hAnsi="宋体" w:cs="宋体"/>
          <w:sz w:val="28"/>
          <w:szCs w:val="28"/>
          <w:highlight w:val="none"/>
          <w:shd w:val="clear" w:color="auto" w:fill="auto"/>
        </w:rPr>
      </w:r>
      <w:r/>
    </w:p>
    <w:p>
      <w:pPr>
        <w:spacing w:line="360" w:lineRule="auto"/>
        <w:rPr>
          <w:rFonts w:ascii="宋体" w:hAnsi="宋体" w:cs="宋体"/>
          <w:sz w:val="28"/>
          <w:szCs w:val="28"/>
          <w:highlight w:val="none"/>
          <w:shd w:val="clear" w:color="auto" w:fill="auto"/>
        </w:rPr>
      </w:pPr>
      <w:r>
        <w:rPr>
          <w:rFonts w:ascii="宋体" w:hAnsi="宋体" w:cs="宋体"/>
          <w:sz w:val="28"/>
          <w:szCs w:val="28"/>
          <w:highlight w:val="none"/>
          <w:shd w:val="clear" w:color="auto" w:fill="auto"/>
        </w:rPr>
      </w:r>
      <w:r/>
    </w:p>
    <w:p>
      <w:pPr>
        <w:spacing w:line="360" w:lineRule="auto"/>
        <w:rPr>
          <w:rFonts w:ascii="宋体" w:hAnsi="宋体" w:cs="宋体"/>
          <w:sz w:val="28"/>
          <w:szCs w:val="28"/>
          <w:highlight w:val="none"/>
          <w:shd w:val="clear" w:color="auto" w:fill="auto"/>
        </w:rPr>
      </w:pPr>
      <w:r>
        <w:rPr>
          <w:rFonts w:ascii="宋体" w:hAnsi="宋体" w:cs="宋体"/>
          <w:sz w:val="28"/>
          <w:szCs w:val="28"/>
          <w:highlight w:val="none"/>
          <w:shd w:val="clear" w:color="auto" w:fill="auto"/>
        </w:rPr>
      </w:r>
      <w:r/>
    </w:p>
    <w:p>
      <w:pPr>
        <w:ind w:left="420"/>
        <w:spacing w:line="360" w:lineRule="auto"/>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项目名称：</w:t>
      </w:r>
      <w:r/>
    </w:p>
    <w:p>
      <w:pPr>
        <w:ind w:left="420"/>
        <w:spacing w:line="360" w:lineRule="auto"/>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合同编号：</w:t>
      </w:r>
      <w:r/>
    </w:p>
    <w:p>
      <w:pPr>
        <w:ind w:left="420"/>
        <w:spacing w:line="360" w:lineRule="auto"/>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甲    方：</w:t>
      </w:r>
      <w:r/>
    </w:p>
    <w:p>
      <w:pPr>
        <w:ind w:left="420"/>
        <w:spacing w:line="360" w:lineRule="auto"/>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乙    方：</w:t>
      </w:r>
      <w:r/>
    </w:p>
    <w:p>
      <w:pPr>
        <w:ind w:left="420"/>
        <w:spacing w:line="360" w:lineRule="auto"/>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签订时间：</w:t>
      </w:r>
      <w:r/>
    </w:p>
    <w:p>
      <w:pPr>
        <w:spacing w:line="360" w:lineRule="auto"/>
        <w:rPr>
          <w:sz w:val="28"/>
          <w:szCs w:val="28"/>
          <w:highlight w:val="none"/>
          <w:shd w:val="clear" w:color="auto" w:fill="auto"/>
        </w:rPr>
      </w:pPr>
      <w:r>
        <w:rPr>
          <w:sz w:val="28"/>
          <w:szCs w:val="28"/>
          <w:highlight w:val="none"/>
          <w:shd w:val="clear" w:color="auto" w:fill="auto"/>
        </w:rPr>
      </w:r>
      <w:r/>
    </w:p>
    <w:p>
      <w:pPr>
        <w:spacing w:line="360" w:lineRule="auto"/>
        <w:rPr>
          <w:rFonts w:eastAsia="黑体"/>
          <w:sz w:val="28"/>
          <w:szCs w:val="28"/>
          <w:highlight w:val="none"/>
          <w:shd w:val="clear" w:color="auto" w:fill="auto"/>
        </w:rPr>
      </w:pPr>
      <w:r>
        <w:rPr>
          <w:rFonts w:eastAsia="黑体"/>
          <w:sz w:val="28"/>
          <w:szCs w:val="28"/>
          <w:highlight w:val="none"/>
          <w:shd w:val="clear" w:color="auto" w:fill="auto"/>
        </w:rPr>
        <w:br w:type="page" w:clear="all"/>
      </w:r>
      <w:r/>
    </w:p>
    <w:p>
      <w:pPr>
        <w:jc w:val="center"/>
        <w:spacing w:line="360" w:lineRule="auto"/>
        <w:rPr>
          <w:rFonts w:eastAsia="黑体"/>
          <w:sz w:val="28"/>
          <w:szCs w:val="28"/>
          <w:highlight w:val="none"/>
          <w:shd w:val="clear" w:color="auto" w:fill="auto"/>
        </w:rPr>
      </w:pPr>
      <w:r>
        <w:rPr>
          <w:rFonts w:hint="eastAsia" w:eastAsia="黑体"/>
          <w:sz w:val="28"/>
          <w:szCs w:val="28"/>
          <w:highlight w:val="none"/>
          <w:shd w:val="clear" w:color="auto" w:fill="auto"/>
        </w:rPr>
        <w:t xml:space="preserve">使用说明</w:t>
      </w:r>
      <w:r/>
    </w:p>
    <w:p>
      <w:pPr>
        <w:ind w:firstLine="640"/>
        <w:spacing w:line="360" w:lineRule="auto"/>
        <w:rPr>
          <w:rFonts w:ascii="仿宋_GB2312" w:hAnsi="仿宋_GB2312" w:eastAsia="仿宋_GB2312" w:cs="仿宋_GB2312"/>
          <w:sz w:val="28"/>
          <w:szCs w:val="28"/>
          <w:highlight w:val="none"/>
          <w:shd w:val="clear" w:color="auto" w:fill="auto"/>
        </w:rPr>
      </w:pPr>
      <w:r>
        <w:rPr>
          <w:rFonts w:ascii="仿宋_GB2312" w:hAnsi="仿宋_GB2312" w:eastAsia="仿宋_GB2312" w:cs="仿宋_GB2312"/>
          <w:sz w:val="28"/>
          <w:szCs w:val="28"/>
          <w:highlight w:val="none"/>
          <w:shd w:val="clear" w:color="auto" w:fill="auto"/>
        </w:rPr>
      </w:r>
      <w:r/>
    </w:p>
    <w:p>
      <w:pPr>
        <w:ind w:firstLine="560"/>
        <w:keepLines w:val="0"/>
        <w:keepNext w:val="0"/>
        <w:pageBreakBefore w:val="0"/>
        <w:spacing w:line="360" w:lineRule="auto"/>
        <w:widowControl w:val="off"/>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1.本合同标准文本适用于购买现成货物的采购项目，不包括需要供应商定制开发、创新研发的货物采购项目。</w:t>
      </w:r>
      <w:r/>
    </w:p>
    <w:p>
      <w:pPr>
        <w:ind w:firstLine="560"/>
        <w:keepLines w:val="0"/>
        <w:keepNext w:val="0"/>
        <w:pageBreakBefore w:val="0"/>
        <w:spacing w:line="360" w:lineRule="auto"/>
        <w:widowControl w:val="off"/>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360" w:lineRule="auto"/>
        <w:widowControl w:val="off"/>
        <w:rPr>
          <w:rFonts w:hint="eastAsia" w:ascii="宋体" w:hAnsi="宋体" w:eastAsia="宋体" w:cs="宋体"/>
          <w:sz w:val="28"/>
          <w:szCs w:val="28"/>
          <w:highlight w:val="none"/>
          <w:shd w:val="clear" w:color="auto" w:fill="auto"/>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8"/>
          <w:szCs w:val="28"/>
          <w:highlight w:val="none"/>
          <w:shd w:val="clear" w:color="auto" w:fill="auto"/>
        </w:rPr>
        <w:t xml:space="preserve">3.本合同标准文本各条款中，如涉及填写多家供应商、制造商，多种采购标的、分包主要内容等信息的，可根据采购项目具体情况添加信息项。</w:t>
      </w:r>
      <w:bookmarkEnd w:id="174"/>
      <w:r/>
      <w:r/>
    </w:p>
    <w:p>
      <w:pPr>
        <w:jc w:val="both"/>
        <w:keepLines/>
        <w:keepNext/>
        <w:spacing w:line="360" w:lineRule="auto"/>
        <w:rPr>
          <w:rFonts w:ascii="黑体" w:hAnsi="黑体" w:eastAsia="黑体"/>
          <w:b/>
          <w:bCs/>
          <w:sz w:val="28"/>
          <w:szCs w:val="28"/>
          <w:highlight w:val="none"/>
          <w:shd w:val="clear" w:color="auto" w:fill="auto"/>
        </w:rPr>
        <w:outlineLvl w:val="1"/>
      </w:pPr>
      <w:r/>
      <w:bookmarkStart w:id="175" w:name="_Toc22209"/>
      <w:r/>
      <w:r/>
    </w:p>
    <w:p>
      <w:pPr>
        <w:jc w:val="center"/>
        <w:keepLines/>
        <w:keepNext/>
        <w:spacing w:line="360" w:lineRule="auto"/>
        <w:rPr>
          <w:rFonts w:ascii="黑体" w:hAnsi="华文中宋" w:eastAsia="黑体"/>
          <w:sz w:val="28"/>
          <w:szCs w:val="28"/>
          <w:highlight w:val="none"/>
          <w:shd w:val="clear" w:color="auto" w:fill="auto"/>
        </w:rPr>
        <w:outlineLvl w:val="1"/>
      </w:pPr>
      <w:r>
        <w:rPr>
          <w:rFonts w:hint="eastAsia" w:ascii="黑体" w:hAnsi="黑体" w:eastAsia="黑体"/>
          <w:sz w:val="28"/>
          <w:szCs w:val="28"/>
          <w:highlight w:val="none"/>
          <w:shd w:val="clear" w:color="auto" w:fill="auto"/>
        </w:rPr>
        <w:t xml:space="preserve">第一节 </w:t>
      </w:r>
      <w:r>
        <w:rPr>
          <w:rFonts w:hint="eastAsia" w:ascii="黑体" w:hAnsi="华文中宋" w:eastAsia="黑体"/>
          <w:sz w:val="28"/>
          <w:szCs w:val="28"/>
          <w:highlight w:val="none"/>
          <w:shd w:val="clear" w:color="auto" w:fill="auto"/>
        </w:rPr>
        <w:t xml:space="preserve">政府采购合同协议书</w:t>
      </w:r>
      <w:bookmarkEnd w:id="175"/>
      <w:r/>
      <w:r/>
    </w:p>
    <w:p>
      <w:pPr>
        <w:jc w:val="center"/>
        <w:keepLines/>
        <w:keepNext/>
        <w:spacing w:line="360" w:lineRule="auto"/>
        <w:rPr>
          <w:rFonts w:ascii="黑体" w:hAnsi="华文中宋" w:eastAsia="黑体"/>
          <w:sz w:val="28"/>
          <w:szCs w:val="28"/>
          <w:highlight w:val="none"/>
          <w:shd w:val="clear" w:color="auto" w:fill="auto"/>
        </w:rPr>
        <w:outlineLvl w:val="1"/>
      </w:pPr>
      <w:r>
        <w:rPr>
          <w:rFonts w:ascii="黑体" w:hAnsi="华文中宋" w:eastAsia="黑体"/>
          <w:sz w:val="28"/>
          <w:szCs w:val="28"/>
          <w:highlight w:val="none"/>
          <w:shd w:val="clear" w:color="auto" w:fill="auto"/>
        </w:rPr>
      </w:r>
      <w:r/>
    </w:p>
    <w:p>
      <w:pPr>
        <w:spacing w:line="360" w:lineRule="auto"/>
        <w:rPr>
          <w:rFonts w:ascii="宋体" w:hAnsi="宋体"/>
          <w:sz w:val="28"/>
          <w:szCs w:val="28"/>
          <w:highlight w:val="none"/>
          <w:shd w:val="clear" w:color="auto" w:fill="auto"/>
        </w:rPr>
      </w:pPr>
      <w:r>
        <w:rPr>
          <w:rFonts w:hint="eastAsia" w:ascii="宋体" w:hAnsi="宋体"/>
          <w:sz w:val="28"/>
          <w:szCs w:val="28"/>
          <w:highlight w:val="none"/>
          <w:shd w:val="clear" w:color="auto" w:fill="auto"/>
        </w:rPr>
        <w:t xml:space="preserve">甲方（全称）：</w:t>
      </w:r>
      <w:r/>
    </w:p>
    <w:p>
      <w:pPr>
        <w:spacing w:line="360" w:lineRule="auto"/>
        <w:rPr>
          <w:rFonts w:ascii="宋体" w:hAnsi="宋体"/>
          <w:sz w:val="28"/>
          <w:szCs w:val="28"/>
          <w:highlight w:val="none"/>
          <w:shd w:val="clear" w:color="auto" w:fill="auto"/>
        </w:rPr>
      </w:pPr>
      <w:r>
        <w:rPr>
          <w:rFonts w:hint="eastAsia" w:ascii="宋体" w:hAnsi="宋体"/>
          <w:sz w:val="28"/>
          <w:szCs w:val="28"/>
          <w:highlight w:val="none"/>
          <w:shd w:val="clear" w:color="auto" w:fill="auto"/>
        </w:rPr>
        <w:t xml:space="preserve">乙方（全称）：</w:t>
      </w:r>
      <w:r>
        <w:rPr>
          <w:rFonts w:ascii="宋体" w:hAnsi="宋体"/>
          <w:sz w:val="28"/>
          <w:szCs w:val="28"/>
          <w:highlight w:val="none"/>
          <w:shd w:val="clear" w:color="auto" w:fill="auto"/>
        </w:rPr>
        <w:t xml:space="preserve"> </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left="0" w:firstLine="562"/>
        <w:keepLines w:val="0"/>
        <w:keepNext w:val="0"/>
        <w:pageBreakBefore w:val="0"/>
        <w:spacing w:line="360" w:lineRule="auto"/>
        <w:rPr>
          <w:rFonts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项目信息</w:t>
      </w:r>
      <w:r/>
    </w:p>
    <w:p>
      <w:pPr>
        <w:numPr>
          <w:ilvl w:val="0"/>
          <w:numId w:val="2"/>
        </w:numPr>
        <w:ind w:left="0" w:firstLine="560"/>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采购项目名称：</w:t>
      </w:r>
      <w:r/>
    </w:p>
    <w:p>
      <w:pPr>
        <w:numPr>
          <w:ilvl w:val="255"/>
          <w:numId w:val="0"/>
        </w:numPr>
        <w:ind w:left="0" w:firstLine="560"/>
        <w:keepLines w:val="0"/>
        <w:keepNext w:val="0"/>
        <w:pageBreakBefore w:val="0"/>
        <w:spacing w:line="360" w:lineRule="auto"/>
        <w:tabs>
          <w:tab w:val="left" w:pos="999" w:leader="none"/>
        </w:tabs>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         采购项目编号：</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（2）采购计划编号：</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（3）项目内容：</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采购标的及数量（台/套</w:t>
      </w:r>
      <w:r>
        <w:rPr>
          <w:rFonts w:ascii="宋体" w:hAnsi="宋体"/>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个</w:t>
      </w:r>
      <w:r>
        <w:rPr>
          <w:rFonts w:ascii="宋体" w:hAnsi="宋体"/>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架</w:t>
      </w:r>
      <w:r>
        <w:rPr>
          <w:rFonts w:ascii="宋体" w:hAnsi="宋体"/>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组等）：</w:t>
      </w:r>
      <w:r/>
    </w:p>
    <w:p>
      <w:pPr>
        <w:numPr>
          <w:ilvl w:val="255"/>
          <w:numId w:val="0"/>
        </w:num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品牌：规格型号：</w:t>
      </w:r>
      <w:r/>
    </w:p>
    <w:p>
      <w:pPr>
        <w:ind w:left="0" w:firstLine="560"/>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采购标的的技术要求、商务要求具体见附件。</w:t>
      </w:r>
      <w:r/>
    </w:p>
    <w:p>
      <w:pPr>
        <w:numPr>
          <w:ilvl w:val="255"/>
          <w:numId w:val="0"/>
        </w:num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①涉及信息类产品，请填写该产品关键部件的品牌、型号：</w:t>
      </w:r>
      <w:r/>
    </w:p>
    <w:p>
      <w:pPr>
        <w:numPr>
          <w:ilvl w:val="255"/>
          <w:numId w:val="0"/>
        </w:numPr>
        <w:ind w:left="0" w:firstLine="560"/>
        <w:keepLines w:val="0"/>
        <w:keepNext w:val="0"/>
        <w:pageBreakBefore w:val="0"/>
        <w:spacing w:line="360" w:lineRule="auto"/>
        <w:rPr>
          <w:rFonts w:ascii="宋体" w:hAnsi="宋体" w:cs="宋体"/>
          <w:color w:val="000000" w:themeColor="text1"/>
          <w:sz w:val="28"/>
          <w:szCs w:val="28"/>
          <w:highlight w:val="none"/>
          <w:u w:val="singl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标的名称：</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关键部件：</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品牌：</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型号：</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w:t>
      </w:r>
      <w:r/>
    </w:p>
    <w:p>
      <w:pPr>
        <w:pStyle w:val="868"/>
        <w:ind w:left="0" w:firstLine="560"/>
        <w:keepLines w:val="0"/>
        <w:keepNext w:val="0"/>
        <w:pageBreakBefore w:val="0"/>
        <w:spacing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关键部件</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品牌：</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型号：</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w:t>
      </w:r>
      <w:r/>
    </w:p>
    <w:p>
      <w:pPr>
        <w:pStyle w:val="868"/>
        <w:ind w:left="0" w:firstLine="560"/>
        <w:keepLines w:val="0"/>
        <w:keepNext w:val="0"/>
        <w:pageBreakBefore w:val="0"/>
        <w:spacing w:line="360" w:lineRule="auto"/>
        <w:rPr>
          <w:rFonts w:hint="eastAsia"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关键部件：</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品牌：</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 型号：</w:t>
      </w:r>
      <w:r>
        <w:rPr>
          <w:rFonts w:hint="eastAsia" w:ascii="宋体" w:hAnsi="宋体" w:eastAsia="宋体" w:cs="宋体"/>
          <w:color w:val="000000" w:themeColor="text1"/>
          <w:sz w:val="28"/>
          <w:szCs w:val="28"/>
          <w:highlight w:val="none"/>
          <w:u w:val="single"/>
          <w:shd w:val="clear" w:color="auto" w:fill="auto"/>
          <w14:textFill>
            <w14:solidFill>
              <w14:schemeClr w14:val="tx1"/>
            </w14:solidFill>
          </w14:textFill>
        </w:rPr>
        <w:t xml:space="preserve">       </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②涉及车辆采购，请填写是否属于新能源汽车：</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是，《政府采购品目分类目录》底级品目名称： 数量： 金额：</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w:t>
      </w:r>
      <w:r>
        <w:rPr>
          <w:rFonts w:ascii="宋体" w:hAnsi="宋体" w:cs="宋体"/>
          <w:color w:val="000000" w:themeColor="text1"/>
          <w:sz w:val="28"/>
          <w:szCs w:val="28"/>
          <w:highlight w:val="none"/>
          <w:shd w:val="clear" w:color="auto" w:fill="auto"/>
          <w14:textFill>
            <w14:solidFill>
              <w14:schemeClr w14:val="tx1"/>
            </w14:solidFill>
          </w14:textFill>
        </w:rPr>
        <w:t xml:space="preserve">4</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）政府采购组织形式：</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政府集中采购</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部门集中采购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分散采购</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w:t>
      </w:r>
      <w:r>
        <w:rPr>
          <w:rFonts w:ascii="宋体" w:hAnsi="宋体" w:cs="宋体"/>
          <w:color w:val="000000" w:themeColor="text1"/>
          <w:sz w:val="28"/>
          <w:szCs w:val="28"/>
          <w:highlight w:val="none"/>
          <w:shd w:val="clear" w:color="auto" w:fill="auto"/>
          <w14:textFill>
            <w14:solidFill>
              <w14:schemeClr w14:val="tx1"/>
            </w14:solidFill>
          </w14:textFill>
        </w:rPr>
        <w:t xml:space="preserve">5</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）政府采购方式：</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公开招标</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邀请招标</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竞争性谈判</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竞争性磋商</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u w:val="singl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询价</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单一来源</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框架协议</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其他：</w:t>
      </w:r>
      <w:r/>
    </w:p>
    <w:p>
      <w:pPr>
        <w:numPr>
          <w:ilvl w:val="255"/>
          <w:numId w:val="0"/>
        </w:num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（注：在框架协议采购的第二阶段，可选择使用该合同文本）</w:t>
      </w:r>
      <w:r/>
    </w:p>
    <w:p>
      <w:pPr>
        <w:numPr>
          <w:ilvl w:val="255"/>
          <w:numId w:val="0"/>
        </w:numPr>
        <w:ind w:firstLine="560"/>
        <w:jc w:val="left"/>
        <w:keepLines w:val="0"/>
        <w:keepNext w:val="0"/>
        <w:pageBreakBefore w:val="0"/>
        <w:spacing w:line="360" w:lineRule="auto"/>
        <w:widowControl/>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eastAsia="华文楷体" w:cs="华文楷体"/>
          <w:color w:val="000000" w:themeColor="text1"/>
          <w:sz w:val="28"/>
          <w:szCs w:val="28"/>
          <w:highlight w:val="none"/>
          <w:shd w:val="clear" w:color="auto" w:fill="auto"/>
          <w14:textFill>
            <w14:solidFill>
              <w14:schemeClr w14:val="tx1"/>
            </w14:solidFill>
          </w14:textFill>
        </w:rPr>
        <w:t xml:space="preserve">（</w:t>
      </w:r>
      <w:r>
        <w:rPr>
          <w:rFonts w:ascii="宋体" w:hAnsi="宋体" w:eastAsia="华文楷体" w:cs="华文楷体"/>
          <w:color w:val="000000" w:themeColor="text1"/>
          <w:sz w:val="28"/>
          <w:szCs w:val="28"/>
          <w:highlight w:val="none"/>
          <w:shd w:val="clear" w:color="auto" w:fill="auto"/>
          <w14:textFill>
            <w14:solidFill>
              <w14:schemeClr w14:val="tx1"/>
            </w14:solidFill>
          </w14:textFill>
        </w:rPr>
        <w:t xml:space="preserve">6</w:t>
      </w:r>
      <w:r>
        <w:rPr>
          <w:rFonts w:hint="eastAsia" w:ascii="宋体" w:hAnsi="宋体" w:eastAsia="华文楷体" w:cs="华文楷体"/>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keepLines w:val="0"/>
        <w:keepNext w:val="0"/>
        <w:pageBreakBefore w:val="0"/>
        <w:spacing w:line="360" w:lineRule="auto"/>
        <w:rPr>
          <w:rFonts w:ascii="宋体" w:hAnsi="宋体"/>
          <w:iCs/>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keepLines w:val="0"/>
        <w:keepNext w:val="0"/>
        <w:pageBreakBefore w:val="0"/>
        <w:spacing w:line="360" w:lineRule="auto"/>
        <w:rPr>
          <w:rFonts w:ascii="宋体" w:hAnsi="宋体"/>
          <w:iCs/>
          <w:color w:val="000000" w:themeColor="text1"/>
          <w:sz w:val="28"/>
          <w:szCs w:val="28"/>
          <w:highlight w:val="none"/>
          <w:shd w:val="clear" w:color="auto" w:fill="auto"/>
          <w14:textFill>
            <w14:solidFill>
              <w14:schemeClr w14:val="tx1"/>
            </w14:solidFill>
          </w14:textFill>
        </w:rPr>
      </w:pPr>
      <w:r>
        <w:rPr>
          <w:rFonts w:hint="eastAsia"/>
          <w:color w:val="000000" w:themeColor="text1"/>
          <w:sz w:val="28"/>
          <w:szCs w:val="28"/>
          <w:highlight w:val="none"/>
          <w:shd w:val="clear" w:color="auto" w:fill="auto"/>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keepLines w:val="0"/>
        <w:keepNext w:val="0"/>
        <w:pageBreakBefore w:val="0"/>
        <w:spacing w:line="360" w:lineRule="auto"/>
        <w:rPr>
          <w:rFonts w:ascii="宋体" w:hAnsi="宋体"/>
          <w:iCs/>
          <w:color w:val="000000" w:themeColor="text1"/>
          <w:sz w:val="28"/>
          <w:szCs w:val="28"/>
          <w:highlight w:val="none"/>
          <w:shd w:val="clear" w:color="auto" w:fill="auto"/>
          <w14:textFill>
            <w14:solidFill>
              <w14:schemeClr w14:val="tx1"/>
            </w14:solidFill>
          </w14:textFill>
        </w:rPr>
      </w:pPr>
      <w:r>
        <w:rPr>
          <w:rFonts w:hint="eastAsia"/>
          <w:color w:val="000000" w:themeColor="text1"/>
          <w:sz w:val="28"/>
          <w:szCs w:val="28"/>
          <w:highlight w:val="none"/>
          <w:shd w:val="clear" w:color="auto" w:fill="auto"/>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color w:val="000000" w:themeColor="text1"/>
          <w:sz w:val="28"/>
          <w:szCs w:val="28"/>
          <w:highlight w:val="none"/>
          <w:shd w:val="clear" w:color="auto" w:fill="auto"/>
          <w14:textFill>
            <w14:solidFill>
              <w14:schemeClr w14:val="tx1"/>
            </w14:solidFill>
          </w14:textFill>
        </w:rPr>
      </w:pPr>
      <w:r>
        <w:rPr>
          <w:rFonts w:hint="eastAsia"/>
          <w:color w:val="000000" w:themeColor="text1"/>
          <w:sz w:val="28"/>
          <w:szCs w:val="28"/>
          <w:highlight w:val="none"/>
          <w:shd w:val="clear" w:color="auto" w:fill="auto"/>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w:t>
      </w:r>
      <w:r>
        <w:rPr>
          <w:rFonts w:ascii="宋体" w:hAnsi="宋体"/>
          <w:color w:val="000000" w:themeColor="text1"/>
          <w:sz w:val="28"/>
          <w:szCs w:val="28"/>
          <w:highlight w:val="none"/>
          <w:shd w:val="clear" w:color="auto" w:fill="auto"/>
          <w14:textFill>
            <w14:solidFill>
              <w14:schemeClr w14:val="tx1"/>
            </w14:solidFill>
          </w14:textFill>
        </w:rPr>
        <w:t xml:space="preserve">7</w:t>
      </w:r>
      <w:r>
        <w:rPr>
          <w:rFonts w:hint="eastAsia" w:ascii="宋体" w:hAnsi="宋体"/>
          <w:color w:val="000000" w:themeColor="text1"/>
          <w:sz w:val="28"/>
          <w:szCs w:val="28"/>
          <w:highlight w:val="none"/>
          <w:shd w:val="clear" w:color="auto" w:fill="auto"/>
          <w14:textFill>
            <w14:solidFill>
              <w14:schemeClr w14:val="tx1"/>
            </w14:solidFill>
          </w14:textFill>
        </w:rPr>
        <w:t xml:space="preserve">）合同是否分包：</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分包主要内容：</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分包供应商/制造商名称（如供应商和制造商不同，请分别填写）：</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分包供应商/制造商类型（如果供应商和制造商不同，只填写制造商类型）：</w:t>
      </w:r>
      <w:r/>
    </w:p>
    <w:p>
      <w:pPr>
        <w:ind w:left="0" w:firstLine="560"/>
        <w:keepLines w:val="0"/>
        <w:keepNext w:val="0"/>
        <w:pageBreakBefore w:val="0"/>
        <w:spacing w:line="360" w:lineRule="auto"/>
        <w:rPr>
          <w:rFonts w:ascii="宋体" w:hAnsi="宋体"/>
          <w:iCs/>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大型企业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中型企业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小微型企业</w:t>
      </w:r>
      <w:r/>
    </w:p>
    <w:p>
      <w:pPr>
        <w:ind w:left="0" w:firstLine="560"/>
        <w:keepLines w:val="0"/>
        <w:keepNext w:val="0"/>
        <w:pageBreakBefore w:val="0"/>
        <w:spacing w:line="360" w:lineRule="auto"/>
        <w:rPr>
          <w:rFonts w:eastAsia="华文楷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残疾人福利性单位</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监狱企业</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iCs/>
          <w:color w:val="000000" w:themeColor="text1"/>
          <w:sz w:val="28"/>
          <w:szCs w:val="28"/>
          <w:highlight w:val="none"/>
          <w:shd w:val="clear" w:color="auto" w:fill="auto"/>
          <w14:textFill>
            <w14:solidFill>
              <w14:schemeClr w14:val="tx1"/>
            </w14:solidFill>
          </w14:textFill>
        </w:rPr>
        <w:t xml:space="preserve">其他</w:t>
      </w:r>
      <w:r/>
    </w:p>
    <w:p>
      <w:pPr>
        <w:numPr>
          <w:ilvl w:val="255"/>
          <w:numId w:val="0"/>
        </w:numPr>
        <w:ind w:firstLine="560"/>
        <w:keepLines w:val="0"/>
        <w:keepNext w:val="0"/>
        <w:pageBreakBefore w:val="0"/>
        <w:spacing w:line="360" w:lineRule="auto"/>
        <w:rPr>
          <w:rFonts w:ascii="宋体" w:hAnsi="宋体" w:cs="宋体"/>
          <w:iCs/>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w:t>
      </w:r>
      <w:r>
        <w:rPr>
          <w:rFonts w:ascii="宋体" w:hAnsi="宋体" w:cs="宋体"/>
          <w:color w:val="000000" w:themeColor="text1"/>
          <w:sz w:val="28"/>
          <w:szCs w:val="28"/>
          <w:highlight w:val="none"/>
          <w:shd w:val="clear" w:color="auto" w:fill="auto"/>
          <w14:textFill>
            <w14:solidFill>
              <w14:schemeClr w14:val="tx1"/>
            </w14:solidFill>
          </w14:textFill>
        </w:rPr>
        <w:t xml:space="preserve">8</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）中标（成交）供应商是否为外商投资企业：</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i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iCs/>
          <w:color w:val="000000" w:themeColor="text1"/>
          <w:sz w:val="28"/>
          <w:szCs w:val="28"/>
          <w:highlight w:val="none"/>
          <w:shd w:val="clear" w:color="auto" w:fill="auto"/>
          <w14:textFill>
            <w14:solidFill>
              <w14:schemeClr w14:val="tx1"/>
            </w14:solidFill>
          </w14:textFill>
        </w:rPr>
        <w:t xml:space="preserve">否</w:t>
      </w:r>
      <w:r/>
    </w:p>
    <w:p>
      <w:pPr>
        <w:ind w:left="0" w:firstLine="560"/>
        <w:jc w:val="left"/>
        <w:keepLines w:val="0"/>
        <w:keepNext w:val="0"/>
        <w:pageBreakBefore w:val="0"/>
        <w:spacing w:line="360" w:lineRule="auto"/>
        <w:widowControl/>
        <w:tabs>
          <w:tab w:val="left" w:pos="1340" w:leader="none"/>
        </w:tabs>
        <w:rPr>
          <w:rFonts w:ascii="宋体" w:hAnsi="宋体" w:cs="宋体"/>
          <w:color w:val="000000" w:themeColor="text1"/>
          <w:sz w:val="28"/>
          <w:szCs w:val="28"/>
          <w:highlight w:val="none"/>
          <w:u w:val="singl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外商投资企业类型：</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全部由外国投资者投资  </w:t>
      </w:r>
      <w:r>
        <w:rPr>
          <w:rFonts w:ascii="Wingdings" w:hAnsi="Wingdings" w:eastAsia="Wingdings" w:cs="Wingdings"/>
          <w:iC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iCs/>
          <w:color w:val="000000" w:themeColor="text1"/>
          <w:sz w:val="28"/>
          <w:szCs w:val="28"/>
          <w:highlight w:val="none"/>
          <w:shd w:val="clear" w:color="auto" w:fill="auto"/>
          <w14:textFill>
            <w14:solidFill>
              <w14:schemeClr w14:val="tx1"/>
            </w14:solidFill>
          </w14:textFill>
        </w:rPr>
        <w:t xml:space="preserve">部分由外国投资者投资</w:t>
      </w:r>
      <w:r/>
    </w:p>
    <w:p>
      <w:pPr>
        <w:numPr>
          <w:ilvl w:val="255"/>
          <w:numId w:val="0"/>
        </w:num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w:t>
      </w:r>
      <w:r>
        <w:rPr>
          <w:rFonts w:ascii="宋体" w:hAnsi="宋体" w:cs="宋体"/>
          <w:color w:val="000000" w:themeColor="text1"/>
          <w:sz w:val="28"/>
          <w:szCs w:val="28"/>
          <w:highlight w:val="none"/>
          <w:shd w:val="clear" w:color="auto" w:fill="auto"/>
          <w14:textFill>
            <w14:solidFill>
              <w14:schemeClr w14:val="tx1"/>
            </w14:solidFill>
          </w14:textFill>
        </w:rPr>
        <w:t xml:space="preserve">9</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）是否涉及进口产品：</w:t>
      </w:r>
      <w:r/>
    </w:p>
    <w:p>
      <w:pPr>
        <w:numPr>
          <w:ilvl w:val="255"/>
          <w:numId w:val="0"/>
        </w:numPr>
        <w:ind w:left="0" w:firstLine="560"/>
        <w:keepLines w:val="0"/>
        <w:keepNext w:val="0"/>
        <w:pageBreakBefore w:val="0"/>
        <w:spacing w:line="360" w:lineRule="auto"/>
        <w:rPr>
          <w:rFonts w:ascii="宋体" w:hAnsi="宋体" w:cs="宋体"/>
          <w:color w:val="000000" w:themeColor="text1"/>
          <w:sz w:val="28"/>
          <w:szCs w:val="28"/>
          <w:highlight w:val="none"/>
          <w:u w:val="singl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是，《政府采购品目分类目录》底级品目名称：金额：</w:t>
      </w:r>
      <w:r/>
    </w:p>
    <w:p>
      <w:pPr>
        <w:numPr>
          <w:ilvl w:val="255"/>
          <w:numId w:val="0"/>
        </w:num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国别：品牌： 规格型号：</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（1</w:t>
      </w:r>
      <w:r>
        <w:rPr>
          <w:rFonts w:ascii="宋体" w:hAnsi="宋体"/>
          <w:color w:val="000000" w:themeColor="text1"/>
          <w:sz w:val="28"/>
          <w:szCs w:val="28"/>
          <w:highlight w:val="none"/>
          <w:shd w:val="clear" w:color="auto" w:fill="auto"/>
          <w14:textFill>
            <w14:solidFill>
              <w14:schemeClr w14:val="tx1"/>
            </w14:solidFill>
          </w14:textFill>
        </w:rPr>
        <w:t xml:space="preserve">0</w:t>
      </w:r>
      <w:r>
        <w:rPr>
          <w:rFonts w:hint="eastAsia" w:ascii="宋体" w:hAnsi="宋体"/>
          <w:color w:val="000000" w:themeColor="text1"/>
          <w:sz w:val="28"/>
          <w:szCs w:val="28"/>
          <w:highlight w:val="none"/>
          <w:shd w:val="clear" w:color="auto" w:fill="auto"/>
          <w14:textFill>
            <w14:solidFill>
              <w14:schemeClr w14:val="tx1"/>
            </w14:solidFill>
          </w14:textFill>
        </w:rPr>
        <w:t xml:space="preserve">）是否涉及节能产品：</w:t>
      </w:r>
      <w:r/>
    </w:p>
    <w:p>
      <w:pPr>
        <w:numPr>
          <w:ilvl w:val="255"/>
          <w:numId w:val="0"/>
        </w:numPr>
        <w:ind w:left="0" w:firstLine="560"/>
        <w:keepLines w:val="0"/>
        <w:keepNext w:val="0"/>
        <w:pageBreakBefore w:val="0"/>
        <w:spacing w:line="360" w:lineRule="auto"/>
        <w:tabs>
          <w:tab w:val="left" w:pos="740" w:leader="none"/>
        </w:tabs>
        <w:rPr>
          <w:rFonts w:ascii="宋体" w:hAnsi="宋体"/>
          <w:iCs/>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是，《节能产品政府采购品目清单》的底级品目名称：</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强制采购</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优先采购</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是否涉及环境标志产品：</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是，《环境标志产品政府采购品目清单》的底级品目名称：</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强制采购</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优先采购</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left="0" w:firstLine="560"/>
        <w:jc w:val="left"/>
        <w:keepLines w:val="0"/>
        <w:keepNext w:val="0"/>
        <w:pageBreakBefore w:val="0"/>
        <w:spacing w:line="360" w:lineRule="auto"/>
        <w:widowControl/>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是否涉及绿色产品：</w:t>
      </w:r>
      <w:r/>
    </w:p>
    <w:p>
      <w:pPr>
        <w:ind w:left="0" w:firstLine="560"/>
        <w:jc w:val="left"/>
        <w:keepLines w:val="0"/>
        <w:keepNext w:val="0"/>
        <w:pageBreakBefore w:val="0"/>
        <w:spacing w:line="360" w:lineRule="auto"/>
        <w:widowControl/>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是，绿色产品政府采购相关政策确定的底级品目名称：</w:t>
      </w:r>
      <w:r/>
    </w:p>
    <w:p>
      <w:pPr>
        <w:numPr>
          <w:ilvl w:val="255"/>
          <w:numId w:val="0"/>
        </w:numPr>
        <w:ind w:left="0" w:firstLine="560"/>
        <w:keepLines w:val="0"/>
        <w:keepNext w:val="0"/>
        <w:pageBreakBefore w:val="0"/>
        <w:spacing w:line="360" w:lineRule="auto"/>
        <w:tabs>
          <w:tab w:val="left" w:pos="740" w:leader="none"/>
        </w:tabs>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强制采购</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优先采购</w:t>
      </w:r>
      <w:r/>
    </w:p>
    <w:p>
      <w:pPr>
        <w:ind w:left="0" w:firstLine="560"/>
        <w:jc w:val="left"/>
        <w:keepLines w:val="0"/>
        <w:keepNext w:val="0"/>
        <w:pageBreakBefore w:val="0"/>
        <w:spacing w:line="360" w:lineRule="auto"/>
        <w:widowControl/>
        <w:rPr>
          <w:rFonts w:ascii="宋体" w:hAnsi="宋体" w:eastAsia="华文楷体" w:cs="华文楷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否</w:t>
      </w:r>
      <w:r/>
    </w:p>
    <w:p>
      <w:pPr>
        <w:numPr>
          <w:ilvl w:val="255"/>
          <w:numId w:val="0"/>
        </w:numPr>
        <w:ind w:firstLine="28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（1</w:t>
      </w:r>
      <w:r>
        <w:rPr>
          <w:rFonts w:ascii="宋体" w:hAnsi="宋体"/>
          <w:color w:val="000000" w:themeColor="text1"/>
          <w:sz w:val="28"/>
          <w:szCs w:val="28"/>
          <w:highlight w:val="none"/>
          <w:shd w:val="clear" w:color="auto" w:fill="auto"/>
          <w14:textFill>
            <w14:solidFill>
              <w14:schemeClr w14:val="tx1"/>
            </w14:solidFill>
          </w14:textFill>
        </w:rPr>
        <w:t xml:space="preserve">1</w:t>
      </w:r>
      <w:r>
        <w:rPr>
          <w:rFonts w:hint="eastAsia" w:ascii="宋体" w:hAnsi="宋体"/>
          <w:color w:val="000000" w:themeColor="text1"/>
          <w:sz w:val="28"/>
          <w:szCs w:val="28"/>
          <w:highlight w:val="none"/>
          <w:shd w:val="clear" w:color="auto" w:fill="auto"/>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numPr>
          <w:ilvl w:val="255"/>
          <w:numId w:val="0"/>
        </w:num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否</w:t>
      </w:r>
      <w:r>
        <w:rPr>
          <w:rFonts w:hint="eastAsia" w:ascii="宋体" w:hAnsi="宋体"/>
          <w:color w:val="000000" w:themeColor="text1"/>
          <w:sz w:val="28"/>
          <w:szCs w:val="28"/>
          <w:highlight w:val="none"/>
          <w:shd w:val="clear" w:color="auto" w:fill="auto"/>
          <w:lang w:val="en-US" w:eastAsia="zh-CN"/>
          <w14:textFill>
            <w14:solidFill>
              <w14:schemeClr w14:val="tx1"/>
            </w14:solidFill>
          </w14:textFill>
        </w:rPr>
        <w:t xml:space="preserve">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不涉及</w:t>
      </w:r>
      <w:r/>
    </w:p>
    <w:p>
      <w:pPr>
        <w:numPr>
          <w:ilvl w:val="0"/>
          <w:numId w:val="1"/>
        </w:numPr>
        <w:ind w:left="0" w:firstLine="562"/>
        <w:keepLines w:val="0"/>
        <w:keepNext w:val="0"/>
        <w:pageBreakBefore w:val="0"/>
        <w:spacing w:line="360" w:lineRule="auto"/>
        <w:rPr>
          <w:rFonts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合同金额</w:t>
      </w:r>
      <w:r/>
    </w:p>
    <w:p>
      <w:pPr>
        <w:ind w:left="0" w:firstLine="560"/>
        <w:jc w:val="left"/>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（1）合同金额小写：</w:t>
      </w:r>
      <w:r/>
    </w:p>
    <w:p>
      <w:pPr>
        <w:ind w:left="0" w:firstLine="560"/>
        <w:jc w:val="left"/>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大写：</w:t>
      </w:r>
      <w:r/>
    </w:p>
    <w:p>
      <w:pPr>
        <w:ind w:left="0" w:firstLine="560"/>
        <w:jc w:val="left"/>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分包金额（如有）小写：</w:t>
      </w:r>
      <w:r/>
    </w:p>
    <w:p>
      <w:pPr>
        <w:ind w:left="0" w:firstLine="560"/>
        <w:jc w:val="left"/>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大写：</w:t>
      </w:r>
      <w:r/>
    </w:p>
    <w:p>
      <w:pPr>
        <w:ind w:left="0" w:firstLine="560"/>
        <w:jc w:val="left"/>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（2）付款方式（按项目实际勾选填写，具体详见专用条款第二节第12.2款）：</w:t>
      </w:r>
      <w:r/>
    </w:p>
    <w:p>
      <w:pPr>
        <w:ind w:left="0" w:firstLine="560"/>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全额付款：</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（应明确一次性支付合同款项的条件）</w:t>
      </w:r>
      <w:r/>
    </w:p>
    <w:p>
      <w:pPr>
        <w:ind w:left="0" w:firstLine="560"/>
        <w:keepLines w:val="0"/>
        <w:keepNext w:val="0"/>
        <w:pageBreakBefore w:val="0"/>
        <w:spacing w:line="360" w:lineRule="auto"/>
        <w:rPr>
          <w:rFonts w:hint="eastAsia"/>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分期付款：</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（应明确分期支付合同款项的各期比例和支付条件，各期支付条件应与分期履约验收情况挂钩）</w:t>
      </w:r>
      <w:r>
        <w:rPr>
          <w:rFonts w:hint="eastAsia" w:ascii="宋体" w:hAnsi="宋体"/>
          <w:color w:val="000000" w:themeColor="text1"/>
          <w:sz w:val="28"/>
          <w:szCs w:val="28"/>
          <w:highlight w:val="none"/>
          <w:shd w:val="clear" w:color="auto" w:fill="auto"/>
          <w14:textFill>
            <w14:solidFill>
              <w14:schemeClr w14:val="tx1"/>
            </w14:solidFill>
          </w14:textFill>
        </w:rPr>
        <w:t xml:space="preserve">，其中涉及预付款的：</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（应明确预付款的支付比例和支付条件） </w:t>
      </w:r>
      <w:r/>
    </w:p>
    <w:p>
      <w:pPr>
        <w:ind w:left="0" w:firstLine="560"/>
        <w:keepLines w:val="0"/>
        <w:keepNext w:val="0"/>
        <w:pageBreakBefore w:val="0"/>
        <w:spacing w:line="360" w:lineRule="auto"/>
        <w:rPr>
          <w:rFonts w:ascii="宋体" w:hAnsi="宋体"/>
          <w:color w:val="000000" w:themeColor="text1"/>
          <w:sz w:val="28"/>
          <w:szCs w:val="28"/>
          <w:highlight w:val="none"/>
          <w:u w:val="singl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成本补偿：</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（应明确按照成本补偿方式的支付方式和支付条件）   </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olor w:val="000000" w:themeColor="text1"/>
          <w:sz w:val="28"/>
          <w:szCs w:val="28"/>
          <w:highlight w:val="none"/>
          <w:shd w:val="clear" w:color="auto" w:fill="auto"/>
          <w14:textFill>
            <w14:solidFill>
              <w14:schemeClr w14:val="tx1"/>
            </w14:solidFill>
          </w14:textFill>
        </w:rPr>
        <w:t xml:space="preserve">绩效激励：</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（应明确按照绩效激励方式的支付方式和支付条件）   </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numPr>
          <w:ilvl w:val="0"/>
          <w:numId w:val="1"/>
        </w:numPr>
        <w:ind w:left="0" w:firstLine="562"/>
        <w:keepLines w:val="0"/>
        <w:keepNext w:val="0"/>
        <w:pageBreakBefore w:val="0"/>
        <w:spacing w:line="360" w:lineRule="auto"/>
        <w:rPr>
          <w:rFonts w:ascii="宋体" w:hAnsi="宋体"/>
          <w:b/>
          <w:color w:val="000000" w:themeColor="text1"/>
          <w:sz w:val="28"/>
          <w:szCs w:val="28"/>
          <w:highlight w:val="none"/>
          <w:u w:val="singl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合同履行</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（1）起始日期：</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年</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月</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日，完成日期：</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年</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月</w:t>
      </w:r>
      <w:r>
        <w:rPr>
          <w:rFonts w:hint="eastAsia" w:ascii="宋体" w:hAnsi="宋体" w:cs="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日。</w:t>
      </w:r>
      <w:r/>
    </w:p>
    <w:p>
      <w:pPr>
        <w:ind w:left="0" w:firstLine="560"/>
        <w:keepLines w:val="0"/>
        <w:keepNext w:val="0"/>
        <w:pageBreakBefore w:val="0"/>
        <w:spacing w:line="360" w:lineRule="auto"/>
        <w:rPr>
          <w:rFonts w:ascii="宋体" w:hAnsi="宋体" w:cs="宋体"/>
          <w:color w:val="000000" w:themeColor="text1"/>
          <w:sz w:val="28"/>
          <w:szCs w:val="28"/>
          <w:highlight w:val="none"/>
          <w:u w:val="singl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（2）履约地点</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bCs/>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  </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（3）</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履约担保：履约担保：是否收取履约保证金：</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收取履约保证金形式：</w:t>
      </w:r>
      <w:r>
        <w:rPr>
          <w:rFonts w:hint="eastAsia" w:ascii="宋体" w:hAnsi="宋体" w:cs="宋体"/>
          <w:bCs/>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收取履约保证金金额：</w:t>
      </w:r>
      <w:r>
        <w:rPr>
          <w:rFonts w:hint="eastAsia" w:ascii="宋体" w:hAnsi="宋体" w:cs="宋体"/>
          <w:bCs/>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w:t>
      </w:r>
      <w:r/>
    </w:p>
    <w:p>
      <w:pPr>
        <w:ind w:left="0" w:firstLine="560"/>
        <w:keepLines w:val="0"/>
        <w:keepNext w:val="0"/>
        <w:pageBreakBefore w:val="0"/>
        <w:spacing w:line="360" w:lineRule="auto"/>
        <w:rPr>
          <w:rFonts w:ascii="宋体" w:hAnsi="宋体" w:cs="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履约担保期限： </w:t>
      </w:r>
      <w:r>
        <w:rPr>
          <w:rFonts w:hint="eastAsia" w:ascii="宋体" w:hAnsi="宋体" w:cs="宋体"/>
          <w:bCs/>
          <w:color w:val="000000" w:themeColor="text1"/>
          <w:sz w:val="28"/>
          <w:szCs w:val="28"/>
          <w:highlight w:val="none"/>
          <w:u w:val="single"/>
          <w:shd w:val="clear" w:color="auto" w:fill="auto"/>
          <w14:textFill>
            <w14:solidFill>
              <w14:schemeClr w14:val="tx1"/>
            </w14:solidFill>
          </w14:textFill>
        </w:rPr>
        <w:t xml:space="preserve">                                    </w:t>
      </w:r>
      <w:r/>
    </w:p>
    <w:p>
      <w:pPr>
        <w:numPr>
          <w:ilvl w:val="0"/>
          <w:numId w:val="3"/>
        </w:numPr>
        <w:ind w:left="0" w:firstLine="560"/>
        <w:keepLines w:val="0"/>
        <w:keepNext w:val="0"/>
        <w:pageBreakBefore w:val="0"/>
        <w:spacing w:line="360" w:lineRule="auto"/>
        <w:rPr>
          <w:rFonts w:ascii="宋体" w:hAnsi="宋体" w:cs="宋体"/>
          <w:bCs/>
          <w:color w:val="000000" w:themeColor="text1"/>
          <w:sz w:val="28"/>
          <w:szCs w:val="28"/>
          <w:highlight w:val="non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确需收取履约保证金的，履约保证金的缴纳形式：</w:t>
      </w:r>
      <w:r/>
    </w:p>
    <w:p>
      <w:pPr>
        <w:ind w:left="0" w:firstLine="560"/>
        <w:keepLines w:val="0"/>
        <w:keepNext w:val="0"/>
        <w:pageBreakBefore w:val="0"/>
        <w:spacing w:line="360" w:lineRule="auto"/>
        <w:rPr>
          <w:rFonts w:ascii="宋体" w:hAnsi="宋体" w:cs="宋体"/>
          <w:bCs/>
          <w:color w:val="000000" w:themeColor="text1"/>
          <w:sz w:val="28"/>
          <w:szCs w:val="28"/>
          <w:highlight w:val="non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560"/>
        <w:keepLines w:val="0"/>
        <w:keepNext w:val="0"/>
        <w:pageBreakBefore w:val="0"/>
        <w:spacing w:line="360" w:lineRule="auto"/>
        <w:rPr>
          <w:rFonts w:ascii="宋体" w:hAnsi="宋体" w:cs="宋体"/>
          <w:bCs/>
          <w:color w:val="000000" w:themeColor="text1"/>
          <w:sz w:val="28"/>
          <w:szCs w:val="28"/>
          <w:highlight w:val="non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 如以履约保函（保险）形式缴纳履约保证金，供应商可通过政府采购电子履约保函（保险）平台（www.jsdzbh.com）在线申请履约保函（保险）。</w:t>
      </w:r>
      <w:r/>
    </w:p>
    <w:p>
      <w:pPr>
        <w:pStyle w:val="864"/>
        <w:ind w:left="0" w:firstLine="560"/>
        <w:jc w:val="both"/>
        <w:keepLines w:val="0"/>
        <w:keepNext w:val="0"/>
        <w:pageBreakBefore w:val="0"/>
        <w:spacing w:beforeAutospacing="0" w:afterAutospacing="0"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w:t>
      </w:r>
      <w:r/>
    </w:p>
    <w:p>
      <w:pPr>
        <w:ind w:left="0" w:firstLine="560"/>
        <w:keepLines w:val="0"/>
        <w:keepNext w:val="0"/>
        <w:pageBreakBefore w:val="0"/>
        <w:spacing w:line="360" w:lineRule="auto"/>
        <w:rPr>
          <w:rFonts w:ascii="宋体" w:hAnsi="宋体" w:cs="宋体"/>
          <w:bCs/>
          <w:color w:val="000000" w:themeColor="text1"/>
          <w:sz w:val="28"/>
          <w:szCs w:val="28"/>
          <w:highlight w:val="non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（5）分期履行要求：</w:t>
      </w:r>
      <w:r/>
    </w:p>
    <w:p>
      <w:pPr>
        <w:ind w:left="0" w:firstLine="560"/>
        <w:keepLines w:val="0"/>
        <w:keepNext w:val="0"/>
        <w:pageBreakBefore w:val="0"/>
        <w:spacing w:line="360" w:lineRule="auto"/>
        <w:rPr>
          <w:rFonts w:ascii="宋体" w:hAnsi="宋体" w:cs="宋体"/>
          <w:color w:val="000000" w:themeColor="text1"/>
          <w:sz w:val="28"/>
          <w:szCs w:val="28"/>
          <w:highlight w:val="none"/>
          <w:u w:val="singl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（6）风险处置措施和替代方案：</w:t>
      </w:r>
      <w:r/>
    </w:p>
    <w:p>
      <w:pPr>
        <w:numPr>
          <w:ilvl w:val="0"/>
          <w:numId w:val="1"/>
        </w:numPr>
        <w:ind w:left="0" w:firstLine="562"/>
        <w:keepLines w:val="0"/>
        <w:keepNext w:val="0"/>
        <w:pageBreakBefore w:val="0"/>
        <w:spacing w:line="360" w:lineRule="auto"/>
        <w:rPr>
          <w:rFonts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合同验收</w:t>
      </w:r>
      <w:r/>
    </w:p>
    <w:p>
      <w:pPr>
        <w:numPr>
          <w:ilvl w:val="0"/>
          <w:numId w:val="4"/>
        </w:num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验收组织方式：</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自行组织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委托第三方组织</w:t>
      </w:r>
      <w:r/>
    </w:p>
    <w:p>
      <w:pPr>
        <w:ind w:left="0" w:firstLine="560"/>
        <w:keepLines w:val="0"/>
        <w:keepNext w:val="0"/>
        <w:pageBreakBefore w:val="0"/>
        <w:spacing w:line="360" w:lineRule="auto"/>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验收主体：</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w:t>
      </w:r>
      <w:r>
        <w:rPr>
          <w:rFonts w:hint="eastAsia" w:ascii="宋体" w:hAnsi="宋体" w:cs="宋体"/>
          <w:bCs/>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 </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是否邀请本项目的其他供应商参加验收：</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是否邀请专家参加验收：</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是否邀请服务对象参加验收：</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是否邀请第三方检测机构参加验收：</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是否进行抽查检测：</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是，抽查比例：</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是否存在破坏性检测：</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是，</w:t>
      </w:r>
      <w:r>
        <w:rPr>
          <w:rFonts w:hint="eastAsia" w:ascii="宋体" w:hAnsi="宋体"/>
          <w:bCs/>
          <w:color w:val="000000" w:themeColor="text1"/>
          <w:sz w:val="28"/>
          <w:szCs w:val="28"/>
          <w:highlight w:val="none"/>
          <w:u w:val="single"/>
          <w:shd w:val="clear" w:color="auto" w:fill="auto"/>
          <w14:textFill>
            <w14:solidFill>
              <w14:schemeClr w14:val="tx1"/>
            </w14:solidFill>
          </w14:textFill>
        </w:rPr>
        <w:t xml:space="preserve">（应明确对被破坏的检测产品的处理方式）</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验收组织的其他事项：</w:t>
      </w:r>
      <w:r/>
    </w:p>
    <w:p>
      <w:pPr>
        <w:ind w:left="0" w:firstLine="560"/>
        <w:keepLines w:val="0"/>
        <w:keepNext w:val="0"/>
        <w:pageBreakBefore w:val="0"/>
        <w:spacing w:line="360" w:lineRule="auto"/>
        <w:rPr>
          <w:rFonts w:ascii="宋体" w:hAnsi="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（2）履约验收时间：</w:t>
      </w:r>
      <w:r>
        <w:rPr>
          <w:rFonts w:hint="eastAsia" w:ascii="宋体" w:hAnsi="宋体"/>
          <w:bCs/>
          <w:color w:val="000000" w:themeColor="text1"/>
          <w:sz w:val="28"/>
          <w:szCs w:val="28"/>
          <w:highlight w:val="none"/>
          <w:u w:val="single"/>
          <w:shd w:val="clear" w:color="auto" w:fill="auto"/>
          <w14:textFill>
            <w14:solidFill>
              <w14:schemeClr w14:val="tx1"/>
            </w14:solidFill>
          </w14:textFill>
        </w:rPr>
        <w:t xml:space="preserve">（计划于何时验收/供应商提出验收申请之日起   日内组织验收）</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（3）履约验收方式：</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一次性验收         </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分期/分项验收：</w:t>
      </w:r>
      <w:r>
        <w:rPr>
          <w:rFonts w:hint="eastAsia" w:ascii="宋体" w:hAnsi="宋体"/>
          <w:bCs/>
          <w:color w:val="000000" w:themeColor="text1"/>
          <w:sz w:val="28"/>
          <w:szCs w:val="28"/>
          <w:highlight w:val="none"/>
          <w:u w:val="single"/>
          <w:shd w:val="clear" w:color="auto" w:fill="auto"/>
          <w14:textFill>
            <w14:solidFill>
              <w14:schemeClr w14:val="tx1"/>
            </w14:solidFill>
          </w14:textFill>
        </w:rPr>
        <w:t xml:space="preserve">（应明确分期</w:t>
      </w:r>
      <w:r>
        <w:rPr>
          <w:rFonts w:ascii="宋体" w:hAnsi="宋体"/>
          <w:bCs/>
          <w:color w:val="000000" w:themeColor="text1"/>
          <w:sz w:val="28"/>
          <w:szCs w:val="28"/>
          <w:highlight w:val="none"/>
          <w:u w:val="single"/>
          <w:shd w:val="clear" w:color="auto" w:fill="auto"/>
          <w14:textFill>
            <w14:solidFill>
              <w14:schemeClr w14:val="tx1"/>
            </w14:solidFill>
          </w14:textFill>
        </w:rPr>
        <w:t xml:space="preserve">/</w:t>
      </w:r>
      <w:r>
        <w:rPr>
          <w:rFonts w:hint="eastAsia" w:ascii="宋体" w:hAnsi="宋体"/>
          <w:bCs/>
          <w:color w:val="000000" w:themeColor="text1"/>
          <w:sz w:val="28"/>
          <w:szCs w:val="28"/>
          <w:highlight w:val="none"/>
          <w:u w:val="single"/>
          <w:shd w:val="clear" w:color="auto" w:fill="auto"/>
          <w14:textFill>
            <w14:solidFill>
              <w14:schemeClr w14:val="tx1"/>
            </w14:solidFill>
          </w14:textFill>
        </w:rPr>
        <w:t xml:space="preserve">分项验收的工作安排）</w:t>
      </w:r>
      <w:r/>
    </w:p>
    <w:p>
      <w:pPr>
        <w:ind w:left="0" w:firstLine="560"/>
        <w:keepLines w:val="0"/>
        <w:keepNext w:val="0"/>
        <w:pageBreakBefore w:val="0"/>
        <w:spacing w:line="360" w:lineRule="auto"/>
        <w:rPr>
          <w:rFonts w:ascii="宋体" w:hAnsi="宋体"/>
          <w:bCs/>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（4）履约验收程序：</w:t>
      </w:r>
      <w:r/>
    </w:p>
    <w:p>
      <w:pPr>
        <w:ind w:left="0" w:firstLine="560"/>
        <w:keepLines w:val="0"/>
        <w:keepNext w:val="0"/>
        <w:pageBreakBefore w:val="0"/>
        <w:spacing w:line="360" w:lineRule="auto"/>
        <w:rPr>
          <w:rFonts w:ascii="宋体" w:hAnsi="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（5）履约验收的内容：</w:t>
      </w:r>
      <w:r>
        <w:rPr>
          <w:rFonts w:hint="eastAsia" w:ascii="宋体" w:hAnsi="宋体"/>
          <w:bCs/>
          <w:color w:val="000000" w:themeColor="text1"/>
          <w:sz w:val="28"/>
          <w:szCs w:val="28"/>
          <w:highlight w:val="none"/>
          <w:u w:val="single"/>
          <w:shd w:val="clear" w:color="auto" w:fill="auto"/>
          <w14:textFill>
            <w14:solidFill>
              <w14:schemeClr w14:val="tx1"/>
            </w14:solidFill>
          </w14:textFill>
        </w:rPr>
        <w:t xml:space="preserve">（应当包括每一项技术和商务要求的履约情况，特别是落实政府采购扶持中小企业，支持绿色发展和乡村振兴等政策情况）</w:t>
      </w:r>
      <w:r/>
    </w:p>
    <w:p>
      <w:pPr>
        <w:ind w:left="0" w:firstLine="560"/>
        <w:keepLines w:val="0"/>
        <w:keepNext w:val="0"/>
        <w:pageBreakBefore w:val="0"/>
        <w:spacing w:line="360" w:lineRule="auto"/>
        <w:rPr>
          <w:rFonts w:ascii="宋体" w:hAnsi="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bCs/>
          <w:color w:val="000000" w:themeColor="text1"/>
          <w:sz w:val="28"/>
          <w:szCs w:val="28"/>
          <w:highlight w:val="none"/>
          <w:shd w:val="clear" w:color="auto" w:fill="auto"/>
          <w14:textFill>
            <w14:solidFill>
              <w14:schemeClr w14:val="tx1"/>
            </w14:solidFill>
          </w14:textFill>
        </w:rPr>
        <w:t xml:space="preserve">（6）履约验收标准：</w:t>
      </w:r>
      <w:r/>
    </w:p>
    <w:p>
      <w:pPr>
        <w:ind w:left="0" w:firstLine="560"/>
        <w:jc w:val="left"/>
        <w:keepLines w:val="0"/>
        <w:keepNext w:val="0"/>
        <w:pageBreakBefore w:val="0"/>
        <w:spacing w:line="360" w:lineRule="auto"/>
        <w:widowControl/>
        <w:rPr>
          <w:rFonts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8"/>
          <w:szCs w:val="28"/>
          <w:highlight w:val="none"/>
          <w:shd w:val="clear" w:color="auto" w:fill="auto"/>
          <w14:textFill>
            <w14:solidFill>
              <w14:schemeClr w14:val="tx1"/>
            </w14:solidFill>
          </w14:textFill>
        </w:rPr>
        <w:t xml:space="preserve"></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否</w:t>
      </w:r>
      <w:r/>
    </w:p>
    <w:p>
      <w:pPr>
        <w:ind w:left="0" w:firstLine="560"/>
        <w:keepLines w:val="0"/>
        <w:keepNext w:val="0"/>
        <w:pageBreakBefore w:val="0"/>
        <w:spacing w:line="360" w:lineRule="auto"/>
        <w:rPr>
          <w:rFonts w:ascii="宋体" w:hAnsi="宋体" w:cs="宋体"/>
          <w:bCs/>
          <w:color w:val="000000" w:themeColor="text1"/>
          <w:sz w:val="28"/>
          <w:szCs w:val="28"/>
          <w:highlight w:val="none"/>
          <w:u w:val="single"/>
          <w:shd w:val="clear" w:color="auto" w:fill="auto"/>
          <w14:textFill>
            <w14:solidFill>
              <w14:schemeClr w14:val="tx1"/>
            </w14:solidFill>
          </w14:textFill>
        </w:rPr>
      </w:pP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（8）履约验收其他事项：</w:t>
      </w:r>
      <w:r>
        <w:rPr>
          <w:rFonts w:hint="eastAsia" w:ascii="宋体" w:hAnsi="宋体" w:cs="宋体"/>
          <w:bCs/>
          <w:color w:val="000000" w:themeColor="text1"/>
          <w:sz w:val="28"/>
          <w:szCs w:val="28"/>
          <w:highlight w:val="none"/>
          <w:u w:val="single"/>
          <w:shd w:val="clear" w:color="auto" w:fill="auto"/>
          <w14:textFill>
            <w14:solidFill>
              <w14:schemeClr w14:val="tx1"/>
            </w14:solidFill>
          </w14:textFill>
        </w:rPr>
        <w:t xml:space="preserve">（产权过户登记等）</w:t>
      </w:r>
      <w:r/>
    </w:p>
    <w:p>
      <w:pPr>
        <w:numPr>
          <w:ilvl w:val="0"/>
          <w:numId w:val="1"/>
        </w:numPr>
        <w:ind w:left="0" w:firstLine="562"/>
        <w:keepLines w:val="0"/>
        <w:keepNext w:val="0"/>
        <w:pageBreakBefore w:val="0"/>
        <w:spacing w:line="360" w:lineRule="auto"/>
        <w:rPr>
          <w:rFonts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组成合同的文件</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本协议书与下列文件一起构成合同文件，如下述文件之间有任何抵触、矛盾或歧义，应按以下顺序解释：</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（1）政府采购合同协议书及其变更、补充协议</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（2）政府采购合同专用条款</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（3）政府采购合同通用条款</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（4）中标（成交）通知书</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（5）投标（响应）文件</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（6）采购文件</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（7）有关技术文件，图纸</w:t>
      </w:r>
      <w:r/>
    </w:p>
    <w:p>
      <w:pPr>
        <w:ind w:left="0" w:firstLine="560"/>
        <w:keepLines w:val="0"/>
        <w:keepNext w:val="0"/>
        <w:pageBreakBefore w:val="0"/>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（8）国家法律、行政法规和规章制度规定或合同约定的作为合同组成部分的其他文件</w:t>
      </w:r>
      <w:r/>
    </w:p>
    <w:p>
      <w:pPr>
        <w:ind w:left="0" w:firstLine="562"/>
        <w:keepLines w:val="0"/>
        <w:keepNext w:val="0"/>
        <w:pageBreakBefore w:val="0"/>
        <w:spacing w:line="360" w:lineRule="auto"/>
        <w:rPr>
          <w:rFonts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6.合同生效</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本合同自</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年</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月</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日生效。</w:t>
      </w:r>
      <w:r/>
    </w:p>
    <w:p>
      <w:pPr>
        <w:ind w:left="0" w:firstLine="562"/>
        <w:keepLines w:val="0"/>
        <w:keepNext w:val="0"/>
        <w:pageBreakBefore w:val="0"/>
        <w:spacing w:line="360" w:lineRule="auto"/>
        <w:rPr>
          <w:rFonts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7.合同份数</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本合同一式</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份，甲方执</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份，乙方执</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份，均具有同等法律效力。</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合同订立时间：</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年</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月</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rPr>
          <w:rFonts w:hint="eastAsia" w:ascii="宋体" w:hAnsi="宋体"/>
          <w:color w:val="000000" w:themeColor="text1"/>
          <w:sz w:val="28"/>
          <w:szCs w:val="28"/>
          <w:highlight w:val="none"/>
          <w:shd w:val="clear" w:color="auto" w:fill="auto"/>
          <w14:textFill>
            <w14:solidFill>
              <w14:schemeClr w14:val="tx1"/>
            </w14:solidFill>
          </w14:textFill>
        </w:rPr>
        <w:t xml:space="preserve">日</w:t>
      </w:r>
      <w:r/>
    </w:p>
    <w:p>
      <w:pPr>
        <w:ind w:left="0" w:firstLine="560"/>
        <w:keepLines w:val="0"/>
        <w:keepNext w:val="0"/>
        <w:pageBreakBefore w:val="0"/>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合同订立地点：</w:t>
      </w:r>
      <w:r>
        <w:rPr>
          <w:rFonts w:hint="eastAsia" w:ascii="宋体" w:hAnsi="宋体"/>
          <w:color w:val="000000" w:themeColor="text1"/>
          <w:sz w:val="28"/>
          <w:szCs w:val="28"/>
          <w:highlight w:val="none"/>
          <w:u w:val="single"/>
          <w:shd w:val="clear" w:color="auto" w:fill="auto"/>
          <w14:textFill>
            <w14:solidFill>
              <w14:schemeClr w14:val="tx1"/>
            </w14:solidFill>
          </w14:textFill>
        </w:rPr>
        <w:t xml:space="preserve">                           </w:t>
      </w:r>
      <w:r/>
    </w:p>
    <w:p>
      <w:pPr>
        <w:ind w:left="0" w:firstLine="560"/>
        <w:keepLines w:val="0"/>
        <w:keepNext w:val="0"/>
        <w:pageBreakBefore w:val="0"/>
        <w:spacing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附件：具体标的及其技术要求和商务要求、联合协议、分包意向协议等。</w:t>
      </w:r>
      <w:r/>
    </w:p>
    <w:p>
      <w:pPr>
        <w:ind w:firstLine="480"/>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p>
      <w:pPr>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p>
      <w:pPr>
        <w:ind w:firstLine="480"/>
        <w:jc w:val="left"/>
        <w:spacing w:line="360" w:lineRule="auto"/>
        <w:rPr>
          <w:rFonts w:ascii="宋体" w:hAnsi="宋体"/>
          <w:color w:val="auto"/>
          <w:sz w:val="28"/>
          <w:szCs w:val="28"/>
          <w:highlight w:val="none"/>
          <w:u w:val="single"/>
          <w:shd w:val="clear" w:color="auto" w:fill="auto"/>
        </w:rPr>
      </w:pPr>
      <w:r>
        <w:rPr>
          <w:rFonts w:hint="eastAsia"/>
          <w:color w:val="auto"/>
          <w:sz w:val="28"/>
          <w:szCs w:val="28"/>
          <w:highlight w:val="none"/>
          <w:shd w:val="clear" w:color="auto" w:fill="auto"/>
        </w:rPr>
        <w:br w:type="page" w:clear="all"/>
      </w:r>
      <w:r/>
    </w:p>
    <w:p>
      <w:pPr>
        <w:ind w:firstLine="420"/>
        <w:spacing w:line="360" w:lineRule="auto"/>
        <w:rPr>
          <w:sz w:val="28"/>
          <w:szCs w:val="28"/>
          <w:highlight w:val="none"/>
          <w:shd w:val="clear" w:color="auto" w:fill="auto"/>
        </w:rPr>
      </w:pPr>
      <w:r>
        <w:rPr>
          <w:sz w:val="28"/>
          <w:szCs w:val="28"/>
          <w:highlight w:val="none"/>
          <w:shd w:val="clear" w:color="auto" w:fill="auto"/>
        </w:rPr>
      </w:r>
      <w:r/>
    </w:p>
    <w:tbl>
      <w:tblPr>
        <w:tblStyle w:val="85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2348"/>
        <w:gridCol w:w="2034"/>
        <w:gridCol w:w="2066"/>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甲方</w:t>
            </w:r>
            <w:r>
              <w:rPr>
                <w:rFonts w:hint="eastAsia"/>
                <w:sz w:val="28"/>
                <w:szCs w:val="28"/>
                <w:highlight w:val="none"/>
                <w:shd w:val="clear" w:color="auto" w:fill="auto"/>
              </w:rPr>
              <w:t xml:space="preserve">（采购人</w:t>
            </w:r>
            <w:r>
              <w:rPr>
                <w:rFonts w:hint="eastAsia" w:ascii="宋体" w:hAnsi="宋体"/>
                <w:sz w:val="28"/>
                <w:szCs w:val="28"/>
                <w:highlight w:val="none"/>
                <w:shd w:val="clear" w:color="auto" w:fill="auto"/>
              </w:rPr>
              <w:t xml:space="preserve">、受采购人委托签订合同的单位或</w:t>
            </w:r>
            <w:r>
              <w:rPr>
                <w:rFonts w:hint="eastAsia"/>
                <w:sz w:val="28"/>
                <w:szCs w:val="28"/>
                <w:highlight w:val="none"/>
                <w:shd w:val="clear" w:color="auto" w:fill="auto"/>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乙方</w:t>
            </w:r>
            <w:r>
              <w:rPr>
                <w:rFonts w:hint="eastAsia"/>
                <w:sz w:val="28"/>
                <w:szCs w:val="28"/>
                <w:highlight w:val="none"/>
                <w:shd w:val="clear" w:color="auto" w:fill="auto"/>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单位名称</w:t>
            </w:r>
            <w:r>
              <w:rPr>
                <w:rFonts w:hint="eastAsia"/>
                <w:sz w:val="28"/>
                <w:szCs w:val="28"/>
                <w:highlight w:val="none"/>
                <w:shd w:val="clear" w:color="auto" w:fill="auto"/>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单位名称</w:t>
            </w:r>
            <w:r>
              <w:rPr>
                <w:rFonts w:hint="eastAsia"/>
                <w:sz w:val="28"/>
                <w:szCs w:val="28"/>
                <w:highlight w:val="none"/>
                <w:shd w:val="clear" w:color="auto" w:fill="auto"/>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法定代表人</w:t>
            </w:r>
            <w:r/>
          </w:p>
          <w:p>
            <w:pPr>
              <w:ind w:firstLine="115"/>
              <w:jc w:val="center"/>
              <w:spacing w:line="360" w:lineRule="auto"/>
              <w:rPr>
                <w:sz w:val="28"/>
                <w:szCs w:val="28"/>
                <w:highlight w:val="none"/>
                <w:shd w:val="clear" w:color="auto" w:fill="auto"/>
              </w:rPr>
            </w:pPr>
            <w:r>
              <w:rPr>
                <w:rFonts w:hint="eastAsia"/>
                <w:sz w:val="28"/>
                <w:szCs w:val="28"/>
                <w:highlight w:val="none"/>
                <w:shd w:val="clear" w:color="auto" w:fill="auto"/>
              </w:rPr>
              <w:t xml:space="preserve">或其</w:t>
            </w:r>
            <w:r>
              <w:rPr>
                <w:sz w:val="28"/>
                <w:szCs w:val="28"/>
                <w:highlight w:val="none"/>
                <w:shd w:val="clear" w:color="auto" w:fill="auto"/>
              </w:rPr>
              <w:t xml:space="preserve">委托代理人</w:t>
            </w:r>
            <w:r>
              <w:rPr>
                <w:rFonts w:hint="eastAsia"/>
                <w:sz w:val="28"/>
                <w:szCs w:val="28"/>
                <w:highlight w:val="none"/>
                <w:shd w:val="clear" w:color="auto" w:fill="auto"/>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法定代表人</w:t>
            </w:r>
            <w:r/>
          </w:p>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或其</w:t>
            </w:r>
            <w:r>
              <w:rPr>
                <w:sz w:val="28"/>
                <w:szCs w:val="28"/>
                <w:highlight w:val="none"/>
                <w:shd w:val="clear" w:color="auto" w:fill="auto"/>
              </w:rPr>
              <w:t xml:space="preserve">委托代理人</w:t>
            </w:r>
            <w:r>
              <w:rPr>
                <w:rFonts w:hint="eastAsia"/>
                <w:sz w:val="28"/>
                <w:szCs w:val="28"/>
                <w:highlight w:val="none"/>
                <w:shd w:val="clear" w:color="auto" w:fill="auto"/>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rFonts w:hint="eastAsia"/>
                <w:sz w:val="28"/>
                <w:szCs w:val="28"/>
                <w:highlight w:val="none"/>
                <w:shd w:val="clear" w:color="auto" w:fill="auto"/>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8"/>
                <w:szCs w:val="28"/>
                <w:highlight w:val="none"/>
                <w:shd w:val="clear" w:color="auto" w:fill="auto"/>
              </w:rPr>
            </w:pPr>
            <w:r>
              <w:rPr>
                <w:sz w:val="28"/>
                <w:szCs w:val="28"/>
                <w:highlight w:val="none"/>
                <w:shd w:val="clear" w:color="auto" w:fill="auto"/>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8"/>
                <w:szCs w:val="28"/>
                <w:highlight w:val="none"/>
                <w:shd w:val="clear" w:color="auto" w:fill="auto"/>
              </w:rPr>
            </w:pPr>
            <w:r>
              <w:rPr>
                <w:spacing w:val="20"/>
                <w:sz w:val="28"/>
                <w:szCs w:val="28"/>
                <w:highlight w:val="none"/>
                <w:shd w:val="clear" w:color="auto" w:fill="auto"/>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8"/>
                <w:szCs w:val="28"/>
                <w:highlight w:val="none"/>
                <w:shd w:val="clear" w:color="auto" w:fill="auto"/>
              </w:rPr>
            </w:pPr>
            <w:r>
              <w:rPr>
                <w:rFonts w:hint="eastAsia" w:ascii="宋体" w:hAnsi="宋体"/>
                <w:sz w:val="28"/>
                <w:szCs w:val="28"/>
                <w:highlight w:val="none"/>
                <w:shd w:val="clear" w:color="auto" w:fill="auto"/>
              </w:rPr>
              <w:t xml:space="preserve">注：涉及联合体或其他合同主体的信息应按上表格式加列。</w:t>
            </w:r>
            <w:r/>
          </w:p>
        </w:tc>
      </w:tr>
    </w:tbl>
    <w:p>
      <w:pPr>
        <w:pStyle w:val="856"/>
        <w:jc w:val="center"/>
        <w:spacing w:before="156" w:line="360" w:lineRule="auto"/>
        <w:rPr>
          <w:rFonts w:ascii="黑体" w:hAnsi="黑体" w:eastAsia="黑体"/>
          <w:sz w:val="28"/>
          <w:szCs w:val="28"/>
          <w:highlight w:val="none"/>
          <w:shd w:val="clear" w:color="auto" w:fill="auto"/>
        </w:rPr>
      </w:pPr>
      <w:r>
        <w:rPr>
          <w:rFonts w:ascii="宋体" w:hAnsi="宋体"/>
          <w:sz w:val="28"/>
          <w:szCs w:val="28"/>
          <w:highlight w:val="none"/>
          <w:u w:val="single"/>
          <w:shd w:val="clear" w:color="auto" w:fill="auto"/>
        </w:rPr>
        <w:br w:type="page" w:clear="all"/>
      </w:r>
      <w:bookmarkStart w:id="176" w:name="_Toc27624"/>
      <w:r/>
      <w:bookmarkStart w:id="177" w:name="_Toc20313"/>
      <w:r>
        <w:rPr>
          <w:rFonts w:hint="eastAsia" w:ascii="黑体" w:hAnsi="黑体" w:eastAsia="黑体"/>
          <w:b w:val="0"/>
          <w:bCs w:val="0"/>
          <w:sz w:val="28"/>
          <w:szCs w:val="28"/>
          <w:highlight w:val="none"/>
          <w:shd w:val="clear" w:color="auto" w:fill="auto"/>
        </w:rPr>
        <w:t xml:space="preserve">第二节 政府采购合同通用条款</w:t>
      </w:r>
      <w:bookmarkEnd w:id="176"/>
      <w:r/>
      <w:r/>
    </w:p>
    <w:p>
      <w:pPr>
        <w:jc w:val="left"/>
        <w:spacing w:line="360" w:lineRule="auto"/>
        <w:tabs>
          <w:tab w:val="left" w:pos="8820" w:leader="none"/>
          <w:tab w:val="left" w:pos="9345" w:leader="none"/>
          <w:tab w:val="left" w:pos="9765" w:leader="none"/>
        </w:tabs>
        <w:rPr>
          <w:rFonts w:hint="eastAsia" w:ascii="宋体" w:hAnsi="宋体"/>
          <w:b/>
          <w:bCs/>
          <w:sz w:val="28"/>
          <w:szCs w:val="28"/>
          <w:highlight w:val="none"/>
          <w:shd w:val="clear" w:color="auto" w:fill="auto"/>
        </w:rPr>
      </w:pPr>
      <w:r>
        <w:rPr>
          <w:rFonts w:hint="eastAsia" w:ascii="宋体" w:hAnsi="宋体"/>
          <w:b/>
          <w:sz w:val="28"/>
          <w:szCs w:val="28"/>
          <w:highlight w:val="none"/>
          <w:shd w:val="clear" w:color="auto" w:fill="auto"/>
        </w:rPr>
        <w:t xml:space="preserve">1. </w:t>
      </w:r>
      <w:r>
        <w:rPr>
          <w:rFonts w:hint="eastAsia" w:ascii="宋体" w:hAnsi="宋体"/>
          <w:b/>
          <w:bCs/>
          <w:sz w:val="28"/>
          <w:szCs w:val="28"/>
          <w:highlight w:val="none"/>
          <w:shd w:val="clear" w:color="auto" w:fill="auto"/>
        </w:rPr>
        <w:t xml:space="preserve">定义</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1.1合同当事人</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（1）采购人（以下称甲方）是指使用财政性资金，通过政府采购方式向供应商购买货物及其相关服务的国家机关、事业单位、团体组织。</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（2）供应商（以下称乙方）是指参加政府采购活动并且中标（成交），向采购人提供合同约定的货物及其相关服务的法人、非法人组织或者自然人。</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（3）其他合同主体是指除采购人和供应商以外，</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依法参与合同缔结或履行，享有权利、承担义务的合同当事人</w:t>
      </w:r>
      <w:r>
        <w:rPr>
          <w:rFonts w:hint="eastAsia" w:ascii="宋体" w:hAnsi="宋体"/>
          <w:sz w:val="28"/>
          <w:szCs w:val="28"/>
          <w:highlight w:val="none"/>
          <w:shd w:val="clear" w:color="auto" w:fill="auto"/>
        </w:rPr>
        <w:t xml:space="preserve">。</w:t>
      </w:r>
      <w:r/>
    </w:p>
    <w:p>
      <w:pPr>
        <w:ind w:firstLine="560"/>
        <w:jc w:val="left"/>
        <w:spacing w:line="360" w:lineRule="auto"/>
        <w:tabs>
          <w:tab w:val="left" w:pos="570" w:leader="none"/>
          <w:tab w:val="left" w:pos="9240" w:leader="none"/>
          <w:tab w:val="left" w:pos="9555" w:leader="none"/>
        </w:tabs>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1.2本合同下列术语应解释为：</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（1）“合同”系指</w:t>
      </w:r>
      <w:r>
        <w:rPr>
          <w:rFonts w:hint="eastAsia" w:ascii="宋体" w:hAnsi="宋体" w:cs="宋体"/>
          <w:bCs/>
          <w:color w:val="000000" w:themeColor="text1"/>
          <w:sz w:val="28"/>
          <w:szCs w:val="28"/>
          <w:highlight w:val="none"/>
          <w:shd w:val="clear" w:color="auto" w:fill="auto"/>
          <w14:textFill>
            <w14:solidFill>
              <w14:schemeClr w14:val="tx1"/>
            </w14:solidFill>
          </w14:textFill>
        </w:rPr>
        <w:t xml:space="preserve">合同当事人意思表示达成一致的任何协议，包括签署的</w:t>
      </w:r>
      <w:r>
        <w:rPr>
          <w:rFonts w:hint="eastAsia" w:ascii="宋体" w:hAnsi="宋体"/>
          <w:sz w:val="28"/>
          <w:szCs w:val="28"/>
          <w:highlight w:val="none"/>
          <w:shd w:val="clear" w:color="auto" w:fill="auto"/>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国家法律、行政法规和规章制度规定或合同约定的作为合同组成部分的其他文件</w:t>
      </w:r>
      <w:r>
        <w:rPr>
          <w:rFonts w:hint="eastAsia" w:ascii="宋体" w:hAnsi="宋体"/>
          <w:sz w:val="28"/>
          <w:szCs w:val="28"/>
          <w:highlight w:val="none"/>
          <w:shd w:val="clear" w:color="auto" w:fill="auto"/>
        </w:rPr>
        <w:t xml:space="preserve">。</w:t>
      </w:r>
      <w:r/>
    </w:p>
    <w:p>
      <w:pPr>
        <w:ind w:firstLine="560"/>
        <w:jc w:val="left"/>
        <w:spacing w:line="360" w:lineRule="auto"/>
        <w:tabs>
          <w:tab w:val="left" w:pos="570" w:leader="none"/>
          <w:tab w:val="left" w:pos="9240" w:leader="none"/>
          <w:tab w:val="left" w:pos="9555" w:leader="none"/>
        </w:tabs>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（2）“合同价款”系指根据本合同规定乙方在全面履行合同义务后甲方应支付给乙方的价款。</w:t>
      </w:r>
      <w:r/>
    </w:p>
    <w:p>
      <w:pPr>
        <w:ind w:firstLine="560"/>
        <w:jc w:val="left"/>
        <w:spacing w:line="360" w:lineRule="auto"/>
        <w:tabs>
          <w:tab w:val="left" w:pos="570" w:leader="none"/>
          <w:tab w:val="left" w:pos="9240" w:leader="none"/>
          <w:tab w:val="left" w:pos="9555" w:leader="none"/>
        </w:tabs>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sz w:val="28"/>
          <w:szCs w:val="28"/>
          <w:highlight w:val="none"/>
          <w:shd w:val="clear" w:color="auto" w:fill="auto"/>
        </w:rPr>
        <w:t xml:space="preserve">（3）“货物”系指乙方根据本合同规定须向甲方提供的各种形态和种类的物品，包括原材料、设备、产品（</w:t>
      </w:r>
      <w:r>
        <w:rPr>
          <w:rFonts w:hint="eastAsia" w:ascii="宋体" w:hAnsi="宋体"/>
          <w:color w:val="000000" w:themeColor="text1"/>
          <w:sz w:val="28"/>
          <w:szCs w:val="28"/>
          <w:highlight w:val="none"/>
          <w:shd w:val="clear" w:color="auto" w:fill="auto"/>
          <w14:textFill>
            <w14:solidFill>
              <w14:schemeClr w14:val="tx1"/>
            </w14:solidFill>
          </w14:textFill>
        </w:rPr>
        <w:t xml:space="preserve">包括软件）及相关的其备品备件、工具、手册及</w:t>
      </w:r>
      <w:r>
        <w:rPr>
          <w:rFonts w:hint="eastAsia" w:ascii="宋体" w:hAnsi="宋体"/>
          <w:color w:val="000000" w:themeColor="text1"/>
          <w:sz w:val="28"/>
          <w:szCs w:val="28"/>
          <w:highlight w:val="none"/>
          <w:shd w:val="clear" w:color="auto" w:fill="auto"/>
          <w:lang w:val="en"/>
          <w14:textFill>
            <w14:solidFill>
              <w14:schemeClr w14:val="tx1"/>
            </w14:solidFill>
          </w14:textFill>
        </w:rPr>
        <w:t xml:space="preserve">其他</w:t>
      </w:r>
      <w:r>
        <w:rPr>
          <w:rFonts w:hint="eastAsia" w:ascii="宋体" w:hAnsi="宋体"/>
          <w:color w:val="000000" w:themeColor="text1"/>
          <w:sz w:val="28"/>
          <w:szCs w:val="28"/>
          <w:highlight w:val="none"/>
          <w:shd w:val="clear" w:color="auto" w:fill="auto"/>
          <w14:textFill>
            <w14:solidFill>
              <w14:schemeClr w14:val="tx1"/>
            </w14:solidFill>
          </w14:textFill>
        </w:rPr>
        <w:t xml:space="preserve">技术资料和材料等。</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w:t>
      </w:r>
      <w:r>
        <w:rPr>
          <w:rFonts w:hint="eastAsia" w:ascii="宋体" w:hAnsi="宋体"/>
          <w:sz w:val="28"/>
          <w:szCs w:val="28"/>
          <w:highlight w:val="none"/>
          <w:shd w:val="clear" w:color="auto" w:fill="auto"/>
        </w:rPr>
        <w:t xml:space="preserve">相关</w:t>
      </w:r>
      <w:r>
        <w:rPr>
          <w:rFonts w:hint="eastAsia" w:ascii="宋体" w:hAnsi="宋体"/>
          <w:color w:val="000000" w:themeColor="text1"/>
          <w:sz w:val="28"/>
          <w:szCs w:val="28"/>
          <w:highlight w:val="none"/>
          <w:shd w:val="clear" w:color="auto" w:fill="auto"/>
          <w14:textFill>
            <w14:solidFill>
              <w14:schemeClr w14:val="tx1"/>
            </w14:solidFill>
          </w14:textFill>
        </w:rPr>
        <w:t xml:space="preserve">服务”系指根据合同规定，乙方应提供的与货物有关的技术、管理和</w:t>
      </w:r>
      <w:r>
        <w:rPr>
          <w:rFonts w:hint="eastAsia" w:ascii="宋体" w:hAnsi="宋体"/>
          <w:color w:val="000000" w:themeColor="text1"/>
          <w:sz w:val="28"/>
          <w:szCs w:val="28"/>
          <w:highlight w:val="none"/>
          <w:shd w:val="clear" w:color="auto" w:fill="auto"/>
          <w:lang w:val="en"/>
          <w14:textFill>
            <w14:solidFill>
              <w14:schemeClr w14:val="tx1"/>
            </w14:solidFill>
          </w14:textFill>
        </w:rPr>
        <w:t xml:space="preserve">其他</w:t>
      </w:r>
      <w:r>
        <w:rPr>
          <w:rFonts w:hint="eastAsia" w:ascii="宋体" w:hAnsi="宋体"/>
          <w:color w:val="000000" w:themeColor="text1"/>
          <w:sz w:val="28"/>
          <w:szCs w:val="28"/>
          <w:highlight w:val="none"/>
          <w:shd w:val="clear" w:color="auto" w:fill="auto"/>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 w:val="28"/>
          <w:szCs w:val="28"/>
          <w:highlight w:val="none"/>
          <w:shd w:val="clear" w:color="auto" w:fill="auto"/>
          <w:lang w:val="en"/>
          <w14:textFill>
            <w14:solidFill>
              <w14:schemeClr w14:val="tx1"/>
            </w14:solidFill>
          </w14:textFill>
        </w:rPr>
        <w:t xml:space="preserve">其他</w:t>
      </w:r>
      <w:r>
        <w:rPr>
          <w:rFonts w:hint="eastAsia" w:ascii="宋体" w:hAnsi="宋体"/>
          <w:color w:val="000000" w:themeColor="text1"/>
          <w:sz w:val="28"/>
          <w:szCs w:val="28"/>
          <w:highlight w:val="none"/>
          <w:shd w:val="clear" w:color="auto" w:fill="auto"/>
          <w14:textFill>
            <w14:solidFill>
              <w14:schemeClr w14:val="tx1"/>
            </w14:solidFill>
          </w14:textFill>
        </w:rPr>
        <w:t xml:space="preserve">义务。</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360" w:lineRule="auto"/>
        <w:tabs>
          <w:tab w:val="left" w:pos="570" w:leader="none"/>
          <w:tab w:val="left" w:pos="9240" w:leader="none"/>
          <w:tab w:val="left" w:pos="9555" w:leader="none"/>
        </w:tabs>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（6）</w:t>
      </w:r>
      <w:r>
        <w:rPr>
          <w:rFonts w:hint="eastAsia" w:ascii="宋体" w:hAnsi="宋体"/>
          <w:sz w:val="28"/>
          <w:szCs w:val="28"/>
          <w:highlight w:val="none"/>
          <w:shd w:val="clear" w:color="auto" w:fill="auto"/>
        </w:rPr>
        <w:t xml:space="preserve">“联合体”系指由两个以上的自然人、法人或者非法人组织组成，以一个供应商的身份共同参加政府采购的主体</w:t>
      </w:r>
      <w:r>
        <w:rPr>
          <w:rFonts w:hint="eastAsia" w:ascii="宋体" w:hAnsi="宋体"/>
          <w:color w:val="000000" w:themeColor="text1"/>
          <w:sz w:val="28"/>
          <w:szCs w:val="28"/>
          <w:highlight w:val="none"/>
          <w:shd w:val="clear" w:color="auto" w:fill="auto"/>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 w:val="28"/>
          <w:szCs w:val="28"/>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 w:val="28"/>
          <w:szCs w:val="28"/>
          <w:highlight w:val="none"/>
          <w:shd w:val="clear" w:color="auto" w:fill="auto"/>
          <w14:textFill>
            <w14:solidFill>
              <w14:schemeClr w14:val="tx1"/>
            </w14:solidFill>
          </w14:textFill>
        </w:rPr>
        <w:t xml:space="preserve">】。</w:t>
      </w:r>
      <w:r/>
    </w:p>
    <w:p>
      <w:pPr>
        <w:ind w:firstLine="560"/>
        <w:jc w:val="left"/>
        <w:spacing w:line="360" w:lineRule="auto"/>
        <w:tabs>
          <w:tab w:val="left" w:pos="570" w:leader="none"/>
          <w:tab w:val="left" w:pos="9240" w:leader="none"/>
          <w:tab w:val="left" w:pos="9555" w:leader="none"/>
        </w:tabs>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（7）其他术语解释，见【</w:t>
      </w:r>
      <w:r>
        <w:rPr>
          <w:rFonts w:hint="eastAsia" w:ascii="宋体" w:hAnsi="宋体"/>
          <w:b/>
          <w:bCs/>
          <w:color w:val="000000" w:themeColor="text1"/>
          <w:sz w:val="28"/>
          <w:szCs w:val="28"/>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 w:val="28"/>
          <w:szCs w:val="28"/>
          <w:highlight w:val="none"/>
          <w:shd w:val="clear" w:color="auto" w:fill="auto"/>
          <w14:textFill>
            <w14:solidFill>
              <w14:schemeClr w14:val="tx1"/>
            </w14:solidFill>
          </w14:textFill>
        </w:rPr>
        <w:t xml:space="preserve">】。</w:t>
      </w:r>
      <w:r/>
    </w:p>
    <w:p>
      <w:pPr>
        <w:numPr>
          <w:ilvl w:val="0"/>
          <w:numId w:val="5"/>
        </w:numPr>
        <w:jc w:val="left"/>
        <w:spacing w:line="360" w:lineRule="auto"/>
        <w:rPr>
          <w:rFonts w:hint="eastAsia" w:ascii="宋体" w:hAnsi="宋体"/>
          <w:b/>
          <w:bCs/>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合同标的及金额</w:t>
      </w:r>
      <w:r/>
    </w:p>
    <w:p>
      <w:pPr>
        <w:ind w:firstLine="560"/>
        <w:jc w:val="left"/>
        <w:spacing w:line="360" w:lineRule="auto"/>
        <w:rPr>
          <w:rFonts w:hint="eastAsia" w:ascii="宋体" w:hAnsi="宋体"/>
          <w:b/>
          <w:bCs/>
          <w:i/>
          <w:iCs/>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 w:val="28"/>
          <w:szCs w:val="28"/>
          <w:highlight w:val="none"/>
          <w:shd w:val="clear" w:color="auto" w:fill="auto"/>
          <w:lang w:val="en"/>
          <w14:textFill>
            <w14:solidFill>
              <w14:schemeClr w14:val="tx1"/>
            </w14:solidFill>
          </w14:textFill>
        </w:rPr>
        <w:t xml:space="preserve">其他</w:t>
      </w:r>
      <w:r>
        <w:rPr>
          <w:rFonts w:hint="eastAsia" w:ascii="宋体" w:hAnsi="宋体"/>
          <w:color w:val="000000" w:themeColor="text1"/>
          <w:sz w:val="28"/>
          <w:szCs w:val="28"/>
          <w:highlight w:val="none"/>
          <w:shd w:val="clear" w:color="auto" w:fill="auto"/>
          <w14:textFill>
            <w14:solidFill>
              <w14:schemeClr w14:val="tx1"/>
            </w14:solidFill>
          </w14:textFill>
        </w:rPr>
        <w:t xml:space="preserve">任何费用。</w:t>
      </w:r>
      <w:r/>
    </w:p>
    <w:p>
      <w:pPr>
        <w:jc w:val="left"/>
        <w:spacing w:line="360" w:lineRule="auto"/>
        <w:rPr>
          <w:rFonts w:hint="eastAsia"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3. 履行合同的时间、地点和方式</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3.1 </w:t>
      </w:r>
      <w:r>
        <w:rPr>
          <w:rFonts w:hint="eastAsia" w:ascii="宋体" w:hAnsi="宋体" w:cs="宋体"/>
          <w:sz w:val="28"/>
          <w:szCs w:val="28"/>
          <w:highlight w:val="none"/>
          <w:shd w:val="clear" w:color="auto" w:fill="auto"/>
        </w:rPr>
        <w:t xml:space="preserve">乙方应当在约定的时间、地点，按照约定方式履行合同。</w:t>
      </w:r>
      <w:r/>
    </w:p>
    <w:p>
      <w:pPr>
        <w:jc w:val="left"/>
        <w:spacing w:line="360" w:lineRule="auto"/>
        <w:rPr>
          <w:rFonts w:hint="eastAsia" w:ascii="宋体" w:hAnsi="宋体"/>
          <w:b/>
          <w:bCs/>
          <w:color w:val="000000" w:themeColor="text1"/>
          <w:sz w:val="28"/>
          <w:szCs w:val="28"/>
          <w:highlight w:val="none"/>
          <w:shd w:val="clear" w:color="auto" w:fill="auto"/>
          <w14:textFill>
            <w14:solidFill>
              <w14:schemeClr w14:val="tx1"/>
            </w14:solidFill>
          </w14:textFill>
        </w:rPr>
      </w:pPr>
      <w:r>
        <w:rPr>
          <w:rFonts w:hint="eastAsia" w:ascii="宋体" w:hAnsi="宋体"/>
          <w:b/>
          <w:bCs/>
          <w:color w:val="000000" w:themeColor="text1"/>
          <w:sz w:val="28"/>
          <w:szCs w:val="28"/>
          <w:highlight w:val="none"/>
          <w:shd w:val="clear" w:color="auto" w:fill="auto"/>
          <w14:textFill>
            <w14:solidFill>
              <w14:schemeClr w14:val="tx1"/>
            </w14:solidFill>
          </w14:textFill>
        </w:rPr>
        <w:t xml:space="preserve">4. 甲方的权利和义务</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4.3 甲方有权要求乙方对缺陷部分予以修复，并按合同约定享有货物保修及其他合同约定的权利。</w:t>
      </w:r>
      <w:r/>
    </w:p>
    <w:p>
      <w:pPr>
        <w:ind w:firstLine="560"/>
        <w:spacing w:line="360" w:lineRule="auto"/>
        <w:rPr>
          <w:rFonts w:hint="eastAsia" w:eastAsia="华文楷体"/>
          <w:sz w:val="28"/>
          <w:szCs w:val="28"/>
          <w:highlight w:val="none"/>
          <w:shd w:val="clear" w:color="auto" w:fill="auto"/>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4.4 甲方应当按照合同约定及时对交付的货物进行验收，</w:t>
      </w:r>
      <w:r>
        <w:rPr>
          <w:rFonts w:hint="eastAsia" w:ascii="宋体" w:hAnsi="宋体" w:cs="宋体"/>
          <w:sz w:val="28"/>
          <w:szCs w:val="28"/>
          <w:highlight w:val="none"/>
          <w:shd w:val="clear" w:color="auto" w:fill="auto"/>
        </w:rPr>
        <w:t xml:space="preserve">未</w:t>
      </w:r>
      <w:r>
        <w:rPr>
          <w:rFonts w:hint="eastAsia" w:ascii="宋体" w:hAnsi="宋体"/>
          <w:color w:val="000000" w:themeColor="text1"/>
          <w:sz w:val="28"/>
          <w:szCs w:val="28"/>
          <w:highlight w:val="none"/>
          <w:shd w:val="clear" w:color="auto" w:fill="auto"/>
          <w14:textFill>
            <w14:solidFill>
              <w14:schemeClr w14:val="tx1"/>
            </w14:solidFill>
          </w14:textFill>
        </w:rPr>
        <w:t xml:space="preserve">在</w:t>
      </w:r>
      <w:r>
        <w:rPr>
          <w:rFonts w:hint="eastAsia" w:ascii="宋体" w:hAnsi="宋体" w:cs="宋体"/>
          <w:b/>
          <w:bCs/>
          <w:sz w:val="28"/>
          <w:szCs w:val="28"/>
          <w:highlight w:val="none"/>
          <w:shd w:val="clear" w:color="auto" w:fill="auto"/>
        </w:rPr>
        <w:t xml:space="preserve">【政府采购合同专用条款】</w:t>
      </w:r>
      <w:r>
        <w:rPr>
          <w:rFonts w:hint="eastAsia" w:ascii="宋体" w:hAnsi="宋体" w:cs="宋体"/>
          <w:sz w:val="28"/>
          <w:szCs w:val="28"/>
          <w:highlight w:val="none"/>
          <w:shd w:val="clear" w:color="auto" w:fill="auto"/>
        </w:rPr>
        <w:t xml:space="preserve">约定的期限内对乙方履约提出任何异议或者向乙方作出任何说明的，</w:t>
      </w:r>
      <w:r>
        <w:rPr>
          <w:rFonts w:hint="eastAsia" w:ascii="宋体" w:hAnsi="宋体"/>
          <w:color w:val="000000" w:themeColor="text1"/>
          <w:sz w:val="28"/>
          <w:szCs w:val="28"/>
          <w:highlight w:val="none"/>
          <w:shd w:val="clear" w:color="auto" w:fill="auto"/>
          <w14:textFill>
            <w14:solidFill>
              <w14:schemeClr w14:val="tx1"/>
            </w14:solidFill>
          </w14:textFill>
        </w:rPr>
        <w:t xml:space="preserve">视为验收通过。</w:t>
      </w:r>
      <w:r/>
    </w:p>
    <w:p>
      <w:pPr>
        <w:ind w:firstLine="560"/>
        <w:jc w:val="left"/>
        <w:spacing w:line="360" w:lineRule="auto"/>
        <w:rPr>
          <w:rFonts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4.6 国家法律法规规定及</w:t>
      </w:r>
      <w:r>
        <w:rPr>
          <w:rFonts w:hint="eastAsia" w:ascii="宋体" w:hAnsi="宋体" w:cs="宋体"/>
          <w:b/>
          <w:bCs/>
          <w:sz w:val="28"/>
          <w:szCs w:val="28"/>
          <w:highlight w:val="none"/>
          <w:shd w:val="clear" w:color="auto" w:fill="auto"/>
        </w:rPr>
        <w:t xml:space="preserve">【政府采购合同专用条款】</w:t>
      </w:r>
      <w:r>
        <w:rPr>
          <w:rFonts w:hint="eastAsia" w:ascii="宋体" w:hAnsi="宋体"/>
          <w:color w:val="000000" w:themeColor="text1"/>
          <w:sz w:val="28"/>
          <w:szCs w:val="28"/>
          <w:highlight w:val="none"/>
          <w:shd w:val="clear" w:color="auto" w:fill="auto"/>
          <w14:textFill>
            <w14:solidFill>
              <w14:schemeClr w14:val="tx1"/>
            </w14:solidFill>
          </w14:textFill>
        </w:rPr>
        <w:t xml:space="preserve">约定应由甲方承担的其他义务和责任。</w:t>
      </w:r>
      <w:r/>
    </w:p>
    <w:p>
      <w:pPr>
        <w:jc w:val="left"/>
        <w:spacing w:line="360" w:lineRule="auto"/>
        <w:rPr>
          <w:rFonts w:hint="eastAsia" w:ascii="宋体" w:hAnsi="宋体"/>
          <w:b/>
          <w:bCs/>
          <w:color w:val="000000" w:themeColor="text1"/>
          <w:sz w:val="28"/>
          <w:szCs w:val="28"/>
          <w:highlight w:val="none"/>
          <w:shd w:val="clear" w:color="auto" w:fill="auto"/>
          <w14:textFill>
            <w14:solidFill>
              <w14:schemeClr w14:val="tx1"/>
            </w14:solidFill>
          </w14:textFill>
        </w:rPr>
      </w:pPr>
      <w:r>
        <w:rPr>
          <w:rFonts w:hint="eastAsia" w:ascii="宋体" w:hAnsi="宋体"/>
          <w:b/>
          <w:bCs/>
          <w:color w:val="000000" w:themeColor="text1"/>
          <w:sz w:val="28"/>
          <w:szCs w:val="28"/>
          <w:highlight w:val="none"/>
          <w:shd w:val="clear" w:color="auto" w:fill="auto"/>
          <w14:textFill>
            <w14:solidFill>
              <w14:schemeClr w14:val="tx1"/>
            </w14:solidFill>
          </w14:textFill>
        </w:rPr>
        <w:t xml:space="preserve">5. 乙方的权利和义务</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5.1 签署合同后，乙方应确定项目负责人（或项目联系人），负责与本合同有关的事务。</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0"/>
        <w:ind w:firstLine="492"/>
        <w:spacing w:after="0" w:line="360" w:lineRule="auto"/>
        <w:rPr>
          <w:rFonts w:hint="eastAsia"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5.3乙方有权</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根据合同约定向甲方收取合同价款。</w:t>
      </w:r>
      <w:r/>
    </w:p>
    <w:p>
      <w:pPr>
        <w:pStyle w:val="860"/>
        <w:ind w:firstLine="492"/>
        <w:spacing w:after="0" w:line="360" w:lineRule="auto"/>
        <w:rPr>
          <w:rFonts w:hint="eastAsia" w:ascii="宋体" w:hAnsi="宋体" w:cs="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5.4</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国家法律法规规定</w:t>
      </w:r>
      <w:r>
        <w:rPr>
          <w:rFonts w:hint="eastAsia" w:ascii="宋体" w:hAnsi="宋体"/>
          <w:color w:val="000000" w:themeColor="text1"/>
          <w:sz w:val="28"/>
          <w:szCs w:val="28"/>
          <w:highlight w:val="none"/>
          <w:shd w:val="clear" w:color="auto" w:fill="auto"/>
          <w14:textFill>
            <w14:solidFill>
              <w14:schemeClr w14:val="tx1"/>
            </w14:solidFill>
          </w14:textFill>
        </w:rPr>
        <w:t xml:space="preserve">及</w:t>
      </w:r>
      <w:r>
        <w:rPr>
          <w:rFonts w:hint="eastAsia" w:ascii="宋体" w:hAnsi="宋体" w:cs="宋体"/>
          <w:b/>
          <w:bCs/>
          <w:sz w:val="28"/>
          <w:szCs w:val="28"/>
          <w:highlight w:val="none"/>
          <w:shd w:val="clear" w:color="auto" w:fill="auto"/>
        </w:rPr>
        <w:t xml:space="preserve">【政府采购合同专用条款】</w:t>
      </w:r>
      <w:r>
        <w:rPr>
          <w:rFonts w:hint="eastAsia" w:ascii="宋体" w:hAnsi="宋体" w:cs="宋体"/>
          <w:sz w:val="28"/>
          <w:szCs w:val="28"/>
          <w:highlight w:val="none"/>
          <w:shd w:val="clear" w:color="auto" w:fill="auto"/>
        </w:rPr>
        <w:t xml:space="preserve">约定应</w:t>
      </w:r>
      <w:r>
        <w:rPr>
          <w:rFonts w:hint="eastAsia" w:ascii="宋体" w:hAnsi="宋体" w:cs="宋体"/>
          <w:color w:val="000000" w:themeColor="text1"/>
          <w:sz w:val="28"/>
          <w:szCs w:val="28"/>
          <w:highlight w:val="none"/>
          <w:shd w:val="clear" w:color="auto" w:fill="auto"/>
          <w14:textFill>
            <w14:solidFill>
              <w14:schemeClr w14:val="tx1"/>
            </w14:solidFill>
          </w14:textFill>
        </w:rPr>
        <w:t xml:space="preserve">由乙方承担的其他义务和责任。</w:t>
      </w:r>
      <w:r/>
    </w:p>
    <w:p>
      <w:pPr>
        <w:numPr>
          <w:ilvl w:val="0"/>
          <w:numId w:val="6"/>
        </w:numPr>
        <w:jc w:val="left"/>
        <w:spacing w:line="360" w:lineRule="auto"/>
        <w:rPr>
          <w:rFonts w:hint="eastAsia" w:ascii="宋体" w:hAnsi="宋体"/>
          <w:b/>
          <w:bCs/>
          <w:color w:val="000000" w:themeColor="text1"/>
          <w:sz w:val="28"/>
          <w:szCs w:val="28"/>
          <w:highlight w:val="none"/>
          <w:shd w:val="clear" w:color="auto" w:fill="auto"/>
          <w14:textFill>
            <w14:solidFill>
              <w14:schemeClr w14:val="tx1"/>
            </w14:solidFill>
          </w14:textFill>
        </w:rPr>
      </w:pPr>
      <w:r>
        <w:rPr>
          <w:rFonts w:hint="eastAsia" w:ascii="宋体" w:hAnsi="宋体"/>
          <w:b/>
          <w:bCs/>
          <w:color w:val="000000" w:themeColor="text1"/>
          <w:sz w:val="28"/>
          <w:szCs w:val="28"/>
          <w:highlight w:val="none"/>
          <w:shd w:val="clear" w:color="auto" w:fill="auto"/>
          <w14:textFill>
            <w14:solidFill>
              <w14:schemeClr w14:val="tx1"/>
            </w14:solidFill>
          </w14:textFill>
        </w:rPr>
        <w:t xml:space="preserve">合同履行</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6.1 甲乙双方应当按照</w:t>
      </w:r>
      <w:r>
        <w:rPr>
          <w:rFonts w:hint="eastAsia" w:ascii="宋体" w:hAnsi="宋体" w:cs="宋体"/>
          <w:b/>
          <w:bCs/>
          <w:sz w:val="28"/>
          <w:szCs w:val="28"/>
          <w:highlight w:val="none"/>
          <w:shd w:val="clear" w:color="auto" w:fill="auto"/>
        </w:rPr>
        <w:t xml:space="preserve">【政府采购合同专用条款】</w:t>
      </w:r>
      <w:r>
        <w:rPr>
          <w:rFonts w:hint="eastAsia" w:ascii="宋体" w:hAnsi="宋体"/>
          <w:color w:val="000000" w:themeColor="text1"/>
          <w:sz w:val="28"/>
          <w:szCs w:val="28"/>
          <w:highlight w:val="none"/>
          <w:shd w:val="clear" w:color="auto" w:fill="auto"/>
          <w14:textFill>
            <w14:solidFill>
              <w14:schemeClr w14:val="tx1"/>
            </w14:solidFill>
          </w14:textFill>
        </w:rPr>
        <w:t xml:space="preserve">约定顺序履行合同义务；如果没有先后顺序的，应当同时履行。</w:t>
      </w:r>
      <w:r/>
    </w:p>
    <w:p>
      <w:pPr>
        <w:ind w:firstLine="560"/>
        <w:jc w:val="left"/>
        <w:spacing w:line="360" w:lineRule="auto"/>
        <w:rPr>
          <w:rFonts w:hint="eastAsia"/>
          <w:sz w:val="28"/>
          <w:szCs w:val="28"/>
          <w:highlight w:val="none"/>
          <w:shd w:val="clear" w:color="auto" w:fill="auto"/>
        </w:rPr>
      </w:pPr>
      <w:r>
        <w:rPr>
          <w:rFonts w:hint="eastAsia" w:ascii="宋体" w:hAnsi="宋体"/>
          <w:color w:val="000000" w:themeColor="text1"/>
          <w:sz w:val="28"/>
          <w:szCs w:val="28"/>
          <w:highlight w:val="none"/>
          <w:shd w:val="clear" w:color="auto" w:fill="auto"/>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color w:val="000000" w:themeColor="text1"/>
          <w:sz w:val="28"/>
          <w:szCs w:val="28"/>
          <w:highlight w:val="none"/>
          <w:shd w:val="clear" w:color="auto" w:fill="auto"/>
          <w14:textFill>
            <w14:solidFill>
              <w14:schemeClr w14:val="tx1"/>
            </w14:solidFill>
          </w14:textFill>
        </w:rPr>
      </w:pPr>
      <w:r>
        <w:rPr>
          <w:rFonts w:hint="eastAsia" w:ascii="宋体" w:hAnsi="宋体"/>
          <w:b/>
          <w:bCs/>
          <w:color w:val="000000" w:themeColor="text1"/>
          <w:sz w:val="28"/>
          <w:szCs w:val="28"/>
          <w:highlight w:val="none"/>
          <w:shd w:val="clear" w:color="auto" w:fill="auto"/>
          <w14:textFill>
            <w14:solidFill>
              <w14:schemeClr w14:val="tx1"/>
            </w14:solidFill>
          </w14:textFill>
        </w:rPr>
        <w:t xml:space="preserve">7. 货物包装、运输、保险和交付要求</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7.1 本合同</w:t>
      </w:r>
      <w:r>
        <w:rPr>
          <w:rFonts w:hint="eastAsia" w:ascii="宋体" w:hAnsi="宋体"/>
          <w:bCs/>
          <w:color w:val="000000" w:themeColor="text1"/>
          <w:sz w:val="28"/>
          <w:szCs w:val="28"/>
          <w:highlight w:val="none"/>
          <w:shd w:val="clear" w:color="auto" w:fill="auto"/>
          <w14:textFill>
            <w14:solidFill>
              <w14:schemeClr w14:val="tx1"/>
            </w14:solidFill>
          </w14:textFill>
        </w:rPr>
        <w:t xml:space="preserve">涉及商品包装、快递包装的，</w:t>
      </w:r>
      <w:r>
        <w:rPr>
          <w:rFonts w:hint="eastAsia" w:ascii="宋体" w:hAnsi="宋体"/>
          <w:color w:val="000000" w:themeColor="text1"/>
          <w:sz w:val="28"/>
          <w:szCs w:val="28"/>
          <w:highlight w:val="none"/>
          <w:shd w:val="clear" w:color="auto" w:fill="auto"/>
          <w14:textFill>
            <w14:solidFill>
              <w14:schemeClr w14:val="tx1"/>
            </w14:solidFill>
          </w14:textFill>
        </w:rPr>
        <w:t xml:space="preserve">除</w:t>
      </w:r>
      <w:r>
        <w:rPr>
          <w:rFonts w:hint="eastAsia" w:ascii="宋体" w:hAnsi="宋体"/>
          <w:b/>
          <w:color w:val="000000" w:themeColor="text1"/>
          <w:sz w:val="28"/>
          <w:szCs w:val="28"/>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另有约定外，</w:t>
      </w:r>
      <w:r>
        <w:rPr>
          <w:rFonts w:hint="eastAsia" w:ascii="宋体" w:hAnsi="宋体"/>
          <w:color w:val="000000" w:themeColor="text1"/>
          <w:sz w:val="28"/>
          <w:szCs w:val="28"/>
          <w:highlight w:val="none"/>
          <w:shd w:val="clear" w:color="auto" w:fill="auto"/>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 w:val="28"/>
          <w:szCs w:val="28"/>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 w:val="28"/>
          <w:szCs w:val="28"/>
          <w:highlight w:val="none"/>
          <w:shd w:val="clear" w:color="auto" w:fill="auto"/>
          <w14:textFill>
            <w14:solidFill>
              <w14:schemeClr w14:val="tx1"/>
            </w14:solidFill>
          </w14:textFill>
        </w:rPr>
        <w:t xml:space="preserve">约定的</w:t>
      </w:r>
      <w:r>
        <w:rPr>
          <w:rFonts w:hint="eastAsia" w:ascii="宋体" w:hAnsi="宋体"/>
          <w:color w:val="000000" w:themeColor="text1"/>
          <w:sz w:val="28"/>
          <w:szCs w:val="28"/>
          <w:highlight w:val="none"/>
          <w:shd w:val="clear" w:color="auto" w:fill="auto"/>
          <w14:textFill>
            <w14:solidFill>
              <w14:schemeClr w14:val="tx1"/>
            </w14:solidFill>
          </w14:textFill>
        </w:rPr>
        <w:t xml:space="preserve">指定现场。</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7.2 除</w:t>
      </w:r>
      <w:r>
        <w:rPr>
          <w:rFonts w:hint="eastAsia" w:ascii="宋体" w:hAnsi="宋体"/>
          <w:b/>
          <w:color w:val="000000" w:themeColor="text1"/>
          <w:sz w:val="28"/>
          <w:szCs w:val="28"/>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 w:val="28"/>
          <w:szCs w:val="28"/>
          <w:highlight w:val="none"/>
          <w:shd w:val="clear" w:color="auto" w:fill="auto"/>
          <w14:textFill>
            <w14:solidFill>
              <w14:schemeClr w14:val="tx1"/>
            </w14:solidFill>
          </w14:textFill>
        </w:rPr>
        <w:t xml:space="preserve">另有约定外，</w:t>
      </w:r>
      <w:r>
        <w:rPr>
          <w:rFonts w:hint="eastAsia" w:ascii="宋体" w:hAnsi="宋体"/>
          <w:color w:val="000000" w:themeColor="text1"/>
          <w:sz w:val="28"/>
          <w:szCs w:val="28"/>
          <w:highlight w:val="none"/>
          <w:shd w:val="clear" w:color="auto" w:fill="auto"/>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7.3 货物保险要求按</w:t>
      </w:r>
      <w:r>
        <w:rPr>
          <w:rFonts w:hint="eastAsia" w:ascii="宋体" w:hAnsi="宋体"/>
          <w:b/>
          <w:color w:val="000000" w:themeColor="text1"/>
          <w:sz w:val="28"/>
          <w:szCs w:val="28"/>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 w:val="28"/>
          <w:szCs w:val="28"/>
          <w:highlight w:val="none"/>
          <w:shd w:val="clear" w:color="auto" w:fill="auto"/>
          <w14:textFill>
            <w14:solidFill>
              <w14:schemeClr w14:val="tx1"/>
            </w14:solidFill>
          </w14:textFill>
        </w:rPr>
        <w:t xml:space="preserve">规定执行</w:t>
      </w:r>
      <w:r>
        <w:rPr>
          <w:rFonts w:hint="eastAsia" w:ascii="宋体" w:hAnsi="宋体"/>
          <w:color w:val="000000" w:themeColor="text1"/>
          <w:sz w:val="28"/>
          <w:szCs w:val="28"/>
          <w:highlight w:val="none"/>
          <w:shd w:val="clear" w:color="auto" w:fill="auto"/>
          <w14:textFill>
            <w14:solidFill>
              <w14:schemeClr w14:val="tx1"/>
            </w14:solidFill>
          </w14:textFill>
        </w:rPr>
        <w:t xml:space="preserve">。</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7.5 </w:t>
      </w:r>
      <w:r>
        <w:rPr>
          <w:rFonts w:hint="eastAsia" w:ascii="宋体" w:hAnsi="宋体" w:cs="宋体"/>
          <w:color w:val="000000"/>
          <w:sz w:val="28"/>
          <w:szCs w:val="28"/>
          <w:highlight w:val="none"/>
          <w:shd w:val="clear" w:color="auto" w:fill="auto"/>
        </w:rPr>
        <w:t xml:space="preserve">乙方在运输到达之前应提前通知甲方，并提示货物运输装卸的注意事项，甲方配合乙方做好货物的接收工作。</w:t>
      </w:r>
      <w:r/>
    </w:p>
    <w:p>
      <w:pPr>
        <w:pStyle w:val="868"/>
        <w:ind w:firstLine="420"/>
        <w:spacing w:line="360" w:lineRule="auto"/>
        <w:rPr>
          <w:rFonts w:hint="eastAsia"/>
          <w:sz w:val="28"/>
          <w:szCs w:val="28"/>
          <w:highlight w:val="none"/>
          <w:shd w:val="clear" w:color="auto" w:fill="auto"/>
        </w:rPr>
      </w:pPr>
      <w:r>
        <w:rPr>
          <w:rFonts w:hint="eastAsia" w:ascii="宋体" w:hAnsi="宋体" w:eastAsia="宋体" w:cs="Times New Roman"/>
          <w:color w:val="000000" w:themeColor="text1"/>
          <w:sz w:val="28"/>
          <w:szCs w:val="28"/>
          <w:highlight w:val="none"/>
          <w:shd w:val="clear" w:color="auto" w:fill="auto"/>
          <w14:textFill>
            <w14:solidFill>
              <w14:schemeClr w14:val="tx1"/>
            </w14:solidFill>
          </w14:textFill>
        </w:rPr>
        <w:t xml:space="preserve">7.6 </w:t>
      </w:r>
      <w:r>
        <w:rPr>
          <w:rFonts w:hint="eastAsia" w:ascii="宋体" w:hAnsi="宋体" w:eastAsia="宋体" w:cs="Times New Roman"/>
          <w:color w:val="000000"/>
          <w:sz w:val="28"/>
          <w:szCs w:val="28"/>
          <w:highlight w:val="none"/>
          <w:shd w:val="clear" w:color="auto" w:fill="auto"/>
        </w:rPr>
        <w:t xml:space="preserve">如因包装、运输问题导致货物</w:t>
      </w:r>
      <w:r>
        <w:rPr>
          <w:rFonts w:hint="eastAsia" w:ascii="宋体" w:hAnsi="宋体" w:eastAsia="宋体" w:cs="Times New Roman"/>
          <w:color w:val="000000" w:themeColor="text1"/>
          <w:sz w:val="28"/>
          <w:szCs w:val="28"/>
          <w:highlight w:val="none"/>
          <w:shd w:val="clear" w:color="auto" w:fill="auto"/>
          <w14:textFill>
            <w14:solidFill>
              <w14:schemeClr w14:val="tx1"/>
            </w14:solidFill>
          </w14:textFill>
        </w:rPr>
        <w:t xml:space="preserve">损毁、丢失</w:t>
      </w:r>
      <w:r>
        <w:rPr>
          <w:rFonts w:hint="eastAsia" w:ascii="宋体" w:hAnsi="宋体" w:eastAsia="宋体" w:cs="Times New Roman"/>
          <w:color w:val="000000"/>
          <w:sz w:val="28"/>
          <w:szCs w:val="28"/>
          <w:highlight w:val="none"/>
          <w:shd w:val="clear" w:color="auto" w:fill="auto"/>
        </w:rPr>
        <w:t xml:space="preserve">或者品质下降，甲方有权要求降价、换货、拒收部分或整批货物，由此产生的费用和损失，均由乙方承担。</w:t>
      </w:r>
      <w:r/>
    </w:p>
    <w:p>
      <w:pPr>
        <w:jc w:val="left"/>
        <w:spacing w:line="360" w:lineRule="auto"/>
        <w:rPr>
          <w:rFonts w:hint="eastAsia" w:ascii="宋体" w:hAnsi="宋体"/>
          <w:b/>
          <w:sz w:val="28"/>
          <w:szCs w:val="28"/>
          <w:highlight w:val="none"/>
          <w:shd w:val="clear" w:color="auto" w:fill="auto"/>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8. </w:t>
      </w:r>
      <w:r>
        <w:rPr>
          <w:rFonts w:hint="eastAsia" w:ascii="宋体" w:hAnsi="宋体"/>
          <w:b/>
          <w:sz w:val="28"/>
          <w:szCs w:val="28"/>
          <w:highlight w:val="none"/>
          <w:shd w:val="clear" w:color="auto" w:fill="auto"/>
        </w:rPr>
        <w:t xml:space="preserve">质量标准和保证</w:t>
      </w:r>
      <w:r/>
    </w:p>
    <w:p>
      <w:pPr>
        <w:pStyle w:val="861"/>
        <w:ind w:firstLine="560"/>
        <w:jc w:val="left"/>
        <w:spacing w:line="360" w:lineRule="auto"/>
        <w:rPr>
          <w:rFonts w:hint="eastAsia" w:hAnsi="宋体"/>
          <w:b/>
          <w:sz w:val="28"/>
          <w:szCs w:val="28"/>
          <w:highlight w:val="none"/>
          <w:shd w:val="clear" w:color="auto" w:fill="auto"/>
        </w:rPr>
      </w:pPr>
      <w:r>
        <w:rPr>
          <w:rFonts w:hint="eastAsia" w:hAnsi="宋体"/>
          <w:sz w:val="28"/>
          <w:szCs w:val="28"/>
          <w:highlight w:val="none"/>
          <w:shd w:val="clear" w:color="auto" w:fill="auto"/>
        </w:rPr>
        <w:t xml:space="preserve">8.1 质量标准</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（1）本合同下提供的货物应符合合同</w:t>
      </w:r>
      <w:r>
        <w:rPr>
          <w:rFonts w:hint="eastAsia" w:ascii="宋体" w:hAnsi="宋体" w:cs="宋体"/>
          <w:color w:val="000000"/>
          <w:sz w:val="28"/>
          <w:szCs w:val="28"/>
          <w:highlight w:val="none"/>
          <w:shd w:val="clear" w:color="auto" w:fill="auto"/>
        </w:rPr>
        <w:t xml:space="preserve">约定的</w:t>
      </w:r>
      <w:r>
        <w:rPr>
          <w:rFonts w:hint="eastAsia" w:ascii="宋体" w:hAnsi="宋体" w:cs="宋体"/>
          <w:sz w:val="28"/>
          <w:szCs w:val="28"/>
          <w:highlight w:val="none"/>
          <w:shd w:val="clear" w:color="auto" w:fill="auto"/>
        </w:rPr>
        <w:t xml:space="preserve">品牌、规格型号、技术性能、配置、质量、数量等要求。</w:t>
      </w:r>
      <w:r>
        <w:rPr>
          <w:rFonts w:hint="eastAsia" w:ascii="宋体" w:hAnsi="宋体"/>
          <w:sz w:val="28"/>
          <w:szCs w:val="28"/>
          <w:highlight w:val="none"/>
          <w:shd w:val="clear" w:color="auto" w:fill="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560"/>
        <w:jc w:val="left"/>
        <w:spacing w:line="360" w:lineRule="auto"/>
        <w:rPr>
          <w:rFonts w:hint="eastAsia" w:hAnsi="宋体"/>
          <w:sz w:val="28"/>
          <w:szCs w:val="28"/>
          <w:highlight w:val="none"/>
          <w:shd w:val="clear" w:color="auto" w:fill="auto"/>
        </w:rPr>
      </w:pPr>
      <w:r>
        <w:rPr>
          <w:rFonts w:hint="eastAsia" w:hAnsi="宋体"/>
          <w:sz w:val="28"/>
          <w:szCs w:val="28"/>
          <w:highlight w:val="none"/>
          <w:shd w:val="clear" w:color="auto" w:fill="auto"/>
        </w:rPr>
        <w:t xml:space="preserve">（2）采用中华人民共和国法定计量单位。</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（3）乙方所提供的货物应符合国家有关安全、环保、卫生的规定。</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8.2 保证</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（1）乙方应保证提供的货物完全符合合同规定的质量、规格和性能要求。乙方应保证货物在正确安装、正常使用和保养条件下，</w:t>
      </w:r>
      <w:r>
        <w:rPr>
          <w:rFonts w:hint="eastAsia" w:ascii="宋体" w:hAnsi="宋体" w:cs="宋体"/>
          <w:sz w:val="28"/>
          <w:szCs w:val="28"/>
          <w:highlight w:val="none"/>
          <w:shd w:val="clear" w:color="auto" w:fill="auto"/>
        </w:rPr>
        <w:t xml:space="preserve">在其使用寿命期内具备合同约定的性能</w:t>
      </w:r>
      <w:r>
        <w:rPr>
          <w:rFonts w:hint="eastAsia" w:ascii="宋体" w:hAnsi="宋体"/>
          <w:sz w:val="28"/>
          <w:szCs w:val="28"/>
          <w:highlight w:val="none"/>
          <w:shd w:val="clear" w:color="auto" w:fill="auto"/>
        </w:rPr>
        <w:t xml:space="preserve">。存在质量保证期的，货物最终交付验收合格后在</w:t>
      </w:r>
      <w:r>
        <w:rPr>
          <w:rFonts w:hint="eastAsia" w:ascii="宋体" w:hAnsi="宋体"/>
          <w:b/>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规定或乙方书面承诺（两者以较长的为准）的质量保证期内，本保证保持有效。</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（2）在质量保证期内所发现的缺陷，甲方应尽快以书面形式通知乙方。</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（3）乙方收到通知后，应在</w:t>
      </w:r>
      <w:r>
        <w:rPr>
          <w:rFonts w:hint="eastAsia" w:ascii="宋体" w:hAnsi="宋体"/>
          <w:b/>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规定的响应时间内以合理的速度免费维修或更换有缺陷的货物或部件。</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8"/>
          <w:szCs w:val="28"/>
          <w:highlight w:val="none"/>
          <w:shd w:val="clear" w:color="auto" w:fill="auto"/>
          <w14:textFill>
            <w14:solidFill>
              <w14:schemeClr w14:val="tx1"/>
            </w14:solidFill>
          </w14:textFill>
        </w:rPr>
        <w:t xml:space="preserve">5</w:t>
      </w:r>
      <w:r>
        <w:rPr>
          <w:rFonts w:hint="eastAsia" w:ascii="宋体" w:hAnsi="宋体"/>
          <w:sz w:val="28"/>
          <w:szCs w:val="28"/>
          <w:highlight w:val="none"/>
          <w:shd w:val="clear" w:color="auto" w:fill="auto"/>
        </w:rPr>
        <w:t xml:space="preserve">.1条规定以书面形式</w:t>
      </w:r>
      <w:r>
        <w:rPr>
          <w:rFonts w:hint="eastAsia" w:ascii="宋体" w:hAnsi="宋体"/>
          <w:color w:val="000000" w:themeColor="text1"/>
          <w:sz w:val="28"/>
          <w:szCs w:val="28"/>
          <w:highlight w:val="none"/>
          <w:shd w:val="clear" w:color="auto" w:fill="auto"/>
          <w14:textFill>
            <w14:solidFill>
              <w14:schemeClr w14:val="tx1"/>
            </w14:solidFill>
          </w14:textFill>
        </w:rPr>
        <w:t xml:space="preserve">追究</w:t>
      </w:r>
      <w:r>
        <w:rPr>
          <w:rFonts w:hint="eastAsia" w:ascii="宋体" w:hAnsi="宋体"/>
          <w:sz w:val="28"/>
          <w:szCs w:val="28"/>
          <w:highlight w:val="none"/>
          <w:shd w:val="clear" w:color="auto" w:fill="auto"/>
        </w:rPr>
        <w:t xml:space="preserve">乙方</w:t>
      </w:r>
      <w:r>
        <w:rPr>
          <w:rFonts w:hint="eastAsia" w:ascii="宋体" w:hAnsi="宋体"/>
          <w:color w:val="000000" w:themeColor="text1"/>
          <w:sz w:val="28"/>
          <w:szCs w:val="28"/>
          <w:highlight w:val="none"/>
          <w:shd w:val="clear" w:color="auto" w:fill="auto"/>
          <w14:textFill>
            <w14:solidFill>
              <w14:schemeClr w14:val="tx1"/>
            </w14:solidFill>
          </w14:textFill>
        </w:rPr>
        <w:t xml:space="preserve">的违约责任</w:t>
      </w:r>
      <w:r>
        <w:rPr>
          <w:rFonts w:hint="eastAsia" w:ascii="宋体" w:hAnsi="宋体"/>
          <w:sz w:val="28"/>
          <w:szCs w:val="28"/>
          <w:highlight w:val="none"/>
          <w:shd w:val="clear" w:color="auto" w:fill="auto"/>
        </w:rPr>
        <w:t xml:space="preserve">。</w:t>
      </w:r>
      <w:r/>
    </w:p>
    <w:p>
      <w:pPr>
        <w:ind w:firstLine="560"/>
        <w:jc w:val="left"/>
        <w:spacing w:line="360" w:lineRule="auto"/>
        <w:rPr>
          <w:rFonts w:hint="eastAsia"/>
          <w:sz w:val="28"/>
          <w:szCs w:val="28"/>
          <w:highlight w:val="none"/>
          <w:shd w:val="clear" w:color="auto" w:fill="auto"/>
        </w:rPr>
      </w:pPr>
      <w:r>
        <w:rPr>
          <w:rFonts w:hint="eastAsia" w:ascii="宋体" w:hAnsi="宋体"/>
          <w:sz w:val="28"/>
          <w:szCs w:val="28"/>
          <w:highlight w:val="none"/>
          <w:shd w:val="clear" w:color="auto" w:fill="auto"/>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8"/>
          <w:szCs w:val="28"/>
          <w:highlight w:val="none"/>
          <w:shd w:val="clear" w:color="auto" w:fill="auto"/>
        </w:rPr>
      </w:pPr>
      <w:r>
        <w:rPr>
          <w:rFonts w:hint="eastAsia" w:ascii="宋体" w:hAnsi="宋体"/>
          <w:b/>
          <w:bCs/>
          <w:color w:val="000000" w:themeColor="text1"/>
          <w:sz w:val="28"/>
          <w:szCs w:val="28"/>
          <w:highlight w:val="none"/>
          <w:shd w:val="clear" w:color="auto" w:fill="auto"/>
          <w14:textFill>
            <w14:solidFill>
              <w14:schemeClr w14:val="tx1"/>
            </w14:solidFill>
          </w14:textFill>
        </w:rPr>
        <w:t xml:space="preserve">9</w:t>
      </w:r>
      <w:r>
        <w:rPr>
          <w:rFonts w:hint="eastAsia" w:ascii="宋体" w:hAnsi="宋体"/>
          <w:b/>
          <w:bCs/>
          <w:sz w:val="28"/>
          <w:szCs w:val="28"/>
          <w:highlight w:val="none"/>
          <w:shd w:val="clear" w:color="auto" w:fill="auto"/>
        </w:rPr>
        <w:t xml:space="preserve">.</w:t>
      </w:r>
      <w:r>
        <w:rPr>
          <w:rFonts w:hint="eastAsia" w:ascii="宋体" w:hAnsi="宋体"/>
          <w:b/>
          <w:bCs/>
          <w:color w:val="000000" w:themeColor="text1"/>
          <w:sz w:val="28"/>
          <w:szCs w:val="28"/>
          <w:highlight w:val="none"/>
          <w:shd w:val="clear" w:color="auto" w:fill="auto"/>
          <w14:textFill>
            <w14:solidFill>
              <w14:schemeClr w14:val="tx1"/>
            </w14:solidFill>
          </w14:textFill>
        </w:rPr>
        <w:t xml:space="preserve"> </w:t>
      </w:r>
      <w:r>
        <w:rPr>
          <w:rFonts w:hint="eastAsia" w:ascii="宋体" w:hAnsi="宋体"/>
          <w:b/>
          <w:bCs/>
          <w:sz w:val="28"/>
          <w:szCs w:val="28"/>
          <w:highlight w:val="none"/>
          <w:shd w:val="clear" w:color="auto" w:fill="auto"/>
        </w:rPr>
        <w:t xml:space="preserve">权利瑕疵担保</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9.1 乙方保证对其出售的货物享有合法的权利。</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9.2 </w:t>
      </w:r>
      <w:r>
        <w:rPr>
          <w:rFonts w:hint="eastAsia" w:ascii="宋体" w:hAnsi="宋体" w:cs="宋体"/>
          <w:sz w:val="28"/>
          <w:szCs w:val="28"/>
          <w:highlight w:val="none"/>
          <w:shd w:val="clear" w:color="auto" w:fill="auto"/>
        </w:rPr>
        <w:t xml:space="preserve">乙方保证在交付的货物上不存在抵押权等担保物权。</w:t>
      </w:r>
      <w:r/>
    </w:p>
    <w:p>
      <w:pPr>
        <w:ind w:firstLine="560"/>
        <w:jc w:val="left"/>
        <w:spacing w:line="360" w:lineRule="auto"/>
        <w:rPr>
          <w:rFonts w:hint="eastAsia" w:ascii="宋体" w:hAnsi="宋体"/>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sz w:val="28"/>
          <w:szCs w:val="28"/>
          <w:highlight w:val="none"/>
          <w:shd w:val="clear" w:color="auto" w:fill="auto"/>
          <w14:textFill>
            <w14:solidFill>
              <w14:schemeClr w14:val="tx1"/>
            </w14:solidFill>
          </w14:textFill>
        </w:rPr>
        <w:t xml:space="preserve">9.3 如甲方使用上述货物构成对第三人侵权的，则由乙方承担全部责任。</w:t>
      </w:r>
      <w:r/>
    </w:p>
    <w:p>
      <w:pPr>
        <w:jc w:val="left"/>
        <w:spacing w:line="360" w:lineRule="auto"/>
        <w:rPr>
          <w:rFonts w:hint="eastAsia" w:ascii="宋体" w:hAnsi="宋体"/>
          <w:b/>
          <w:bCs/>
          <w:color w:val="000000" w:themeColor="text1"/>
          <w:sz w:val="28"/>
          <w:szCs w:val="28"/>
          <w:highlight w:val="none"/>
          <w:shd w:val="clear" w:color="auto" w:fill="auto"/>
          <w14:textFill>
            <w14:solidFill>
              <w14:schemeClr w14:val="tx1"/>
            </w14:solidFill>
          </w14:textFill>
        </w:rPr>
      </w:pPr>
      <w:r>
        <w:rPr>
          <w:rFonts w:hint="eastAsia" w:ascii="宋体" w:hAnsi="宋体"/>
          <w:b/>
          <w:bCs/>
          <w:color w:val="000000" w:themeColor="text1"/>
          <w:sz w:val="28"/>
          <w:szCs w:val="28"/>
          <w:highlight w:val="none"/>
          <w:shd w:val="clear" w:color="auto" w:fill="auto"/>
          <w14:textFill>
            <w14:solidFill>
              <w14:schemeClr w14:val="tx1"/>
            </w14:solidFill>
          </w14:textFill>
        </w:rPr>
        <w:t xml:space="preserve">10. 知识产权保护</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color w:val="000000" w:themeColor="text1"/>
          <w:sz w:val="28"/>
          <w:szCs w:val="28"/>
          <w:highlight w:val="none"/>
          <w:shd w:val="clear" w:color="auto" w:fill="auto"/>
          <w14:textFill>
            <w14:solidFill>
              <w14:schemeClr w14:val="tx1"/>
            </w14:solidFill>
          </w14:textFill>
        </w:rPr>
        <w:t xml:space="preserve">10.1 乙方对其所销售的货物应当享有知识产权或经权利人合法授权，保证没有侵犯任</w:t>
      </w:r>
      <w:r>
        <w:rPr>
          <w:rFonts w:hint="eastAsia" w:ascii="宋体" w:hAnsi="宋体"/>
          <w:sz w:val="28"/>
          <w:szCs w:val="28"/>
          <w:highlight w:val="none"/>
          <w:shd w:val="clear" w:color="auto" w:fill="auto"/>
        </w:rPr>
        <w:t xml:space="preserve">何第三人的知识产权等权利。</w:t>
      </w:r>
      <w:bookmarkStart w:id="178" w:name="_Hlk163047038"/>
      <w:r>
        <w:rPr>
          <w:rFonts w:hint="eastAsia" w:ascii="宋体" w:hAnsi="宋体" w:cs="宋体"/>
          <w:sz w:val="28"/>
          <w:szCs w:val="28"/>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78"/>
      <w:r>
        <w:rPr>
          <w:rFonts w:hint="eastAsia" w:ascii="宋体" w:hAnsi="宋体"/>
          <w:sz w:val="28"/>
          <w:szCs w:val="28"/>
          <w:highlight w:val="none"/>
          <w:shd w:val="clear" w:color="auto" w:fill="auto"/>
        </w:rPr>
        <w:t xml:space="preserve">。</w:t>
      </w:r>
      <w:r/>
    </w:p>
    <w:p>
      <w:p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11. 保密义务</w:t>
      </w:r>
      <w:r/>
    </w:p>
    <w:p>
      <w:pPr>
        <w:ind w:firstLine="560"/>
        <w:jc w:val="left"/>
        <w:spacing w:line="360" w:lineRule="auto"/>
        <w:rPr>
          <w:rFonts w:hint="eastAsia"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8"/>
          <w:szCs w:val="28"/>
          <w:highlight w:val="none"/>
          <w:shd w:val="clear" w:color="auto" w:fill="auto"/>
        </w:rPr>
        <w:t xml:space="preserve">【政府采购合同专用条款】</w:t>
      </w:r>
      <w:r>
        <w:rPr>
          <w:rFonts w:hint="eastAsia" w:ascii="宋体" w:hAnsi="宋体" w:cs="宋体"/>
          <w:sz w:val="28"/>
          <w:szCs w:val="28"/>
          <w:highlight w:val="none"/>
          <w:shd w:val="clear" w:color="auto" w:fill="auto"/>
        </w:rPr>
        <w:t xml:space="preserve">中约定。</w:t>
      </w:r>
      <w:r/>
    </w:p>
    <w:p>
      <w:p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12. 合同价款支付</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12.1 合同价款支付按照国库集中支付制度及财政管理相关规定执行。</w:t>
      </w:r>
      <w:r/>
    </w:p>
    <w:p>
      <w:pPr>
        <w:pStyle w:val="856"/>
        <w:ind w:firstLine="560"/>
        <w:spacing w:line="360" w:lineRule="auto"/>
        <w:rPr>
          <w:rFonts w:hint="eastAsia"/>
          <w:sz w:val="28"/>
          <w:szCs w:val="28"/>
          <w:highlight w:val="none"/>
          <w:shd w:val="clear" w:color="auto" w:fill="auto"/>
        </w:rPr>
      </w:pPr>
      <w:r>
        <w:rPr>
          <w:rFonts w:hint="eastAsia" w:ascii="宋体" w:hAnsi="宋体"/>
          <w:b w:val="0"/>
          <w:bCs w:val="0"/>
          <w:sz w:val="28"/>
          <w:szCs w:val="28"/>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8"/>
          <w:szCs w:val="28"/>
          <w:highlight w:val="none"/>
          <w:shd w:val="clear" w:color="auto" w:fill="auto"/>
        </w:rPr>
        <w:t xml:space="preserve">政府采购合同专用条款</w:t>
      </w:r>
      <w:r>
        <w:rPr>
          <w:rFonts w:hint="eastAsia" w:ascii="宋体" w:hAnsi="宋体"/>
          <w:b w:val="0"/>
          <w:bCs w:val="0"/>
          <w:sz w:val="28"/>
          <w:szCs w:val="28"/>
          <w:highlight w:val="none"/>
          <w:shd w:val="clear" w:color="auto" w:fill="auto"/>
        </w:rPr>
        <w:t xml:space="preserve">】中约定。</w:t>
      </w:r>
      <w:r/>
    </w:p>
    <w:p>
      <w:pPr>
        <w:pStyle w:val="860"/>
        <w:spacing w:after="0" w:line="360" w:lineRule="auto"/>
        <w:rPr>
          <w:rFonts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13. 履约保证金</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13.1 </w:t>
      </w:r>
      <w:r>
        <w:rPr>
          <w:rFonts w:hint="eastAsia" w:ascii="宋体" w:hAnsi="宋体" w:cs="宋体"/>
          <w:sz w:val="28"/>
          <w:szCs w:val="28"/>
          <w:highlight w:val="none"/>
          <w:shd w:val="clear" w:color="auto" w:fill="auto"/>
        </w:rPr>
        <w:t xml:space="preserve">乙方应当以支票、汇票、本票或者金融机构、担保机构出具的保函等非现金形式提交。</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13.2 如果乙方出现</w:t>
      </w:r>
      <w:r>
        <w:rPr>
          <w:rFonts w:hint="eastAsia" w:ascii="宋体" w:hAnsi="宋体" w:cs="宋体"/>
          <w:b/>
          <w:bCs/>
          <w:sz w:val="28"/>
          <w:szCs w:val="28"/>
          <w:highlight w:val="none"/>
          <w:shd w:val="clear" w:color="auto" w:fill="auto"/>
        </w:rPr>
        <w:t xml:space="preserve">【政府采购合同专用条款】</w:t>
      </w:r>
      <w:r>
        <w:rPr>
          <w:rFonts w:hint="eastAsia" w:ascii="宋体" w:hAnsi="宋体" w:cs="宋体"/>
          <w:sz w:val="28"/>
          <w:szCs w:val="28"/>
          <w:highlight w:val="none"/>
          <w:shd w:val="clear" w:color="auto" w:fill="auto"/>
        </w:rPr>
        <w:t xml:space="preserve">约定情形的</w:t>
      </w:r>
      <w:r>
        <w:rPr>
          <w:rFonts w:hint="eastAsia" w:ascii="宋体" w:hAnsi="宋体"/>
          <w:sz w:val="28"/>
          <w:szCs w:val="28"/>
          <w:highlight w:val="none"/>
          <w:shd w:val="clear" w:color="auto" w:fill="auto"/>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sz w:val="28"/>
          <w:szCs w:val="28"/>
          <w:highlight w:val="none"/>
          <w:shd w:val="clear" w:color="auto" w:fill="auto"/>
        </w:rPr>
      </w:pPr>
      <w:r>
        <w:rPr>
          <w:rFonts w:hint="eastAsia" w:ascii="宋体" w:hAnsi="宋体"/>
          <w:sz w:val="28"/>
          <w:szCs w:val="28"/>
          <w:highlight w:val="none"/>
          <w:shd w:val="clear" w:color="auto" w:fill="auto"/>
        </w:rPr>
        <w:t xml:space="preserve">13.3 甲方在项目通过验收后按照</w:t>
      </w:r>
      <w:r>
        <w:rPr>
          <w:rFonts w:hint="eastAsia" w:ascii="宋体" w:hAnsi="宋体"/>
          <w:b/>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规定的时间内将履约保证金退还乙方；逾期退还的，乙方可要求甲方支付违约金，违约金按照</w:t>
      </w:r>
      <w:r>
        <w:rPr>
          <w:rFonts w:hint="eastAsia" w:ascii="宋体" w:hAnsi="宋体"/>
          <w:b/>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规定支付。</w:t>
      </w:r>
      <w:r/>
    </w:p>
    <w:p>
      <w:pPr>
        <w:jc w:val="left"/>
        <w:spacing w:line="360" w:lineRule="auto"/>
        <w:rPr>
          <w:rFonts w:ascii="宋体" w:hAnsi="宋体"/>
          <w:b/>
          <w:sz w:val="28"/>
          <w:szCs w:val="28"/>
          <w:highlight w:val="none"/>
          <w:shd w:val="clear" w:color="auto" w:fill="auto"/>
        </w:rPr>
      </w:pPr>
      <w:r>
        <w:rPr>
          <w:rFonts w:hint="eastAsia" w:ascii="宋体" w:hAnsi="宋体"/>
          <w:b/>
          <w:bCs/>
          <w:sz w:val="28"/>
          <w:szCs w:val="28"/>
          <w:highlight w:val="none"/>
          <w:shd w:val="clear" w:color="auto" w:fill="auto"/>
        </w:rPr>
        <w:t xml:space="preserve">14. </w:t>
      </w:r>
      <w:r>
        <w:rPr>
          <w:rFonts w:hint="eastAsia"/>
          <w:b/>
          <w:sz w:val="28"/>
          <w:szCs w:val="28"/>
          <w:highlight w:val="none"/>
          <w:shd w:val="clear" w:color="auto" w:fill="auto"/>
        </w:rPr>
        <w:t xml:space="preserve">售后</w:t>
      </w:r>
      <w:r>
        <w:rPr>
          <w:rFonts w:hint="eastAsia" w:ascii="宋体" w:hAnsi="宋体"/>
          <w:b/>
          <w:sz w:val="28"/>
          <w:szCs w:val="28"/>
          <w:highlight w:val="none"/>
          <w:shd w:val="clear" w:color="auto" w:fill="auto"/>
        </w:rPr>
        <w:t xml:space="preserve">服务</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14.1 除项目不涉及或采购活动中明确约定无须承担外，乙方还应提供下列服务：</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（1）货物的现场移动、安装、调试、启动监督及技术支持；</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（2）提供货物组装和维修所需的专用工具和辅助材料；</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（3）在</w:t>
      </w:r>
      <w:r>
        <w:rPr>
          <w:rFonts w:hint="eastAsia" w:ascii="宋体" w:hAnsi="宋体" w:cs="宋体"/>
          <w:b/>
          <w:bCs/>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约定的期限内对所有的货物实施运行监督、维修，但前提条件是该服务并不能免除乙方在质量保证期内所承担的义务；</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（4）在制造商所在地或指定现场就货物的安装、启动、运营、维护、废弃处置等对甲方操作人员进行培训</w:t>
      </w:r>
      <w:r>
        <w:rPr>
          <w:rFonts w:hint="eastAsia" w:ascii="宋体" w:hAnsi="宋体" w:cs="宋体"/>
          <w:sz w:val="28"/>
          <w:szCs w:val="28"/>
          <w:highlight w:val="none"/>
          <w:shd w:val="clear" w:color="auto" w:fill="auto"/>
        </w:rPr>
        <w:t xml:space="preserve">；</w:t>
      </w:r>
      <w:r/>
    </w:p>
    <w:p>
      <w:pPr>
        <w:pStyle w:val="868"/>
        <w:ind w:firstLine="420"/>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（5）依照法律、行政法规的规定或者按照</w:t>
      </w:r>
      <w:r>
        <w:rPr>
          <w:rFonts w:hint="eastAsia" w:ascii="宋体" w:hAnsi="宋体" w:eastAsia="宋体" w:cs="宋体"/>
          <w:b/>
          <w:bCs/>
          <w:sz w:val="28"/>
          <w:szCs w:val="28"/>
          <w:highlight w:val="none"/>
          <w:shd w:val="clear" w:color="auto" w:fill="auto"/>
        </w:rPr>
        <w:t xml:space="preserve">【政府采购合同专用条款】</w:t>
      </w:r>
      <w:r>
        <w:rPr>
          <w:rFonts w:hint="eastAsia" w:ascii="宋体" w:hAnsi="宋体" w:eastAsia="宋体" w:cs="宋体"/>
          <w:sz w:val="28"/>
          <w:szCs w:val="28"/>
          <w:highlight w:val="none"/>
          <w:shd w:val="clear" w:color="auto" w:fill="auto"/>
        </w:rPr>
        <w:t xml:space="preserve">约定，货物在有效使用年限届满后应予回收的，乙方负有自行或者委托第三人对货物予以回收的义务；</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（6）</w:t>
      </w:r>
      <w:r>
        <w:rPr>
          <w:rFonts w:hint="eastAsia" w:ascii="宋体" w:hAnsi="宋体"/>
          <w:b/>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规定由乙方提供的其他服务。</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14.2 乙方提供的售后服务的费用已包含在合同价款中，甲方不再另行支付。</w:t>
      </w:r>
      <w:r/>
    </w:p>
    <w:p>
      <w:p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15. 违约责任</w:t>
      </w:r>
      <w:r/>
    </w:p>
    <w:p>
      <w:pPr>
        <w:ind w:firstLine="560"/>
        <w:jc w:val="left"/>
        <w:spacing w:line="360" w:lineRule="auto"/>
        <w:rPr>
          <w:rFonts w:hint="eastAsia" w:ascii="宋体" w:hAnsi="宋体"/>
          <w:bCs/>
          <w:sz w:val="28"/>
          <w:szCs w:val="28"/>
          <w:highlight w:val="none"/>
          <w:shd w:val="clear" w:color="auto" w:fill="auto"/>
        </w:rPr>
      </w:pPr>
      <w:r>
        <w:rPr>
          <w:rFonts w:hint="eastAsia" w:ascii="宋体" w:hAnsi="宋体"/>
          <w:bCs/>
          <w:sz w:val="28"/>
          <w:szCs w:val="28"/>
          <w:highlight w:val="none"/>
          <w:shd w:val="clear" w:color="auto" w:fill="auto"/>
        </w:rPr>
        <w:t xml:space="preserve">15.1质量瑕疵的违约责任</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乙方提供的产品不符合合同约定的质量标准或存在产品质量缺陷，甲方有权要求乙方根据</w:t>
      </w:r>
      <w:r>
        <w:rPr>
          <w:rFonts w:hint="eastAsia" w:ascii="宋体" w:hAnsi="宋体"/>
          <w:b/>
          <w:sz w:val="28"/>
          <w:szCs w:val="28"/>
          <w:highlight w:val="none"/>
          <w:shd w:val="clear" w:color="auto" w:fill="auto"/>
        </w:rPr>
        <w:t xml:space="preserve">【政府采购合同专用条款】</w:t>
      </w:r>
      <w:r>
        <w:rPr>
          <w:rFonts w:hint="eastAsia" w:ascii="宋体" w:hAnsi="宋体"/>
          <w:bCs/>
          <w:sz w:val="28"/>
          <w:szCs w:val="28"/>
          <w:highlight w:val="none"/>
          <w:shd w:val="clear" w:color="auto" w:fill="auto"/>
        </w:rPr>
        <w:t xml:space="preserve">要求</w:t>
      </w:r>
      <w:r>
        <w:rPr>
          <w:rFonts w:hint="eastAsia" w:ascii="宋体" w:hAnsi="宋体"/>
          <w:sz w:val="28"/>
          <w:szCs w:val="28"/>
          <w:highlight w:val="none"/>
          <w:shd w:val="clear" w:color="auto" w:fill="auto"/>
        </w:rPr>
        <w:t xml:space="preserve">及时修理、重作、更换，并承担由此给甲方造成的损失。</w:t>
      </w:r>
      <w:r/>
    </w:p>
    <w:p>
      <w:pPr>
        <w:ind w:firstLine="560"/>
        <w:jc w:val="left"/>
        <w:spacing w:line="360" w:lineRule="auto"/>
        <w:rPr>
          <w:rFonts w:hint="eastAsia" w:ascii="宋体" w:hAnsi="宋体"/>
          <w:bCs/>
          <w:sz w:val="28"/>
          <w:szCs w:val="28"/>
          <w:highlight w:val="none"/>
          <w:shd w:val="clear" w:color="auto" w:fill="auto"/>
        </w:rPr>
      </w:pPr>
      <w:r>
        <w:rPr>
          <w:rFonts w:hint="eastAsia" w:ascii="宋体" w:hAnsi="宋体"/>
          <w:bCs/>
          <w:sz w:val="28"/>
          <w:szCs w:val="28"/>
          <w:highlight w:val="none"/>
          <w:shd w:val="clear" w:color="auto" w:fill="auto"/>
        </w:rPr>
        <w:t xml:space="preserve">15.2 迟延交货的违约责任</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b/>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规定执行。如果涉及公共利益，且赔偿金额无法弥补公共利益损失，甲方可要求继续履行或者采取其他补救措施。</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15.3 迟延支付的违约责任</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甲方存在迟延支付乙方合同款项的，应当承担</w:t>
      </w:r>
      <w:r>
        <w:rPr>
          <w:rFonts w:hint="eastAsia" w:ascii="宋体" w:hAnsi="宋体"/>
          <w:b/>
          <w:bCs/>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规定的逾期付款利息。</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bCs/>
          <w:sz w:val="28"/>
          <w:szCs w:val="28"/>
          <w:highlight w:val="none"/>
          <w:shd w:val="clear" w:color="auto" w:fill="auto"/>
        </w:rPr>
        <w:t xml:space="preserve">15.4其他违约责任根据项目实际需要按</w:t>
      </w:r>
      <w:r>
        <w:rPr>
          <w:rFonts w:hint="eastAsia" w:ascii="宋体" w:hAnsi="宋体"/>
          <w:b/>
          <w:bCs/>
          <w:sz w:val="28"/>
          <w:szCs w:val="28"/>
          <w:highlight w:val="none"/>
          <w:shd w:val="clear" w:color="auto" w:fill="auto"/>
        </w:rPr>
        <w:t xml:space="preserve">【政府采购合同专用条款】</w:t>
      </w:r>
      <w:r>
        <w:rPr>
          <w:rFonts w:hint="eastAsia" w:ascii="宋体" w:hAnsi="宋体"/>
          <w:sz w:val="28"/>
          <w:szCs w:val="28"/>
          <w:highlight w:val="none"/>
          <w:shd w:val="clear" w:color="auto" w:fill="auto"/>
        </w:rPr>
        <w:t xml:space="preserve">规定执行。</w:t>
      </w:r>
      <w:r/>
    </w:p>
    <w:p>
      <w:pPr>
        <w:numPr>
          <w:ilvl w:val="0"/>
          <w:numId w:val="7"/>
        </w:numPr>
        <w:jc w:val="left"/>
        <w:spacing w:line="360" w:lineRule="auto"/>
        <w:rPr>
          <w:rFonts w:hint="eastAsia" w:ascii="宋体" w:hAnsi="宋体"/>
          <w:b/>
          <w:sz w:val="28"/>
          <w:szCs w:val="28"/>
          <w:highlight w:val="none"/>
          <w:shd w:val="clear" w:color="auto" w:fill="auto"/>
        </w:rPr>
      </w:pPr>
      <w:r>
        <w:rPr>
          <w:rFonts w:hint="eastAsia" w:ascii="宋体" w:hAnsi="宋体"/>
          <w:b/>
          <w:sz w:val="28"/>
          <w:szCs w:val="28"/>
          <w:highlight w:val="none"/>
          <w:shd w:val="clear" w:color="auto" w:fill="auto"/>
        </w:rPr>
        <w:t xml:space="preserve">合同变更、中止与终止</w:t>
      </w:r>
      <w:r/>
    </w:p>
    <w:p>
      <w:pPr>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    16.1合同的变更</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16.2合同的中止</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（1）合同履行过程中因供应商就采购文件、采购过程或结果提起投诉的，甲方认为有必要的，可以中止合同的履行。</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8"/>
        <w:ind w:firstLine="420"/>
        <w:jc w:val="both"/>
        <w:spacing w:line="360" w:lineRule="auto"/>
        <w:rPr>
          <w:rFonts w:hint="eastAsia"/>
          <w:sz w:val="28"/>
          <w:szCs w:val="28"/>
          <w:highlight w:val="none"/>
          <w:shd w:val="clear" w:color="auto" w:fill="auto"/>
        </w:rPr>
      </w:pPr>
      <w:r>
        <w:rPr>
          <w:rFonts w:hint="eastAsia" w:ascii="宋体" w:hAnsi="宋体" w:eastAsia="宋体" w:cs="宋体"/>
          <w:sz w:val="28"/>
          <w:szCs w:val="28"/>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360" w:lineRule="auto"/>
        <w:rPr>
          <w:rFonts w:hint="eastAsia"/>
          <w:sz w:val="28"/>
          <w:szCs w:val="28"/>
          <w:highlight w:val="none"/>
          <w:shd w:val="clear" w:color="auto" w:fill="auto"/>
        </w:rPr>
      </w:pPr>
      <w:r>
        <w:rPr>
          <w:rFonts w:hint="eastAsia" w:ascii="宋体" w:hAnsi="宋体"/>
          <w:sz w:val="28"/>
          <w:szCs w:val="28"/>
          <w:highlight w:val="none"/>
          <w:shd w:val="clear" w:color="auto" w:fill="auto"/>
        </w:rPr>
        <w:t xml:space="preserve">（4）甲方不得以行政区划调整、政府换届、机构或者职能调整以及相关责任人更替为由中止合同。</w:t>
      </w:r>
      <w:r/>
    </w:p>
    <w:p>
      <w:pPr>
        <w:ind w:firstLine="560"/>
        <w:jc w:val="left"/>
        <w:spacing w:line="360" w:lineRule="auto"/>
        <w:rPr>
          <w:rFonts w:ascii="宋体" w:hAnsi="宋体"/>
          <w:sz w:val="28"/>
          <w:szCs w:val="28"/>
          <w:highlight w:val="none"/>
          <w:shd w:val="clear" w:color="auto" w:fill="auto"/>
        </w:rPr>
      </w:pPr>
      <w:r>
        <w:rPr>
          <w:rFonts w:hint="eastAsia" w:ascii="宋体" w:hAnsi="宋体"/>
          <w:sz w:val="28"/>
          <w:szCs w:val="28"/>
          <w:highlight w:val="none"/>
          <w:shd w:val="clear" w:color="auto" w:fill="auto"/>
        </w:rPr>
        <w:t xml:space="preserve">16.3合同的终止</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（1）合同因有效期限届满而终止；</w:t>
      </w:r>
      <w:r/>
    </w:p>
    <w:p>
      <w:pPr>
        <w:ind w:firstLine="560"/>
        <w:spacing w:line="360" w:lineRule="auto"/>
        <w:rPr>
          <w:rFonts w:hint="eastAsia" w:ascii="宋体" w:hAnsi="宋体" w:cs="宋体"/>
          <w:sz w:val="28"/>
          <w:szCs w:val="28"/>
          <w:highlight w:val="none"/>
          <w:shd w:val="clear" w:color="auto" w:fill="auto"/>
        </w:rPr>
      </w:pPr>
      <w:r>
        <w:rPr>
          <w:rFonts w:hint="eastAsia" w:ascii="宋体" w:hAnsi="宋体"/>
          <w:sz w:val="28"/>
          <w:szCs w:val="28"/>
          <w:highlight w:val="none"/>
          <w:shd w:val="clear" w:color="auto" w:fill="auto"/>
        </w:rPr>
        <w:t xml:space="preserve">（2）乙方未按合同约定履行，构成根本性违约的，甲方有权终止合同，</w:t>
      </w:r>
      <w:r>
        <w:rPr>
          <w:rFonts w:hint="eastAsia" w:ascii="宋体" w:hAnsi="宋体" w:cs="宋体"/>
          <w:sz w:val="28"/>
          <w:szCs w:val="28"/>
          <w:highlight w:val="none"/>
          <w:shd w:val="clear" w:color="auto" w:fill="auto"/>
        </w:rPr>
        <w:t xml:space="preserve">并追究乙方的违约责任</w:t>
      </w:r>
      <w:r>
        <w:rPr>
          <w:rFonts w:hint="eastAsia" w:ascii="宋体" w:hAnsi="宋体"/>
          <w:sz w:val="28"/>
          <w:szCs w:val="28"/>
          <w:highlight w:val="none"/>
          <w:shd w:val="clear" w:color="auto" w:fill="auto"/>
        </w:rPr>
        <w:t xml:space="preserve">。</w:t>
      </w:r>
      <w:r/>
    </w:p>
    <w:p>
      <w:pPr>
        <w:pStyle w:val="868"/>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16.4 </w:t>
      </w:r>
      <w:r>
        <w:rPr>
          <w:rFonts w:hint="eastAsia" w:ascii="宋体" w:hAnsi="宋体" w:eastAsia="宋体" w:cs="Times New Roman"/>
          <w:sz w:val="28"/>
          <w:szCs w:val="28"/>
          <w:highlight w:val="none"/>
          <w:shd w:val="clear" w:color="auto" w:fill="auto"/>
        </w:rPr>
        <w:t xml:space="preserve">涉及国家利益、社会公共利益的情形</w:t>
      </w:r>
      <w:r/>
    </w:p>
    <w:p>
      <w:pPr>
        <w:pStyle w:val="868"/>
        <w:ind w:firstLine="420"/>
        <w:jc w:val="both"/>
        <w:spacing w:line="360" w:lineRule="auto"/>
        <w:rPr>
          <w:rFonts w:hint="eastAsia"/>
          <w:sz w:val="28"/>
          <w:szCs w:val="28"/>
          <w:highlight w:val="none"/>
          <w:shd w:val="clear" w:color="auto" w:fill="auto"/>
        </w:rPr>
      </w:pPr>
      <w:r>
        <w:rPr>
          <w:rFonts w:hint="eastAsia" w:ascii="宋体" w:hAnsi="宋体" w:eastAsia="宋体" w:cs="宋体"/>
          <w:sz w:val="28"/>
          <w:szCs w:val="28"/>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17. 合同分包</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17.1 乙方不得将合同转包给其他供应商。涉及合同分包的，乙方应根据采购文件和投标（响应）文件规定进行合同分包。</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18. 不可抗力</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18.1 不可抗力是指合同双方不能预见、不能避免且不能克服的客观情况。</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18.2 任何一方对由于不可抗力造成的部分或全部不能履行合同不承担违约责任。但迟延履行后发生不可抗力的，不能免除责任。</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19. 解决争议的方法</w:t>
      </w:r>
      <w:r/>
    </w:p>
    <w:p>
      <w:pPr>
        <w:pStyle w:val="868"/>
        <w:ind w:firstLine="420"/>
        <w:jc w:val="both"/>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68"/>
        <w:ind w:firstLine="420"/>
        <w:jc w:val="both"/>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19.2选择仲裁的，应在</w:t>
      </w:r>
      <w:r>
        <w:rPr>
          <w:rFonts w:hint="eastAsia" w:ascii="宋体" w:hAnsi="宋体" w:eastAsia="宋体" w:cs="宋体"/>
          <w:b/>
          <w:bCs/>
          <w:sz w:val="28"/>
          <w:szCs w:val="28"/>
          <w:highlight w:val="none"/>
          <w:shd w:val="clear" w:color="auto" w:fill="auto"/>
        </w:rPr>
        <w:t xml:space="preserve">【政府采购合同专用条款】</w:t>
      </w:r>
      <w:r>
        <w:rPr>
          <w:rFonts w:hint="eastAsia" w:ascii="宋体" w:hAnsi="宋体" w:eastAsia="宋体" w:cs="宋体"/>
          <w:sz w:val="28"/>
          <w:szCs w:val="28"/>
          <w:highlight w:val="none"/>
          <w:shd w:val="clear" w:color="auto" w:fill="auto"/>
        </w:rPr>
        <w:t xml:space="preserve">中明确仲裁机构及仲裁地；通过诉讼方式解决的，可以在</w:t>
      </w:r>
      <w:r>
        <w:rPr>
          <w:rFonts w:hint="eastAsia" w:ascii="宋体" w:hAnsi="宋体" w:eastAsia="宋体" w:cs="宋体"/>
          <w:b/>
          <w:bCs/>
          <w:sz w:val="28"/>
          <w:szCs w:val="28"/>
          <w:highlight w:val="none"/>
          <w:shd w:val="clear" w:color="auto" w:fill="auto"/>
        </w:rPr>
        <w:t xml:space="preserve">【政府采购合同专用条款】</w:t>
      </w:r>
      <w:r>
        <w:rPr>
          <w:rFonts w:hint="eastAsia" w:ascii="宋体" w:hAnsi="宋体" w:eastAsia="宋体" w:cs="宋体"/>
          <w:sz w:val="28"/>
          <w:szCs w:val="28"/>
          <w:highlight w:val="none"/>
          <w:shd w:val="clear" w:color="auto" w:fill="auto"/>
        </w:rPr>
        <w:t xml:space="preserve">中进一步约定选择与争议有实际联系的地点的人民法院管辖，但管辖法院的约定不得违反级别管辖和专属管辖的规定。</w:t>
      </w:r>
      <w:r/>
    </w:p>
    <w:p>
      <w:pPr>
        <w:pStyle w:val="868"/>
        <w:ind w:firstLine="420"/>
        <w:jc w:val="both"/>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19.3如甲乙双方有争议的事项不影响合同其他部分的履行，在争议解决期间，合同其他部分应当继续履行。</w:t>
      </w:r>
      <w:r/>
    </w:p>
    <w:p>
      <w:pPr>
        <w:jc w:val="left"/>
        <w:spacing w:line="360" w:lineRule="auto"/>
        <w:rPr>
          <w:rFonts w:hint="eastAsia" w:ascii="宋体" w:hAnsi="宋体"/>
          <w:sz w:val="28"/>
          <w:szCs w:val="28"/>
          <w:highlight w:val="none"/>
          <w:shd w:val="clear" w:color="auto" w:fill="auto"/>
        </w:rPr>
      </w:pPr>
      <w:r>
        <w:rPr>
          <w:rFonts w:hint="eastAsia" w:ascii="宋体" w:hAnsi="宋体"/>
          <w:b/>
          <w:sz w:val="28"/>
          <w:szCs w:val="28"/>
          <w:highlight w:val="none"/>
          <w:shd w:val="clear" w:color="auto" w:fill="auto"/>
        </w:rPr>
        <w:t xml:space="preserve">20. 政府采购政策</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20.1</w:t>
      </w:r>
      <w:r>
        <w:rPr>
          <w:rFonts w:hint="eastAsia" w:ascii="宋体" w:hAnsi="宋体" w:cs="宋体"/>
          <w:sz w:val="28"/>
          <w:szCs w:val="28"/>
          <w:highlight w:val="none"/>
          <w:shd w:val="clear" w:color="auto" w:fill="auto"/>
          <w:lang w:val="en-GB"/>
        </w:rPr>
        <w:t xml:space="preserve">本合同应当按照规定执行政府采购政策。</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20.2本合同依法执行政府采购政策的方式和内容，属于合同履约验收的范围。</w:t>
      </w:r>
      <w:r>
        <w:rPr>
          <w:rFonts w:hint="eastAsia" w:ascii="宋体" w:hAnsi="宋体" w:cs="宋体"/>
          <w:sz w:val="28"/>
          <w:szCs w:val="28"/>
          <w:highlight w:val="none"/>
          <w:shd w:val="clear" w:color="auto" w:fill="auto"/>
        </w:rPr>
        <w:t xml:space="preserve">甲乙双方</w:t>
      </w:r>
      <w:r>
        <w:rPr>
          <w:rFonts w:hint="eastAsia" w:ascii="宋体" w:hAnsi="宋体" w:cs="宋体"/>
          <w:sz w:val="28"/>
          <w:szCs w:val="28"/>
          <w:highlight w:val="none"/>
          <w:shd w:val="clear" w:color="auto" w:fill="auto"/>
          <w:lang w:val="en-GB"/>
        </w:rPr>
        <w:t xml:space="preserve">未按规定要求执行政府采购政策造成损失的</w:t>
      </w:r>
      <w:r>
        <w:rPr>
          <w:rFonts w:hint="eastAsia" w:ascii="宋体" w:hAnsi="宋体"/>
          <w:sz w:val="28"/>
          <w:szCs w:val="28"/>
          <w:highlight w:val="none"/>
          <w:shd w:val="clear" w:color="auto" w:fill="auto"/>
        </w:rPr>
        <w:t xml:space="preserve">，有过错的一方应当承担赔偿责任，双方都有过错的，各自承担相应的责任。</w:t>
      </w:r>
      <w:r/>
    </w:p>
    <w:p>
      <w:pPr>
        <w:pStyle w:val="860"/>
        <w:ind w:firstLine="560"/>
        <w:spacing w:after="0" w:line="360" w:lineRule="auto"/>
        <w:rPr>
          <w:rFonts w:hint="eastAsia"/>
          <w:sz w:val="28"/>
          <w:szCs w:val="28"/>
          <w:highlight w:val="none"/>
          <w:shd w:val="clear" w:color="auto" w:fill="auto"/>
        </w:rPr>
      </w:pPr>
      <w:r>
        <w:rPr>
          <w:rFonts w:hint="eastAsia" w:ascii="宋体" w:hAnsi="宋体"/>
          <w:sz w:val="28"/>
          <w:szCs w:val="28"/>
          <w:highlight w:val="none"/>
          <w:shd w:val="clear" w:color="auto" w:fill="auto"/>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8"/>
          <w:szCs w:val="28"/>
          <w:highlight w:val="none"/>
          <w:shd w:val="clear" w:color="auto" w:fill="auto"/>
        </w:rPr>
      </w:pPr>
      <w:r>
        <w:rPr>
          <w:rFonts w:hint="eastAsia" w:ascii="宋体" w:hAnsi="宋体"/>
          <w:b/>
          <w:sz w:val="28"/>
          <w:szCs w:val="28"/>
          <w:highlight w:val="none"/>
          <w:shd w:val="clear" w:color="auto" w:fill="auto"/>
        </w:rPr>
        <w:t xml:space="preserve">21. 法律适用</w:t>
      </w:r>
      <w:r/>
    </w:p>
    <w:p>
      <w:pPr>
        <w:pStyle w:val="868"/>
        <w:ind w:firstLine="420"/>
        <w:jc w:val="both"/>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21.1本合同的订立、生效、解释、履行及与本合同有关的争议解决，均适用法律、行政法规。</w:t>
      </w:r>
      <w:r/>
    </w:p>
    <w:p>
      <w:pPr>
        <w:pStyle w:val="868"/>
        <w:ind w:firstLine="420"/>
        <w:jc w:val="both"/>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21.2本合同条款与法律、行政法规的强制性规定不一致的，双方当事人应按照法律、行政法规的强制性规定修改本合同的相关条款。</w:t>
      </w:r>
      <w:r/>
    </w:p>
    <w:p>
      <w:pPr>
        <w:jc w:val="left"/>
        <w:spacing w:line="360" w:lineRule="auto"/>
        <w:rPr>
          <w:rFonts w:hint="eastAsia" w:ascii="宋体" w:hAnsi="宋体"/>
          <w:b/>
          <w:sz w:val="28"/>
          <w:szCs w:val="28"/>
          <w:highlight w:val="none"/>
          <w:shd w:val="clear" w:color="auto" w:fill="auto"/>
        </w:rPr>
      </w:pPr>
      <w:r>
        <w:rPr>
          <w:rFonts w:hint="eastAsia" w:ascii="宋体" w:hAnsi="宋体"/>
          <w:b/>
          <w:sz w:val="28"/>
          <w:szCs w:val="28"/>
          <w:highlight w:val="none"/>
          <w:shd w:val="clear" w:color="auto" w:fill="auto"/>
        </w:rPr>
        <w:t xml:space="preserve">22. 通知</w:t>
      </w:r>
      <w:r/>
    </w:p>
    <w:p>
      <w:pPr>
        <w:pStyle w:val="868"/>
        <w:ind w:firstLine="420"/>
        <w:jc w:val="both"/>
        <w:spacing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22.1本合同任何一方向对方发出的通知、信件、数据电文等，应当发送至本合同第一部分《政府采购合同协议书》所约定的通讯地址、联系人、联系电话或电子邮箱。</w:t>
      </w:r>
      <w:r/>
    </w:p>
    <w:p>
      <w:pPr>
        <w:pStyle w:val="868"/>
        <w:ind w:firstLine="0"/>
        <w:jc w:val="both"/>
        <w:spacing w:line="360" w:lineRule="auto"/>
        <w:rPr>
          <w:rFonts w:hint="eastAsia"/>
          <w:sz w:val="28"/>
          <w:szCs w:val="28"/>
          <w:highlight w:val="none"/>
          <w:shd w:val="clear" w:color="auto" w:fill="auto"/>
        </w:rPr>
      </w:pPr>
      <w:r>
        <w:rPr>
          <w:rFonts w:hint="eastAsia" w:ascii="宋体" w:hAnsi="宋体" w:eastAsia="宋体" w:cs="宋体"/>
          <w:sz w:val="28"/>
          <w:szCs w:val="28"/>
          <w:highlight w:val="none"/>
          <w:shd w:val="clear" w:color="auto" w:fill="auto"/>
        </w:rPr>
        <w:t xml:space="preserve">    22.2一方当事人变更名称、住所、联系人、联系电话或电子邮箱等信息的，应当在变更后3日内及时书面通知对方，对方实际收到变更通知前的送达仍为有效送达。</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22.3本合同一方给另一方的通知均应采用书面形式，传真或快递送到本合同中规定的对方的地址和办理签收手续。</w:t>
      </w:r>
      <w:r/>
    </w:p>
    <w:p>
      <w:pPr>
        <w:ind w:firstLine="560"/>
        <w:jc w:val="left"/>
        <w:spacing w:line="360" w:lineRule="auto"/>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 xml:space="preserve">22.4通知以送达之日或通知书中规定的生效之日起生效，两者中以较迟之日为准。</w:t>
      </w:r>
      <w:r/>
    </w:p>
    <w:p>
      <w:pPr>
        <w:numPr>
          <w:ilvl w:val="0"/>
          <w:numId w:val="8"/>
        </w:numPr>
        <w:jc w:val="left"/>
        <w:spacing w:line="360" w:lineRule="auto"/>
        <w:rPr>
          <w:rFonts w:hint="eastAsia" w:ascii="宋体" w:hAnsi="宋体"/>
          <w:b/>
          <w:bCs/>
          <w:sz w:val="28"/>
          <w:szCs w:val="28"/>
          <w:highlight w:val="none"/>
          <w:shd w:val="clear" w:color="auto" w:fill="auto"/>
        </w:rPr>
      </w:pPr>
      <w:r>
        <w:rPr>
          <w:rFonts w:hint="eastAsia" w:ascii="宋体" w:hAnsi="宋体"/>
          <w:b/>
          <w:bCs/>
          <w:sz w:val="28"/>
          <w:szCs w:val="28"/>
          <w:highlight w:val="none"/>
          <w:shd w:val="clear" w:color="auto" w:fill="auto"/>
        </w:rPr>
        <w:t xml:space="preserve">合同未尽事项</w:t>
      </w:r>
      <w:r/>
    </w:p>
    <w:p>
      <w:pPr>
        <w:ind w:firstLine="560"/>
        <w:jc w:val="left"/>
        <w:spacing w:line="360" w:lineRule="auto"/>
        <w:rPr>
          <w:rFonts w:hint="eastAsia" w:ascii="宋体" w:hAnsi="宋体"/>
          <w:bCs/>
          <w:sz w:val="28"/>
          <w:szCs w:val="28"/>
          <w:highlight w:val="none"/>
          <w:shd w:val="clear" w:color="auto" w:fill="auto"/>
        </w:rPr>
      </w:pPr>
      <w:r>
        <w:rPr>
          <w:rFonts w:hint="eastAsia" w:ascii="宋体" w:hAnsi="宋体"/>
          <w:bCs/>
          <w:sz w:val="28"/>
          <w:szCs w:val="28"/>
          <w:highlight w:val="none"/>
          <w:shd w:val="clear" w:color="auto" w:fill="auto"/>
        </w:rPr>
        <w:t xml:space="preserve">23.1合同未尽事项见</w:t>
      </w:r>
      <w:r>
        <w:rPr>
          <w:rFonts w:hint="eastAsia" w:ascii="宋体" w:hAnsi="宋体"/>
          <w:b/>
          <w:sz w:val="28"/>
          <w:szCs w:val="28"/>
          <w:highlight w:val="none"/>
          <w:shd w:val="clear" w:color="auto" w:fill="auto"/>
        </w:rPr>
        <w:t xml:space="preserve">【政府采购合同专用条款】</w:t>
      </w:r>
      <w:r>
        <w:rPr>
          <w:rFonts w:hint="eastAsia" w:ascii="宋体" w:hAnsi="宋体"/>
          <w:bCs/>
          <w:sz w:val="28"/>
          <w:szCs w:val="28"/>
          <w:highlight w:val="none"/>
          <w:shd w:val="clear" w:color="auto" w:fill="auto"/>
        </w:rPr>
        <w:t xml:space="preserve">。</w:t>
      </w:r>
      <w:r/>
    </w:p>
    <w:p>
      <w:pPr>
        <w:jc w:val="left"/>
        <w:spacing w:line="360" w:lineRule="auto"/>
        <w:rPr>
          <w:rFonts w:hint="eastAsia" w:ascii="黑体" w:hAnsi="华文中宋" w:eastAsia="黑体"/>
          <w:sz w:val="28"/>
          <w:szCs w:val="28"/>
          <w:highlight w:val="none"/>
          <w:shd w:val="clear" w:color="auto" w:fill="auto"/>
        </w:rPr>
      </w:pPr>
      <w:r>
        <w:rPr>
          <w:rFonts w:hint="eastAsia" w:ascii="宋体" w:hAnsi="宋体"/>
          <w:bCs/>
          <w:sz w:val="28"/>
          <w:szCs w:val="28"/>
          <w:highlight w:val="none"/>
          <w:shd w:val="clear" w:color="auto" w:fill="auto"/>
        </w:rPr>
        <w:t xml:space="preserve">    23.2合同附件与合同正文具有同等的法律效力。</w:t>
      </w:r>
      <w:r/>
    </w:p>
    <w:p>
      <w:pPr>
        <w:jc w:val="center"/>
        <w:keepLines/>
        <w:keepNext/>
        <w:spacing w:line="360" w:lineRule="auto"/>
        <w:rPr>
          <w:rFonts w:ascii="黑体" w:hAnsi="华文中宋" w:eastAsia="黑体"/>
          <w:sz w:val="28"/>
          <w:szCs w:val="28"/>
          <w:highlight w:val="none"/>
          <w:shd w:val="clear" w:color="auto" w:fill="auto"/>
        </w:rPr>
        <w:outlineLvl w:val="1"/>
      </w:pPr>
      <w:r>
        <w:rPr>
          <w:rFonts w:hint="eastAsia" w:ascii="黑体" w:hAnsi="华文中宋" w:eastAsia="黑体"/>
          <w:sz w:val="28"/>
          <w:szCs w:val="28"/>
          <w:highlight w:val="none"/>
          <w:shd w:val="clear" w:color="auto" w:fill="auto"/>
        </w:rPr>
        <w:br w:type="page" w:clear="all"/>
      </w:r>
      <w:r/>
    </w:p>
    <w:p>
      <w:pPr>
        <w:jc w:val="center"/>
        <w:keepLines/>
        <w:keepNext/>
        <w:spacing w:line="360" w:lineRule="auto"/>
        <w:rPr>
          <w:rFonts w:ascii="黑体" w:hAnsi="华文中宋" w:eastAsia="黑体"/>
          <w:color w:val="auto"/>
          <w:sz w:val="28"/>
          <w:szCs w:val="28"/>
          <w:highlight w:val="none"/>
          <w:shd w:val="clear" w:color="auto" w:fill="auto"/>
        </w:rPr>
        <w:outlineLvl w:val="1"/>
      </w:pPr>
      <w:r>
        <w:rPr>
          <w:rFonts w:hint="eastAsia" w:ascii="黑体" w:hAnsi="华文中宋" w:eastAsia="黑体"/>
          <w:color w:val="auto"/>
          <w:sz w:val="28"/>
          <w:szCs w:val="28"/>
          <w:highlight w:val="none"/>
          <w:shd w:val="clear" w:color="auto" w:fill="auto"/>
        </w:rPr>
        <w:t xml:space="preserve">第三节 政府采购合同专用条款</w:t>
      </w:r>
      <w:bookmarkEnd w:id="177"/>
      <w:r/>
      <w:r/>
    </w:p>
    <w:tbl>
      <w:tblPr>
        <w:tblStyle w:val="85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第1.2（6）项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联合体具体要求</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604"/>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第1.2（7）项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其他术语解释</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第4.4款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履约验收中甲方提出异议或作出说明的期限</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第4.6款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约定甲方承担的其他义务和责任</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第5.4款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约定乙方承担的其他义务和责任</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第6.1款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履行合同义务的顺序</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cantSplit/>
          <w:trHeight w:val="667"/>
        </w:trPr>
        <w:tc>
          <w:tcPr>
            <w:tcW w:w="1560" w:type="dxa"/>
            <w:vAlign w:val="center"/>
            <w:vMerge w:val="restart"/>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第7.1款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包装特殊要求</w:t>
            </w:r>
            <w:r/>
          </w:p>
        </w:tc>
        <w:tc>
          <w:tcPr>
            <w:tcW w:w="5170" w:type="dxa"/>
            <w:vAlign w:val="center"/>
            <w:textDirection w:val="lrTb"/>
            <w:noWrap w:val="false"/>
          </w:tcPr>
          <w:p>
            <w:pPr>
              <w:spacing w:line="360" w:lineRule="auto"/>
              <w:rPr>
                <w:rFonts w:hint="eastAsia"/>
                <w:color w:val="auto"/>
                <w:sz w:val="28"/>
                <w:szCs w:val="28"/>
                <w:highlight w:val="none"/>
                <w:shd w:val="clear" w:color="auto" w:fill="auto"/>
              </w:rPr>
            </w:pPr>
            <w:r>
              <w:rPr>
                <w:rFonts w:hint="eastAsia"/>
                <w:color w:val="auto"/>
                <w:sz w:val="28"/>
                <w:szCs w:val="28"/>
                <w:highlight w:val="none"/>
                <w:shd w:val="clear" w:color="auto" w:fill="auto"/>
              </w:rPr>
              <w:t xml:space="preserve">本项目中涉及商品包装和快递包装的，金属件:使用泡泡纸覆盖包装</w:t>
            </w:r>
            <w:r>
              <w:rPr>
                <w:rFonts w:hint="eastAsia"/>
                <w:color w:val="auto"/>
                <w:sz w:val="28"/>
                <w:szCs w:val="28"/>
                <w:highlight w:val="none"/>
                <w:shd w:val="clear" w:color="auto" w:fill="auto"/>
              </w:rPr>
              <w:t xml:space="preserve">，</w:t>
            </w:r>
            <w:r>
              <w:rPr>
                <w:rFonts w:hint="eastAsia"/>
                <w:color w:val="auto"/>
                <w:sz w:val="28"/>
                <w:szCs w:val="28"/>
                <w:highlight w:val="none"/>
                <w:shd w:val="clear" w:color="auto" w:fill="auto"/>
              </w:rPr>
              <w:t xml:space="preserve">防止碰撞；</w:t>
            </w:r>
            <w:r>
              <w:rPr>
                <w:color w:val="auto"/>
                <w:sz w:val="28"/>
                <w:szCs w:val="28"/>
                <w:highlight w:val="none"/>
                <w:shd w:val="clear" w:color="auto" w:fill="auto"/>
              </w:rPr>
            </w:r>
            <w:r>
              <w:rPr>
                <w:rFonts w:hint="eastAsia"/>
                <w:color w:val="auto"/>
                <w:sz w:val="28"/>
                <w:szCs w:val="28"/>
                <w:highlight w:val="none"/>
                <w:shd w:val="clear" w:color="auto" w:fill="auto"/>
              </w:rPr>
              <w:t xml:space="preserve">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有供应商负责清理，做到：</w:t>
            </w:r>
            <w:r/>
            <w:r/>
            <w:r>
              <w:rPr>
                <w:rFonts w:hint="eastAsia"/>
                <w:color w:val="auto"/>
                <w:sz w:val="28"/>
                <w:szCs w:val="28"/>
                <w:highlight w:val="none"/>
                <w:shd w:val="clear" w:color="auto" w:fill="auto"/>
              </w:rP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1.商品包装层数不得超过3层，空隙率不大于40%；</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2.商品包装尽可能使用单一材质的包装材料，如因功能需求必需使用不同材质，不同材质间应便于分离；</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3.商品包装中铅、汞、镉、六价铬的总含量应不大于100mg/kg；</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4.商品包装印刷使用的油墨中挥发性有机化合物(VOCs)含量应不大于5%（以重量计）；</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5.塑料材质商品包装上呈现的印刷颜色不得超过6色；</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6.纸质商品包装应使用75%以上的可再生纤维原料生产；</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7.木质商品包装的原料应来源于可持续性森林。</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9每件包装箱内应附一份详细装箱单和质量合格凭证。</w:t>
            </w:r>
            <w:r/>
            <w:r>
              <w:rPr>
                <w:color w:val="auto"/>
                <w:sz w:val="28"/>
                <w:szCs w:val="28"/>
                <w:highlight w:val="none"/>
                <w:shd w:val="clear" w:color="auto" w:fill="auto"/>
              </w:rPr>
            </w:r>
            <w:r/>
            <w:r>
              <w:rPr>
                <w:color w:val="auto"/>
                <w:sz w:val="28"/>
                <w:szCs w:val="28"/>
                <w:highlight w:val="none"/>
                <w:shd w:val="clear" w:color="auto" w:fill="auto"/>
              </w:rPr>
            </w:r>
          </w:p>
        </w:tc>
      </w:tr>
      <w:tr>
        <w:trPr>
          <w:cantSplit/>
          <w:trHeight w:val="667"/>
        </w:trPr>
        <w:tc>
          <w:tcPr>
            <w:tcW w:w="1560" w:type="dxa"/>
            <w:vAlign w:val="center"/>
            <w:vMerge w:val="continue"/>
            <w:textDirection w:val="lrTb"/>
            <w:noWrap w:val="false"/>
          </w:tcPr>
          <w:p>
            <w:pPr>
              <w:jc w:val="center"/>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指定现场</w:t>
            </w:r>
            <w:r/>
          </w:p>
        </w:tc>
        <w:tc>
          <w:tcPr>
            <w:tcW w:w="5170" w:type="dxa"/>
            <w:vAlign w:val="center"/>
            <w:textDirection w:val="lrTb"/>
            <w:noWrap w:val="false"/>
          </w:tcPr>
          <w:p>
            <w:pPr>
              <w:jc w:val="left"/>
              <w:spacing w:line="360" w:lineRule="auto"/>
              <w:rPr>
                <w:color w:val="auto"/>
                <w:sz w:val="28"/>
                <w:szCs w:val="28"/>
                <w:highlight w:val="none"/>
                <w:shd w:val="clear" w:color="auto" w:fill="auto"/>
              </w:rPr>
            </w:pPr>
            <w:r>
              <w:rPr>
                <w:color w:val="auto"/>
                <w:sz w:val="28"/>
                <w:szCs w:val="28"/>
                <w:highlight w:val="none"/>
                <w:shd w:val="clear" w:color="auto" w:fill="auto"/>
              </w:rPr>
            </w:r>
            <w:r/>
          </w:p>
        </w:tc>
      </w:tr>
      <w:tr>
        <w:trPr>
          <w:trHeight w:val="772"/>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第7.2款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运输特殊要求</w:t>
            </w:r>
            <w:r/>
          </w:p>
        </w:tc>
        <w:tc>
          <w:tcPr>
            <w:tcW w:w="5170" w:type="dxa"/>
            <w:vAlign w:val="center"/>
            <w:textDirection w:val="lrTb"/>
            <w:noWrap w:val="false"/>
          </w:tcPr>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1.货物验收合格、交付使用并提供所需单据的日期视为交货日期。</w:t>
            </w:r>
            <w:r/>
          </w:p>
          <w:p>
            <w:pPr>
              <w:pStyle w:val="868"/>
              <w:ind w:firstLine="0"/>
              <w:spacing w:line="360" w:lineRule="auto"/>
              <w:rPr>
                <w:rFonts w:ascii="Times New Roman" w:hAnsi="Times New Roman" w:eastAsia="宋体" w:cs="Times New Roman"/>
                <w:color w:val="auto"/>
                <w:sz w:val="28"/>
                <w:szCs w:val="28"/>
                <w:highlight w:val="none"/>
                <w:shd w:val="clear" w:color="auto" w:fill="auto"/>
              </w:rPr>
            </w:pPr>
            <w:r>
              <w:rPr>
                <w:rFonts w:hint="eastAsia" w:ascii="Times New Roman" w:hAnsi="Times New Roman" w:eastAsia="宋体" w:cs="Times New Roman"/>
                <w:color w:val="auto"/>
                <w:sz w:val="28"/>
                <w:szCs w:val="28"/>
                <w:highlight w:val="none"/>
                <w:shd w:val="clear" w:color="auto" w:fill="auto"/>
              </w:rPr>
              <w:t xml:space="preserve">2.乙方在货物发运手续办理完毕后24小时内或货到48小时前通知甲方，以准备接货。</w:t>
            </w:r>
            <w:r/>
          </w:p>
          <w:p>
            <w:pPr>
              <w:spacing w:line="360" w:lineRule="auto"/>
              <w:rPr>
                <w:color w:val="auto"/>
                <w:sz w:val="28"/>
                <w:szCs w:val="28"/>
                <w:highlight w:val="none"/>
                <w:shd w:val="clear" w:color="auto" w:fill="auto"/>
              </w:rPr>
            </w:pPr>
            <w:r>
              <w:rPr>
                <w:rFonts w:hint="eastAsia"/>
                <w:color w:val="auto"/>
                <w:sz w:val="28"/>
                <w:szCs w:val="28"/>
                <w:highlight w:val="none"/>
                <w:shd w:val="clear" w:color="auto" w:fill="auto"/>
              </w:rPr>
              <w:t xml:space="preserve">3.乙方装运的货物不应超过合同规定的数量或重量。乙方应对超交数量或超重而产生的一切后果负责。</w:t>
            </w:r>
            <w:r/>
          </w:p>
          <w:p>
            <w:pPr>
              <w:pStyle w:val="868"/>
              <w:ind w:firstLine="0"/>
              <w:spacing w:line="360" w:lineRule="auto"/>
              <w:rPr>
                <w:color w:val="auto"/>
                <w:sz w:val="28"/>
                <w:szCs w:val="28"/>
                <w:highlight w:val="none"/>
                <w:shd w:val="clear" w:color="auto" w:fill="auto"/>
              </w:rPr>
            </w:pPr>
            <w:r>
              <w:rPr>
                <w:rFonts w:hint="eastAsia" w:ascii="Times New Roman" w:hAnsi="Times New Roman" w:eastAsia="宋体" w:cs="Times New Roman"/>
                <w:color w:val="auto"/>
                <w:sz w:val="28"/>
                <w:szCs w:val="28"/>
                <w:highlight w:val="none"/>
                <w:shd w:val="clear" w:color="auto" w:fill="auto"/>
              </w:rPr>
              <w:t xml:space="preserve">4.货物在交付甲方前发生的风险均由乙方负责。</w:t>
            </w:r>
            <w:r/>
          </w:p>
        </w:tc>
      </w:tr>
      <w:tr>
        <w:trPr>
          <w:trHeight w:val="667"/>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第7.3款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保险要求</w:t>
            </w:r>
            <w:r/>
          </w:p>
        </w:tc>
        <w:tc>
          <w:tcPr>
            <w:tcW w:w="5170" w:type="dxa"/>
            <w:vAlign w:val="center"/>
            <w:textDirection w:val="lrTb"/>
            <w:noWrap w:val="false"/>
          </w:tcPr>
          <w:p>
            <w:pPr>
              <w:spacing w:line="360" w:lineRule="auto"/>
              <w:rPr>
                <w:color w:val="auto"/>
                <w:sz w:val="28"/>
                <w:szCs w:val="28"/>
                <w:highlight w:val="none"/>
                <w:shd w:val="clear" w:color="auto" w:fill="auto"/>
              </w:rPr>
            </w:pPr>
            <w:r>
              <w:rPr>
                <w:color w:val="auto"/>
                <w:sz w:val="28"/>
                <w:szCs w:val="28"/>
                <w:highlight w:val="none"/>
                <w:shd w:val="clear" w:color="auto" w:fill="auto"/>
              </w:rPr>
              <w:t xml:space="preserve">货物交货前由乙方承担保险义务</w:t>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第8.2（1）项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质量保证期</w:t>
            </w:r>
            <w:r/>
          </w:p>
        </w:tc>
        <w:tc>
          <w:tcPr>
            <w:tcW w:w="5170" w:type="dxa"/>
            <w:vAlign w:val="center"/>
            <w:textDirection w:val="lrTb"/>
            <w:noWrap w:val="false"/>
          </w:tcPr>
          <w:p>
            <w:pPr>
              <w:pStyle w:val="864"/>
              <w:ind w:left="480" w:hanging="480"/>
              <w:jc w:val="left"/>
              <w:spacing w:before="120" w:beforeAutospacing="0" w:after="120" w:afterAutospacing="0"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1.货物免费质保期</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2</w:t>
            </w:r>
            <w:r>
              <w:rPr>
                <w:rFonts w:hint="eastAsia" w:ascii="宋体" w:hAnsi="宋体"/>
                <w:color w:val="auto"/>
                <w:sz w:val="28"/>
                <w:szCs w:val="28"/>
                <w:highlight w:val="none"/>
                <w:u w:val="single"/>
                <w:shd w:val="clear" w:color="auto" w:fill="auto"/>
              </w:rPr>
              <w:t xml:space="preserve">年</w:t>
            </w:r>
            <w:r>
              <w:rPr>
                <w:rFonts w:hint="eastAsia" w:ascii="宋体" w:hAnsi="宋体"/>
                <w:color w:val="auto"/>
                <w:sz w:val="28"/>
                <w:szCs w:val="28"/>
                <w:highlight w:val="none"/>
                <w:shd w:val="clear" w:color="auto" w:fill="auto"/>
              </w:rPr>
              <w:t xml:space="preserve">。（</w:t>
            </w:r>
            <w:r>
              <w:rPr>
                <w:rFonts w:hint="eastAsia" w:ascii="宋体" w:hAnsi="宋体" w:cs="宋体"/>
                <w:color w:val="auto"/>
                <w:sz w:val="28"/>
                <w:szCs w:val="28"/>
                <w:highlight w:val="none"/>
                <w:shd w:val="clear" w:color="auto" w:fill="auto"/>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第8.2（3）项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货物质量缺陷</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响应时间</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第8款补充</w:t>
            </w:r>
            <w:r/>
          </w:p>
        </w:tc>
        <w:tc>
          <w:tcPr>
            <w:tcW w:w="1789" w:type="dxa"/>
            <w:vAlign w:val="center"/>
            <w:textDirection w:val="lrTb"/>
            <w:noWrap w:val="false"/>
          </w:tcPr>
          <w:p>
            <w:pPr>
              <w:jc w:val="left"/>
              <w:spacing w:line="360" w:lineRule="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质量保证要求</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 在质保期内，乙方应对货物出现的质量及安全问题负责处理解决并承担一切费用</w:t>
            </w:r>
            <w:r>
              <w:rPr>
                <w:rFonts w:hint="eastAsia" w:ascii="宋体" w:hAnsi="宋体"/>
                <w:color w:val="auto"/>
                <w:sz w:val="28"/>
                <w:szCs w:val="28"/>
                <w:highlight w:val="none"/>
                <w:shd w:val="clear" w:color="auto" w:fill="auto"/>
              </w:rPr>
              <w:t xml:space="preserve">（因甲方不当使用的除外）。</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2.乙方应按照国家有关法律法规规章和“三包”规定以及招标文件售后服务要求及投标文件售后服务承诺提供售后服务。</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3.所有货物保修服务方式均为乙方上门保修，由乙方派员到货物使用现场维修，所产生的一切费用由乙方承担（双方视项目情况调整）。</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4.乙方负责提供本项目范围内所使用</w:t>
            </w:r>
            <w:r>
              <w:rPr>
                <w:rFonts w:hint="eastAsia" w:ascii="宋体" w:hAnsi="宋体"/>
                <w:color w:val="auto"/>
                <w:sz w:val="28"/>
                <w:szCs w:val="28"/>
                <w:highlight w:val="none"/>
                <w:shd w:val="clear" w:color="auto" w:fill="auto"/>
              </w:rPr>
              <w:t xml:space="preserve">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4"/>
              <w:ind w:left="480" w:hanging="480"/>
              <w:spacing w:before="120" w:beforeAutospacing="0" w:after="120" w:afterAutospacing="0" w:line="360" w:lineRule="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第二节</w:t>
            </w:r>
            <w:r/>
          </w:p>
          <w:p>
            <w:pPr>
              <w:jc w:val="center"/>
              <w:spacing w:line="360" w:lineRule="auto"/>
              <w:widowControl/>
              <w:rPr>
                <w:rFonts w:ascii="华文楷体" w:hAnsi="华文楷体" w:eastAsia="华文楷体" w:cs="华文楷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第11.1款</w:t>
            </w:r>
            <w:r/>
          </w:p>
        </w:tc>
        <w:tc>
          <w:tcPr>
            <w:tcW w:w="1789" w:type="dxa"/>
            <w:vAlign w:val="center"/>
            <w:textDirection w:val="lrTb"/>
            <w:noWrap w:val="false"/>
          </w:tcPr>
          <w:p>
            <w:pP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其他应当保密的信息</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697"/>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第12.2款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合同价款支付时</w:t>
            </w:r>
            <w:r>
              <w:rPr>
                <w:rFonts w:hint="eastAsia" w:ascii="宋体" w:hAnsi="宋体"/>
                <w:color w:val="auto"/>
                <w:sz w:val="28"/>
                <w:szCs w:val="28"/>
                <w:highlight w:val="none"/>
                <w:shd w:val="clear" w:color="auto" w:fill="auto"/>
              </w:rPr>
              <w:t xml:space="preserve">间及要求</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1.合同款项的支付方式及进度安排：</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①自合同签订生效之日起，收到乙方发票10个工作日内，甲方向乙方支付合同总价的_</w:t>
            </w:r>
            <w:r>
              <w:rPr>
                <w:rFonts w:hint="eastAsia" w:ascii="宋体" w:hAnsi="宋体"/>
                <w:color w:val="auto"/>
                <w:sz w:val="28"/>
                <w:szCs w:val="28"/>
                <w:highlight w:val="none"/>
                <w:shd w:val="clear" w:color="auto" w:fill="auto"/>
                <w:lang w:val="en-US" w:eastAsia="zh-CN"/>
              </w:rPr>
              <w:t xml:space="preserve">30%</w:t>
            </w:r>
            <w:r>
              <w:rPr>
                <w:rFonts w:hint="eastAsia" w:ascii="宋体" w:hAnsi="宋体"/>
                <w:color w:val="auto"/>
                <w:sz w:val="28"/>
                <w:szCs w:val="28"/>
                <w:highlight w:val="none"/>
                <w:shd w:val="clear" w:color="auto" w:fill="auto"/>
              </w:rPr>
              <w:t xml:space="preserve">_款项作为预付款；</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②所有货物安装完毕，甲方组织初步验收，初步验收合格后收到乙方发票10个工作日内甲方向乙方支付至合同总价的_</w:t>
            </w:r>
            <w:r>
              <w:rPr>
                <w:rFonts w:hint="eastAsia" w:ascii="宋体" w:hAnsi="宋体"/>
                <w:color w:val="auto"/>
                <w:sz w:val="28"/>
                <w:szCs w:val="28"/>
                <w:highlight w:val="none"/>
                <w:shd w:val="clear" w:color="auto" w:fill="auto"/>
                <w:lang w:val="en-US" w:eastAsia="zh-CN"/>
              </w:rPr>
              <w:t xml:space="preserve">90%</w:t>
            </w:r>
            <w:r>
              <w:rPr>
                <w:rFonts w:hint="eastAsia" w:ascii="宋体" w:hAnsi="宋体"/>
                <w:color w:val="auto"/>
                <w:sz w:val="28"/>
                <w:szCs w:val="28"/>
                <w:highlight w:val="none"/>
                <w:shd w:val="clear" w:color="auto" w:fill="auto"/>
              </w:rPr>
              <w:t xml:space="preserve">__款项；</w:t>
            </w:r>
            <w:r/>
          </w:p>
          <w:p>
            <w:pPr>
              <w:jc w:val="left"/>
              <w:spacing w:line="360" w:lineRule="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③初步验收合格且项目运行满_</w:t>
            </w:r>
            <w:r>
              <w:rPr>
                <w:rFonts w:hint="eastAsia" w:ascii="宋体" w:hAnsi="宋体"/>
                <w:color w:val="auto"/>
                <w:sz w:val="28"/>
                <w:szCs w:val="28"/>
                <w:highlight w:val="none"/>
                <w:shd w:val="clear" w:color="auto" w:fill="auto"/>
                <w:lang w:val="en-US" w:eastAsia="zh-CN"/>
              </w:rPr>
              <w:t xml:space="preserve">24</w:t>
            </w:r>
            <w:r>
              <w:rPr>
                <w:rFonts w:hint="eastAsia" w:ascii="宋体" w:hAnsi="宋体"/>
                <w:color w:val="auto"/>
                <w:sz w:val="28"/>
                <w:szCs w:val="28"/>
                <w:highlight w:val="none"/>
                <w:shd w:val="clear" w:color="auto" w:fill="auto"/>
              </w:rPr>
              <w:t xml:space="preserve">_个月后，甲方组织最终验收，最终验收合格后收到乙方发票10个工作日内甲方付清货款。</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 发票；</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 制造厂家出具的质量检验证书等；</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 装箱单；</w:t>
            </w:r>
            <w:r/>
          </w:p>
          <w:p>
            <w:pPr>
              <w:jc w:val="left"/>
              <w:spacing w:line="360" w:lineRule="auto"/>
              <w:rPr>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(4) 甲方加盖公章证明交付使用合格的验收单。</w:t>
            </w:r>
            <w:r/>
          </w:p>
        </w:tc>
      </w:tr>
      <w:tr>
        <w:trPr>
          <w:trHeight w:val="697"/>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第13.2款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（2）中标人不履行与采购人订立的合同的；</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（3）中标人所供货物或服务不符合招标文件规定要求的；</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（4）中标人采取欺骗、弄虚作假方式投标的或与其它投标人串通投标的；</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（5）中标人将合同内容转包、违法分包的；</w:t>
            </w:r>
            <w:r/>
          </w:p>
          <w:p>
            <w:pPr>
              <w:spacing w:line="360" w:lineRule="auto"/>
              <w:rPr>
                <w:rFonts w:ascii="宋体" w:hAnsi="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第13.3款</w:t>
            </w:r>
            <w:r/>
          </w:p>
        </w:tc>
        <w:tc>
          <w:tcPr>
            <w:tcW w:w="1789" w:type="dxa"/>
            <w:vAlign w:val="center"/>
            <w:textDirection w:val="lrTb"/>
            <w:noWrap w:val="false"/>
          </w:tcPr>
          <w:p>
            <w:pPr>
              <w:jc w:val="left"/>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1、合同履行结束后，甲方应及时退还交纳的履约保证金。</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2、退还方式：退还至投标人缴纳履约保证金的账户。如为保函，在到期时自行失效。</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3、退还时间：验收合格且甲方收到发票后30日内。</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4、退还条件：按合同要求全部履约完成并经采购人验收合格，且采购人收到中标人出具的发票。</w:t>
            </w:r>
            <w:r/>
          </w:p>
          <w:p>
            <w:pPr>
              <w:spacing w:line="360" w:lineRule="auto"/>
              <w:rPr>
                <w:rFonts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第14.1（3）项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运行监督、维修期限</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84"/>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第14.1（5）项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货物回收的约定</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第14.1（6）项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乙方提供的其他服务</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第15.1款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修理、重作、更换相关具体规定</w:t>
            </w:r>
            <w:r/>
          </w:p>
        </w:tc>
        <w:tc>
          <w:tcPr>
            <w:tcW w:w="5170" w:type="dxa"/>
            <w:vAlign w:val="center"/>
            <w:textDirection w:val="lrTb"/>
            <w:noWrap w:val="false"/>
          </w:tcPr>
          <w:p>
            <w:pPr>
              <w:numPr>
                <w:ilvl w:val="0"/>
                <w:numId w:val="9"/>
              </w:num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详见合同通用条款8.2条款、合同专用条款第二节第8款补充条款及合同专用条款中索赔条款。</w:t>
            </w:r>
            <w:r/>
          </w:p>
          <w:p>
            <w:pPr>
              <w:numPr>
                <w:ilvl w:val="0"/>
                <w:numId w:val="9"/>
              </w:num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第15.2（2）项</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迟延交货赔偿费</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1.乙方应按照“开标（报价）一览表”中规定的交货期或承诺交货和提供服务，并交付甲方验收使用。</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2.如果乙方无正当理由拖延交货，将受到以下制裁：加收误期赔偿或终止合同。</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 乙方逾期交付货物的，乙方应按逾期交货总额每日</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0.1%</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向甲方支付违约金，由甲方从待付货款中扣除。逾期超过约定日期</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15</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20%</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的违约金，如造成甲方损失超过违约金的，超出部分由乙方继续承担赔偿责任。 </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4.如乙方不能交付货物，或者有违法转包他人情形，乙方应向甲方支付合同总价</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1%</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的滞纳金。</w:t>
            </w:r>
            <w:r/>
          </w:p>
          <w:p>
            <w:pPr>
              <w:jc w:val="left"/>
              <w:spacing w:line="360" w:lineRule="auto"/>
              <w:rPr>
                <w:rFonts w:ascii="宋体" w:hAnsi="宋体"/>
                <w:color w:val="auto"/>
                <w:sz w:val="28"/>
                <w:szCs w:val="28"/>
                <w:highlight w:val="none"/>
                <w:u w:val="single"/>
                <w:shd w:val="clear" w:color="auto" w:fill="auto"/>
              </w:rPr>
            </w:pPr>
            <w:r>
              <w:rPr>
                <w:rFonts w:ascii="宋体" w:hAnsi="宋体"/>
                <w:color w:val="auto"/>
                <w:sz w:val="28"/>
                <w:szCs w:val="28"/>
                <w:highlight w:val="none"/>
                <w:u w:val="single"/>
                <w:shd w:val="clear" w:color="auto" w:fill="auto"/>
              </w:rPr>
            </w:r>
            <w:r/>
          </w:p>
        </w:tc>
      </w:tr>
      <w:tr>
        <w:trPr>
          <w:trHeight w:val="736"/>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第15.3款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逾期付款利息</w:t>
            </w:r>
            <w:r/>
          </w:p>
        </w:tc>
        <w:tc>
          <w:tcPr>
            <w:tcW w:w="5170" w:type="dxa"/>
            <w:vAlign w:val="center"/>
            <w:textDirection w:val="lrTb"/>
            <w:noWrap w:val="false"/>
          </w:tcPr>
          <w:p>
            <w:pPr>
              <w:pStyle w:val="864"/>
              <w:ind w:left="410" w:hanging="410"/>
              <w:jc w:val="both"/>
              <w:spacing w:before="120" w:beforeAutospacing="0" w:after="120" w:afterAutospacing="0" w:line="360" w:lineRule="auto"/>
              <w:rPr>
                <w:color w:val="auto"/>
                <w:sz w:val="28"/>
                <w:szCs w:val="28"/>
                <w:highlight w:val="none"/>
                <w:shd w:val="clear" w:color="auto" w:fill="auto"/>
              </w:rPr>
            </w:pPr>
            <w:r>
              <w:rPr>
                <w:rFonts w:hint="eastAsia" w:ascii="宋体" w:hAnsi="宋体" w:cs="宋体"/>
                <w:color w:val="auto"/>
                <w:sz w:val="28"/>
                <w:szCs w:val="28"/>
                <w:highlight w:val="none"/>
                <w:shd w:val="clear" w:color="auto" w:fill="auto"/>
              </w:rPr>
              <w:t xml:space="preserve">1.甲方无正当理由拒收货物的，甲方向乙方偿付拒收货款总值</w:t>
            </w:r>
            <w:r>
              <w:rPr>
                <w:rFonts w:hint="eastAsia" w:ascii="宋体" w:hAnsi="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20%</w:t>
            </w:r>
            <w:r>
              <w:rPr>
                <w:rFonts w:hint="eastAsia" w:ascii="宋体" w:hAnsi="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shd w:val="clear" w:color="auto" w:fill="auto"/>
              </w:rPr>
              <w:t xml:space="preserve">的违约金。</w:t>
            </w:r>
            <w:r/>
          </w:p>
          <w:p>
            <w:pPr>
              <w:pStyle w:val="864"/>
              <w:ind w:left="410" w:hanging="410"/>
              <w:jc w:val="both"/>
              <w:spacing w:before="120" w:beforeAutospacing="0" w:after="120" w:afterAutospacing="0" w:line="360" w:lineRule="auto"/>
              <w:rPr>
                <w:rFonts w:ascii="宋体" w:hAnsi="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rPr>
              <w:t xml:space="preserve">2.甲方无故逾期验收和办理货款支付手续的,甲方应按逾期付款总额每日</w:t>
            </w:r>
            <w:r>
              <w:rPr>
                <w:rFonts w:hint="eastAsia" w:ascii="宋体" w:hAnsi="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0.1%</w:t>
            </w:r>
            <w:r>
              <w:rPr>
                <w:rFonts w:hint="eastAsia" w:ascii="宋体" w:hAnsi="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shd w:val="clear" w:color="auto" w:fill="auto"/>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spacing w:line="360" w:lineRule="auto"/>
              <w:rPr>
                <w:rFonts w:ascii="宋体" w:hAnsi="宋体"/>
                <w:color w:val="auto"/>
                <w:sz w:val="28"/>
                <w:szCs w:val="28"/>
                <w:highlight w:val="none"/>
                <w:u w:val="single"/>
                <w:shd w:val="clear" w:color="auto" w:fill="auto"/>
              </w:rPr>
            </w:pPr>
            <w:r>
              <w:rPr>
                <w:rFonts w:ascii="宋体" w:hAnsi="宋体"/>
                <w:color w:val="auto"/>
                <w:sz w:val="28"/>
                <w:szCs w:val="28"/>
                <w:highlight w:val="none"/>
                <w:u w:val="single"/>
                <w:shd w:val="clear" w:color="auto" w:fill="auto"/>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1.因本合同及合同有关事项发生的争议，由双方协商解决，协商不成时，按下列第</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2</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种方式解决：</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（1）向仲裁委员会申请仲裁，仲裁地点为</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（2）向甲方所在地人民法院起诉。</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 纠纷解决办法</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第二节</w:t>
            </w:r>
            <w:r/>
          </w:p>
          <w:p>
            <w:pPr>
              <w:jc w:val="center"/>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第23.1款</w:t>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bCs/>
                <w:color w:val="auto"/>
                <w:sz w:val="28"/>
                <w:szCs w:val="28"/>
                <w:highlight w:val="none"/>
                <w:shd w:val="clear" w:color="auto" w:fill="auto"/>
              </w:rPr>
              <w:t xml:space="preserve">其他专用条款</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3.验收不合格的货物，乙方应在</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5</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20</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4.货物验收要求</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（1）依照招标文件要求对全部货物、型号、规格、数量、外型、外观、包装及资料、文件（如装箱单、保修单、随箱介质等）进行验收。</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（2）甲方与乙方对货物到货后共同进行开箱检查，出现损坏、数量不全或产品不对等问题时，由乙方负责解决。</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（4）乙方应按照本合同规定的时间、地点和方式向乙方交付货物。</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交货时间：</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30</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日前完成供货（安装）并交付使用。</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交货地点：</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甲方指定地点</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（5）甲方应在全部货物到货安装完毕后的</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30</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u w:val="single"/>
                <w:shd w:val="clear" w:color="auto" w:fill="auto"/>
                <w:lang w:val="en-US" w:eastAsia="zh-CN"/>
              </w:rPr>
              <w:t xml:space="preserve">3</w:t>
            </w:r>
            <w:r>
              <w:rPr>
                <w:rFonts w:hint="eastAsia" w:ascii="宋体" w:hAnsi="宋体"/>
                <w:color w:val="auto"/>
                <w:sz w:val="28"/>
                <w:szCs w:val="28"/>
                <w:highlight w:val="none"/>
                <w:u w:val="single"/>
                <w:shd w:val="clear" w:color="auto" w:fill="auto"/>
              </w:rPr>
              <w:t xml:space="preserve"> </w:t>
            </w:r>
            <w:r>
              <w:rPr>
                <w:rFonts w:hint="eastAsia" w:ascii="宋体" w:hAnsi="宋体"/>
                <w:color w:val="auto"/>
                <w:sz w:val="28"/>
                <w:szCs w:val="28"/>
                <w:highlight w:val="none"/>
                <w:shd w:val="clear" w:color="auto" w:fill="auto"/>
              </w:rPr>
              <w:t xml:space="preserve">个月后，甲方组织对货物的质量及使用状况等进行最终验收。</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w:t>
            </w:r>
            <w:r>
              <w:rPr>
                <w:rFonts w:hint="eastAsia" w:ascii="宋体" w:hAnsi="宋体"/>
                <w:color w:val="auto"/>
                <w:sz w:val="28"/>
                <w:szCs w:val="28"/>
                <w:highlight w:val="none"/>
                <w:shd w:val="clear" w:color="auto" w:fill="auto"/>
              </w:rPr>
              <w:t xml:space="preserve">付进度，乙方应承担相应的违约责任。</w:t>
            </w:r>
            <w:r/>
          </w:p>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r>
      <w:tr>
        <w:trPr>
          <w:trHeight w:val="770"/>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c>
          <w:tcPr>
            <w:tcW w:w="1789" w:type="dxa"/>
            <w:vAlign w:val="center"/>
            <w:textDirection w:val="lrTb"/>
            <w:noWrap w:val="false"/>
          </w:tcPr>
          <w:p>
            <w:pPr>
              <w:jc w:val="left"/>
              <w:spacing w:line="360" w:lineRule="auto"/>
              <w:rPr>
                <w:rFonts w:ascii="宋体" w:hAnsi="宋体"/>
                <w:bCs/>
                <w:color w:val="auto"/>
                <w:sz w:val="28"/>
                <w:szCs w:val="28"/>
                <w:highlight w:val="none"/>
                <w:shd w:val="clear" w:color="auto" w:fill="auto"/>
              </w:rPr>
            </w:pPr>
            <w:r>
              <w:rPr>
                <w:rFonts w:hint="eastAsia" w:ascii="宋体" w:hAnsi="宋体"/>
                <w:bCs/>
                <w:color w:val="auto"/>
                <w:sz w:val="28"/>
                <w:szCs w:val="28"/>
                <w:highlight w:val="none"/>
                <w:shd w:val="clear" w:color="auto" w:fill="auto"/>
              </w:rPr>
              <w:t xml:space="preserve">税费</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1.中国政府根据现行税法规定对甲方征收的与本合同有关的一切税费均由甲方负担（免税部分除外），招标文件另有规定的除外。</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c>
          <w:tcPr>
            <w:tcW w:w="1789" w:type="dxa"/>
            <w:vAlign w:val="center"/>
            <w:textDirection w:val="lrTb"/>
            <w:noWrap w:val="false"/>
          </w:tcPr>
          <w:p>
            <w:pPr>
              <w:jc w:val="left"/>
              <w:spacing w:line="360" w:lineRule="auto"/>
              <w:rPr>
                <w:rFonts w:ascii="宋体" w:hAnsi="宋体"/>
                <w:bCs/>
                <w:color w:val="auto"/>
                <w:sz w:val="28"/>
                <w:szCs w:val="28"/>
                <w:highlight w:val="none"/>
                <w:shd w:val="clear" w:color="auto" w:fill="auto"/>
              </w:rPr>
            </w:pPr>
            <w:r>
              <w:rPr>
                <w:rFonts w:hint="eastAsia" w:ascii="宋体" w:hAnsi="宋体"/>
                <w:bCs/>
                <w:color w:val="auto"/>
                <w:sz w:val="28"/>
                <w:szCs w:val="28"/>
                <w:highlight w:val="none"/>
                <w:shd w:val="clear" w:color="auto" w:fill="auto"/>
              </w:rPr>
              <w:t xml:space="preserve">伴随服务</w:t>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1.乙方应按照国家</w:t>
            </w:r>
            <w:r>
              <w:rPr>
                <w:rFonts w:hint="eastAsia" w:ascii="宋体" w:hAnsi="宋体"/>
                <w:b/>
                <w:color w:val="auto"/>
                <w:sz w:val="28"/>
                <w:szCs w:val="28"/>
                <w:highlight w:val="none"/>
                <w:shd w:val="clear" w:color="auto" w:fill="auto"/>
              </w:rPr>
              <w:t xml:space="preserve">“新三包”</w:t>
            </w:r>
            <w:r>
              <w:rPr>
                <w:rFonts w:hint="eastAsia" w:ascii="宋体" w:hAnsi="宋体"/>
                <w:color w:val="auto"/>
                <w:sz w:val="28"/>
                <w:szCs w:val="28"/>
                <w:highlight w:val="none"/>
                <w:shd w:val="clear" w:color="auto" w:fill="auto"/>
              </w:rPr>
              <w:t xml:space="preserve">规定和合同中所附的服务承诺提供服务。</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2.除第1条规定外，乙方还应提供下列服务：</w:t>
            </w:r>
            <w:r/>
          </w:p>
          <w:p>
            <w:pPr>
              <w:jc w:val="left"/>
              <w:spacing w:line="360" w:lineRule="auto"/>
              <w:rPr>
                <w:rFonts w:ascii="宋体" w:hAnsi="宋体"/>
                <w:b/>
                <w:color w:val="auto"/>
                <w:sz w:val="28"/>
                <w:szCs w:val="28"/>
                <w:highlight w:val="none"/>
                <w:shd w:val="clear" w:color="auto" w:fill="auto"/>
              </w:rPr>
            </w:pPr>
            <w:r>
              <w:rPr>
                <w:rFonts w:hint="eastAsia" w:ascii="宋体" w:hAnsi="宋体"/>
                <w:b/>
                <w:color w:val="auto"/>
                <w:sz w:val="28"/>
                <w:szCs w:val="28"/>
                <w:highlight w:val="none"/>
                <w:shd w:val="clear" w:color="auto" w:fill="auto"/>
              </w:rPr>
              <w:t xml:space="preserve"> (1) 招标文件中的“服务要求”所规定的服务内容以及投标文件承诺提供的其他服务内容；</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(2) 负责货物的开孔，货物的现场安装；</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(3) 提供货物组装和维修所需的工具；</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(4) 在合同中乙方承诺的质保期限内对所提供货物正常使用实施监督、维修，但前提条件是该服务并不能免除乙方在质量保证期</w:t>
            </w:r>
            <w:r>
              <w:rPr>
                <w:rFonts w:hint="eastAsia" w:ascii="宋体" w:hAnsi="宋体"/>
                <w:color w:val="auto"/>
                <w:sz w:val="28"/>
                <w:szCs w:val="28"/>
                <w:highlight w:val="none"/>
                <w:shd w:val="clear" w:color="auto" w:fill="auto"/>
              </w:rPr>
              <w:t xml:space="preserve">内应承担的义务；</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(5) 在货物交货现场就货物的安装、启用、维护等对甲方人员进行培训。</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3.伴随服务的费用应含在</w:t>
            </w:r>
            <w:r>
              <w:rPr>
                <w:rFonts w:hint="eastAsia" w:ascii="宋体" w:hAnsi="宋体"/>
                <w:color w:val="auto"/>
                <w:sz w:val="28"/>
                <w:szCs w:val="28"/>
                <w:highlight w:val="none"/>
                <w:shd w:val="clear" w:color="auto" w:fill="auto"/>
              </w:rPr>
              <w:t xml:space="preserve">合同价中，不单独进行支付。</w:t>
            </w:r>
            <w:r/>
          </w:p>
        </w:tc>
      </w:tr>
      <w:tr>
        <w:trPr>
          <w:trHeight w:val="770"/>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索赔</w:t>
            </w:r>
            <w:r/>
          </w:p>
          <w:p>
            <w:pPr>
              <w:jc w:val="left"/>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1.甲方有权根据当地质检部门出具的检验报告，向乙方提出索赔。</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(2) 根据货物的低劣程度、损坏程度以及甲方所遭受损失的数额，乙方必须降低货物的价格。</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spacing w:line="360" w:lineRule="auto"/>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r>
            <w:r/>
          </w:p>
        </w:tc>
        <w:tc>
          <w:tcPr>
            <w:tcW w:w="1789"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合同生效及其它</w:t>
            </w:r>
            <w:r/>
          </w:p>
          <w:p>
            <w:pPr>
              <w:jc w:val="left"/>
              <w:spacing w:line="360" w:lineRule="auto"/>
              <w:rPr>
                <w:rFonts w:ascii="宋体" w:hAnsi="宋体"/>
                <w:bCs/>
                <w:color w:val="auto"/>
                <w:sz w:val="28"/>
                <w:szCs w:val="28"/>
                <w:highlight w:val="none"/>
                <w:shd w:val="clear" w:color="auto" w:fill="auto"/>
              </w:rPr>
            </w:pPr>
            <w:r>
              <w:rPr>
                <w:rFonts w:ascii="宋体" w:hAnsi="宋体"/>
                <w:bCs/>
                <w:color w:val="auto"/>
                <w:sz w:val="28"/>
                <w:szCs w:val="28"/>
                <w:highlight w:val="none"/>
                <w:shd w:val="clear" w:color="auto" w:fill="auto"/>
              </w:rPr>
            </w:r>
            <w:r/>
          </w:p>
        </w:tc>
        <w:tc>
          <w:tcPr>
            <w:tcW w:w="5170" w:type="dxa"/>
            <w:vAlign w:val="center"/>
            <w:textDirection w:val="lrTb"/>
            <w:noWrap w:val="false"/>
          </w:tcPr>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1. 合同经甲方、乙方盖章后生效。</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2. 货物交付使用后所发生的合同纠纷，由甲方与乙方协商处理。</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360" w:lineRule="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4.本合同应按照中华人民共和国的现行法律进行解释。本</w:t>
            </w:r>
            <w:r>
              <w:rPr>
                <w:rFonts w:hint="eastAsia" w:ascii="宋体" w:hAnsi="宋体"/>
                <w:color w:val="auto"/>
                <w:sz w:val="28"/>
                <w:szCs w:val="28"/>
                <w:highlight w:val="none"/>
                <w:shd w:val="clear" w:color="auto" w:fill="auto"/>
              </w:rPr>
              <w:t xml:space="preserve">合同未尽事宜，遵照《民法典》、《政府采购法》等有关</w:t>
            </w:r>
            <w:r>
              <w:rPr>
                <w:rFonts w:hint="eastAsia" w:ascii="宋体" w:hAnsi="宋体"/>
                <w:color w:val="auto"/>
                <w:sz w:val="28"/>
                <w:szCs w:val="28"/>
                <w:highlight w:val="none"/>
                <w:shd w:val="clear" w:color="auto" w:fill="auto"/>
              </w:rPr>
              <w:t xml:space="preserve">条文执行。</w:t>
            </w:r>
            <w:r/>
          </w:p>
        </w:tc>
      </w:tr>
    </w:tbl>
    <w:p>
      <w:pPr>
        <w:pStyle w:val="864"/>
        <w:jc w:val="center"/>
        <w:spacing w:before="120" w:beforeAutospacing="0" w:after="120" w:afterAutospacing="0" w:line="360" w:lineRule="auto"/>
        <w:rPr>
          <w:rFonts w:hint="eastAsia" w:ascii="黑体" w:hAnsi="宋体" w:eastAsia="黑体" w:cs="黑体"/>
          <w:color w:val="000000"/>
          <w:sz w:val="28"/>
          <w:szCs w:val="28"/>
          <w:highlight w:val="none"/>
          <w:shd w:val="clear" w:color="auto" w:fill="auto"/>
        </w:rPr>
      </w:pPr>
      <w:r>
        <w:rPr>
          <w:rFonts w:hint="eastAsia" w:ascii="黑体" w:hAnsi="宋体" w:eastAsia="黑体" w:cs="黑体"/>
          <w:color w:val="000000"/>
          <w:sz w:val="28"/>
          <w:szCs w:val="28"/>
          <w:highlight w:val="none"/>
          <w:shd w:val="clear" w:color="auto" w:fill="auto"/>
        </w:rPr>
      </w:r>
      <w:r/>
    </w:p>
    <w:p>
      <w:pPr>
        <w:pStyle w:val="864"/>
        <w:jc w:val="center"/>
        <w:spacing w:before="120" w:beforeAutospacing="0" w:after="120" w:afterAutospacing="0" w:line="360" w:lineRule="auto"/>
        <w:rPr>
          <w:rFonts w:hint="eastAsia" w:ascii="黑体" w:hAnsi="宋体" w:eastAsia="黑体" w:cs="黑体"/>
          <w:color w:val="000000"/>
          <w:sz w:val="28"/>
          <w:szCs w:val="28"/>
          <w:highlight w:val="none"/>
          <w:shd w:val="clear" w:color="auto" w:fill="auto"/>
        </w:rPr>
      </w:pPr>
      <w:r>
        <w:rPr>
          <w:rFonts w:hint="eastAsia" w:ascii="黑体" w:hAnsi="宋体" w:eastAsia="黑体" w:cs="黑体"/>
          <w:color w:val="000000"/>
          <w:sz w:val="28"/>
          <w:szCs w:val="28"/>
          <w:highlight w:val="none"/>
          <w:shd w:val="clear" w:color="auto" w:fill="auto"/>
        </w:rPr>
      </w:r>
      <w:r/>
    </w:p>
    <w:p>
      <w:pPr>
        <w:pStyle w:val="864"/>
        <w:jc w:val="center"/>
        <w:spacing w:before="120" w:beforeAutospacing="0" w:after="120" w:afterAutospacing="0" w:line="360" w:lineRule="auto"/>
        <w:rPr>
          <w:rFonts w:hint="eastAsia" w:ascii="黑体" w:hAnsi="宋体" w:eastAsia="黑体" w:cs="黑体"/>
          <w:color w:val="000000"/>
          <w:sz w:val="28"/>
          <w:szCs w:val="28"/>
          <w:highlight w:val="none"/>
          <w:shd w:val="clear" w:color="auto" w:fill="auto"/>
        </w:rPr>
      </w:pPr>
      <w:r>
        <w:rPr>
          <w:rFonts w:hint="eastAsia" w:ascii="黑体" w:hAnsi="宋体" w:eastAsia="黑体" w:cs="黑体"/>
          <w:color w:val="000000"/>
          <w:sz w:val="28"/>
          <w:szCs w:val="28"/>
          <w:highlight w:val="none"/>
          <w:shd w:val="clear" w:color="auto" w:fill="auto"/>
        </w:rPr>
      </w:r>
      <w:r/>
    </w:p>
    <w:p>
      <w:pPr>
        <w:pStyle w:val="864"/>
        <w:jc w:val="center"/>
        <w:spacing w:before="120" w:beforeAutospacing="0" w:after="120" w:afterAutospacing="0" w:line="360" w:lineRule="auto"/>
        <w:rPr>
          <w:rFonts w:hint="eastAsia" w:ascii="黑体" w:hAnsi="宋体" w:eastAsia="黑体" w:cs="黑体"/>
          <w:color w:val="000000"/>
          <w:sz w:val="28"/>
          <w:szCs w:val="28"/>
          <w:highlight w:val="none"/>
          <w:shd w:val="clear" w:color="auto" w:fill="auto"/>
        </w:rPr>
      </w:pPr>
      <w:r>
        <w:rPr>
          <w:rFonts w:hint="eastAsia" w:ascii="黑体" w:hAnsi="宋体" w:eastAsia="黑体" w:cs="黑体"/>
          <w:color w:val="000000"/>
          <w:sz w:val="28"/>
          <w:szCs w:val="28"/>
          <w:highlight w:val="none"/>
          <w:shd w:val="clear" w:color="auto" w:fill="auto"/>
        </w:rPr>
      </w:r>
      <w:r/>
    </w:p>
    <w:p>
      <w:pPr>
        <w:pStyle w:val="864"/>
        <w:jc w:val="center"/>
        <w:spacing w:before="120" w:beforeAutospacing="0" w:after="120" w:afterAutospacing="0" w:line="360" w:lineRule="auto"/>
        <w:rPr>
          <w:rFonts w:hint="eastAsia" w:ascii="黑体" w:hAnsi="宋体" w:eastAsia="黑体" w:cs="黑体"/>
          <w:color w:val="000000"/>
          <w:sz w:val="28"/>
          <w:szCs w:val="28"/>
          <w:highlight w:val="none"/>
          <w:shd w:val="clear" w:color="auto" w:fill="auto"/>
        </w:rPr>
      </w:pPr>
      <w:r>
        <w:rPr>
          <w:rFonts w:hint="eastAsia" w:ascii="黑体" w:hAnsi="宋体" w:eastAsia="黑体" w:cs="黑体"/>
          <w:color w:val="000000"/>
          <w:sz w:val="28"/>
          <w:szCs w:val="28"/>
          <w:highlight w:val="none"/>
          <w:shd w:val="clear" w:color="auto" w:fill="auto"/>
        </w:rPr>
      </w:r>
      <w:r/>
    </w:p>
    <w:p>
      <w:pPr>
        <w:pStyle w:val="864"/>
        <w:jc w:val="center"/>
        <w:spacing w:before="120" w:beforeAutospacing="0" w:after="120" w:afterAutospacing="0" w:line="360" w:lineRule="auto"/>
        <w:rPr>
          <w:sz w:val="28"/>
          <w:szCs w:val="28"/>
          <w:highlight w:val="none"/>
          <w:shd w:val="clear" w:color="auto" w:fill="auto"/>
        </w:rPr>
      </w:pPr>
      <w:r>
        <w:rPr>
          <w:rFonts w:hint="eastAsia" w:ascii="黑体" w:hAnsi="宋体" w:eastAsia="黑体" w:cs="黑体"/>
          <w:color w:val="000000"/>
          <w:sz w:val="28"/>
          <w:szCs w:val="28"/>
          <w:highlight w:val="none"/>
          <w:shd w:val="clear" w:color="auto" w:fill="auto"/>
        </w:rPr>
        <w:t xml:space="preserve"> 第</w:t>
      </w:r>
      <w:bookmarkEnd w:id="166"/>
      <w:r>
        <w:rPr>
          <w:rFonts w:hint="eastAsia" w:ascii="黑体" w:hAnsi="宋体" w:eastAsia="黑体" w:cs="黑体"/>
          <w:color w:val="000000"/>
          <w:sz w:val="28"/>
          <w:szCs w:val="28"/>
          <w:highlight w:val="none"/>
          <w:shd w:val="clear" w:color="auto" w:fill="auto"/>
        </w:rPr>
        <w:t xml:space="preserve">四章 采购需求</w:t>
      </w:r>
      <w:bookmarkEnd w:id="167"/>
      <w:r/>
      <w:bookmarkEnd w:id="168"/>
      <w:r/>
      <w:bookmarkEnd w:id="169"/>
      <w:r/>
      <w:bookmarkEnd w:id="170"/>
      <w:r/>
      <w:bookmarkEnd w:id="171"/>
      <w:r/>
      <w:r/>
    </w:p>
    <w:p>
      <w:pPr>
        <w:pStyle w:val="864"/>
        <w:jc w:val="both"/>
        <w:spacing w:beforeAutospacing="0" w:afterAutospacing="0" w:line="360" w:lineRule="auto"/>
        <w:rPr>
          <w:sz w:val="28"/>
          <w:szCs w:val="28"/>
          <w:highlight w:val="none"/>
          <w:shd w:val="clear" w:color="auto" w:fill="auto"/>
        </w:rPr>
      </w:pPr>
      <w:r/>
      <w:bookmarkStart w:id="179" w:name="_Toc26554093"/>
      <w:r/>
      <w:bookmarkStart w:id="180" w:name="_Toc49090575"/>
      <w:r>
        <w:rPr>
          <w:rFonts w:hint="eastAsia" w:ascii="宋体" w:hAnsi="宋体" w:eastAsia="宋体" w:cs="宋体"/>
          <w:color w:val="000000"/>
          <w:sz w:val="28"/>
          <w:szCs w:val="28"/>
          <w:highlight w:val="none"/>
          <w:shd w:val="clear" w:color="auto" w:fill="auto"/>
        </w:rPr>
        <w:t xml:space="preserve">项目属性:货物类项目。</w:t>
      </w:r>
      <w:bookmarkEnd w:id="179"/>
      <w:r/>
      <w:bookmarkEnd w:id="180"/>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采购需求包括拟采购的标的及其需要满足的技术、商务要求。</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（一）技术要求是指对采购标的功能和质量要求，包括性能、材料、结构、外观、安全，或者服务内容和标准等。</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（二）商务要求是指取得采购标的的时间、地点、财务和服务要求，包括交付（实施）的时间（期限）和地点（范围），付款条件（进度和方法），包装和运输，售后服务，保险等。</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其内容包含但不限于以下内容：</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1、采购标的需实现的功能或者目标，以及为落实政府采购政策需满足的要求；</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2、采购标的需执行的国家相关标准、行业标准、地方标准或者其他标准、规范；</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3、采购标的需满足的质量、安全、技术规格、物理特性等要求；</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4、采购标的的数量、采购项目交付或者实施的时间和地点；</w:t>
      </w:r>
      <w:r/>
    </w:p>
    <w:p>
      <w:pPr>
        <w:pStyle w:val="864"/>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5、采购标的需满足的服务标准、期限、效率等要求；</w:t>
      </w:r>
      <w:r/>
    </w:p>
    <w:p>
      <w:pPr>
        <w:pStyle w:val="864"/>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1）故障响应时间为2个小时；</w:t>
      </w:r>
      <w:r/>
    </w:p>
    <w:p>
      <w:pPr>
        <w:pStyle w:val="864"/>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2）故障恢复时间为48个小时；</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6、采购标的的验收标准；</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7、采购标的的其他技术、服务等要求。</w:t>
      </w:r>
      <w:r/>
    </w:p>
    <w:p>
      <w:pPr>
        <w:pStyle w:val="864"/>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8、非单一产品采购项目，采购标的中的核心产品。</w:t>
      </w:r>
      <w:r/>
    </w:p>
    <w:p>
      <w:pPr>
        <w:pStyle w:val="864"/>
        <w:jc w:val="both"/>
        <w:spacing w:beforeAutospacing="0" w:afterAutospacing="0" w:line="360" w:lineRule="auto"/>
        <w:rPr>
          <w:rFonts w:hint="eastAsia" w:ascii="宋体" w:hAnsi="宋体" w:eastAsia="宋体" w:cs="宋体"/>
          <w:b/>
          <w:bCs/>
          <w:color w:val="000000"/>
          <w:sz w:val="28"/>
          <w:szCs w:val="28"/>
          <w:highlight w:val="none"/>
          <w:shd w:val="clear" w:color="auto" w:fill="auto"/>
        </w:rPr>
      </w:pPr>
      <w:r>
        <w:rPr>
          <w:rFonts w:hint="eastAsia" w:ascii="宋体" w:hAnsi="宋体" w:eastAsia="宋体" w:cs="宋体"/>
          <w:b/>
          <w:bCs/>
          <w:color w:val="000000"/>
          <w:sz w:val="28"/>
          <w:szCs w:val="28"/>
          <w:highlight w:val="none"/>
          <w:shd w:val="clear" w:color="auto" w:fill="auto"/>
        </w:rPr>
        <w:t xml:space="preserve">核心产品是便携式傅里叶红外分析仪(无机气体监测) </w:t>
      </w:r>
      <w:r/>
    </w:p>
    <w:p>
      <w:pPr>
        <w:pStyle w:val="864"/>
        <w:numPr>
          <w:ilvl w:val="0"/>
          <w:numId w:val="10"/>
        </w:numPr>
        <w:jc w:val="both"/>
        <w:spacing w:beforeAutospacing="0" w:afterAutospacing="0" w:line="360" w:lineRule="auto"/>
        <w:rPr>
          <w:rFonts w:hint="eastAsia" w:ascii="宋体" w:hAnsi="宋体" w:eastAsia="宋体" w:cs="宋体"/>
          <w:i/>
          <w:color w:val="000000"/>
          <w:sz w:val="28"/>
          <w:szCs w:val="28"/>
          <w:highlight w:val="none"/>
          <w:u w:val="single"/>
          <w:shd w:val="clear" w:color="auto" w:fill="auto"/>
        </w:rPr>
      </w:pPr>
      <w:r>
        <w:rPr>
          <w:rFonts w:hint="eastAsia" w:ascii="宋体" w:hAnsi="宋体" w:eastAsia="宋体" w:cs="宋体"/>
          <w:i/>
          <w:color w:val="000000"/>
          <w:sz w:val="28"/>
          <w:szCs w:val="28"/>
          <w:highlight w:val="none"/>
          <w:u w:val="single"/>
          <w:shd w:val="clear" w:color="auto" w:fill="auto"/>
        </w:rPr>
        <w:t xml:space="preserve">采购需求中必须满足的实质性要求。（请单独列出）</w:t>
      </w:r>
      <w:r/>
    </w:p>
    <w:p>
      <w:pPr>
        <w:pStyle w:val="864"/>
        <w:jc w:val="center"/>
        <w:spacing w:beforeAutospacing="0" w:afterAutospacing="0" w:line="360" w:lineRule="auto"/>
        <w:rPr>
          <w:rFonts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仪器设备需求一览表</w:t>
      </w:r>
      <w:r/>
    </w:p>
    <w:tbl>
      <w:tblPr>
        <w:tblStyle w:val="85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8"/>
        <w:gridCol w:w="2240"/>
        <w:gridCol w:w="1338"/>
        <w:gridCol w:w="4283"/>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b/>
                <w:bCs/>
                <w:color w:val="000000"/>
                <w:sz w:val="28"/>
                <w:szCs w:val="28"/>
                <w:highlight w:val="none"/>
                <w:shd w:val="clear" w:color="auto" w:fill="auto"/>
              </w:rPr>
            </w:pPr>
            <w:r>
              <w:rPr>
                <w:rFonts w:hint="eastAsia" w:ascii="宋体" w:hAnsi="宋体" w:eastAsia="宋体" w:cs="宋体"/>
                <w:b/>
                <w:bCs/>
                <w:color w:val="000000"/>
                <w:sz w:val="28"/>
                <w:szCs w:val="28"/>
                <w:highlight w:val="none"/>
                <w:shd w:val="clear" w:color="auto" w:fill="auto"/>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b/>
                <w:bCs/>
                <w:color w:val="000000"/>
                <w:sz w:val="28"/>
                <w:szCs w:val="28"/>
                <w:highlight w:val="none"/>
                <w:shd w:val="clear" w:color="auto" w:fill="auto"/>
              </w:rPr>
            </w:pPr>
            <w:r>
              <w:rPr>
                <w:rFonts w:hint="eastAsia" w:ascii="宋体" w:hAnsi="宋体" w:eastAsia="宋体" w:cs="宋体"/>
                <w:b/>
                <w:bCs/>
                <w:color w:val="000000"/>
                <w:sz w:val="28"/>
                <w:szCs w:val="28"/>
                <w:highlight w:val="none"/>
                <w:shd w:val="clear" w:color="auto" w:fill="auto"/>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hint="eastAsia" w:ascii="宋体" w:hAnsi="宋体" w:eastAsia="宋体" w:cs="宋体"/>
                <w:b/>
                <w:bCs/>
                <w:color w:val="000000"/>
                <w:sz w:val="28"/>
                <w:szCs w:val="28"/>
                <w:highlight w:val="none"/>
                <w:shd w:val="clear" w:color="auto" w:fill="auto"/>
                <w:lang w:eastAsia="zh-CN" w:bidi="ar"/>
              </w:rPr>
            </w:pPr>
            <w:r>
              <w:rPr>
                <w:rFonts w:hint="eastAsia" w:ascii="宋体" w:hAnsi="宋体" w:eastAsia="宋体" w:cs="宋体"/>
                <w:b/>
                <w:bCs/>
                <w:color w:val="000000"/>
                <w:sz w:val="28"/>
                <w:szCs w:val="28"/>
                <w:highlight w:val="none"/>
                <w:shd w:val="clear" w:color="auto" w:fill="auto"/>
                <w:lang w:bidi="ar"/>
              </w:rPr>
              <w:t xml:space="preserve">数量</w:t>
            </w:r>
            <w:r/>
          </w:p>
          <w:p>
            <w:pPr>
              <w:jc w:val="center"/>
              <w:spacing w:line="360" w:lineRule="auto"/>
              <w:widowControl/>
              <w:rPr>
                <w:rFonts w:ascii="宋体" w:hAnsi="宋体" w:eastAsia="宋体" w:cs="宋体"/>
                <w:b/>
                <w:bCs/>
                <w:color w:val="000000"/>
                <w:sz w:val="28"/>
                <w:szCs w:val="28"/>
                <w:highlight w:val="none"/>
                <w:shd w:val="clear" w:color="auto" w:fill="auto"/>
              </w:rPr>
            </w:pPr>
            <w:r>
              <w:rPr>
                <w:rFonts w:hint="eastAsia" w:ascii="宋体" w:hAnsi="宋体" w:eastAsia="宋体" w:cs="宋体"/>
                <w:b/>
                <w:bCs/>
                <w:color w:val="000000"/>
                <w:sz w:val="28"/>
                <w:szCs w:val="28"/>
                <w:highlight w:val="none"/>
                <w:shd w:val="clear" w:color="auto" w:fill="auto"/>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b/>
                <w:bCs/>
                <w:color w:val="000000"/>
                <w:sz w:val="28"/>
                <w:szCs w:val="28"/>
                <w:highlight w:val="none"/>
                <w:shd w:val="clear" w:color="auto" w:fill="auto"/>
              </w:rPr>
            </w:pPr>
            <w:r>
              <w:rPr>
                <w:rFonts w:hint="eastAsia" w:ascii="宋体" w:hAnsi="宋体" w:eastAsia="宋体" w:cs="宋体"/>
                <w:b/>
                <w:bCs/>
                <w:color w:val="000000"/>
                <w:sz w:val="28"/>
                <w:szCs w:val="28"/>
                <w:highlight w:val="none"/>
                <w:shd w:val="clear" w:color="auto" w:fill="auto"/>
                <w:lang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双路VOCs烟气采样器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智能双路烟气采样器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废气多功能取样管</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阻容法烟气含湿量检测器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环境空气采样器配件</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烟尘烟气采样器流量校准仪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全自动CODcr分析仪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吹扫捕集自动进样器(GC-MS用)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溶解氧仪（实验室用）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便携式溶解氧测定仪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便携式pH计（带温度补偿）</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水质硫化物</w:t>
            </w:r>
            <w:r>
              <w:rPr>
                <w:rFonts w:hint="eastAsia" w:ascii="宋体" w:hAnsi="宋体" w:eastAsia="宋体" w:cs="宋体"/>
                <w:color w:val="000000"/>
                <w:sz w:val="28"/>
                <w:szCs w:val="28"/>
                <w:highlight w:val="none"/>
                <w:shd w:val="clear" w:color="auto" w:fill="auto"/>
                <w:lang w:eastAsia="zh-CN" w:bidi="ar"/>
              </w:rPr>
              <w:t xml:space="preserve">－</w:t>
            </w:r>
            <w:r>
              <w:rPr>
                <w:rFonts w:hint="eastAsia" w:ascii="宋体" w:hAnsi="宋体" w:eastAsia="宋体" w:cs="宋体"/>
                <w:color w:val="000000"/>
                <w:sz w:val="28"/>
                <w:szCs w:val="28"/>
                <w:highlight w:val="none"/>
                <w:shd w:val="clear" w:color="auto" w:fill="auto"/>
                <w:lang w:bidi="ar"/>
              </w:rPr>
              <w:t xml:space="preserve">酸化吹气仪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手提式不锈钢压力蒸汽灭菌锅</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COD消解瓶、回流管</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移液枪+吸头</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0.5-10ul（配对应吸头）</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移液枪+吸头</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10-100ul（配对应吸头）</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移液枪+吸头</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100-1000ul（配对应吸头</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移液枪+吸头</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0.5-5ml（配对应吸头）</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移液枪+吸头</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1-10ml（配对应吸头）</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生化培养箱</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菌落计数器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旋涡振荡器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生化需氧量测定仪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便携式交直流移动电源</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电动气瓶爬楼机</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便携式非甲烷总烃测试仪多功能烟</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动态稀释仪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智能微波消解仪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紫外烟气分析仪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水质采样器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水质采样器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便携式抽滤仪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水样保存箱</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双层内衬、温度显示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便携式流速测量仪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全球定位系统(GPS)</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便携式多参数水质测试仪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现场测定水温、pH、溶解氧、电导率等常规参数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水质试纸</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主要用于水质参数的现场定性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水质试剂盒</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主要用于水质参数的现场定性和半定量检测</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水质多参数分光光度仪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用于现场检测COD、高锰酸盐指数、氨氮、氰化物、总磷、六价铬、余氯等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便携式测油仪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便携式气相分子吸收光谱仪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用于快速测定水中硫化物、氨氮、硝酸盐氮等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固相微萃取装置</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可用于配套INFICON Hapsite® ER使用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吹扫捕集装置</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可用于配套INFICON Hapsite® ER使用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生物毒性检测仪配套试剂</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手持式叶绿素（蓝绿藻）测定仪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细菌快速检测仪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苏玛罐</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便携式多种气体检测仪（电化学传感器法）配套气体检测模块</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满足《环境空气氯气等有毒有害气体的应急监测电化学传感器法》(HJ 872-2017) 要求，可现场对Cl</w:t>
            </w:r>
            <w:r>
              <w:rPr>
                <w:rStyle w:val="871"/>
                <w:rFonts w:hint="default"/>
                <w:sz w:val="28"/>
                <w:szCs w:val="28"/>
                <w:highlight w:val="none"/>
                <w:shd w:val="clear" w:color="auto" w:fill="auto"/>
                <w:lang w:bidi="ar"/>
              </w:rPr>
              <w:t xml:space="preserve">2</w:t>
            </w:r>
            <w:r>
              <w:rPr>
                <w:rFonts w:hint="eastAsia" w:ascii="宋体" w:hAnsi="宋体" w:eastAsia="宋体" w:cs="宋体"/>
                <w:color w:val="000000"/>
                <w:sz w:val="28"/>
                <w:szCs w:val="28"/>
                <w:highlight w:val="none"/>
                <w:shd w:val="clear" w:color="auto" w:fill="auto"/>
                <w:lang w:bidi="ar"/>
              </w:rPr>
              <w:t xml:space="preserve">、H</w:t>
            </w:r>
            <w:r>
              <w:rPr>
                <w:rStyle w:val="871"/>
                <w:rFonts w:hint="default"/>
                <w:sz w:val="28"/>
                <w:szCs w:val="28"/>
                <w:highlight w:val="none"/>
                <w:shd w:val="clear" w:color="auto" w:fill="auto"/>
                <w:lang w:bidi="ar"/>
              </w:rPr>
              <w:t xml:space="preserve">2</w:t>
            </w:r>
            <w:r>
              <w:rPr>
                <w:rFonts w:hint="eastAsia" w:ascii="宋体" w:hAnsi="宋体" w:eastAsia="宋体" w:cs="宋体"/>
                <w:color w:val="000000"/>
                <w:sz w:val="28"/>
                <w:szCs w:val="28"/>
                <w:highlight w:val="none"/>
                <w:shd w:val="clear" w:color="auto" w:fill="auto"/>
                <w:lang w:bidi="ar"/>
              </w:rPr>
              <w:t xml:space="preserve">S、HC1、CO、HCN、COCl</w:t>
            </w:r>
            <w:r>
              <w:rPr>
                <w:rStyle w:val="871"/>
                <w:rFonts w:hint="default"/>
                <w:sz w:val="28"/>
                <w:szCs w:val="28"/>
                <w:highlight w:val="none"/>
                <w:shd w:val="clear" w:color="auto" w:fill="auto"/>
                <w:lang w:bidi="ar"/>
              </w:rPr>
              <w:t xml:space="preserve">2</w:t>
            </w:r>
            <w:r>
              <w:rPr>
                <w:rFonts w:hint="eastAsia" w:ascii="宋体" w:hAnsi="宋体" w:eastAsia="宋体" w:cs="宋体"/>
                <w:color w:val="000000"/>
                <w:sz w:val="28"/>
                <w:szCs w:val="28"/>
                <w:highlight w:val="none"/>
                <w:shd w:val="clear" w:color="auto" w:fill="auto"/>
                <w:lang w:bidi="ar"/>
              </w:rPr>
              <w:t xml:space="preserve">、HF、NH</w:t>
            </w:r>
            <w:r>
              <w:rPr>
                <w:rStyle w:val="871"/>
                <w:rFonts w:hint="default"/>
                <w:sz w:val="28"/>
                <w:szCs w:val="28"/>
                <w:highlight w:val="none"/>
                <w:shd w:val="clear" w:color="auto" w:fill="auto"/>
                <w:lang w:bidi="ar"/>
              </w:rPr>
              <w:t xml:space="preserve">3</w:t>
            </w:r>
            <w:r>
              <w:rPr>
                <w:rFonts w:hint="eastAsia" w:ascii="宋体" w:hAnsi="宋体" w:eastAsia="宋体" w:cs="宋体"/>
                <w:color w:val="000000"/>
                <w:sz w:val="28"/>
                <w:szCs w:val="28"/>
                <w:highlight w:val="none"/>
                <w:shd w:val="clear" w:color="auto" w:fill="auto"/>
                <w:lang w:bidi="ar"/>
              </w:rPr>
              <w:t xml:space="preserve">等有毒有害气体进行定性和半定量监测。</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便携式傅里叶红外分析仪(无机气体监测)</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满足《</w:t>
            </w:r>
            <w:r>
              <w:rPr>
                <w:rFonts w:hint="eastAsia" w:ascii="宋体" w:hAnsi="宋体" w:eastAsia="宋体" w:cs="宋体"/>
                <w:color w:val="000000"/>
                <w:sz w:val="28"/>
                <w:szCs w:val="28"/>
                <w:highlight w:val="none"/>
                <w:shd w:val="clear" w:color="auto" w:fill="auto"/>
                <w:lang w:eastAsia="zh-CN" w:bidi="ar"/>
              </w:rPr>
              <w:t xml:space="preserve">环境空气无机有害气体的应急监测便携式傅里叶红外仪法</w:t>
            </w:r>
            <w:r>
              <w:rPr>
                <w:rFonts w:hint="eastAsia" w:ascii="宋体" w:hAnsi="宋体" w:eastAsia="宋体" w:cs="宋体"/>
                <w:color w:val="000000"/>
                <w:sz w:val="28"/>
                <w:szCs w:val="28"/>
                <w:highlight w:val="none"/>
                <w:shd w:val="clear" w:color="auto" w:fill="auto"/>
                <w:lang w:bidi="ar"/>
              </w:rPr>
              <w:t xml:space="preserve">》(HJ920-2017)要求，可现场对CO、CO</w:t>
            </w:r>
            <w:r>
              <w:rPr>
                <w:rStyle w:val="871"/>
                <w:rFonts w:hint="default"/>
                <w:sz w:val="28"/>
                <w:szCs w:val="28"/>
                <w:highlight w:val="none"/>
                <w:shd w:val="clear" w:color="auto" w:fill="auto"/>
                <w:lang w:bidi="ar"/>
              </w:rPr>
              <w:t xml:space="preserve">2</w:t>
            </w:r>
            <w:r>
              <w:rPr>
                <w:rFonts w:hint="eastAsia" w:ascii="宋体" w:hAnsi="宋体" w:eastAsia="宋体" w:cs="宋体"/>
                <w:color w:val="000000"/>
                <w:sz w:val="28"/>
                <w:szCs w:val="28"/>
                <w:highlight w:val="none"/>
                <w:shd w:val="clear" w:color="auto" w:fill="auto"/>
                <w:lang w:bidi="ar"/>
              </w:rPr>
              <w:t xml:space="preserve">、SO</w:t>
            </w:r>
            <w:r>
              <w:rPr>
                <w:rStyle w:val="871"/>
                <w:rFonts w:hint="default"/>
                <w:sz w:val="28"/>
                <w:szCs w:val="28"/>
                <w:highlight w:val="none"/>
                <w:shd w:val="clear" w:color="auto" w:fill="auto"/>
                <w:lang w:bidi="ar"/>
              </w:rPr>
              <w:t xml:space="preserve">2</w:t>
            </w:r>
            <w:r>
              <w:rPr>
                <w:rFonts w:hint="eastAsia" w:ascii="宋体" w:hAnsi="宋体" w:eastAsia="宋体" w:cs="宋体"/>
                <w:color w:val="000000"/>
                <w:sz w:val="28"/>
                <w:szCs w:val="28"/>
                <w:highlight w:val="none"/>
                <w:shd w:val="clear" w:color="auto" w:fill="auto"/>
                <w:lang w:bidi="ar"/>
              </w:rPr>
              <w:t xml:space="preserve">、NO、NO、HCI、HCN、HF、NONH等无机气体进行定性和半定量监测。</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气体检测管</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满足《环境空气氯气等有毒有害气体的应急监测比长式检测管法》(HJ 871-2017)要求，用于有毒有害气体的现场定性和半定量检测。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便携式颗粒物检测仪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红外热成像气体泄漏检测仪</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土壤采样装备</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pct"/>
            <w:vAlign w:val="center"/>
            <w:textDirection w:val="lrTb"/>
            <w:noWrap w:val="false"/>
          </w:tcPr>
          <w:p>
            <w:pPr>
              <w:jc w:val="center"/>
              <w:spacing w:line="360" w:lineRule="auto"/>
              <w:rPr>
                <w:rFonts w:ascii="宋体" w:hAnsi="宋体" w:eastAsia="宋体" w:cs="宋体"/>
                <w:color w:val="000000"/>
                <w:sz w:val="28"/>
                <w:szCs w:val="28"/>
                <w:highlight w:val="none"/>
                <w:shd w:val="clear" w:color="auto" w:fill="auto"/>
              </w:rPr>
            </w:pPr>
            <w:r>
              <w:rPr>
                <w:rFonts w:ascii="宋体" w:hAnsi="宋体" w:eastAsia="宋体" w:cs="宋体"/>
                <w:color w:val="000000"/>
                <w:sz w:val="28"/>
                <w:szCs w:val="28"/>
                <w:highlight w:val="none"/>
                <w:shd w:val="clear" w:color="auto" w:fill="auto"/>
              </w:rPr>
            </w:r>
            <w:r/>
          </w:p>
        </w:tc>
      </w:tr>
    </w:tbl>
    <w:p>
      <w:pPr>
        <w:pStyle w:val="864"/>
        <w:jc w:val="both"/>
        <w:spacing w:beforeAutospacing="0" w:afterAutospacing="0" w:line="360" w:lineRule="auto"/>
        <w:rPr>
          <w:rFonts w:ascii="宋体" w:hAnsi="宋体" w:eastAsia="宋体" w:cs="宋体"/>
          <w:b/>
          <w:bCs/>
          <w:color w:val="000000" w:themeColor="text1"/>
          <w:sz w:val="28"/>
          <w:szCs w:val="28"/>
          <w:highlight w:val="none"/>
          <w:shd w:val="clear" w:color="auto" w:fill="auto"/>
          <w14:textFill>
            <w14:solidFill>
              <w14:schemeClr w14:val="tx1"/>
            </w14:solidFill>
          </w14:textFill>
        </w:rPr>
      </w:pPr>
      <w:r>
        <w:rPr>
          <w:rFonts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具体技术参数：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81" w:name="_Toc618"/>
      <w:r>
        <w:rPr>
          <w:rFonts w:hint="eastAsia" w:eastAsia="宋体"/>
          <w:color w:val="000000" w:themeColor="text1"/>
          <w:sz w:val="28"/>
          <w:szCs w:val="28"/>
          <w:highlight w:val="none"/>
          <w:shd w:val="clear" w:color="auto" w:fill="auto"/>
          <w14:textFill>
            <w14:solidFill>
              <w14:schemeClr w14:val="tx1"/>
            </w14:solidFill>
          </w14:textFill>
        </w:rPr>
        <w:t xml:space="preserve">一、双路VOCs烟气采样器</w:t>
      </w:r>
      <w:bookmarkEnd w:id="181"/>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1、执行标准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GB/T 16157-1996    固定污染源排气中颗粒物测定和气态污染物采样方法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HJ/T 47-1999        烟气采样器技术条件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HJ/T 397-2007       固定源废气监测技术规范</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JJG 1169-2019       烟气采样器检定规程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2、性能特点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2.1内置大容量充电锂电池，可同时给主机和加热取样管供电（24V），低电量时自动报警，提醒用户及时切换电源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2.2可以两路同时采样，也可任意单路采样，每路采样都可以单独控制。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2.3通过连接外置烟气多功能预处理器及阻容法含湿量检测器，可以测量烟气温度、流速、含湿量等参数，计算烟气流量、排放量，并进行相应数据存储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2.4采用高精度数字压力传感器，实时监测采样流量，自动控制采样流量在设定的流量点，自动补偿因为温度波动和阻力变化引起的流量变化</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2.5流量稳定性好，负载能力强，能保证长时间的可靠运行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2.6使用大容量存储芯片，A路、B路及工况均可存储2000组数据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2.7自动累计采样体积，并同时根据气压、温度换算标况采样体积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2.8采用不低于128×64 OLED宽温型显示屏，低温恶劣工况可正常工作，适用范围广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2.9采样过程中实时保存运行数据，来电自动恢复采样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2.10干燥筒与主机一体，用不同颜色气路管连接，可有效保护主机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2.11通过键盘对采样器流量、温度等进行标定，标定操作受密码的保护，具有自动恢复出厂设置的功能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3、参数要求</w:t>
      </w:r>
      <w:r/>
    </w:p>
    <w:tbl>
      <w:tblPr>
        <w:tblStyle w:val="858"/>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0"/>
        <w:gridCol w:w="2325"/>
        <w:gridCol w:w="1738"/>
        <w:gridCol w:w="2100"/>
      </w:tblGrid>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主要参数</w:t>
            </w:r>
            <w:r/>
          </w:p>
        </w:tc>
        <w:tc>
          <w:tcPr>
            <w:shd w:val="clear" w:color="auto" w:fill="auto"/>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参数范围</w:t>
            </w:r>
            <w:r/>
          </w:p>
        </w:tc>
        <w:tc>
          <w:tcPr>
            <w:shd w:val="clear" w:color="auto" w:fill="auto"/>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分辨率</w:t>
            </w:r>
            <w:r/>
          </w:p>
        </w:tc>
        <w:tc>
          <w:tcPr>
            <w:shd w:val="clear" w:color="auto" w:fill="auto"/>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准确度</w:t>
            </w:r>
            <w:r/>
          </w:p>
        </w:tc>
      </w:tr>
      <w:tr>
        <w:trPr>
          <w:jc w:val="center"/>
          <w:trHeight w:val="404"/>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采样流量</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(0.2~1.5) L/min</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 L/min</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不超过±2.5%</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采样时间</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99h59min内任意设置</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 min</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不超过±0.1%</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采样次数</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1～99</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次</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流量计前温度</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(-55~125)℃</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不超过±2.5℃</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流量计前压力</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(-25~0)kPa</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0.01kPa</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不超过±2.5%</w:t>
            </w:r>
            <w:r/>
          </w:p>
        </w:tc>
      </w:tr>
      <w:tr>
        <w:trPr>
          <w:jc w:val="center"/>
          <w:trHeight w:val="397"/>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流量重复性</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w:t>
            </w:r>
            <w:r/>
          </w:p>
        </w:tc>
      </w:tr>
      <w:tr>
        <w:trPr>
          <w:jc w:val="center"/>
          <w:trHeight w:val="397"/>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流量稳定性</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不超过5%</w:t>
            </w:r>
            <w:r/>
          </w:p>
        </w:tc>
      </w:tr>
      <w:tr>
        <w:trPr>
          <w:jc w:val="center"/>
          <w:trHeight w:val="397"/>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大 气 压</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(50~130)kPa</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0.01kPa</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不超过±500Pa</w:t>
            </w:r>
            <w:r/>
          </w:p>
        </w:tc>
      </w:tr>
      <w:tr>
        <w:trPr>
          <w:jc w:val="center"/>
          <w:trHeight w:val="423"/>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烟气动压</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(0~2000)Pa</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1Pa</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不超过±1%FS</w:t>
            </w:r>
            <w:r/>
          </w:p>
        </w:tc>
      </w:tr>
      <w:tr>
        <w:trPr>
          <w:jc w:val="center"/>
          <w:trHeight w:val="423"/>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烟气静压</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(-30~+30)kPa</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0.01kPa</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不超过±1%FS</w:t>
            </w:r>
            <w:r/>
          </w:p>
        </w:tc>
      </w:tr>
      <w:tr>
        <w:trPr>
          <w:jc w:val="center"/>
          <w:trHeight w:val="423"/>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烟气温度</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(0~500)℃</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不超过±3℃</w:t>
            </w:r>
            <w:r/>
          </w:p>
        </w:tc>
      </w:tr>
      <w:tr>
        <w:trPr>
          <w:jc w:val="center"/>
          <w:trHeight w:val="423"/>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流速</w:t>
            </w:r>
            <w:r/>
          </w:p>
        </w:tc>
        <w:tc>
          <w:tcPr>
            <w:tcBorders>
              <w:left w:val="single" w:color="auto" w:sz="4" w:space="0"/>
              <w:right w:val="single" w:color="auto" w:sz="4" w:space="0"/>
            </w:tcBorders>
            <w:tcW w:w="232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(5~45)m/s</w:t>
            </w:r>
            <w:r/>
          </w:p>
        </w:tc>
        <w:tc>
          <w:tcPr>
            <w:tcBorders>
              <w:left w:val="single" w:color="auto" w:sz="4" w:space="0"/>
              <w:right w:val="single" w:color="auto" w:sz="4" w:space="0"/>
            </w:tcBorders>
            <w:tcW w:w="1738"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0.1m/s</w:t>
            </w:r>
            <w:r/>
          </w:p>
        </w:tc>
        <w:tc>
          <w:tcPr>
            <w:tcBorders>
              <w:left w:val="single" w:color="auto" w:sz="4" w:space="0"/>
              <w:right w:val="single" w:color="auto" w:sz="4" w:space="0"/>
            </w:tcBorders>
            <w:tcW w:w="210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不超过±5%</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噪声</w:t>
            </w:r>
            <w:r/>
          </w:p>
        </w:tc>
        <w:tc>
          <w:tcPr>
            <w:gridSpan w:val="3"/>
            <w:tcBorders>
              <w:left w:val="single" w:color="auto" w:sz="4" w:space="0"/>
              <w:right w:val="single" w:color="auto" w:sz="4" w:space="0"/>
            </w:tcBorders>
            <w:tcW w:w="6163"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≤65dB(A)</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工作电源</w:t>
            </w:r>
            <w:r/>
          </w:p>
        </w:tc>
        <w:tc>
          <w:tcPr>
            <w:gridSpan w:val="3"/>
            <w:tcBorders>
              <w:left w:val="single" w:color="auto" w:sz="4" w:space="0"/>
              <w:right w:val="single" w:color="auto" w:sz="4" w:space="0"/>
            </w:tcBorders>
            <w:tcW w:w="6163"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内置充电锂电池，可连续不低于工作6小时</w:t>
            </w:r>
            <w:r/>
          </w:p>
        </w:tc>
      </w:tr>
      <w:tr>
        <w:trPr>
          <w:jc w:val="center"/>
          <w:trHeight w:val="90"/>
        </w:trPr>
        <w:tc>
          <w:tcPr>
            <w:shd w:val="clear" w:color="auto" w:fill="auto"/>
            <w:tcBorders>
              <w:right w:val="single" w:color="auto" w:sz="4" w:space="0"/>
            </w:tcBorders>
            <w:tcW w:w="225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功 耗</w:t>
            </w:r>
            <w:r/>
          </w:p>
        </w:tc>
        <w:tc>
          <w:tcPr>
            <w:gridSpan w:val="3"/>
            <w:tcBorders>
              <w:left w:val="single" w:color="auto" w:sz="4" w:space="0"/>
              <w:right w:val="single" w:color="auto" w:sz="4" w:space="0"/>
            </w:tcBorders>
            <w:tcW w:w="6163"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&lt;50W</w:t>
            </w:r>
            <w:r/>
          </w:p>
        </w:tc>
      </w:tr>
    </w:tbl>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仪器配置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1、主机1台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2、便携式蓝牙打印机1台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3、吸收瓶挂架1个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4、三脚支架1个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5、电源输出线1套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6、干燥筒2个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7、校准证书1份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82" w:name="_Toc15347"/>
      <w:r>
        <w:rPr>
          <w:rFonts w:hint="eastAsia" w:eastAsia="宋体"/>
          <w:color w:val="000000" w:themeColor="text1"/>
          <w:sz w:val="28"/>
          <w:szCs w:val="28"/>
          <w:highlight w:val="none"/>
          <w:shd w:val="clear" w:color="auto" w:fill="auto"/>
          <w14:textFill>
            <w14:solidFill>
              <w14:schemeClr w14:val="tx1"/>
            </w14:solidFill>
          </w14:textFill>
        </w:rPr>
        <w:t xml:space="preserve">二、智能双路烟气采样器</w:t>
      </w:r>
      <w:bookmarkEnd w:id="18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1、仪器用途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仪器既能对环境空气和固定污染源中的VOCs进行固相吸附法采样，又能对环境空气、室内空气中的SO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NOx等各种环境污染气体成分进行溶液吸收法采样的多功能采样器，适用于多工况多气体采样，满足不同客户的个性化需求。本仪器可供环保、卫生、劳动、安监、军事、科研、教育等部门用于各种环境空气和固定污染源中VOCs的采样以及气态物质常规或应急监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HJ/T375-2007  环境空气采样器技术要求及检测方法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HJ583-2010    环境空气苯系物的测定 固体吸附/热脱附-气相色谱法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HJ644-2013    环境空气挥发性有机物的测定 吸附管采样-热脱附/气相色谱-质谱法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HJ645-2013    环境空气挥发性卤代烃的测定 活性</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炭</w:t>
      </w:r>
      <w:r>
        <w:rPr>
          <w:rFonts w:hint="eastAsia" w:eastAsia="宋体"/>
          <w:color w:val="000000" w:themeColor="text1"/>
          <w:sz w:val="28"/>
          <w:szCs w:val="28"/>
          <w:highlight w:val="none"/>
          <w:shd w:val="clear" w:color="auto" w:fill="auto"/>
          <w14:textFill>
            <w14:solidFill>
              <w14:schemeClr w14:val="tx1"/>
            </w14:solidFill>
          </w14:textFill>
        </w:rPr>
        <w:t xml:space="preserve">吸附-二硫化碳解</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析</w:t>
      </w:r>
      <w:r>
        <w:rPr>
          <w:rFonts w:hint="eastAsia" w:eastAsia="宋体"/>
          <w:color w:val="000000" w:themeColor="text1"/>
          <w:sz w:val="28"/>
          <w:szCs w:val="28"/>
          <w:highlight w:val="none"/>
          <w:shd w:val="clear" w:color="auto" w:fill="auto"/>
          <w14:textFill>
            <w14:solidFill>
              <w14:schemeClr w14:val="tx1"/>
            </w14:solidFill>
          </w14:textFill>
        </w:rPr>
        <w:t xml:space="preserve">/气相色谱法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HJ683-2014    环境空气 醛、酮类化合物的测定 高效液相色谱法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HJ734-2014    固定污染源废气 挥发性有机物的测定 固相吸附-热脱附/气相色谱-质谱法</w:t>
      </w:r>
      <w:r/>
    </w:p>
    <w:p>
      <w:pPr>
        <w:pStyle w:val="864"/>
        <w:jc w:val="both"/>
        <w:spacing w:beforeAutospacing="0" w:afterAutospacing="0" w:line="360" w:lineRule="auto"/>
        <w:rPr>
          <w:rFonts w:hint="default"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JJG956-2013   大气采样器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检定规程</w:t>
      </w:r>
      <w:r/>
    </w:p>
    <w:p>
      <w:pPr>
        <w:pStyle w:val="864"/>
        <w:jc w:val="both"/>
        <w:spacing w:beforeAutospacing="0" w:afterAutospacing="0" w:line="360" w:lineRule="auto"/>
        <w:rPr>
          <w:rFonts w:hint="default"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JJG1169-2019  烟气采样器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检定规程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3、技术特点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3.1采用双流量段设计，流量段可自由组合，适用于多工况多气体采样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3.2可实现即时采样、定时采样、间隔采样等多种采样模式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3.3可设定采样时间或体积两种方式进行采样，满足不同客户需求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3.4兼容多种规格、不同填充材料和长度的吸附管，同时可用于活性炭管采样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3.5采用原创流量控制算法，自动补偿因为电压波动和阻力、温度变化引起的流量变化，精确控制微小流量，极大地提高了流量的稳定性与准确性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3.6可设定0°标流、20°标流、实流三种流量方式进行采样，满足不同客户需求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3.7采用引风式环境温度</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监测</w:t>
      </w:r>
      <w:r>
        <w:rPr>
          <w:rFonts w:hint="eastAsia" w:eastAsia="宋体"/>
          <w:color w:val="000000" w:themeColor="text1"/>
          <w:sz w:val="28"/>
          <w:szCs w:val="28"/>
          <w:highlight w:val="none"/>
          <w:shd w:val="clear" w:color="auto" w:fill="auto"/>
          <w14:textFill>
            <w14:solidFill>
              <w14:schemeClr w14:val="tx1"/>
            </w14:solidFill>
          </w14:textFill>
        </w:rPr>
        <w:t xml:space="preserve">模块，大幅减小环境温度测量误差，进一步提高测量准确度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3.8宽温高亮TC-OLED显示屏，高寒地区可正常使用，界面简洁清晰，良好的人机交互体验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3.9提供USB接口，可将采样数据文件导出，同时支持升级仪器主板程序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3.10内置蓝牙模块接口，可连接便携式蓝牙打印机轻松掌握实时数据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预留物联网模块接口，可拓展联网功能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3.11仪器内置电子标签，可与仪器出入库管理平台软件配合实现仪器智能化管理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4、技术参数</w:t>
      </w:r>
      <w:r/>
    </w:p>
    <w:tbl>
      <w:tblPr>
        <w:tblStyle w:val="858"/>
        <w:tblW w:w="8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1"/>
        <w:gridCol w:w="2223"/>
        <w:gridCol w:w="1545"/>
        <w:gridCol w:w="1912"/>
      </w:tblGrid>
      <w:tr>
        <w:trPr>
          <w:jc w:val="center"/>
          <w:trHeight w:val="397"/>
        </w:trPr>
        <w:tc>
          <w:tcPr>
            <w:gridSpan w:val="4"/>
            <w:shd w:val="clear" w:color="auto" w:fill="auto"/>
            <w:tcBorders>
              <w:bottom w:val="single" w:color="auto" w:sz="4" w:space="0"/>
              <w:right w:val="single" w:color="auto" w:sz="4" w:space="0"/>
            </w:tcBorders>
            <w:tcW w:w="8341"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烟尘采样技术指标</w:t>
            </w:r>
            <w:r/>
          </w:p>
        </w:tc>
      </w:tr>
      <w:tr>
        <w:trPr>
          <w:jc w:val="center"/>
          <w:trHeight w:val="397"/>
        </w:trPr>
        <w:tc>
          <w:tcPr>
            <w:shd w:val="clear" w:color="auto" w:fill="auto"/>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主要参数</w:t>
            </w:r>
            <w:r/>
          </w:p>
        </w:tc>
        <w:tc>
          <w:tcPr>
            <w:shd w:val="clear" w:color="auto" w:fill="auto"/>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参数范围</w:t>
            </w:r>
            <w:r/>
          </w:p>
        </w:tc>
        <w:tc>
          <w:tcPr>
            <w:shd w:val="clear" w:color="auto" w:fill="auto"/>
            <w:tcBorders>
              <w:left w:val="single" w:color="auto" w:sz="4" w:space="0"/>
              <w:right w:val="single" w:color="auto" w:sz="4" w:space="0"/>
            </w:tcBorders>
            <w:tcW w:w="1545"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分辨率</w:t>
            </w:r>
            <w:r/>
          </w:p>
        </w:tc>
        <w:tc>
          <w:tcPr>
            <w:shd w:val="clear" w:color="auto" w:fill="auto"/>
            <w:tcBorders>
              <w:left w:val="single" w:color="auto" w:sz="4" w:space="0"/>
              <w:right w:val="single" w:color="auto" w:sz="4" w:space="0"/>
            </w:tcBorders>
            <w:tcW w:w="1912"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准确度</w:t>
            </w:r>
            <w:r/>
          </w:p>
        </w:tc>
      </w:tr>
      <w:tr>
        <w:trPr>
          <w:jc w:val="center"/>
          <w:trHeight w:val="212"/>
        </w:trPr>
        <w:tc>
          <w:tcPr>
            <w:tcBorders>
              <w:right w:val="single" w:color="auto" w:sz="4" w:space="0"/>
            </w:tcBorders>
            <w:tcW w:w="2661" w:type="dxa"/>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采样流量（可自由组合）</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mL/min</w:t>
            </w:r>
            <w:r/>
          </w:p>
        </w:tc>
        <w:tc>
          <w:tcPr>
            <w:tcBorders>
              <w:left w:val="single" w:color="auto" w:sz="4" w:space="0"/>
              <w:right w:val="single" w:color="auto" w:sz="4" w:space="0"/>
            </w:tcBorders>
            <w:tcW w:w="154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0.1mL/min</w:t>
            </w:r>
            <w:r/>
          </w:p>
        </w:tc>
        <w:tc>
          <w:tcPr>
            <w:tcBorders>
              <w:left w:val="single" w:color="auto" w:sz="4" w:space="0"/>
              <w:right w:val="single" w:color="auto" w:sz="4" w:space="0"/>
            </w:tcBorders>
            <w:tcW w:w="1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不超过±5%</w:t>
            </w:r>
            <w:r/>
          </w:p>
        </w:tc>
      </w:tr>
      <w:tr>
        <w:trPr>
          <w:jc w:val="center"/>
          <w:trHeight w:val="212"/>
        </w:trPr>
        <w:tc>
          <w:tcPr>
            <w:tcBorders>
              <w:right w:val="single" w:color="auto" w:sz="4" w:space="0"/>
            </w:tcBorders>
            <w:tcW w:w="2661" w:type="dxa"/>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L/min</w:t>
            </w:r>
            <w:r/>
          </w:p>
        </w:tc>
        <w:tc>
          <w:tcPr>
            <w:tcBorders>
              <w:left w:val="single" w:color="auto" w:sz="4" w:space="0"/>
              <w:right w:val="single" w:color="auto" w:sz="4" w:space="0"/>
            </w:tcBorders>
            <w:tcW w:w="154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 L/min</w:t>
            </w:r>
            <w:r/>
          </w:p>
        </w:tc>
        <w:tc>
          <w:tcPr>
            <w:tcBorders>
              <w:left w:val="single" w:color="auto" w:sz="4" w:space="0"/>
              <w:right w:val="single" w:color="auto" w:sz="4" w:space="0"/>
            </w:tcBorders>
            <w:tcW w:w="1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w:t>
            </w:r>
            <w:r/>
          </w:p>
        </w:tc>
      </w:tr>
      <w:tr>
        <w:trPr>
          <w:jc w:val="center"/>
          <w:trHeight w:val="397"/>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流量计前温度</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125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54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p>
        </w:tc>
        <w:tc>
          <w:tcPr>
            <w:tcBorders>
              <w:left w:val="single" w:color="auto" w:sz="4" w:space="0"/>
              <w:right w:val="single" w:color="auto" w:sz="4" w:space="0"/>
            </w:tcBorders>
            <w:tcW w:w="1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不超过±2.5%</w:t>
            </w:r>
            <w:r/>
          </w:p>
        </w:tc>
      </w:tr>
      <w:tr>
        <w:trPr>
          <w:jc w:val="center"/>
          <w:trHeight w:val="381"/>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流量计前压力</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kPa</w:t>
            </w:r>
            <w:r/>
          </w:p>
        </w:tc>
        <w:tc>
          <w:tcPr>
            <w:tcBorders>
              <w:left w:val="single" w:color="auto" w:sz="4" w:space="0"/>
              <w:right w:val="single" w:color="auto" w:sz="4" w:space="0"/>
            </w:tcBorders>
            <w:tcW w:w="154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0.01kPa</w:t>
            </w:r>
            <w:r/>
          </w:p>
        </w:tc>
        <w:tc>
          <w:tcPr>
            <w:tcBorders>
              <w:left w:val="single" w:color="auto" w:sz="4" w:space="0"/>
              <w:right w:val="single" w:color="auto" w:sz="4" w:space="0"/>
            </w:tcBorders>
            <w:tcW w:w="1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不超过±2.5%</w:t>
            </w:r>
            <w:r/>
          </w:p>
        </w:tc>
      </w:tr>
      <w:tr>
        <w:trPr>
          <w:jc w:val="center"/>
          <w:trHeight w:val="397"/>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大气压</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130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kPa</w:t>
            </w:r>
            <w:r/>
          </w:p>
        </w:tc>
        <w:tc>
          <w:tcPr>
            <w:tcBorders>
              <w:left w:val="single" w:color="auto" w:sz="4" w:space="0"/>
              <w:right w:val="single" w:color="auto" w:sz="4" w:space="0"/>
            </w:tcBorders>
            <w:tcW w:w="154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0.01kPa</w:t>
            </w:r>
            <w:r/>
          </w:p>
        </w:tc>
        <w:tc>
          <w:tcPr>
            <w:tcBorders>
              <w:left w:val="single" w:color="auto" w:sz="4" w:space="0"/>
              <w:right w:val="single" w:color="auto" w:sz="4" w:space="0"/>
            </w:tcBorders>
            <w:tcW w:w="1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不超过±500Pa</w:t>
            </w:r>
            <w:r/>
          </w:p>
        </w:tc>
      </w:tr>
      <w:tr>
        <w:trPr>
          <w:jc w:val="center"/>
          <w:trHeight w:val="397"/>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流量重复性</w:t>
            </w:r>
            <w:r/>
          </w:p>
        </w:tc>
        <w:tc>
          <w:tcPr>
            <w:tcBorders>
              <w:left w:val="single" w:color="auto" w:sz="4" w:space="0"/>
              <w:right w:val="single" w:color="auto" w:sz="4" w:space="0"/>
            </w:tcBorders>
            <w:tcW w:w="222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545"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w:t>
            </w:r>
            <w:r/>
          </w:p>
        </w:tc>
      </w:tr>
      <w:tr>
        <w:trPr>
          <w:jc w:val="center"/>
          <w:trHeight w:val="397"/>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流量稳定性</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545"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left w:val="single" w:color="auto" w:sz="4" w:space="0"/>
              <w:right w:val="single" w:color="auto" w:sz="4" w:space="0"/>
            </w:tcBorders>
            <w:tcW w:w="1912"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不超过5%</w:t>
            </w:r>
            <w:r/>
          </w:p>
        </w:tc>
      </w:tr>
      <w:tr>
        <w:trPr>
          <w:jc w:val="center"/>
          <w:trHeight w:val="452"/>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采样时间设置</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999min内任意设置</w:t>
            </w:r>
            <w:r/>
          </w:p>
        </w:tc>
        <w:tc>
          <w:tcPr>
            <w:tcBorders>
              <w:left w:val="single" w:color="auto" w:sz="4" w:space="0"/>
              <w:right w:val="single" w:color="auto" w:sz="4" w:space="0"/>
            </w:tcBorders>
            <w:tcW w:w="1545"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1min</w:t>
            </w:r>
            <w:r/>
          </w:p>
        </w:tc>
        <w:tc>
          <w:tcPr>
            <w:tcBorders>
              <w:left w:val="single" w:color="auto" w:sz="4" w:space="0"/>
              <w:right w:val="single" w:color="auto" w:sz="4" w:space="0"/>
            </w:tcBorders>
            <w:tcW w:w="1912"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不超过±0.1%</w:t>
            </w:r>
            <w:r/>
          </w:p>
        </w:tc>
      </w:tr>
      <w:tr>
        <w:trPr>
          <w:jc w:val="center"/>
          <w:trHeight w:val="397"/>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采样体积设置</w:t>
            </w:r>
            <w:r/>
          </w:p>
        </w:tc>
        <w:tc>
          <w:tcPr>
            <w:tcBorders>
              <w:left w:val="single" w:color="auto" w:sz="4" w:space="0"/>
              <w:right w:val="single" w:color="auto" w:sz="4" w:space="0"/>
            </w:tcBorders>
            <w:tcW w:w="2223"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9999mL内任意设置</w:t>
            </w:r>
            <w:r/>
          </w:p>
        </w:tc>
        <w:tc>
          <w:tcPr>
            <w:tcBorders>
              <w:left w:val="single" w:color="auto" w:sz="4" w:space="0"/>
              <w:right w:val="single" w:color="auto" w:sz="4" w:space="0"/>
            </w:tcBorders>
            <w:tcW w:w="1545"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1mL</w:t>
            </w:r>
            <w:r/>
          </w:p>
        </w:tc>
        <w:tc>
          <w:tcPr>
            <w:tcBorders>
              <w:left w:val="single" w:color="auto" w:sz="4" w:space="0"/>
              <w:right w:val="single" w:color="auto" w:sz="4" w:space="0"/>
            </w:tcBorders>
            <w:tcW w:w="1912"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不超过±2%</w:t>
            </w:r>
            <w:r/>
          </w:p>
        </w:tc>
      </w:tr>
      <w:tr>
        <w:trPr>
          <w:jc w:val="center"/>
          <w:trHeight w:val="423"/>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带载能力</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 mL/min流量时，克服阻力-20kPa以上</w:t>
            </w:r>
            <w:r/>
          </w:p>
        </w:tc>
      </w:tr>
      <w:tr>
        <w:trPr>
          <w:jc w:val="center"/>
          <w:trHeight w:val="423"/>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数据存储</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5000组</w:t>
            </w:r>
            <w:r/>
          </w:p>
        </w:tc>
      </w:tr>
      <w:tr>
        <w:trPr>
          <w:jc w:val="center"/>
          <w:trHeight w:val="397"/>
        </w:trPr>
        <w:tc>
          <w:tcPr>
            <w:tcBorders>
              <w:right w:val="single" w:color="auto" w:sz="4" w:space="0"/>
            </w:tcBorders>
            <w:tcW w:w="2661"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主机重量</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≤2.5Kg</w:t>
            </w:r>
            <w:r/>
          </w:p>
        </w:tc>
      </w:tr>
      <w:tr>
        <w:trPr>
          <w:jc w:val="center"/>
          <w:trHeight w:val="437"/>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工作电源</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内置锂电池</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14.8V/2.6Ah) 或外接20V/3.25A电源适配器</w:t>
            </w:r>
            <w:r/>
          </w:p>
        </w:tc>
      </w:tr>
      <w:tr>
        <w:trPr>
          <w:jc w:val="center"/>
          <w:trHeight w:val="397"/>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功    耗</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≤10W</w:t>
            </w:r>
            <w:r/>
          </w:p>
        </w:tc>
      </w:tr>
      <w:tr>
        <w:trPr>
          <w:jc w:val="center"/>
          <w:trHeight w:val="397"/>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工作时间</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不低于10小时 </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空载  流量200mL/min)</w:t>
            </w:r>
            <w:r/>
          </w:p>
        </w:tc>
      </w:tr>
      <w:tr>
        <w:trPr>
          <w:jc w:val="center"/>
          <w:trHeight w:val="436"/>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待机时间</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不低于13小时</w:t>
            </w:r>
            <w:r/>
          </w:p>
        </w:tc>
      </w:tr>
      <w:tr>
        <w:trPr>
          <w:jc w:val="center"/>
          <w:trHeight w:val="397"/>
        </w:trPr>
        <w:tc>
          <w:tcPr>
            <w:tcBorders>
              <w:right w:val="single" w:color="auto" w:sz="4" w:space="0"/>
            </w:tcBorders>
            <w:tcW w:w="2661"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充电时间</w:t>
            </w:r>
            <w:r/>
          </w:p>
        </w:tc>
        <w:tc>
          <w:tcPr>
            <w:gridSpan w:val="3"/>
            <w:tcBorders>
              <w:left w:val="single" w:color="auto" w:sz="4" w:space="0"/>
              <w:right w:val="single" w:color="auto" w:sz="4" w:space="0"/>
            </w:tcBorders>
            <w:tcW w:w="5680" w:type="dxa"/>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约3小时</w:t>
            </w:r>
            <w:r/>
          </w:p>
        </w:tc>
      </w:tr>
    </w:tbl>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5、仪器配置</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5.1主机1个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5.2电源适配器1个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5.3干燥筒2个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5.4连接管1套</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5.5三脚支架1个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5.6吸附管挂架1个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5.7吸收瓶挂架1个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5.8吸附管法废气VOCs取样管1支</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5.9校准证书1份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6、配件</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6.1.3#滤筒2盒    </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6.2Φ47mm滤膜1盒  2400</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6.312x20连接管4米（汽水分离器）  </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6.4TSP/PM10/PM2.5采样头4套（配套主机使用）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6.5直径80/90滤膜1盒（配套主机使用）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6.625连接气嘴20个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6.7Φ4.5×8（90mm）硅橡胶管（红、绿各 1 根）2根（配套主机使用）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6.8Φ6×9（150mm）硅橡胶管（红、绿各 1 根）2根（配套主机使用）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6.9Φ6×9（3000mm）硅橡胶管（红、绿各 1 根）2根（配套主机使用）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83" w:name="_Toc13562"/>
      <w:r>
        <w:rPr>
          <w:rFonts w:hint="eastAsia" w:eastAsia="宋体"/>
          <w:color w:val="000000" w:themeColor="text1"/>
          <w:sz w:val="28"/>
          <w:szCs w:val="28"/>
          <w:highlight w:val="none"/>
          <w:shd w:val="clear" w:color="auto" w:fill="auto"/>
          <w14:textFill>
            <w14:solidFill>
              <w14:schemeClr w14:val="tx1"/>
            </w14:solidFill>
          </w14:textFill>
        </w:rPr>
        <w:t xml:space="preserve">三、废气多功能取样管</w:t>
      </w:r>
      <w:bookmarkEnd w:id="183"/>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主要用于现场采集硫酸雾、氯化氢、氟化氢等酸性气体的样品。搭配烟尘采样器、烟气采样器等设备既可以用于水平烟道采样也可以用于垂直烟道采样。</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HJ544-2016《固定污染源废气 硫酸雾的测定 离子色谱法》</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HJ549-2016《环境空气和废气 氯化氢的测定 离子色谱法》</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HJ688-2019《固定污染源废气 氟化氢的测定 离子色谱法》</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3、主要特点</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 一体化全程加热烟枪，采用高防腐钛合金材料内衬氟树脂，外形美观；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Ø3.2 高效保温箱，适用多种吸收瓶；</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Ø3.3 既可以用于水平烟道采样也可以用于垂直烟道采样；</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Ø3.4 低压直流供电，使用安全可靠；</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Ø3.5具有自动恒温加热，能对颗粒态、蒸汽态和气态硫酸雾\盐酸雾进行采集；</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Ø3.6 多功能组合型采样枪，可同时测量烟温及流速；</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Ø3.7 一机多用，可满足硫酸雾\氯化氢\氟化氢等多种酸性气体采样；</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Ø3.8 配有止流阀，防止采样时吸收液回流。</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4、技术指标</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4.1吸收瓶规格：250ml冲击式和75ml冲击式</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 采样管长度1m</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4.3 采样</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孔</w:t>
      </w:r>
      <w:r>
        <w:rPr>
          <w:rFonts w:hint="eastAsia" w:eastAsia="宋体"/>
          <w:color w:val="000000" w:themeColor="text1"/>
          <w:sz w:val="28"/>
          <w:szCs w:val="28"/>
          <w:highlight w:val="none"/>
          <w:shd w:val="clear" w:color="auto" w:fill="auto"/>
          <w14:textFill>
            <w14:solidFill>
              <w14:schemeClr w14:val="tx1"/>
            </w14:solidFill>
          </w14:textFill>
        </w:rPr>
        <w:t xml:space="preserve">直径：4.5、6、7、8、10、12</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4.4 恒温温度：</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120±10)℃（可设置）</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4.5升温时间</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＜30min</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4.6 加热方式：电热丝加热</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4.7 电　　源：DC36V</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4.8 功　　耗＜300W</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4.9 重    量＜7.5kg</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84" w:name="_Toc30134"/>
      <w:r>
        <w:rPr>
          <w:rFonts w:hint="eastAsia" w:eastAsia="宋体"/>
          <w:color w:val="000000" w:themeColor="text1"/>
          <w:sz w:val="28"/>
          <w:szCs w:val="28"/>
          <w:highlight w:val="none"/>
          <w:shd w:val="clear" w:color="auto" w:fill="auto"/>
          <w14:textFill>
            <w14:solidFill>
              <w14:schemeClr w14:val="tx1"/>
            </w14:solidFill>
          </w14:textFill>
        </w:rPr>
        <w:t xml:space="preserve">四、阻容法烟气含湿量检测器</w:t>
      </w:r>
      <w:bookmarkEnd w:id="184"/>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本设备可应用于各类排风管道气体流速、气体流量、动压静压、烟气温度、烟气含湿量等参数的测量。</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HJ/T 397-2007   《固定源废气监测技术规范》</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GB/T 11605-2005 《湿度测量方法》</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GB/T 16157-1996 《固定污染源排气中颗粒物测定与气态污染物采样方法》</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T/SSESB 1-2020  《固定污染源废气 湿度的测定 阻容法》</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3、主要特点</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3.1超小型一体化设计，体积小，重量轻，携带方便；</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3.2 可输入烟道截面积，自动计算烟道风量，标干风量及各参数的平均值等；</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3.3 采用进口温湿度传感器，精度高，可靠性好，响应时间小于60s；</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 内置锂电池，使用时间不少于4小时。</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 一机多用，既可检测烟气含湿量，又可作为烟气流速仪使用；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3.6大尺寸高亮彩屏，可直接读取数据；</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4、技术指标</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 烟气动压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0～2000)Pa，分辨率为1Pa，示值误差优于±1%FS</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 烟气静压(-30.00～+30.00)kPa，分辨率为0.01kPa，示值误差优于±1%FS</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4.3 烟气流速（1～45）m/s，分辨率为0.1 m/s，示值误差优于±5%</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4.4 大气压：（50～106）kPa，分辨率为0.01kPa，示值误差优于±0.5kPa</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4.5 烟气温度：(0～180)℃</w:t>
      </w:r>
      <w:bookmarkStart w:id="185" w:name="_Hlk172881915"/>
      <w:r>
        <w:rPr>
          <w:rFonts w:hint="eastAsia" w:eastAsia="宋体"/>
          <w:color w:val="000000" w:themeColor="text1"/>
          <w:sz w:val="28"/>
          <w:szCs w:val="28"/>
          <w:highlight w:val="none"/>
          <w:shd w:val="clear" w:color="auto" w:fill="auto"/>
          <w14:textFill>
            <w14:solidFill>
              <w14:schemeClr w14:val="tx1"/>
            </w14:solidFill>
          </w14:textFill>
        </w:rPr>
        <w:t xml:space="preserve">，分辨率为</w:t>
      </w:r>
      <w:bookmarkEnd w:id="185"/>
      <w:r>
        <w:rPr>
          <w:rFonts w:hint="eastAsia" w:eastAsia="宋体"/>
          <w:color w:val="000000" w:themeColor="text1"/>
          <w:sz w:val="28"/>
          <w:szCs w:val="28"/>
          <w:highlight w:val="none"/>
          <w:shd w:val="clear" w:color="auto" w:fill="auto"/>
          <w14:textFill>
            <w14:solidFill>
              <w14:schemeClr w14:val="tx1"/>
            </w14:solidFill>
          </w14:textFill>
        </w:rPr>
        <w:t xml:space="preserve">0.1℃，示值误差优于±3.0℃</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4.6 含湿量：（0～40）%，分辨率为0.01%，含湿量</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≤5.0%时，绝对误差优于±0.75%，含湿量＞5.0%时，相对误差优于±15%</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4.7 数据存储能力不少于50000组</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4.8整机重量不超过4kg</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4.9 工作电源：AC220V±10%, 50Hz，DC12V</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4.10 功耗＜20W</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86" w:name="_Toc6651"/>
      <w:r>
        <w:rPr>
          <w:rFonts w:hint="eastAsia" w:eastAsia="宋体"/>
          <w:color w:val="000000" w:themeColor="text1"/>
          <w:sz w:val="28"/>
          <w:szCs w:val="28"/>
          <w:highlight w:val="none"/>
          <w:shd w:val="clear" w:color="auto" w:fill="auto"/>
          <w14:textFill>
            <w14:solidFill>
              <w14:schemeClr w14:val="tx1"/>
            </w14:solidFill>
          </w14:textFill>
        </w:rPr>
        <w:t xml:space="preserve">五、环境空气采样器配件</w:t>
      </w:r>
      <w:bookmarkEnd w:id="186"/>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可用于现有环境空气采样器的采样所需配件更换。</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2、配置</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3#滤筒2盒、Φ47mm滤膜1盒、12x20连接管4米（汽水分离器）、TSP/PM10/PM2.5采样头4套、直径80/90滤膜1盒、25连接气嘴20个、Φ4.5×8（90mm）硅橡胶管（红、绿各 1 根）2根、Φ6×9（150mm）硅橡胶管（红、绿各 1 根）2根、Φ6×9（3000mm）硅橡胶管（红、绿各 1 根）2根</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87" w:name="_Toc31726"/>
      <w:r>
        <w:rPr>
          <w:rFonts w:hint="eastAsia" w:eastAsia="宋体"/>
          <w:color w:val="000000" w:themeColor="text1"/>
          <w:sz w:val="28"/>
          <w:szCs w:val="28"/>
          <w:highlight w:val="none"/>
          <w:shd w:val="clear" w:color="auto" w:fill="auto"/>
          <w14:textFill>
            <w14:solidFill>
              <w14:schemeClr w14:val="tx1"/>
            </w14:solidFill>
          </w14:textFill>
        </w:rPr>
        <w:t xml:space="preserve">六、烟尘烟气采样器流量校准仪</w:t>
      </w:r>
      <w:bookmarkEnd w:id="187"/>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采用孔口流量测量原理，内置高精度压力传感器。一机多用，可用于VOCs采样器、大气采样器、中流量环境空气颗粒物采样器、便携式烟尘采样器的流量校准，微压、表压的校准以及PT100部分温度的标定。</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HJ/T 368-2007《</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环境保护产品技术要求 标定总悬浮颗粒物采样器用的孔口流量计</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3、主要特点</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 3.1 大范围自动加压，微压：（0～4000）Pa，表压：（-30.00～30.00）Kpa；</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 多路大范围流量校准，包括两路(10～200)mL/min，两路（0.2～2）L/min，一路（5～130）L/min，一路（200～1200）L/min；</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 功耗低，</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噪声</w:t>
      </w:r>
      <w:r>
        <w:rPr>
          <w:rFonts w:hint="eastAsia" w:eastAsia="宋体"/>
          <w:color w:val="000000" w:themeColor="text1"/>
          <w:sz w:val="28"/>
          <w:szCs w:val="28"/>
          <w:highlight w:val="none"/>
          <w:shd w:val="clear" w:color="auto" w:fill="auto"/>
          <w14:textFill>
            <w14:solidFill>
              <w14:schemeClr w14:val="tx1"/>
            </w14:solidFill>
          </w14:textFill>
        </w:rPr>
        <w:t xml:space="preserve">小，重量轻，超小型化设计，结构紧凑，外形美观，携带方便；</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 常用PT100烟温标定（包括0℃、80℃、100℃、120℃、200℃以及500℃）；</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3.5 孔板集成于仪器内部，在进行流量校准时，不需要频繁地更换孔板；</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 超大尺寸触摸电容屏，触感更优，简单明了的界面风格，操作简单易学；</w:t>
      </w:r>
      <w:r/>
    </w:p>
    <w:p>
      <w:pPr>
        <w:pStyle w:val="864"/>
        <w:ind w:firstLine="0"/>
        <w:jc w:val="both"/>
        <w:keepLines w:val="0"/>
        <w:keepNext w:val="0"/>
        <w:pageBreakBefore w:val="0"/>
        <w:spacing w:beforeAutospacing="0" w:afterAutospacing="0" w:line="360" w:lineRule="auto"/>
        <w:widowControl w:val="off"/>
        <w:rPr>
          <w:rFonts w:hint="eastAsia"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3.7 内置电池，可供仪器连续工作4小时以上；</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3.8 支持手动保存数据，可连接蓝牙打印机进行数据打印。</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4、技术指标</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 流量</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 在（10～200）mL/min范围内</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分辨率：0.1mL/min，准确度：流量为（10-100）mL/min</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优于±1.5%，流量为（100-200）mL/min优于±1%；</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在（0.2～2）L/min范围内</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分辨率：0.001L/min，准确度：优于±1%；</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在（5～130.0）L/min范围内</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分辨率：0.1L/min，准确度：优于±1%；</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在（200～1200）L/min范围内</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分辨率：0.1L/min，准确度：优于±1%；</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 微压：（0～4000）Pa，分辨率为1Pa</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，准确度优于±0.5％</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4.3 表压（-30.00～+30.00）kPa，分辨率为0.01kPa，准确度优于±0.2kpa</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4.4 大气压：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50～130)kPa，分辨率：0.01kPa，准确度优于±0.5kPa</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4.5 环境温度：</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－40～85)℃，分辨率：0.1℃，准确度优于±2℃</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4.6 烟温（PT100）可标定0℃、80℃、100℃、120℃、200℃、500℃，准确度优于±0.25%</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4.7 仪器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噪声</w:t>
      </w:r>
      <w:r>
        <w:rPr>
          <w:rFonts w:hint="eastAsia" w:eastAsia="宋体"/>
          <w:color w:val="000000" w:themeColor="text1"/>
          <w:sz w:val="28"/>
          <w:szCs w:val="28"/>
          <w:highlight w:val="none"/>
          <w:shd w:val="clear" w:color="auto" w:fill="auto"/>
          <w14:textFill>
            <w14:solidFill>
              <w14:schemeClr w14:val="tx1"/>
            </w14:solidFill>
          </w14:textFill>
        </w:rPr>
        <w:t xml:space="preserve">≤50dB(A)</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4.8 主机重量≤2.5kg（不带电池）</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4.9 工作电源：交流电或内置电池</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4.10 功耗＜20W</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88" w:name="_Toc9029"/>
      <w:r>
        <w:rPr>
          <w:rFonts w:hint="eastAsia" w:eastAsia="宋体"/>
          <w:color w:val="000000" w:themeColor="text1"/>
          <w:sz w:val="28"/>
          <w:szCs w:val="28"/>
          <w:highlight w:val="none"/>
          <w:shd w:val="clear" w:color="auto" w:fill="auto"/>
          <w14:textFill>
            <w14:solidFill>
              <w14:schemeClr w14:val="tx1"/>
            </w14:solidFill>
          </w14:textFill>
        </w:rPr>
        <w:t xml:space="preserve">七、全自动CODcr分析仪</w:t>
      </w:r>
      <w:bookmarkEnd w:id="188"/>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1.设备要求：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满足</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HJ 828-2017</w:t>
      </w:r>
      <w:r>
        <w:rPr>
          <w:rFonts w:hint="eastAsia" w:eastAsia="宋体"/>
          <w:color w:val="000000" w:themeColor="text1"/>
          <w:sz w:val="28"/>
          <w:szCs w:val="28"/>
          <w:highlight w:val="none"/>
          <w:shd w:val="clear" w:color="auto" w:fill="auto"/>
          <w14:textFill>
            <w14:solidFill>
              <w14:schemeClr w14:val="tx1"/>
            </w14:solidFill>
          </w14:textFill>
        </w:rPr>
        <w:t xml:space="preserve">化学需氧量的重铬酸盐法，适用于各类工况CODcr批量样品的全自动运行分析。</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2.技术要求：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2.1要求整机一体化结构，不少于42位通道，热源非金属材质，碳纤维材质并配套微晶防护，避免浓硫酸试剂或水源误入产生的安全隐患（提供仪器正面、侧面实物图证明）。</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2.2消解通道具备两套独立运行的热源通道，满足运行过程中循环上样分析，样品标定与样品消解滴定同时进行。</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2.3试剂加液泵要求配套不少于9套独立试剂定量泵（含6套高精度注塞泵）和12套独立控制阀，不同试剂均采用独立的试剂通道添加，减少不同试剂溶液间的交叉污染和试剂更换清洗产生多余废液（提供对应试剂泵数量和控制阀数量的实物图）。</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2.4冷凝系统要求仪器自动控制循环水的开启和关闭，自由设定温度恒温冷凝模式，压缩机制冷，具有超压、超温、缺水报警保护。</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2.5要求样品杯内消解、样品杯内滴定分析，减少抓手转移样品杯或抽液转移样品产生的安全隐患和样品试剂间的交叉损失污染。</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2.6试剂加液不少于3套独立运行的试剂手臂，并配套有动力的排废收集通道。</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2.7高效降温消解结束，热源自动下移与消解样品杯脱离，样品杯四周不少于8套风源降温，减少热源底部风源安置影响降温（提供加热源四周8套独立的风源实物图）。</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2.8安全性能：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仪器能自动判别待测样品位上是否放置样品杯，如有不匹配仪器能自动报警。</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加热源底部不得有电子元器件安置，降低酸液误入腐蚀影响运行安全（提供加热源底部实物图证明）。</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2.9冷凝管和样品杯密封方式标准磨砂和弹性四氟双重密封，非单一磨砂密封方式。</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2.10分析方式及效率要求高低浓度样品同时进行，满足氯化物滴定分析，且硫酸汞溶液每个样品均可0-2mL自由设定定量加液，40个样品平均&lt;400min分析效率。</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2.11为方便现有环境安置，整机一体化长度不得超出1.2m（提供仪器尺寸实物图证明）。</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2.12硫酸-硫酸银自动定量加液，要求配套两套独立的加液系统，满足两个样品同时进行加液，提高硫酸加液效率，加液完成后自动排空试剂管路。</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2.13数据准确度要求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1）高浓度样品：标定10次重复性RSD≤1%，最大偏差≤0.2mL（标定体积25mL±2mL时）； 100mg/L左右样品测定6次结果重复性RSD≤3%，测定结果均符合标准物质证书要求。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2）低浓度样品：标定10次重复性RSD≤1.5%，最大偏差≤0.3mL（标定体积25mL±2mL时）； 20mg/L左右样品测定6次结果重复性RSD≤3%，测定结果均符合标准物质证书要求。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2.14为保障本次采购设备的长期使用，仪器制造商需具备长期提供售后服务的基本规模及能力，要求制造商具备企业诚信管理体系和五星售后服务认证，并提供国家环境监测总站产品比对报告验证。</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3.配置要求：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析仪主机1套、独立运行热源2套、独立运行的试剂泵9套、试剂控制阀12套、试剂瓶9个、序列自检系统1套、试剂溶液机器人手臂3套、数据分析工作站1套、恒温循环冷凝水机1套、微晶防护升降热源2套、8通道风冷降温1套、附件1套。</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89" w:name="_Toc22876"/>
      <w:r>
        <w:rPr>
          <w:rFonts w:hint="eastAsia" w:eastAsia="宋体"/>
          <w:color w:val="000000" w:themeColor="text1"/>
          <w:sz w:val="28"/>
          <w:szCs w:val="28"/>
          <w:highlight w:val="none"/>
          <w:shd w:val="clear" w:color="auto" w:fill="auto"/>
          <w14:textFill>
            <w14:solidFill>
              <w14:schemeClr w14:val="tx1"/>
            </w14:solidFill>
          </w14:textFill>
        </w:rPr>
        <w:t xml:space="preserve">八、吹扫捕集自动进样器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GC-MS用)</w:t>
      </w:r>
      <w:bookmarkEnd w:id="189"/>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1、特性</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1.1设备具有创新型气动式圆柱瓶夹钳，该夹钳围绕并符合每一个瓶子。VOA压缩机制提升并传输40ml VOA瓶子到样本台或从样本台进行提升和传输，可靠性增高。</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1.22个50个位置的瓶架，最多100个样本</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1.3同一台或两台4660吹扫捕集仪器配合使用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1.4根据US EPA 方法524.3，瓶子在10°C或低于10°C低温保存</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1.5VOA压缩瓶夹钳拥有瓶内置传感器</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1.6标准增加模具有两个3ml水槽，可扩展到四个3ml水槽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1.7标准增加模具内的高速注入阀注入设定好的容量，没有多余或浪费</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bookmarkStart w:id="190" w:name="_Toc14257"/>
      <w:r>
        <w:rPr>
          <w:rFonts w:hint="eastAsia" w:eastAsia="宋体"/>
          <w:color w:val="000000" w:themeColor="text1"/>
          <w:sz w:val="28"/>
          <w:szCs w:val="28"/>
          <w:highlight w:val="none"/>
          <w:shd w:val="clear" w:color="auto" w:fill="auto"/>
          <w14:textFill>
            <w14:solidFill>
              <w14:schemeClr w14:val="tx1"/>
            </w14:solidFill>
          </w14:textFill>
        </w:rPr>
        <w:t xml:space="preserve">九、溶解氧仪（实验室用）</w:t>
      </w:r>
      <w:bookmarkEnd w:id="190"/>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1、性能特点</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1.1支持中英文</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1.2温度单位可选：℃ 和 °F。</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1.3支持自动关机、断电保护和恢复出厂设置等功能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1.4支持固件升级功能，允许功能扩展和个性化要求</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1.5支持IP54防护等级</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1.6标配极谱法溶解氧电极、独立电极支架和防尘罩</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1.7智能操作、自动识别、批量检测</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1.8智能操作系统，具有方法管理、电极管理、数据管理和用户管理等功能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1.9支持仪器自检和用户分级权限管理，支持密码管理</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1.10智能判别终点，支持自动读数、定时读数、定时间隔读数、手动读数</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1.11支持自动温度补偿、自动或手动大气压补偿（单位可选</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kPa</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mbar</w:t>
      </w:r>
      <w:r>
        <w:rPr>
          <w:rFonts w:hint="eastAsia" w:eastAsia="宋体"/>
          <w:color w:val="000000" w:themeColor="text1"/>
          <w:sz w:val="28"/>
          <w:szCs w:val="28"/>
          <w:highlight w:val="none"/>
          <w:shd w:val="clear" w:color="auto" w:fill="auto"/>
          <w14:textFill>
            <w14:solidFill>
              <w14:schemeClr w14:val="tx1"/>
            </w14:solidFill>
          </w14:textFill>
        </w:rPr>
        <w:t xml:space="preserve">、Torr、Atm）</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1.12支持零氧标定和满度标定</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1.13支持标定提醒和强制标定功能，支持标液核查、强制核查功能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1.14支持测量报警限值设置</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1.15支持手动盐度补偿功能</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1.16支持连接自动进样器，实现样品的自动测量和批量检测</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1.17数据管理，信息追溯</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1.18符合GLP规范，支持数据存储1000套、查阅、删除、统计、分析、传输和打印</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1.19支持GMP 管理，支持GMP操作日志查阅，实现数据的完整溯源和追踪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1.20具有RS-232接口，支持连接标准RS-232串口打印机，直接打印测量结果，打印格式可选</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1.21具有USB接口，通过专用通信软件与PC连接，实现数据传输</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1.22支持U盘读写，支持连接扫描枪</w:t>
      </w:r>
      <w:r/>
    </w:p>
    <w:p>
      <w:pPr>
        <w:pStyle w:val="864"/>
        <w:ind w:firstLine="0"/>
        <w:jc w:val="both"/>
        <w:keepLines w:val="0"/>
        <w:keepNext w:val="0"/>
        <w:pageBreakBefore w:val="0"/>
        <w:spacing w:beforeAutospacing="0" w:afterAutospacing="0" w:line="360" w:lineRule="auto"/>
        <w:widowControl w:val="off"/>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2、技术参数</w:t>
      </w:r>
      <w:r/>
    </w:p>
    <w:tbl>
      <w:tblPr>
        <w:tblStyle w:val="858"/>
        <w:tblW w:w="5006" w:type="pct"/>
        <w:jc w:val="center"/>
        <w:tblLayout w:type="autofit"/>
        <w:tblCellMar>
          <w:left w:w="108" w:type="dxa"/>
          <w:top w:w="0" w:type="dxa"/>
          <w:right w:w="108" w:type="dxa"/>
          <w:bottom w:w="0" w:type="dxa"/>
        </w:tblCellMar>
        <w:tblLook w:val="04A0" w:firstRow="1" w:lastRow="0" w:firstColumn="1" w:lastColumn="0" w:noHBand="0" w:noVBand="1"/>
      </w:tblPr>
      <w:tblGrid>
        <w:gridCol w:w="1269"/>
        <w:gridCol w:w="2710"/>
        <w:gridCol w:w="4553"/>
      </w:tblGrid>
      <w:tr>
        <w:trPr>
          <w:jc w:val="center"/>
          <w:trHeight w:val="54"/>
        </w:trPr>
        <w:tc>
          <w:tcPr>
            <w:gridSpan w:val="2"/>
            <w:tcBorders>
              <w:top w:val="single" w:color="auto" w:sz="8" w:space="0"/>
              <w:left w:val="single" w:color="auto" w:sz="8" w:space="0"/>
              <w:bottom w:val="single" w:color="auto" w:sz="8" w:space="0"/>
              <w:right w:val="single" w:color="auto" w:sz="8" w:space="0"/>
            </w:tcBorders>
            <w:tcW w:w="233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测量参数</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溶解氧浓度、溶解氧饱和度和温度值</w:t>
            </w:r>
            <w:r/>
          </w:p>
        </w:tc>
      </w:tr>
      <w:tr>
        <w:trPr>
          <w:jc w:val="center"/>
          <w:trHeight w:val="315"/>
        </w:trPr>
        <w:tc>
          <w:tcPr>
            <w:tcBorders>
              <w:top w:val="single" w:color="auto" w:sz="4" w:space="0"/>
              <w:left w:val="single" w:color="auto" w:sz="4" w:space="0"/>
              <w:right w:val="single" w:color="auto" w:sz="4" w:space="0"/>
            </w:tcBorders>
            <w:tcW w:w="744" w:type="pct"/>
            <w:vAlign w:val="center"/>
            <w:vMerge w:val="restart"/>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w:t>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电子单元：(0.00～99.99)mg/L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配套范围：(0.00～50.00)mg/L</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 mg/L</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电子单元示值误差</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±0.10mg/L</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仪器示值误差</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±0.30mg/L（≤ 20.00mg/L）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(&gt;</w:t>
            </w:r>
            <w:r>
              <w:rPr>
                <w:rFonts w:hint="eastAsia" w:eastAsia="宋体"/>
                <w:color w:val="000000" w:themeColor="text1"/>
                <w:sz w:val="28"/>
                <w:szCs w:val="28"/>
                <w:highlight w:val="none"/>
                <w:shd w:val="clear" w:color="auto" w:fill="auto"/>
                <w14:textFill>
                  <w14:solidFill>
                    <w14:schemeClr w14:val="tx1"/>
                  </w14:solidFill>
                </w14:textFill>
              </w:rPr>
              <w:t xml:space="preserve"> 20.00mg/L）</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响应时间</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≤45s(20.0 ℃时90%响应)</w:t>
            </w:r>
            <w:r/>
          </w:p>
        </w:tc>
      </w:tr>
      <w:tr>
        <w:trPr>
          <w:jc w:val="center"/>
          <w:trHeight w:val="315"/>
        </w:trPr>
        <w:tc>
          <w:tcPr>
            <w:tcBorders>
              <w:left w:val="single" w:color="auto" w:sz="4" w:space="0"/>
              <w:bottom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盐度补偿误差</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r>
      <w:tr>
        <w:trPr>
          <w:jc w:val="center"/>
          <w:trHeight w:val="315"/>
        </w:trPr>
        <w:tc>
          <w:tcPr>
            <w:tcBorders>
              <w:top w:val="single" w:color="auto" w:sz="4" w:space="0"/>
              <w:left w:val="single" w:color="auto" w:sz="4" w:space="0"/>
              <w:right w:val="single" w:color="auto" w:sz="4" w:space="0"/>
            </w:tcBorders>
            <w:tcW w:w="744" w:type="pct"/>
            <w:vAlign w:val="center"/>
            <w:vMerge w:val="restart"/>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饱和度</w:t>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(0.0～600.0)%</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电子单元示值误差 </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w:t>
            </w:r>
            <w:r/>
          </w:p>
        </w:tc>
      </w:tr>
      <w:tr>
        <w:trPr>
          <w:jc w:val="center"/>
          <w:trHeight w:val="315"/>
        </w:trPr>
        <w:tc>
          <w:tcPr>
            <w:tcBorders>
              <w:left w:val="single" w:color="auto" w:sz="4" w:space="0"/>
              <w:bottom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仪器示值误差</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±10.0%</w:t>
            </w:r>
            <w:r/>
          </w:p>
        </w:tc>
      </w:tr>
      <w:tr>
        <w:trPr>
          <w:jc w:val="center"/>
          <w:trHeight w:val="315"/>
        </w:trPr>
        <w:tc>
          <w:tcPr>
            <w:tcBorders>
              <w:top w:val="single" w:color="auto" w:sz="4" w:space="0"/>
              <w:left w:val="single" w:color="auto" w:sz="4" w:space="0"/>
              <w:right w:val="single" w:color="auto" w:sz="4" w:space="0"/>
            </w:tcBorders>
            <w:tcW w:w="744" w:type="pct"/>
            <w:vAlign w:val="center"/>
            <w:vMerge w:val="restart"/>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w:t>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(-10.0～135.0)℃/(14.0-275.0)℉</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 ℃/0.1℉</w:t>
            </w:r>
            <w:r/>
          </w:p>
        </w:tc>
      </w:tr>
      <w:tr>
        <w:trPr>
          <w:jc w:val="center"/>
          <w:trHeight w:val="315"/>
        </w:trPr>
        <w:tc>
          <w:tcPr>
            <w:tcBorders>
              <w:left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电子单元示值误差</w:t>
            </w:r>
            <w:r/>
          </w:p>
        </w:tc>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 ℃</w:t>
            </w:r>
            <w:r/>
          </w:p>
        </w:tc>
      </w:tr>
      <w:tr>
        <w:trPr>
          <w:jc w:val="center"/>
          <w:trHeight w:val="315"/>
        </w:trPr>
        <w:tc>
          <w:tcPr>
            <w:tcBorders>
              <w:left w:val="single" w:color="auto" w:sz="4" w:space="0"/>
              <w:bottom w:val="single" w:color="auto" w:sz="4" w:space="0"/>
              <w:right w:val="single" w:color="auto" w:sz="4" w:space="0"/>
            </w:tcBorders>
            <w:tcW w:w="744"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158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仪器的示值误差</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±0.3℃（0.0℃-60.0℃）；±1.0 ℃（其他范围）</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3、配置清单</w:t>
      </w:r>
      <w:r/>
    </w:p>
    <w:tbl>
      <w:tblPr>
        <w:tblStyle w:val="8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5451"/>
        <w:gridCol w:w="1682"/>
      </w:tblGrid>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序号</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名称及规格</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数量</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溶解氧测定仪</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1台</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溶解氧电极</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1支</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多功能电极架</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1套</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电源适配器</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防尘罩(触屏款)</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三芯电源线（标准通用）</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通用USB连接线</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触屏笔（电容屏）</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1支</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软件卡</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1张</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简易操作指南</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1份</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使用说明书</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1本</w:t>
            </w:r>
            <w:r/>
          </w:p>
        </w:tc>
      </w:tr>
      <w:tr>
        <w:trPr>
          <w:trHeight w:val="90"/>
        </w:trPr>
        <w:tc>
          <w:tcPr>
            <w:tcW w:w="1539"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w:t>
            </w:r>
            <w:r/>
          </w:p>
        </w:tc>
        <w:tc>
          <w:tcPr>
            <w:tcW w:w="6241" w:type="dxa"/>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产品合格证</w:t>
            </w:r>
            <w:r/>
          </w:p>
        </w:tc>
        <w:tc>
          <w:tcPr>
            <w:tcW w:w="188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1份</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1" w:name="_Toc19476"/>
      <w:r>
        <w:rPr>
          <w:rFonts w:hint="eastAsia" w:eastAsia="宋体"/>
          <w:color w:val="000000" w:themeColor="text1"/>
          <w:sz w:val="28"/>
          <w:szCs w:val="28"/>
          <w:highlight w:val="none"/>
          <w:shd w:val="clear" w:color="auto" w:fill="auto"/>
          <w14:textFill>
            <w14:solidFill>
              <w14:schemeClr w14:val="tx1"/>
            </w14:solidFill>
          </w14:textFill>
        </w:rPr>
        <w:t xml:space="preserve">十、便携式溶解氧测定仪</w:t>
      </w:r>
      <w:bookmarkEnd w:id="191"/>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2" w:name="_Toc5362"/>
      <w:r/>
      <w:bookmarkStart w:id="193" w:name="OLE_LINK48"/>
      <w:r>
        <w:rPr>
          <w:rFonts w:hint="eastAsia" w:eastAsia="宋体"/>
          <w:color w:val="000000" w:themeColor="text1"/>
          <w:sz w:val="28"/>
          <w:szCs w:val="28"/>
          <w:highlight w:val="none"/>
          <w:shd w:val="clear" w:color="auto" w:fill="auto"/>
          <w14:textFill>
            <w14:solidFill>
              <w14:schemeClr w14:val="tx1"/>
            </w14:solidFill>
          </w14:textFill>
        </w:rPr>
        <w:t xml:space="preserve">1、主要特点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1.1支持中英文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1.2温度单位可选：℃和°F</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1.3支持开机自诊断、自动关机、断电保护和恢复出厂设置等功能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1.4支持固件升级功能，允许功能扩展和个性化要求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1.5支持IP65防护等级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1.6标配荧光法溶解氧电极、电极挂架、硅胶保护套、腕带、便携式手提箱</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智能检测、自动识别</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1.7采用荧光原理，不需像极谱法电极更换膜套和电极极化，样品不需要搅拌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1.8智能操作系统，具有方法管理、电极管理、数据管理和用户管理等功能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1.9支持用户三级权限管理，支持密码管理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1.10智能判别终点，支持自动读数、定时读数、定时间隔读数、手动读数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4" w:name="OLE_LINK47"/>
      <w:r>
        <w:rPr>
          <w:rFonts w:hint="eastAsia" w:eastAsia="宋体"/>
          <w:color w:val="000000" w:themeColor="text1"/>
          <w:sz w:val="28"/>
          <w:szCs w:val="28"/>
          <w:highlight w:val="none"/>
          <w:shd w:val="clear" w:color="auto" w:fill="auto"/>
          <w14:textFill>
            <w14:solidFill>
              <w14:schemeClr w14:val="tx1"/>
            </w14:solidFill>
          </w14:textFill>
        </w:rPr>
        <w:t xml:space="preserve">1.11支持自动/手动温度补偿</w:t>
      </w:r>
      <w:bookmarkEnd w:id="194"/>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1.12支持自动/手动大气压补偿(kPa、mbar、Torr、Atm多种单位可选)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1.13支持手动盐度补偿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1.14自动零氧标定和满度标定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1.15具有标定提醒和报警功能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2、数据管理，信息追溯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2.1符合GLP，实现数据追溯和统计分析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2.2具有USB接口，通过专用通信软件与PC连接，实现数据传输；支持U盘读写；支持扫描枪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2.3内置蓝牙，支持无线传输</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3、电源管理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3.1大容量锂电池供电，支持连接PC和移动电源充电</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3.2具有电池欠压提醒功能和充电状态提醒功能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3.3支持背光调节</w:t>
      </w:r>
      <w:bookmarkEnd w:id="19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4、技术参数</w:t>
      </w:r>
      <w:r/>
    </w:p>
    <w:tbl>
      <w:tblPr>
        <w:tblStyle w:val="858"/>
        <w:tblW w:w="4500" w:type="pct"/>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85"/>
        <w:gridCol w:w="2569"/>
        <w:gridCol w:w="4116"/>
      </w:tblGrid>
      <w:tr>
        <w:trPr>
          <w:trHeight w:val="254"/>
        </w:trPr>
        <w:tc>
          <w:tcPr>
            <w:gridSpan w:val="3"/>
            <w:tcMar>
              <w:left w:w="108" w:type="dxa"/>
              <w:top w:w="0" w:type="dxa"/>
              <w:right w:w="108" w:type="dxa"/>
              <w:bottom w:w="0" w:type="dxa"/>
            </w:tcMar>
            <w:tcW w:w="5000"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技术参数</w:t>
            </w:r>
            <w:r/>
          </w:p>
        </w:tc>
      </w:tr>
      <w:tr>
        <w:trPr>
          <w:trHeight w:val="254"/>
        </w:trPr>
        <w:tc>
          <w:tcPr>
            <w:gridSpan w:val="2"/>
            <w:tcMar>
              <w:left w:w="108" w:type="dxa"/>
              <w:top w:w="0" w:type="dxa"/>
              <w:right w:w="108" w:type="dxa"/>
              <w:bottom w:w="0" w:type="dxa"/>
            </w:tcMar>
            <w:tcW w:w="231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测量参数</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溶解氧浓度、溶解氧饱和度和温度值</w:t>
            </w:r>
            <w:r/>
          </w:p>
        </w:tc>
      </w:tr>
      <w:tr>
        <w:trPr>
          <w:trHeight w:val="211"/>
        </w:trPr>
        <w:tc>
          <w:tcPr>
            <w:tcMar>
              <w:left w:w="108" w:type="dxa"/>
              <w:top w:w="0" w:type="dxa"/>
              <w:right w:w="108" w:type="dxa"/>
              <w:bottom w:w="0" w:type="dxa"/>
            </w:tcMar>
            <w:tcW w:w="642"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w:t>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(0.00～20.00)mg/L</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0.01mg/L</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仪器重复性</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0.15mg/L</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零值误差</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≤0.1mg/L</w:t>
            </w:r>
            <w:r/>
          </w:p>
        </w:tc>
      </w:tr>
      <w:tr>
        <w:trPr>
          <w:trHeight w:val="204"/>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仪器示值误差</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±0.30 mg/L</w:t>
            </w:r>
            <w:r/>
          </w:p>
        </w:tc>
      </w:tr>
      <w:tr>
        <w:trPr>
          <w:trHeight w:val="204"/>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响应时间</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≤60s(20℃时90%响应)</w:t>
            </w:r>
            <w:r/>
          </w:p>
        </w:tc>
      </w:tr>
      <w:tr>
        <w:trPr>
          <w:trHeight w:val="204"/>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盐度补偿误差</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r>
      <w:tr>
        <w:trPr>
          <w:trHeight w:val="211"/>
        </w:trPr>
        <w:tc>
          <w:tcPr>
            <w:tcMar>
              <w:left w:w="108" w:type="dxa"/>
              <w:top w:w="0" w:type="dxa"/>
              <w:right w:w="108" w:type="dxa"/>
              <w:bottom w:w="0" w:type="dxa"/>
            </w:tcMar>
            <w:tcW w:w="642" w:type="pct"/>
            <w:vAlign w:val="center"/>
            <w:vMerge w:val="restart"/>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溶解氧饱和度</w:t>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(0.0～200.0)%</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仪器示值误差</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±10.0%</w:t>
            </w:r>
            <w:r/>
          </w:p>
        </w:tc>
      </w:tr>
      <w:tr>
        <w:trPr>
          <w:trHeight w:val="211"/>
        </w:trPr>
        <w:tc>
          <w:tcPr>
            <w:tcMar>
              <w:left w:w="108" w:type="dxa"/>
              <w:top w:w="0" w:type="dxa"/>
              <w:right w:w="108" w:type="dxa"/>
              <w:bottom w:w="0" w:type="dxa"/>
            </w:tcMar>
            <w:tcW w:w="642" w:type="pct"/>
            <w:vAlign w:val="center"/>
            <w:vMerge w:val="restart"/>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w:t>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(0.0～50.0) ℃</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 ℃</w:t>
            </w:r>
            <w:r/>
          </w:p>
        </w:tc>
      </w:tr>
      <w:tr>
        <w:trPr>
          <w:trHeight w:val="211"/>
        </w:trPr>
        <w:tc>
          <w:tcPr>
            <w:tcMar>
              <w:left w:w="108" w:type="dxa"/>
              <w:top w:w="0" w:type="dxa"/>
              <w:right w:w="108" w:type="dxa"/>
              <w:bottom w:w="0" w:type="dxa"/>
            </w:tcMar>
            <w:tcW w:w="642"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Mar>
              <w:left w:w="108" w:type="dxa"/>
              <w:top w:w="0" w:type="dxa"/>
              <w:right w:w="108" w:type="dxa"/>
              <w:bottom w:w="0" w:type="dxa"/>
            </w:tcMar>
            <w:tcW w:w="167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仪器示值误差</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w:t>
            </w:r>
            <w:r/>
          </w:p>
        </w:tc>
      </w:tr>
      <w:tr>
        <w:trPr>
          <w:trHeight w:val="353"/>
        </w:trPr>
        <w:tc>
          <w:tcPr>
            <w:gridSpan w:val="2"/>
            <w:tcMar>
              <w:left w:w="108" w:type="dxa"/>
              <w:top w:w="0" w:type="dxa"/>
              <w:right w:w="108" w:type="dxa"/>
              <w:bottom w:w="0" w:type="dxa"/>
            </w:tcMar>
            <w:tcW w:w="231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温度补偿</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自动/手动，(0.0～50.0)℃</w:t>
            </w:r>
            <w:r/>
          </w:p>
        </w:tc>
      </w:tr>
      <w:tr>
        <w:trPr>
          <w:trHeight w:val="343"/>
        </w:trPr>
        <w:tc>
          <w:tcPr>
            <w:gridSpan w:val="2"/>
            <w:tcMar>
              <w:left w:w="108" w:type="dxa"/>
              <w:top w:w="0" w:type="dxa"/>
              <w:right w:w="108" w:type="dxa"/>
              <w:bottom w:w="0" w:type="dxa"/>
            </w:tcMar>
            <w:tcW w:w="231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盐度补偿</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手动，(0.0～50.0)g/L</w:t>
            </w:r>
            <w:r/>
          </w:p>
        </w:tc>
      </w:tr>
      <w:tr>
        <w:trPr>
          <w:trHeight w:val="343"/>
        </w:trPr>
        <w:tc>
          <w:tcPr>
            <w:gridSpan w:val="2"/>
            <w:tcMar>
              <w:left w:w="108" w:type="dxa"/>
              <w:top w:w="0" w:type="dxa"/>
              <w:right w:w="108" w:type="dxa"/>
              <w:bottom w:w="0" w:type="dxa"/>
            </w:tcMar>
            <w:tcW w:w="231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大气压补偿</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自动/自动，(50.0～110.0)kPa</w:t>
            </w:r>
            <w:r/>
          </w:p>
        </w:tc>
      </w:tr>
      <w:tr>
        <w:trPr>
          <w:trHeight w:val="343"/>
        </w:trPr>
        <w:tc>
          <w:tcPr>
            <w:gridSpan w:val="2"/>
            <w:tcMar>
              <w:left w:w="108" w:type="dxa"/>
              <w:top w:w="0" w:type="dxa"/>
              <w:right w:w="108" w:type="dxa"/>
              <w:bottom w:w="0" w:type="dxa"/>
            </w:tcMar>
            <w:tcW w:w="231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电极接口</w:t>
            </w:r>
            <w:r/>
          </w:p>
        </w:tc>
        <w:tc>
          <w:tcPr>
            <w:tcW w:w="268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6芯航空插</w:t>
            </w:r>
            <w:bookmarkEnd w:id="193"/>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5、配置清单</w:t>
      </w:r>
      <w:r/>
    </w:p>
    <w:tbl>
      <w:tblPr>
        <w:tblStyle w:val="858"/>
        <w:tblW w:w="4544" w:type="pct"/>
        <w:tblInd w:w="504" w:type="dxa"/>
        <w:tblLayout w:type="autofit"/>
        <w:tblCellMar>
          <w:left w:w="108" w:type="dxa"/>
          <w:top w:w="0" w:type="dxa"/>
          <w:right w:w="108" w:type="dxa"/>
          <w:bottom w:w="0" w:type="dxa"/>
        </w:tblCellMar>
        <w:tblLook w:val="04A0" w:firstRow="1" w:lastRow="0" w:firstColumn="1" w:lastColumn="0" w:noHBand="0" w:noVBand="1"/>
      </w:tblPr>
      <w:tblGrid>
        <w:gridCol w:w="5912"/>
        <w:gridCol w:w="1833"/>
      </w:tblGrid>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OTG转接线（MicroUSB接头）</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触屏笔（电容屏）</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1支</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防护套（安装于主机）</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腕带组装件（大）</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便携式防护箱</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软件卡</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1张</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简易操作指南</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1份</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使用说明书</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1本</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912"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产品合格证</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1份</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5" w:name="_Toc11576"/>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十一、</w:t>
      </w:r>
      <w:r>
        <w:rPr>
          <w:rFonts w:hint="eastAsia" w:eastAsia="宋体"/>
          <w:color w:val="000000" w:themeColor="text1"/>
          <w:sz w:val="28"/>
          <w:szCs w:val="28"/>
          <w:highlight w:val="none"/>
          <w:shd w:val="clear" w:color="auto" w:fill="auto"/>
          <w14:textFill>
            <w14:solidFill>
              <w14:schemeClr w14:val="tx1"/>
            </w14:solidFill>
          </w14:textFill>
        </w:rPr>
        <w:t xml:space="preserve">便携式pH计（带温度补偿）</w:t>
      </w:r>
      <w:bookmarkEnd w:id="195"/>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1、技术需求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1.1支持中英文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1.2分辨率可选：pH支持0.01pH和0.1pH，mV支持0.1 mV和1mV</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1.3温度单位可选：℃ 和 °F。</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1.4支持开机自诊断、自动关机、断电保护和恢复出厂设置等功能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1.5支持固件升级功能，允许功能扩展和个性化要求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1.6支持IP65防护等级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1.7标配三复合pH电极、电极挂架、硅胶保护套、腕带、便携式手提箱、校准缓冲溶液</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1.8智能检测、自动识别</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1.9智能判别终点，支持自动读数、定时读数、定时间隔读数、手动读数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1.10支持自动/手动温度补偿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1.11支持1-5点pH电极标定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1.12自动识别GB、DIN、NIST等3组标准缓冲溶液，支持标液组管理，支持自定义pH缓冲溶液和标液组</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1.13数据管理，信息追溯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1.14支持数据存储（1000套）、查阅、删除、传输和打印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1.15符合GLP，实现数据追溯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1.16支持连接标准RS-232串口打印机打印测量结果，打印格式可选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1.17具有USB接口，通过专用通信软件与PC连接，实现数据传输</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2、电源管理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2．1大容量锂电池供电，支持连接PC和移动电源充电</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2.2具有电池欠压提醒功能和充电状态提醒功能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2.3支持背光调节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3、技术参数</w:t>
      </w:r>
      <w:r/>
    </w:p>
    <w:tbl>
      <w:tblPr>
        <w:tblStyle w:val="865"/>
        <w:tblW w:w="4153" w:type="pct"/>
        <w:tblInd w:w="5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3"/>
        <w:gridCol w:w="1995"/>
        <w:gridCol w:w="3630"/>
      </w:tblGrid>
      <w:tr>
        <w:trPr/>
        <w:tc>
          <w:tcPr>
            <w:gridSpan w:val="2"/>
            <w:tcW w:w="243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仪器级别</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0.01级</w:t>
            </w:r>
            <w:r/>
          </w:p>
        </w:tc>
      </w:tr>
      <w:tr>
        <w:trPr/>
        <w:tc>
          <w:tcPr>
            <w:tcW w:w="102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mV</w:t>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（-2000.0～2000.0）mV</w:t>
            </w:r>
            <w:r/>
          </w:p>
        </w:tc>
      </w:tr>
      <w:tr>
        <w:trPr/>
        <w:tc>
          <w:tcPr>
            <w:tcW w:w="102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0.1mV</w:t>
            </w:r>
            <w:r/>
          </w:p>
        </w:tc>
      </w:tr>
      <w:tr>
        <w:trPr/>
        <w:tc>
          <w:tcPr>
            <w:tcW w:w="102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电子单元示值误差</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±0.1%或±0.3mV</w:t>
            </w:r>
            <w:r/>
          </w:p>
        </w:tc>
      </w:tr>
      <w:tr>
        <w:trPr>
          <w:trHeight w:val="390"/>
        </w:trPr>
        <w:tc>
          <w:tcPr>
            <w:tcW w:w="102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pH</w:t>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（-2.00～20.00）pH</w:t>
            </w:r>
            <w:r/>
          </w:p>
        </w:tc>
      </w:tr>
      <w:tr>
        <w:trPr>
          <w:trHeight w:val="375"/>
        </w:trPr>
        <w:tc>
          <w:tcPr>
            <w:tcW w:w="102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0.01pH</w:t>
            </w:r>
            <w:r/>
          </w:p>
        </w:tc>
      </w:tr>
      <w:tr>
        <w:trPr>
          <w:trHeight w:val="330"/>
        </w:trPr>
        <w:tc>
          <w:tcPr>
            <w:tcW w:w="102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电子单元示值误差</w:t>
            </w:r>
            <w:r/>
          </w:p>
        </w:tc>
        <w:tc>
          <w:tcPr>
            <w:tcW w:w="256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±0.01pH</w:t>
            </w:r>
            <w:r/>
          </w:p>
        </w:tc>
      </w:tr>
      <w:tr>
        <w:trPr>
          <w:trHeight w:val="405"/>
        </w:trPr>
        <w:tc>
          <w:tcPr>
            <w:tcW w:w="102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w:t>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范围</w:t>
            </w:r>
            <w:r/>
          </w:p>
        </w:tc>
        <w:tc>
          <w:tcPr>
            <w:tcBorders>
              <w:top w:val="single" w:color="000000" w:sz="4" w:space="0"/>
              <w:left w:val="single" w:color="000000" w:sz="4" w:space="0"/>
              <w:bottom w:val="single" w:color="000000" w:sz="4" w:space="0"/>
              <w:right w:val="single" w:color="000000" w:sz="4" w:space="0"/>
            </w:tcBorders>
            <w:tcW w:w="2564" w:type="pct"/>
            <w:vAlign w:val="bottom"/>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(-5.0～110.0)℃ /(23.0-230.0)℉</w:t>
            </w:r>
            <w:r/>
          </w:p>
        </w:tc>
      </w:tr>
      <w:tr>
        <w:trPr>
          <w:trHeight w:val="330"/>
        </w:trPr>
        <w:tc>
          <w:tcPr>
            <w:tcW w:w="1026"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最小分辨率</w:t>
            </w:r>
            <w:r/>
          </w:p>
        </w:tc>
        <w:tc>
          <w:tcPr>
            <w:tcBorders>
              <w:top w:val="single" w:color="000000" w:sz="4" w:space="0"/>
              <w:left w:val="single" w:color="000000" w:sz="4" w:space="0"/>
              <w:bottom w:val="single" w:color="000000" w:sz="4" w:space="0"/>
              <w:right w:val="single" w:color="000000" w:sz="4" w:space="0"/>
            </w:tcBorders>
            <w:tcW w:w="2564" w:type="pct"/>
            <w:vAlign w:val="bottom"/>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0.1℃/0.1℉</w:t>
            </w:r>
            <w:r/>
          </w:p>
        </w:tc>
      </w:tr>
      <w:tr>
        <w:trPr>
          <w:trHeight w:val="330"/>
        </w:trPr>
        <w:tc>
          <w:tcPr>
            <w:tcW w:w="1026" w:type="pct"/>
            <w:vAlign w:val="center"/>
            <w:vMerge w:val="continue"/>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电子单元示值误差</w:t>
            </w:r>
            <w:r/>
          </w:p>
        </w:tc>
        <w:tc>
          <w:tcPr>
            <w:tcBorders>
              <w:top w:val="single" w:color="000000" w:sz="4" w:space="0"/>
              <w:left w:val="single" w:color="000000" w:sz="4" w:space="0"/>
              <w:bottom w:val="single" w:color="000000" w:sz="4" w:space="0"/>
              <w:right w:val="single" w:color="000000" w:sz="4" w:space="0"/>
            </w:tcBorders>
            <w:tcW w:w="2564" w:type="pct"/>
            <w:vAlign w:val="bottom"/>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 ℃</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4、配置清单</w:t>
      </w:r>
      <w:r/>
    </w:p>
    <w:tbl>
      <w:tblPr>
        <w:tblStyle w:val="858"/>
        <w:tblW w:w="4660" w:type="pct"/>
        <w:tblInd w:w="5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4740"/>
        <w:gridCol w:w="1643"/>
      </w:tblGrid>
      <w:tr>
        <w:trPr>
          <w:trHeight w:val="445"/>
        </w:trPr>
        <w:tc>
          <w:tcPr>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序号</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名称及规格</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数量</w:t>
            </w:r>
            <w:r/>
          </w:p>
        </w:tc>
      </w:tr>
      <w:tr>
        <w:trPr>
          <w:trHeight w:val="397"/>
        </w:trPr>
        <w:tc>
          <w:tcPr>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pH三复合电极</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1支</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pH4.00/6.86/9.18袋装缓冲溶液</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各10包</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充电器5V 2A</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电极挂架</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2个</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MicroUSB连接线</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MicroUSB转DB25打印线</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触屏笔（电容屏）</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1支</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防护套（安装于主机）</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腕带组装件（大）</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1根</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便携式防护箱</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1个</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软件卡</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1张</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简易操作指南</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1份</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使用说明书</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1本</w:t>
            </w:r>
            <w:r/>
          </w:p>
        </w:tc>
      </w:tr>
      <w:tr>
        <w:trPr>
          <w:trHeight w:val="397"/>
        </w:trPr>
        <w:tc>
          <w:tcPr>
            <w:shd w:val="clear" w:color="auto" w:fill="auto"/>
            <w:tcW w:w="156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w:t>
            </w:r>
            <w:r/>
          </w:p>
        </w:tc>
        <w:tc>
          <w:tcPr>
            <w:tcW w:w="4740"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产品合格证</w:t>
            </w:r>
            <w:r/>
          </w:p>
        </w:tc>
        <w:tc>
          <w:tcPr>
            <w:tcW w:w="1643" w:type="dxa"/>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1份</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6" w:name="_Toc27023"/>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十二、</w:t>
      </w:r>
      <w:r>
        <w:rPr>
          <w:rFonts w:hint="eastAsia" w:eastAsia="宋体"/>
          <w:color w:val="000000" w:themeColor="text1"/>
          <w:sz w:val="28"/>
          <w:szCs w:val="28"/>
          <w:highlight w:val="none"/>
          <w:shd w:val="clear" w:color="auto" w:fill="auto"/>
          <w14:textFill>
            <w14:solidFill>
              <w14:schemeClr w14:val="tx1"/>
            </w14:solidFill>
          </w14:textFill>
        </w:rPr>
        <w:t xml:space="preserve">水质硫化物-酸化吹气仪</w:t>
      </w:r>
      <w:bookmarkEnd w:id="196"/>
      <w:r/>
      <w:r/>
    </w:p>
    <w:p>
      <w:pPr>
        <w:pStyle w:val="864"/>
        <w:jc w:val="both"/>
        <w:spacing w:beforeAutospacing="0" w:afterAutospacing="0" w:line="360" w:lineRule="auto"/>
        <w:rPr>
          <w:rFonts w:eastAsia="宋体"/>
          <w:color w:val="000000" w:themeColor="text1"/>
          <w:sz w:val="28"/>
          <w:szCs w:val="28"/>
          <w:highlight w:val="none"/>
          <w:shd w:val="clear" w:color="auto" w:fill="auto"/>
          <w:lang w:val="zh-TW"/>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1、仪器用途：</w:t>
      </w:r>
      <w:r/>
    </w:p>
    <w:p>
      <w:pPr>
        <w:pStyle w:val="864"/>
        <w:jc w:val="both"/>
        <w:spacing w:beforeAutospacing="0" w:afterAutospacing="0" w:line="360" w:lineRule="auto"/>
        <w:rPr>
          <w:rFonts w:eastAsia="宋体"/>
          <w:color w:val="000000" w:themeColor="text1"/>
          <w:sz w:val="28"/>
          <w:szCs w:val="28"/>
          <w:highlight w:val="none"/>
          <w:shd w:val="clear" w:color="auto" w:fill="auto"/>
          <w:lang w:val="zh-TW"/>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1.1用于地表水、地下水、生活污水和工业废水中硫化物的检测。具有容易控制、操作简便快捷等特点。</w:t>
      </w:r>
      <w:r/>
    </w:p>
    <w:p>
      <w:pPr>
        <w:pStyle w:val="864"/>
        <w:jc w:val="both"/>
        <w:spacing w:beforeAutospacing="0" w:afterAutospacing="0" w:line="360" w:lineRule="auto"/>
        <w:rPr>
          <w:rFonts w:eastAsia="宋体"/>
          <w:color w:val="000000" w:themeColor="text1"/>
          <w:sz w:val="28"/>
          <w:szCs w:val="28"/>
          <w:highlight w:val="none"/>
          <w:shd w:val="clear" w:color="auto" w:fill="auto"/>
          <w:lang w:val="zh-TW"/>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2、技术参数要求：</w:t>
      </w:r>
      <w:r/>
    </w:p>
    <w:p>
      <w:pPr>
        <w:pStyle w:val="864"/>
        <w:jc w:val="both"/>
        <w:spacing w:beforeAutospacing="0" w:afterAutospacing="0" w:line="360" w:lineRule="auto"/>
        <w:rPr>
          <w:rFonts w:eastAsia="宋体"/>
          <w:color w:val="000000" w:themeColor="text1"/>
          <w:sz w:val="28"/>
          <w:szCs w:val="28"/>
          <w:highlight w:val="none"/>
          <w:shd w:val="clear" w:color="auto" w:fill="auto"/>
          <w:lang w:val="zh-TW"/>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样品数量：不低于</w:t>
      </w:r>
      <w:r>
        <w:rPr>
          <w:rFonts w:hint="eastAsia" w:eastAsia="宋体"/>
          <w:color w:val="000000" w:themeColor="text1"/>
          <w:sz w:val="28"/>
          <w:szCs w:val="28"/>
          <w:highlight w:val="none"/>
          <w:shd w:val="clear" w:color="auto" w:fill="auto"/>
          <w14:textFill>
            <w14:solidFill>
              <w14:schemeClr w14:val="tx1"/>
            </w14:solidFill>
          </w14:textFill>
        </w:rPr>
        <w:t xml:space="preserve">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位样品单元</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加热方式：自动控温恒温水浴，一次成型设计，耐酸碱腐蚀，方便清洗！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加热功率：</w:t>
      </w:r>
      <w:r>
        <w:rPr>
          <w:rFonts w:hint="eastAsia" w:eastAsia="宋体"/>
          <w:color w:val="000000" w:themeColor="text1"/>
          <w:sz w:val="28"/>
          <w:szCs w:val="28"/>
          <w:highlight w:val="none"/>
          <w:shd w:val="clear" w:color="auto" w:fill="auto"/>
          <w14:textFill>
            <w14:solidFill>
              <w14:schemeClr w14:val="tx1"/>
            </w14:solidFill>
          </w14:textFill>
        </w:rPr>
        <w:t xml:space="preserve">1500W</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，加热均匀</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氮气流量计控制：</w:t>
      </w:r>
      <w:r>
        <w:rPr>
          <w:rFonts w:hint="eastAsia" w:eastAsia="宋体"/>
          <w:color w:val="000000" w:themeColor="text1"/>
          <w:sz w:val="28"/>
          <w:szCs w:val="28"/>
          <w:highlight w:val="none"/>
          <w:shd w:val="clear" w:color="auto" w:fill="auto"/>
          <w14:textFill>
            <w14:solidFill>
              <w14:schemeClr w14:val="tx1"/>
            </w14:solidFill>
          </w14:textFill>
        </w:rPr>
        <w:t xml:space="preserve">0—3L/min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温度范围：室温</w:t>
      </w:r>
      <w:r>
        <w:rPr>
          <w:rFonts w:hint="eastAsia" w:eastAsia="宋体"/>
          <w:color w:val="000000" w:themeColor="text1"/>
          <w:sz w:val="28"/>
          <w:szCs w:val="28"/>
          <w:highlight w:val="none"/>
          <w:shd w:val="clear" w:color="auto" w:fill="auto"/>
          <w14:textFill>
            <w14:solidFill>
              <w14:schemeClr w14:val="tx1"/>
            </w14:solidFill>
          </w14:textFill>
        </w:rPr>
        <w:t xml:space="preserve">—99.9℃</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控温精度：</w:t>
      </w:r>
      <w:r>
        <w:rPr>
          <w:rFonts w:hint="eastAsia" w:eastAsia="宋体"/>
          <w:color w:val="000000" w:themeColor="text1"/>
          <w:sz w:val="28"/>
          <w:szCs w:val="28"/>
          <w:highlight w:val="none"/>
          <w:shd w:val="clear" w:color="auto" w:fill="auto"/>
          <w14:textFill>
            <w14:solidFill>
              <w14:schemeClr w14:val="tx1"/>
            </w14:solidFill>
          </w14:textFill>
        </w:rPr>
        <w:t xml:space="preserve">±1℃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样品反应瓶规格：</w:t>
      </w:r>
      <w:r>
        <w:rPr>
          <w:rFonts w:hint="eastAsia" w:eastAsia="宋体"/>
          <w:color w:val="000000" w:themeColor="text1"/>
          <w:sz w:val="28"/>
          <w:szCs w:val="28"/>
          <w:highlight w:val="none"/>
          <w:shd w:val="clear" w:color="auto" w:fill="auto"/>
          <w14:textFill>
            <w14:solidFill>
              <w14:schemeClr w14:val="tx1"/>
            </w14:solidFill>
          </w14:textFill>
        </w:rPr>
        <w:t xml:space="preserve">500ml</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三口反应瓶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氮气入口压力：</w:t>
      </w:r>
      <w:r>
        <w:rPr>
          <w:rFonts w:hint="eastAsia" w:eastAsia="宋体"/>
          <w:color w:val="000000" w:themeColor="text1"/>
          <w:sz w:val="28"/>
          <w:szCs w:val="28"/>
          <w:highlight w:val="none"/>
          <w:shd w:val="clear" w:color="auto" w:fill="auto"/>
          <w14:textFill>
            <w14:solidFill>
              <w14:schemeClr w14:val="tx1"/>
            </w14:solidFill>
          </w14:textFill>
        </w:rPr>
        <w:t xml:space="preserve">0.1Mpa</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氮气流量支路：</w:t>
      </w:r>
      <w:r>
        <w:rPr>
          <w:rFonts w:hint="eastAsia" w:eastAsia="宋体"/>
          <w:color w:val="000000" w:themeColor="text1"/>
          <w:sz w:val="28"/>
          <w:szCs w:val="28"/>
          <w:highlight w:val="none"/>
          <w:shd w:val="clear" w:color="auto" w:fill="auto"/>
          <w14:textFill>
            <w14:solidFill>
              <w14:schemeClr w14:val="tx1"/>
            </w14:solidFill>
          </w14:textFill>
        </w:rPr>
        <w:t xml:space="preserve">60-600mL/min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2.10</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大容量反应瓶，独立的六单元模块，可同时处理六个样品。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2.11</w:t>
      </w:r>
      <w:r>
        <w:rPr>
          <w:rFonts w:hint="eastAsia" w:eastAsia="宋体"/>
          <w:color w:val="000000" w:themeColor="text1"/>
          <w:sz w:val="28"/>
          <w:szCs w:val="28"/>
          <w:highlight w:val="none"/>
          <w:shd w:val="clear" w:color="auto" w:fill="auto"/>
          <w:lang w:val="zh-TW"/>
          <w14:textFill>
            <w14:solidFill>
              <w14:schemeClr w14:val="tx1"/>
            </w14:solidFill>
          </w14:textFill>
        </w:rPr>
        <w:t xml:space="preserve">盐酸入口、气体进口、出口三口一体且相互独立，操作互不干扰。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2.12</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恒温水浴加热，</w:t>
      </w:r>
      <w:r>
        <w:rPr>
          <w:rFonts w:hint="eastAsia" w:eastAsia="宋体"/>
          <w:color w:val="000000" w:themeColor="text1"/>
          <w:sz w:val="28"/>
          <w:szCs w:val="28"/>
          <w:highlight w:val="none"/>
          <w:shd w:val="clear" w:color="auto" w:fill="auto"/>
          <w14:textFill>
            <w14:solidFill>
              <w14:schemeClr w14:val="tx1"/>
            </w14:solidFill>
          </w14:textFill>
        </w:rPr>
        <w:t xml:space="preserve">PID</w:t>
      </w:r>
      <w:r>
        <w:rPr>
          <w:rFonts w:hint="eastAsia" w:eastAsia="宋体"/>
          <w:color w:val="000000" w:themeColor="text1"/>
          <w:sz w:val="28"/>
          <w:szCs w:val="28"/>
          <w:highlight w:val="none"/>
          <w:shd w:val="clear" w:color="auto" w:fill="auto"/>
          <w:lang w:val="zh-TW"/>
          <w14:textFill>
            <w14:solidFill>
              <w14:schemeClr w14:val="tx1"/>
            </w14:solidFill>
          </w14:textFill>
        </w:rPr>
        <w:t xml:space="preserve">精确控温；具有快速自动恒温控制系统，缩短分析时间。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2.13</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可取放反应瓶托架，耐强酸碱腐蚀、耐高温，配比样品方便简洁。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2.14</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每个样品的氮气流量独立控制，双安全阀保护，确保实验安全有效进行。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2.15</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仪器外观选用耐腐蚀材质，具有良好的化学反应稳定性和热稳定性，寿命长特点。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水浴系统智能自动进、出水，开机能够自动识别，缺水报警并自动加液。</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★2.17</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智能微电脑操作</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zh-TW"/>
          <w14:textFill>
            <w14:solidFill>
              <w14:schemeClr w14:val="tx1"/>
            </w14:solidFill>
          </w14:textFill>
        </w:rPr>
        <w:t xml:space="preserve">采用</w:t>
      </w:r>
      <w:r>
        <w:rPr>
          <w:rFonts w:hint="eastAsia" w:eastAsia="宋体"/>
          <w:color w:val="000000" w:themeColor="text1"/>
          <w:sz w:val="28"/>
          <w:szCs w:val="28"/>
          <w:highlight w:val="none"/>
          <w:shd w:val="clear" w:color="auto" w:fill="auto"/>
          <w14:textFill>
            <w14:solidFill>
              <w14:schemeClr w14:val="tx1"/>
            </w14:solidFill>
          </w14:textFill>
        </w:rPr>
        <w:t xml:space="preserve">7</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寸彩色触摸屏，显示屏固定机器正前方，方便实验人员操作，可自主设定各项仪器参数；不得采用外置式操作系统或者平板电脑。（需提供相关</w:t>
      </w:r>
      <w:r>
        <w:rPr>
          <w:rFonts w:hint="eastAsia" w:eastAsia="宋体"/>
          <w:color w:val="000000" w:themeColor="text1"/>
          <w:sz w:val="28"/>
          <w:szCs w:val="28"/>
          <w:highlight w:val="none"/>
          <w:shd w:val="clear" w:color="auto" w:fill="auto"/>
          <w:lang w:val="zh-CN"/>
          <w14:textFill>
            <w14:solidFill>
              <w14:schemeClr w14:val="tx1"/>
            </w14:solidFill>
          </w14:textFill>
        </w:rPr>
        <w:t xml:space="preserve">证明</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文件）</w:t>
      </w:r>
      <w:r/>
    </w:p>
    <w:p>
      <w:pPr>
        <w:pStyle w:val="864"/>
        <w:jc w:val="both"/>
        <w:spacing w:beforeAutospacing="0" w:afterAutospacing="0" w:line="360" w:lineRule="auto"/>
        <w:rPr>
          <w:rFonts w:eastAsia="宋体"/>
          <w:color w:val="000000" w:themeColor="text1"/>
          <w:sz w:val="28"/>
          <w:szCs w:val="28"/>
          <w:highlight w:val="none"/>
          <w:shd w:val="clear" w:color="auto" w:fill="auto"/>
          <w:lang w:val="zh-TW"/>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2.18</w:t>
      </w:r>
      <w:r>
        <w:rPr>
          <w:rFonts w:hint="eastAsia" w:eastAsia="宋体"/>
          <w:color w:val="000000" w:themeColor="text1"/>
          <w:sz w:val="28"/>
          <w:szCs w:val="28"/>
          <w:highlight w:val="none"/>
          <w:shd w:val="clear" w:color="auto" w:fill="auto"/>
          <w:lang w:val="zh-TW"/>
          <w14:textFill>
            <w14:solidFill>
              <w14:schemeClr w14:val="tx1"/>
            </w14:solidFill>
          </w14:textFill>
        </w:rPr>
        <w:t xml:space="preserve">氮气恒定吹扫，气源时间可定时控制，达到设定时间自动关闭气源。</w:t>
      </w:r>
      <w:r/>
    </w:p>
    <w:p>
      <w:pPr>
        <w:pStyle w:val="864"/>
        <w:jc w:val="both"/>
        <w:spacing w:beforeAutospacing="0" w:afterAutospacing="0" w:line="360" w:lineRule="auto"/>
        <w:rPr>
          <w:rFonts w:eastAsia="宋体"/>
          <w:color w:val="000000" w:themeColor="text1"/>
          <w:sz w:val="28"/>
          <w:szCs w:val="28"/>
          <w:highlight w:val="none"/>
          <w:shd w:val="clear" w:color="auto" w:fill="auto"/>
          <w:lang w:val="zh-TW"/>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3、配置</w:t>
      </w:r>
      <w:r>
        <w:rPr>
          <w:rFonts w:hint="eastAsia" w:eastAsia="宋体"/>
          <w:color w:val="000000" w:themeColor="text1"/>
          <w:sz w:val="28"/>
          <w:szCs w:val="28"/>
          <w:highlight w:val="none"/>
          <w:shd w:val="clear" w:color="auto" w:fill="auto"/>
          <w:lang w:val="zh-CN"/>
          <w14:textFill>
            <w14:solidFill>
              <w14:schemeClr w14:val="tx1"/>
            </w14:solidFill>
          </w14:textFill>
        </w:rPr>
        <w:t xml:space="preserve">要求</w:t>
      </w:r>
      <w:r>
        <w:rPr>
          <w:rFonts w:hint="eastAsia" w:eastAsia="宋体"/>
          <w:color w:val="000000" w:themeColor="text1"/>
          <w:sz w:val="28"/>
          <w:szCs w:val="28"/>
          <w:highlight w:val="none"/>
          <w:shd w:val="clear" w:color="auto" w:fill="auto"/>
          <w:lang w:val="zh-TW"/>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硫化物</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zh-TW"/>
          <w14:textFill>
            <w14:solidFill>
              <w14:schemeClr w14:val="tx1"/>
            </w14:solidFill>
          </w14:textFill>
        </w:rPr>
        <w:t xml:space="preserve">酸化吹气仪主机</w:t>
      </w: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台、压力安全阀</w:t>
      </w:r>
      <w:r>
        <w:rPr>
          <w:rFonts w:hint="eastAsia" w:eastAsia="宋体"/>
          <w:color w:val="000000" w:themeColor="text1"/>
          <w:sz w:val="28"/>
          <w:szCs w:val="28"/>
          <w:highlight w:val="none"/>
          <w:shd w:val="clear" w:color="auto" w:fill="auto"/>
          <w14:textFill>
            <w14:solidFill>
              <w14:schemeClr w14:val="tx1"/>
            </w14:solidFill>
          </w14:textFill>
        </w:rPr>
        <w:t xml:space="preserve">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个、恒温水浴单元</w:t>
      </w: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zh-TW"/>
          <w14:textFill>
            <w14:solidFill>
              <w14:schemeClr w14:val="tx1"/>
            </w14:solidFill>
          </w14:textFill>
        </w:rPr>
        <w:t xml:space="preserve">套</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lang w:val="zh-TW"/>
          <w14:textFill>
            <w14:solidFill>
              <w14:schemeClr w14:val="tx1"/>
            </w14:solidFill>
          </w14:textFill>
        </w:rPr>
        <w:t xml:space="preserve">反应瓶</w:t>
      </w:r>
      <w:r>
        <w:rPr>
          <w:rFonts w:hint="eastAsia" w:eastAsia="宋体"/>
          <w:color w:val="000000" w:themeColor="text1"/>
          <w:sz w:val="28"/>
          <w:szCs w:val="28"/>
          <w:highlight w:val="none"/>
          <w:shd w:val="clear" w:color="auto" w:fill="auto"/>
          <w14:textFill>
            <w14:solidFill>
              <w14:schemeClr w14:val="tx1"/>
            </w14:solidFill>
          </w14:textFill>
        </w:rPr>
        <w:t xml:space="preserve">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个、刻度分液漏斗</w:t>
      </w:r>
      <w:r>
        <w:rPr>
          <w:rFonts w:hint="eastAsia" w:eastAsia="宋体"/>
          <w:color w:val="000000" w:themeColor="text1"/>
          <w:sz w:val="28"/>
          <w:szCs w:val="28"/>
          <w:highlight w:val="none"/>
          <w:shd w:val="clear" w:color="auto" w:fill="auto"/>
          <w14:textFill>
            <w14:solidFill>
              <w14:schemeClr w14:val="tx1"/>
            </w14:solidFill>
          </w14:textFill>
        </w:rPr>
        <w:t xml:space="preserve">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个、比色管</w:t>
      </w:r>
      <w:r>
        <w:rPr>
          <w:rFonts w:hint="eastAsia" w:eastAsia="宋体"/>
          <w:color w:val="000000" w:themeColor="text1"/>
          <w:sz w:val="28"/>
          <w:szCs w:val="28"/>
          <w:highlight w:val="none"/>
          <w:shd w:val="clear" w:color="auto" w:fill="auto"/>
          <w14:textFill>
            <w14:solidFill>
              <w14:schemeClr w14:val="tx1"/>
            </w14:solidFill>
          </w14:textFill>
        </w:rPr>
        <w:t xml:space="preserve">6</w:t>
      </w:r>
      <w:r>
        <w:rPr>
          <w:rFonts w:hint="eastAsia" w:eastAsia="宋体"/>
          <w:color w:val="000000" w:themeColor="text1"/>
          <w:sz w:val="28"/>
          <w:szCs w:val="28"/>
          <w:highlight w:val="none"/>
          <w:shd w:val="clear" w:color="auto" w:fill="auto"/>
          <w:lang w:val="zh-TW"/>
          <w14:textFill>
            <w14:solidFill>
              <w14:schemeClr w14:val="tx1"/>
            </w14:solidFill>
          </w14:textFill>
        </w:rPr>
        <w:t xml:space="preserve">个</w:t>
      </w:r>
      <w:r>
        <w:rPr>
          <w:rFonts w:hint="eastAsia" w:eastAsia="宋体"/>
          <w:color w:val="000000" w:themeColor="text1"/>
          <w:sz w:val="28"/>
          <w:szCs w:val="28"/>
          <w:highlight w:val="none"/>
          <w:shd w:val="clear" w:color="auto" w:fill="auto"/>
          <w:lang w:val="zh-TW" w:eastAsia="zh-CN"/>
          <w14:textFill>
            <w14:solidFill>
              <w14:schemeClr w14:val="tx1"/>
            </w14:solidFill>
          </w14:textFill>
        </w:rPr>
        <w:t xml:space="preserve">，以及</w:t>
      </w:r>
      <w:r>
        <w:rPr>
          <w:rFonts w:hint="eastAsia" w:eastAsia="宋体"/>
          <w:color w:val="000000" w:themeColor="text1"/>
          <w:sz w:val="28"/>
          <w:szCs w:val="28"/>
          <w:highlight w:val="none"/>
          <w:shd w:val="clear" w:color="auto" w:fill="auto"/>
          <w:lang w:val="zh-TW"/>
          <w14:textFill>
            <w14:solidFill>
              <w14:schemeClr w14:val="tx1"/>
            </w14:solidFill>
          </w14:textFill>
        </w:rPr>
        <w:t xml:space="preserve">配套连接管、产品合格证、操作说明书及配套软件一份、保险丝两根</w:t>
      </w:r>
      <w:bookmarkStart w:id="197" w:name="_Toc952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十三、</w:t>
      </w:r>
      <w:r>
        <w:rPr>
          <w:rFonts w:hint="eastAsia" w:eastAsia="宋体"/>
          <w:color w:val="000000" w:themeColor="text1"/>
          <w:sz w:val="28"/>
          <w:szCs w:val="28"/>
          <w:highlight w:val="none"/>
          <w:shd w:val="clear" w:color="auto" w:fill="auto"/>
          <w14:textFill>
            <w14:solidFill>
              <w14:schemeClr w14:val="tx1"/>
            </w14:solidFill>
          </w14:textFill>
        </w:rPr>
        <w:t xml:space="preserve">手提式不锈钢压力蒸汽灭菌锅</w:t>
      </w:r>
      <w:bookmarkEnd w:id="197"/>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1、性能特点：</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1.1灭菌器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采用</w:t>
      </w:r>
      <w:r>
        <w:rPr>
          <w:rFonts w:hint="eastAsia" w:eastAsia="宋体"/>
          <w:color w:val="000000" w:themeColor="text1"/>
          <w:sz w:val="28"/>
          <w:szCs w:val="28"/>
          <w:highlight w:val="none"/>
          <w:shd w:val="clear" w:color="auto" w:fill="auto"/>
          <w14:textFill>
            <w14:solidFill>
              <w14:schemeClr w14:val="tx1"/>
            </w14:solidFill>
          </w14:textFill>
        </w:rPr>
        <w:t xml:space="preserve">YY0504-2016标准，具有联</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领装</w:t>
      </w:r>
      <w:r>
        <w:rPr>
          <w:rFonts w:hint="eastAsia" w:eastAsia="宋体"/>
          <w:color w:val="000000" w:themeColor="text1"/>
          <w:sz w:val="28"/>
          <w:szCs w:val="28"/>
          <w:highlight w:val="none"/>
          <w:shd w:val="clear" w:color="auto" w:fill="auto"/>
          <w14:textFill>
            <w14:solidFill>
              <w14:schemeClr w14:val="tx1"/>
            </w14:solidFill>
          </w14:textFill>
        </w:rPr>
        <w:t xml:space="preserve">置安全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效果</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 旋转式90度开盖手</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柄</w:t>
      </w:r>
      <w:r>
        <w:rPr>
          <w:rFonts w:hint="eastAsia" w:eastAsia="宋体"/>
          <w:color w:val="000000" w:themeColor="text1"/>
          <w:sz w:val="28"/>
          <w:szCs w:val="28"/>
          <w:highlight w:val="none"/>
          <w:shd w:val="clear" w:color="auto" w:fill="auto"/>
          <w14:textFill>
            <w14:solidFill>
              <w14:schemeClr w14:val="tx1"/>
            </w14:solidFill>
          </w14:textFill>
        </w:rPr>
        <w:t xml:space="preserve">，操作时特别方便</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安全</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1.3可以</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按需</w:t>
      </w:r>
      <w:r>
        <w:rPr>
          <w:rFonts w:hint="eastAsia" w:eastAsia="宋体"/>
          <w:color w:val="000000" w:themeColor="text1"/>
          <w:sz w:val="28"/>
          <w:szCs w:val="28"/>
          <w:highlight w:val="none"/>
          <w:shd w:val="clear" w:color="auto" w:fill="auto"/>
          <w14:textFill>
            <w14:solidFill>
              <w14:schemeClr w14:val="tx1"/>
            </w14:solidFill>
          </w14:textFill>
        </w:rPr>
        <w:t xml:space="preserve">设定灭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菌温</w:t>
      </w:r>
      <w:r>
        <w:rPr>
          <w:rFonts w:hint="eastAsia" w:eastAsia="宋体"/>
          <w:color w:val="000000" w:themeColor="text1"/>
          <w:sz w:val="28"/>
          <w:szCs w:val="28"/>
          <w:highlight w:val="none"/>
          <w:shd w:val="clear" w:color="auto" w:fill="auto"/>
          <w14:textFill>
            <w14:solidFill>
              <w14:schemeClr w14:val="tx1"/>
            </w14:solidFill>
          </w14:textFill>
        </w:rPr>
        <w:t xml:space="preserve">度，工作</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温</w:t>
      </w:r>
      <w:r>
        <w:rPr>
          <w:rFonts w:hint="eastAsia" w:eastAsia="宋体"/>
          <w:color w:val="000000" w:themeColor="text1"/>
          <w:sz w:val="28"/>
          <w:szCs w:val="28"/>
          <w:highlight w:val="none"/>
          <w:shd w:val="clear" w:color="auto" w:fill="auto"/>
          <w14:textFill>
            <w14:solidFill>
              <w14:schemeClr w14:val="tx1"/>
            </w14:solidFill>
          </w14:textFill>
        </w:rPr>
        <w:t xml:space="preserve">度设定范</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围</w:t>
      </w:r>
      <w:r>
        <w:rPr>
          <w:rFonts w:hint="eastAsia" w:eastAsia="宋体"/>
          <w:color w:val="000000" w:themeColor="text1"/>
          <w:sz w:val="28"/>
          <w:szCs w:val="28"/>
          <w:highlight w:val="none"/>
          <w:shd w:val="clear" w:color="auto" w:fill="auto"/>
          <w14:textFill>
            <w14:solidFill>
              <w14:schemeClr w14:val="tx1"/>
            </w14:solidFill>
          </w14:textFill>
        </w:rPr>
        <w:t xml:space="preserve">：室</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温</w:t>
      </w:r>
      <w:r>
        <w:rPr>
          <w:rFonts w:hint="eastAsia" w:eastAsia="宋体"/>
          <w:color w:val="000000" w:themeColor="text1"/>
          <w:sz w:val="28"/>
          <w:szCs w:val="28"/>
          <w:highlight w:val="none"/>
          <w:shd w:val="clear" w:color="auto" w:fill="auto"/>
          <w14:textFill>
            <w14:solidFill>
              <w14:schemeClr w14:val="tx1"/>
            </w14:solidFill>
          </w14:textFill>
        </w:rPr>
        <w:t xml:space="preserve">+5~126</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1.4可以按</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需</w:t>
      </w:r>
      <w:r>
        <w:rPr>
          <w:rFonts w:hint="eastAsia" w:eastAsia="宋体"/>
          <w:color w:val="000000" w:themeColor="text1"/>
          <w:sz w:val="28"/>
          <w:szCs w:val="28"/>
          <w:highlight w:val="none"/>
          <w:shd w:val="clear" w:color="auto" w:fill="auto"/>
          <w14:textFill>
            <w14:solidFill>
              <w14:schemeClr w14:val="tx1"/>
            </w14:solidFill>
          </w14:textFill>
        </w:rPr>
        <w:t xml:space="preserve">设定灭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w:t>
      </w:r>
      <w:r>
        <w:rPr>
          <w:rFonts w:hint="eastAsia" w:eastAsia="宋体"/>
          <w:color w:val="000000" w:themeColor="text1"/>
          <w:sz w:val="28"/>
          <w:szCs w:val="28"/>
          <w:highlight w:val="none"/>
          <w:shd w:val="clear" w:color="auto" w:fill="auto"/>
          <w14:textFill>
            <w14:solidFill>
              <w14:schemeClr w14:val="tx1"/>
            </w14:solidFill>
          </w14:textFill>
        </w:rPr>
        <w:t xml:space="preserve">保</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温</w:t>
      </w:r>
      <w:r>
        <w:rPr>
          <w:rFonts w:hint="eastAsia" w:eastAsia="宋体"/>
          <w:color w:val="000000" w:themeColor="text1"/>
          <w:sz w:val="28"/>
          <w:szCs w:val="28"/>
          <w:highlight w:val="none"/>
          <w:shd w:val="clear" w:color="auto" w:fill="auto"/>
          <w14:textFill>
            <w14:solidFill>
              <w14:schemeClr w14:val="tx1"/>
            </w14:solidFill>
          </w14:textFill>
        </w:rPr>
        <w:t xml:space="preserve">时间，保</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温</w:t>
      </w:r>
      <w:r>
        <w:rPr>
          <w:rFonts w:hint="eastAsia" w:eastAsia="宋体"/>
          <w:color w:val="000000" w:themeColor="text1"/>
          <w:sz w:val="28"/>
          <w:szCs w:val="28"/>
          <w:highlight w:val="none"/>
          <w:shd w:val="clear" w:color="auto" w:fill="auto"/>
          <w14:textFill>
            <w14:solidFill>
              <w14:schemeClr w14:val="tx1"/>
            </w14:solidFill>
          </w14:textFill>
        </w:rPr>
        <w:t xml:space="preserve">时间设定</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范围</w:t>
      </w:r>
      <w:r>
        <w:rPr>
          <w:rFonts w:hint="eastAsia" w:eastAsia="宋体"/>
          <w:color w:val="000000" w:themeColor="text1"/>
          <w:sz w:val="28"/>
          <w:szCs w:val="28"/>
          <w:highlight w:val="none"/>
          <w:shd w:val="clear" w:color="auto" w:fill="auto"/>
          <w14:textFill>
            <w14:solidFill>
              <w14:schemeClr w14:val="tx1"/>
            </w14:solidFill>
          </w14:textFill>
        </w:rPr>
        <w:t xml:space="preserve">：1~99min</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 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w:t>
      </w:r>
      <w:r>
        <w:rPr>
          <w:rFonts w:hint="eastAsia" w:eastAsia="宋体"/>
          <w:color w:val="000000" w:themeColor="text1"/>
          <w:sz w:val="28"/>
          <w:szCs w:val="28"/>
          <w:highlight w:val="none"/>
          <w:shd w:val="clear" w:color="auto" w:fill="auto"/>
          <w14:textFill>
            <w14:solidFill>
              <w14:schemeClr w14:val="tx1"/>
            </w14:solidFill>
          </w14:textFill>
        </w:rPr>
        <w:t xml:space="preserve">器盖上设有</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2个</w:t>
      </w:r>
      <w:r>
        <w:rPr>
          <w:rFonts w:hint="eastAsia" w:eastAsia="宋体"/>
          <w:color w:val="000000" w:themeColor="text1"/>
          <w:sz w:val="28"/>
          <w:szCs w:val="28"/>
          <w:highlight w:val="none"/>
          <w:shd w:val="clear" w:color="auto" w:fill="auto"/>
          <w14:textFill>
            <w14:solidFill>
              <w14:schemeClr w14:val="tx1"/>
            </w14:solidFill>
          </w14:textFill>
        </w:rPr>
        <w:t xml:space="preserve">安全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阀（双重安全保护）</w:t>
      </w:r>
      <w:r>
        <w:rPr>
          <w:rFonts w:hint="eastAsia" w:eastAsia="宋体"/>
          <w:color w:val="000000" w:themeColor="text1"/>
          <w:sz w:val="28"/>
          <w:szCs w:val="28"/>
          <w:highlight w:val="none"/>
          <w:shd w:val="clear" w:color="auto" w:fill="auto"/>
          <w14:textFill>
            <w14:solidFill>
              <w14:schemeClr w14:val="tx1"/>
            </w14:solidFill>
          </w14:textFill>
        </w:rPr>
        <w:t xml:space="preserve">，能有效防止超压引</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起</w:t>
      </w:r>
      <w:r>
        <w:rPr>
          <w:rFonts w:hint="eastAsia" w:eastAsia="宋体"/>
          <w:color w:val="000000" w:themeColor="text1"/>
          <w:sz w:val="28"/>
          <w:szCs w:val="28"/>
          <w:highlight w:val="none"/>
          <w:shd w:val="clear" w:color="auto" w:fill="auto"/>
          <w14:textFill>
            <w14:solidFill>
              <w14:schemeClr w14:val="tx1"/>
            </w14:solidFill>
          </w14:textFill>
        </w:rPr>
        <w:t xml:space="preserve">的不安全隐</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患</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1.6灭菌</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器</w:t>
      </w:r>
      <w:r>
        <w:rPr>
          <w:rFonts w:hint="eastAsia" w:eastAsia="宋体"/>
          <w:color w:val="000000" w:themeColor="text1"/>
          <w:sz w:val="28"/>
          <w:szCs w:val="28"/>
          <w:highlight w:val="none"/>
          <w:shd w:val="clear" w:color="auto" w:fill="auto"/>
          <w14:textFill>
            <w14:solidFill>
              <w14:schemeClr w14:val="tx1"/>
            </w14:solidFill>
          </w14:textFill>
        </w:rPr>
        <w:t xml:space="preserve">盖上设有</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冷</w:t>
      </w:r>
      <w:r>
        <w:rPr>
          <w:rFonts w:hint="eastAsia" w:eastAsia="宋体"/>
          <w:color w:val="000000" w:themeColor="text1"/>
          <w:sz w:val="28"/>
          <w:szCs w:val="28"/>
          <w:highlight w:val="none"/>
          <w:shd w:val="clear" w:color="auto" w:fill="auto"/>
          <w14:textFill>
            <w14:solidFill>
              <w14:schemeClr w14:val="tx1"/>
            </w14:solidFill>
          </w14:textFill>
        </w:rPr>
        <w:t xml:space="preserve">空气</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自动排</w:t>
      </w:r>
      <w:r>
        <w:rPr>
          <w:rFonts w:hint="eastAsia" w:eastAsia="宋体"/>
          <w:color w:val="000000" w:themeColor="text1"/>
          <w:sz w:val="28"/>
          <w:szCs w:val="28"/>
          <w:highlight w:val="none"/>
          <w:shd w:val="clear" w:color="auto" w:fill="auto"/>
          <w14:textFill>
            <w14:solidFill>
              <w14:schemeClr w14:val="tx1"/>
            </w14:solidFill>
          </w14:textFill>
        </w:rPr>
        <w:t xml:space="preserve">放</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阀</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放气阀</w:t>
      </w:r>
      <w:r>
        <w:rPr>
          <w:rFonts w:hint="eastAsia" w:eastAsia="宋体"/>
          <w:color w:val="000000" w:themeColor="text1"/>
          <w:sz w:val="28"/>
          <w:szCs w:val="28"/>
          <w:highlight w:val="none"/>
          <w:shd w:val="clear" w:color="auto" w:fill="auto"/>
          <w14:textFill>
            <w14:solidFill>
              <w14:schemeClr w14:val="tx1"/>
            </w14:solidFill>
          </w14:textFill>
        </w:rPr>
        <w:t xml:space="preserve">），可以在加热开始时</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自动排放器</w:t>
      </w:r>
      <w:r>
        <w:rPr>
          <w:rFonts w:hint="eastAsia" w:eastAsia="宋体"/>
          <w:color w:val="000000" w:themeColor="text1"/>
          <w:sz w:val="28"/>
          <w:szCs w:val="28"/>
          <w:highlight w:val="none"/>
          <w:shd w:val="clear" w:color="auto" w:fill="auto"/>
          <w14:textFill>
            <w14:solidFill>
              <w14:schemeClr w14:val="tx1"/>
            </w14:solidFill>
          </w14:textFill>
        </w:rPr>
        <w:t xml:space="preserve">内的冷空气</w:t>
      </w:r>
      <w:r/>
    </w:p>
    <w:p>
      <w:pPr>
        <w:pStyle w:val="864"/>
        <w:jc w:val="both"/>
        <w:spacing w:beforeAutospacing="0" w:afterAutospacing="0" w:line="360" w:lineRule="auto"/>
        <w:rPr>
          <w:rFonts w:hint="default"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1.7双刻线压力表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指针指示清晰</w:t>
      </w:r>
      <w:r>
        <w:rPr>
          <w:rFonts w:hint="eastAsia" w:eastAsia="宋体"/>
          <w:color w:val="000000" w:themeColor="text1"/>
          <w:sz w:val="28"/>
          <w:szCs w:val="28"/>
          <w:highlight w:val="none"/>
          <w:shd w:val="clear" w:color="auto" w:fill="auto"/>
          <w14:textFill>
            <w14:solidFill>
              <w14:schemeClr w14:val="tx1"/>
            </w14:solidFill>
          </w14:textFill>
        </w:rPr>
        <w:t xml:space="preserve">，观察方便，性</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能可靠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菌器</w:t>
      </w:r>
      <w:r>
        <w:rPr>
          <w:rFonts w:hint="eastAsia" w:eastAsia="宋体"/>
          <w:color w:val="000000" w:themeColor="text1"/>
          <w:sz w:val="28"/>
          <w:szCs w:val="28"/>
          <w:highlight w:val="none"/>
          <w:shd w:val="clear" w:color="auto" w:fill="auto"/>
          <w14:textFill>
            <w14:solidFill>
              <w14:schemeClr w14:val="tx1"/>
            </w14:solidFill>
          </w14:textFill>
        </w:rPr>
        <w:t xml:space="preserve">控制面板在合适的工作高度</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范围</w:t>
      </w:r>
      <w:r>
        <w:rPr>
          <w:rFonts w:hint="eastAsia" w:eastAsia="宋体"/>
          <w:color w:val="000000" w:themeColor="text1"/>
          <w:sz w:val="28"/>
          <w:szCs w:val="28"/>
          <w:highlight w:val="none"/>
          <w:shd w:val="clear" w:color="auto" w:fill="auto"/>
          <w14:textFill>
            <w14:solidFill>
              <w14:schemeClr w14:val="tx1"/>
            </w14:solidFill>
          </w14:textFill>
        </w:rPr>
        <w:t xml:space="preserve">内所有的指示</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非常</w:t>
      </w:r>
      <w:r>
        <w:rPr>
          <w:rFonts w:hint="eastAsia" w:eastAsia="宋体"/>
          <w:color w:val="000000" w:themeColor="text1"/>
          <w:sz w:val="28"/>
          <w:szCs w:val="28"/>
          <w:highlight w:val="none"/>
          <w:shd w:val="clear" w:color="auto" w:fill="auto"/>
          <w14:textFill>
            <w14:solidFill>
              <w14:schemeClr w14:val="tx1"/>
            </w14:solidFill>
          </w14:textFill>
        </w:rPr>
        <w:t xml:space="preserve">清晰</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操</w:t>
      </w:r>
      <w:r>
        <w:rPr>
          <w:rFonts w:hint="eastAsia" w:eastAsia="宋体"/>
          <w:color w:val="000000" w:themeColor="text1"/>
          <w:sz w:val="28"/>
          <w:szCs w:val="28"/>
          <w:highlight w:val="none"/>
          <w:shd w:val="clear" w:color="auto" w:fill="auto"/>
          <w14:textFill>
            <w14:solidFill>
              <w14:schemeClr w14:val="tx1"/>
            </w14:solidFill>
          </w14:textFill>
        </w:rPr>
        <w:t xml:space="preserve">作十分方便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w:t>
      </w:r>
      <w:r>
        <w:rPr>
          <w:rFonts w:hint="eastAsia" w:eastAsia="宋体"/>
          <w:color w:val="000000" w:themeColor="text1"/>
          <w:sz w:val="28"/>
          <w:szCs w:val="28"/>
          <w:highlight w:val="none"/>
          <w:shd w:val="clear" w:color="auto" w:fill="auto"/>
          <w14:textFill>
            <w14:solidFill>
              <w14:schemeClr w14:val="tx1"/>
            </w14:solidFill>
          </w14:textFill>
        </w:rPr>
        <w:t xml:space="preserve">过程的</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温</w:t>
      </w:r>
      <w:r>
        <w:rPr>
          <w:rFonts w:hint="eastAsia" w:eastAsia="宋体"/>
          <w:color w:val="000000" w:themeColor="text1"/>
          <w:sz w:val="28"/>
          <w:szCs w:val="28"/>
          <w:highlight w:val="none"/>
          <w:shd w:val="clear" w:color="auto" w:fill="auto"/>
          <w14:textFill>
            <w14:solidFill>
              <w14:schemeClr w14:val="tx1"/>
            </w14:solidFill>
          </w14:textFill>
        </w:rPr>
        <w:t xml:space="preserve">度和时</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间</w:t>
      </w:r>
      <w:r>
        <w:rPr>
          <w:rFonts w:hint="eastAsia" w:eastAsia="宋体"/>
          <w:color w:val="000000" w:themeColor="text1"/>
          <w:sz w:val="28"/>
          <w:szCs w:val="28"/>
          <w:highlight w:val="none"/>
          <w:shd w:val="clear" w:color="auto" w:fill="auto"/>
          <w14:textFill>
            <w14:solidFill>
              <w14:schemeClr w14:val="tx1"/>
            </w14:solidFill>
          </w14:textFill>
        </w:rPr>
        <w:t xml:space="preserve">由LED数码管按程序分段显示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0操作面板上的LED指示灯按操作需要和运行状</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态</w:t>
      </w:r>
      <w:r>
        <w:rPr>
          <w:rFonts w:hint="eastAsia" w:eastAsia="宋体"/>
          <w:color w:val="000000" w:themeColor="text1"/>
          <w:sz w:val="28"/>
          <w:szCs w:val="28"/>
          <w:highlight w:val="none"/>
          <w:shd w:val="clear" w:color="auto" w:fill="auto"/>
          <w14:textFill>
            <w14:solidFill>
              <w14:schemeClr w14:val="tx1"/>
            </w14:solidFill>
          </w14:textFill>
        </w:rPr>
        <w:t xml:space="preserve">点亮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提示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1 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w:t>
      </w:r>
      <w:r>
        <w:rPr>
          <w:rFonts w:hint="eastAsia" w:eastAsia="宋体"/>
          <w:color w:val="000000" w:themeColor="text1"/>
          <w:sz w:val="28"/>
          <w:szCs w:val="28"/>
          <w:highlight w:val="none"/>
          <w:shd w:val="clear" w:color="auto" w:fill="auto"/>
          <w14:textFill>
            <w14:solidFill>
              <w14:schemeClr w14:val="tx1"/>
            </w14:solidFill>
          </w14:textFill>
        </w:rPr>
        <w:t xml:space="preserve">器具有“自整定’功能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2灭菌器具有低水位停止</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继</w:t>
      </w:r>
      <w:r>
        <w:rPr>
          <w:rFonts w:hint="eastAsia" w:eastAsia="宋体"/>
          <w:color w:val="000000" w:themeColor="text1"/>
          <w:sz w:val="28"/>
          <w:szCs w:val="28"/>
          <w:highlight w:val="none"/>
          <w:shd w:val="clear" w:color="auto" w:fill="auto"/>
          <w14:textFill>
            <w14:solidFill>
              <w14:schemeClr w14:val="tx1"/>
            </w14:solidFill>
          </w14:textFill>
        </w:rPr>
        <w:t xml:space="preserve">续加热功能</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3灭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w:t>
      </w:r>
      <w:r>
        <w:rPr>
          <w:rFonts w:hint="eastAsia" w:eastAsia="宋体"/>
          <w:color w:val="000000" w:themeColor="text1"/>
          <w:sz w:val="28"/>
          <w:szCs w:val="28"/>
          <w:highlight w:val="none"/>
          <w:shd w:val="clear" w:color="auto" w:fill="auto"/>
          <w14:textFill>
            <w14:solidFill>
              <w14:schemeClr w14:val="tx1"/>
            </w14:solidFill>
          </w14:textFill>
        </w:rPr>
        <w:t xml:space="preserve">器在</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低</w:t>
      </w:r>
      <w:r>
        <w:rPr>
          <w:rFonts w:hint="eastAsia" w:eastAsia="宋体"/>
          <w:color w:val="000000" w:themeColor="text1"/>
          <w:sz w:val="28"/>
          <w:szCs w:val="28"/>
          <w:highlight w:val="none"/>
          <w:shd w:val="clear" w:color="auto" w:fill="auto"/>
          <w14:textFill>
            <w14:solidFill>
              <w14:schemeClr w14:val="tx1"/>
            </w14:solidFill>
          </w14:textFill>
        </w:rPr>
        <w:t xml:space="preserve">水位、保</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温</w:t>
      </w:r>
      <w:r>
        <w:rPr>
          <w:rFonts w:hint="eastAsia" w:eastAsia="宋体"/>
          <w:color w:val="000000" w:themeColor="text1"/>
          <w:sz w:val="28"/>
          <w:szCs w:val="28"/>
          <w:highlight w:val="none"/>
          <w:shd w:val="clear" w:color="auto" w:fill="auto"/>
          <w14:textFill>
            <w14:solidFill>
              <w14:schemeClr w14:val="tx1"/>
            </w14:solidFill>
          </w14:textFill>
        </w:rPr>
        <w:t xml:space="preserve">结束终止程序时有蜂</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鸣器</w:t>
      </w:r>
      <w:r>
        <w:rPr>
          <w:rFonts w:hint="eastAsia" w:eastAsia="宋体"/>
          <w:color w:val="000000" w:themeColor="text1"/>
          <w:sz w:val="28"/>
          <w:szCs w:val="28"/>
          <w:highlight w:val="none"/>
          <w:shd w:val="clear" w:color="auto" w:fill="auto"/>
          <w14:textFill>
            <w14:solidFill>
              <w14:schemeClr w14:val="tx1"/>
            </w14:solidFill>
          </w14:textFill>
        </w:rPr>
        <w:t xml:space="preserve">报警提示的功</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能</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4灭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菌器</w:t>
      </w:r>
      <w:r>
        <w:rPr>
          <w:rFonts w:hint="eastAsia" w:eastAsia="宋体"/>
          <w:color w:val="000000" w:themeColor="text1"/>
          <w:sz w:val="28"/>
          <w:szCs w:val="28"/>
          <w:highlight w:val="none"/>
          <w:shd w:val="clear" w:color="auto" w:fill="auto"/>
          <w14:textFill>
            <w14:solidFill>
              <w14:schemeClr w14:val="tx1"/>
            </w14:solidFill>
          </w14:textFill>
        </w:rPr>
        <w:t xml:space="preserve">设有运行控</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制</w:t>
      </w:r>
      <w:r>
        <w:rPr>
          <w:rFonts w:hint="eastAsia" w:eastAsia="宋体"/>
          <w:color w:val="000000" w:themeColor="text1"/>
          <w:sz w:val="28"/>
          <w:szCs w:val="28"/>
          <w:highlight w:val="none"/>
          <w:shd w:val="clear" w:color="auto" w:fill="auto"/>
          <w14:textFill>
            <w14:solidFill>
              <w14:schemeClr w14:val="tx1"/>
            </w14:solidFill>
          </w14:textFill>
        </w:rPr>
        <w:t xml:space="preserve">开关，防止设备通电后加热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管</w:t>
      </w:r>
      <w:r>
        <w:rPr>
          <w:rFonts w:hint="eastAsia" w:eastAsia="宋体"/>
          <w:color w:val="000000" w:themeColor="text1"/>
          <w:sz w:val="28"/>
          <w:szCs w:val="28"/>
          <w:highlight w:val="none"/>
          <w:shd w:val="clear" w:color="auto" w:fill="auto"/>
          <w14:textFill>
            <w14:solidFill>
              <w14:schemeClr w14:val="tx1"/>
            </w14:solidFill>
          </w14:textFill>
        </w:rPr>
        <w:t xml:space="preserve">立即开始工作的</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弊病</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5灭菌</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器</w:t>
      </w:r>
      <w:r>
        <w:rPr>
          <w:rFonts w:hint="eastAsia" w:eastAsia="宋体"/>
          <w:color w:val="000000" w:themeColor="text1"/>
          <w:sz w:val="28"/>
          <w:szCs w:val="28"/>
          <w:highlight w:val="none"/>
          <w:shd w:val="clear" w:color="auto" w:fill="auto"/>
          <w14:textFill>
            <w14:solidFill>
              <w14:schemeClr w14:val="tx1"/>
            </w14:solidFill>
          </w14:textFill>
        </w:rPr>
        <w:t xml:space="preserve">工作过</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程</w:t>
      </w:r>
      <w:r>
        <w:rPr>
          <w:rFonts w:hint="eastAsia" w:eastAsia="宋体"/>
          <w:color w:val="000000" w:themeColor="text1"/>
          <w:sz w:val="28"/>
          <w:szCs w:val="28"/>
          <w:highlight w:val="none"/>
          <w:shd w:val="clear" w:color="auto" w:fill="auto"/>
          <w14:textFill>
            <w14:solidFill>
              <w14:schemeClr w14:val="tx1"/>
            </w14:solidFill>
          </w14:textFill>
        </w:rPr>
        <w:t xml:space="preserve">（升压后）无</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蒸汽排放污染环境</w:t>
      </w:r>
      <w:r>
        <w:rPr>
          <w:rFonts w:hint="eastAsia" w:eastAsia="宋体"/>
          <w:color w:val="000000" w:themeColor="text1"/>
          <w:sz w:val="28"/>
          <w:szCs w:val="28"/>
          <w:highlight w:val="none"/>
          <w:shd w:val="clear" w:color="auto" w:fill="auto"/>
          <w14:textFill>
            <w14:solidFill>
              <w14:schemeClr w14:val="tx1"/>
            </w14:solidFill>
          </w14:textFill>
        </w:rPr>
        <w:t xml:space="preserve">，无</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噪</w:t>
      </w:r>
      <w:r>
        <w:rPr>
          <w:rFonts w:hint="eastAsia" w:eastAsia="宋体"/>
          <w:color w:val="000000" w:themeColor="text1"/>
          <w:sz w:val="28"/>
          <w:szCs w:val="28"/>
          <w:highlight w:val="none"/>
          <w:shd w:val="clear" w:color="auto" w:fill="auto"/>
          <w14:textFill>
            <w14:solidFill>
              <w14:schemeClr w14:val="tx1"/>
            </w14:solidFill>
          </w14:textFill>
        </w:rPr>
        <w:t xml:space="preserve">声产生</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干扰</w:t>
      </w:r>
      <w:r>
        <w:rPr>
          <w:rFonts w:hint="eastAsia" w:eastAsia="宋体"/>
          <w:color w:val="000000" w:themeColor="text1"/>
          <w:sz w:val="28"/>
          <w:szCs w:val="28"/>
          <w:highlight w:val="none"/>
          <w:shd w:val="clear" w:color="auto" w:fill="auto"/>
          <w14:textFill>
            <w14:solidFill>
              <w14:schemeClr w14:val="tx1"/>
            </w14:solidFill>
          </w14:textFill>
        </w:rPr>
        <w:t xml:space="preserve">工作</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6产品采用SUS304优质不锈钢制成</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具有在正常条件下工作足够的安全强度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7 灭</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菌</w:t>
      </w:r>
      <w:r>
        <w:rPr>
          <w:rFonts w:hint="eastAsia" w:eastAsia="宋体"/>
          <w:color w:val="000000" w:themeColor="text1"/>
          <w:sz w:val="28"/>
          <w:szCs w:val="28"/>
          <w:highlight w:val="none"/>
          <w:shd w:val="clear" w:color="auto" w:fill="auto"/>
          <w14:textFill>
            <w14:solidFill>
              <w14:schemeClr w14:val="tx1"/>
            </w14:solidFill>
          </w14:textFill>
        </w:rPr>
        <w:t xml:space="preserve">器的径</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向</w:t>
      </w:r>
      <w:r>
        <w:rPr>
          <w:rFonts w:hint="eastAsia" w:eastAsia="宋体"/>
          <w:color w:val="000000" w:themeColor="text1"/>
          <w:sz w:val="28"/>
          <w:szCs w:val="28"/>
          <w:highlight w:val="none"/>
          <w:shd w:val="clear" w:color="auto" w:fill="auto"/>
          <w14:textFill>
            <w14:solidFill>
              <w14:schemeClr w14:val="tx1"/>
            </w14:solidFill>
          </w14:textFill>
        </w:rPr>
        <w:t xml:space="preserve">自胀浮盖密封结构密封效果</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优异</w:t>
      </w:r>
      <w:r>
        <w:rPr>
          <w:rFonts w:hint="eastAsia" w:eastAsia="宋体"/>
          <w:color w:val="000000" w:themeColor="text1"/>
          <w:sz w:val="28"/>
          <w:szCs w:val="28"/>
          <w:highlight w:val="none"/>
          <w:shd w:val="clear" w:color="auto" w:fill="auto"/>
          <w14:textFill>
            <w14:solidFill>
              <w14:schemeClr w14:val="tx1"/>
            </w14:solidFill>
          </w14:textFill>
        </w:rPr>
        <w:t xml:space="preserve">，密封圈采用硅</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橡胶制</w:t>
      </w:r>
      <w:r>
        <w:rPr>
          <w:rFonts w:hint="eastAsia" w:eastAsia="宋体"/>
          <w:color w:val="000000" w:themeColor="text1"/>
          <w:sz w:val="28"/>
          <w:szCs w:val="28"/>
          <w:highlight w:val="none"/>
          <w:shd w:val="clear" w:color="auto" w:fill="auto"/>
          <w14:textFill>
            <w14:solidFill>
              <w14:schemeClr w14:val="tx1"/>
            </w14:solidFill>
          </w14:textFill>
        </w:rPr>
        <w:t xml:space="preserve">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8 灭菌</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器底</w:t>
      </w:r>
      <w:r>
        <w:rPr>
          <w:rFonts w:hint="eastAsia" w:eastAsia="宋体"/>
          <w:color w:val="000000" w:themeColor="text1"/>
          <w:sz w:val="28"/>
          <w:szCs w:val="28"/>
          <w:highlight w:val="none"/>
          <w:shd w:val="clear" w:color="auto" w:fill="auto"/>
          <w14:textFill>
            <w14:solidFill>
              <w14:schemeClr w14:val="tx1"/>
            </w14:solidFill>
          </w14:textFill>
        </w:rPr>
        <w:t xml:space="preserve">部设有座圈和放水龙头，产品</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放</w:t>
      </w:r>
      <w:r>
        <w:rPr>
          <w:rFonts w:hint="eastAsia" w:eastAsia="宋体"/>
          <w:color w:val="000000" w:themeColor="text1"/>
          <w:sz w:val="28"/>
          <w:szCs w:val="28"/>
          <w:highlight w:val="none"/>
          <w:shd w:val="clear" w:color="auto" w:fill="auto"/>
          <w14:textFill>
            <w14:solidFill>
              <w14:schemeClr w14:val="tx1"/>
            </w14:solidFill>
          </w14:textFill>
        </w:rPr>
        <w:t xml:space="preserve">置时稳定性好，</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排</w:t>
      </w:r>
      <w:r>
        <w:rPr>
          <w:rFonts w:hint="eastAsia" w:eastAsia="宋体"/>
          <w:color w:val="000000" w:themeColor="text1"/>
          <w:sz w:val="28"/>
          <w:szCs w:val="28"/>
          <w:highlight w:val="none"/>
          <w:shd w:val="clear" w:color="auto" w:fill="auto"/>
          <w14:textFill>
            <w14:solidFill>
              <w14:schemeClr w14:val="tx1"/>
            </w14:solidFill>
          </w14:textFill>
        </w:rPr>
        <w:t xml:space="preserve">放浓缩水方便</w:t>
      </w:r>
      <w:r/>
    </w:p>
    <w:p>
      <w:pPr>
        <w:pStyle w:val="864"/>
        <w:jc w:val="both"/>
        <w:spacing w:beforeAutospacing="0" w:afterAutospacing="0" w:line="360" w:lineRule="auto"/>
        <w:rPr>
          <w:rFonts w:hint="default" w:eastAsia="宋体"/>
          <w:color w:val="000000" w:themeColor="text1"/>
          <w:sz w:val="28"/>
          <w:szCs w:val="28"/>
          <w:highlight w:val="none"/>
          <w:shd w:val="clear" w:color="auto" w:fill="auto"/>
          <w:lang w:val="en-US"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9 </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浸</w:t>
      </w:r>
      <w:r>
        <w:rPr>
          <w:rFonts w:hint="eastAsia" w:eastAsia="宋体"/>
          <w:color w:val="000000" w:themeColor="text1"/>
          <w:sz w:val="28"/>
          <w:szCs w:val="28"/>
          <w:highlight w:val="none"/>
          <w:shd w:val="clear" w:color="auto" w:fill="auto"/>
          <w14:textFill>
            <w14:solidFill>
              <w14:schemeClr w14:val="tx1"/>
            </w14:solidFill>
          </w14:textFill>
        </w:rPr>
        <w:t xml:space="preserve">入式电加热管热效率高，不</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锈钢外管坚固耐用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8" w:name="_Toc12422"/>
      <w:r>
        <w:rPr>
          <w:rFonts w:hint="eastAsia" w:eastAsia="宋体"/>
          <w:color w:val="000000" w:themeColor="text1"/>
          <w:sz w:val="28"/>
          <w:szCs w:val="28"/>
          <w:highlight w:val="none"/>
          <w:shd w:val="clear" w:color="auto" w:fill="auto"/>
          <w14:textFill>
            <w14:solidFill>
              <w14:schemeClr w14:val="tx1"/>
            </w14:solidFill>
          </w14:textFill>
        </w:rPr>
        <w:t xml:space="preserve">十四、COD消解瓶、回流管</w:t>
      </w:r>
      <w:bookmarkEnd w:id="198"/>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消解瓶 规格：容量300ml   底部直径54mm；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回流管 规格：长度650mm。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十五、移液枪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1、操作按钮：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操作用力小，颜色标示移液器量程，完美的人性化位置设计，减少拇指用力</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2.体积调节：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仅需要旋转几圈，就可到达所需设定的体积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3.脱卸按钮：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操作用力小，完美的人性化位置设计，减少拇指脱卸吸头用力</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体积显示：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位数字显示，数字放大窗口更易识别体积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 密度调节功能：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简单调节移液器，使得可以准确移取密度不同于水的溶液或在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其他</w:t>
      </w:r>
      <w:r>
        <w:rPr>
          <w:rFonts w:hint="eastAsia" w:eastAsia="宋体"/>
          <w:color w:val="000000" w:themeColor="text1"/>
          <w:sz w:val="28"/>
          <w:szCs w:val="28"/>
          <w:highlight w:val="none"/>
          <w:shd w:val="clear" w:color="auto" w:fill="auto"/>
          <w14:textFill>
            <w14:solidFill>
              <w14:schemeClr w14:val="tx1"/>
            </w14:solidFill>
          </w14:textFill>
        </w:rPr>
        <w:t xml:space="preserve">外部条件下准确移液，无需重新校准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6.快速</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衔接</w:t>
      </w:r>
      <w:r>
        <w:rPr>
          <w:rFonts w:hint="eastAsia" w:eastAsia="宋体"/>
          <w:color w:val="000000" w:themeColor="text1"/>
          <w:sz w:val="28"/>
          <w:szCs w:val="28"/>
          <w:highlight w:val="none"/>
          <w:shd w:val="clear" w:color="auto" w:fill="auto"/>
          <w14:textFill>
            <w14:solidFill>
              <w14:schemeClr w14:val="tx1"/>
            </w14:solidFill>
          </w14:textFill>
        </w:rPr>
        <w:t xml:space="preserve">卡口：</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方便脱卸下半部分，易于清洁或维护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7.弹性吸嘴：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改良的人性化设计，降低装配吸头的用力，提高移液均一性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8.量程：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0.5-10ul 、10-100ul、100-1000ul、1-2ml、0.5-5ml、1-10ml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199" w:name="_Toc25409"/>
      <w:r>
        <w:rPr>
          <w:rFonts w:hint="eastAsia" w:eastAsia="宋体"/>
          <w:color w:val="000000" w:themeColor="text1"/>
          <w:sz w:val="28"/>
          <w:szCs w:val="28"/>
          <w:highlight w:val="none"/>
          <w:shd w:val="clear" w:color="auto" w:fill="auto"/>
          <w14:textFill>
            <w14:solidFill>
              <w14:schemeClr w14:val="tx1"/>
            </w14:solidFill>
          </w14:textFill>
        </w:rPr>
        <w:t xml:space="preserve">十六、鼓风干燥箱</w:t>
      </w:r>
      <w:bookmarkEnd w:id="199"/>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采用先进的激光、数控加工设备生产的产品；供工矿企业、化验室、科研单位等作干燥、烘焙熔蜡、灭菌用。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箱体内均采用镜面不锈钢氩弧焊制作而成，箱体外采用优质钢板，造型美观、新颖。</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采用具有超温偏差保护、数字显示的微电脑P.I.D温度控制器，带有定时功能，控温精确可靠。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热风循环系统由能在高温下连续运转的风机和合适风道组成，提高工作室内温度均匀度。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采用新型的合成硅密封条，能长期高温运行，使用寿命长，便于更换。</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可以从控温面板上调节箱内进风和排气量大小。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电源电压：AC220V 50HZ</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控温范围：RT+10～300℃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恒温波动度：±1.0℃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温度分辨率：0.1℃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温度均匀度：±3%（测试点为100℃）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工作环境温度：+5～40℃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输入功率：1550W</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容积：80L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内胆尺寸（mm）W×D×H：450×400×450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外形尺寸（mm）W×D×H：740×530×630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载物托架（标配）：2块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定时范围：0~9999min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0" w:name="_Toc24215"/>
      <w:r>
        <w:rPr>
          <w:rFonts w:hint="eastAsia" w:eastAsia="宋体"/>
          <w:color w:val="000000" w:themeColor="text1"/>
          <w:sz w:val="28"/>
          <w:szCs w:val="28"/>
          <w:highlight w:val="none"/>
          <w:shd w:val="clear" w:color="auto" w:fill="auto"/>
          <w14:textFill>
            <w14:solidFill>
              <w14:schemeClr w14:val="tx1"/>
            </w14:solidFill>
          </w14:textFill>
        </w:rPr>
        <w:t xml:space="preserve">十七、生化培养箱</w:t>
      </w:r>
      <w:bookmarkEnd w:id="200"/>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采用镜面不锈钢内胆，四角半圆弧设计，易清洁，箱内搁板间距可调。</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国际品牌压缩机，采用环保制冷剂，高效率、低能耗、促进节能。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微电脑PID温度控制器，控温精确可靠，波动少，带定时功能。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★循环风扇速度三档调速控制，避免了试验过程中由于风量过大而导致样品的挥发。</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1" w:name="OLE_LINK3"/>
      <w:r/>
      <w:bookmarkStart w:id="202" w:name="OLE_LINK4"/>
      <w:r>
        <w:rPr>
          <w:rFonts w:hint="eastAsia" w:eastAsia="宋体"/>
          <w:color w:val="000000" w:themeColor="text1"/>
          <w:sz w:val="28"/>
          <w:szCs w:val="28"/>
          <w:highlight w:val="none"/>
          <w:shd w:val="clear" w:color="auto" w:fill="auto"/>
          <w14:textFill>
            <w14:solidFill>
              <w14:schemeClr w14:val="tx1"/>
            </w14:solidFill>
          </w14:textFill>
        </w:rPr>
        <w:t xml:space="preserve">控温范围：0～60℃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温度分辨率：0.1℃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★温度波动度：高温±0.5℃ 低温±1.0℃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温度均匀度：±1.5℃（测试点为25℃）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电源电压：AC220V 50HZ</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工作环境温度：+5～30℃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输入功率：500W</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内胆尺寸(mm)W×D×H：503×370×808</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外形尺寸(mm)W×D×H：600×630×1360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载物托架（标配）：3块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定时范围：0～5999min</w:t>
      </w:r>
      <w:bookmarkEnd w:id="201"/>
      <w:r/>
      <w:bookmarkEnd w:id="20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3" w:name="_Toc15604"/>
      <w:r>
        <w:rPr>
          <w:rFonts w:hint="eastAsia" w:eastAsia="宋体"/>
          <w:color w:val="000000" w:themeColor="text1"/>
          <w:sz w:val="28"/>
          <w:szCs w:val="28"/>
          <w:highlight w:val="none"/>
          <w:shd w:val="clear" w:color="auto" w:fill="auto"/>
          <w14:textFill>
            <w14:solidFill>
              <w14:schemeClr w14:val="tx1"/>
            </w14:solidFill>
          </w14:textFill>
        </w:rPr>
        <w:t xml:space="preserve">十八、菌落计数器</w:t>
      </w:r>
      <w:bookmarkEnd w:id="203"/>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1、产品特点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1.1计数器采用CMOS集成电路设计制造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1.2黑色纵深背景式记数池内，节能环形荧光灯侧射照明，亮度均匀不刺眼，菌落对比清楚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1.3网格状计数盘，便于观察，防漏密封圈，密封性能好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1.4计数笔带笔芯和按压计数功能，方便涂写已计数菌落，轻松写入菌落数量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 防漏密封圈，密封性能好，无后顾之忧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1.6本仪器可减轻实验人员劳动强度，提高工效和工作质量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1.7带有充电功能，待机时间长，续航持久</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1.8带有语音播报功能，计数更清晰直观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2、技术参数</w:t>
      </w:r>
      <w:r/>
    </w:p>
    <w:tbl>
      <w:tblPr>
        <w:tblStyle w:val="858"/>
        <w:tblW w:w="4292" w:type="pct"/>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5" w:type="dxa"/>
          <w:top w:w="15" w:type="dxa"/>
          <w:right w:w="15" w:type="dxa"/>
          <w:bottom w:w="15" w:type="dxa"/>
        </w:tblCellMar>
        <w:tblLook w:val="04A0" w:firstRow="1" w:lastRow="0" w:firstColumn="1" w:lastColumn="0" w:noHBand="0" w:noVBand="1"/>
      </w:tblPr>
      <w:tblGrid>
        <w:gridCol w:w="3991"/>
        <w:gridCol w:w="3173"/>
      </w:tblGrid>
      <w:tr>
        <w:trPr>
          <w:jc w:val="center"/>
          <w:tblCellSpacing w:w="0" w:type="dxa"/>
          <w:trHeight w:val="102"/>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电压频率（V,Hz）</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AC220V/50Hz, DC12V,</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功率（W）</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7W</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显示方式</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数字显示/语音播报</w:t>
            </w:r>
            <w:r/>
          </w:p>
        </w:tc>
      </w:tr>
      <w:tr>
        <w:trPr>
          <w:jc w:val="center"/>
          <w:tblCellSpacing w:w="0" w:type="dxa"/>
          <w:trHeight w:val="433"/>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计数池尺寸（mm）</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φ110</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计数方式</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培养皿底部计数笔点压式计数</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标配计数笔数量</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2支</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计数容量</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0-999</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是否为可磁吸一体放大镜</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放大镜规格（φ/mm）</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φ90</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放大镜放大倍数</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3/6倍</w:t>
            </w:r>
            <w:r/>
          </w:p>
        </w:tc>
      </w:tr>
      <w:tr>
        <w:trPr>
          <w:jc w:val="center"/>
          <w:tblCellSpacing w:w="0" w:type="dxa"/>
          <w:trHeight w:val="90"/>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光源类型</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LED</w:t>
            </w:r>
            <w:r/>
          </w:p>
        </w:tc>
      </w:tr>
      <w:tr>
        <w:trPr>
          <w:jc w:val="center"/>
          <w:tblCellSpacing w:w="0" w:type="dxa"/>
          <w:trHeight w:val="433"/>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是否带语音播报功能</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w:t>
            </w:r>
            <w:r/>
          </w:p>
        </w:tc>
      </w:tr>
      <w:tr>
        <w:trPr>
          <w:jc w:val="center"/>
          <w:tblCellSpacing w:w="0" w:type="dxa"/>
          <w:trHeight w:val="433"/>
        </w:trPr>
        <w:tc>
          <w:tcPr>
            <w:shd w:val="clear" w:color="auto" w:fill="auto"/>
            <w:tcW w:w="278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是否带充电功能</w:t>
            </w:r>
            <w:r/>
          </w:p>
        </w:tc>
        <w:tc>
          <w:tcPr>
            <w:shd w:val="clear" w:color="auto" w:fill="auto"/>
            <w:tcW w:w="2215" w:type="pct"/>
            <w:vAlign w:val="center"/>
            <w:textDirection w:val="lrTb"/>
            <w:noWrap/>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4" w:name="_Toc20466"/>
      <w:r>
        <w:rPr>
          <w:rFonts w:hint="eastAsia" w:eastAsia="宋体"/>
          <w:color w:val="000000" w:themeColor="text1"/>
          <w:sz w:val="28"/>
          <w:szCs w:val="28"/>
          <w:highlight w:val="none"/>
          <w:shd w:val="clear" w:color="auto" w:fill="auto"/>
          <w14:textFill>
            <w14:solidFill>
              <w14:schemeClr w14:val="tx1"/>
            </w14:solidFill>
          </w14:textFill>
        </w:rPr>
        <w:t xml:space="preserve">十九、旋涡振荡器</w:t>
      </w:r>
      <w:bookmarkEnd w:id="204"/>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1、技术参数</w:t>
      </w:r>
      <w:r/>
    </w:p>
    <w:tbl>
      <w:tblPr>
        <w:tblStyle w:val="872"/>
        <w:tblpPr w:horzAnchor="page" w:tblpX="1643" w:vertAnchor="text" w:tblpY="306"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15"/>
        <w:gridCol w:w="3399"/>
      </w:tblGrid>
      <w:tr>
        <w:trPr>
          <w:trHeight w:val="219"/>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运行方式</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圆周</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周转直径[mm]</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允许</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振荡</w:t>
            </w:r>
            <w:r>
              <w:rPr>
                <w:rFonts w:hint="eastAsia" w:eastAsia="宋体"/>
                <w:color w:val="000000" w:themeColor="text1"/>
                <w:sz w:val="28"/>
                <w:szCs w:val="28"/>
                <w:highlight w:val="none"/>
                <w:shd w:val="clear" w:color="auto" w:fill="auto"/>
                <w14:textFill>
                  <w14:solidFill>
                    <w14:schemeClr w14:val="tx1"/>
                  </w14:solidFill>
                </w14:textFill>
              </w:rPr>
              <w:t xml:space="preserve">承重量(含夹具)  [kg]</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0.4</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电机输入功率  [W]</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电机输出功率  [W]</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允许连续运转时间  [%]</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100</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最小转速 (可调节)[</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RPM</w:t>
            </w: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500</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最大转速[</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RPM</w:t>
            </w: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2500</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转速显示</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刻度</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转速控制</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刻度0-6</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运行方式</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连续运转</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点动功能</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是</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允许环境温度  [°C]</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5-40</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允许相对湿度  [%]</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80</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DINEN 60529 保护方式</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IP21</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电压[V]</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220 -240 /115/100</w:t>
            </w:r>
            <w:r/>
          </w:p>
        </w:tc>
      </w:tr>
      <w:tr>
        <w:trPr>
          <w:trHeight w:val="211"/>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频率[Hz]</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50/60</w:t>
            </w:r>
            <w:r/>
          </w:p>
        </w:tc>
      </w:tr>
      <w:tr>
        <w:trPr>
          <w:trHeight w:val="220"/>
        </w:trPr>
        <w:tc>
          <w:tcPr>
            <w:tcW w:w="2956"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仪器输入功率  [W]</w:t>
            </w:r>
            <w:r/>
          </w:p>
        </w:tc>
        <w:tc>
          <w:tcPr>
            <w:tcW w:w="204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60</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5" w:name="_Toc28456"/>
      <w:r>
        <w:rPr>
          <w:rFonts w:hint="eastAsia" w:eastAsia="宋体"/>
          <w:color w:val="000000" w:themeColor="text1"/>
          <w:sz w:val="28"/>
          <w:szCs w:val="28"/>
          <w:highlight w:val="none"/>
          <w:shd w:val="clear" w:color="auto" w:fill="auto"/>
          <w14:textFill>
            <w14:solidFill>
              <w14:schemeClr w14:val="tx1"/>
            </w14:solidFill>
          </w14:textFill>
        </w:rPr>
        <w:t xml:space="preserve">二十、生化需氧量测定仪</w:t>
      </w:r>
      <w:bookmarkEnd w:id="205"/>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1、应用标准：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以标准《HJ505-2009》反应进程，以国际标准《ISO9408-1999》为依据制造，特别适用于水质BOD指标的检测、水处理工艺的选择以及水处理进程的模拟。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功能特点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2.1操作系统采用Android底层所搭建LHOS操作系统，该操作系统为BOD系列仪器升级专用适配，操作方式符合用户日常操作习惯，自动完成测量过程，无需专人看管；</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2.2仪器采用无汞压差法检测原理，操作简单，安全无污染，符合国际标准《ISO9408-1999》。</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2.3量程范围广，0-4000mg/LBOD可直接测量，有特殊针对低BOD浓度0-5mg/L的检测曲线，对于地表水或出水口的低浓度BOD值的样品测量更加准确。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2.4仪器内置0-5mg/L、0-40mg/L、0-80mg/L、0-200mg/L、0-400mg/L、0-800mg/L、0-2000mg/L、0-4000mg/L对应的取样选择，保证检测结果的精准度。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2.5采用ARM8核处理器，工业级品质，兼具低功耗和高能效，软件运行、操作互动稳定流畅；</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2.6底座与培养瓶盖采用最新的无线连接方式，新的无线连接方式采用双向通讯，确保瓶盖和主机都可以设置检测参数并传输到配套的主机和瓶盖上，操作更加</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方便连接</w:t>
      </w:r>
      <w:r>
        <w:rPr>
          <w:rFonts w:hint="eastAsia" w:eastAsia="宋体"/>
          <w:color w:val="000000" w:themeColor="text1"/>
          <w:sz w:val="28"/>
          <w:szCs w:val="28"/>
          <w:highlight w:val="none"/>
          <w:shd w:val="clear" w:color="auto" w:fill="auto"/>
          <w14:textFill>
            <w14:solidFill>
              <w14:schemeClr w14:val="tx1"/>
            </w14:solidFill>
          </w14:textFill>
        </w:rPr>
        <w:t xml:space="preserve">更加稳定。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2.7底座可监控瓶盖状态，底座可以一目了然查看瓶盖电量和实验状态，瓶盖低电量状态下有提醒，确保瓶盖不会因电量过低导致实验终止。</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2.8培养瓶盖采用大容量的CR-P2电池供电，轻松续航1年以上。</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2.9样品BOD浓度值直读，无需换算，可同时检测1-6个样品。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2.10培养瓶盖测定独立灵活，培养瓶盖个体完全可以独立运行，可单独设置样品参数，拥有独立储存空间，并且每个瓶盖可记录100条历史记录。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2.11培养瓶盖独立检测与瓶盖底座双向无线数据通讯的运用，可以保证在仪器检测过程中每天都可以加样检测，符合日常使用规律和检测习惯。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2.12培养瓶盖内置电池，短时间停电对实验结果无影响，通电后瓶盖与主机自动重连数据互传。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2.13培养瓶盖可以独立绘图，瓶盖升级采用1.5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英寸</w:t>
      </w:r>
      <w:r>
        <w:rPr>
          <w:rFonts w:hint="eastAsia" w:eastAsia="宋体"/>
          <w:color w:val="000000" w:themeColor="text1"/>
          <w:sz w:val="28"/>
          <w:szCs w:val="28"/>
          <w:highlight w:val="none"/>
          <w:shd w:val="clear" w:color="auto" w:fill="auto"/>
          <w14:textFill>
            <w14:solidFill>
              <w14:schemeClr w14:val="tx1"/>
            </w14:solidFill>
          </w14:textFill>
        </w:rPr>
        <w:t xml:space="preserve">OLED大屏幕，新增测量数据绘图功能，脱离底座瓶盖仍然可以显示反应曲线，掌握BOD反应趋势。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2.14仪器具有批次测量功能，如需多组数据同时开始，可直接底座批次测量，所有数据批次联动，一键全部开启测量，对于平行样检测特别方便。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2.15仪器具有一体式钢化玻璃外屏，极大增加屏幕强度，提升液晶屏的防护能力，能有效防止屏幕划伤；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★2.16底座自带6单元电磁搅拌功能，保证实验过程中样品均匀分布，让检测结果更加准确。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2.17仪器自带打印机，可自动打印检测数据，可打印当前数据或历史数据。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2.18仪器内置仪器操作、实验步骤及注意事项等提示内容，即使实验中也可查看，辅助指导用户</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更好地了解</w:t>
      </w:r>
      <w:r>
        <w:rPr>
          <w:rFonts w:hint="eastAsia" w:eastAsia="宋体"/>
          <w:color w:val="000000" w:themeColor="text1"/>
          <w:sz w:val="28"/>
          <w:szCs w:val="28"/>
          <w:highlight w:val="none"/>
          <w:shd w:val="clear" w:color="auto" w:fill="auto"/>
          <w14:textFill>
            <w14:solidFill>
              <w14:schemeClr w14:val="tx1"/>
            </w14:solidFill>
          </w14:textFill>
        </w:rPr>
        <w:t xml:space="preserve">仪器和实验；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2.19仪器标配具有WIFI功能，支持物联网应用，可实现用户对仪器进行远程监测及控制，上传数据至云端服务器，支持接入用户数据库进行查询及大数据应用；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技术参数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3.1测定范围：（0~4000）mg/L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3.2显示分辨率：0.1mg/L（BOD&lt;10mg/L）;1mg/L（BOD≥10mg/L）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3.3压力测量准确度：±2.5%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3.4气密性：＜0.1kpa/15min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3.5测量精度：±10%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3.6结果记录频率：1小时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3.7测量周期：1-30天可选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3.8屏幕：底座7吋IPS全视角触控屏；培养瓶盖1.5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英寸</w:t>
      </w:r>
      <w:r>
        <w:rPr>
          <w:rFonts w:hint="eastAsia" w:eastAsia="宋体"/>
          <w:color w:val="000000" w:themeColor="text1"/>
          <w:sz w:val="28"/>
          <w:szCs w:val="28"/>
          <w:highlight w:val="none"/>
          <w:shd w:val="clear" w:color="auto" w:fill="auto"/>
          <w14:textFill>
            <w14:solidFill>
              <w14:schemeClr w14:val="tx1"/>
            </w14:solidFill>
          </w14:textFill>
        </w:rPr>
        <w:t xml:space="preserve">OLED屏幕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3.9测量数据：独立6组检测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3.10培养瓶容量：580mL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3.11存储数据：32G</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3.12打印机：内置行式热敏打印机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3.13通讯接口：无线网络通讯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3.14培养温度：20±1℃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3.15额定功率：30W</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3.16电源配置：100-240V/50-60Hz</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3.17尺寸大小：（306×326×133）mm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3.18环境温度：（5~40）℃</w:t>
      </w:r>
      <w:r/>
    </w:p>
    <w:p>
      <w:pPr>
        <w:pStyle w:val="864"/>
        <w:jc w:val="both"/>
        <w:spacing w:beforeAutospacing="0" w:afterAutospacing="0" w:line="360" w:lineRule="auto"/>
        <w:rPr>
          <w:rFonts w:hint="eastAsia"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3.19环境湿度：≤85%（无冷凝）</w:t>
      </w:r>
      <w:bookmarkStart w:id="206" w:name="_Toc8619"/>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二十一、便携式交直流移动电源</w:t>
      </w:r>
      <w:bookmarkEnd w:id="206"/>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便携式交直流电源采用优质锂电池作为储能主体，具有体积小、容量大、重量轻、功率大、易携带等特性，为您提供简便的移动电源解决方案；广泛应用于户外办公、医疗救护、消防救援、野外休闲、应急通信、环境监测、电力维护、新能源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2、主要特点：</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2.1直流输出（48V20、DC24V/ 10A、DC12V/10A、USB5V/2A）</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2.2两个交流输出口（220V/50HZ或者110V/60HZ）</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2.3大功率、大容量、续航久、携带方便</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2.4智能化全自动动态充放电管理平台，多功能数码管显示，实时电量、电池电压、充放电功率、充放电剩余时间</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2.4具有过充电、过放电保护、电源监视和低电量报警功能</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2.5具有短路、过载、过温、过压、过流、欠压等保护功能，安全可靠</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 SPWM 脉宽调制纯正弦波高精度低纹波稳压输出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2.7纯正弦波交流220V隔离输出，带任何负载没压力</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7" w:name="_Toc20387"/>
      <w:r>
        <w:rPr>
          <w:rFonts w:hint="eastAsia" w:eastAsia="宋体"/>
          <w:color w:val="000000" w:themeColor="text1"/>
          <w:sz w:val="28"/>
          <w:szCs w:val="28"/>
          <w:highlight w:val="none"/>
          <w:shd w:val="clear" w:color="auto" w:fill="auto"/>
          <w14:textFill>
            <w14:solidFill>
              <w14:schemeClr w14:val="tx1"/>
            </w14:solidFill>
          </w14:textFill>
        </w:rPr>
        <w:t xml:space="preserve">二十二、电动气瓶爬楼机</w:t>
      </w:r>
      <w:bookmarkEnd w:id="207"/>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1.保护级别</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IP54防尘防溅型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2.展开尺寸</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高1555mm*宽530mm*厚620mm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3.折叠尺寸</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高1235mm*宽530mm*厚度32mm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4.重量</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主机</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24.5kg</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电池组</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2.7kg</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5.最大载重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170kg</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6.爬楼速度</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：低速挡：</w:t>
      </w:r>
      <w:r>
        <w:rPr>
          <w:rFonts w:hint="eastAsia" w:eastAsia="宋体"/>
          <w:color w:val="000000" w:themeColor="text1"/>
          <w:sz w:val="28"/>
          <w:szCs w:val="28"/>
          <w:highlight w:val="none"/>
          <w:shd w:val="clear" w:color="auto" w:fill="auto"/>
          <w14:textFill>
            <w14:solidFill>
              <w14:schemeClr w14:val="tx1"/>
            </w14:solidFill>
          </w14:textFill>
        </w:rPr>
        <w:t xml:space="preserve">24阶/min</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；高速挡：</w:t>
      </w:r>
      <w:r>
        <w:rPr>
          <w:rFonts w:hint="eastAsia" w:eastAsia="宋体"/>
          <w:color w:val="000000" w:themeColor="text1"/>
          <w:sz w:val="28"/>
          <w:szCs w:val="28"/>
          <w:highlight w:val="none"/>
          <w:shd w:val="clear" w:color="auto" w:fill="auto"/>
          <w14:textFill>
            <w14:solidFill>
              <w14:schemeClr w14:val="tx1"/>
            </w14:solidFill>
          </w14:textFill>
        </w:rPr>
        <w:t xml:space="preserve">34阶/min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7.主板类型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A型主板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8.续航能力一次充电</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约54-122层972-1944级台阶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9.折叠形式</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扶手伸缩</w:t>
      </w:r>
      <w:r/>
    </w:p>
    <w:p>
      <w:pPr>
        <w:pStyle w:val="864"/>
        <w:jc w:val="both"/>
        <w:spacing w:beforeAutospacing="0" w:afterAutospacing="0" w:line="360" w:lineRule="auto"/>
        <w:rPr>
          <w:rFonts w:hint="eastAsia"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10.轮胎尺寸</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12.所需台阶宽度(直行台阶):爬楼机+所载货物+100mm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13.最小平台尺寸(转弯楼梯):取决于使用者的高度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14.电池类型:锂电池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15.电池参数:48V 7.5AH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16.充电电压:220V</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17.电机:直流电机48V400W</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噪声</w:t>
      </w:r>
      <w:r>
        <w:rPr>
          <w:rFonts w:hint="eastAsia" w:eastAsia="宋体"/>
          <w:color w:val="000000" w:themeColor="text1"/>
          <w:sz w:val="28"/>
          <w:szCs w:val="28"/>
          <w:highlight w:val="none"/>
          <w:shd w:val="clear" w:color="auto" w:fill="auto"/>
          <w14:textFill>
            <w14:solidFill>
              <w14:schemeClr w14:val="tx1"/>
            </w14:solidFill>
          </w14:textFill>
        </w:rPr>
        <w:t xml:space="preserve">大小:&lt;70dB</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19.设备存储/操作温度范围:-5℃至35℃/0℃至40℃(无结冰)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8" w:name="_Toc21348"/>
      <w:r>
        <w:rPr>
          <w:rFonts w:hint="eastAsia" w:eastAsia="宋体"/>
          <w:color w:val="000000" w:themeColor="text1"/>
          <w:sz w:val="28"/>
          <w:szCs w:val="28"/>
          <w:highlight w:val="none"/>
          <w:shd w:val="clear" w:color="auto" w:fill="auto"/>
          <w14:textFill>
            <w14:solidFill>
              <w14:schemeClr w14:val="tx1"/>
            </w14:solidFill>
          </w14:textFill>
        </w:rPr>
        <w:t xml:space="preserve">二十三、便携式非甲烷总烃测试仪多功能烟枪</w:t>
      </w:r>
      <w:bookmarkEnd w:id="208"/>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描述：专用温湿流检测系统是用于测量烟气湿度、流速、工况参数的检测系统，具有温度、压力补偿修正功能，要求测量精度高，耐腐蚀，使用温度范围宽，可应用于锅炉、炉窑以及各种工业排气管道的烟气湿度、烟气流速、烟气流量、标干流量、动压、静压及烟温等参数的测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一、技术指标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1、烟枪总长度：≥0.8米。</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2、过滤器：枪杆前端应具有尘过滤功能，过滤孔径≤5微米。</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3、枪杆保护套材质：不锈钢材质，具备防锈防腐蚀功能。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4、测定项目：可实现对大气压、烟气温度、湿度、静压、动压、流速、流量等计算排放量所需必要参数的测定。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5、操作模式：至少包含显示屏和按键操作模式，能够实时显示湿度、气温、静压、流速、流量、大气压等参数。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6、DC24低压供电</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7、智能连接与显示：内置蓝牙模块，可与智能终端无线连接；工况参数实时动态显示，并可在软件中自动计算标况。</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8、大容量数据存储，可存储10000组数据文件；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9、宽温度高亮OLED显示屏显示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09" w:name="_Toc17555"/>
      <w:r>
        <w:rPr>
          <w:rFonts w:hint="eastAsia" w:eastAsia="宋体"/>
          <w:color w:val="000000" w:themeColor="text1"/>
          <w:sz w:val="28"/>
          <w:szCs w:val="28"/>
          <w:highlight w:val="none"/>
          <w:shd w:val="clear" w:color="auto" w:fill="auto"/>
          <w14:textFill>
            <w14:solidFill>
              <w14:schemeClr w14:val="tx1"/>
            </w14:solidFill>
          </w14:textFill>
        </w:rPr>
        <w:t xml:space="preserve">二十四、紫外可见分光光度计</w:t>
      </w:r>
      <w:bookmarkEnd w:id="209"/>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1、性能指标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1．1波长范围</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190nm~1100nm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1.2波长显示 0.1nm单位 波长设定 0.1nm单位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1.3波长重复性</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≤0.2nm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1.4最小光谱带宽</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2.0nm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1.5杂散光</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≤0.05%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1.6光度范围</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-0.3 Abs~3 Abs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1.7透射比示值误差</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±0.002(0Abs~0.5Abs)±0.004(0.5Abs~1Abs)±0.3 %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1.8透射比重复性</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≤0.001(0Abs~0.5Abs)  ≤0.002(0.5Abs~1Abs)   ≤0.15 %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1.9基线平直度(吸光度)</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±0.002(200nm~1090nm)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1.10噪声</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≤0.15 %(500nm、250nm，P~P</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开机预热半小时后</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1.11基线漂移</w:t>
      </w:r>
      <w:r>
        <w:rPr>
          <w:rFonts w:hint="eastAsia" w:eastAsia="宋体"/>
          <w:color w:val="000000" w:themeColor="text1"/>
          <w:sz w:val="28"/>
          <w:szCs w:val="28"/>
          <w:highlight w:val="none"/>
          <w:shd w:val="clear" w:color="auto" w:fill="auto"/>
          <w14:textFill>
            <w14:solidFill>
              <w14:schemeClr w14:val="tx1"/>
            </w14:solidFill>
          </w14:textFill>
        </w:rPr>
        <w:tab/>
      </w:r>
      <w:r>
        <w:rPr>
          <w:rFonts w:hint="eastAsia" w:eastAsia="宋体"/>
          <w:color w:val="000000" w:themeColor="text1"/>
          <w:sz w:val="28"/>
          <w:szCs w:val="28"/>
          <w:highlight w:val="none"/>
          <w:shd w:val="clear" w:color="auto" w:fill="auto"/>
          <w14:textFill>
            <w14:solidFill>
              <w14:schemeClr w14:val="tx1"/>
            </w14:solidFill>
          </w14:textFill>
        </w:rPr>
        <w:t xml:space="preserve">&lt;0.35%/h（500nm）开机预热2小时后</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2、功能特点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2.1可设置用户登</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录</w:t>
      </w:r>
      <w:r>
        <w:rPr>
          <w:rFonts w:hint="eastAsia" w:eastAsia="宋体"/>
          <w:color w:val="000000" w:themeColor="text1"/>
          <w:sz w:val="28"/>
          <w:szCs w:val="28"/>
          <w:highlight w:val="none"/>
          <w:shd w:val="clear" w:color="auto" w:fill="auto"/>
          <w14:textFill>
            <w14:solidFill>
              <w14:schemeClr w14:val="tx1"/>
            </w14:solidFill>
          </w14:textFill>
        </w:rPr>
        <w:t xml:space="preserve">权限，可记录操作日志，方便进行审计追踪</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2.2全密封结构、光学镜面具备 SiO2 保护膜，保护光学元器件不受气体和环境的影响。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2.3电机直驱光栅，取代传统丝杆传动机构，不需要再对传动机构做常规维护。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2.4波长移动速度可达 7000nm/min，波长扫描速度可达 2500nm/min，提高用户</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工作效率</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2.5使用7寸彩色触控屏幕，显示效果清晰生动，操控和输入更加便捷。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2.6支持 U 盘导出数据，数据管理和处理方便快捷，增加数据存储空间，提高使用灵活性。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2.7内置比色皿存放架，具有灯寿命</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自动检测系统</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2.8可升级与计算机连接，使用工作站软件实现用户管理、GLP规范、数据分析处理更多功能。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2.9自带定量、光谱扫描件功能。支持在线升级，可后续进行蛋白质测量、农残测量等应用功能新增。</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2.10开放式的样品室设计，可进行各种附件应用和实验。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2.11支持微型打印机，方便用户的使用。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2.12为了保证培训质量，制造商具有NTC培训、考核双资质，质量管理体系认证、环境管理体系认证和职业健康安全管理体系认证（提供证书并盖制造厂商公章）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3、仪器配置：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3.1紫外可见主机一套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3.2五联可变池架一套（可同时放置5个10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50mm不同规格比色皿）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3.310mm石英比色皿2只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0" w:name="_Toc19300"/>
      <w:r>
        <w:rPr>
          <w:rFonts w:hint="eastAsia" w:eastAsia="宋体"/>
          <w:color w:val="000000" w:themeColor="text1"/>
          <w:sz w:val="28"/>
          <w:szCs w:val="28"/>
          <w:highlight w:val="none"/>
          <w:shd w:val="clear" w:color="auto" w:fill="auto"/>
          <w14:textFill>
            <w14:solidFill>
              <w14:schemeClr w14:val="tx1"/>
            </w14:solidFill>
          </w14:textFill>
        </w:rPr>
        <w:t xml:space="preserve">二十五、动态稀释仪</w:t>
      </w:r>
      <w:bookmarkEnd w:id="210"/>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1、仪器特点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1.1软件交互界面人性化设计，操作简便；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1.2采用质量流量计（MFC）控制，可控制进样体积；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1.3仪器气路采用钝化不锈钢管、聚四氟乙烯管，可减少样品残留对稀释精度的影响；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1.4仪器运行稳定，各种元器件的选型皆考虑稳定性以及其使用寿命，降低了仪器故障率，延长使用寿命，节省了时间和人工成本。</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2、仪器主要技术参数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2.1稀释入口：1路标准；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2.2源气入口：1路标准；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2.3浓度点出口：6路标准；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2.4稀释比例：1至1:100；稀释倍数：约500倍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2.5配气精度：±1%；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2.6软件功能：可进行单点配置和多点配置稀释，操作简单，参数化设置，清晰明了；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2.7采样管路：具有流量控制系统，准确度高；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2.8温度：5-40℃；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2.9电源：220V 50HZ；</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1" w:name="_Toc30916"/>
      <w:r>
        <w:rPr>
          <w:rFonts w:hint="eastAsia" w:eastAsia="宋体"/>
          <w:color w:val="000000" w:themeColor="text1"/>
          <w:sz w:val="28"/>
          <w:szCs w:val="28"/>
          <w:highlight w:val="none"/>
          <w:shd w:val="clear" w:color="auto" w:fill="auto"/>
          <w14:textFill>
            <w14:solidFill>
              <w14:schemeClr w14:val="tx1"/>
            </w14:solidFill>
          </w14:textFill>
        </w:rPr>
        <w:t xml:space="preserve">二十六、智能微波消解仪</w:t>
      </w:r>
      <w:bookmarkEnd w:id="211"/>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1、适用范围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用于UV-Vis、AAS、AFS、ICP、ICP-MS等仪器的快速样品消解处理，广泛应用于食品、药品、环境、化工、农产品、化妆品等样品的分析检测。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2、技术指标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 主机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2.1.1 采用非脉冲自动变频控制技术，微波最大输出功率≥1000W，仪器可自动调节微波输出，确保样品消解彻底。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2.1.2 炉腔为316L材质不锈钢谐振腔，炉腔体积≥36L，喷涂多层特氟龙涂层，耐各种酸碱溶剂腐蚀及高温，炉腔5年质保承诺。（需提供炉腔实物尺寸证明）</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2.1.3 弹出式缓冲安全防爆炉门，采用双重锁定自检系统，具有一体化抗流槽结构，提供高强度的防爆能力的同时防止腔内微波</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泄漏</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2.1.4 炉腔应配备大功率排风系统，风量可根据实验进程自动调整，各种反应可在通风、安全且易于观察的环境下长时间连续进行。</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（需提供风量可调软件截图证明）</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▲2.1.5 主机内置灯光识别系统，可通过灯光变化反馈实验进程。（需提供实物图片证明）</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2.1.6 可选配高灵敏度溶剂监控系统，能够实时监测腔内溶剂泄漏情况，有效消除合成萃取实验过程的安全隐患。</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2.2 温度检测系统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2.2.1 采用非接触式中红外全罐测温技术，直接测量每个消解罐内样品溶液的温度，可对全部消解罐底部而非侧面进行温度扫描，测温范围不小于60-400℃，检测精度±0.1℃；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2.2.2 可同时选配光纤测温系统，低温段测温准确，避免其他插入式测温方式易产生火花等危险，测温范围不小于-40℃～305℃，检测精度：±0.1℃。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（需提供“同时使用两种测温方式”的仪器实物图及软件截图证明）</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 压力监控系统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2.3.1 主控罐测压：采用高精度压力传感器，可实时显示压力数值，传感器测压范围不小于0-15MPa，检测精度±0.01MPa或1PSI。</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2.3.2 全罐压力监控：实时监控每个消解罐内压力，超压自动泄压，限压值可调。</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 配备COT实时异常监控系统，能够在任意消解罐出现异常时，自动报警并切断微波从而确保仪器安全运行。（需提供软件截图）</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 消解转子系统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2.5.1 可同时处理≥10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份样</w:t>
      </w:r>
      <w:r>
        <w:rPr>
          <w:rFonts w:hint="eastAsia" w:eastAsia="宋体"/>
          <w:color w:val="000000" w:themeColor="text1"/>
          <w:sz w:val="28"/>
          <w:szCs w:val="28"/>
          <w:highlight w:val="none"/>
          <w:shd w:val="clear" w:color="auto" w:fill="auto"/>
          <w14:textFill>
            <w14:solidFill>
              <w14:schemeClr w14:val="tx1"/>
            </w14:solidFill>
          </w14:textFill>
        </w:rPr>
        <w:t xml:space="preserve">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2.5.2 单向旋转通讯系统：温压连接器和消解罐随转盘同方向同步360°旋转，无需往复旋转，旋转过程中无停顿，保证消解均匀性，并且有效降低电机负荷、提高仪器可靠性。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▲2.5.3 外罐：应采用宇航复合纤维材质，而非PEEK或者陶瓷材料，耐压≥20Mpa。外罐应整体喷涂特氟龙涂层，耐腐蚀、支持水洗易于清洁。（需提供带有</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国家认可检测机构出具</w:t>
      </w:r>
      <w:r>
        <w:rPr>
          <w:rFonts w:hint="eastAsia" w:eastAsia="宋体"/>
          <w:color w:val="000000" w:themeColor="text1"/>
          <w:sz w:val="28"/>
          <w:szCs w:val="28"/>
          <w:highlight w:val="none"/>
          <w:shd w:val="clear" w:color="auto" w:fill="auto"/>
          <w14:textFill>
            <w14:solidFill>
              <w14:schemeClr w14:val="tx1"/>
            </w14:solidFill>
          </w14:textFill>
        </w:rPr>
        <w:t xml:space="preserve">的外罐耐压检测报告）</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2.5.4 内罐：容积≥100mL，带有识别编码无需手写；内罐、盖子应采用TFM材质，不得含有任何金属材质的零部件、可泡酸清洗，以保证实验的准确性和重复性。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 软件操作系统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2.6.1 操作系统内置专业应用方法库，仪器自动识别并计数消解罐数量，免去</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烦琐</w:t>
      </w:r>
      <w:r>
        <w:rPr>
          <w:rFonts w:hint="eastAsia" w:eastAsia="宋体"/>
          <w:color w:val="000000" w:themeColor="text1"/>
          <w:sz w:val="28"/>
          <w:szCs w:val="28"/>
          <w:highlight w:val="none"/>
          <w:shd w:val="clear" w:color="auto" w:fill="auto"/>
          <w14:textFill>
            <w14:solidFill>
              <w14:schemeClr w14:val="tx1"/>
            </w14:solidFill>
          </w14:textFill>
        </w:rPr>
        <w:t xml:space="preserve">的手工输入，使消解实验更加方便快捷。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2.6.2 配备7寸彩色触摸屏，实时显示温度、压力、时间等工作状态，可以随时切换至温压曲线界面，精确控温的同时可设置压力控制梯度。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2.6.3 可选择标准控制、功率控制、爬坡控制等不同升温模式，仪器内置温度、压力及微波功率校准程序，用户可自行对仪器做定期维护校准，确保仪器安全状况。</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（需提供以上功能的软件截图）</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2.6.4 操作系统应符合21CFR Part11要求，可实现用户权限分级管理、密码登录、日志追溯等功能。（需提供以上功能的软件截图）</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3、配置要求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 微波消解仪主机（含软件操作系统和排风系统）1台；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 非接触式中红外全罐测温系统1套；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 高精度压力监控系统1套；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 全罐压力监控系统1套；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 COT实时异常监控系统1套；</w:t>
      </w:r>
      <w:r/>
    </w:p>
    <w:p>
      <w:pPr>
        <w:pStyle w:val="864"/>
        <w:jc w:val="both"/>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 ≥10位消解转盘1套；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3.7 超高压消解罐（含外罐、内罐、罐盖、罐架等）10套；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3.8 辅助工具及专用工具包1套；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 智能控温12位赶酸仪1套。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4、售后服务及培训</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 仪器制造商在省内有专门的技术应用支持工程师，保修期后保证长期供应零备件和正常的售后服务，需在用户指定地点提供上门安装调试并对用户指定的操作人员进行培训。安装验收期间，免费对用户进行仪器操作和日常维护的现场培训，内容包括但不限于仪器原理、使用方法和维护方法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 质保期：质量保证期一年，终身维修；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4.3 故障服务：仪器设备出现故障时，供货方得到通知1日内派维修人员到达用户现场进行维修服务。</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5、技术资料</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仪器应达到欧盟指令规定的安全要求，操作软件权属清晰，应提供官方认可的微波化学工作站软件产品证书和软件著作权登记证书复印件。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5.2 供货时提供：仪器说明书。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2" w:name="_Toc30814"/>
      <w:r>
        <w:rPr>
          <w:rFonts w:hint="eastAsia" w:eastAsia="宋体"/>
          <w:color w:val="000000" w:themeColor="text1"/>
          <w:sz w:val="28"/>
          <w:szCs w:val="28"/>
          <w:highlight w:val="none"/>
          <w:shd w:val="clear" w:color="auto" w:fill="auto"/>
          <w14:textFill>
            <w14:solidFill>
              <w14:schemeClr w14:val="tx1"/>
            </w14:solidFill>
          </w14:textFill>
        </w:rPr>
        <w:t xml:space="preserve">二十七、紫外烟气分析仪</w:t>
      </w:r>
      <w:bookmarkEnd w:id="21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主要用于固定污染源排气中SO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、NO、NO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等成分浓度的现场分析，广泛应用于环境监测以及热工参数测量等部门，特别适合低温、高湿、低浓度排放的各种锅炉、烟道、工业炉窑等固定污染源中烟气成分的现场分析。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GB/T 37186-2018 气体分析 二氧化硫和氮氧化物的测定 紫外差分吸收光谱分析法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HJ/T 397-2007固定源废气监测技术规范</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 1045-2019 固定污染源烟气（二氧化硫和氮氧化物）便携式紫外吸收法测量仪器技术要求及检测方法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 1131-2020 固定污染源废气 二氧化硫的测定 便携式紫外吸收法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 1132-2020 固定污染源废气 氮氧化物的测定 便携式紫外吸收法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3、主要特点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3.1采用一体式结构设计，集采样、预处理与分析于一体，省去现场气路管线连接；取样管可插拔，便于携带。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3.2采用差分吸收光谱技术（DOAS）同时测量烟气中SO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、NO、NO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等浓度，不受水分和粉尘影响，CO对SO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无交叉干扰；直接检测NO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，无需NO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/NO转换器；采用热湿法测量，无水汽冷凝造成的SO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溶解损失。</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核心部件进行了温度控制，最大限度避免外界环境变化导致的检测信号漂移，仪器性能更加稳定；内置温度、压强补偿算法，稳定、准确地输出标准状态下的气体浓度；主机实时测量烟气湿度，并进行干湿基烟气浓度转换。</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3.4采用模式识别等化学计量学方法，消除气体间交叉干扰影响，实现一次测量同时获得多种目标分析物浓度。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3.5选用高性能脉冲氙灯作为光源，与氘灯相比，具有光谱范围宽、发光效率高、无需预热时间、寿命长等优点。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3.6检出限低于1mg/m3。</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3.7SO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分析双量程设计，根据浓度值自动切换量程控制。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3.8烟气气路均采用高效粉尘过滤器，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极大地降低了</w:t>
      </w:r>
      <w:r>
        <w:rPr>
          <w:rFonts w:hint="eastAsia" w:eastAsia="宋体"/>
          <w:color w:val="000000" w:themeColor="text1"/>
          <w:sz w:val="28"/>
          <w:szCs w:val="28"/>
          <w:highlight w:val="none"/>
          <w:shd w:val="clear" w:color="auto" w:fill="auto"/>
          <w14:textFill>
            <w14:solidFill>
              <w14:schemeClr w14:val="tx1"/>
            </w14:solidFill>
          </w14:textFill>
        </w:rPr>
        <w:t xml:space="preserve">流量传感器和采样泵系统的故障率。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3.9手操器遥控操作并实时显示测量结果，不受测量机位限制，支持50m远距离操控。8</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IN</w:t>
      </w:r>
      <w:r>
        <w:rPr>
          <w:rFonts w:hint="eastAsia" w:eastAsia="宋体"/>
          <w:color w:val="000000" w:themeColor="text1"/>
          <w:sz w:val="28"/>
          <w:szCs w:val="28"/>
          <w:highlight w:val="none"/>
          <w:shd w:val="clear" w:color="auto" w:fill="auto"/>
          <w14:textFill>
            <w14:solidFill>
              <w14:schemeClr w14:val="tx1"/>
            </w14:solidFill>
          </w14:textFill>
        </w:rPr>
        <w:t xml:space="preserve">显示器，操作使用更便捷；主机配有OLED屏和薄膜按键，满足现场使用要求。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3.10分析仪具有连续测量模式，用户可根据需求设置采样时间和次数，每次测量完成后自动保存。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3.11分析仪具备烟道工况参数（例如采样点名称，地点、烟道截面积、烟道温度、流速等）配置数据库，可存储以前测量的工况信息，再次测量时可直接调取，大大减少现场的设置输入时间。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3.12专门设计的数据库软件，可将测量数据直接传送到微机内进行存储、查询、打印等处理。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3.13分析仪具备仪器故障与系统气密性自检功能，可对</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通信故障</w:t>
      </w:r>
      <w:r>
        <w:rPr>
          <w:rFonts w:hint="eastAsia" w:eastAsia="宋体"/>
          <w:color w:val="000000" w:themeColor="text1"/>
          <w:sz w:val="28"/>
          <w:szCs w:val="28"/>
          <w:highlight w:val="none"/>
          <w:shd w:val="clear" w:color="auto" w:fill="auto"/>
          <w14:textFill>
            <w14:solidFill>
              <w14:schemeClr w14:val="tx1"/>
            </w14:solidFill>
          </w14:textFill>
        </w:rPr>
        <w:t xml:space="preserve">及常见的器件和功能进行检测，以方便用户的维护和使用。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4.1参数范围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SO2：低量程：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0～150) μmol/mol；高量程：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0～1500)μmol/mol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NO</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1000) μmol/mol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NO2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500) μmol/mol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O2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0～4000) μmol/mol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0～20)%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4.2分辨率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SO2、NO、NO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、CO</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：＞1000mg/m3，分辨率1mg/m3；≤1000mg/m3，分辨率0.1mg/m3</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：0.01%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4.3准确度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SO2、NO、NO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14:textFill>
            <w14:solidFill>
              <w14:schemeClr w14:val="tx1"/>
            </w14:solidFill>
          </w14:textFill>
        </w:rPr>
        <w:t xml:space="preserve">：不超过±2.5%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、CO</w:t>
      </w:r>
      <w:r>
        <w:rPr>
          <w:rStyle w:val="871"/>
          <w:rFonts w:hint="default"/>
          <w:sz w:val="28"/>
          <w:szCs w:val="28"/>
          <w:highlight w:val="none"/>
          <w:shd w:val="clear" w:color="auto" w:fill="auto"/>
          <w:lang w:bidi="ar"/>
        </w:rPr>
        <w:t xml:space="preserve">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：不超过±3％</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4.4烟气采样流量：0.5 L/min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4.5外</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形</w:t>
      </w:r>
      <w:r>
        <w:rPr>
          <w:rFonts w:hint="eastAsia" w:eastAsia="宋体"/>
          <w:color w:val="000000" w:themeColor="text1"/>
          <w:sz w:val="28"/>
          <w:szCs w:val="28"/>
          <w:highlight w:val="none"/>
          <w:shd w:val="clear" w:color="auto" w:fill="auto"/>
          <w14:textFill>
            <w14:solidFill>
              <w14:schemeClr w14:val="tx1"/>
            </w14:solidFill>
          </w14:textFill>
        </w:rPr>
        <w:t xml:space="preserve">尺寸（长×宽×厚）：292mm×180mm×86mm，可插拔取样管长度1m（可定制）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4.6工作电源：AC(220±22 )V, 50Hz或DC24V,12A</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4.7主机重量：5.0kg</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4.8功耗：288W</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3" w:name="_Toc15055"/>
      <w:r>
        <w:rPr>
          <w:rFonts w:hint="eastAsia" w:eastAsia="宋体"/>
          <w:color w:val="000000" w:themeColor="text1"/>
          <w:sz w:val="28"/>
          <w:szCs w:val="28"/>
          <w:highlight w:val="none"/>
          <w:shd w:val="clear" w:color="auto" w:fill="auto"/>
          <w14:textFill>
            <w14:solidFill>
              <w14:schemeClr w14:val="tx1"/>
            </w14:solidFill>
          </w14:textFill>
        </w:rPr>
        <w:t xml:space="preserve">二十八、水质采样器</w:t>
      </w:r>
      <w:bookmarkEnd w:id="213"/>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1、采水瓶体</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有机玻璃材质。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2、配重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配重铅块，镀锌配重环，喷塑配重环。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3、规格容量</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 25L;5L;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4、采样深度</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0-30m;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5、温度计</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测温误差±0.5C;</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6、有机玻璃采水器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由桶体、带轴的两个半圆上盖和活动底板等组成，上下盖可轻松翻转，实现开合</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4" w:name="_Toc26225"/>
      <w:r>
        <w:rPr>
          <w:rFonts w:hint="eastAsia" w:eastAsia="宋体"/>
          <w:color w:val="000000" w:themeColor="text1"/>
          <w:sz w:val="28"/>
          <w:szCs w:val="28"/>
          <w:highlight w:val="none"/>
          <w:shd w:val="clear" w:color="auto" w:fill="auto"/>
          <w14:textFill>
            <w14:solidFill>
              <w14:schemeClr w14:val="tx1"/>
            </w14:solidFill>
          </w14:textFill>
        </w:rPr>
        <w:t xml:space="preserve">二十九、便携式抽滤仪</w:t>
      </w:r>
      <w:bookmarkEnd w:id="214"/>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1.用途：主要用于水质采样的野外过滤；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2.产品特点：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★2.1自带电池，电池位置采用防潮设计，适合野外工作要求；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2.2续航能力：使用高容量锂电池，可持续开机20小时以上；</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2.3电量显示：液晶显示电量百分比；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2.4便携性：要求产品小巧，便于携带</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2.5要求产品一体化整机设计，设备内置气泵、电池、抽滤装置等，无需在野外组装气泵及抽滤装置；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 滤头直径：100mm;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 选用进口真空泵，耐酸碱腐蚀，真空度高，使用寿命长；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 集液瓶可做样品瓶，体积不小于600ml，集液瓶材质为非玻璃的高分子HDPE材料。</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2．9 抽滤头方便拆卸，清洗。抽滤头可</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直</w:t>
      </w:r>
      <w:r>
        <w:rPr>
          <w:rFonts w:hint="eastAsia" w:eastAsia="宋体"/>
          <w:color w:val="000000" w:themeColor="text1"/>
          <w:sz w:val="28"/>
          <w:szCs w:val="28"/>
          <w:highlight w:val="none"/>
          <w:shd w:val="clear" w:color="auto" w:fill="auto"/>
          <w14:textFill>
            <w14:solidFill>
              <w14:schemeClr w14:val="tx1"/>
            </w14:solidFill>
          </w14:textFill>
        </w:rPr>
        <w:t xml:space="preserve">接插拔，不需使用工具或拧镙铨固定。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3．配置：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3.1便携式抽滤器主机 含便携箱 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3.2滤膜：孔径0.45um</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直径 100mm;    1盒；</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3.3充电器                          1个；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 高分子HDPE材料集液瓶（含盖子）  2个；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5" w:name="_Toc9881"/>
      <w:r>
        <w:rPr>
          <w:rFonts w:hint="eastAsia" w:eastAsia="宋体"/>
          <w:color w:val="000000" w:themeColor="text1"/>
          <w:sz w:val="28"/>
          <w:szCs w:val="28"/>
          <w:highlight w:val="none"/>
          <w:shd w:val="clear" w:color="auto" w:fill="auto"/>
          <w14:textFill>
            <w14:solidFill>
              <w14:schemeClr w14:val="tx1"/>
            </w14:solidFill>
          </w14:textFill>
        </w:rPr>
        <w:t xml:space="preserve">三十、水样保存箱</w:t>
      </w:r>
      <w:bookmarkEnd w:id="215"/>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1、用于水质样品冷藏保存和运输。</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2、特点说明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2.1外观设计美观、重量轻、耐磨、耐腐蚀、食品级树脂，产品严格按照食品卫生要求标准制造。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2.2内外表面材料为塑料，中间保温层采用一体发泡成形</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箱盖发泡硅胶条密封，保温性好。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2.3层叠结构设计，箱底在箱盖上受定位，方便运输与堆码，底部可安预朝埋件方便自行车、摩托车载运。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2.4箱体内有两层样品位，底部为隔板样品位，可以根据瓶子大小自行调节，上层为泡沫开孔样品位，适配500毫升样品瓶。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2.5装500毫升样品数不少于27个。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2.6体积不小于65L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2.7可选配带温度计。</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6" w:name="_Toc2346"/>
      <w:r>
        <w:rPr>
          <w:rFonts w:hint="eastAsia" w:eastAsia="宋体"/>
          <w:color w:val="000000" w:themeColor="text1"/>
          <w:sz w:val="28"/>
          <w:szCs w:val="28"/>
          <w:highlight w:val="none"/>
          <w:shd w:val="clear" w:color="auto" w:fill="auto"/>
          <w14:textFill>
            <w14:solidFill>
              <w14:schemeClr w14:val="tx1"/>
            </w14:solidFill>
          </w14:textFill>
        </w:rPr>
        <w:t xml:space="preserve">三十一、便携式流速测量仪</w:t>
      </w:r>
      <w:bookmarkEnd w:id="216"/>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流速量程：0-30m/s 液位手动输入</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测量精度：±1%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瞬时流量量程：0~999999999m3/h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累计流量量程：0~999999999m3</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流速分辨率：0.001m/s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瞬时流量分辨率：0.1m3/h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供电电压：锂电池充电 DC11.6V</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输出：RS485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20mA</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、继电器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、HART 协议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、NB.GPRS.LORA通讯</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选配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工作电流：工作模式，工作电流≤120mA@12V；低功耗（休眠）模式，工作电流≤1mA@12V；</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有效距离：30 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测量方向：双向自动计量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俯仰角：30°~70°自动角度矫正：30°~70°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工作频率：24.000~24.250GHz可调</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天线样式：24°×12°工作温度：-40~60°℃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防护等级：IP65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主机</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/IP67</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传感器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7" w:name="_Toc29645"/>
      <w:r>
        <w:rPr>
          <w:rFonts w:hint="eastAsia" w:eastAsia="宋体"/>
          <w:color w:val="000000" w:themeColor="text1"/>
          <w:sz w:val="28"/>
          <w:szCs w:val="28"/>
          <w:highlight w:val="none"/>
          <w:shd w:val="clear" w:color="auto" w:fill="auto"/>
          <w14:textFill>
            <w14:solidFill>
              <w14:schemeClr w14:val="tx1"/>
            </w14:solidFill>
          </w14:textFill>
        </w:rPr>
        <w:t xml:space="preserve">三十二、全球定位系统</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GPS)</w:t>
      </w:r>
      <w:bookmarkEnd w:id="217"/>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GPS定位精度单点：2</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5m ；SBAS：1</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报警方式</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振动报警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地图功能</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电池类型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AA电池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电池使用时间</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8小时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防水功能</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IP67</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分辨率</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240×320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界面文字</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中文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类型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手持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面积计算功能</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内存</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4G</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天线类型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内置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坐标双显功能</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8" w:name="_Toc19085"/>
      <w:r>
        <w:rPr>
          <w:rFonts w:hint="eastAsia" w:eastAsia="宋体"/>
          <w:color w:val="000000" w:themeColor="text1"/>
          <w:sz w:val="28"/>
          <w:szCs w:val="28"/>
          <w:highlight w:val="none"/>
          <w:shd w:val="clear" w:color="auto" w:fill="auto"/>
          <w14:textFill>
            <w14:solidFill>
              <w14:schemeClr w14:val="tx1"/>
            </w14:solidFill>
          </w14:textFill>
        </w:rPr>
        <w:t xml:space="preserve">三十三、摄像机</w:t>
      </w:r>
      <w:bookmarkEnd w:id="218"/>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机身内存：64GB</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像素：601万以上</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存储方式：闪存/硬盘双存储式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类型：轻巧便携，高端专业，婚庆摄像机，直播摄像机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清晰度：4K</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变焦倍数：15-30倍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功能：触屏操作，Wi-Fi，高音质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19" w:name="_Toc22852"/>
      <w:r>
        <w:rPr>
          <w:rFonts w:hint="eastAsia" w:eastAsia="宋体"/>
          <w:color w:val="000000" w:themeColor="text1"/>
          <w:sz w:val="28"/>
          <w:szCs w:val="28"/>
          <w:highlight w:val="none"/>
          <w:shd w:val="clear" w:color="auto" w:fill="auto"/>
          <w14:textFill>
            <w14:solidFill>
              <w14:schemeClr w14:val="tx1"/>
            </w14:solidFill>
          </w14:textFill>
        </w:rPr>
        <w:t xml:space="preserve">三十四、便携式多参数水质测试仪</w:t>
      </w:r>
      <w:bookmarkEnd w:id="219"/>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1、性能指标：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1.1具有pH/pX测量功能，电导率测量功能，溶解氧测量功能，温度测量功能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1.2支持pH，mV，ORP，pX，离子浓度，电导率，电阻率，TDS，盐度，溶解氧浓度，溶解氧饱和度，温度等参数的测量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1.3大尺寸液晶触摸屏，显示清晰，美观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1.4智能操作系统，具有方法管理，电极管理，数据管理和用户管理等功能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1.5支持多种测量模式，包括连续测量模式，平衡测量模式，定时测量模式，支持连续定时或者间隔定时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1.6支持测量方法的查阅，选择，编辑，新建等功能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1.7支持电极标定，可进行测量限值设置和标定提醒设置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0" w:name="OLE_LINK220"/>
      <w:r>
        <w:rPr>
          <w:rFonts w:hint="eastAsia" w:eastAsia="宋体"/>
          <w:color w:val="000000" w:themeColor="text1"/>
          <w:sz w:val="28"/>
          <w:szCs w:val="28"/>
          <w:highlight w:val="none"/>
          <w:shd w:val="clear" w:color="auto" w:fill="auto"/>
          <w14:textFill>
            <w14:solidFill>
              <w14:schemeClr w14:val="tx1"/>
            </w14:solidFill>
          </w14:textFill>
        </w:rPr>
        <w:t xml:space="preserve">1.8支持数据存储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各1000套</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、查阅、删除、统计、分析、传输</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1.9支持多种查阅方式，查阅结果以曲线方式显示</w:t>
      </w:r>
      <w:bookmarkEnd w:id="220"/>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1.10具有USB接口，配合专用的通信软件，实现与PC的连接</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支持连接LIMS系统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1.11内置蓝牙，支持无线传输</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1.12支持 U 盘读写；支持扫描枪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1.13支持GLP规范。支持用户权限管理，支持密码管理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1.14支持中英文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1" w:name="_Toc12143"/>
      <w:r>
        <w:rPr>
          <w:rFonts w:hint="eastAsia" w:eastAsia="宋体"/>
          <w:color w:val="000000" w:themeColor="text1"/>
          <w:sz w:val="28"/>
          <w:szCs w:val="28"/>
          <w:highlight w:val="none"/>
          <w:shd w:val="clear" w:color="auto" w:fill="auto"/>
          <w14:textFill>
            <w14:solidFill>
              <w14:schemeClr w14:val="tx1"/>
            </w14:solidFill>
          </w14:textFill>
        </w:rPr>
        <w:t xml:space="preserve">三十五、水质试纸</w:t>
      </w:r>
      <w:bookmarkEnd w:id="221"/>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性能：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主要用于水质参数的现场定性，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14合一，时效快，稳定可靠。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2" w:name="_Toc13419"/>
      <w:r>
        <w:rPr>
          <w:rFonts w:hint="eastAsia" w:eastAsia="宋体"/>
          <w:color w:val="000000" w:themeColor="text1"/>
          <w:sz w:val="28"/>
          <w:szCs w:val="28"/>
          <w:highlight w:val="none"/>
          <w:shd w:val="clear" w:color="auto" w:fill="auto"/>
          <w14:textFill>
            <w14:solidFill>
              <w14:schemeClr w14:val="tx1"/>
            </w14:solidFill>
          </w14:textFill>
        </w:rPr>
        <w:t xml:space="preserve">三十六、水质试剂盒</w:t>
      </w:r>
      <w:bookmarkEnd w:id="22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1、用途：主要用于水质参数的现场定性和半定量检测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2、性能指标：</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46"/>
        <w:gridCol w:w="2126"/>
        <w:gridCol w:w="2787"/>
      </w:tblGrid>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名称</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规格</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数量</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氨氮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NH3-N)</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化学需氧量</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COD)</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0-250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总氮</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总磷</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磷酸盐 PO·低浓度</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0.05-2</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磷酸盐 PO+高浓度</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0.66-33</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锌</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Zn)</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0-5</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镍</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Ni)</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0.3-10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总铬</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TCr</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0.5-20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硫化物</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S)</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0.1-5</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总氮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TN)</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0-100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苯酚</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余氯高浓度</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5-1000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辛</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0.2-10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铜</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0.5-10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六价铬</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0.05-2</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24"/>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氰化物</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0.02-2</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r>
        <w:trPr>
          <w:trHeight w:val="535"/>
        </w:trPr>
        <w:tc>
          <w:tcPr>
            <w:tcW w:w="344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氯化物</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300)</w:t>
            </w:r>
            <w:r/>
          </w:p>
        </w:tc>
        <w:tc>
          <w:tcPr>
            <w:tcW w:w="2126"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200-300</w:t>
            </w:r>
            <w:r/>
          </w:p>
        </w:tc>
        <w:tc>
          <w:tcPr>
            <w:tcW w:w="2787" w:type="dxa"/>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3" w:name="_Toc9134"/>
      <w:r>
        <w:rPr>
          <w:rFonts w:hint="eastAsia" w:eastAsia="宋体"/>
          <w:color w:val="000000" w:themeColor="text1"/>
          <w:sz w:val="28"/>
          <w:szCs w:val="28"/>
          <w:highlight w:val="none"/>
          <w:shd w:val="clear" w:color="auto" w:fill="auto"/>
          <w14:textFill>
            <w14:solidFill>
              <w14:schemeClr w14:val="tx1"/>
            </w14:solidFill>
          </w14:textFill>
        </w:rPr>
        <w:t xml:space="preserve">三十七、水质多参数分光光度仪</w:t>
      </w:r>
      <w:bookmarkEnd w:id="223"/>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所有检测项目依据国家行业标准：COD-《HJ/T399-2007》、氨氮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《HJ535-2009》、总磷</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《GB11893-89》。</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一、功能特点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1.1操作系统采用Android底层所搭建LHOS操作系统，操作方式符合用户日常操作习惯；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1.2采用ARM8核处理器，工业级品质，兼具低功耗和高能效，软件运行、操作互动稳定流畅；</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1.3仪器内置7吋IPS全视角触控屏，分辨率1024*600，全中文操作界面，简洁美观；全触屏操作，搭配表盘式家族设计，简单直观；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1.4仪器采用表盘式的参数检测和详细数据双界面数据呈现，双界面采用滑屏的方式切换。</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1.5仪器具有一体式钢化玻璃外屏，极大增加屏幕强度，提升在户外使用时液晶屏的防护能力，能有效防止屏幕划伤；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1.6仪器内置420nm、510nm、535nm、545nm、560nm、610nm、669nm、700nm共8个波长的LED光源，可见光区域全覆盖，无需预热，开机即用，维护成本低，光源寿命可达10万小时；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1.7可检测40＋测定指标，90+测量模式，所有指标浓度直读。可直接测定化学需氧量（COD）、氨氮、总磷、总氮、悬浮物、色度、浊度、重金属、有机污染物和无机污染物等多项指标，并支持多种比色方式；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1.8拥有高锰酸盐指数检测方法；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1.9仪器拥有常用模式功能，支持检测模式添加至常用项目，便于查找及使用，也支持常用项目内检测模式的删除；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仪器支持20项自定义项目，自定义项目可自行设定检测项目名称、检测波长（8选1）、比色方式（管与皿）以及曲线方式，选择管比色方式时支持旋转管比色，曲线方式可选择输入曲线值或自行建立标准曲线两种方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1.11整机采用野外便携式设计，仪器内置锂电池，标配专业配件箱，实现野外无电源条件下测量；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1.12仪器主机与配件全便携箱设计，方便携带；便携箱全部选用高强度ABS材质，结实耐用；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1.13仪器供电方便，电源转换内置，只需220V交流接入即可充电，无需切换充电器；仪器内置24V/19.2Ah超大容量电池，可以保障无外接电源情况下工作8小时；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1.14仪器内置曲线600条，其中480条标准曲线可直接使用，可对标准曲线进行校正，同时仪器内置120条回归曲线，回归曲线可以自行一次拟合，用户可根据需要调用相应的曲线使用；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1.15仪器可快速校准，用户可根据需求选择单个浓度溶液进行校准，输入浓度即可校准，简单快捷；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1.16具有三组快速插拔式光路组件，支持多种比色方式，包括16mm/25mm比色管比色和10mm/30mm比色皿比色；</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1.17支持360°旋转管比色，并且支持25mm、16mm两种管径旋转管比色；</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1.18具有校准记录功能，用户校准曲线后，仪器记录校准信息自动保存，用户后期可以随时查看校准记录信息，所有校准记录中的曲线可以随时调取使用；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1.19用户可以自行设定校准计划，到达设定日期后，仪器提示需要校准，确保仪器准确；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1.20仪器内置参数修改权限，只有权限用户才能修改部分重要参数，便于管理、保障数据安全；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1.21支持水样命名，支持中文、英文、数字名称及其组合的名称输入，便于用户后期查看及管理历史数据；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1.22支持输入操作员名称，便于用户对历史测量数据进行溯源；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可快速输入稀释倍数，稀释倍数自动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代入</w:t>
      </w:r>
      <w:r>
        <w:rPr>
          <w:rFonts w:hint="eastAsia" w:eastAsia="宋体"/>
          <w:color w:val="000000" w:themeColor="text1"/>
          <w:sz w:val="28"/>
          <w:szCs w:val="28"/>
          <w:highlight w:val="none"/>
          <w:shd w:val="clear" w:color="auto" w:fill="auto"/>
          <w14:textFill>
            <w14:solidFill>
              <w14:schemeClr w14:val="tx1"/>
            </w14:solidFill>
          </w14:textFill>
        </w:rPr>
        <w:t xml:space="preserve">实验结果的计算；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1.23具有自动保存切换功能，用户可以设定手动保存和自动保存模式，选择自动保存模式，用户每次测试结果都将自动保存检测的数据；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1.24用户可根据当地相关指标处理要求设定检测限值，超限后仪器报警提示；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1.25具有超量程提示功能，通过测值区数值及表盘色彩变化直观显示测定结果是否超出量程，是否需要稀释检测；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1.26可对保存数据进行数据分析，用户可根据需求对同一位置不同时间点水样进行周期趋势分析，也可对同一时间不同位置进行处理效果曲线分析，最多可同时支持7组数据同时分析；可通过U盘将数据导出，USB接口直插U盘，导出数据Excel表方便统计；</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1.27仪器具有光学校准功能，实现光源能量自动补偿；海量数据存储能力，海量存储5000万条，接入物联网平台后可实现无上限数据存储；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1.28系统具备实时保护功能，支持硬件模块自检，仪器运行状态直观显示，如有软件运行出现异常，现异常保存记录并进行系统自动恢复解决运行故障问题；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1.29支持后期升级（OTA、U盘）采用了开放性的安卓系统平台，仪器能够持续接收软件更新以提升性能、增加新功能或适应新的水质监测标准；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1.30支持4G定制功能，仪器标配具有WIFI功能，支持物联网应用，可实现用户对仪器进行远程监测及控制，上传数据至云端服务器，支持接入用户数据库进行查询及大数据应用；支持卫星定位定制，可以定制支持北斗、GPS、GLONASS、Galileo全球四大卫星定位服务；</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1.31仪器内置双温区消解模块，6+6双独立消解单元，先进的隔热处理可以保证一个温区165℃，另一个温区60℃消解时，温度互不干扰，不同温度放心消解；仪器每个温区内置15个消解程序，包括10个预存模式，5个自定义模式，双温区共30个消解程序，可以满足客户多种消解需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1.32仪器具有智能电能调节功能，可保证8分钟快速从室温升温</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至</w:t>
      </w:r>
      <w:r>
        <w:rPr>
          <w:rFonts w:hint="eastAsia" w:eastAsia="宋体"/>
          <w:color w:val="000000" w:themeColor="text1"/>
          <w:sz w:val="28"/>
          <w:szCs w:val="28"/>
          <w:highlight w:val="none"/>
          <w:shd w:val="clear" w:color="auto" w:fill="auto"/>
          <w14:textFill>
            <w14:solidFill>
              <w14:schemeClr w14:val="tx1"/>
            </w14:solidFill>
          </w14:textFill>
        </w:rPr>
        <w:t xml:space="preserve">165℃；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二、技术参数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分辨率：0.001Abs、参数切换：自动、控温范围：室温-190℃、温度示值误差：＜±2℃、温场均匀性：≤2℃、定时范围：1</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600分钟、定时精度：0.2秒/小时、加热液体深度：50mL、消解容量：（0-7）mL、显示屏：7吋1024×600触屏、存储数据：5000万条、电池容量：24V/19.2Ah、充电方式：AC220V、打印机：热敏行式打印机、主机重量：≤12Kg、实验箱重量：≤7Kg、环境温度：（5~40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环境湿度：≤85%（无冷凝）、额定电压：24V、功耗：180W</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三、测定项目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3.1COD：分析方法：快速消解分光光度法、依据标准：《HJ 399-2007》</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量程范围：COD高量程：预制试剂：（20~15000）mg/L</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分段</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 ；普通试剂：（20~10000）mg/L</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分段</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；COD低量程：预制试剂：（2~150）mg/L；普通试剂：（2~100）mg/L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检测限：COD高量程 3mg/L；COD低量程0.5mg/L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3.2氨氮1：分析方法：纳氏试剂分光光度法、依据标准：《HJ 535-2009》；量程范围：（0~160）mg/L</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分段</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、检测限：0.01mg/L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3.3氨氮2：分析方法：水杨酸分光光度法、依据标准：《HJ 536-2009》、量程范围：高量程：（0.02~50）mg/L；低量程：（0~2.5）mg/L、检测限：0.001mg/L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3.4总磷：分析方法：钼酸铵分光光度法、依据标准：《GB11893-89》、量程范围：（0~12）mg/L </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分段</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、检测限：0.002mg/L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3.5总磷高量程：分析方法：钒钼黄分光光度法、依据标准：《GB/T21931.3-2008》、量程范围：（2~100）mg/L、检测限：0.5mg/L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3.6总氮：分析方法：变色酸分光光度法、量程范围：（1~150）mg/L</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分段</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、检测限：0.5mg/L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3.7浊度：分析方法：福尔马肼分光光度法、量程范围：（0~400）NTU、检测限：0.5NTU</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3.8色度：分析方法：铂钴色系、量程范围：（0~500）Hazen、检测限：2Hazen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3.9氰化物：分析方法：异烟酸-巴比妥酸分光光度法、量程范围：（0.004~0.5）mg/L、检测限：0.001mg/L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3.10总铬/六价铬：分析方法：二苯碳酰二肼分光光度法、量程范围：（0~5）mg/L、检测限：0.001mg/L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3.11高锰酸盐指数：分析方法：高锰酸钾氧化分光光度法、量程范围：（0.3~4.5）mg/L、检测限：0.002mg/L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3.12余氯和总氯：分析方法：N，N-二乙基-1.4苯二胺分光光度法、量程范围：（0.1~1.5）mg/L、检测限：0.004mg/L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3.13二氧化氯：分析方法：DPD分光光度法、量程范围：（0.1~1.5）mg/L、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检测限：0.004mg/L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4" w:name="_Toc23854"/>
      <w:r>
        <w:rPr>
          <w:rFonts w:hint="eastAsia" w:eastAsia="宋体"/>
          <w:color w:val="000000" w:themeColor="text1"/>
          <w:sz w:val="28"/>
          <w:szCs w:val="28"/>
          <w:highlight w:val="none"/>
          <w:shd w:val="clear" w:color="auto" w:fill="auto"/>
          <w14:textFill>
            <w14:solidFill>
              <w14:schemeClr w14:val="tx1"/>
            </w14:solidFill>
          </w14:textFill>
        </w:rPr>
        <w:t xml:space="preserve">三十八、便携式测油仪</w:t>
      </w:r>
      <w:bookmarkEnd w:id="224"/>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一、适用范围：可用于应急测定工业废水、生活污水中石油类和动植物油类，饮食用油烟的测定。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二、技术参数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1、符合标准方法“HJ637-2018水质石油类和动植物油的测定 红外分光光度法”。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2、可独立使用：仪器包含前处理单元、测试单元，各单元须为分体式，即可相互联机工作，亦可分别独立使用，内置触控终端，也可外接电脑工作。（需提供产品介绍及仪器照片等证明材料）</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3、自动化程度：工作时从水样的定容、萃取、分离、吸附到进样、分析、检测、清洗、排废等全流程实现自动化</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4、萃取方式：采用旋转搅拌萃取技术，萃取效率更高。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5、硅酸镁吸附柱：每个样品更换一次新硅酸镁吸附柱，避免样品间交叉污染。（需提供产品介绍及仪器照片等证明材料）</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6、油水分离：油水分离膜代替无水硫酸钠去除微量水</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分</w:t>
      </w:r>
      <w:r>
        <w:rPr>
          <w:rFonts w:hint="eastAsia" w:eastAsia="宋体"/>
          <w:color w:val="000000" w:themeColor="text1"/>
          <w:sz w:val="28"/>
          <w:szCs w:val="28"/>
          <w:highlight w:val="none"/>
          <w:shd w:val="clear" w:color="auto" w:fill="auto"/>
          <w14:textFill>
            <w14:solidFill>
              <w14:schemeClr w14:val="tx1"/>
            </w14:solidFill>
          </w14:textFill>
        </w:rPr>
        <w:t xml:space="preserve">，膜直径大于35mm，杜绝堵漏出现。（需提供产品介绍及仪器照片等证明材料）</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7、检测体积：可自动检测水样体积，测量误差≤3ml（单个标准量水样）。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8、稳定性高：光学系统设计稳定性好、抗震性能高，可以在监测车行驶状态下工作。</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9、标定方式：可支持标准曲线校正、单点校正，确保检测精度。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10、实时打印检测结果：仪器安装有嵌入式打印机，测量数据可实时打印查看。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11、专用配件耗材箱：贴心设计的防水防震塑料箱设有专用收纳位，可容纳萃取剂、防护用品，检测所需容器及试剂耗材合理安放，检测时开盖与主机连接即可使用。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12、三防设计：设备内部采用防水、防震、防尘设计，以确保设备能在各种条件下能正常</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稳定地进行</w:t>
      </w:r>
      <w:r>
        <w:rPr>
          <w:rFonts w:hint="eastAsia" w:eastAsia="宋体"/>
          <w:color w:val="000000" w:themeColor="text1"/>
          <w:sz w:val="28"/>
          <w:szCs w:val="28"/>
          <w:highlight w:val="none"/>
          <w:shd w:val="clear" w:color="auto" w:fill="auto"/>
          <w14:textFill>
            <w14:solidFill>
              <w14:schemeClr w14:val="tx1"/>
            </w14:solidFill>
          </w14:textFill>
        </w:rPr>
        <w:t xml:space="preserve">使用。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13、样品瓶：集采样、萃取、测量一体，样品不转移。</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14、供电方式：内置锂电池可持续工作8h；可连接汽车电源、便携电源、市电电源，测量时间不受限制。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15、自动提醒：样品测量并清洗完成，软件提示用户当前操作已完成，让操作更方便。</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16、无线上传功能：室外完成数据测量后，可以连接无线网络，进行数据的上传备份。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三、技术参数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1、仪器检出限：DL≤0.02mg/L</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测量11次空白计算3倍标准偏差</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2、定性方式：红外</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光谱</w:t>
      </w:r>
      <w:r>
        <w:rPr>
          <w:rFonts w:hint="eastAsia" w:eastAsia="宋体"/>
          <w:color w:val="000000" w:themeColor="text1"/>
          <w:sz w:val="28"/>
          <w:szCs w:val="28"/>
          <w:highlight w:val="none"/>
          <w:shd w:val="clear" w:color="auto" w:fill="auto"/>
          <w14:textFill>
            <w14:solidFill>
              <w14:schemeClr w14:val="tx1"/>
            </w14:solidFill>
          </w14:textFill>
        </w:rPr>
        <w:t xml:space="preserve">图扫描。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3、校准系数：在同一套校正系数下验收20mg/L苯、20mg/L异辛烷、100mg正十六烷误差范围不超过8%。</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4、重复性：RSD≤0.6%(20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100mg/L油标样测定11次</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5、准确度：误差≤±1%。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6、测量时间：≤10min（单个样品）。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7、体积量取：仪器自动测量水样体积，误差＜2%。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8、体积读取：仪器自动读取（超声波测量方式）或人工输入。</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9、控制机构：自带嵌入式触屏电脑，也可外接电脑。</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10、内置锂电池：24V/20AH，前处理部分可连续工作36h，主机部分可连续测量12h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5" w:name="_Toc21763"/>
      <w:r>
        <w:rPr>
          <w:rFonts w:hint="eastAsia" w:eastAsia="宋体"/>
          <w:color w:val="000000" w:themeColor="text1"/>
          <w:sz w:val="28"/>
          <w:szCs w:val="28"/>
          <w:highlight w:val="none"/>
          <w:shd w:val="clear" w:color="auto" w:fill="auto"/>
          <w14:textFill>
            <w14:solidFill>
              <w14:schemeClr w14:val="tx1"/>
            </w14:solidFill>
          </w14:textFill>
        </w:rPr>
        <w:t xml:space="preserve">三十九、便携式气相分子吸收光谱仪</w:t>
      </w:r>
      <w:bookmarkEnd w:id="225"/>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1、用途描述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用于测定各种水质样品中的氨氮、总氮、硫化物、硝酸盐氮、亚硝酸盐氮项目的检测。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符合中华人民共和国环境保护行业标准HJ195-2023、HJ/T197-2005、HJ/T198-2005、HJ199-2023、HJ200-2023等项目标准。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3、便携性要求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ascii="Segoe UI Symbol" w:hAnsi="Segoe UI Symbol" w:eastAsia="宋体" w:cs="Segoe UI Symbol"/>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 便携要求：在一个主机内集成仪器正常工作需要全部功能，主机包含进样及反应控制系统、气液分离系统、氨氮在线氧化系统、总氮在线消解系统、光源光学及检测系统，配备电脑输出控制系统。主机配有带轮便携箱，便于携带、野外使用（提供主机带轮便携箱实物图片，作为验收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 供电要求：配备移动电源及220V交流接口，适用于野外及实验室多种应用场景。使用移动电源可以满足所有项目检测时间≥4h。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 气源要求：主机内置气源可独立完成检测所需，同时支持使用外供载气；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4、工作站（软件）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4.1软件开机测定前可自动对通讯口、波长、泵转速等进行检测；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4.2软件具备数据图谱显示功能，可对同一样品的平行峰形进行对比，以便于用户对数据进行比较分析。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6" w:name="_Hlk488212216"/>
      <w:r>
        <w:rPr>
          <w:rFonts w:hint="eastAsia" w:eastAsia="宋体"/>
          <w:color w:val="000000" w:themeColor="text1"/>
          <w:sz w:val="28"/>
          <w:szCs w:val="28"/>
          <w:highlight w:val="none"/>
          <w:shd w:val="clear" w:color="auto" w:fill="auto"/>
          <w14:textFill>
            <w14:solidFill>
              <w14:schemeClr w14:val="tx1"/>
            </w14:solidFill>
          </w14:textFill>
        </w:rPr>
        <w:t xml:space="preserve">4.3软件具备紧急添加样品功能，可在样品测量过程中随时添加样品</w:t>
      </w:r>
      <w:bookmarkEnd w:id="226"/>
      <w:r>
        <w:rPr>
          <w:rFonts w:hint="eastAsia" w:eastAsia="宋体"/>
          <w:color w:val="000000" w:themeColor="text1"/>
          <w:sz w:val="28"/>
          <w:szCs w:val="28"/>
          <w:highlight w:val="none"/>
          <w:shd w:val="clear" w:color="auto" w:fill="auto"/>
          <w14:textFill>
            <w14:solidFill>
              <w14:schemeClr w14:val="tx1"/>
            </w14:solidFill>
          </w14:textFill>
        </w:rPr>
        <w:t xml:space="preserve">并优先检测。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5、自动进样系统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进样器要求：配有带轮便携箱的便携一体式自动进样器，满足野外转移过程中的抗震要求，样品位不少于55位，充分满足不同检测场景需求（提供不少于55位带轮便携箱的便携一体式自动进样器实物照片并加盖制造商公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▲5.2配备一体化同步吹扫均质系统，软件上可设置在清洗过程、进样前及进样过程中进行吹扫，避免取样过程中样品中的絮凝物或颗粒物不断沉淀，造成取样不准。（提供相关证明文件并加盖制造商公章）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5.3程序控制流动洗针池：可根据进样针污染情况软件设置洗针纯水流量；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▲5.4主机泵管系统不少于七个蠕动泵，蠕动泵布置在仪器的外部一侧，方便后续泵管的维护和更换。（提供实物图片并加盖制造商公章）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6、光学系统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6.1光电系统：满足HJ/T 195</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HJ/T 200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2005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六项气相分子吸收光谱法标准对光学系统测定稳定性要求；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▲6.2检测器：配备灵敏度高、分析精度高的PMT检测器（提供实物图片并加盖制造商公章）；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6.3配备自动波长调控系统，开机后可自动对波长进行校准，保障数据检测的准确性；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6.4光源需采用连续光源，固定灯位，光路稳定。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6.5配备光源温度调节系统和光源寿命监测系统，当光源进入低能量状态时能够及时通知用户更换光源。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7、气液分离系统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7.1 配备半导体恒温除湿系统，除湿系统温度实时显示，分析全过程中完全不使用任何干燥剂；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7.2气液分离器采用螺旋管分离方式，避免分离过程中的死角，</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能够均匀地</w:t>
      </w:r>
      <w:r>
        <w:rPr>
          <w:rFonts w:hint="eastAsia" w:eastAsia="宋体"/>
          <w:color w:val="000000" w:themeColor="text1"/>
          <w:sz w:val="28"/>
          <w:szCs w:val="28"/>
          <w:highlight w:val="none"/>
          <w:shd w:val="clear" w:color="auto" w:fill="auto"/>
          <w14:textFill>
            <w14:solidFill>
              <w14:schemeClr w14:val="tx1"/>
            </w14:solidFill>
          </w14:textFill>
        </w:rPr>
        <w:t xml:space="preserve">将反应液混匀并将产生的待测气体带出反应分离器；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▲7.3 配备气源监测报警系统：具备压力、流量双重监控功能，软件界面实时显示载气流量值，当载气流量异常自动蜂鸣报警并自动关闭进样及加热系统，同时锁定软件并自动保存已测定数据。（提供实物及软件照片并加盖制造商公章）。</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8、基线稳定性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8.1 基线漂移：±0.0002Abs（预热2h，连续测试1h）；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8.2 噪声：0.0002Abs，具备测量全程基线实时显示功能。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9、分析项目的技术指标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9.1氨氮项目：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9.1.1精密度要求（连续测定6次）：0.1mg/L，RSD&lt; 5％；0.2mg/L，RSD&lt; 3％；0.5mg/L，RSD&lt; 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9.1.2线性要求：根据设定自动配置标准曲线浓度，相关性系数r≥0.9995；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9.1.3检出限要求：检出限&lt;0.01mg/L；</w:t>
      </w:r>
      <w:r/>
    </w:p>
    <w:p>
      <w:pPr>
        <w:pStyle w:val="864"/>
        <w:jc w:val="both"/>
        <w:spacing w:beforeAutospacing="0" w:afterAutospacing="0" w:line="360" w:lineRule="auto"/>
        <w:rPr>
          <w:rFonts w:hint="eastAsia"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★9.1.4 为了应对野外复杂样品各种干扰因素，仪器必须具备一定的抗干扰能力：向1mg/L氨氮标准溶液中，加入150mg/L的亚铁离子时，检测结果偏差≤3%</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需</w:t>
      </w:r>
      <w:r>
        <w:rPr>
          <w:rFonts w:hint="eastAsia" w:eastAsia="宋体"/>
          <w:color w:val="000000" w:themeColor="text1"/>
          <w:sz w:val="28"/>
          <w:szCs w:val="28"/>
          <w:highlight w:val="none"/>
          <w:shd w:val="clear" w:color="auto" w:fill="auto"/>
          <w14:textFill>
            <w14:solidFill>
              <w14:schemeClr w14:val="tx1"/>
            </w14:solidFill>
          </w14:textFill>
        </w:rPr>
        <w:t xml:space="preserve">提供</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相关证明材料</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9.2亚硝酸盐氮：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9.2.1精密度要求（连续测定6次）：0.1mg/L，RSD&lt; 5％；0.2mg/L，RSD&lt; 3％；0.5mg/L，RSD&lt; 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9.2.2线性要求：根据设定自动配置标准曲线浓度，相关性系数r≥0.9995；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9.2.3检出限要求：检出限&lt;0.003mg/L；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9.3硫化物项目：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9.3.1精密度要求（连续测定6次）：0.1mg/L，RSD&lt; 5％；0.2mg/L，RSD&lt; 3％；0.5mg/L，RSD&lt; 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9.3.2线性要求：根据设定自动配置标准曲线浓度，相关性系数r≥0.9995；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9.3.3检出限要求：检出限&lt;0.005mg/L；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9.4 硝酸盐氮项目：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9.4.1精密度要求（连续测定6次）：0.2mg/L，RSD&lt; 5％；0.5mg/L，RSD&lt; 3％；1.0mg/L，RSD&lt; 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9.4.2线性要求：根据设定自动配置标准曲线浓度，相关性系数r≥0.9995；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9.4.3检出限要求：检出限&lt;0.006mg/L；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9.5总氮项目：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9.5.1 消解器集成于主机内部，主机功能完整性高；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9.5.2消解器功率小于100w；</w:t>
      </w:r>
      <w:r/>
    </w:p>
    <w:p>
      <w:pPr>
        <w:pStyle w:val="864"/>
        <w:jc w:val="both"/>
        <w:spacing w:beforeAutospacing="0" w:afterAutospacing="0" w:line="360" w:lineRule="auto"/>
        <w:rPr>
          <w:rFonts w:hint="eastAsia" w:eastAsia="宋体"/>
          <w:color w:val="000000" w:themeColor="text1"/>
          <w:sz w:val="28"/>
          <w:szCs w:val="28"/>
          <w:highlight w:val="none"/>
          <w:shd w:val="clear" w:color="auto" w:fill="auto"/>
          <w14:textFill>
            <w14:solidFill>
              <w14:schemeClr w14:val="tx1"/>
            </w14:solidFill>
          </w14:textFill>
        </w:rPr>
      </w:pPr>
      <w:r/>
      <w:bookmarkStart w:id="227" w:name="_Hlk488212283"/>
      <w:r>
        <w:rPr>
          <w:rFonts w:hint="eastAsia" w:eastAsia="宋体"/>
          <w:color w:val="000000" w:themeColor="text1"/>
          <w:sz w:val="28"/>
          <w:szCs w:val="28"/>
          <w:highlight w:val="none"/>
          <w:shd w:val="clear" w:color="auto" w:fill="auto"/>
          <w14:textFill>
            <w14:solidFill>
              <w14:schemeClr w14:val="tx1"/>
            </w14:solidFill>
          </w14:textFill>
        </w:rPr>
        <w:t xml:space="preserve">★9.5.3为了野外应急检测的效率，仪器需要能够连续分析不少于40个样品，中间无需停止样品检测清洗管路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需提供相关证明材料</w:t>
      </w:r>
      <w:r>
        <w:rPr>
          <w:rFonts w:hint="eastAsia" w:eastAsia="宋体"/>
          <w:color w:val="000000" w:themeColor="text1"/>
          <w:sz w:val="28"/>
          <w:szCs w:val="28"/>
          <w:highlight w:val="none"/>
          <w:shd w:val="clear" w:color="auto" w:fill="auto"/>
          <w14:textFill>
            <w14:solidFill>
              <w14:schemeClr w14:val="tx1"/>
            </w14:solidFill>
          </w14:textFill>
        </w:rPr>
        <w:t xml:space="preserve">）；</w:t>
      </w:r>
      <w:bookmarkEnd w:id="227"/>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9.5.4单个样品测量含消解时间小于5min；</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9.5.5精密度要求（连续测定6次）：0.2mg/L，RSD&lt; 5％；0.5mg/L，RSD&lt; 3％；1.0mg/L，RSD&lt; 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9.5.6线性要求：根据设定自动配置标准曲线浓度，相关性系数r≥0.9995；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9.5.7检出限要求：检出限&lt;0.05mg/L；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▲9.5.8管路切换采用免维护电磁阀，减少日常维护难度（提供实物照片并加盖制造商公章）；</w:t>
      </w:r>
      <w:r/>
    </w:p>
    <w:p>
      <w:pPr>
        <w:pStyle w:val="864"/>
        <w:jc w:val="both"/>
        <w:spacing w:beforeAutospacing="0" w:afterAutospacing="0" w:line="360" w:lineRule="auto"/>
        <w:rPr>
          <w:rFonts w:hint="eastAsia"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▲9.5.9根据野外应急需要，为减少野外做样过程中复杂的试剂配制环节，可选择配置好的总氮、氨氮、硫化物、硝酸盐氮、亚硝酸盐氮全套试剂包节省时间、人力成本，每套试剂包可检测样品不少于50个。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需提供相关证明材料</w:t>
      </w:r>
      <w:r>
        <w:rPr>
          <w:rFonts w:hint="eastAsia" w:eastAsia="宋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10.系统配置要求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10.1主机包含（7泵系统，含进样系统、自动除水系统、样品自动均质系统、反应分离器全密闭系统、氨氮氧化系统、总氮在线消解系统、电子流量监测系统、载气净化系统、TCS温度控制系统、自动稀释系统）各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10.2不少于55位便携式自动进样器 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10.3气相分子吸收光谱仪软件系统1套；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10.4耗材配件（含进样软管，尾气吸收装置、备用吸光管、进样针等）1套；总氮、氨氮、硫化物试剂包各一套；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10.5品牌笔记本1套（支持工作站正常运转）；</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10.6移动电源1套，所有项目检测时间≥4h。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10.7整机质保壹年，质保期内所有维修全部免费。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8" w:name="_Toc4597"/>
      <w:r>
        <w:rPr>
          <w:rFonts w:hint="eastAsia" w:eastAsia="宋体"/>
          <w:color w:val="000000" w:themeColor="text1"/>
          <w:sz w:val="28"/>
          <w:szCs w:val="28"/>
          <w:highlight w:val="none"/>
          <w:shd w:val="clear" w:color="auto" w:fill="auto"/>
          <w14:textFill>
            <w14:solidFill>
              <w14:schemeClr w14:val="tx1"/>
            </w14:solidFill>
          </w14:textFill>
        </w:rPr>
        <w:t xml:space="preserve">四十、固相微萃取装置</w:t>
      </w:r>
      <w:bookmarkEnd w:id="228"/>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1、性能指标：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★1.1需与现有设备软件共享、兼容。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1.2尺寸：102mmX140mmX19mm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1.3固相微萃取类型/规格：不低于三种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1.4温度：0-45℃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1.5湿度：0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95%R.H.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1.6脱附温度：100~300℃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1.7硬件识别：主机自动识别固相微萃取，并可以在主机屏幕上显示固相微1.8萃取各部件的温度。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1.9水样检出限：三氯乙烯低ppb量级；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1.10空气样检出限：三氯乙烯低ppb量级；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1.11载气：可以使用主机内部高纯氮气作为载气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1.12分析模式：具备短时间老化、长时间老化和正常分析三种模式。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29" w:name="_Toc31103"/>
      <w:r>
        <w:rPr>
          <w:rFonts w:hint="eastAsia" w:eastAsia="宋体"/>
          <w:color w:val="000000" w:themeColor="text1"/>
          <w:sz w:val="28"/>
          <w:szCs w:val="28"/>
          <w:highlight w:val="none"/>
          <w:shd w:val="clear" w:color="auto" w:fill="auto"/>
          <w14:textFill>
            <w14:solidFill>
              <w14:schemeClr w14:val="tx1"/>
            </w14:solidFill>
          </w14:textFill>
        </w:rPr>
        <w:t xml:space="preserve">四十一、吹扫捕集装置</w:t>
      </w:r>
      <w:bookmarkEnd w:id="229"/>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1、性能指标：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★1.1需与现有设备软件共享、兼容。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1.2尺寸：362 mm x 394 mm x 191 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1.3温度：0-45℃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1.4湿度：0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95% R.H.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1.5具备液位保护功能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1.6水探头及炉温：30-60℃，可调节。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1.7传输线温度：30~80℃，可调节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1.8检测灵敏度：ppt~ppb</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1.9载气：高纯氮气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1.10具备Flush快速去污功能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1.11硬件识别：主机自动识别在线水探头装置，并可以在主机屏幕上水探头、传输线、炉温及载气含量等。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0" w:name="_Toc1194"/>
      <w:r>
        <w:rPr>
          <w:rFonts w:hint="eastAsia" w:eastAsia="宋体"/>
          <w:color w:val="000000" w:themeColor="text1"/>
          <w:sz w:val="28"/>
          <w:szCs w:val="28"/>
          <w:highlight w:val="none"/>
          <w:shd w:val="clear" w:color="auto" w:fill="auto"/>
          <w14:textFill>
            <w14:solidFill>
              <w14:schemeClr w14:val="tx1"/>
            </w14:solidFill>
          </w14:textFill>
        </w:rPr>
        <w:t xml:space="preserve">四十二、生物毒性检测仪配套试剂</w:t>
      </w:r>
      <w:bookmarkEnd w:id="230"/>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需求：明亮发光杆菌/稀释液/渗透压调节液/阳性质控液等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性能指标：</w:t>
      </w:r>
      <w:r/>
    </w:p>
    <w:tbl>
      <w:tblPr>
        <w:tblStyle w:val="858"/>
        <w:tblW w:w="9000" w:type="dxa"/>
        <w:jc w:val="center"/>
        <w:tblCellSpacing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03"/>
        <w:gridCol w:w="3704"/>
        <w:gridCol w:w="655"/>
        <w:gridCol w:w="2938"/>
      </w:tblGrid>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操作温度</w:t>
            </w:r>
            <w:r/>
          </w:p>
        </w:tc>
        <w:tc>
          <w:tcPr>
            <w:shd w:val="clear" w:color="auto" w:fill="auto"/>
            <w:tcBorders>
              <w:top w:val="single" w:color="ECE9D8" w:sz="6" w:space="0"/>
              <w:left w:val="single" w:color="ECE9D8" w:sz="6" w:space="0"/>
              <w:bottom w:val="single" w:color="ECE9D8" w:sz="6" w:space="0"/>
              <w:right w:val="single" w:color="ECE9D8" w:sz="6" w:space="0"/>
            </w:tcBorders>
            <w:tcW w:w="205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10℃-28℃</w:t>
            </w:r>
            <w:r/>
          </w:p>
        </w:tc>
        <w:tc>
          <w:tcPr>
            <w:gridSpan w:val="2"/>
            <w:shd w:val="clear" w:color="auto" w:fill="auto"/>
            <w:tcBorders>
              <w:top w:val="single" w:color="ECE9D8" w:sz="6" w:space="0"/>
              <w:left w:val="single" w:color="ECE9D8" w:sz="6" w:space="0"/>
              <w:bottom w:val="single" w:color="ECE9D8" w:sz="6" w:space="0"/>
              <w:right w:val="single" w:color="ECE9D8" w:sz="6" w:space="0"/>
            </w:tcBorders>
            <w:tcW w:w="199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15℃-30℃</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检测原理</w:t>
            </w:r>
            <w:r/>
          </w:p>
        </w:tc>
        <w:tc>
          <w:tcPr>
            <w:shd w:val="clear" w:color="auto" w:fill="auto"/>
            <w:tcBorders>
              <w:top w:val="single" w:color="ECE9D8" w:sz="6" w:space="0"/>
              <w:left w:val="single" w:color="ECE9D8" w:sz="6" w:space="0"/>
              <w:bottom w:val="single" w:color="ECE9D8" w:sz="6" w:space="0"/>
              <w:right w:val="single" w:color="ECE9D8" w:sz="6" w:space="0"/>
            </w:tcBorders>
            <w:tcW w:w="205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毒性测试：微生物传感器</w:t>
            </w:r>
            <w:r/>
          </w:p>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（费希尔弧菌Vibrio Fischeri）</w:t>
            </w:r>
            <w:r/>
          </w:p>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ATP测试：荧光素酶</w:t>
            </w:r>
            <w:r/>
          </w:p>
        </w:tc>
        <w:tc>
          <w:tcPr>
            <w:gridSpan w:val="2"/>
            <w:shd w:val="clear" w:color="auto" w:fill="auto"/>
            <w:tcBorders>
              <w:top w:val="single" w:color="ECE9D8" w:sz="6" w:space="0"/>
              <w:left w:val="single" w:color="ECE9D8" w:sz="6" w:space="0"/>
              <w:bottom w:val="single" w:color="ECE9D8" w:sz="6" w:space="0"/>
              <w:right w:val="single" w:color="ECE9D8" w:sz="6" w:space="0"/>
            </w:tcBorders>
            <w:tcW w:w="1996" w:type="pct"/>
            <w:vAlign w:val="center"/>
            <w:textDirection w:val="lrTb"/>
            <w:noWrap w:val="false"/>
          </w:tcPr>
          <w:p>
            <w:pPr>
              <w:pStyle w:val="864"/>
              <w:jc w:val="center"/>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毒性测试：微生物传感器 </w:t>
            </w:r>
            <w:r/>
          </w:p>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费希尔弧菌（Vibrio Fischeri）</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急性毒性检测时间</w:t>
            </w:r>
            <w:r/>
          </w:p>
        </w:tc>
        <w:tc>
          <w:tcPr>
            <w:gridSpan w:val="3"/>
            <w:shd w:val="clear" w:color="auto" w:fill="auto"/>
            <w:tcBorders>
              <w:top w:val="single" w:color="ECE9D8" w:sz="6" w:space="0"/>
              <w:left w:val="single" w:color="ECE9D8" w:sz="6" w:space="0"/>
              <w:bottom w:val="single" w:color="ECE9D8" w:sz="6" w:space="0"/>
              <w:right w:val="single" w:color="ECE9D8" w:sz="6" w:space="0"/>
            </w:tcBorders>
            <w:tcW w:w="405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可选（5分钟、15分钟、30分钟）</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慢性毒性检测时间</w:t>
            </w:r>
            <w:r/>
          </w:p>
        </w:tc>
        <w:tc>
          <w:tcPr>
            <w:gridSpan w:val="3"/>
            <w:shd w:val="clear" w:color="auto" w:fill="auto"/>
            <w:tcBorders>
              <w:top w:val="single" w:color="ECE9D8" w:sz="6" w:space="0"/>
              <w:left w:val="single" w:color="ECE9D8" w:sz="6" w:space="0"/>
              <w:bottom w:val="single" w:color="ECE9D8" w:sz="6" w:space="0"/>
              <w:right w:val="single" w:color="ECE9D8" w:sz="6" w:space="0"/>
            </w:tcBorders>
            <w:tcW w:w="405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24小时（MicroTox专有功能）</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测量范围</w:t>
            </w:r>
            <w:r/>
          </w:p>
        </w:tc>
        <w:tc>
          <w:tcPr>
            <w:gridSpan w:val="3"/>
            <w:shd w:val="clear" w:color="auto" w:fill="auto"/>
            <w:tcBorders>
              <w:top w:val="single" w:color="ECE9D8" w:sz="6" w:space="0"/>
              <w:left w:val="single" w:color="ECE9D8" w:sz="6" w:space="0"/>
              <w:bottom w:val="single" w:color="ECE9D8" w:sz="6" w:space="0"/>
              <w:right w:val="single" w:color="ECE9D8" w:sz="6" w:space="0"/>
            </w:tcBorders>
            <w:tcW w:w="405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0-12*107个光子</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光子计数最高频率</w:t>
            </w:r>
            <w:r/>
          </w:p>
        </w:tc>
        <w:tc>
          <w:tcPr>
            <w:gridSpan w:val="3"/>
            <w:shd w:val="clear" w:color="auto" w:fill="auto"/>
            <w:tcBorders>
              <w:top w:val="single" w:color="ECE9D8" w:sz="6" w:space="0"/>
              <w:left w:val="single" w:color="ECE9D8" w:sz="6" w:space="0"/>
              <w:bottom w:val="single" w:color="ECE9D8" w:sz="6" w:space="0"/>
              <w:right w:val="single" w:color="ECE9D8" w:sz="6" w:space="0"/>
            </w:tcBorders>
            <w:tcW w:w="405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0.1秒内5000光子</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检测模式</w:t>
            </w:r>
            <w:r/>
          </w:p>
        </w:tc>
        <w:tc>
          <w:tcPr>
            <w:gridSpan w:val="2"/>
            <w:shd w:val="clear" w:color="auto" w:fill="auto"/>
            <w:tcBorders>
              <w:top w:val="single" w:color="ECE9D8" w:sz="6" w:space="0"/>
              <w:left w:val="single" w:color="ECE9D8" w:sz="6" w:space="0"/>
              <w:bottom w:val="single" w:color="ECE9D8" w:sz="6" w:space="0"/>
              <w:right w:val="single" w:color="ECE9D8" w:sz="6" w:space="0"/>
            </w:tcBorders>
            <w:tcW w:w="2422" w:type="pct"/>
            <w:vAlign w:val="center"/>
            <w:textDirection w:val="lrTb"/>
            <w:noWrap w:val="false"/>
          </w:tcPr>
          <w:p>
            <w:pPr>
              <w:pStyle w:val="864"/>
              <w:jc w:val="center"/>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Q-Tox,ATP</w:t>
            </w:r>
            <w:r/>
          </w:p>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(急性毒性检测，生物总量分析)</w:t>
            </w:r>
            <w:r/>
          </w:p>
        </w:tc>
        <w:tc>
          <w:tcPr>
            <w:shd w:val="clear" w:color="auto" w:fill="auto"/>
            <w:tcBorders>
              <w:top w:val="single" w:color="ECE9D8" w:sz="6" w:space="0"/>
              <w:left w:val="single" w:color="ECE9D8" w:sz="6" w:space="0"/>
              <w:bottom w:val="single" w:color="ECE9D8" w:sz="6" w:space="0"/>
              <w:right w:val="single" w:color="ECE9D8" w:sz="6" w:space="0"/>
            </w:tcBorders>
            <w:tcW w:w="1632" w:type="pct"/>
            <w:vAlign w:val="center"/>
            <w:textDirection w:val="lrTb"/>
            <w:noWrap w:val="false"/>
          </w:tcPr>
          <w:p>
            <w:pPr>
              <w:pStyle w:val="864"/>
              <w:jc w:val="center"/>
              <w:spacing w:beforeAutospacing="0" w:afterAutospacing="0" w:line="360" w:lineRule="auto"/>
              <w:rPr>
                <w:rFonts w:hint="eastAsia" w:eastAsia="宋体"/>
                <w:color w:val="000000" w:themeColor="text1"/>
                <w:sz w:val="28"/>
                <w:szCs w:val="28"/>
                <w:highlight w:val="none"/>
                <w:shd w:val="clear" w:color="auto" w:fill="auto"/>
                <w:lang w:eastAsia="zh-CN"/>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Q-Tox, B-Tox,</w:t>
            </w:r>
            <w:r/>
          </w:p>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(急性毒性检测，慢性毒性检测)</w:t>
            </w:r>
            <w:r/>
          </w:p>
        </w:tc>
      </w:tr>
      <w:tr>
        <w:trPr>
          <w:jc w:val="center"/>
          <w:tblCellSpacing w:w="0" w:type="dxa"/>
        </w:trPr>
        <w:tc>
          <w:tcPr>
            <w:shd w:val="clear" w:color="auto" w:fill="auto"/>
            <w:tcBorders>
              <w:top w:val="single" w:color="ECE9D8" w:sz="6" w:space="0"/>
              <w:left w:val="single" w:color="ECE9D8" w:sz="6" w:space="0"/>
              <w:bottom w:val="single" w:color="ECE9D8" w:sz="6" w:space="0"/>
              <w:right w:val="single" w:color="ECE9D8" w:sz="6" w:space="0"/>
            </w:tcBorders>
            <w:tcW w:w="94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微生物最低检测限</w:t>
            </w:r>
            <w:r/>
          </w:p>
        </w:tc>
        <w:tc>
          <w:tcPr>
            <w:gridSpan w:val="2"/>
            <w:shd w:val="clear" w:color="auto" w:fill="auto"/>
            <w:tcBorders>
              <w:top w:val="single" w:color="ECE9D8" w:sz="6" w:space="0"/>
              <w:left w:val="single" w:color="ECE9D8" w:sz="6" w:space="0"/>
              <w:bottom w:val="single" w:color="ECE9D8" w:sz="6" w:space="0"/>
              <w:right w:val="single" w:color="ECE9D8" w:sz="6" w:space="0"/>
            </w:tcBorders>
            <w:tcW w:w="242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100cfu/ml</w:t>
            </w:r>
            <w:r/>
          </w:p>
        </w:tc>
        <w:tc>
          <w:tcPr>
            <w:shd w:val="clear" w:color="auto" w:fill="auto"/>
            <w:tcBorders>
              <w:top w:val="single" w:color="ECE9D8" w:sz="6" w:space="0"/>
              <w:left w:val="single" w:color="ECE9D8" w:sz="6" w:space="0"/>
              <w:bottom w:val="single" w:color="ECE9D8" w:sz="6" w:space="0"/>
              <w:right w:val="single" w:color="ECE9D8" w:sz="6" w:space="0"/>
            </w:tcBorders>
            <w:tcW w:w="1632"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无</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1" w:name="_Toc1792"/>
      <w:r>
        <w:rPr>
          <w:rFonts w:hint="eastAsia" w:eastAsia="宋体"/>
          <w:color w:val="000000" w:themeColor="text1"/>
          <w:sz w:val="28"/>
          <w:szCs w:val="28"/>
          <w:highlight w:val="none"/>
          <w:shd w:val="clear" w:color="auto" w:fill="auto"/>
          <w14:textFill>
            <w14:solidFill>
              <w14:schemeClr w14:val="tx1"/>
            </w14:solidFill>
          </w14:textFill>
        </w:rPr>
        <w:t xml:space="preserve">四十三、手持式叶绿素（蓝绿藻）测定仪</w:t>
      </w:r>
      <w:bookmarkEnd w:id="231"/>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1、</w:t>
      </w:r>
      <w:r>
        <w:rPr>
          <w:rFonts w:hint="eastAsia" w:eastAsia="宋体"/>
          <w:color w:val="000000" w:themeColor="text1"/>
          <w:sz w:val="28"/>
          <w:szCs w:val="28"/>
          <w:highlight w:val="none"/>
          <w:shd w:val="clear" w:color="auto" w:fill="auto"/>
          <w14:textFill>
            <w14:solidFill>
              <w14:schemeClr w14:val="tx1"/>
            </w14:solidFill>
          </w14:textFill>
        </w:rPr>
        <w:t xml:space="preserve">设备用途：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 重量很轻的野外现场用来定量检测蓝藻和总叶绿素的设备。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1.2分析叶绿素的总量，可以替代传统的化学分析方法。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 基于藻细胞的自然荧光特性。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 不需要任何样本准备过程。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1.5只需要打开开关，并把设备插入水中就可以得到读数。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 设备可以沉入水中在水下检测。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2、主要检测参数：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 测量参数：总的叶绿素a、蓝藻叶绿素a浓度及密度、浊度、GPS；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 测量原理：基于藻类细胞中的自然荧光特性，依据藻类的特征光谱及其强度，对藻类进行定量分析；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2.3 </w:t>
      </w:r>
      <w:r>
        <w:rPr>
          <w:rFonts w:hint="eastAsia" w:eastAsia="宋体"/>
          <w:color w:val="000000" w:themeColor="text1"/>
          <w:sz w:val="28"/>
          <w:szCs w:val="28"/>
          <w:highlight w:val="none"/>
          <w:shd w:val="clear" w:color="auto" w:fill="auto"/>
          <w14:textFill>
            <w14:solidFill>
              <w14:schemeClr w14:val="tx1"/>
            </w14:solidFill>
          </w14:textFill>
        </w:rPr>
        <w:t xml:space="preserve">显示：显示屏和控制器集成在探头体上，探头无需电缆连接显示部分；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 重量很轻的野外现场用来定量检测蓝藻和总叶绿素的设备;</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2.5 检测技术：叶绿素荧光分类检测技术；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 激发光波长种类：每种激发光必须是单一波长（发光二</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极</w:t>
      </w:r>
      <w:r>
        <w:rPr>
          <w:rFonts w:hint="eastAsia" w:eastAsia="宋体"/>
          <w:color w:val="000000" w:themeColor="text1"/>
          <w:sz w:val="28"/>
          <w:szCs w:val="28"/>
          <w:highlight w:val="none"/>
          <w:shd w:val="clear" w:color="auto" w:fill="auto"/>
          <w14:textFill>
            <w14:solidFill>
              <w14:schemeClr w14:val="tx1"/>
            </w14:solidFill>
          </w14:textFill>
        </w:rPr>
        <w:t xml:space="preserve">管或激光），且至少三种不同波长激发光用于检测叶绿素(不包括补偿激发光)；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★2.7检测速度：约3S；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2.8设备探头浸入被测水体</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方便现场操作</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2.9</w:t>
      </w:r>
      <w:r>
        <w:rPr>
          <w:rFonts w:hint="eastAsia" w:eastAsia="宋体"/>
          <w:color w:val="000000" w:themeColor="text1"/>
          <w:sz w:val="28"/>
          <w:szCs w:val="28"/>
          <w:highlight w:val="none"/>
          <w:shd w:val="clear" w:color="auto" w:fill="auto"/>
          <w:lang w:val="hr-HR"/>
          <w14:textFill>
            <w14:solidFill>
              <w14:schemeClr w14:val="tx1"/>
            </w14:solidFill>
          </w14:textFill>
        </w:rPr>
        <w:t xml:space="preserve">波长：470nm/525nm/610nm；</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hr-HR"/>
          <w14:textFill>
            <w14:solidFill>
              <w14:schemeClr w14:val="tx1"/>
            </w14:solidFill>
          </w14:textFill>
        </w:rPr>
        <w:t xml:space="preserve">2.10 刺激光数量：不小于3种不同波长的刺激光用于检测叶绿素（不含紫外补偿激励光）；</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2.11 叶绿素-a检测范围：0-500微克/升；</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2.12叶绿素分辨率：0.1微克（叶绿素）/升；</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hr-HR"/>
          <w14:textFill>
            <w14:solidFill>
              <w14:schemeClr w14:val="tx1"/>
            </w14:solidFill>
          </w14:textFill>
        </w:rPr>
        <w:t xml:space="preserve">2.13浊度补偿：自动浊度补偿，0-200NTU（能够通过反射回红光的密度来判断悬浮微粒并通过补偿因子来进行相关计算）；</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val="hr-HR"/>
          <w14:textFill>
            <w14:solidFill>
              <w14:schemeClr w14:val="tx1"/>
            </w14:solidFill>
          </w14:textFill>
        </w:rPr>
        <w:t xml:space="preserve">2.14测量单元、显示单元、操作单元、传输单元一体化、内置充电电池；</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2.15 工作电压：110/230 V - 50/60 Hz | 12V DC</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2.16 防护等级：IP68；</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2.17 采样温度：0-35°C；</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2.18 数据接口：USB；</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2.19水深范围：0-10米；</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2.20重量要求：1.3公斤，方便携带；</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2.21尺寸要求：最长尺寸不大于50cm。</w:t>
      </w:r>
      <w:r/>
    </w:p>
    <w:p>
      <w:pPr>
        <w:pStyle w:val="864"/>
        <w:jc w:val="both"/>
        <w:spacing w:beforeAutospacing="0" w:afterAutospacing="0" w:line="360" w:lineRule="auto"/>
        <w:rPr>
          <w:rFonts w:eastAsia="宋体"/>
          <w:color w:val="000000" w:themeColor="text1"/>
          <w:sz w:val="28"/>
          <w:szCs w:val="28"/>
          <w:highlight w:val="none"/>
          <w:shd w:val="clear" w:color="auto" w:fill="auto"/>
          <w:lang w:val="hr-HR"/>
          <w14:textFill>
            <w14:solidFill>
              <w14:schemeClr w14:val="tx1"/>
            </w14:solidFill>
          </w14:textFill>
        </w:rPr>
      </w:pPr>
      <w:r>
        <w:rPr>
          <w:rFonts w:hint="eastAsia" w:eastAsia="宋体"/>
          <w:color w:val="000000" w:themeColor="text1"/>
          <w:sz w:val="28"/>
          <w:szCs w:val="28"/>
          <w:highlight w:val="none"/>
          <w:shd w:val="clear" w:color="auto" w:fill="auto"/>
          <w:lang w:val="hr-HR"/>
          <w14:textFill>
            <w14:solidFill>
              <w14:schemeClr w14:val="tx1"/>
            </w14:solidFill>
          </w14:textFill>
        </w:rPr>
        <w:t xml:space="preserve">2.22数据存储：2000组内存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2.23带★号项必须实质性满足，不接受任何偏离。</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2" w:name="_Toc6380"/>
      <w:r>
        <w:rPr>
          <w:rFonts w:hint="eastAsia" w:eastAsia="宋体"/>
          <w:color w:val="000000" w:themeColor="text1"/>
          <w:sz w:val="28"/>
          <w:szCs w:val="28"/>
          <w:highlight w:val="none"/>
          <w:shd w:val="clear" w:color="auto" w:fill="auto"/>
          <w14:textFill>
            <w14:solidFill>
              <w14:schemeClr w14:val="tx1"/>
            </w14:solidFill>
          </w14:textFill>
        </w:rPr>
        <w:t xml:space="preserve">四十四、细菌快速检测仪</w:t>
      </w:r>
      <w:bookmarkEnd w:id="232"/>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1、显示屏：高精度真彩触摸屏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2、处理器：32 位高速数据处理芯片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3、检测精度：1×10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-18mol ATP</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4、检测范围：0-9999 RLUs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5、检测时间：15 秒</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6、背景噪声值：≤6RLU(n=10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7、检出限：9.4×10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-15mol ATP，RLU 示值为≤2；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8、重复性：仪器示值为 100RLU 左右时，重复测定的相对标准偏差为≤2.3%(n=10）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9、线性误差：仪器示值为 100RLU 左右时，测定的线性误差为≥-3.6%。</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10、操作温度范围：5℃到 40℃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11、操作湿度范围：20—85﹪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12、ATP 回收率：90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13、检出模式：RLU</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14、50 个用户 ID 设定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15、可设定的结果限值个数：251 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16、自动判断合格与不合格</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17、可设置上下限值</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18、自动统计合格率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19、内置自校光源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20、开机 30 秒自检</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21、配有miniUSB接口，可将数据结果上传至 PC 电脑端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22、配带上位机软件，专用软件驱动 U 盘代替传统光盘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23、内置 3200mAh 锂电池供电，待机长达 8 个小时以上</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24、稳定的液体荧光素酶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25、润湿的一体化采集拭子</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3" w:name="_Toc19217"/>
      <w:r>
        <w:rPr>
          <w:rFonts w:hint="eastAsia" w:eastAsia="宋体"/>
          <w:color w:val="000000" w:themeColor="text1"/>
          <w:sz w:val="28"/>
          <w:szCs w:val="28"/>
          <w:highlight w:val="none"/>
          <w:shd w:val="clear" w:color="auto" w:fill="auto"/>
          <w14:textFill>
            <w14:solidFill>
              <w14:schemeClr w14:val="tx1"/>
            </w14:solidFill>
          </w14:textFill>
        </w:rPr>
        <w:t xml:space="preserve">四十五、苏玛罐</w:t>
      </w:r>
      <w:bookmarkEnd w:id="233"/>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性能指标：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1.1采用双重密封技术，内层使用软金属镍密封，隔离样品，外层使用氟橡胶O圈密封，无泄漏。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1.2惰性采样罐，采集并存储不稳定的硫、氮化合物和极性（醛、醇、酯、酮、醚）非极性化合物。对于活性较强的含硫化合物保存可达 30 天，分析重现性达 99%。</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1.3可实现多个实验室对照分析，可以作为现场证据保存。</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1.4所有罐子在出厂前均经过严格的一个星期的化学惰性测试：在相对湿度极端的情况下即0%的情况添加PPB水平的三溴甲烷、三氯苯、十二烷放置一周测试。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1.5所有回收率&gt;85%。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1.6惰性的罐子更易被清洗。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4" w:name="_Toc9430"/>
      <w:r>
        <w:rPr>
          <w:rFonts w:hint="eastAsia" w:eastAsia="宋体"/>
          <w:color w:val="000000" w:themeColor="text1"/>
          <w:sz w:val="28"/>
          <w:szCs w:val="28"/>
          <w:highlight w:val="none"/>
          <w:shd w:val="clear" w:color="auto" w:fill="auto"/>
          <w14:textFill>
            <w14:solidFill>
              <w14:schemeClr w14:val="tx1"/>
            </w14:solidFill>
          </w14:textFill>
        </w:rPr>
        <w:t xml:space="preserve">四十六、便携式多种气体检测仪（电化学传感器法）配套气体检测模块</w:t>
      </w:r>
      <w:bookmarkEnd w:id="234"/>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便携式多种气体检测仪（电化学传感器法）配套气体检测模块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用途：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满足《</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环境空气无机有害气体的应急监测便携式傅里叶红外仪法</w:t>
      </w:r>
      <w:r>
        <w:rPr>
          <w:rFonts w:hint="eastAsia" w:eastAsia="宋体"/>
          <w:color w:val="000000" w:themeColor="text1"/>
          <w:sz w:val="28"/>
          <w:szCs w:val="28"/>
          <w:highlight w:val="none"/>
          <w:shd w:val="clear" w:color="auto" w:fill="auto"/>
          <w14:textFill>
            <w14:solidFill>
              <w14:schemeClr w14:val="tx1"/>
            </w14:solidFill>
          </w14:textFill>
        </w:rPr>
        <w:t xml:space="preserve">》(HJ920-2017)要求，可现场对CO、CO2、SO2、NO、NO、HCI、HCN、HF、NONH等无机气体进行定性和半定量监测。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技术指标</w:t>
      </w:r>
      <w:r/>
    </w:p>
    <w:tbl>
      <w:tblPr>
        <w:tblStyle w:val="858"/>
        <w:tblpPr w:horzAnchor="page" w:tblpX="1687" w:vertAnchor="text" w:tblpY="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2"/>
        <w:gridCol w:w="1731"/>
        <w:gridCol w:w="3133"/>
        <w:gridCol w:w="1473"/>
      </w:tblGrid>
      <w:tr>
        <w:trPr>
          <w:trHeight w:val="567" w:hRule="exact"/>
        </w:trPr>
        <w:tc>
          <w:tcPr>
            <w:shd w:val="clear" w:color="auto" w:fill="8db3e2"/>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传感器名称</w:t>
            </w:r>
            <w:r/>
          </w:p>
        </w:tc>
        <w:tc>
          <w:tcPr>
            <w:shd w:val="clear" w:color="auto" w:fill="8db3e2"/>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化学式</w:t>
            </w:r>
            <w:r/>
          </w:p>
        </w:tc>
        <w:tc>
          <w:tcPr>
            <w:shd w:val="clear" w:color="auto" w:fill="8db3e2"/>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参数范围</w:t>
            </w:r>
            <w:r/>
          </w:p>
        </w:tc>
        <w:tc>
          <w:tcPr>
            <w:shd w:val="clear" w:color="auto" w:fill="8db3e2"/>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分辨率</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氧  气</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O2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30%)Vol</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0.10%Vol</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臭  氧</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O3</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氢  气</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氯  气</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CL2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氟  气</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F2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一氧化氮</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NO</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250)ppm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二氧化氮</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NO2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一氧化碳</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二氧化碳</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二氧化硫</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SO2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20/100)ppm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二氧化氯</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CLO2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氨  气</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NH3</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氯化氢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HCL</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氟化氢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HF</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硫化氢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H2S</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氰化氢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HCN</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磷化氢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PH3</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5/20)ppm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砷化氢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AsH3</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锗  烷</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GeH4</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乙  烯</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C2H4</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1500)ppm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甲  烷</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CH4</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100)%LEL</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1%LEL</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硅  烷</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SiH4</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环氧乙烷</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C2H4O</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甲  醛</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HCHO</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光  气</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COCL2</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硫  醇</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TBM</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四氢噻吩</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THT</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12)ppm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可燃气体</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LEL</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100)%LEL</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1%LEL</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PID检测器</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VOC</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20/200/2000/10000)ppm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500ppb</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碳  氢</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CH</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%Vol</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0.01%Vol</w:t>
            </w:r>
            <w:r/>
          </w:p>
        </w:tc>
      </w:tr>
      <w:tr>
        <w:trPr>
          <w:trHeight w:val="567" w:hRule="exact"/>
        </w:trPr>
        <w:tc>
          <w:tcPr>
            <w:tcW w:w="2072"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六氟化硫</w:t>
            </w:r>
            <w:r/>
          </w:p>
        </w:tc>
        <w:tc>
          <w:tcPr>
            <w:tcW w:w="1731"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SF6</w:t>
            </w:r>
            <w:r/>
          </w:p>
        </w:tc>
        <w:tc>
          <w:tcPr>
            <w:tcW w:w="313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1000)ppm</w:t>
            </w:r>
            <w:r/>
          </w:p>
        </w:tc>
        <w:tc>
          <w:tcPr>
            <w:tcW w:w="1473" w:type="dxa"/>
            <w:vAlign w:val="top"/>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0.01ppm</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5" w:name="_Toc3866"/>
      <w:r>
        <w:rPr>
          <w:rFonts w:hint="eastAsia" w:eastAsia="宋体"/>
          <w:color w:val="000000" w:themeColor="text1"/>
          <w:sz w:val="28"/>
          <w:szCs w:val="28"/>
          <w:highlight w:val="none"/>
          <w:shd w:val="clear" w:color="auto" w:fill="auto"/>
          <w14:textFill>
            <w14:solidFill>
              <w14:schemeClr w14:val="tx1"/>
            </w14:solidFill>
          </w14:textFill>
        </w:rPr>
        <w:t xml:space="preserve">四十七、便携式傅里叶红外分析仪</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无机气体监测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bookmarkEnd w:id="235"/>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单套配置要求：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1.1分析仪主机，1台；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1.2烟气采样系统，1套；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1.3空气采样系统，1套；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1.4可拆卸电池，2块；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1.5便携箱，1个；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1.6滤芯，2个；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1.6中文分析软件，1套；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基本要求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2.1用于空气应急和固定污染源两种应用场景下的无机、有机气体监测，无需制样、直接采样，能在现场进行长时间的监测，无需值守，符合《环境空气 无机有害气体的应急监测便携式傅里叶红外仪法》（HJ920-2017）、《环境空气 挥发性有机物的测定便携式傅里叶红外仪法》（HJ919-2017）和《固定污染源废气 气态污染物（SO2、NO、NO2、CO、CO2）的测定 便携式傅立叶 变换红外光谱法》（HJ1240-2021</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固定污染源废气 氨和氯化氢的测定 便携式傅立叶变换红外光谱法</w:t>
      </w:r>
      <w:r>
        <w:rPr>
          <w:rFonts w:hint="eastAsia" w:eastAsia="宋体"/>
          <w:color w:val="000000" w:themeColor="text1"/>
          <w:sz w:val="28"/>
          <w:szCs w:val="28"/>
          <w:highlight w:val="none"/>
          <w:shd w:val="clear" w:color="auto" w:fill="auto"/>
          <w14:textFill>
            <w14:solidFill>
              <w14:schemeClr w14:val="tx1"/>
            </w14:solidFill>
          </w14:textFill>
        </w:rPr>
        <w:t xml:space="preserve">》（HJ1330-2023）、《</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环境空气和废气 挥发性有机物组分便携式傅立叶红外监测仪技术要求及检测方法</w:t>
      </w:r>
      <w:r>
        <w:rPr>
          <w:rFonts w:hint="eastAsia" w:eastAsia="宋体"/>
          <w:color w:val="000000" w:themeColor="text1"/>
          <w:sz w:val="28"/>
          <w:szCs w:val="28"/>
          <w:highlight w:val="none"/>
          <w:shd w:val="clear" w:color="auto" w:fill="auto"/>
          <w14:textFill>
            <w14:solidFill>
              <w14:schemeClr w14:val="tx1"/>
            </w14:solidFill>
          </w14:textFill>
        </w:rPr>
        <w:t xml:space="preserve">》（HJ 1011-2018</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的标准要求。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2.2原理：傅里叶变换红外分析原理。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▲2.3供电方式：具备市电和内置电池供电两种方式，采用内置电池供电时，续航不低于4小时。（提供仪器原厂盖章的省级（含）及以上计量部门出具的检测报告复印件）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▲2.4便携式，仪器具有高集成度。主机内内置采样泵、氧气传感器。分析仪主机应不超过16kg。（提供仪器原厂盖章的省级（含）及以上计量部门出具的检测报告复印件）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2.5全中文分析软件。仪器生产商原厂承诺提供软件终身升级服务，提供投标产品对应的软件著作权证书。（提供仪器原厂盖章的软件著作权证书证明材料复印件，且软著名称中需包含“便携式傅里叶” 或“FTIR”等关键词）</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参数要求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3.1分析仪主机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3.1.1采用角镜型干涉仪，结构坚固，抗震性强；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3.1.2光谱分辨率：优于8cm-1。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▲3.1.3波数范围：至少满足600</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4500cm-1；（提供仪器原厂盖章的省级（含）及以上计量部门出具的检测报告复印件）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▲3.1.4检测器：TEC（半导体内置制冷器）制冷MCT，激光器的显示温度波动≤0.1℃（提供探测器的采购发票复印件，采购主体须与制造商一致）。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3.1.5示值误差≤±5%；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3.1.6重复性：≤±2%；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3.1.7响应时间：不大于90s；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3.1.8稳定性≤±2%h；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3.1.9零点漂移≤±2%FS/24；</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3.1.10量程漂移≤±2%FS/24；</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3.1.11仪器环境适应性，仪器通过高温测试（至少达到40℃，持续2小时）、低温测试（至少达到5℃，持续2小时）、高温贮存试验（至少达到55℃，持续8小时）、低温贮存实验（至少达到-20℃，持续8小时），在上述条件下仪器的示值误差≤±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注：5）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11）需提供仪器原厂盖章的省级（含）及以上计量部门出具的检测报告复印件（测试因子至少包括SO2、NO、NO2、CO、NH3、HCL、C6H6、C7H8计）。</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3.1.12仪器的主机采用不低于5</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IN</w:t>
      </w:r>
      <w:r>
        <w:rPr>
          <w:rFonts w:hint="eastAsia" w:eastAsia="宋体"/>
          <w:color w:val="000000" w:themeColor="text1"/>
          <w:sz w:val="28"/>
          <w:szCs w:val="28"/>
          <w:highlight w:val="none"/>
          <w:shd w:val="clear" w:color="auto" w:fill="auto"/>
          <w14:textFill>
            <w14:solidFill>
              <w14:schemeClr w14:val="tx1"/>
            </w14:solidFill>
          </w14:textFill>
        </w:rPr>
        <w:t xml:space="preserve">的触摸屏，显示内容不少于组分浓度、氧气测试结果、数据结果的地理位置等。同时可设置并查看气体传输管和气体室的温度信息。（提供仪器原厂盖章的省级（含）及以上计量部门出具的检测报告复印件）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3.1.13仪器集成数据采集、分析计算和结果显示功能，同时兼具外接电脑能力。</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3.1.14</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通信模式</w:t>
      </w:r>
      <w:r>
        <w:rPr>
          <w:rFonts w:hint="eastAsia" w:eastAsia="宋体"/>
          <w:color w:val="000000" w:themeColor="text1"/>
          <w:sz w:val="28"/>
          <w:szCs w:val="28"/>
          <w:highlight w:val="none"/>
          <w:shd w:val="clear" w:color="auto" w:fill="auto"/>
          <w14:textFill>
            <w14:solidFill>
              <w14:schemeClr w14:val="tx1"/>
            </w14:solidFill>
          </w14:textFill>
        </w:rPr>
        <w:t xml:space="preserve">：蓝牙或WIFI。</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3.1.15主机内置地理定位信息模块（包括但不限于北斗、GPS等），仪器检测出的每一条光谱中均嵌入地理经纬度信息，可以通过测试数据得知监测点位。（提供仪器原厂盖章的省级（含）及以上计量部门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3.2气体室</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3.2.1工作温度：可同时设置空气模式（50℃）和烟气模式（180℃）；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3.2.2气体室耐腐蚀，气体室内光学反射镜为贵金属镀层；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3.2.3光程长度：≥9 m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3.2.4气体池集成带温控功能的粉尘滤芯进气装置，起到保护气体池的</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作用</w:t>
      </w:r>
      <w:r>
        <w:rPr>
          <w:rFonts w:hint="eastAsia" w:eastAsia="宋体"/>
          <w:color w:val="000000" w:themeColor="text1"/>
          <w:sz w:val="28"/>
          <w:szCs w:val="28"/>
          <w:highlight w:val="none"/>
          <w:shd w:val="clear" w:color="auto" w:fill="auto"/>
          <w14:textFill>
            <w14:solidFill>
              <w14:schemeClr w14:val="tx1"/>
            </w14:solidFill>
          </w14:textFill>
        </w:rPr>
        <w:t xml:space="preserve">；滤芯可拆卸。</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3.3烟气采样枪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3.3.1伴热管：采样枪到主机3米长，导管加热恒温180℃；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3.3.2过滤系统，粉尘过滤不大于5µm；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3.4仪器工作站</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3.4.1出厂标定光谱库 </w:t>
      </w:r>
      <w:r/>
    </w:p>
    <w:tbl>
      <w:tblPr>
        <w:tblStyle w:val="858"/>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1596"/>
        <w:gridCol w:w="1056"/>
        <w:gridCol w:w="1957"/>
        <w:gridCol w:w="1687"/>
      </w:tblGrid>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序号</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中文名称</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化学式</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检出限(mg/m3)</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量程(mg/m3)</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一氧化碳</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150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二氧化氮</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NO2</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100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一氧化氮</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NO</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130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二氧化硫</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SO2</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480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二氧化碳</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CO2</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3000</w:t>
            </w:r>
            <w:r/>
          </w:p>
        </w:tc>
      </w:tr>
      <w:tr>
        <w:trPr>
          <w:jc w:val="center"/>
          <w:trHeight w:val="342"/>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氯化氢</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HCl</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240</w:t>
            </w:r>
            <w:r/>
          </w:p>
        </w:tc>
      </w:tr>
      <w:tr>
        <w:trPr>
          <w:jc w:val="center"/>
          <w:trHeight w:val="90"/>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氰化氢</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HCN</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5~240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氟化氢</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HF</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45</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一氧化二氮</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N2O</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200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氨气</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NH3</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160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w:t>
            </w:r>
            <w:r/>
          </w:p>
        </w:tc>
        <w:tc>
          <w:tcPr>
            <w:shd w:val="clear" w:color="auto" w:fill="auto"/>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甲烷</w:t>
            </w:r>
            <w:r/>
          </w:p>
        </w:tc>
        <w:tc>
          <w:tcPr>
            <w:shd w:val="clear" w:color="auto" w:fill="auto"/>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CH4</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0.25</w:t>
            </w:r>
            <w:r/>
          </w:p>
        </w:tc>
        <w:tc>
          <w:tcPr>
            <w:shd w:val="clear" w:color="auto" w:fill="auto"/>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 ~ 100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w:t>
            </w:r>
            <w:r/>
          </w:p>
        </w:tc>
        <w:tc>
          <w:tcPr>
            <w:shd w:val="clear" w:color="auto" w:fill="auto"/>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乙烷</w:t>
            </w:r>
            <w:r/>
          </w:p>
        </w:tc>
        <w:tc>
          <w:tcPr>
            <w:shd w:val="clear" w:color="auto" w:fill="auto"/>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C2H6</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w:t>
            </w:r>
            <w:r/>
          </w:p>
        </w:tc>
        <w:tc>
          <w:tcPr>
            <w:shd w:val="clear" w:color="auto" w:fill="auto"/>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 ~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丙烷</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C3H8</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乙烯</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C2H4</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 ~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丙烯</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C3H6</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0.8</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乙炔</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C2H2</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 ~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苯</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C6H6</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甲苯</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C7H8</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 50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乙苯</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C8H10</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 100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苯乙烯</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C8H8</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 ~ 100</w:t>
            </w:r>
            <w:r/>
          </w:p>
        </w:tc>
      </w:tr>
      <w:tr>
        <w:trPr>
          <w:jc w:val="center"/>
          <w:trHeight w:val="57"/>
        </w:trPr>
        <w:tc>
          <w:tcPr>
            <w:tcW w:w="1010"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21</w:t>
            </w:r>
            <w:r/>
          </w:p>
        </w:tc>
        <w:tc>
          <w:tcPr>
            <w:tcW w:w="1011"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水</w:t>
            </w:r>
            <w:r/>
          </w:p>
        </w:tc>
        <w:tc>
          <w:tcPr>
            <w:tcW w:w="669"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H2O</w:t>
            </w:r>
            <w:r/>
          </w:p>
        </w:tc>
        <w:tc>
          <w:tcPr>
            <w:shd w:val="clear" w:color="auto" w:fill="auto"/>
            <w:tcW w:w="124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0.03%</w:t>
            </w:r>
            <w:r/>
          </w:p>
        </w:tc>
        <w:tc>
          <w:tcPr>
            <w:tcW w:w="106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0.03%~30%</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3.4.2分析软件需同时显示全部标定组分浓度、大气压力、气体室温度、气体室压强、氧化锆测试结果、测量数据的地理位置信息。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3.4.3测量时间可选，可进行无人值守的连续测量。</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3.4.4仪器工作站须具有数据库进行文件自动记录与存储、历史数据查询、再处理的功能。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3.4.5能够进行未知气体的自动查找和判定；</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3.4.6能进行ppm与mg/m3以及干、湿气体浓度的测量及转换；</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用户可根据需要远程查看仪器工作状态和测试数据，对仪器数据进行下载制作报表。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6" w:name="_Toc20742"/>
      <w:r>
        <w:rPr>
          <w:rFonts w:hint="eastAsia" w:eastAsia="宋体"/>
          <w:color w:val="000000" w:themeColor="text1"/>
          <w:sz w:val="28"/>
          <w:szCs w:val="28"/>
          <w:highlight w:val="none"/>
          <w:shd w:val="clear" w:color="auto" w:fill="auto"/>
          <w14:textFill>
            <w14:solidFill>
              <w14:schemeClr w14:val="tx1"/>
            </w14:solidFill>
          </w14:textFill>
        </w:rPr>
        <w:t xml:space="preserve">四十八、气体检测管（1批）</w:t>
      </w:r>
      <w:bookmarkEnd w:id="236"/>
      <w:r/>
      <w:r/>
    </w:p>
    <w:tbl>
      <w:tblPr>
        <w:tblStyle w:val="858"/>
        <w:tblW w:w="496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39"/>
        <w:gridCol w:w="2254"/>
        <w:gridCol w:w="2288"/>
        <w:gridCol w:w="2376"/>
      </w:tblGrid>
      <w:tr>
        <w:trPr>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产品名称</w:t>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测量范围</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产品名称</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测量范围</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一氧化碳</w:t>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5-100ppm</w:t>
            </w:r>
            <w:r/>
          </w:p>
        </w:tc>
        <w:tc>
          <w:tcPr>
            <w:shd w:val="clear" w:color="auto" w:fill="auto"/>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苯</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20-400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10-200 mg/m3</w:t>
            </w:r>
            <w:r/>
          </w:p>
        </w:tc>
        <w:tc>
          <w:tcPr>
            <w:shd w:val="clear" w:color="auto" w:fill="auto"/>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苯系物中苯</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20-400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20-500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甲苯</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50-1000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200-5000mg/m3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二甲苯</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50-1000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硫化氢</w:t>
            </w:r>
            <w:r/>
          </w:p>
        </w:tc>
        <w:tc>
          <w:tcPr>
            <w:tcBorders>
              <w:top w:val="single" w:color="auto" w:sz="2" w:space="0"/>
              <w:left w:val="single" w:color="auto" w:sz="2" w:space="0"/>
              <w:bottom w:val="single" w:color="auto" w:sz="2" w:space="0"/>
              <w:right w:val="single" w:color="auto" w:sz="2" w:space="0"/>
            </w:tcBorders>
            <w:tcW w:w="1320"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5-100mg/m3</w:t>
            </w:r>
            <w:r/>
          </w:p>
        </w:tc>
        <w:tc>
          <w:tcPr>
            <w:tcBorders>
              <w:top w:val="single" w:color="auto" w:sz="2" w:space="0"/>
              <w:left w:val="single" w:color="auto" w:sz="2" w:space="0"/>
              <w:bottom w:val="single" w:color="auto" w:sz="2" w:space="0"/>
              <w:right w:val="single" w:color="auto" w:sz="2" w:space="0"/>
            </w:tcBorders>
            <w:tcW w:w="135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二氧化硫</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10-150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5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50-1500 mg/m3</w:t>
            </w:r>
            <w:r/>
          </w:p>
        </w:tc>
      </w:tr>
      <w:tr>
        <w:trPr>
          <w:cantSplit/>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2-60 mg/m3</w:t>
            </w:r>
            <w:r/>
          </w:p>
        </w:tc>
        <w:tc>
          <w:tcPr>
            <w:tcBorders>
              <w:top w:val="single" w:color="auto" w:sz="2" w:space="0"/>
              <w:left w:val="single" w:color="auto" w:sz="2" w:space="0"/>
              <w:bottom w:val="single" w:color="auto" w:sz="2" w:space="0"/>
              <w:right w:val="single" w:color="auto" w:sz="2" w:space="0"/>
            </w:tcBorders>
            <w:tcW w:w="135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200-6000 mg/m3</w:t>
            </w:r>
            <w:r/>
          </w:p>
        </w:tc>
      </w:tr>
      <w:tr>
        <w:trPr>
          <w:cantSplit/>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10-200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氮氧化物</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5-100 mg/m3</w:t>
            </w:r>
            <w:r/>
          </w:p>
        </w:tc>
      </w:tr>
      <w:tr>
        <w:trPr>
          <w:cantSplit/>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200-5000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汽油</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50-1000 mg/m3</w:t>
            </w:r>
            <w:r/>
          </w:p>
        </w:tc>
      </w:tr>
      <w:tr>
        <w:trPr>
          <w:cantSplit/>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50-1500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液化石油气</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0.01</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0.2%</w:t>
            </w:r>
            <w:r/>
          </w:p>
        </w:tc>
      </w:tr>
      <w:tr>
        <w:trPr>
          <w:cantSplit/>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50-1500ppm</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氯气</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1-30 mg/m3</w:t>
            </w:r>
            <w:r/>
          </w:p>
        </w:tc>
      </w:tr>
      <w:tr>
        <w:trPr>
          <w:cantSplit/>
          <w:jc w:val="center"/>
          <w:trHeight w:val="397" w:hRule="exact"/>
        </w:trPr>
        <w:tc>
          <w:tcPr>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2-50ppm</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氯化氢</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10-200ppm</w:t>
            </w:r>
            <w:r/>
          </w:p>
        </w:tc>
        <w:tc>
          <w:tcPr>
            <w:tcBorders>
              <w:top w:val="single" w:color="auto" w:sz="2" w:space="0"/>
              <w:left w:val="single" w:color="auto" w:sz="2" w:space="0"/>
              <w:bottom w:val="single" w:color="auto" w:sz="2" w:space="0"/>
              <w:right w:val="single" w:color="auto" w:sz="2" w:space="0"/>
            </w:tcBorders>
            <w:tcW w:w="135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二氧化碳</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5000-20万mg/m3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50-1000ppm</w:t>
            </w:r>
            <w:r/>
          </w:p>
        </w:tc>
        <w:tc>
          <w:tcPr>
            <w:tcBorders>
              <w:top w:val="single" w:color="auto" w:sz="2" w:space="0"/>
              <w:left w:val="single" w:color="auto" w:sz="2" w:space="0"/>
              <w:bottom w:val="single" w:color="auto" w:sz="2" w:space="0"/>
              <w:right w:val="single" w:color="auto" w:sz="2" w:space="0"/>
            </w:tcBorders>
            <w:tcW w:w="135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300-5000ppm</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200-5000ppm</w:t>
            </w:r>
            <w:r/>
          </w:p>
        </w:tc>
        <w:tc>
          <w:tcPr>
            <w:tcBorders>
              <w:top w:val="single" w:color="auto" w:sz="2" w:space="0"/>
              <w:left w:val="single" w:color="auto" w:sz="2" w:space="0"/>
              <w:bottom w:val="single" w:color="auto" w:sz="2" w:space="0"/>
              <w:right w:val="single" w:color="auto" w:sz="2" w:space="0"/>
            </w:tcBorders>
            <w:tcW w:w="135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磷化氢</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2-50ppm</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0.5-5ppm(500mL)</w:t>
            </w:r>
            <w:r/>
          </w:p>
        </w:tc>
        <w:tc>
          <w:tcPr>
            <w:tcBorders>
              <w:top w:val="single" w:color="auto" w:sz="2" w:space="0"/>
              <w:left w:val="single" w:color="auto" w:sz="2" w:space="0"/>
              <w:bottom w:val="single" w:color="auto" w:sz="2" w:space="0"/>
              <w:right w:val="single" w:color="auto" w:sz="2" w:space="0"/>
            </w:tcBorders>
            <w:tcW w:w="135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10-200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35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100-1500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氨气</w:t>
            </w:r>
            <w:r/>
          </w:p>
        </w:tc>
        <w:tc>
          <w:tcPr>
            <w:tcBorders>
              <w:top w:val="single" w:color="auto" w:sz="2" w:space="0"/>
              <w:left w:val="single" w:color="auto" w:sz="2" w:space="0"/>
              <w:bottom w:val="single" w:color="auto" w:sz="2" w:space="0"/>
              <w:right w:val="single" w:color="auto" w:sz="2" w:space="0"/>
            </w:tcBorders>
            <w:tcW w:w="1320"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5-100 mg/m3</w:t>
            </w:r>
            <w:r/>
          </w:p>
        </w:tc>
        <w:tc>
          <w:tcPr>
            <w:tcBorders>
              <w:top w:val="single" w:color="auto" w:sz="2" w:space="0"/>
              <w:left w:val="single" w:color="auto" w:sz="2" w:space="0"/>
              <w:bottom w:val="single" w:color="auto" w:sz="2" w:space="0"/>
              <w:right w:val="single" w:color="auto" w:sz="2" w:space="0"/>
            </w:tcBorders>
            <w:tcW w:w="1356" w:type="pct"/>
            <w:vAlign w:val="center"/>
            <w:vMerge w:val="restar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臭氧</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0.3-10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56"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2-50ppm</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10-300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氟化氢</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20-500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二硫化碳</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10-400 mg/m3</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50-1000 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乙醇</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0.1</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6%</w:t>
            </w:r>
            <w:r/>
          </w:p>
        </w:tc>
      </w:tr>
      <w:tr>
        <w:trPr>
          <w:cantSplit/>
          <w:jc w:val="center"/>
          <w:trHeight w:val="397" w:hRule="exact"/>
        </w:trPr>
        <w:tc>
          <w:tcPr>
            <w:shd w:val="clear" w:color="auto" w:fill="auto"/>
            <w:tcBorders>
              <w:top w:val="single" w:color="auto" w:sz="2" w:space="0"/>
              <w:left w:val="single" w:color="auto" w:sz="2" w:space="0"/>
              <w:bottom w:val="single" w:color="auto" w:sz="2" w:space="0"/>
              <w:right w:val="single" w:color="auto" w:sz="2" w:space="0"/>
            </w:tcBorders>
            <w:tcW w:w="914" w:type="pct"/>
            <w:vAlign w:val="center"/>
            <w:vMerge w:val="continue"/>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1-30mg/m3</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甲醇</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200-6000 mg/m3</w:t>
            </w:r>
            <w:r/>
          </w:p>
        </w:tc>
      </w:tr>
      <w:tr>
        <w:trPr>
          <w:cantSplit/>
          <w:jc w:val="center"/>
          <w:trHeight w:val="525" w:hRule="exact"/>
        </w:trPr>
        <w:tc>
          <w:tcPr>
            <w:tcBorders>
              <w:top w:val="single" w:color="auto" w:sz="2" w:space="0"/>
              <w:left w:val="single" w:color="auto" w:sz="2" w:space="0"/>
              <w:bottom w:val="single" w:color="auto" w:sz="2" w:space="0"/>
              <w:right w:val="single" w:color="auto" w:sz="2" w:space="0"/>
            </w:tcBorders>
            <w:tcW w:w="914"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手动采样器</w:t>
            </w:r>
            <w:r/>
          </w:p>
        </w:tc>
        <w:tc>
          <w:tcPr>
            <w:tcBorders>
              <w:top w:val="single" w:color="auto" w:sz="2" w:space="0"/>
              <w:left w:val="single" w:color="auto" w:sz="2" w:space="0"/>
              <w:bottom w:val="single" w:color="auto" w:sz="2" w:space="0"/>
              <w:right w:val="single" w:color="auto" w:sz="2" w:space="0"/>
            </w:tcBorders>
            <w:tcW w:w="1320"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w:t>
            </w:r>
            <w:r/>
          </w:p>
        </w:tc>
        <w:tc>
          <w:tcPr>
            <w:tcBorders>
              <w:top w:val="single" w:color="auto" w:sz="2" w:space="0"/>
              <w:left w:val="single" w:color="auto" w:sz="2" w:space="0"/>
              <w:bottom w:val="single" w:color="auto" w:sz="2" w:space="0"/>
              <w:right w:val="single" w:color="auto" w:sz="2" w:space="0"/>
            </w:tcBorders>
            <w:tcW w:w="1356"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氧气</w:t>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0.3</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21%</w:t>
            </w:r>
            <w:r/>
          </w:p>
        </w:tc>
      </w:tr>
    </w:tbl>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7" w:name="_Toc4813"/>
      <w:r>
        <w:rPr>
          <w:rFonts w:hint="eastAsia" w:eastAsia="宋体"/>
          <w:color w:val="000000" w:themeColor="text1"/>
          <w:sz w:val="28"/>
          <w:szCs w:val="28"/>
          <w:highlight w:val="none"/>
          <w:shd w:val="clear" w:color="auto" w:fill="auto"/>
          <w14:textFill>
            <w14:solidFill>
              <w14:schemeClr w14:val="tx1"/>
            </w14:solidFill>
          </w14:textFill>
        </w:rPr>
        <w:t xml:space="preserve">四十九、便携式颗粒物检测仪</w:t>
      </w:r>
      <w:bookmarkEnd w:id="237"/>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1、用途：</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    应用激光散射法测量环境空气中TSP/PM10/PM2.5的浓度，具有测试速度快，灵敏度高，稳定性好，重量轻，噪声低，操作简单等优点。适用于家庭室内环境、办公室环境、汽车驾驶室等颗粒物TSP/PM10/PM2.5检测。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2、执行标准</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JJG 846-2015 《粉尘浓度测量仪检定规程》</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HJ 93-2013 《环境空气颗粒物（PM10和PM2.5）采样器技术要求及检测方法》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3、主要特点</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3.1可同时测量TSP/PM10/PM2.5三个污染物浓度参数；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3.2具备温度、湿度和大气压测量功能；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▲3.3机选用高清5寸触摸彩屏，亮度可调节；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3.4进气方式采用泵抽式，具备恒定流量控制功能；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3.5可以显示进气流量并且进气流量具备校准功能；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3.6污染物浓度参数具备曲线显示功能；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3.7测量参数包含所有测量项目颗粒物浓度的实时值、均值、TWA值、最大值和最小值；</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3.8可以输入采样地点并可对采样点周围环境进行拍照留痕功能；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3.9具备声音报警、流量异常报警、均值报警、最大值报警和TWA报警功能；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3.10具备操作日志查询功能；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3.11保存的测量数据和留痕照片可以通过U盘导出；</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3.12测量数据可通过连接蓝牙打印机打印。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4、技术指标</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 PM2.5测量范围：(0～30000)ug/m³，分辨率为1ug/m³，准确度为±10%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4.2 PM10测量范围：(0～30000)ug/m³，分辨率为1ug/m³，准确度为±15%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4.3 TSP测量范围：(0～30000)ug/m³，分辨率为1ug/m³，准确度为±15%</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4.4 温度测量范围：(-20～50)℃，分辨率为0.1℃，准确度优于±1℃</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4.5 湿度测量范围：(0～99)%RH，分辨率为0.1%RH，准确度优于±3%RH</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4.6 工作时间&gt;6小时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4.7 数据可连接蓝牙打印机进行打印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4.8 可测量数据：实时值、均值、TWA值、最大值、最小值</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4.9 可保存数据：均值、TWA值、最大值、最小值</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4.10 具备拍照打卡功能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4.11工作温度范围：(-20～50)℃</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4.12 测量原理：激光散射测量法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4.13 响应时间≤10s</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4.14 主机尺寸：（长141×96宽×50高）mm</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4.15 主机重量≤0.6kg</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8" w:name="_Toc22978"/>
      <w:r>
        <w:rPr>
          <w:rFonts w:hint="eastAsia" w:eastAsia="宋体"/>
          <w:color w:val="000000" w:themeColor="text1"/>
          <w:sz w:val="28"/>
          <w:szCs w:val="28"/>
          <w:highlight w:val="none"/>
          <w:shd w:val="clear" w:color="auto" w:fill="auto"/>
          <w14:textFill>
            <w14:solidFill>
              <w14:schemeClr w14:val="tx1"/>
            </w14:solidFill>
          </w14:textFill>
        </w:rPr>
        <w:t xml:space="preserve">五十、红外热成像气体泄漏检测仪</w:t>
      </w:r>
      <w:bookmarkEnd w:id="238"/>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采购清单</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5394"/>
        <w:gridCol w:w="1079"/>
        <w:gridCol w:w="1161"/>
      </w:tblGrid>
      <w:tr>
        <w:trPr>
          <w:jc w:val="center"/>
          <w:trHeight w:val="478"/>
        </w:trPr>
        <w:tc>
          <w:tcPr>
            <w:tcW w:w="521"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序号</w:t>
            </w:r>
            <w:r/>
          </w:p>
        </w:tc>
        <w:tc>
          <w:tcPr>
            <w:tcW w:w="316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名称</w:t>
            </w:r>
            <w:r/>
          </w:p>
        </w:tc>
        <w:tc>
          <w:tcPr>
            <w:tcW w:w="633"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数量</w:t>
            </w:r>
            <w:r/>
          </w:p>
        </w:tc>
        <w:tc>
          <w:tcPr>
            <w:tcW w:w="681"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单位</w:t>
            </w:r>
            <w:r/>
          </w:p>
        </w:tc>
      </w:tr>
      <w:tr>
        <w:trPr>
          <w:jc w:val="center"/>
          <w:trHeight w:val="470"/>
        </w:trPr>
        <w:tc>
          <w:tcPr>
            <w:tcW w:w="521"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3164"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红外热成像气体泄漏检测仪</w:t>
            </w:r>
            <w:r/>
          </w:p>
        </w:tc>
        <w:tc>
          <w:tcPr>
            <w:tcW w:w="633"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681" w:type="pct"/>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套</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单套配置要求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主机，1台</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专用锂电池，3块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专用电源适配器和充电底座，1套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USB数据线和HDMI数据线，1套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标准SD卡和读卡器，1套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专用蓝牙耳机，1副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镜头清洁工具套装，1套</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仪器防护箱，1个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定量模块，1个</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基本要求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针对挥发性有机气体的非接触式检测仪，以图像形式快速发现挥发性有机气体泄漏，并能精准定位泄漏或排放源头。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探测器类型：制冷型高灵敏度探测器；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操作方式：具备中文操作界面，用按键或者触摸屏操作；</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图像调整：自动/手动调整对比度、亮度；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气体增强显示：具备高灵敏度模式，可探测到微小泄漏状态；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录制红外视频和可见光视频时，可以同时录制语音数据；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语音记录和回放功能：可随图像一同存储不少于60秒语音记录；</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具有可旋转触摸彩色显示屏，可根据测量点位调整屏幕视角，方便观察；</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▲激光指示：具有激光指示功能，激光分类为二级，功率为1mW，波长为635nm红色激光。（提供省级或省级以上国家计量检测机构出具的检测报告）</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▲激光指示：具有激光指示和测距功能，可在屏幕上显示距离信息，可选配最大测量距离≥1000m。（提供仪器原厂盖章的省级或省级以上国家计量检测机构出具的检测报告和软件操作界面截图）</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测温精度：采用不少于4个不同的温度校准点，进行温度校准比对，示值误差均≤2%。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GPS定位：主机屏幕可以显示实时经纬度信息。</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放大镜功能：可使用放大镜功能对热图像进行局部放大。</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图像冻结功能：具备图像冻结功能。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通过WIFI连接防爆手操器，可对红外热成像气体泄漏检测仪图像远程传输并可以进行远程控制。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▲具有防爆合格证，且防爆等级不低于Ex ic nc IIC T6 Gc，防爆证上不能有产品和测量点之间的距离限制，且需满足光辐照度≤5mW/mm2。（提供NEPSI或CNEX国家级防爆机构颁发的防爆合格证及对应报告复印件）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防护等级：不低于IP54。</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▲电池使用时间：具有电量报警、自动关机或自动</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熄</w:t>
      </w:r>
      <w:r>
        <w:rPr>
          <w:rFonts w:hint="eastAsia" w:eastAsia="宋体"/>
          <w:color w:val="000000" w:themeColor="text1"/>
          <w:sz w:val="28"/>
          <w:szCs w:val="28"/>
          <w:highlight w:val="none"/>
          <w:shd w:val="clear" w:color="auto" w:fill="auto"/>
          <w14:textFill>
            <w14:solidFill>
              <w14:schemeClr w14:val="tx1"/>
            </w14:solidFill>
          </w14:textFill>
        </w:rPr>
        <w:t xml:space="preserve">屏功能，单块电池连续使用时间≥4小时；低温环境下（-20℃及以下）电池使用时间≥3小时。（提供省级或省级以上国家计量检测机构出具的检测报告复印件）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充电方式：仪器具备直接充电和座充两种充电方式，可采用电源适配器连接主机充电口直接充电，或将电池拆卸采用座充独立充电，座充可同时为两块电池充电。</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▲需具备定量功能，可通过WIFI连接定量模块（FID+PID），仪器屏幕可以同时显示FID检测器和PID检测器实时</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检测</w:t>
      </w:r>
      <w:r>
        <w:rPr>
          <w:rFonts w:hint="eastAsia" w:eastAsia="宋体"/>
          <w:color w:val="000000" w:themeColor="text1"/>
          <w:sz w:val="28"/>
          <w:szCs w:val="28"/>
          <w:highlight w:val="none"/>
          <w:shd w:val="clear" w:color="auto" w:fill="auto"/>
          <w14:textFill>
            <w14:solidFill>
              <w14:schemeClr w14:val="tx1"/>
            </w14:solidFill>
          </w14:textFill>
        </w:rPr>
        <w:t xml:space="preserve">数据。（提供仪器连接界面截图）</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定量模块技术要求：</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检测原理：FID检测器和PID检测器。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▲氢气气源：储氢合金作为氢气气源，连续工作时间≥6小时；储氢合金重量不超过100g，容纳氢气体积不少于10L；（提供省级或省级以上国家计量检测机构出具的检测报告复印件）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▲氢气瓶充氢方式：可使用电解水原理的小型氢气发生器充气，氢气发生器重量≤2kg。（提供省级或省级以上国家计量检测机构出具的检测报告复印件）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▲氢气发生器可选配防爆外壳，可适用于防爆环境下；同时至少需达到IP66防护等级。（提供仪器原厂盖章的具有NEPSI或CNEX国家级防爆机构颁发的防爆合格证）</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▲防爆要求：分析仪在有潜在易燃易爆气体的危险性环境中操作，应具有防爆安全性，整机防爆等级至少达到Ex db i</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b</w:t>
      </w:r>
      <w:r>
        <w:rPr>
          <w:rFonts w:hint="eastAsia" w:eastAsia="宋体"/>
          <w:color w:val="000000" w:themeColor="text1"/>
          <w:sz w:val="28"/>
          <w:szCs w:val="28"/>
          <w:highlight w:val="none"/>
          <w:shd w:val="clear" w:color="auto" w:fill="auto"/>
          <w14:textFill>
            <w14:solidFill>
              <w14:schemeClr w14:val="tx1"/>
            </w14:solidFill>
          </w14:textFill>
        </w:rPr>
        <w:t xml:space="preserve"> IIC T4 Gb；（提供NEPSI或CNEX国家级防爆机构颁发的防爆合格证，需与仪器型号保持一致）</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供电方式：采用可拆卸电池供电，电池容量≥3500mAh，单个电池的连续工作时间≥6小时；（提供省级或省级以上国家计量检测机构出具的检测报告复印件）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▲储氢合金安全性：危险性识别和空运货物条件限制（提供国家认可的检测机构出具的货物运输条件鉴定书）</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充电方式：仪器具备直接充电和座充两种充电方式，可采用电源适配器连接主机充电口直接充电，或将电池拆卸采用座充独立充电，座充可同时为两块电池充电；（提供省级或省级以上国家计量检测机构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量程范围：FID：0~50000μmol/mol，PID：0.5~2000μmol/mol；</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检出限：FID：≤0.5μmol/mol，PID：≤0.5μmol/mol； </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重复性：FID：≤2%，PID：≤2%；仪器平行性：FID：≤2%，PID：≤2%</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▲分析仪总重量≤2.5kg；（提供省级或省级以上国家计量检测机构出具的检测报告复印件）</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配备VOCs泄漏现场筛查工具APP，可以实现现场拍照取证功能，照片中可以同时显示当前实时的地理位置信息（GPS）以及定量模块FID和PID检测实时数值和最大值，还可以显示当前日期、时间以及检测仪器的型号。（提供APP软件截图）</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▲仪器及定量模块可与VOCs现场监察综合管控平台系统、APP实现联动，仪器检测数据及检测点信息通过手操器实现上传，系统需至少包含建档管理、数据导入、任务管理、统计分析、报表导出等功能。</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参数要求</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2429"/>
        <w:gridCol w:w="5330"/>
      </w:tblGrid>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序号</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项目</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指标要求</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工作温度</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-20℃～+60℃</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存储温度</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-40℃～+80℃</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测温范围</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-40℃～+500℃</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(4)</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工作波段</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3.2~3.5μm</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分辨率</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≥320×256</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(6)</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热灵敏度</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≤10mk@25℃</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(7)</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制冷器运行噪声</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≤35dB</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(8)</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显示屏</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w:t>
            </w:r>
            <w:r>
              <w:rPr>
                <w:rFonts w:hint="eastAsia" w:eastAsia="宋体"/>
                <w:color w:val="000000" w:themeColor="text1"/>
                <w:sz w:val="28"/>
                <w:szCs w:val="28"/>
                <w:highlight w:val="none"/>
                <w:shd w:val="clear" w:color="auto" w:fill="auto"/>
                <w:lang w:val="en-US" w:eastAsia="zh-CN"/>
                <w14:textFill>
                  <w14:solidFill>
                    <w14:schemeClr w14:val="tx1"/>
                  </w14:solidFill>
                </w14:textFill>
              </w:rPr>
              <w:t xml:space="preserve">in</w:t>
            </w:r>
            <w:r>
              <w:rPr>
                <w:rFonts w:hint="eastAsia" w:eastAsia="宋体"/>
                <w:color w:val="000000" w:themeColor="text1"/>
                <w:sz w:val="28"/>
                <w:szCs w:val="28"/>
                <w:highlight w:val="none"/>
                <w:shd w:val="clear" w:color="auto" w:fill="auto"/>
                <w14:textFill>
                  <w14:solidFill>
                    <w14:schemeClr w14:val="tx1"/>
                  </w14:solidFill>
                </w14:textFill>
              </w:rPr>
              <w:t xml:space="preserve">可旋转触摸液晶显示屏，分辨率≥1920×1080</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(9)</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启动时间</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 min</w:t>
            </w:r>
            <w:r/>
          </w:p>
        </w:tc>
      </w:tr>
      <w:tr>
        <w:trPr>
          <w:jc w:val="center"/>
          <w:trHeight w:val="407"/>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(10)</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eastAsia="宋体"/>
                <w:color w:val="000000" w:themeColor="text1"/>
                <w:sz w:val="28"/>
                <w:szCs w:val="28"/>
                <w:highlight w:val="none"/>
                <w:shd w:val="clear" w:color="auto" w:fill="auto"/>
                <w14:textFill>
                  <w14:solidFill>
                    <w14:schemeClr w14:val="tx1"/>
                  </w14:solidFill>
                </w14:textFill>
              </w:rPr>
              <w:t xml:space="preserve">目镜分辨率</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≥1920×1080（OLED，可旋转）</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可见光摄像头像素</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≥500万（CMOS，带补光灯）</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(12)</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手柄可旋转角度</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≥180度</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(13)</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显示模式</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可使用用户自定义的调色板伪彩显示热图，具有不少于10种伪彩色调色板，可以手动/自动调节色标，具备色标反向功能。</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(14)</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变倍</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1~10倍连续数字变倍</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(15)</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视频存储</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SD卡≥64G</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(16)</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重量</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≤2.7kg（含标配镜头和电池）</w:t>
            </w:r>
            <w:r/>
          </w:p>
        </w:tc>
      </w:tr>
      <w:tr>
        <w:trPr>
          <w:jc w:val="center"/>
          <w:trHeight w:val="395"/>
        </w:trPr>
        <w:tc>
          <w:tcPr>
            <w:tcW w:w="448"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(17)</w:t>
            </w:r>
            <w:r/>
          </w:p>
        </w:tc>
        <w:tc>
          <w:tcPr>
            <w:tcW w:w="1425"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仪器防护箱</w:t>
            </w:r>
            <w:r/>
          </w:p>
        </w:tc>
        <w:tc>
          <w:tcPr>
            <w:tcW w:w="3127" w:type="pct"/>
            <w:vAlign w:val="center"/>
            <w:textDirection w:val="lrTb"/>
            <w:noWrap w:val="false"/>
          </w:tcPr>
          <w:p>
            <w:pPr>
              <w:pStyle w:val="864"/>
              <w:jc w:val="center"/>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拉杆式防护箱，防护等级不低于IP67</w:t>
            </w:r>
            <w:r/>
          </w:p>
        </w:tc>
      </w:tr>
      <w:tr>
        <w:trPr>
          <w:jc w:val="center"/>
          <w:trHeight w:val="395"/>
        </w:trPr>
        <w:tc>
          <w:tcPr>
            <w:gridSpan w:val="3"/>
            <w:tcW w:w="5000" w:type="pct"/>
            <w:vAlign w:val="center"/>
            <w:textDirection w:val="lrTb"/>
            <w:noWrap w:val="false"/>
          </w:tcPr>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注：此表格中的▲参数均需提供仪器原厂盖章的省级或省级以上检测机构出具的报告原件彩色扫描件。</w:t>
            </w:r>
            <w:r/>
          </w:p>
        </w:tc>
      </w:tr>
    </w:tbl>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bookmarkStart w:id="239" w:name="_Toc14127"/>
      <w:r>
        <w:rPr>
          <w:rFonts w:hint="eastAsia" w:eastAsia="宋体"/>
          <w:color w:val="000000" w:themeColor="text1"/>
          <w:sz w:val="28"/>
          <w:szCs w:val="28"/>
          <w:highlight w:val="none"/>
          <w:shd w:val="clear" w:color="auto" w:fill="auto"/>
          <w14:textFill>
            <w14:solidFill>
              <w14:schemeClr w14:val="tx1"/>
            </w14:solidFill>
          </w14:textFill>
        </w:rPr>
        <w:t xml:space="preserve">五十一、土壤采样器</w:t>
      </w:r>
      <w:bookmarkEnd w:id="239"/>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1、需求：现场土壤采样。</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2、规格：手动</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3、配置：</w:t>
      </w:r>
      <w:r/>
    </w:p>
    <w:p>
      <w:pPr>
        <w:pStyle w:val="864"/>
        <w:jc w:val="both"/>
        <w:spacing w:beforeAutospacing="0" w:afterAutospacing="0" w:line="360" w:lineRule="auto"/>
        <w:rPr>
          <w:rFonts w:eastAsia="宋体"/>
          <w:color w:val="000000" w:themeColor="text1"/>
          <w:sz w:val="28"/>
          <w:szCs w:val="28"/>
          <w:highlight w:val="none"/>
          <w:shd w:val="clear" w:color="auto" w:fill="auto"/>
          <w14:textFill>
            <w14:solidFill>
              <w14:schemeClr w14:val="tx1"/>
            </w14:solidFill>
          </w14:textFill>
        </w:rPr>
      </w:pPr>
      <w:r>
        <w:rPr>
          <w:rFonts w:hint="eastAsia" w:eastAsia="宋体"/>
          <w:color w:val="000000" w:themeColor="text1"/>
          <w:sz w:val="28"/>
          <w:szCs w:val="28"/>
          <w:highlight w:val="none"/>
          <w:shd w:val="clear" w:color="auto" w:fill="auto"/>
          <w14:textFill>
            <w14:solidFill>
              <w14:schemeClr w14:val="tx1"/>
            </w14:solidFill>
          </w14:textFill>
        </w:rPr>
        <w:t xml:space="preserve">3cm心型</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黏土</w:t>
      </w:r>
      <w:r>
        <w:rPr>
          <w:rFonts w:hint="eastAsia" w:eastAsia="宋体"/>
          <w:color w:val="000000" w:themeColor="text1"/>
          <w:sz w:val="28"/>
          <w:szCs w:val="28"/>
          <w:highlight w:val="none"/>
          <w:shd w:val="clear" w:color="auto" w:fill="auto"/>
          <w14:textFill>
            <w14:solidFill>
              <w14:schemeClr w14:val="tx1"/>
            </w14:solidFill>
          </w14:textFill>
        </w:rPr>
        <w:t xml:space="preserve">钻头、4cm心型壤土钻头、7cm心型沙土钻头、5cm</w:t>
      </w:r>
      <w:r>
        <w:rPr>
          <w:rFonts w:hint="eastAsia" w:eastAsia="宋体"/>
          <w:color w:val="000000" w:themeColor="text1"/>
          <w:sz w:val="28"/>
          <w:szCs w:val="28"/>
          <w:highlight w:val="none"/>
          <w:shd w:val="clear" w:color="auto" w:fill="auto"/>
          <w:lang w:eastAsia="zh-CN"/>
          <w14:textFill>
            <w14:solidFill>
              <w14:schemeClr w14:val="tx1"/>
            </w14:solidFill>
          </w14:textFill>
        </w:rPr>
        <w:t xml:space="preserve">心型</w:t>
      </w:r>
      <w:r>
        <w:rPr>
          <w:rFonts w:hint="eastAsia" w:eastAsia="宋体"/>
          <w:color w:val="000000" w:themeColor="text1"/>
          <w:sz w:val="28"/>
          <w:szCs w:val="28"/>
          <w:highlight w:val="none"/>
          <w:shd w:val="clear" w:color="auto" w:fill="auto"/>
          <w14:textFill>
            <w14:solidFill>
              <w14:schemeClr w14:val="tx1"/>
            </w14:solidFill>
          </w14:textFill>
        </w:rPr>
        <w:t xml:space="preserve">泥炭钻头、多石土钻头、泥浆土钻头、T 型手柄、0.5米延长杆、1米延长杆、刮刀、扳手、手套、钢卷尺、铝箱1套。</w:t>
      </w:r>
      <w:r/>
    </w:p>
    <w:p>
      <w:pPr>
        <w:pStyle w:val="864"/>
        <w:jc w:val="both"/>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ascii="Times New Roman" w:hAnsi="Times New Roman"/>
          <w:i/>
          <w:color w:val="000000" w:themeColor="text1"/>
          <w:sz w:val="28"/>
          <w:szCs w:val="28"/>
          <w:highlight w:val="none"/>
          <w:u w:val="single"/>
          <w:shd w:val="clear" w:color="auto" w:fill="auto"/>
          <w14:textFill>
            <w14:solidFill>
              <w14:schemeClr w14:val="tx1"/>
            </w14:solidFill>
          </w14:textFill>
        </w:rPr>
        <w:t xml:space="preserve">1</w:t>
      </w:r>
      <w:r>
        <w:rPr>
          <w:rFonts w:hint="eastAsia" w:ascii="Times New Roman" w:hAnsi="Times New Roman"/>
          <w:i/>
          <w:color w:val="000000" w:themeColor="text1"/>
          <w:sz w:val="28"/>
          <w:szCs w:val="28"/>
          <w:highlight w:val="none"/>
          <w:u w:val="single"/>
          <w:shd w:val="clear" w:color="auto" w:fill="auto"/>
          <w14:textFill>
            <w14:solidFill>
              <w14:schemeClr w14:val="tx1"/>
            </w14:solidFill>
          </w14:textFill>
        </w:rPr>
        <w:t xml:space="preserve">0</w:t>
      </w:r>
      <w:r>
        <w:rPr>
          <w:rFonts w:ascii="Times New Roman" w:hAnsi="Times New Roman"/>
          <w:i/>
          <w:color w:val="000000" w:themeColor="text1"/>
          <w:sz w:val="28"/>
          <w:szCs w:val="28"/>
          <w:highlight w:val="none"/>
          <w:u w:val="single"/>
          <w:shd w:val="clear" w:color="auto" w:fill="auto"/>
          <w14:textFill>
            <w14:solidFill>
              <w14:schemeClr w14:val="tx1"/>
            </w14:solidFill>
          </w14:textFill>
        </w:rPr>
        <w:t xml:space="preserve">、本项目      进口产品投标（不接受）</w:t>
      </w:r>
      <w:r/>
    </w:p>
    <w:p>
      <w:pPr>
        <w:pStyle w:val="864"/>
        <w:jc w:val="both"/>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11、采购标的对应的中小企业划分标准所属行业一览表</w:t>
      </w:r>
      <w:r/>
    </w:p>
    <w:tbl>
      <w:tblPr>
        <w:tblStyle w:val="858"/>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512"/>
        <w:gridCol w:w="263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64"/>
              <w:jc w:val="center"/>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双路VOCs烟气采样器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智能双路烟气采样器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529"/>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废气多功能取样管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阻容法烟气含湿量检测器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环境空气采样器配件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 烟尘烟气采样器流量校准仪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全自动CODcr分析仪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吹扫捕集自动进样器(GC-MS用)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溶解氧仪（实验室用）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便携式溶解氧测定仪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便携式pH计（带温度补偿）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水质硫化物-酸化吹气仪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手提式不锈钢压力蒸汽灭菌锅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COD消解瓶、回流管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移液枪+吸头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鼓风干燥箱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 生化培养箱</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4"/>
              <w:jc w:val="center"/>
              <w:spacing w:beforeAutospacing="0" w:afterAutospacing="0"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sz w:val="28"/>
                <w:szCs w:val="28"/>
                <w:highlight w:val="none"/>
                <w:shd w:val="clear" w:color="auto" w:fill="auto"/>
                <w:lang w:bidi="ar"/>
              </w:rPr>
              <w:t xml:space="preserve">菌落计数器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旋涡振荡器</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生化需氧量测定仪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便携式交直流移动电源</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电动气瓶爬楼机</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便携式非甲烷总烃测试仪多功能烟</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动态稀释仪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智能微波消解仪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紫外烟气分析仪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水质采样器</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center"/>
              <w:spacing w:line="360" w:lineRule="auto"/>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ascii="宋体" w:hAnsi="宋体" w:eastAsia="宋体" w:cs="宋体"/>
                <w:color w:val="000000" w:themeColor="text1"/>
                <w:sz w:val="28"/>
                <w:szCs w:val="28"/>
                <w:highlight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水质采样器</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便携式抽滤仪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水样保存箱</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便携式流速测量仪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全球定位系统(GPS)</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便携式多参数水质测试仪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水质试纸</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水质试剂盒</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水质多参数分光光度仪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便携式测油仪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便携式气相分子吸收光谱仪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固相微萃取装置</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吹扫捕集装置</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生物毒性检测仪配套试剂</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手持式叶绿素（蓝绿藻）测定仪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细菌快速检测仪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苏玛罐</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便携式多种气体检测仪（电化学传感器法）配套气体检测模块</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便携式傅里叶红外分析仪(无机气体监测)</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气体检测管</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微软雅黑" w:hAnsi="微软雅黑" w:eastAsia="微软雅黑" w:cs="微软雅黑"/>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便携式颗粒物检测仪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红外热成像气体泄漏检测仪</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土壤采样装备</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64"/>
              <w:jc w:val="center"/>
              <w:spacing w:beforeAutospacing="0" w:afterAutospacing="0" w:line="360" w:lineRule="auto"/>
              <w:rPr>
                <w:rFonts w:ascii="微软雅黑" w:hAnsi="微软雅黑" w:eastAsia="微软雅黑" w:cs="微软雅黑"/>
                <w:color w:val="000000" w:themeColor="text1"/>
                <w:sz w:val="28"/>
                <w:szCs w:val="28"/>
                <w:highlight w:val="none"/>
                <w:shd w:val="clear" w:color="auto" w:fill="auto"/>
                <w14:textFill>
                  <w14:solidFill>
                    <w14:schemeClr w14:val="tx1"/>
                  </w14:solidFill>
                </w14:textFill>
              </w:rPr>
            </w:pP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工业</w:t>
            </w:r>
            <w:r/>
          </w:p>
        </w:tc>
      </w:tr>
    </w:tbl>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bookmarkStart w:id="240" w:name="_Toc120614281"/>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602"/>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keepNext/>
        <w:spacing w:beforeAutospacing="0" w:afterAutospacing="0" w:line="360" w:lineRule="auto"/>
        <w:rPr>
          <w:sz w:val="28"/>
          <w:szCs w:val="28"/>
          <w:highlight w:val="none"/>
          <w:shd w:val="clear" w:color="auto" w:fill="auto"/>
        </w:rPr>
      </w:pPr>
      <w:r>
        <w:rPr>
          <w:rFonts w:ascii="黑体" w:hAnsi="宋体" w:eastAsia="黑体" w:cs="黑体"/>
          <w:color w:val="000000"/>
          <w:sz w:val="28"/>
          <w:szCs w:val="28"/>
          <w:highlight w:val="none"/>
          <w:shd w:val="clear" w:color="auto" w:fill="auto"/>
        </w:rPr>
        <w:tab/>
      </w:r>
      <w:r>
        <w:rPr>
          <w:rFonts w:hint="eastAsia" w:ascii="黑体" w:hAnsi="宋体" w:eastAsia="黑体" w:cs="黑体"/>
          <w:color w:val="000000"/>
          <w:sz w:val="28"/>
          <w:szCs w:val="28"/>
          <w:highlight w:val="none"/>
          <w:shd w:val="clear" w:color="auto" w:fill="auto"/>
        </w:rPr>
        <w:t xml:space="preserve">第五章  </w:t>
      </w:r>
      <w:r>
        <w:rPr>
          <w:rFonts w:hint="eastAsia" w:ascii="黑体" w:hAnsi="宋体" w:eastAsia="黑体" w:cs="黑体"/>
          <w:b/>
          <w:color w:val="000000"/>
          <w:sz w:val="28"/>
          <w:szCs w:val="28"/>
          <w:highlight w:val="none"/>
          <w:shd w:val="clear" w:color="auto" w:fill="auto"/>
        </w:rPr>
        <w:t xml:space="preserve">评标方法与评标标准</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ascii="Arial" w:hAnsi="Arial" w:cs="Arial"/>
          <w:color w:val="000000"/>
          <w:sz w:val="28"/>
          <w:szCs w:val="28"/>
          <w:highlight w:val="none"/>
          <w:shd w:val="clear" w:color="auto" w:fil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1名中标候选人。</w:t>
      </w:r>
      <w:r/>
    </w:p>
    <w:p>
      <w:pPr>
        <w:pStyle w:val="864"/>
        <w:ind w:left="0" w:firstLine="562"/>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政府采购政策功能落实</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1、小微型企业价格扣除</w:t>
      </w:r>
      <w:r/>
    </w:p>
    <w:p>
      <w:pPr>
        <w:pStyle w:val="870"/>
        <w:ind w:left="0" w:firstLine="560"/>
        <w:keepLines w:val="0"/>
        <w:keepNext w:val="0"/>
        <w:pageBreakBefore w:val="0"/>
        <w:spacing w:before="0" w:after="0" w:line="360" w:lineRule="auto"/>
        <w:widowControl w:val="off"/>
        <w:rPr>
          <w:rFonts w:ascii="宋体" w:hAnsi="宋体" w:eastAsia="宋体"/>
          <w:sz w:val="28"/>
          <w:szCs w:val="28"/>
          <w:highlight w:val="none"/>
          <w:shd w:val="clear" w:color="auto" w:fill="auto"/>
        </w:rPr>
      </w:pPr>
      <w:r>
        <w:rPr>
          <w:rFonts w:hint="eastAsia" w:ascii="宋体" w:hAnsi="宋体" w:eastAsia="宋体"/>
          <w:sz w:val="28"/>
          <w:szCs w:val="28"/>
          <w:highlight w:val="none"/>
          <w:shd w:val="clear" w:color="auto" w:fill="auto"/>
        </w:rPr>
        <w:t xml:space="preserve">（1）本项目若不专门面向中小企业采购，对</w:t>
      </w:r>
      <w:r>
        <w:rPr>
          <w:rFonts w:hint="eastAsia" w:ascii="宋体" w:hAnsi="宋体" w:eastAsia="宋体"/>
          <w:sz w:val="28"/>
          <w:szCs w:val="28"/>
          <w:highlight w:val="none"/>
          <w:shd w:val="clear" w:color="auto" w:fill="auto"/>
          <w:lang w:val="en-US" w:eastAsia="zh-CN"/>
        </w:rPr>
        <w:t xml:space="preserve">符合规定的</w:t>
      </w:r>
      <w:r>
        <w:rPr>
          <w:rFonts w:hint="eastAsia" w:ascii="宋体" w:hAnsi="宋体" w:eastAsia="宋体"/>
          <w:sz w:val="28"/>
          <w:szCs w:val="28"/>
          <w:highlight w:val="none"/>
          <w:shd w:val="clear" w:color="auto" w:fill="auto"/>
        </w:rPr>
        <w:t xml:space="preserve">小型和微型企业</w:t>
      </w:r>
      <w:r>
        <w:rPr>
          <w:rFonts w:hint="eastAsia" w:ascii="宋体" w:hAnsi="宋体" w:eastAsia="宋体"/>
          <w:sz w:val="28"/>
          <w:szCs w:val="28"/>
          <w:highlight w:val="none"/>
          <w:shd w:val="clear" w:color="auto" w:fill="auto"/>
          <w:lang w:val="en-US" w:eastAsia="zh-CN"/>
        </w:rPr>
        <w:t xml:space="preserve">报价</w:t>
      </w:r>
      <w:r>
        <w:rPr>
          <w:rFonts w:hint="eastAsia" w:ascii="宋体" w:hAnsi="宋体" w:eastAsia="宋体"/>
          <w:sz w:val="28"/>
          <w:szCs w:val="28"/>
          <w:highlight w:val="none"/>
          <w:shd w:val="clear" w:color="auto" w:fill="auto"/>
        </w:rPr>
        <w:t xml:space="preserve">给予20%的扣除价格，用扣除后的价格参与评审；若专门面向中小企业采购，不再对小型和微型企业</w:t>
      </w:r>
      <w:r>
        <w:rPr>
          <w:rFonts w:hint="eastAsia" w:ascii="宋体" w:hAnsi="宋体" w:eastAsia="宋体"/>
          <w:sz w:val="28"/>
          <w:szCs w:val="28"/>
          <w:highlight w:val="none"/>
          <w:shd w:val="clear" w:color="auto" w:fill="auto"/>
          <w:lang w:val="en-US" w:eastAsia="zh-CN"/>
        </w:rPr>
        <w:t xml:space="preserve">报价</w:t>
      </w:r>
      <w:r>
        <w:rPr>
          <w:rFonts w:hint="eastAsia" w:ascii="宋体" w:hAnsi="宋体" w:eastAsia="宋体"/>
          <w:sz w:val="28"/>
          <w:szCs w:val="28"/>
          <w:highlight w:val="none"/>
          <w:shd w:val="clear" w:color="auto" w:fill="auto"/>
        </w:rPr>
        <w:t xml:space="preserve">给予价格扣除。</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（2）供应商需按照采购文件的要求提供相应的《小微企业声明函》。</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（3）企业标准请参照《关于印发中小企业划型标准规定的通知》（工信部联企业[2011]300号）文件规定自行填写。</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2、残疾人福利单位价格扣除</w:t>
      </w:r>
      <w:r/>
    </w:p>
    <w:p>
      <w:pPr>
        <w:pStyle w:val="864"/>
        <w:ind w:left="0" w:firstLine="56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u w:val="single"/>
          <w:shd w:val="clear" w:color="auto" w:fill="auto"/>
          <w:lang w:eastAsia="zh-CN"/>
        </w:rPr>
      </w:pPr>
      <w:r>
        <w:rPr>
          <w:rFonts w:hint="eastAsia" w:ascii="宋体" w:hAnsi="宋体" w:eastAsia="宋体" w:cs="宋体"/>
          <w:color w:val="000000"/>
          <w:sz w:val="28"/>
          <w:szCs w:val="28"/>
          <w:highlight w:val="none"/>
          <w:shd w:val="clear" w:color="auto" w:fill="auto"/>
        </w:rPr>
        <w:t xml:space="preserve">（1）本项目对残疾人福利性单位视同小型、微型企业，给予</w:t>
      </w:r>
      <w:r>
        <w:rPr>
          <w:rFonts w:hint="eastAsia" w:ascii="宋体" w:hAnsi="宋体" w:eastAsia="宋体" w:cs="宋体"/>
          <w:color w:val="000000"/>
          <w:sz w:val="28"/>
          <w:szCs w:val="28"/>
          <w:highlight w:val="none"/>
          <w:u w:val="single"/>
          <w:shd w:val="clear" w:color="auto" w:fill="auto"/>
        </w:rPr>
        <w:t xml:space="preserve">20%</w:t>
      </w:r>
      <w:r>
        <w:rPr>
          <w:rFonts w:hint="eastAsia" w:ascii="宋体" w:hAnsi="宋体" w:eastAsia="宋体" w:cs="宋体"/>
          <w:color w:val="000000"/>
          <w:sz w:val="28"/>
          <w:szCs w:val="28"/>
          <w:highlight w:val="none"/>
          <w:shd w:val="clear" w:color="auto" w:fill="auto"/>
        </w:rPr>
        <w:t xml:space="preserve">的价格扣除</w:t>
      </w:r>
      <w:r>
        <w:rPr>
          <w:rFonts w:hint="eastAsia" w:ascii="宋体" w:hAnsi="宋体" w:eastAsia="宋体" w:cs="宋体"/>
          <w:color w:val="000000"/>
          <w:sz w:val="28"/>
          <w:szCs w:val="28"/>
          <w:highlight w:val="none"/>
          <w:shd w:val="clear" w:color="auto" w:fill="auto"/>
          <w:lang w:eastAsia="zh-CN"/>
        </w:rPr>
        <w:t xml:space="preserve">。</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（2）残疾人福利单位需按照采购文件的要求提供《残疾人福利性单位</w:t>
      </w:r>
      <w:r>
        <w:rPr>
          <w:rFonts w:hint="eastAsia" w:ascii="宋体" w:hAnsi="宋体" w:eastAsia="宋体" w:cs="宋体"/>
          <w:color w:val="000000"/>
          <w:sz w:val="28"/>
          <w:szCs w:val="28"/>
          <w:highlight w:val="none"/>
          <w:shd w:val="clear" w:color="auto" w:fill="auto"/>
        </w:rPr>
        <w:t xml:space="preserve">声明函》。</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（3）残疾人福利单位标准请参照《关于促进残疾人就业政府采购政策的通知》（财库〔2017〕141号）。</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3、监狱和戒毒企业价格扣除</w:t>
      </w:r>
      <w:r/>
    </w:p>
    <w:p>
      <w:pPr>
        <w:pStyle w:val="864"/>
        <w:ind w:left="0" w:firstLine="56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u w:val="single"/>
          <w:shd w:val="clear" w:color="auto" w:fill="auto"/>
          <w:lang w:eastAsia="zh-CN"/>
        </w:rPr>
      </w:pPr>
      <w:r>
        <w:rPr>
          <w:rFonts w:hint="eastAsia" w:ascii="宋体" w:hAnsi="宋体" w:eastAsia="宋体" w:cs="宋体"/>
          <w:color w:val="000000"/>
          <w:sz w:val="28"/>
          <w:szCs w:val="28"/>
          <w:highlight w:val="none"/>
          <w:shd w:val="clear" w:color="auto" w:fill="auto"/>
        </w:rPr>
        <w:t xml:space="preserve">（1）本项目对监狱和戒毒企业（简称监狱企业）视同小型、微型企业，给予</w:t>
      </w:r>
      <w:r>
        <w:rPr>
          <w:rFonts w:hint="eastAsia" w:ascii="宋体" w:hAnsi="宋体" w:eastAsia="宋体" w:cs="宋体"/>
          <w:color w:val="000000"/>
          <w:sz w:val="28"/>
          <w:szCs w:val="28"/>
          <w:highlight w:val="none"/>
          <w:u w:val="single"/>
          <w:shd w:val="clear" w:color="auto" w:fill="auto"/>
        </w:rPr>
        <w:t xml:space="preserve">20%</w:t>
      </w:r>
      <w:r>
        <w:rPr>
          <w:rFonts w:hint="eastAsia" w:ascii="宋体" w:hAnsi="宋体" w:eastAsia="宋体" w:cs="宋体"/>
          <w:color w:val="000000"/>
          <w:sz w:val="28"/>
          <w:szCs w:val="28"/>
          <w:highlight w:val="none"/>
          <w:shd w:val="clear" w:color="auto" w:fill="auto"/>
        </w:rPr>
        <w:t xml:space="preserve">的价格扣除</w:t>
      </w:r>
      <w:r>
        <w:rPr>
          <w:rFonts w:hint="eastAsia" w:ascii="宋体" w:hAnsi="宋体" w:eastAsia="宋体" w:cs="宋体"/>
          <w:color w:val="000000"/>
          <w:sz w:val="28"/>
          <w:szCs w:val="28"/>
          <w:highlight w:val="none"/>
          <w:shd w:val="clear" w:color="auto" w:fill="auto"/>
          <w:lang w:eastAsia="zh-CN"/>
        </w:rPr>
        <w:t xml:space="preserve">。</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（3）监狱企业标准请参照《关于政府采购支持监狱企业发展有关问题的通知》（财库[2014]68号）。</w:t>
      </w:r>
      <w:r/>
    </w:p>
    <w:p>
      <w:pPr>
        <w:pStyle w:val="864"/>
        <w:ind w:left="0" w:firstLine="560"/>
        <w:keepLines w:val="0"/>
        <w:keepNext w:val="0"/>
        <w:pageBreakBefore w:val="0"/>
        <w:spacing w:beforeAutospacing="0" w:afterAutospacing="0" w:line="360" w:lineRule="auto"/>
        <w:widowControl w:val="off"/>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4、残疾人福利单位、监狱企业属于小型、微型企业的，不重复享受政策。</w:t>
      </w:r>
      <w:r/>
    </w:p>
    <w:p>
      <w:pPr>
        <w:pStyle w:val="864"/>
        <w:ind w:left="0" w:firstLine="560"/>
        <w:keepLines w:val="0"/>
        <w:keepNext w:val="0"/>
        <w:pageBreakBefore w:val="0"/>
        <w:spacing w:beforeAutospacing="0" w:afterAutospacing="0" w:line="360" w:lineRule="auto"/>
        <w:widowControl w:val="off"/>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w:t>
      </w:r>
      <w:r>
        <w:rPr>
          <w:rFonts w:hint="eastAsia" w:ascii="宋体" w:hAnsi="宋体" w:eastAsia="宋体" w:cs="宋体"/>
          <w:color w:val="000000"/>
          <w:sz w:val="28"/>
          <w:szCs w:val="28"/>
          <w:highlight w:val="none"/>
          <w:shd w:val="clear" w:color="auto" w:fill="auto"/>
        </w:rPr>
        <w:t xml:space="preserve">监狱企业）的合同份额占到合同总金额30%以上的，给予联合体或者大中型企业</w:t>
      </w:r>
      <w:r>
        <w:rPr>
          <w:rFonts w:hint="eastAsia" w:ascii="宋体" w:hAnsi="宋体" w:eastAsia="宋体" w:cs="宋体"/>
          <w:color w:val="000000"/>
          <w:sz w:val="28"/>
          <w:szCs w:val="28"/>
          <w:highlight w:val="none"/>
          <w:u w:val="single"/>
          <w:shd w:val="clear" w:color="auto" w:fill="auto"/>
        </w:rPr>
        <w:t xml:space="preserve">6%</w:t>
      </w:r>
      <w:r>
        <w:rPr>
          <w:rFonts w:hint="eastAsia" w:ascii="宋体" w:hAnsi="宋体" w:eastAsia="宋体" w:cs="宋体"/>
          <w:color w:val="000000"/>
          <w:sz w:val="28"/>
          <w:szCs w:val="28"/>
          <w:highlight w:val="none"/>
          <w:shd w:val="clear" w:color="auto" w:fill="auto"/>
        </w:rPr>
        <w:t xml:space="preserve">的价格扣除，用扣除后的价格参与评审。</w:t>
      </w:r>
      <w:r/>
    </w:p>
    <w:p>
      <w:pPr>
        <w:pStyle w:val="864"/>
        <w:ind w:left="0" w:firstLine="560"/>
        <w:keepLines w:val="0"/>
        <w:keepNext w:val="0"/>
        <w:pageBreakBefore w:val="0"/>
        <w:spacing w:beforeAutospacing="0" w:afterAutospacing="0" w:line="360" w:lineRule="auto"/>
        <w:widowControl w:val="off"/>
        <w:rPr>
          <w:rFonts w:ascii="宋体" w:hAnsi="宋体" w:eastAsia="宋体" w:cs="宋体"/>
          <w:color w:val="auto"/>
          <w:sz w:val="28"/>
          <w:szCs w:val="28"/>
          <w:highlight w:val="none"/>
          <w:u w:val="single"/>
          <w:shd w:val="clear" w:color="auto" w:fill="auto"/>
        </w:rPr>
      </w:pPr>
      <w:r>
        <w:rPr>
          <w:rFonts w:hint="eastAsia" w:ascii="宋体" w:hAnsi="宋体" w:eastAsia="宋体" w:cs="宋体"/>
          <w:color w:val="000000"/>
          <w:sz w:val="28"/>
          <w:szCs w:val="28"/>
          <w:highlight w:val="none"/>
          <w:shd w:val="clear" w:color="auto" w:fill="auto"/>
        </w:rPr>
        <w:t xml:space="preserve">6、联合体各方均为小型、微型企业（残疾人福利单位、监狱企业）的，联合</w:t>
      </w:r>
      <w:r>
        <w:rPr>
          <w:rFonts w:hint="eastAsia" w:ascii="宋体" w:hAnsi="宋体" w:eastAsia="宋体" w:cs="宋体"/>
          <w:color w:val="auto"/>
          <w:sz w:val="28"/>
          <w:szCs w:val="28"/>
          <w:highlight w:val="none"/>
          <w:shd w:val="clear" w:color="auto" w:fill="auto"/>
        </w:rPr>
        <w:t xml:space="preserve">体享受</w:t>
      </w:r>
      <w:r>
        <w:rPr>
          <w:rFonts w:hint="eastAsia" w:ascii="宋体" w:hAnsi="宋体" w:eastAsia="宋体" w:cs="宋体"/>
          <w:color w:val="auto"/>
          <w:sz w:val="28"/>
          <w:szCs w:val="28"/>
          <w:highlight w:val="none"/>
          <w:u w:val="single"/>
          <w:shd w:val="clear" w:color="auto" w:fill="auto"/>
        </w:rPr>
        <w:t xml:space="preserve">20%</w:t>
      </w:r>
      <w:r>
        <w:rPr>
          <w:rFonts w:hint="eastAsia" w:ascii="宋体" w:hAnsi="宋体" w:eastAsia="宋体" w:cs="宋体"/>
          <w:color w:val="000000"/>
          <w:sz w:val="28"/>
          <w:szCs w:val="28"/>
          <w:highlight w:val="none"/>
          <w:shd w:val="clear" w:color="auto" w:fill="auto"/>
        </w:rPr>
        <w:t xml:space="preserve">的价格扣除</w:t>
      </w:r>
      <w:r>
        <w:rPr>
          <w:rFonts w:hint="eastAsia" w:ascii="宋体" w:hAnsi="宋体" w:eastAsia="宋体" w:cs="宋体"/>
          <w:color w:val="000000"/>
          <w:sz w:val="28"/>
          <w:szCs w:val="28"/>
          <w:highlight w:val="none"/>
          <w:shd w:val="clear" w:color="auto" w:fill="auto"/>
          <w:lang w:eastAsia="zh-CN"/>
        </w:rPr>
        <w:t xml:space="preserve">。</w:t>
      </w:r>
      <w:r/>
    </w:p>
    <w:p>
      <w:pPr>
        <w:ind w:left="0" w:firstLine="560"/>
        <w:keepLines w:val="0"/>
        <w:keepNext w:val="0"/>
        <w:pageBreakBefore w:val="0"/>
        <w:spacing w:line="360" w:lineRule="auto"/>
        <w:widowControl w:val="off"/>
        <w:rPr>
          <w:rFonts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8"/>
          <w:szCs w:val="28"/>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8"/>
          <w:szCs w:val="28"/>
          <w:highlight w:val="none"/>
          <w:shd w:val="clear" w:color="auto" w:fill="auto"/>
        </w:rPr>
        <w:t xml:space="preserve">。</w:t>
      </w:r>
      <w:r>
        <w:rPr>
          <w:rFonts w:hint="eastAsia" w:ascii="宋体" w:hAnsi="宋体" w:eastAsia="宋体" w:cs="宋体"/>
          <w:color w:val="auto"/>
          <w:sz w:val="28"/>
          <w:szCs w:val="28"/>
          <w:highlight w:val="none"/>
          <w:shd w:val="clear" w:color="auto" w:fill="auto"/>
        </w:rPr>
        <w:t xml:space="preserve">其他条件相同情况下，应当优先采购节能产品、环境标志产品。</w:t>
      </w:r>
      <w:r/>
    </w:p>
    <w:p>
      <w:pPr>
        <w:pStyle w:val="864"/>
        <w:ind w:left="0" w:firstLine="560"/>
        <w:keepLines w:val="0"/>
        <w:keepNext w:val="0"/>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8</w:t>
      </w:r>
      <w:r>
        <w:rPr>
          <w:rFonts w:hint="eastAsia" w:ascii="宋体" w:hAnsi="宋体" w:eastAsia="宋体" w:cs="宋体"/>
          <w:color w:val="auto"/>
          <w:sz w:val="28"/>
          <w:szCs w:val="28"/>
          <w:highlight w:val="none"/>
          <w:shd w:val="clear" w:color="auto" w:fill="auto"/>
        </w:rPr>
        <w:t xml:space="preserve">、根据《江苏省政府采购信用管理暂行办法》的规定，供应商信用评价结果为三星的扣2分，评价结果为二星的扣3分，评价结果为一星的扣4分。</w:t>
      </w:r>
      <w:r/>
    </w:p>
    <w:p>
      <w:pPr>
        <w:pStyle w:val="864"/>
        <w:ind w:left="0" w:firstLine="562"/>
        <w:keepLines w:val="0"/>
        <w:keepNext w:val="0"/>
        <w:pageBreakBefore w:val="0"/>
        <w:spacing w:beforeAutospacing="0" w:afterAutospacing="0" w:line="360" w:lineRule="auto"/>
        <w:widowControl w:val="off"/>
        <w:rPr>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评标方法与评标标准</w:t>
      </w:r>
      <w:r/>
    </w:p>
    <w:p>
      <w:pPr>
        <w:pStyle w:val="864"/>
        <w:ind w:firstLine="480"/>
        <w:jc w:val="both"/>
        <w:spacing w:before="120" w:beforeAutospacing="0" w:after="120" w:afterAutospacing="0" w:line="360" w:lineRule="auto"/>
        <w:rPr>
          <w:sz w:val="28"/>
          <w:szCs w:val="28"/>
          <w:highlight w:val="none"/>
          <w:shd w:val="clear" w:color="auto" w:fill="auto"/>
        </w:rPr>
      </w:pPr>
      <w:r>
        <w:rPr>
          <w:rFonts w:ascii="Arial" w:hAnsi="Arial" w:cs="Arial"/>
          <w:color w:val="auto"/>
          <w:sz w:val="28"/>
          <w:szCs w:val="28"/>
          <w:highlight w:val="none"/>
          <w:shd w:val="clear" w:color="auto" w:fill="auto"/>
        </w:rPr>
        <w:t xml:space="preserve">  </w:t>
      </w:r>
      <w:r/>
    </w:p>
    <w:tbl>
      <w:tblPr>
        <w:tblStyle w:val="858"/>
        <w:tblW w:w="9791" w:type="dxa"/>
        <w:jc w:val="center"/>
        <w:tblLayout w:type="autofit"/>
        <w:tblCellMar>
          <w:left w:w="108" w:type="dxa"/>
          <w:top w:w="0" w:type="dxa"/>
          <w:right w:w="108" w:type="dxa"/>
          <w:bottom w:w="0" w:type="dxa"/>
        </w:tblCellMar>
        <w:tblLook w:val="04A0" w:firstRow="1" w:lastRow="0" w:firstColumn="1" w:lastColumn="0" w:noHBand="0" w:noVBand="1"/>
      </w:tblPr>
      <w:tblGrid>
        <w:gridCol w:w="674"/>
        <w:gridCol w:w="969"/>
        <w:gridCol w:w="850"/>
        <w:gridCol w:w="7298"/>
      </w:tblGrid>
      <w:tr>
        <w:trPr>
          <w:jc w:val="center"/>
          <w:trHeight w:val="611"/>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
                <w:bCs/>
                <w:color w:val="000000"/>
                <w:sz w:val="28"/>
                <w:szCs w:val="28"/>
                <w:highlight w:val="none"/>
                <w:shd w:val="clear" w:color="auto" w:fill="auto"/>
                <w:lang w:bidi="ar"/>
              </w:rPr>
            </w:pPr>
            <w:r>
              <w:rPr>
                <w:rFonts w:hint="eastAsia" w:ascii="宋体" w:hAnsi="宋体" w:eastAsia="宋体" w:cs="宋体"/>
                <w:b/>
                <w:bCs/>
                <w:color w:val="000000"/>
                <w:sz w:val="28"/>
                <w:szCs w:val="28"/>
                <w:highlight w:val="none"/>
                <w:shd w:val="clear" w:color="auto" w:fill="auto"/>
                <w:lang w:bidi="ar"/>
              </w:rPr>
              <w:t xml:space="preserve">序 号</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360" w:lineRule="auto"/>
              <w:widowControl/>
              <w:rPr>
                <w:rFonts w:hint="eastAsia" w:ascii="宋体" w:hAnsi="宋体" w:eastAsia="宋体" w:cs="宋体"/>
                <w:b/>
                <w:bCs/>
                <w:color w:val="000000"/>
                <w:sz w:val="28"/>
                <w:szCs w:val="28"/>
                <w:highlight w:val="none"/>
                <w:shd w:val="clear" w:color="auto" w:fill="auto"/>
                <w:lang w:bidi="ar"/>
              </w:rPr>
            </w:pPr>
            <w:r>
              <w:rPr>
                <w:rFonts w:hint="eastAsia" w:ascii="宋体" w:hAnsi="宋体" w:eastAsia="宋体" w:cs="宋体"/>
                <w:b/>
                <w:bCs/>
                <w:color w:val="000000"/>
                <w:sz w:val="28"/>
                <w:szCs w:val="28"/>
                <w:highlight w:val="none"/>
                <w:shd w:val="clear" w:color="auto" w:fill="auto"/>
                <w:lang w:bidi="ar"/>
              </w:rPr>
              <w:t xml:space="preserve">类 别</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b/>
                <w:bCs/>
                <w:color w:val="000000"/>
                <w:sz w:val="28"/>
                <w:szCs w:val="28"/>
                <w:highlight w:val="none"/>
                <w:shd w:val="clear" w:color="auto" w:fill="auto"/>
                <w:lang w:bidi="ar"/>
              </w:rPr>
            </w:pPr>
            <w:r>
              <w:rPr>
                <w:rFonts w:hint="eastAsia" w:ascii="宋体" w:hAnsi="宋体" w:eastAsia="宋体" w:cs="宋体"/>
                <w:b/>
                <w:bCs/>
                <w:color w:val="000000"/>
                <w:sz w:val="28"/>
                <w:szCs w:val="28"/>
                <w:highlight w:val="none"/>
                <w:shd w:val="clear" w:color="auto" w:fill="auto"/>
                <w:lang w:bidi="ar"/>
              </w:rPr>
              <w:t xml:space="preserve">分值</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center"/>
              <w:spacing w:line="360" w:lineRule="auto"/>
              <w:widowControl/>
              <w:rPr>
                <w:rFonts w:hint="eastAsia" w:ascii="宋体" w:hAnsi="宋体" w:eastAsia="宋体" w:cs="宋体"/>
                <w:b/>
                <w:bCs/>
                <w:color w:val="000000"/>
                <w:sz w:val="28"/>
                <w:szCs w:val="28"/>
                <w:highlight w:val="none"/>
                <w:shd w:val="clear" w:color="auto" w:fill="auto"/>
                <w:lang w:bidi="ar"/>
              </w:rPr>
            </w:pPr>
            <w:r>
              <w:rPr>
                <w:rFonts w:hint="eastAsia" w:ascii="宋体" w:hAnsi="宋体" w:eastAsia="宋体" w:cs="宋体"/>
                <w:b/>
                <w:bCs/>
                <w:color w:val="000000"/>
                <w:sz w:val="28"/>
                <w:szCs w:val="28"/>
                <w:highlight w:val="none"/>
                <w:shd w:val="clear" w:color="auto" w:fill="auto"/>
                <w:lang w:bidi="ar"/>
              </w:rPr>
              <w:t xml:space="preserve">评 分 细 则</w:t>
            </w:r>
            <w:r/>
          </w:p>
        </w:tc>
      </w:tr>
      <w:tr>
        <w:trPr>
          <w:jc w:val="center"/>
          <w:trHeight w:val="173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投标</w:t>
            </w:r>
            <w:r/>
          </w:p>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报价</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30分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hint="eastAsia" w:ascii="宋体" w:hAnsi="宋体" w:eastAsia="宋体" w:cs="宋体"/>
                <w:color w:val="000000"/>
                <w:sz w:val="28"/>
                <w:szCs w:val="28"/>
                <w:highlight w:val="none"/>
                <w:shd w:val="clear" w:color="auto" w:fill="auto"/>
                <w:lang w:eastAsia="zh-CN" w:bidi="ar"/>
              </w:rPr>
            </w:pPr>
            <w:r>
              <w:rPr>
                <w:rFonts w:hint="eastAsia" w:ascii="宋体" w:hAnsi="宋体" w:eastAsia="宋体" w:cs="宋体"/>
                <w:color w:val="000000"/>
                <w:sz w:val="28"/>
                <w:szCs w:val="28"/>
                <w:highlight w:val="none"/>
                <w:shd w:val="clear" w:color="auto" w:fill="auto"/>
                <w:lang w:bidi="ar"/>
              </w:rPr>
              <w:t xml:space="preserve">采用低价优先法计算，即满足招标文件要求且投标价格最低的投标报价为评标基准价，其价格分为满分。其他投标人的价格分统一按照下列公式计算：</w:t>
            </w:r>
            <w:r/>
          </w:p>
          <w:p>
            <w:pPr>
              <w:jc w:val="left"/>
              <w:spacing w:line="360" w:lineRule="auto"/>
              <w:widowControl/>
              <w:rPr>
                <w:rFonts w:hint="eastAsia" w:ascii="宋体" w:hAnsi="宋体" w:eastAsia="宋体" w:cs="宋体"/>
                <w:color w:val="000000"/>
                <w:sz w:val="28"/>
                <w:szCs w:val="28"/>
                <w:highlight w:val="none"/>
                <w:shd w:val="clear" w:color="auto" w:fill="auto"/>
                <w:lang w:eastAsia="zh-CN" w:bidi="ar"/>
              </w:rPr>
            </w:pPr>
            <w:r>
              <w:rPr>
                <w:rFonts w:hint="eastAsia" w:ascii="宋体" w:hAnsi="宋体" w:eastAsia="宋体" w:cs="宋体"/>
                <w:color w:val="000000"/>
                <w:sz w:val="28"/>
                <w:szCs w:val="28"/>
                <w:highlight w:val="none"/>
                <w:shd w:val="clear" w:color="auto" w:fill="auto"/>
                <w:lang w:bidi="ar"/>
              </w:rPr>
              <w:t xml:space="preserve">投标报价得分=(评标基准价／投标报价)×30。</w:t>
            </w:r>
            <w:r/>
          </w:p>
          <w:p>
            <w:pPr>
              <w:jc w:val="left"/>
              <w:spacing w:line="360" w:lineRule="auto"/>
              <w:widowControl/>
              <w:rPr>
                <w:rFonts w:hint="eastAsia" w:ascii="宋体" w:hAnsi="宋体" w:eastAsia="宋体" w:cs="宋体"/>
                <w:color w:val="000000"/>
                <w:sz w:val="28"/>
                <w:szCs w:val="28"/>
                <w:highlight w:val="none"/>
                <w:shd w:val="clear" w:color="auto" w:fill="auto"/>
                <w:lang w:eastAsia="zh-CN" w:bidi="ar"/>
              </w:rPr>
            </w:pPr>
            <w:r>
              <w:rPr>
                <w:rFonts w:hint="eastAsia" w:ascii="宋体" w:hAnsi="宋体" w:eastAsia="宋体" w:cs="宋体"/>
                <w:color w:val="000000"/>
                <w:sz w:val="28"/>
                <w:szCs w:val="28"/>
                <w:highlight w:val="none"/>
                <w:shd w:val="clear" w:color="auto" w:fill="auto"/>
                <w:lang w:bidi="ar"/>
              </w:rPr>
              <w:t xml:space="preserve">投标人投标报价得分按“四舍五入”精确到小数点后两位。</w:t>
            </w:r>
            <w:r/>
          </w:p>
          <w:p>
            <w:pPr>
              <w:jc w:val="left"/>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本项目对小型和微型企业产品给予20%的扣除价格，用扣除后的价格参与评审。</w:t>
            </w:r>
            <w:r/>
          </w:p>
        </w:tc>
      </w:tr>
      <w:tr>
        <w:trPr>
          <w:jc w:val="center"/>
          <w:trHeight w:val="714"/>
        </w:trPr>
        <w:tc>
          <w:tcPr>
            <w:tcBorders>
              <w:top w:val="single" w:color="000000" w:sz="4" w:space="0"/>
              <w:left w:val="single" w:color="000000" w:sz="4" w:space="0"/>
              <w:bottom w:val="single" w:color="auto" w:sz="4" w:space="0"/>
              <w:right w:val="single" w:color="000000" w:sz="4" w:space="0"/>
            </w:tcBorders>
            <w:tcW w:w="6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技术</w:t>
            </w:r>
            <w:r/>
          </w:p>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部分</w:t>
            </w:r>
            <w:r/>
          </w:p>
        </w:tc>
        <w:tc>
          <w:tcPr>
            <w:tcBorders>
              <w:top w:val="single" w:color="000000" w:sz="4" w:space="0"/>
              <w:left w:val="single" w:color="000000" w:sz="4" w:space="0"/>
              <w:bottom w:val="single" w:color="auto" w:sz="4" w:space="0"/>
              <w:right w:val="single" w:color="000000" w:sz="4" w:space="0"/>
            </w:tcBorders>
            <w:tcW w:w="813"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40分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hint="eastAsia"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针对招标文件“采购需求”的“采购清单及技术参数”</w:t>
            </w:r>
            <w:r/>
          </w:p>
          <w:p>
            <w:pPr>
              <w:numPr>
                <w:ilvl w:val="0"/>
                <w:numId w:val="11"/>
              </w:numPr>
              <w:jc w:val="left"/>
              <w:spacing w:line="360" w:lineRule="auto"/>
              <w:widowControl/>
              <w:rPr>
                <w:rFonts w:hint="eastAsia"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投标人所投产品的性能指标全部满足或高于招标文件要求的</w:t>
            </w:r>
            <w:r>
              <w:rPr>
                <w:rFonts w:hint="eastAsia" w:ascii="宋体" w:hAnsi="宋体" w:eastAsia="宋体" w:cs="宋体"/>
                <w:color w:val="000000"/>
                <w:sz w:val="28"/>
                <w:szCs w:val="28"/>
                <w:highlight w:val="none"/>
                <w:shd w:val="clear" w:color="auto" w:fill="auto"/>
                <w:lang w:eastAsia="zh-CN" w:bidi="ar"/>
              </w:rPr>
              <w:t xml:space="preserve">，</w:t>
            </w:r>
            <w:r>
              <w:rPr>
                <w:rFonts w:hint="eastAsia" w:ascii="宋体" w:hAnsi="宋体" w:eastAsia="宋体" w:cs="宋体"/>
                <w:color w:val="000000"/>
                <w:sz w:val="28"/>
                <w:szCs w:val="28"/>
                <w:highlight w:val="none"/>
                <w:shd w:val="clear" w:color="auto" w:fill="auto"/>
                <w:lang w:bidi="ar"/>
              </w:rPr>
              <w:t xml:space="preserve">得40分。</w:t>
            </w:r>
            <w:r/>
          </w:p>
          <w:p>
            <w:pPr>
              <w:numPr>
                <w:ilvl w:val="0"/>
                <w:numId w:val="11"/>
              </w:num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▲为重要技术参数，</w:t>
            </w:r>
            <w:r>
              <w:rPr>
                <w:rFonts w:hint="eastAsia" w:ascii="宋体" w:hAnsi="宋体" w:eastAsia="宋体" w:cs="宋体"/>
                <w:color w:val="000000"/>
                <w:sz w:val="28"/>
                <w:szCs w:val="28"/>
                <w:highlight w:val="none"/>
                <w:shd w:val="clear" w:color="auto" w:fill="auto"/>
                <w:lang w:val="en-US" w:eastAsia="zh-CN" w:bidi="ar"/>
              </w:rPr>
              <w:t xml:space="preserve">共30项，</w:t>
            </w:r>
            <w:r>
              <w:rPr>
                <w:rFonts w:hint="eastAsia" w:ascii="宋体" w:hAnsi="宋体" w:eastAsia="宋体" w:cs="宋体"/>
                <w:color w:val="000000"/>
                <w:sz w:val="28"/>
                <w:szCs w:val="28"/>
                <w:highlight w:val="none"/>
                <w:shd w:val="clear" w:color="auto" w:fill="auto"/>
                <w:lang w:bidi="ar"/>
              </w:rPr>
              <w:t xml:space="preserve">每有一项负偏离扣1分</w:t>
            </w:r>
            <w:r>
              <w:rPr>
                <w:rFonts w:hint="eastAsia" w:ascii="宋体" w:hAnsi="宋体" w:eastAsia="宋体" w:cs="宋体"/>
                <w:color w:val="000000"/>
                <w:sz w:val="28"/>
                <w:szCs w:val="28"/>
                <w:highlight w:val="none"/>
                <w:shd w:val="clear" w:color="auto" w:fill="auto"/>
                <w:lang w:val="en-US" w:eastAsia="zh-CN" w:bidi="ar"/>
              </w:rPr>
              <w:t xml:space="preserve">。</w:t>
            </w:r>
            <w:r/>
          </w:p>
          <w:p>
            <w:pPr>
              <w:numPr>
                <w:ilvl w:val="0"/>
                <w:numId w:val="11"/>
              </w:numPr>
              <w:jc w:val="left"/>
              <w:spacing w:line="360" w:lineRule="auto"/>
              <w:widowControl/>
              <w:rPr>
                <w:rFonts w:ascii="宋体" w:hAnsi="宋体" w:eastAsia="宋体" w:cs="宋体"/>
                <w:color w:val="000000"/>
                <w:sz w:val="28"/>
                <w:szCs w:val="28"/>
                <w:highlight w:val="none"/>
                <w:shd w:val="clear" w:color="auto" w:fill="auto"/>
                <w:lang w:bidi="ar"/>
              </w:rPr>
            </w:pPr>
            <w:r>
              <w:rPr>
                <w:rFonts w:ascii="宋体" w:hAnsi="宋体" w:eastAsia="宋体" w:cs="宋体"/>
                <w:color w:val="000000"/>
                <w:sz w:val="28"/>
                <w:szCs w:val="28"/>
                <w:highlight w:val="none"/>
                <w:shd w:val="clear" w:color="auto" w:fill="auto"/>
                <w:lang w:bidi="ar"/>
              </w:rPr>
              <w:t xml:space="preserve">*</w:t>
            </w:r>
            <w:r>
              <w:rPr>
                <w:rFonts w:hint="eastAsia" w:ascii="宋体" w:hAnsi="宋体" w:eastAsia="宋体" w:cs="宋体"/>
                <w:color w:val="000000"/>
                <w:sz w:val="28"/>
                <w:szCs w:val="28"/>
                <w:highlight w:val="none"/>
                <w:shd w:val="clear" w:color="auto" w:fill="auto"/>
                <w:lang w:bidi="ar"/>
              </w:rPr>
              <w:t xml:space="preserve">标识技术参数，</w:t>
            </w:r>
            <w:r>
              <w:rPr>
                <w:rFonts w:hint="eastAsia" w:ascii="宋体" w:hAnsi="宋体" w:eastAsia="宋体" w:cs="宋体"/>
                <w:color w:val="000000"/>
                <w:sz w:val="28"/>
                <w:szCs w:val="28"/>
                <w:highlight w:val="none"/>
                <w:shd w:val="clear" w:color="auto" w:fill="auto"/>
                <w:lang w:val="en-US" w:eastAsia="zh-CN" w:bidi="ar"/>
              </w:rPr>
              <w:t xml:space="preserve">共有40项，</w:t>
            </w:r>
            <w:r>
              <w:rPr>
                <w:rFonts w:hint="eastAsia" w:ascii="宋体" w:hAnsi="宋体" w:eastAsia="宋体" w:cs="宋体"/>
                <w:color w:val="000000"/>
                <w:sz w:val="28"/>
                <w:szCs w:val="28"/>
                <w:highlight w:val="none"/>
                <w:shd w:val="clear" w:color="auto" w:fill="auto"/>
                <w:lang w:bidi="ar"/>
              </w:rPr>
              <w:t xml:space="preserve">每有一项负偏离扣0</w:t>
            </w:r>
            <w:r>
              <w:rPr>
                <w:rFonts w:ascii="宋体" w:hAnsi="宋体" w:eastAsia="宋体" w:cs="宋体"/>
                <w:color w:val="000000"/>
                <w:sz w:val="28"/>
                <w:szCs w:val="28"/>
                <w:highlight w:val="none"/>
                <w:shd w:val="clear" w:color="auto" w:fill="auto"/>
                <w:lang w:bidi="ar"/>
              </w:rPr>
              <w:t xml:space="preserve">.25</w:t>
            </w:r>
            <w:r>
              <w:rPr>
                <w:rFonts w:hint="eastAsia" w:ascii="宋体" w:hAnsi="宋体" w:eastAsia="宋体" w:cs="宋体"/>
                <w:color w:val="000000"/>
                <w:sz w:val="28"/>
                <w:szCs w:val="28"/>
                <w:highlight w:val="none"/>
                <w:shd w:val="clear" w:color="auto" w:fill="auto"/>
                <w:lang w:bidi="ar"/>
              </w:rPr>
              <w:t xml:space="preserve">分</w:t>
            </w:r>
            <w:r>
              <w:rPr>
                <w:rFonts w:hint="eastAsia" w:ascii="宋体" w:hAnsi="宋体" w:eastAsia="宋体" w:cs="宋体"/>
                <w:color w:val="000000"/>
                <w:sz w:val="28"/>
                <w:szCs w:val="28"/>
                <w:highlight w:val="none"/>
                <w:shd w:val="clear" w:color="auto" w:fill="auto"/>
                <w:lang w:eastAsia="zh-CN" w:bidi="ar"/>
              </w:rPr>
              <w:t xml:space="preserve">。</w:t>
            </w:r>
            <w:r/>
          </w:p>
          <w:p>
            <w:pPr>
              <w:jc w:val="left"/>
              <w:spacing w:line="360" w:lineRule="auto"/>
              <w:widowControl/>
              <w:rPr>
                <w:rFonts w:hint="eastAsia"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注：</w:t>
            </w:r>
            <w:r>
              <w:rPr>
                <w:rFonts w:hint="eastAsia" w:ascii="宋体" w:hAnsi="宋体" w:cs="宋体"/>
                <w:color w:val="000000"/>
                <w:sz w:val="28"/>
                <w:szCs w:val="28"/>
                <w:highlight w:val="none"/>
                <w:shd w:val="clear" w:color="auto" w:fill="auto"/>
                <w:lang w:eastAsia="zh-CN" w:bidi="ar"/>
              </w:rPr>
              <w:t xml:space="preserve">（</w:t>
            </w:r>
            <w:r>
              <w:rPr>
                <w:rFonts w:hint="eastAsia" w:ascii="宋体" w:hAnsi="宋体" w:cs="宋体"/>
                <w:color w:val="000000"/>
                <w:sz w:val="28"/>
                <w:szCs w:val="28"/>
                <w:highlight w:val="none"/>
                <w:shd w:val="clear" w:color="auto" w:fill="auto"/>
                <w:lang w:val="en-US" w:eastAsia="zh-CN" w:bidi="ar"/>
              </w:rPr>
              <w:t xml:space="preserve">1</w:t>
            </w:r>
            <w:r>
              <w:rPr>
                <w:rFonts w:hint="eastAsia" w:ascii="宋体" w:hAnsi="宋体" w:cs="宋体"/>
                <w:color w:val="000000"/>
                <w:sz w:val="28"/>
                <w:szCs w:val="28"/>
                <w:highlight w:val="none"/>
                <w:shd w:val="clear" w:color="auto" w:fill="auto"/>
                <w:lang w:eastAsia="zh-CN" w:bidi="ar"/>
              </w:rPr>
              <w:t xml:space="preserve">）</w:t>
            </w:r>
            <w:r>
              <w:rPr>
                <w:rFonts w:hint="eastAsia" w:ascii="宋体" w:hAnsi="宋体" w:eastAsia="宋体" w:cs="宋体"/>
                <w:color w:val="000000"/>
                <w:sz w:val="28"/>
                <w:szCs w:val="28"/>
                <w:highlight w:val="none"/>
                <w:shd w:val="clear" w:color="auto" w:fill="auto"/>
                <w:lang w:bidi="ar"/>
              </w:rPr>
              <w:t xml:space="preserve">技术参数要求中“★”号部分为核心参数，不接受负偏离，否则视为无效响应</w:t>
            </w:r>
            <w:r/>
          </w:p>
          <w:p>
            <w:pPr>
              <w:jc w:val="left"/>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eastAsia="zh-CN" w:bidi="ar"/>
              </w:rPr>
              <w:t xml:space="preserve">（</w:t>
            </w:r>
            <w:r>
              <w:rPr>
                <w:rFonts w:hint="eastAsia" w:ascii="宋体" w:hAnsi="宋体" w:eastAsia="宋体" w:cs="宋体"/>
                <w:color w:val="000000"/>
                <w:sz w:val="28"/>
                <w:szCs w:val="28"/>
                <w:highlight w:val="none"/>
                <w:shd w:val="clear" w:color="auto" w:fill="auto"/>
                <w:lang w:val="en-US" w:eastAsia="zh-CN" w:bidi="ar"/>
              </w:rPr>
              <w:t xml:space="preserve">2</w:t>
            </w:r>
            <w:r>
              <w:rPr>
                <w:rFonts w:hint="eastAsia" w:ascii="宋体" w:hAnsi="宋体" w:eastAsia="宋体" w:cs="宋体"/>
                <w:color w:val="000000"/>
                <w:sz w:val="28"/>
                <w:szCs w:val="28"/>
                <w:highlight w:val="none"/>
                <w:shd w:val="clear" w:color="auto" w:fill="auto"/>
                <w:lang w:eastAsia="zh-CN" w:bidi="ar"/>
              </w:rPr>
              <w:t xml:space="preserve">）</w:t>
            </w:r>
            <w:r>
              <w:rPr>
                <w:rFonts w:hint="eastAsia" w:ascii="宋体" w:hAnsi="宋体" w:eastAsia="宋体" w:cs="宋体"/>
                <w:color w:val="000000"/>
                <w:sz w:val="28"/>
                <w:szCs w:val="28"/>
                <w:highlight w:val="none"/>
                <w:shd w:val="clear" w:color="auto" w:fill="auto"/>
                <w:lang w:bidi="ar"/>
              </w:rPr>
              <w:t xml:space="preserve">投标人针对本项评审内容在投标文件《投标响应偏离表》中逐条列出响应及偏离情况，采购需求中要求提供证明材料的，以证明材料为准，若《投标响应偏离表》与提供证明材料的内容不一致，以证明材料为准，采购需求中未要求提供证明材料的，以《投标响应偏离表》为准，未按要求提供证明材料或未在《投标响应偏离表》中列明偏离情况的对应项按负偏离进行扣分处理。</w:t>
            </w:r>
            <w:r/>
          </w:p>
        </w:tc>
      </w:tr>
      <w:tr>
        <w:trPr>
          <w:jc w:val="center"/>
          <w:trHeight w:val="1039"/>
        </w:trPr>
        <w:tc>
          <w:tcPr>
            <w:tcBorders>
              <w:top w:val="single" w:color="auto" w:sz="4" w:space="0"/>
              <w:left w:val="single" w:color="000000" w:sz="4" w:space="0"/>
              <w:right w:val="single" w:color="000000" w:sz="4" w:space="0"/>
            </w:tcBorders>
            <w:tcW w:w="645" w:type="dxa"/>
            <w:vAlign w:val="center"/>
            <w:vMerge w:val="restart"/>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3</w:t>
            </w:r>
            <w:r/>
          </w:p>
        </w:tc>
        <w:tc>
          <w:tcPr>
            <w:tcBorders>
              <w:top w:val="single" w:color="auto" w:sz="4" w:space="0"/>
              <w:left w:val="single" w:color="000000" w:sz="4" w:space="0"/>
              <w:right w:val="single" w:color="000000" w:sz="4" w:space="0"/>
            </w:tcBorders>
            <w:tcW w:w="927" w:type="dxa"/>
            <w:vAlign w:val="center"/>
            <w:vMerge w:val="restart"/>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企业</w:t>
            </w:r>
            <w:r/>
          </w:p>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实力</w:t>
            </w:r>
            <w:r/>
          </w:p>
        </w:tc>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eastAsia="宋体"/>
                <w:sz w:val="28"/>
                <w:szCs w:val="28"/>
                <w:highlight w:val="none"/>
                <w:shd w:val="clear" w:color="auto" w:fill="auto"/>
              </w:rPr>
            </w:pPr>
            <w:r>
              <w:rPr>
                <w:sz w:val="28"/>
                <w:szCs w:val="28"/>
                <w:highlight w:val="none"/>
                <w:shd w:val="clear" w:color="auto" w:fill="auto"/>
              </w:rPr>
              <w:t xml:space="preserve">技术能力</w:t>
            </w:r>
            <w:r>
              <w:rPr>
                <w:rFonts w:hint="eastAsia" w:eastAsia="宋体"/>
                <w:sz w:val="28"/>
                <w:szCs w:val="28"/>
                <w:highlight w:val="none"/>
                <w:shd w:val="clear" w:color="auto" w:fill="auto"/>
              </w:rPr>
              <w:t xml:space="preserve">3分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投标人具有有效期内的质量管理体系认证证书、环境管理体系认证证书、职业健康安全管理体系认证证书，提供复印件加盖投标人公章，每提供一个得1分，最多得3分。（提供相关证书原件彩色扫描件）</w:t>
            </w:r>
            <w:r/>
          </w:p>
        </w:tc>
      </w:tr>
      <w:tr>
        <w:trPr>
          <w:jc w:val="center"/>
          <w:trHeight w:val="1235"/>
        </w:trPr>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ascii="宋体" w:hAnsi="宋体" w:eastAsia="宋体" w:cs="宋体"/>
                <w:color w:val="000000" w:themeColor="text1"/>
                <w:sz w:val="28"/>
                <w:szCs w:val="28"/>
                <w:highlight w:val="none"/>
                <w:shd w:val="clear" w:color="auto" w:fill="auto"/>
                <w14:textFill>
                  <w14:solidFill>
                    <w14:schemeClr w14:val="tx1"/>
                  </w14:solidFill>
                </w14:textFill>
              </w:rPr>
            </w:r>
            <w:r/>
          </w:p>
        </w:tc>
        <w:tc>
          <w:tcPr>
            <w:tcBorders>
              <w:left w:val="single" w:color="000000" w:sz="4" w:space="0"/>
              <w:bottom w:val="single" w:color="000000" w:sz="4" w:space="0"/>
              <w:right w:val="single" w:color="000000" w:sz="4" w:space="0"/>
            </w:tcBorders>
            <w:tcW w:w="927" w:type="dxa"/>
            <w:vAlign w:val="center"/>
            <w:vMerge w:val="continue"/>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ascii="宋体" w:hAnsi="宋体" w:eastAsia="宋体" w:cs="宋体"/>
                <w:color w:val="000000" w:themeColor="text1"/>
                <w:sz w:val="28"/>
                <w:szCs w:val="28"/>
                <w:highlight w:val="none"/>
                <w:shd w:val="clear" w:color="auto" w:fill="auto"/>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left"/>
              <w:spacing w:line="360" w:lineRule="auto"/>
              <w:widowControl/>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项目团队配备</w:t>
            </w:r>
            <w:r/>
          </w:p>
          <w:p>
            <w:p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eastAsia="宋体"/>
                <w:sz w:val="28"/>
                <w:szCs w:val="28"/>
                <w:highlight w:val="none"/>
                <w:shd w:val="clear" w:color="auto" w:fill="auto"/>
              </w:rPr>
              <w:t xml:space="preserve">5分</w:t>
            </w:r>
            <w:r/>
          </w:p>
        </w:tc>
        <w:tc>
          <w:tcPr>
            <w:tcBorders>
              <w:top w:val="single" w:color="auto"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bidi="ar"/>
              </w:rPr>
              <w:t xml:space="preserve">1.项目负责人：具备环保类专业技术高级及以上职称的得2分，具备环保类专业技术中级职称的得1分，本项最高得2分。</w:t>
            </w:r>
            <w:r/>
          </w:p>
          <w:p>
            <w:pPr>
              <w:jc w:val="left"/>
              <w:spacing w:line="360" w:lineRule="auto"/>
              <w:widowControl/>
              <w:rPr>
                <w:rFonts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bidi="ar"/>
              </w:rPr>
              <w:t xml:space="preserve">2、</w:t>
            </w:r>
            <w:r>
              <w:rPr>
                <w:rFonts w:hint="eastAsia" w:ascii="宋体" w:hAnsi="宋体" w:eastAsia="宋体" w:cs="宋体"/>
                <w:color w:val="auto"/>
                <w:sz w:val="28"/>
                <w:szCs w:val="28"/>
                <w:highlight w:val="none"/>
                <w:shd w:val="clear" w:color="auto" w:fill="auto"/>
                <w:lang w:eastAsia="zh-CN" w:bidi="ar"/>
              </w:rPr>
              <w:t xml:space="preserve">项目</w:t>
            </w:r>
            <w:r>
              <w:rPr>
                <w:rFonts w:hint="eastAsia" w:ascii="宋体" w:hAnsi="宋体" w:eastAsia="宋体" w:cs="宋体"/>
                <w:color w:val="auto"/>
                <w:sz w:val="28"/>
                <w:szCs w:val="28"/>
                <w:highlight w:val="none"/>
                <w:shd w:val="clear" w:color="auto" w:fill="auto"/>
                <w:lang w:bidi="ar"/>
              </w:rPr>
              <w:t xml:space="preserve">组成员</w:t>
            </w:r>
            <w:r>
              <w:rPr>
                <w:rFonts w:hint="eastAsia" w:ascii="宋体" w:hAnsi="宋体" w:eastAsia="宋体" w:cs="宋体"/>
                <w:color w:val="auto"/>
                <w:sz w:val="28"/>
                <w:szCs w:val="28"/>
                <w:highlight w:val="none"/>
                <w:shd w:val="clear" w:color="auto" w:fill="auto"/>
                <w:lang w:eastAsia="zh-CN" w:bidi="ar"/>
              </w:rPr>
              <w:t xml:space="preserve">：</w:t>
            </w:r>
            <w:r>
              <w:rPr>
                <w:rFonts w:hint="eastAsia" w:ascii="宋体" w:hAnsi="宋体" w:eastAsia="宋体" w:cs="宋体"/>
                <w:color w:val="auto"/>
                <w:sz w:val="28"/>
                <w:szCs w:val="28"/>
                <w:highlight w:val="none"/>
                <w:shd w:val="clear" w:color="auto" w:fill="auto"/>
                <w:lang w:bidi="ar"/>
              </w:rPr>
              <w:t xml:space="preserve">本项自配置</w:t>
            </w:r>
            <w:r>
              <w:rPr>
                <w:rFonts w:hint="eastAsia" w:ascii="宋体" w:hAnsi="宋体" w:eastAsia="宋体" w:cs="宋体"/>
                <w:color w:val="auto"/>
                <w:sz w:val="28"/>
                <w:szCs w:val="28"/>
                <w:highlight w:val="none"/>
                <w:shd w:val="clear" w:color="auto" w:fill="auto"/>
                <w:lang w:eastAsia="zh-CN" w:bidi="ar"/>
              </w:rPr>
              <w:t xml:space="preserve">项目</w:t>
            </w:r>
            <w:r>
              <w:rPr>
                <w:rFonts w:hint="eastAsia" w:ascii="宋体" w:hAnsi="宋体" w:eastAsia="宋体" w:cs="宋体"/>
                <w:color w:val="auto"/>
                <w:sz w:val="28"/>
                <w:szCs w:val="28"/>
                <w:highlight w:val="none"/>
                <w:shd w:val="clear" w:color="auto" w:fill="auto"/>
                <w:lang w:bidi="ar"/>
              </w:rPr>
              <w:t xml:space="preserve">技术人员(不含项目负责人)中具备环保类专业技术中级及以上职称的，每提供1人得0.5分，本项最高得</w:t>
            </w:r>
            <w:r>
              <w:rPr>
                <w:rFonts w:hint="eastAsia" w:ascii="宋体" w:hAnsi="宋体" w:eastAsia="宋体" w:cs="宋体"/>
                <w:color w:val="auto"/>
                <w:sz w:val="28"/>
                <w:szCs w:val="28"/>
                <w:highlight w:val="none"/>
                <w:shd w:val="clear" w:color="auto" w:fill="auto"/>
                <w:lang w:val="en-US" w:eastAsia="zh-CN" w:bidi="ar"/>
              </w:rPr>
              <w:t xml:space="preserve">3</w:t>
            </w:r>
            <w:r>
              <w:rPr>
                <w:rFonts w:hint="eastAsia" w:ascii="宋体" w:hAnsi="宋体" w:eastAsia="宋体" w:cs="宋体"/>
                <w:color w:val="auto"/>
                <w:sz w:val="28"/>
                <w:szCs w:val="28"/>
                <w:highlight w:val="none"/>
                <w:shd w:val="clear" w:color="auto" w:fill="auto"/>
                <w:lang w:bidi="ar"/>
              </w:rPr>
              <w:t xml:space="preserve">分。</w:t>
            </w:r>
            <w:r/>
          </w:p>
          <w:p>
            <w:p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b/>
                <w:bCs/>
                <w:color w:val="auto"/>
                <w:sz w:val="28"/>
                <w:szCs w:val="28"/>
                <w:highlight w:val="none"/>
                <w:shd w:val="clear" w:color="auto" w:fill="auto"/>
                <w:lang w:bidi="ar"/>
              </w:rPr>
              <w:t xml:space="preserve">注：1、专业以职称证书为准</w:t>
            </w:r>
            <w:r>
              <w:rPr>
                <w:rFonts w:hint="eastAsia" w:ascii="宋体" w:hAnsi="宋体" w:eastAsia="宋体" w:cs="宋体"/>
                <w:b/>
                <w:bCs/>
                <w:color w:val="auto"/>
                <w:sz w:val="28"/>
                <w:szCs w:val="28"/>
                <w:highlight w:val="none"/>
                <w:shd w:val="clear" w:color="auto" w:fill="auto"/>
                <w:lang w:eastAsia="zh-CN" w:bidi="ar"/>
              </w:rPr>
              <w:t xml:space="preserve">，</w:t>
            </w:r>
            <w:r>
              <w:rPr>
                <w:rFonts w:hint="eastAsia" w:ascii="宋体" w:hAnsi="宋体" w:eastAsia="宋体" w:cs="宋体"/>
                <w:b/>
                <w:bCs/>
                <w:color w:val="auto"/>
                <w:sz w:val="28"/>
                <w:szCs w:val="28"/>
                <w:highlight w:val="none"/>
                <w:shd w:val="clear" w:color="auto" w:fill="auto"/>
                <w:lang w:bidi="ar"/>
              </w:rPr>
              <w:t xml:space="preserve">提供有效证书原件彩色扫描件。</w:t>
            </w:r>
            <w:r>
              <w:rPr>
                <w:rFonts w:hint="eastAsia" w:ascii="宋体" w:hAnsi="宋体" w:eastAsia="宋体" w:cs="宋体"/>
                <w:b/>
                <w:bCs/>
                <w:color w:val="auto"/>
                <w:sz w:val="28"/>
                <w:szCs w:val="28"/>
                <w:highlight w:val="none"/>
                <w:shd w:val="clear" w:color="auto" w:fill="auto"/>
                <w:lang w:val="en-US" w:eastAsia="zh-CN" w:bidi="ar"/>
              </w:rPr>
              <w:t xml:space="preserve">2</w:t>
            </w:r>
            <w:r>
              <w:rPr>
                <w:rFonts w:hint="eastAsia" w:ascii="宋体" w:hAnsi="宋体" w:eastAsia="宋体" w:cs="宋体"/>
                <w:b/>
                <w:bCs/>
                <w:color w:val="auto"/>
                <w:sz w:val="28"/>
                <w:szCs w:val="28"/>
                <w:highlight w:val="none"/>
                <w:shd w:val="clear" w:color="auto" w:fill="auto"/>
                <w:lang w:bidi="ar"/>
              </w:rPr>
              <w:t xml:space="preserve">、提供拟投入人员2024年</w:t>
            </w:r>
            <w:r>
              <w:rPr>
                <w:rFonts w:hint="eastAsia" w:ascii="宋体" w:hAnsi="宋体" w:eastAsia="宋体" w:cs="宋体"/>
                <w:b/>
                <w:bCs/>
                <w:color w:val="auto"/>
                <w:sz w:val="28"/>
                <w:szCs w:val="28"/>
                <w:highlight w:val="none"/>
                <w:shd w:val="clear" w:color="auto" w:fill="auto"/>
                <w:lang w:val="en-US" w:eastAsia="zh-CN" w:bidi="ar"/>
              </w:rPr>
              <w:t xml:space="preserve">6</w:t>
            </w:r>
            <w:r>
              <w:rPr>
                <w:rFonts w:hint="eastAsia" w:ascii="宋体" w:hAnsi="宋体" w:eastAsia="宋体" w:cs="宋体"/>
                <w:b/>
                <w:bCs/>
                <w:color w:val="auto"/>
                <w:sz w:val="28"/>
                <w:szCs w:val="28"/>
                <w:highlight w:val="none"/>
                <w:shd w:val="clear" w:color="auto" w:fill="auto"/>
                <w:lang w:bidi="ar"/>
              </w:rPr>
              <w:t xml:space="preserve">月（含）以来连续3个月投标人为其缴纳社会养老保险证明材料，扫描件上传至投标文件中，相关证明材料需清晰完整便于辨认，未提供或无法辨认的不得分。</w:t>
            </w:r>
            <w:r/>
          </w:p>
        </w:tc>
      </w:tr>
      <w:tr>
        <w:trPr>
          <w:jc w:val="center"/>
          <w:trHeight w:val="1339"/>
        </w:trPr>
        <w:tc>
          <w:tcPr>
            <w:tcBorders>
              <w:top w:val="single" w:color="000000" w:sz="4" w:space="0"/>
              <w:left w:val="single" w:color="000000" w:sz="4" w:space="0"/>
              <w:bottom w:val="single" w:color="auto" w:sz="4" w:space="0"/>
              <w:right w:val="single" w:color="000000" w:sz="4" w:space="0"/>
            </w:tcBorders>
            <w:tcW w:w="645" w:type="dxa"/>
            <w:vAlign w:val="center"/>
            <w:vMerge w:val="restart"/>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4</w:t>
            </w:r>
            <w:r/>
          </w:p>
        </w:tc>
        <w:tc>
          <w:tcPr>
            <w:tcBorders>
              <w:top w:val="single" w:color="000000" w:sz="4" w:space="0"/>
              <w:left w:val="single" w:color="000000" w:sz="4" w:space="0"/>
              <w:bottom w:val="single" w:color="auto" w:sz="4" w:space="0"/>
              <w:right w:val="single" w:color="000000" w:sz="4" w:space="0"/>
            </w:tcBorders>
            <w:tcW w:w="927" w:type="dxa"/>
            <w:vAlign w:val="center"/>
            <w:vMerge w:val="restart"/>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sz w:val="28"/>
                <w:szCs w:val="28"/>
                <w:highlight w:val="none"/>
                <w:shd w:val="clear" w:color="auto" w:fill="auto"/>
              </w:rPr>
              <w:t xml:space="preserve">项目实施方案</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sz w:val="28"/>
                <w:szCs w:val="28"/>
                <w:highlight w:val="none"/>
                <w:shd w:val="clear" w:color="auto" w:fill="auto"/>
              </w:rPr>
            </w:pPr>
            <w:r>
              <w:rPr>
                <w:sz w:val="28"/>
                <w:szCs w:val="28"/>
                <w:highlight w:val="none"/>
                <w:shd w:val="clear" w:color="auto" w:fill="auto"/>
              </w:rPr>
              <w:t xml:space="preserve">实施计划、验收方案</w:t>
            </w:r>
            <w:r/>
          </w:p>
          <w:p>
            <w:pPr>
              <w:jc w:val="center"/>
              <w:spacing w:line="360" w:lineRule="auto"/>
              <w:widowControl/>
              <w:rPr>
                <w:rFonts w:eastAsia="宋体"/>
                <w:sz w:val="28"/>
                <w:szCs w:val="28"/>
                <w:highlight w:val="none"/>
                <w:shd w:val="clear" w:color="auto" w:fill="auto"/>
              </w:rPr>
            </w:pPr>
            <w:r>
              <w:rPr>
                <w:rFonts w:hint="eastAsia" w:eastAsia="宋体"/>
                <w:sz w:val="28"/>
                <w:szCs w:val="28"/>
                <w:highlight w:val="none"/>
                <w:shd w:val="clear" w:color="auto" w:fill="auto"/>
              </w:rPr>
              <w:t xml:space="preserve">5分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根据投标人提供针对本项目的项目实施计划方案进行评审。项目实施计划方案内容涵盖：</w:t>
            </w:r>
            <w:r/>
          </w:p>
          <w:p>
            <w:p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5</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满足项目需求的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3</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不</w:t>
            </w:r>
            <w:r>
              <w:rPr>
                <w:rFonts w:hint="eastAsia" w:ascii="宋体" w:hAnsi="宋体" w:eastAsia="宋体" w:cs="宋体"/>
                <w:color w:val="000000"/>
                <w:sz w:val="28"/>
                <w:szCs w:val="28"/>
                <w:highlight w:val="none"/>
                <w:shd w:val="clear" w:color="auto" w:fill="auto"/>
                <w:lang w:val="zh-CN" w:bidi="ar"/>
              </w:rPr>
              <w:t xml:space="preserve">提供不得分。</w:t>
            </w:r>
            <w:r/>
          </w:p>
        </w:tc>
      </w:tr>
      <w:tr>
        <w:trPr>
          <w:jc w:val="center"/>
          <w:trHeight w:val="1089"/>
        </w:trPr>
        <w:tc>
          <w:tcPr>
            <w:tcBorders>
              <w:top w:val="single" w:color="auto" w:sz="4" w:space="0"/>
              <w:left w:val="single" w:color="000000" w:sz="4" w:space="0"/>
              <w:bottom w:val="single" w:color="auto" w:sz="4" w:space="0"/>
              <w:right w:val="single" w:color="000000" w:sz="4" w:space="0"/>
            </w:tcBorders>
            <w:tcW w:w="645" w:type="dxa"/>
            <w:vAlign w:val="center"/>
            <w:vMerge w:val="continue"/>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ascii="宋体" w:hAnsi="宋体" w:eastAsia="宋体" w:cs="宋体"/>
                <w:color w:val="000000" w:themeColor="text1"/>
                <w:sz w:val="28"/>
                <w:szCs w:val="28"/>
                <w:highlight w:val="none"/>
                <w:shd w:val="clear" w:color="auto" w:fill="auto"/>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927" w:type="dxa"/>
            <w:vAlign w:val="center"/>
            <w:vMerge w:val="continue"/>
            <w:textDirection w:val="lrTb"/>
            <w:noWrap w:val="false"/>
          </w:tcPr>
          <w:p>
            <w:pPr>
              <w:jc w:val="center"/>
              <w:spacing w:line="360" w:lineRule="auto"/>
              <w:widowControl/>
              <w:rPr>
                <w:sz w:val="28"/>
                <w:szCs w:val="28"/>
                <w:highlight w:val="none"/>
                <w:shd w:val="clear" w:color="auto" w:fill="auto"/>
              </w:rPr>
            </w:pPr>
            <w:r>
              <w:rPr>
                <w:sz w:val="28"/>
                <w:szCs w:val="28"/>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left"/>
              <w:spacing w:line="360" w:lineRule="auto"/>
              <w:widowControl/>
              <w:rPr>
                <w:sz w:val="28"/>
                <w:szCs w:val="28"/>
                <w:highlight w:val="none"/>
                <w:shd w:val="clear" w:color="auto" w:fill="auto"/>
              </w:rPr>
            </w:pPr>
            <w:r>
              <w:rPr>
                <w:rFonts w:hint="eastAsia"/>
                <w:sz w:val="28"/>
                <w:szCs w:val="28"/>
                <w:highlight w:val="none"/>
                <w:shd w:val="clear" w:color="auto" w:fill="auto"/>
              </w:rPr>
              <w:t xml:space="preserve">培训方案</w:t>
            </w:r>
            <w:r/>
          </w:p>
          <w:p>
            <w:pPr>
              <w:jc w:val="left"/>
              <w:spacing w:line="360" w:lineRule="auto"/>
              <w:widowControl/>
              <w:rPr>
                <w:rFonts w:eastAsia="宋体"/>
                <w:sz w:val="28"/>
                <w:szCs w:val="28"/>
                <w:highlight w:val="none"/>
                <w:shd w:val="clear" w:color="auto" w:fill="auto"/>
              </w:rPr>
            </w:pPr>
            <w:r>
              <w:rPr>
                <w:rFonts w:hint="eastAsia" w:eastAsia="宋体"/>
                <w:sz w:val="28"/>
                <w:szCs w:val="28"/>
                <w:highlight w:val="none"/>
                <w:shd w:val="clear" w:color="auto" w:fill="auto"/>
              </w:rPr>
              <w:t xml:space="preserve">5分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根据投标人提供的培训服务方案进行打分。用户培训计划及培训方案科学合理，能够高质量保证用户学会并灵活掌握设备使用方法，优于项目需求的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5</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满足项目需求的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3</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不</w:t>
            </w:r>
            <w:r>
              <w:rPr>
                <w:rFonts w:hint="eastAsia" w:ascii="宋体" w:hAnsi="宋体" w:eastAsia="宋体" w:cs="宋体"/>
                <w:color w:val="000000"/>
                <w:sz w:val="28"/>
                <w:szCs w:val="28"/>
                <w:highlight w:val="none"/>
                <w:shd w:val="clear" w:color="auto" w:fill="auto"/>
                <w:lang w:val="zh-CN" w:bidi="ar"/>
              </w:rPr>
              <w:t xml:space="preserve">提供不得分。</w:t>
            </w:r>
            <w:r/>
          </w:p>
        </w:tc>
      </w:tr>
      <w:tr>
        <w:trPr>
          <w:jc w:val="center"/>
          <w:trHeight w:val="1339"/>
        </w:trPr>
        <w:tc>
          <w:tcPr>
            <w:tcBorders>
              <w:top w:val="single" w:color="auto" w:sz="4" w:space="0"/>
              <w:left w:val="single" w:color="000000" w:sz="4" w:space="0"/>
              <w:bottom w:val="single" w:color="auto" w:sz="4" w:space="0"/>
              <w:right w:val="single" w:color="000000" w:sz="4" w:space="0"/>
            </w:tcBorders>
            <w:tcW w:w="645" w:type="dxa"/>
            <w:vAlign w:val="center"/>
            <w:vMerge w:val="continue"/>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ascii="宋体" w:hAnsi="宋体" w:eastAsia="宋体" w:cs="宋体"/>
                <w:color w:val="000000" w:themeColor="text1"/>
                <w:sz w:val="28"/>
                <w:szCs w:val="28"/>
                <w:highlight w:val="none"/>
                <w:shd w:val="clear" w:color="auto" w:fill="auto"/>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927" w:type="dxa"/>
            <w:vAlign w:val="center"/>
            <w:vMerge w:val="continue"/>
            <w:textDirection w:val="lrTb"/>
            <w:noWrap w:val="false"/>
          </w:tcPr>
          <w:p>
            <w:pPr>
              <w:jc w:val="center"/>
              <w:spacing w:line="360" w:lineRule="auto"/>
              <w:widowControl/>
              <w:rPr>
                <w:sz w:val="28"/>
                <w:szCs w:val="28"/>
                <w:highlight w:val="none"/>
                <w:shd w:val="clear" w:color="auto" w:fill="auto"/>
              </w:rPr>
            </w:pPr>
            <w:r>
              <w:rPr>
                <w:sz w:val="28"/>
                <w:szCs w:val="28"/>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left"/>
              <w:spacing w:line="360" w:lineRule="auto"/>
              <w:widowControl/>
              <w:rPr>
                <w:rFonts w:ascii="宋体" w:hAnsi="宋体" w:cs="宋体"/>
                <w:sz w:val="28"/>
                <w:szCs w:val="28"/>
                <w:highlight w:val="none"/>
                <w:shd w:val="clear" w:color="auto" w:fill="auto"/>
              </w:rPr>
            </w:pPr>
            <w:r>
              <w:rPr>
                <w:rFonts w:hint="eastAsia" w:ascii="宋体" w:hAnsi="宋体" w:cs="宋体"/>
                <w:sz w:val="28"/>
                <w:szCs w:val="28"/>
                <w:highlight w:val="none"/>
                <w:shd w:val="clear" w:color="auto" w:fill="auto"/>
              </w:rPr>
              <w:t xml:space="preserve">耗材与备件保障方案</w:t>
            </w:r>
            <w:r/>
          </w:p>
          <w:p>
            <w:pPr>
              <w:jc w:val="left"/>
              <w:spacing w:line="360" w:lineRule="auto"/>
              <w:widowControl/>
              <w:rPr>
                <w:rFonts w:eastAsia="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5分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ascii="宋体" w:hAnsi="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根据投标人提供的耗材与备件保障方案进行打分。投标人提供备品备件服务保障承诺说明，内容包括但不限于配件明细清单，备件的品质，更换响应周期，更换工作程序，突发问题处理等方案。方案完整全面完全满足项目需求，清单详细，更换响应周期最快，优于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5</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满足项目需求的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3</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不</w:t>
            </w:r>
            <w:r>
              <w:rPr>
                <w:rFonts w:hint="eastAsia" w:ascii="宋体" w:hAnsi="宋体" w:eastAsia="宋体" w:cs="宋体"/>
                <w:color w:val="000000"/>
                <w:sz w:val="28"/>
                <w:szCs w:val="28"/>
                <w:highlight w:val="none"/>
                <w:shd w:val="clear" w:color="auto" w:fill="auto"/>
                <w:lang w:val="zh-CN" w:bidi="ar"/>
              </w:rPr>
              <w:t xml:space="preserve">提供不得分。</w:t>
            </w:r>
            <w:r/>
          </w:p>
        </w:tc>
      </w:tr>
      <w:tr>
        <w:trPr>
          <w:jc w:val="center"/>
          <w:trHeight w:val="1339"/>
        </w:trPr>
        <w:tc>
          <w:tcPr>
            <w:tcBorders>
              <w:top w:val="single" w:color="auto"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5</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360" w:lineRule="auto"/>
              <w:widowControl/>
              <w:rPr>
                <w:rFonts w:eastAsia="宋体"/>
                <w:sz w:val="28"/>
                <w:szCs w:val="28"/>
                <w:highlight w:val="none"/>
                <w:shd w:val="clear" w:color="auto" w:fill="auto"/>
              </w:rPr>
            </w:pPr>
            <w:r>
              <w:rPr>
                <w:rFonts w:hint="eastAsia" w:eastAsia="宋体"/>
                <w:sz w:val="28"/>
                <w:szCs w:val="28"/>
                <w:highlight w:val="none"/>
                <w:shd w:val="clear" w:color="auto" w:fill="auto"/>
              </w:rPr>
              <w:t xml:space="preserve">售后</w:t>
            </w:r>
            <w:r/>
          </w:p>
          <w:p>
            <w:pPr>
              <w:jc w:val="center"/>
              <w:spacing w:line="360" w:lineRule="auto"/>
              <w:widowControl/>
              <w:rPr>
                <w:rFonts w:eastAsia="宋体"/>
                <w:sz w:val="28"/>
                <w:szCs w:val="28"/>
                <w:highlight w:val="none"/>
                <w:shd w:val="clear" w:color="auto" w:fill="auto"/>
              </w:rPr>
            </w:pPr>
            <w:r>
              <w:rPr>
                <w:rFonts w:hint="eastAsia" w:eastAsia="宋体"/>
                <w:sz w:val="28"/>
                <w:szCs w:val="28"/>
                <w:highlight w:val="none"/>
                <w:shd w:val="clear" w:color="auto" w:fill="auto"/>
              </w:rPr>
              <w:t xml:space="preserve">服务</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left"/>
              <w:spacing w:line="360" w:lineRule="auto"/>
              <w:widowControl/>
              <w:rPr>
                <w:rFonts w:eastAsia="宋体"/>
                <w:sz w:val="28"/>
                <w:szCs w:val="28"/>
                <w:highlight w:val="none"/>
                <w:shd w:val="clear" w:color="auto" w:fill="auto"/>
              </w:rPr>
            </w:pPr>
            <w:r>
              <w:rPr>
                <w:rFonts w:hint="eastAsia" w:eastAsia="宋体"/>
                <w:sz w:val="28"/>
                <w:szCs w:val="28"/>
                <w:highlight w:val="none"/>
                <w:shd w:val="clear" w:color="auto" w:fill="auto"/>
              </w:rPr>
              <w:t xml:space="preserve">5分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ascii="宋体" w:hAnsi="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根据投标人提供的售后服务方案（包括人员配备、响应时间、响应程度、解决问题的能力、紧急故障处理预案等）以及维护期内外的后续技术支持和维护能力进行打分。人员配备能够涵盖各环节、能迅速响应并完美解决采购人问题、紧急障碍处理、维护期内外技术支持和维护能力方案，优于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5</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满足项目需求的</w:t>
            </w:r>
            <w:r>
              <w:rPr>
                <w:rFonts w:hint="eastAsia" w:ascii="宋体" w:hAnsi="宋体" w:eastAsia="宋体" w:cs="宋体"/>
                <w:color w:val="000000"/>
                <w:sz w:val="28"/>
                <w:szCs w:val="28"/>
                <w:highlight w:val="none"/>
                <w:shd w:val="clear" w:color="auto" w:fill="auto"/>
                <w:lang w:val="zh-CN" w:bidi="ar"/>
              </w:rPr>
              <w:t xml:space="preserve">得</w:t>
            </w:r>
            <w:r>
              <w:rPr>
                <w:rFonts w:hint="eastAsia" w:ascii="宋体" w:hAnsi="宋体" w:eastAsia="宋体" w:cs="宋体"/>
                <w:color w:val="000000"/>
                <w:sz w:val="28"/>
                <w:szCs w:val="28"/>
                <w:highlight w:val="none"/>
                <w:shd w:val="clear" w:color="auto" w:fill="auto"/>
                <w:lang w:bidi="ar"/>
              </w:rPr>
              <w:t xml:space="preserve">3</w:t>
            </w:r>
            <w:r>
              <w:rPr>
                <w:rFonts w:hint="eastAsia" w:ascii="宋体" w:hAnsi="宋体" w:eastAsia="宋体" w:cs="宋体"/>
                <w:color w:val="000000"/>
                <w:sz w:val="28"/>
                <w:szCs w:val="28"/>
                <w:highlight w:val="none"/>
                <w:shd w:val="clear" w:color="auto" w:fill="auto"/>
                <w:lang w:val="zh-CN" w:bidi="ar"/>
              </w:rPr>
              <w:t xml:space="preserve">分；</w:t>
            </w:r>
            <w:r>
              <w:rPr>
                <w:rFonts w:hint="eastAsia" w:ascii="宋体" w:hAnsi="宋体" w:eastAsia="宋体" w:cs="宋体"/>
                <w:color w:val="000000"/>
                <w:sz w:val="28"/>
                <w:szCs w:val="28"/>
                <w:highlight w:val="none"/>
                <w:shd w:val="clear" w:color="auto" w:fill="auto"/>
                <w:lang w:bidi="ar"/>
              </w:rPr>
              <w:t xml:space="preserve">不</w:t>
            </w:r>
            <w:r>
              <w:rPr>
                <w:rFonts w:hint="eastAsia" w:ascii="宋体" w:hAnsi="宋体" w:eastAsia="宋体" w:cs="宋体"/>
                <w:color w:val="000000"/>
                <w:sz w:val="28"/>
                <w:szCs w:val="28"/>
                <w:highlight w:val="none"/>
                <w:shd w:val="clear" w:color="auto" w:fill="auto"/>
                <w:lang w:val="zh-CN" w:bidi="ar"/>
              </w:rPr>
              <w:t xml:space="preserve">提供不得分。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spacing w:line="360" w:lineRule="auto"/>
              <w:widowControl/>
              <w:rPr>
                <w:rFonts w:ascii="宋体" w:hAnsi="宋体" w:eastAsia="宋体" w:cs="宋体"/>
                <w:color w:val="000000"/>
                <w:sz w:val="28"/>
                <w:szCs w:val="28"/>
                <w:highlight w:val="none"/>
                <w:shd w:val="clear" w:color="auto" w:fill="auto"/>
                <w:lang w:bidi="ar"/>
              </w:rPr>
            </w:pPr>
            <w:r>
              <w:rPr>
                <w:rFonts w:hint="eastAsia" w:ascii="宋体" w:hAnsi="宋体" w:eastAsia="宋体" w:cs="宋体"/>
                <w:color w:val="000000"/>
                <w:sz w:val="28"/>
                <w:szCs w:val="28"/>
                <w:highlight w:val="none"/>
                <w:shd w:val="clear" w:color="auto" w:fill="auto"/>
                <w:lang w:bidi="ar"/>
              </w:rPr>
              <w:t xml:space="preserve">节能</w:t>
            </w:r>
            <w:r/>
          </w:p>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环保</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2分</w:t>
            </w:r>
            <w:r/>
          </w:p>
        </w:tc>
        <w:tc>
          <w:tcPr>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jc w:val="left"/>
              <w:spacing w:line="360" w:lineRule="auto"/>
              <w:widowControl/>
              <w:rPr>
                <w:rFonts w:hint="eastAsia" w:ascii="宋体" w:hAnsi="宋体" w:eastAsia="宋体" w:cs="宋体"/>
                <w:color w:val="000000"/>
                <w:sz w:val="28"/>
                <w:szCs w:val="28"/>
                <w:highlight w:val="none"/>
                <w:shd w:val="clear" w:color="auto" w:fill="auto"/>
                <w:lang w:eastAsia="zh-CN" w:bidi="ar"/>
              </w:rPr>
            </w:pPr>
            <w:r>
              <w:rPr>
                <w:rFonts w:hint="eastAsia" w:ascii="宋体" w:hAnsi="宋体" w:eastAsia="宋体" w:cs="宋体"/>
                <w:color w:val="000000"/>
                <w:sz w:val="28"/>
                <w:szCs w:val="28"/>
                <w:highlight w:val="none"/>
                <w:shd w:val="clear" w:color="auto" w:fill="auto"/>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60" w:lineRule="auto"/>
              <w:widowControl/>
              <w:rPr>
                <w:rFonts w:ascii="宋体" w:hAnsi="宋体" w:eastAsia="宋体" w:cs="宋体"/>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sz w:val="28"/>
                <w:szCs w:val="28"/>
                <w:highlight w:val="none"/>
                <w:shd w:val="clear" w:color="auto" w:fill="auto"/>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864"/>
        <w:ind w:firstLine="480"/>
        <w:jc w:val="both"/>
        <w:spacing w:before="120" w:beforeAutospacing="0" w:after="12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keepNext/>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keepNext/>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keepNext/>
        <w:spacing w:beforeAutospacing="0" w:afterAutospacing="0" w:line="360" w:lineRule="auto"/>
        <w:rPr>
          <w:sz w:val="28"/>
          <w:szCs w:val="28"/>
          <w:highlight w:val="none"/>
          <w:shd w:val="clear" w:color="auto" w:fill="auto"/>
        </w:rPr>
      </w:pPr>
      <w:r>
        <w:rPr>
          <w:rFonts w:hint="eastAsia" w:ascii="黑体" w:hAnsi="宋体" w:eastAsia="黑体" w:cs="黑体"/>
          <w:color w:val="000000"/>
          <w:sz w:val="28"/>
          <w:szCs w:val="28"/>
          <w:highlight w:val="none"/>
          <w:shd w:val="clear" w:color="auto" w:fill="auto"/>
        </w:rPr>
        <w:t xml:space="preserve">第六章  投标文件格式 </w:t>
      </w:r>
      <w:r/>
    </w:p>
    <w:p>
      <w:pPr>
        <w:pStyle w:val="864"/>
        <w:jc w:val="center"/>
        <w:spacing w:beforeAutospacing="0" w:afterAutospacing="0" w:line="360" w:lineRule="auto"/>
        <w:rPr>
          <w:sz w:val="28"/>
          <w:szCs w:val="28"/>
          <w:highlight w:val="none"/>
          <w:shd w:val="clear" w:color="auto" w:fill="auto"/>
        </w:rPr>
      </w:pPr>
      <w:r/>
      <w:bookmarkStart w:id="241" w:name="_Toc49090576"/>
      <w:r/>
      <w:bookmarkEnd w:id="241"/>
      <w:r/>
      <w:bookmarkStart w:id="242" w:name="_Toc120614282"/>
      <w:r/>
      <w:bookmarkEnd w:id="242"/>
      <w:r/>
      <w:bookmarkStart w:id="243" w:name="_Hlt26671244"/>
      <w:r/>
      <w:bookmarkStart w:id="244" w:name="_Hlt26955039"/>
      <w:r/>
      <w:bookmarkStart w:id="245" w:name="_Toc26554094"/>
      <w:r>
        <w:rPr>
          <w:rFonts w:hint="eastAsia" w:ascii="宋体" w:hAnsi="宋体" w:eastAsia="宋体" w:cs="宋体"/>
          <w:b/>
          <w:color w:val="000000"/>
          <w:sz w:val="28"/>
          <w:szCs w:val="28"/>
          <w:highlight w:val="none"/>
          <w:shd w:val="clear" w:color="auto" w:fill="auto"/>
        </w:rPr>
        <w:t xml:space="preserve">投  标  文  件</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1084"/>
        <w:jc w:val="both"/>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项 目 名 称：</w:t>
      </w:r>
      <w:r>
        <w:rPr>
          <w:rFonts w:hint="eastAsia" w:ascii="宋体" w:hAnsi="宋体" w:eastAsia="宋体" w:cs="宋体"/>
          <w:b/>
          <w:color w:val="000000"/>
          <w:sz w:val="28"/>
          <w:szCs w:val="28"/>
          <w:highlight w:val="none"/>
          <w:u w:val="single"/>
          <w:shd w:val="clear" w:color="auto" w:fill="auto"/>
        </w:rPr>
        <w:t xml:space="preserve">             </w:t>
      </w:r>
      <w:r/>
    </w:p>
    <w:p>
      <w:pPr>
        <w:pStyle w:val="864"/>
        <w:ind w:firstLine="1084"/>
        <w:jc w:val="both"/>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项 目 编 号：</w:t>
      </w:r>
      <w:r>
        <w:rPr>
          <w:rFonts w:hint="eastAsia" w:ascii="宋体" w:hAnsi="宋体" w:eastAsia="宋体" w:cs="宋体"/>
          <w:b/>
          <w:color w:val="000000"/>
          <w:sz w:val="28"/>
          <w:szCs w:val="28"/>
          <w:highlight w:val="none"/>
          <w:u w:val="singl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   </w:t>
      </w:r>
      <w:r>
        <w:rPr>
          <w:rFonts w:hint="eastAsia" w:ascii="宋体" w:hAnsi="宋体" w:eastAsia="宋体" w:cs="宋体"/>
          <w:b/>
          <w:color w:val="000000"/>
          <w:sz w:val="28"/>
          <w:szCs w:val="28"/>
          <w:highlight w:val="none"/>
          <w:shd w:val="clear" w:color="auto" w:fill="auto"/>
          <w:lang w:val="en-US" w:eastAsia="zh-CN"/>
        </w:rPr>
        <w:t xml:space="preserve">  </w:t>
      </w:r>
      <w:r>
        <w:rPr>
          <w:rFonts w:hint="eastAsia" w:ascii="宋体" w:hAnsi="宋体" w:eastAsia="宋体" w:cs="宋体"/>
          <w:b/>
          <w:color w:val="000000"/>
          <w:sz w:val="28"/>
          <w:szCs w:val="28"/>
          <w:highlight w:val="none"/>
          <w:shd w:val="clear" w:color="auto" w:fill="auto"/>
        </w:rPr>
        <w:t xml:space="preserve">投标人名称 ：</w:t>
      </w:r>
      <w:r>
        <w:rPr>
          <w:rFonts w:hint="eastAsia" w:ascii="宋体" w:hAnsi="宋体" w:eastAsia="宋体" w:cs="宋体"/>
          <w:b/>
          <w:color w:val="000000"/>
          <w:sz w:val="28"/>
          <w:szCs w:val="28"/>
          <w:highlight w:val="none"/>
          <w:u w:val="single"/>
          <w:shd w:val="clear" w:color="auto" w:fill="auto"/>
        </w:rPr>
        <w:t xml:space="preserve">（加盖CA电子公章）</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   </w:t>
      </w:r>
      <w:r>
        <w:rPr>
          <w:rFonts w:hint="eastAsia" w:ascii="宋体" w:hAnsi="宋体" w:eastAsia="宋体" w:cs="宋体"/>
          <w:b/>
          <w:color w:val="000000"/>
          <w:sz w:val="28"/>
          <w:szCs w:val="28"/>
          <w:highlight w:val="none"/>
          <w:shd w:val="clear" w:color="auto" w:fill="auto"/>
          <w:lang w:val="en-US" w:eastAsia="zh-CN"/>
        </w:rPr>
        <w:t xml:space="preserve">  </w:t>
      </w:r>
      <w:r>
        <w:rPr>
          <w:rFonts w:hint="eastAsia" w:ascii="宋体" w:hAnsi="宋体" w:eastAsia="宋体" w:cs="宋体"/>
          <w:b/>
          <w:color w:val="000000"/>
          <w:sz w:val="28"/>
          <w:szCs w:val="28"/>
          <w:highlight w:val="none"/>
          <w:shd w:val="clear" w:color="auto" w:fill="auto"/>
        </w:rPr>
        <w:t xml:space="preserve">日   期 ：</w:t>
      </w:r>
      <w:r>
        <w:rPr>
          <w:rFonts w:hint="eastAsia" w:ascii="宋体" w:hAnsi="宋体" w:eastAsia="宋体" w:cs="宋体"/>
          <w:b/>
          <w:color w:val="000000"/>
          <w:sz w:val="28"/>
          <w:szCs w:val="28"/>
          <w:highlight w:val="none"/>
          <w:u w:val="singl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投标文件目录</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left="480"/>
        <w:jc w:val="both"/>
        <w:spacing w:beforeAutospacing="0" w:afterAutospacing="0" w:line="360" w:lineRule="auto"/>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一、法人或者其他组织的营</w:t>
      </w:r>
      <w:r>
        <w:rPr>
          <w:rFonts w:hint="eastAsia" w:ascii="宋体" w:hAnsi="宋体" w:eastAsia="宋体" w:cs="宋体"/>
          <w:i/>
          <w:color w:val="000000"/>
          <w:sz w:val="28"/>
          <w:szCs w:val="28"/>
          <w:highlight w:val="none"/>
          <w:u w:val="single"/>
          <w:shd w:val="clear" w:color="auto" w:fill="auto"/>
        </w:rPr>
        <w:t xml:space="preserve">业执照等证明文件，自然人的身份证明</w:t>
      </w:r>
      <w:r/>
    </w:p>
    <w:p>
      <w:pPr>
        <w:ind w:firstLine="560"/>
        <w:jc w:val="left"/>
        <w:spacing w:line="360" w:lineRule="auto"/>
        <w:tabs>
          <w:tab w:val="left" w:pos="1331" w:leader="none"/>
        </w:tabs>
        <w:rPr>
          <w:rFonts w:hint="eastAsia" w:ascii="宋体" w:hAnsi="宋体" w:eastAsia="宋体" w:cs="宋体"/>
          <w:i/>
          <w:color w:val="000000"/>
          <w:sz w:val="28"/>
          <w:szCs w:val="28"/>
          <w:highlight w:val="none"/>
          <w:u w:val="single"/>
          <w:shd w:val="clear" w:color="auto" w:fill="auto"/>
          <w:lang w:val="en-US" w:eastAsia="zh-CN" w:bidi="ar-SA"/>
        </w:rPr>
      </w:pPr>
      <w:r>
        <w:rPr>
          <w:rFonts w:hint="eastAsia" w:ascii="宋体" w:hAnsi="宋体" w:eastAsia="宋体" w:cs="宋体"/>
          <w:i/>
          <w:color w:val="000000"/>
          <w:sz w:val="28"/>
          <w:szCs w:val="28"/>
          <w:highlight w:val="none"/>
          <w:u w:val="single"/>
          <w:shd w:val="clear" w:color="auto" w:fill="auto"/>
          <w:lang w:val="en-US" w:eastAsia="zh-CN" w:bidi="ar-SA"/>
        </w:rPr>
        <w:t xml:space="preserve">二、上一年度的财务状况报表（至少提供资产负债表、利润表、现金流量表，</w:t>
      </w:r>
      <w:r/>
    </w:p>
    <w:p>
      <w:pPr>
        <w:pStyle w:val="864"/>
        <w:ind w:left="480"/>
        <w:jc w:val="both"/>
        <w:spacing w:beforeAutospacing="0" w:afterAutospacing="0" w:line="360" w:lineRule="auto"/>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投标人成立不满一年无需提供）</w:t>
      </w:r>
      <w:r/>
    </w:p>
    <w:p>
      <w:pPr>
        <w:pStyle w:val="864"/>
        <w:ind w:left="480"/>
        <w:jc w:val="both"/>
        <w:spacing w:beforeAutospacing="0" w:afterAutospacing="0" w:line="360" w:lineRule="auto"/>
        <w:rPr>
          <w:rFonts w:hint="eastAsia" w:ascii="宋体" w:hAnsi="宋体" w:eastAsia="宋体" w:cs="宋体"/>
          <w:i/>
          <w:color w:val="000000"/>
          <w:sz w:val="28"/>
          <w:szCs w:val="28"/>
          <w:highlight w:val="none"/>
          <w:u w:val="single"/>
          <w:shd w:val="clear" w:color="auto" w:fill="auto"/>
        </w:rPr>
      </w:pPr>
      <w:r>
        <w:rPr>
          <w:rFonts w:hint="eastAsia" w:ascii="宋体" w:hAnsi="宋体" w:eastAsia="宋体" w:cs="宋体"/>
          <w:i/>
          <w:color w:val="000000"/>
          <w:sz w:val="28"/>
          <w:szCs w:val="28"/>
          <w:highlight w:val="none"/>
          <w:u w:val="single"/>
          <w:shd w:val="clear" w:color="auto" w:fill="auto"/>
          <w:lang w:val="en-US" w:eastAsia="zh-CN"/>
        </w:rPr>
        <w:t xml:space="preserve">三</w:t>
      </w:r>
      <w:r>
        <w:rPr>
          <w:rFonts w:hint="eastAsia" w:ascii="宋体" w:hAnsi="宋体" w:eastAsia="宋体" w:cs="宋体"/>
          <w:i/>
          <w:color w:val="000000"/>
          <w:sz w:val="28"/>
          <w:szCs w:val="28"/>
          <w:highlight w:val="none"/>
          <w:u w:val="single"/>
          <w:shd w:val="clear" w:color="auto" w:fill="auto"/>
        </w:rPr>
        <w:t xml:space="preserve">、具备履行合同所必需的设备和专业技术能力的书面声明</w:t>
      </w:r>
      <w:r/>
    </w:p>
    <w:p>
      <w:pPr>
        <w:pStyle w:val="864"/>
        <w:ind w:left="480"/>
        <w:jc w:val="both"/>
        <w:spacing w:beforeAutospacing="0" w:afterAutospacing="0" w:line="360" w:lineRule="auto"/>
        <w:rPr>
          <w:rFonts w:hint="eastAsia" w:ascii="宋体" w:hAnsi="宋体" w:eastAsia="宋体" w:cs="宋体"/>
          <w:i/>
          <w:color w:val="000000"/>
          <w:sz w:val="28"/>
          <w:szCs w:val="28"/>
          <w:highlight w:val="none"/>
          <w:u w:val="single"/>
          <w:shd w:val="clear" w:color="auto" w:fill="auto"/>
        </w:rPr>
      </w:pPr>
      <w:r>
        <w:rPr>
          <w:rFonts w:hint="eastAsia" w:ascii="宋体" w:hAnsi="宋体" w:eastAsia="宋体" w:cs="宋体"/>
          <w:i/>
          <w:color w:val="000000"/>
          <w:sz w:val="28"/>
          <w:szCs w:val="28"/>
          <w:highlight w:val="none"/>
          <w:u w:val="single"/>
          <w:shd w:val="clear" w:color="auto" w:fill="auto"/>
          <w:lang w:val="en-US" w:eastAsia="zh-CN"/>
        </w:rPr>
        <w:t xml:space="preserve">四</w:t>
      </w:r>
      <w:r>
        <w:rPr>
          <w:rFonts w:hint="eastAsia" w:ascii="宋体" w:hAnsi="宋体" w:eastAsia="宋体" w:cs="宋体"/>
          <w:i/>
          <w:color w:val="000000"/>
          <w:sz w:val="28"/>
          <w:szCs w:val="28"/>
          <w:highlight w:val="none"/>
          <w:u w:val="single"/>
          <w:shd w:val="clear" w:color="auto" w:fill="auto"/>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五、参加政府采购活动前 3 年内在经营活动中没有重大违法记录的书面声明</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六、特定资格要求的证明文件（如果本项目设置特定资格要求，则需要提供）</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七、法人授权书</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i/>
          <w:color w:val="000000"/>
          <w:sz w:val="28"/>
          <w:szCs w:val="28"/>
          <w:highlight w:val="none"/>
          <w:u w:val="single"/>
          <w:shd w:val="clear" w:color="auto" w:fill="auto"/>
        </w:rPr>
        <w:t xml:space="preserve">八、投标函</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九、小微企业声明函</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十、残疾人福利性单位声明函</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十一、联合体协议</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十二、投标分项报价表</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十三、技术要求响应及偏离表</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十四、商务要求响应及偏离表</w:t>
      </w:r>
      <w:r/>
    </w:p>
    <w:p>
      <w:pPr>
        <w:pStyle w:val="864"/>
        <w:ind w:firstLine="480"/>
        <w:jc w:val="both"/>
        <w:spacing w:beforeAutospacing="0" w:afterAutospacing="0" w:line="360" w:lineRule="auto"/>
        <w:rPr>
          <w:rFonts w:ascii="宋体" w:hAnsi="宋体" w:eastAsia="宋体" w:cs="宋体"/>
          <w:i/>
          <w:color w:val="000000"/>
          <w:sz w:val="28"/>
          <w:szCs w:val="28"/>
          <w:highlight w:val="none"/>
          <w:u w:val="single"/>
          <w:shd w:val="clear" w:color="auto" w:fill="auto"/>
        </w:rPr>
      </w:pPr>
      <w:r>
        <w:rPr>
          <w:rFonts w:hint="eastAsia" w:ascii="宋体" w:hAnsi="宋体" w:eastAsia="宋体" w:cs="宋体"/>
          <w:i/>
          <w:color w:val="000000"/>
          <w:sz w:val="28"/>
          <w:szCs w:val="28"/>
          <w:highlight w:val="none"/>
          <w:u w:val="single"/>
          <w:shd w:val="clear" w:color="auto" w:fill="auto"/>
        </w:rPr>
        <w:t xml:space="preserve">十五、开标一览表</w:t>
      </w:r>
      <w:r/>
    </w:p>
    <w:p>
      <w:pPr>
        <w:ind w:firstLine="560"/>
        <w:spacing w:before="50" w:after="50" w:line="360" w:lineRule="auto"/>
        <w:widowControl/>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十六、技术方案、服务承诺、培训承诺等</w:t>
      </w:r>
      <w:r/>
    </w:p>
    <w:p>
      <w:pPr>
        <w:pStyle w:val="864"/>
        <w:ind w:firstLine="480"/>
        <w:jc w:val="both"/>
        <w:spacing w:beforeAutospacing="0" w:afterAutospacing="0" w:line="360" w:lineRule="auto"/>
        <w:rPr>
          <w:rFonts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十七、盐城市政府采购事前信用承诺书</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rPr>
        <w:t xml:space="preserve">一、法人或者其他组织的营业执照等证明文件，自然人的身份证明</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rFonts w:eastAsia="黑体"/>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rPr>
        <w:t xml:space="preserve">二、上一年度的财务状</w:t>
      </w:r>
      <w:r>
        <w:rPr>
          <w:rFonts w:hint="eastAsia" w:ascii="黑体" w:hAnsi="宋体" w:eastAsia="黑体" w:cs="黑体"/>
          <w:i/>
          <w:color w:val="000000"/>
          <w:sz w:val="28"/>
          <w:szCs w:val="28"/>
          <w:highlight w:val="none"/>
          <w:u w:val="single"/>
          <w:shd w:val="clear" w:color="auto" w:fill="auto"/>
        </w:rPr>
        <w:t xml:space="preserve">况报表</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投标人成立不满一年无需提供</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lang w:val="en-US" w:eastAsia="zh-CN"/>
        </w:rPr>
        <w:t xml:space="preserve">三</w:t>
      </w:r>
      <w:r>
        <w:rPr>
          <w:rFonts w:hint="eastAsia" w:ascii="黑体" w:hAnsi="宋体" w:eastAsia="黑体" w:cs="黑体"/>
          <w:i/>
          <w:color w:val="000000"/>
          <w:sz w:val="28"/>
          <w:szCs w:val="28"/>
          <w:highlight w:val="none"/>
          <w:u w:val="single"/>
          <w:shd w:val="clear" w:color="auto" w:fill="auto"/>
        </w:rPr>
        <w:t xml:space="preserve">、具备履行合同所必需的设备和专业技术能力的书面声明</w:t>
      </w:r>
      <w:r/>
    </w:p>
    <w:p>
      <w:pPr>
        <w:pStyle w:val="864"/>
        <w:ind w:firstLine="492"/>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主要设备有：</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w:t>
      </w:r>
      <w:r/>
    </w:p>
    <w:p>
      <w:pPr>
        <w:pStyle w:val="864"/>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主要专业技术能力有：</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w:t>
      </w:r>
      <w:r/>
    </w:p>
    <w:p>
      <w:pPr>
        <w:pStyle w:val="864"/>
        <w:jc w:val="both"/>
        <w:spacing w:beforeAutospacing="0" w:afterAutospacing="0" w:line="360" w:lineRule="auto"/>
        <w:rPr>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lang w:val="en-US" w:eastAsia="zh-CN"/>
        </w:rPr>
        <w:t xml:space="preserve">四</w:t>
      </w:r>
      <w:r>
        <w:rPr>
          <w:rFonts w:hint="eastAsia" w:ascii="黑体" w:hAnsi="宋体" w:eastAsia="黑体" w:cs="黑体"/>
          <w:i/>
          <w:color w:val="000000"/>
          <w:sz w:val="28"/>
          <w:szCs w:val="28"/>
          <w:highlight w:val="none"/>
          <w:u w:val="single"/>
          <w:shd w:val="clear" w:color="auto" w:fill="auto"/>
        </w:rPr>
        <w:t xml:space="preserve">、依法缴纳税收和社会保障资金的相关材料</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提供提交投标文件截止时间前一年内至少一个月依法缴纳税收及缴纳社会保障资金的证明材料。投标人依法享受缓缴、免缴税收、社会保障资金的提供证明材料。</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rFonts w:ascii="宋体" w:hAnsi="宋体" w:eastAsia="宋体" w:cs="宋体"/>
          <w:b/>
          <w:color w:val="000000"/>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rPr>
        <w:t xml:space="preserve">五、参加政府采购活动前 3 年内在经营活动中没有重大违法记录的书面声明</w:t>
      </w:r>
      <w:r/>
    </w:p>
    <w:p>
      <w:pPr>
        <w:pStyle w:val="864"/>
        <w:ind w:firstLine="1968"/>
        <w:jc w:val="both"/>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 声  明</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  </w:t>
      </w:r>
      <w:r>
        <w:rPr>
          <w:rFonts w:hint="eastAsia" w:ascii="宋体" w:hAnsi="宋体" w:eastAsia="宋体" w:cs="宋体"/>
          <w:color w:val="000000"/>
          <w:sz w:val="28"/>
          <w:szCs w:val="28"/>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spacing w:beforeAutospacing="0" w:afterAutospacing="0" w:line="360" w:lineRule="auto"/>
        <w:rPr>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rPr>
        <w:t xml:space="preserve">六、特定资格要求的证明文件</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如果本项目申请人的特定资格要求中要求提供的，必须提供。</w:t>
      </w:r>
      <w:r/>
    </w:p>
    <w:p>
      <w:pPr>
        <w:pStyle w:val="864"/>
        <w:jc w:val="center"/>
        <w:spacing w:beforeAutospacing="0" w:afterAutospacing="0" w:line="360" w:lineRule="auto"/>
        <w:rPr>
          <w:rFonts w:ascii="黑体" w:hAnsi="宋体" w:eastAsia="黑体" w:cs="黑体"/>
          <w:i/>
          <w:color w:val="000000"/>
          <w:sz w:val="28"/>
          <w:szCs w:val="28"/>
          <w:highlight w:val="none"/>
          <w:u w:val="single"/>
          <w:shd w:val="clear" w:color="auto" w:fill="auto"/>
        </w:rPr>
      </w:pPr>
      <w:r/>
      <w:bookmarkStart w:id="246" w:name="_Toc120614284"/>
      <w:r/>
      <w:r/>
    </w:p>
    <w:p>
      <w:pPr>
        <w:pStyle w:val="864"/>
        <w:jc w:val="center"/>
        <w:spacing w:beforeAutospacing="0" w:afterAutospacing="0" w:line="360" w:lineRule="auto"/>
        <w:rPr>
          <w:rFonts w:ascii="黑体" w:hAnsi="宋体" w:eastAsia="黑体" w:cs="黑体"/>
          <w:i/>
          <w:color w:val="000000"/>
          <w:sz w:val="28"/>
          <w:szCs w:val="28"/>
          <w:highlight w:val="none"/>
          <w:u w:val="single"/>
          <w:shd w:val="clear" w:color="auto" w:fill="auto"/>
        </w:rPr>
      </w:pPr>
      <w:r>
        <w:rPr>
          <w:rFonts w:ascii="黑体" w:hAnsi="宋体" w:eastAsia="黑体" w:cs="黑体"/>
          <w:i/>
          <w:color w:val="000000"/>
          <w:sz w:val="28"/>
          <w:szCs w:val="28"/>
          <w:highlight w:val="none"/>
          <w:u w:val="single"/>
          <w:shd w:val="clear" w:color="auto" w:fill="auto"/>
        </w:rPr>
      </w:r>
      <w:r/>
    </w:p>
    <w:p>
      <w:pPr>
        <w:pStyle w:val="864"/>
        <w:jc w:val="center"/>
        <w:spacing w:beforeAutospacing="0" w:afterAutospacing="0" w:line="360" w:lineRule="auto"/>
        <w:rPr>
          <w:rFonts w:ascii="黑体" w:hAnsi="宋体" w:eastAsia="黑体" w:cs="黑体"/>
          <w:i/>
          <w:color w:val="000000"/>
          <w:sz w:val="28"/>
          <w:szCs w:val="28"/>
          <w:highlight w:val="none"/>
          <w:u w:val="single"/>
          <w:shd w:val="clear" w:color="auto" w:fill="auto"/>
        </w:rPr>
      </w:pPr>
      <w:r>
        <w:rPr>
          <w:rFonts w:ascii="黑体" w:hAnsi="宋体" w:eastAsia="黑体" w:cs="黑体"/>
          <w:i/>
          <w:color w:val="000000"/>
          <w:sz w:val="28"/>
          <w:szCs w:val="28"/>
          <w:highlight w:val="none"/>
          <w:u w:val="single"/>
          <w:shd w:val="clear" w:color="auto" w:fill="auto"/>
        </w:rPr>
      </w:r>
      <w:r/>
    </w:p>
    <w:p>
      <w:pPr>
        <w:pStyle w:val="864"/>
        <w:jc w:val="center"/>
        <w:spacing w:beforeAutospacing="0" w:afterAutospacing="0" w:line="360" w:lineRule="auto"/>
        <w:rPr>
          <w:rFonts w:ascii="黑体" w:hAnsi="宋体" w:eastAsia="黑体" w:cs="黑体"/>
          <w:i/>
          <w:color w:val="000000"/>
          <w:sz w:val="28"/>
          <w:szCs w:val="28"/>
          <w:highlight w:val="none"/>
          <w:u w:val="single"/>
          <w:shd w:val="clear" w:color="auto" w:fill="auto"/>
        </w:rPr>
      </w:pPr>
      <w:r>
        <w:rPr>
          <w:rFonts w:ascii="黑体" w:hAnsi="宋体" w:eastAsia="黑体" w:cs="黑体"/>
          <w:i/>
          <w:color w:val="000000"/>
          <w:sz w:val="28"/>
          <w:szCs w:val="28"/>
          <w:highlight w:val="none"/>
          <w:u w:val="single"/>
          <w:shd w:val="clear" w:color="auto" w:fill="auto"/>
        </w:rPr>
      </w:r>
      <w:r/>
    </w:p>
    <w:p>
      <w:pPr>
        <w:pStyle w:val="864"/>
        <w:jc w:val="center"/>
        <w:spacing w:beforeAutospacing="0" w:afterAutospacing="0" w:line="360" w:lineRule="auto"/>
        <w:rPr>
          <w:sz w:val="28"/>
          <w:szCs w:val="28"/>
          <w:highlight w:val="none"/>
          <w:shd w:val="clear" w:color="auto" w:fill="auto"/>
        </w:rPr>
      </w:pPr>
      <w:r>
        <w:rPr>
          <w:rFonts w:hint="eastAsia" w:ascii="黑体" w:hAnsi="宋体" w:eastAsia="黑体" w:cs="黑体"/>
          <w:i/>
          <w:color w:val="000000"/>
          <w:sz w:val="28"/>
          <w:szCs w:val="28"/>
          <w:highlight w:val="none"/>
          <w:u w:val="single"/>
          <w:shd w:val="clear" w:color="auto" w:fill="auto"/>
        </w:rPr>
        <w:t xml:space="preserve">七、法人授权书</w:t>
      </w:r>
      <w:r/>
    </w:p>
    <w:p>
      <w:pPr>
        <w:pStyle w:val="864"/>
        <w:ind w:firstLine="480"/>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本授权书声明：____________（投标人名称）授权________________（被授权人的姓名）为我方就JSZC-</w:t>
      </w:r>
      <w:r>
        <w:rPr>
          <w:rFonts w:ascii="Times New Roman" w:hAnsi="Times New Roman"/>
          <w:color w:val="000000"/>
          <w:sz w:val="28"/>
          <w:szCs w:val="28"/>
          <w:highlight w:val="none"/>
          <w:u w:val="single"/>
          <w:shd w:val="clear" w:color="auto" w:fill="auto"/>
        </w:rPr>
        <w:t xml:space="preserve">        </w:t>
      </w:r>
      <w:r>
        <w:rPr>
          <w:rFonts w:ascii="Times New Roman" w:hAnsi="Times New Roman"/>
          <w:color w:val="000000"/>
          <w:sz w:val="28"/>
          <w:szCs w:val="28"/>
          <w:highlight w:val="none"/>
          <w:shd w:val="clear" w:color="auto" w:fill="auto"/>
        </w:rPr>
        <w:t xml:space="preserve">号项目采购活动的合法代理人，以本单位名义全权处理一切与该项目采购有关的事务。</w:t>
      </w:r>
      <w:r/>
    </w:p>
    <w:p>
      <w:pPr>
        <w:pStyle w:val="864"/>
        <w:ind w:firstLine="480"/>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本授权书于______年____月____日起生效，特此声明。</w:t>
      </w:r>
      <w:r/>
    </w:p>
    <w:p>
      <w:pPr>
        <w:pStyle w:val="864"/>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          被授权人身份证号码：</w:t>
      </w:r>
      <w:r>
        <w:rPr>
          <w:rFonts w:ascii="Times New Roman" w:hAnsi="Times New Roman"/>
          <w:color w:val="000000"/>
          <w:sz w:val="28"/>
          <w:szCs w:val="28"/>
          <w:highlight w:val="none"/>
          <w:u w:val="single"/>
          <w:shd w:val="clear" w:color="auto" w:fill="auto"/>
        </w:rPr>
        <w:t xml:space="preserve">                              </w:t>
      </w:r>
      <w:r/>
    </w:p>
    <w:p>
      <w:pPr>
        <w:pStyle w:val="864"/>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          被授权人联系电话：（手机）</w:t>
      </w:r>
      <w:r>
        <w:rPr>
          <w:rFonts w:ascii="Times New Roman" w:hAnsi="Times New Roman"/>
          <w:color w:val="000000"/>
          <w:sz w:val="28"/>
          <w:szCs w:val="28"/>
          <w:highlight w:val="none"/>
          <w:u w:val="single"/>
          <w:shd w:val="clear" w:color="auto" w:fill="auto"/>
        </w:rPr>
        <w:t xml:space="preserve">                          </w:t>
      </w:r>
      <w:r/>
    </w:p>
    <w:p>
      <w:pPr>
        <w:pStyle w:val="864"/>
        <w:ind w:firstLine="1200"/>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授权单位名称：</w:t>
      </w:r>
      <w:r>
        <w:rPr>
          <w:rFonts w:ascii="Times New Roman" w:hAnsi="Times New Roman"/>
          <w:color w:val="000000"/>
          <w:sz w:val="28"/>
          <w:szCs w:val="28"/>
          <w:highlight w:val="none"/>
          <w:u w:val="single"/>
          <w:shd w:val="clear" w:color="auto" w:fill="auto"/>
        </w:rPr>
        <w:t xml:space="preserve">（加盖CA电子公章）</w:t>
      </w:r>
      <w:r/>
    </w:p>
    <w:p>
      <w:pPr>
        <w:pStyle w:val="864"/>
        <w:ind w:firstLine="480"/>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      单位地址：</w:t>
      </w:r>
      <w:r>
        <w:rPr>
          <w:rFonts w:ascii="Times New Roman" w:hAnsi="Times New Roman"/>
          <w:color w:val="000000"/>
          <w:sz w:val="28"/>
          <w:szCs w:val="28"/>
          <w:highlight w:val="none"/>
          <w:u w:val="single"/>
          <w:shd w:val="clear" w:color="auto" w:fill="auto"/>
        </w:rPr>
        <w:t xml:space="preserve">                                         </w:t>
      </w:r>
      <w:r/>
    </w:p>
    <w:p>
      <w:pPr>
        <w:pStyle w:val="864"/>
        <w:ind w:firstLine="480"/>
        <w:jc w:val="both"/>
        <w:spacing w:beforeAutospacing="0" w:afterAutospacing="0" w:line="360" w:lineRule="auto"/>
        <w:tabs>
          <w:tab w:val="left" w:pos="360" w:leader="none"/>
        </w:tabs>
        <w:rPr>
          <w:sz w:val="28"/>
          <w:szCs w:val="28"/>
          <w:highlight w:val="none"/>
          <w:shd w:val="clear" w:color="auto" w:fill="auto"/>
        </w:rPr>
      </w:pPr>
      <w:r>
        <w:rPr>
          <w:rFonts w:ascii="Times New Roman" w:hAnsi="Times New Roman"/>
          <w:color w:val="000000"/>
          <w:sz w:val="28"/>
          <w:szCs w:val="28"/>
          <w:highlight w:val="none"/>
          <w:shd w:val="clear" w:color="auto" w:fill="auto"/>
        </w:rPr>
        <w:t xml:space="preserve">      日期：</w:t>
      </w:r>
      <w:bookmarkStart w:id="247" w:name="_Hlt26671380"/>
      <w:r/>
      <w:bookmarkStart w:id="248" w:name="_格式3__银行出具的资信证明"/>
      <w:r/>
      <w:bookmarkStart w:id="249" w:name="_Hlt26955070"/>
      <w:r>
        <w:rPr>
          <w:rFonts w:ascii="Times New Roman" w:hAnsi="Times New Roman"/>
          <w:color w:val="000000"/>
          <w:sz w:val="28"/>
          <w:szCs w:val="28"/>
          <w:highlight w:val="none"/>
          <w:u w:val="singl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360"/>
        <w:jc w:val="both"/>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ascii="楷体" w:hAnsi="楷体" w:eastAsia="楷体" w:cs="楷体"/>
          <w:color w:val="000000" w:themeColor="text1"/>
          <w:sz w:val="28"/>
          <w:szCs w:val="28"/>
          <w:highlight w:val="none"/>
          <w:shd w:val="clear" w:color="auto" w:fill="auto"/>
          <w14:textFill>
            <w14:solidFill>
              <w14:schemeClr w14:val="tx1"/>
            </w14:solidFill>
          </w14:textFill>
        </w:rPr>
        <w:t xml:space="preserve">备注 我公司（单位）委托进行现场演示的人员为（本项目如果无现场演示要求，请项目经办人自行删除备注）</w:t>
      </w:r>
      <w:r/>
    </w:p>
    <w:p>
      <w:pPr>
        <w:pStyle w:val="864"/>
        <w:jc w:val="both"/>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楷体" w:hAnsi="楷体" w:eastAsia="楷体" w:cs="楷体"/>
          <w:color w:val="000000" w:themeColor="text1"/>
          <w:sz w:val="28"/>
          <w:szCs w:val="28"/>
          <w:highlight w:val="none"/>
          <w:u w:val="single"/>
          <w:shd w:val="clear" w:color="auto" w:fill="auto"/>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auto"/>
          <w14:textFill>
            <w14:solidFill>
              <w14:schemeClr w14:val="tx1"/>
            </w14:solidFill>
          </w14:textFill>
        </w:rPr>
        <w:t xml:space="preserve">（人员姓名），身份证号</w:t>
      </w:r>
      <w:r>
        <w:rPr>
          <w:rFonts w:hint="eastAsia" w:ascii="楷体" w:hAnsi="楷体" w:eastAsia="楷体" w:cs="楷体"/>
          <w:color w:val="000000" w:themeColor="text1"/>
          <w:sz w:val="28"/>
          <w:szCs w:val="28"/>
          <w:highlight w:val="none"/>
          <w:u w:val="single"/>
          <w:shd w:val="clear" w:color="auto" w:fill="auto"/>
          <w14:textFill>
            <w14:solidFill>
              <w14:schemeClr w14:val="tx1"/>
            </w14:solidFill>
          </w14:textFill>
        </w:rPr>
        <w:t xml:space="preserve">         </w:t>
      </w:r>
      <w:r>
        <w:rPr>
          <w:rFonts w:hint="eastAsia" w:ascii="楷体" w:hAnsi="楷体" w:eastAsia="楷体" w:cs="楷体"/>
          <w:color w:val="000000" w:themeColor="text1"/>
          <w:sz w:val="28"/>
          <w:szCs w:val="28"/>
          <w:highlight w:val="none"/>
          <w:shd w:val="clear" w:color="auto" w:fill="auto"/>
          <w14:textFill>
            <w14:solidFill>
              <w14:schemeClr w14:val="tx1"/>
            </w14:solidFill>
          </w14:textFill>
        </w:rPr>
        <w:t xml:space="preserve">。</w:t>
      </w:r>
      <w:r/>
    </w:p>
    <w:p>
      <w:pPr>
        <w:pStyle w:val="864"/>
        <w:jc w:val="both"/>
        <w:spacing w:beforeAutospacing="0" w:afterAutospacing="0" w:line="360" w:lineRule="auto"/>
        <w:rPr>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w:t>
      </w:r>
      <w:r/>
    </w:p>
    <w:p>
      <w:pPr>
        <w:pStyle w:val="864"/>
        <w:ind w:firstLine="3390"/>
        <w:jc w:val="both"/>
        <w:keepLines/>
        <w:keepNext/>
        <w:spacing w:before="260" w:beforeAutospacing="0" w:after="260" w:afterAutospacing="0" w:line="360" w:lineRule="auto"/>
        <w:rPr>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br w:type="page" w:clear="all"/>
      </w:r>
      <w:r>
        <w:rPr>
          <w:rFonts w:hint="eastAsia" w:ascii="宋体" w:hAnsi="宋体" w:eastAsia="宋体" w:cs="宋体"/>
          <w:b/>
          <w:color w:val="000000"/>
          <w:sz w:val="28"/>
          <w:szCs w:val="28"/>
          <w:highlight w:val="none"/>
          <w:shd w:val="clear" w:color="auto" w:fill="auto"/>
        </w:rPr>
        <w:t xml:space="preserve"> </w:t>
      </w:r>
      <w:r>
        <w:rPr>
          <w:rFonts w:hint="eastAsia" w:ascii="黑体" w:hAnsi="宋体" w:eastAsia="黑体" w:cs="黑体"/>
          <w:b/>
          <w:i/>
          <w:color w:val="000000"/>
          <w:sz w:val="28"/>
          <w:szCs w:val="28"/>
          <w:highlight w:val="none"/>
          <w:u w:val="single"/>
          <w:shd w:val="clear" w:color="auto" w:fill="auto"/>
        </w:rPr>
        <w:t xml:space="preserve">八、投标函</w:t>
      </w:r>
      <w:r/>
    </w:p>
    <w:p>
      <w:pPr>
        <w:pStyle w:val="864"/>
        <w:spacing w:beforeAutospacing="0" w:afterAutospacing="0" w:line="360" w:lineRule="auto"/>
        <w:rPr>
          <w:rFonts w:hint="eastAsia" w:eastAsia="宋体"/>
          <w:sz w:val="28"/>
          <w:szCs w:val="28"/>
          <w:highlight w:val="none"/>
          <w:shd w:val="clear" w:color="auto" w:fill="auto"/>
          <w:lang w:eastAsia="zh-CN"/>
        </w:rPr>
      </w:pPr>
      <w:r>
        <w:rPr>
          <w:rFonts w:hint="eastAsia" w:ascii="宋体" w:hAnsi="宋体" w:eastAsia="宋体" w:cs="宋体"/>
          <w:color w:val="000000"/>
          <w:sz w:val="28"/>
          <w:szCs w:val="28"/>
          <w:highlight w:val="none"/>
          <w:shd w:val="clear" w:color="auto" w:fill="auto"/>
        </w:rPr>
        <w:t xml:space="preserve">致：</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盐城市响水生态环境局</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根据贵方的JSZC-***</w:t>
      </w:r>
      <w:r>
        <w:rPr>
          <w:rFonts w:hint="eastAsia" w:ascii="宋体" w:hAnsi="宋体" w:eastAsia="宋体" w:cs="宋体"/>
          <w:b/>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号招标文件，正式授权下述签字人_________________(姓名)代表我方______________（投标人的名称），全权处理本次项目投标的有关事宜。</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据此函，__________签字人兹宣布同意如下：</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1.按招标文件规定的各项要求，向买方提供所需货物（包含与货物相关的服务）。</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2.我们完全理解贵方不一定将合同授予最低报价的投标人。</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3.我们已详细审核全部招标文件及其有效补充文件，我们知道必须放弃提出含糊不清或误解问题的权利。</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4.我们同意从规定的开标日期起遵循本投标文件，并在规定的投标有效期期满之前均具有约束力。</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5.同意向贵方提供贵方可能另外要求的与投标有关的任何证据或资料，并保证我方已提供和将要提供的文件是真实的、准确的。</w:t>
      </w:r>
      <w:r/>
    </w:p>
    <w:p>
      <w:pPr>
        <w:pStyle w:val="864"/>
        <w:ind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6.一旦我方中标,我方将根据招标文件的规定，严格履行合同的责任和义务,并保证在招标文件规定的时间完成项目，交付买方验收、使用。</w:t>
      </w:r>
      <w:r/>
    </w:p>
    <w:p>
      <w:pPr>
        <w:pStyle w:val="864"/>
        <w:ind w:left="425"/>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7.与本投标有关的正式通讯地址为：</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地          址：</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邮          编：</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电          话：</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传          真：</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投标人开户行：</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账          号： </w:t>
      </w:r>
      <w:r/>
    </w:p>
    <w:p>
      <w:pPr>
        <w:pStyle w:val="864"/>
        <w:ind w:left="420" w:firstLine="480"/>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日           期：________年____月____日</w:t>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ind w:firstLine="240"/>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321"/>
        <w:jc w:val="center"/>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九、小微企业声明函（货物）（分包号：**）</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本公司（联合体）郑重声明，根据《政府采购促进中小企业发展管理办法》(财库[2020]46号)的规定，本公司（联合体）参加盐城市政府</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组织的</w:t>
      </w:r>
      <w:r>
        <w:rPr>
          <w:rFonts w:hint="eastAsia" w:ascii="宋体" w:hAnsi="宋体" w:eastAsia="宋体" w:cs="宋体"/>
          <w:color w:val="000000"/>
          <w:sz w:val="28"/>
          <w:szCs w:val="28"/>
          <w:highlight w:val="none"/>
          <w:u w:val="single"/>
          <w:shd w:val="clear" w:color="auto" w:fill="auto"/>
        </w:rPr>
        <w:t xml:space="preserve">（单位名称）</w:t>
      </w:r>
      <w:r>
        <w:rPr>
          <w:rFonts w:hint="eastAsia" w:ascii="宋体" w:hAnsi="宋体" w:eastAsia="宋体" w:cs="宋体"/>
          <w:color w:val="000000"/>
          <w:sz w:val="28"/>
          <w:szCs w:val="28"/>
          <w:highlight w:val="none"/>
          <w:shd w:val="clear" w:color="auto" w:fill="auto"/>
        </w:rPr>
        <w:t xml:space="preserve">采购编号为</w:t>
      </w:r>
      <w:r>
        <w:rPr>
          <w:rFonts w:hint="eastAsia" w:ascii="宋体" w:hAnsi="宋体" w:eastAsia="宋体" w:cs="宋体"/>
          <w:color w:val="000000"/>
          <w:sz w:val="28"/>
          <w:szCs w:val="28"/>
          <w:highlight w:val="none"/>
          <w:u w:val="single"/>
          <w:shd w:val="clear" w:color="auto" w:fill="auto"/>
        </w:rPr>
        <w:t xml:space="preserve">***</w:t>
      </w:r>
      <w:r>
        <w:rPr>
          <w:rFonts w:hint="eastAsia" w:ascii="宋体" w:hAnsi="宋体" w:eastAsia="宋体" w:cs="宋体"/>
          <w:color w:val="000000"/>
          <w:sz w:val="28"/>
          <w:szCs w:val="28"/>
          <w:highlight w:val="none"/>
          <w:shd w:val="clear" w:color="auto" w:fill="auto"/>
        </w:rPr>
        <w:t xml:space="preserve">，</w:t>
      </w:r>
      <w:r>
        <w:rPr>
          <w:rFonts w:hint="eastAsia" w:ascii="宋体" w:hAnsi="宋体" w:eastAsia="宋体" w:cs="宋体"/>
          <w:color w:val="000000"/>
          <w:sz w:val="28"/>
          <w:szCs w:val="28"/>
          <w:highlight w:val="none"/>
          <w:u w:val="single"/>
          <w:shd w:val="clear" w:color="auto" w:fill="auto"/>
        </w:rPr>
        <w:t xml:space="preserve">（项目名称）（分包号：**）</w:t>
      </w:r>
      <w:r>
        <w:rPr>
          <w:rFonts w:hint="eastAsia" w:ascii="宋体" w:hAnsi="宋体" w:eastAsia="宋体" w:cs="宋体"/>
          <w:color w:val="000000"/>
          <w:sz w:val="28"/>
          <w:szCs w:val="28"/>
          <w:highlight w:val="none"/>
          <w:shd w:val="clear" w:color="auto" w:fill="auto"/>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w:t>
      </w:r>
      <w:r>
        <w:rPr>
          <w:rFonts w:hint="eastAsia" w:ascii="宋体" w:hAnsi="宋体" w:eastAsia="宋体" w:cs="宋体"/>
          <w:color w:val="000000"/>
          <w:sz w:val="28"/>
          <w:szCs w:val="28"/>
          <w:highlight w:val="none"/>
          <w:u w:val="single"/>
          <w:shd w:val="clear" w:color="auto" w:fill="auto"/>
        </w:rPr>
        <w:t xml:space="preserve">（标的名称）</w:t>
      </w:r>
      <w:r>
        <w:rPr>
          <w:rFonts w:hint="eastAsia" w:ascii="宋体" w:hAnsi="宋体" w:eastAsia="宋体" w:cs="宋体"/>
          <w:i/>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rPr>
        <w:t xml:space="preserve">属于</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行业；制造商为</w:t>
      </w:r>
      <w:r>
        <w:rPr>
          <w:rFonts w:hint="eastAsia" w:ascii="宋体" w:hAnsi="宋体" w:eastAsia="宋体" w:cs="宋体"/>
          <w:color w:val="000000"/>
          <w:sz w:val="28"/>
          <w:szCs w:val="28"/>
          <w:highlight w:val="none"/>
          <w:u w:val="single"/>
          <w:shd w:val="clear" w:color="auto" w:fill="auto"/>
        </w:rPr>
        <w:t xml:space="preserve">（企业名称）</w:t>
      </w:r>
      <w:r>
        <w:rPr>
          <w:rFonts w:hint="eastAsia" w:ascii="宋体" w:hAnsi="宋体" w:eastAsia="宋体" w:cs="宋体"/>
          <w:color w:val="000000"/>
          <w:sz w:val="28"/>
          <w:szCs w:val="28"/>
          <w:highlight w:val="none"/>
          <w:shd w:val="clear" w:color="auto" w:fill="auto"/>
        </w:rPr>
        <w:t xml:space="preserve">，从业人员</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人，营业收入为</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万元，资产总额为</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万元，属于</w:t>
      </w:r>
      <w:r>
        <w:rPr>
          <w:rFonts w:hint="eastAsia" w:ascii="宋体" w:hAnsi="宋体" w:eastAsia="宋体" w:cs="宋体"/>
          <w:color w:val="000000"/>
          <w:sz w:val="28"/>
          <w:szCs w:val="28"/>
          <w:highlight w:val="none"/>
          <w:u w:val="single"/>
          <w:shd w:val="clear" w:color="auto" w:fill="auto"/>
        </w:rPr>
        <w:t xml:space="preserve">（小型企业、微型企业）；</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w:t>
      </w:r>
      <w:r>
        <w:rPr>
          <w:rFonts w:hint="eastAsia" w:ascii="宋体" w:hAnsi="宋体" w:eastAsia="宋体" w:cs="宋体"/>
          <w:color w:val="000000"/>
          <w:sz w:val="28"/>
          <w:szCs w:val="28"/>
          <w:highlight w:val="none"/>
          <w:u w:val="single"/>
          <w:shd w:val="clear" w:color="auto" w:fill="auto"/>
        </w:rPr>
        <w:t xml:space="preserve">（标的名称）</w:t>
      </w:r>
      <w:r>
        <w:rPr>
          <w:rFonts w:hint="eastAsia" w:ascii="宋体" w:hAnsi="宋体" w:eastAsia="宋体" w:cs="宋体"/>
          <w:i/>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rPr>
        <w:t xml:space="preserve">属于</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行业；制造商为</w:t>
      </w:r>
      <w:r>
        <w:rPr>
          <w:rFonts w:hint="eastAsia" w:ascii="宋体" w:hAnsi="宋体" w:eastAsia="宋体" w:cs="宋体"/>
          <w:color w:val="000000"/>
          <w:sz w:val="28"/>
          <w:szCs w:val="28"/>
          <w:highlight w:val="none"/>
          <w:u w:val="single"/>
          <w:shd w:val="clear" w:color="auto" w:fill="auto"/>
        </w:rPr>
        <w:t xml:space="preserve">（企业名称）</w:t>
      </w:r>
      <w:r>
        <w:rPr>
          <w:rFonts w:hint="eastAsia" w:ascii="宋体" w:hAnsi="宋体" w:eastAsia="宋体" w:cs="宋体"/>
          <w:color w:val="000000"/>
          <w:sz w:val="28"/>
          <w:szCs w:val="28"/>
          <w:highlight w:val="none"/>
          <w:shd w:val="clear" w:color="auto" w:fill="auto"/>
        </w:rPr>
        <w:t xml:space="preserve">，从业人员</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人，营业收入为</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万元，资产总额为</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万元，属于</w:t>
      </w:r>
      <w:r>
        <w:rPr>
          <w:rFonts w:hint="eastAsia" w:ascii="宋体" w:hAnsi="宋体" w:eastAsia="宋体" w:cs="宋体"/>
          <w:color w:val="000000"/>
          <w:sz w:val="28"/>
          <w:szCs w:val="28"/>
          <w:highlight w:val="none"/>
          <w:u w:val="single"/>
          <w:shd w:val="clear" w:color="auto" w:fill="auto"/>
        </w:rPr>
        <w:t xml:space="preserve">（小型企业、微型企业）；</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以上企业，不属于大企业的分支机构，不存在控股股东为大企业的情形，也不存在与大企业的负责人为同一人的情形。</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本企业对上述声明内容的真实性负责。如有虚假，将依法承担相应责任</w:t>
      </w:r>
      <w:r/>
    </w:p>
    <w:p>
      <w:pPr>
        <w:pStyle w:val="864"/>
        <w:ind w:right="72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 </w:t>
      </w:r>
      <w:r/>
    </w:p>
    <w:p>
      <w:pPr>
        <w:pStyle w:val="864"/>
        <w:ind w:right="180" w:firstLine="360"/>
        <w:jc w:val="right"/>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企业名称（加盖CA电子公章）：</w:t>
      </w:r>
      <w:r/>
    </w:p>
    <w:p>
      <w:pPr>
        <w:pStyle w:val="864"/>
        <w:ind w:right="480" w:firstLine="540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日  期：</w:t>
      </w:r>
      <w:r/>
    </w:p>
    <w:p>
      <w:pPr>
        <w:pStyle w:val="864"/>
        <w:ind w:firstLine="36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 xml:space="preserve"> </w:t>
      </w:r>
      <w:r/>
    </w:p>
    <w:p>
      <w:pPr>
        <w:pStyle w:val="864"/>
        <w:ind w:firstLine="48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备注1：从业人员、营业收入、资产总额填报上一年度数据，无上一年度数据的新成立企业可不填报。</w:t>
      </w:r>
      <w:r/>
    </w:p>
    <w:p>
      <w:pPr>
        <w:pStyle w:val="864"/>
        <w:ind w:firstLine="480"/>
        <w:jc w:val="both"/>
        <w:spacing w:beforeAutospacing="0" w:afterAutospacing="0" w:line="360" w:lineRule="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备注2：供应商如不提供此声明函，价格将不做相应扣除</w:t>
      </w:r>
      <w:r>
        <w:rPr>
          <w:rFonts w:hint="eastAsia" w:ascii="宋体" w:hAnsi="宋体" w:eastAsia="宋体" w:cs="宋体"/>
          <w:color w:val="000000"/>
          <w:sz w:val="28"/>
          <w:szCs w:val="28"/>
          <w:highlight w:val="none"/>
          <w:shd w:val="clear" w:color="auto" w:fill="auto"/>
          <w:lang w:eastAsia="zh-CN"/>
        </w:rPr>
        <w:t xml:space="preserve">（如项目全面面向中小企业，则资格审查不通过）</w:t>
      </w:r>
      <w:r>
        <w:rPr>
          <w:rFonts w:hint="eastAsia" w:ascii="宋体" w:hAnsi="宋体" w:eastAsia="宋体" w:cs="宋体"/>
          <w:color w:val="000000"/>
          <w:sz w:val="28"/>
          <w:szCs w:val="28"/>
          <w:highlight w:val="none"/>
          <w:shd w:val="clear" w:color="auto" w:fill="auto"/>
        </w:rPr>
        <w:t xml:space="preserve">。</w:t>
      </w:r>
      <w:r/>
    </w:p>
    <w:p>
      <w:pPr>
        <w:pStyle w:val="864"/>
        <w:jc w:val="center"/>
        <w:spacing w:beforeAutospacing="0" w:afterAutospacing="0" w:line="360" w:lineRule="auto"/>
        <w:rPr>
          <w:sz w:val="28"/>
          <w:szCs w:val="28"/>
          <w:highlight w:val="none"/>
          <w:shd w:val="clear" w:color="auto" w:fill="auto"/>
        </w:rPr>
      </w:pPr>
      <w:r>
        <w:rPr>
          <w:rFonts w:hint="eastAsia" w:ascii="黑体" w:hAnsi="宋体" w:eastAsia="黑体" w:cs="黑体"/>
          <w:b/>
          <w:color w:val="000000"/>
          <w:sz w:val="28"/>
          <w:szCs w:val="28"/>
          <w:highlight w:val="none"/>
          <w:shd w:val="clear" w:color="auto" w:fill="auto"/>
        </w:rPr>
        <w:br w:type="page" w:clear="all"/>
      </w:r>
      <w:r>
        <w:rPr>
          <w:rFonts w:hint="eastAsia" w:ascii="黑体" w:hAnsi="宋体" w:eastAsia="黑体" w:cs="黑体"/>
          <w:b/>
          <w:color w:val="000000"/>
          <w:sz w:val="28"/>
          <w:szCs w:val="28"/>
          <w:highlight w:val="none"/>
          <w:shd w:val="clear" w:color="auto" w:fill="auto"/>
        </w:rPr>
        <w:t xml:space="preserve"> 十、残疾人福利性单位声明函（分包号：**）</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本单位对上述声明的真实性负责。如有虚假，将依法承担相应责任。</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备注：1、供应商如不提供此声明函，价格将不做相应扣除</w:t>
      </w:r>
      <w:r>
        <w:rPr>
          <w:rFonts w:hint="eastAsia" w:ascii="宋体" w:hAnsi="宋体" w:eastAsia="宋体" w:cs="宋体"/>
          <w:color w:val="000000"/>
          <w:sz w:val="28"/>
          <w:szCs w:val="28"/>
          <w:highlight w:val="none"/>
          <w:shd w:val="clear" w:color="auto" w:fill="auto"/>
          <w:lang w:eastAsia="zh-CN"/>
        </w:rPr>
        <w:t xml:space="preserve">（如项目全面面向中小企业，则资格审查不通过）</w:t>
      </w:r>
      <w:r>
        <w:rPr>
          <w:rFonts w:hint="eastAsia" w:ascii="宋体" w:hAnsi="宋体" w:eastAsia="宋体" w:cs="宋体"/>
          <w:color w:val="000000"/>
          <w:sz w:val="28"/>
          <w:szCs w:val="28"/>
          <w:highlight w:val="none"/>
          <w:shd w:val="clear" w:color="auto" w:fill="auto"/>
        </w:rPr>
        <w:t xml:space="preserve">。2、中标供应商为残疾人福利单位的，此声明函将随中标结果同时公告，接受社会监督</w:t>
      </w:r>
      <w:r/>
    </w:p>
    <w:p>
      <w:pPr>
        <w:pStyle w:val="864"/>
        <w:ind w:firstLine="62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right="1560" w:firstLine="624"/>
        <w:jc w:val="center"/>
        <w:spacing w:beforeAutospacing="0" w:afterAutospacing="0" w:line="360" w:lineRule="auto"/>
        <w:tabs>
          <w:tab w:val="left" w:pos="4864" w:leader="none"/>
        </w:tabs>
        <w:rPr>
          <w:sz w:val="28"/>
          <w:szCs w:val="28"/>
          <w:highlight w:val="none"/>
          <w:shd w:val="clear" w:color="auto" w:fill="auto"/>
        </w:rPr>
      </w:pPr>
      <w:r>
        <w:rPr>
          <w:rFonts w:ascii="仿宋_GB2312" w:eastAsia="仿宋_GB2312" w:cs="仿宋_GB2312"/>
          <w:color w:val="000000"/>
          <w:sz w:val="28"/>
          <w:szCs w:val="28"/>
          <w:highlight w:val="none"/>
          <w:shd w:val="clear" w:color="auto" w:fill="auto"/>
        </w:rPr>
        <w:t xml:space="preserve">             </w:t>
      </w:r>
      <w:r>
        <w:rPr>
          <w:rFonts w:hint="eastAsia" w:ascii="宋体" w:hAnsi="宋体" w:eastAsia="宋体" w:cs="宋体"/>
          <w:color w:val="000000"/>
          <w:sz w:val="28"/>
          <w:szCs w:val="28"/>
          <w:highlight w:val="none"/>
          <w:shd w:val="clear" w:color="auto" w:fill="auto"/>
        </w:rPr>
        <w:t xml:space="preserve">          供应商全称（加盖CA电子公章）：</w:t>
      </w:r>
      <w:r/>
    </w:p>
    <w:p>
      <w:pPr>
        <w:pStyle w:val="864"/>
        <w:ind w:right="1560" w:firstLine="480"/>
        <w:jc w:val="center"/>
        <w:spacing w:beforeAutospacing="0" w:afterAutospacing="0" w:line="360" w:lineRule="auto"/>
        <w:tabs>
          <w:tab w:val="left" w:pos="4864" w:leader="none"/>
        </w:tabs>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日  期：</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rFonts w:hint="eastAsia" w:ascii="黑体" w:hAnsi="宋体" w:eastAsia="黑体" w:cs="黑体"/>
          <w:b/>
          <w:color w:val="000000"/>
          <w:sz w:val="28"/>
          <w:szCs w:val="28"/>
          <w:highlight w:val="none"/>
          <w:shd w:val="clear" w:color="auto" w:fill="auto"/>
        </w:rPr>
        <w:t xml:space="preserve">十一、联合体协议（参考格式）（分包号：**）</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（联合体中各供应商全称）在此达成以下协议：</w:t>
      </w:r>
      <w:r/>
    </w:p>
    <w:p>
      <w:pPr>
        <w:pStyle w:val="864"/>
        <w:ind w:firstLine="645"/>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1、我们</w:t>
      </w:r>
      <w:r>
        <w:rPr>
          <w:rFonts w:hint="eastAsia" w:ascii="宋体" w:hAnsi="宋体" w:eastAsia="宋体" w:cs="宋体"/>
          <w:color w:val="000000"/>
          <w:sz w:val="28"/>
          <w:szCs w:val="28"/>
          <w:highlight w:val="none"/>
          <w:u w:val="single"/>
          <w:shd w:val="clear" w:color="auto" w:fill="auto"/>
        </w:rPr>
        <w:t xml:space="preserve"> （供应商1），（供应商2） ，……</w:t>
      </w:r>
      <w:r>
        <w:rPr>
          <w:rFonts w:hint="eastAsia" w:ascii="宋体" w:hAnsi="宋体" w:eastAsia="宋体" w:cs="宋体"/>
          <w:color w:val="000000"/>
          <w:sz w:val="28"/>
          <w:szCs w:val="28"/>
          <w:highlight w:val="none"/>
          <w:shd w:val="clear" w:color="auto" w:fill="auto"/>
        </w:rPr>
        <w:t xml:space="preserve">自愿组成联合体，参加盐城市政府</w:t>
      </w:r>
      <w:r>
        <w:rPr>
          <w:rFonts w:hint="eastAsia" w:ascii="宋体" w:hAnsi="宋体" w:eastAsia="宋体" w:cs="宋体"/>
          <w:color w:val="000000"/>
          <w:sz w:val="28"/>
          <w:szCs w:val="28"/>
          <w:highlight w:val="none"/>
          <w:shd w:val="clear" w:color="auto" w:fill="auto"/>
          <w:lang w:eastAsia="zh-CN"/>
        </w:rPr>
        <w:t xml:space="preserve">代理机构</w:t>
      </w:r>
      <w:r>
        <w:rPr>
          <w:rFonts w:hint="eastAsia" w:ascii="宋体" w:hAnsi="宋体" w:eastAsia="宋体" w:cs="宋体"/>
          <w:color w:val="000000"/>
          <w:sz w:val="28"/>
          <w:szCs w:val="28"/>
          <w:highlight w:val="none"/>
          <w:shd w:val="clear" w:color="auto" w:fill="auto"/>
        </w:rPr>
        <w:t xml:space="preserve">组织的采购编号为</w:t>
      </w:r>
      <w:r>
        <w:rPr>
          <w:rFonts w:hint="eastAsia" w:ascii="宋体" w:hAnsi="宋体" w:eastAsia="宋体" w:cs="宋体"/>
          <w:color w:val="000000"/>
          <w:sz w:val="28"/>
          <w:szCs w:val="28"/>
          <w:highlight w:val="none"/>
          <w:u w:val="single"/>
          <w:shd w:val="clear" w:color="auto" w:fill="auto"/>
        </w:rPr>
        <w:t xml:space="preserve">（编号全称），（项目全称）</w:t>
      </w:r>
      <w:r>
        <w:rPr>
          <w:rFonts w:hint="eastAsia" w:ascii="宋体" w:hAnsi="宋体" w:eastAsia="宋体" w:cs="宋体"/>
          <w:color w:val="000000"/>
          <w:sz w:val="28"/>
          <w:szCs w:val="28"/>
          <w:highlight w:val="none"/>
          <w:shd w:val="clear" w:color="auto" w:fill="auto"/>
        </w:rPr>
        <w:t xml:space="preserve">项目（分包号：**）的政府采购活动，我联合体指定</w:t>
      </w:r>
      <w:r>
        <w:rPr>
          <w:rFonts w:hint="eastAsia" w:ascii="宋体" w:hAnsi="宋体" w:eastAsia="宋体" w:cs="宋体"/>
          <w:color w:val="000000"/>
          <w:sz w:val="28"/>
          <w:szCs w:val="28"/>
          <w:highlight w:val="none"/>
          <w:u w:val="single"/>
          <w:shd w:val="clear" w:color="auto" w:fill="auto"/>
        </w:rPr>
        <w:t xml:space="preserve">（供应商*）</w:t>
      </w:r>
      <w:r>
        <w:rPr>
          <w:rFonts w:hint="eastAsia" w:ascii="宋体" w:hAnsi="宋体" w:eastAsia="宋体" w:cs="宋体"/>
          <w:color w:val="000000"/>
          <w:sz w:val="28"/>
          <w:szCs w:val="28"/>
          <w:highlight w:val="none"/>
          <w:shd w:val="clear" w:color="auto" w:fill="auto"/>
        </w:rPr>
        <w:t xml:space="preserve">为牵头单位（牵头单位必须为联合体成员）。</w:t>
      </w:r>
      <w:r/>
    </w:p>
    <w:p>
      <w:pPr>
        <w:pStyle w:val="864"/>
        <w:ind w:firstLine="645"/>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4"/>
        <w:ind w:firstLine="645"/>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3、其中</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（小型、微型企业/残疾人福利性单位/监狱企业全称）为</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w:t>
      </w:r>
      <w:r/>
    </w:p>
    <w:p>
      <w:pPr>
        <w:pStyle w:val="864"/>
        <w:ind w:firstLine="645"/>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645"/>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备注：本招标文件中要求加盖CA电子签章的地方，仅需加盖牵头单位的CA电子签章。</w:t>
      </w:r>
      <w:r/>
    </w:p>
    <w:p>
      <w:pPr>
        <w:pStyle w:val="864"/>
        <w:ind w:firstLine="645"/>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w:t>
      </w:r>
      <w:r/>
    </w:p>
    <w:p>
      <w:pPr>
        <w:pStyle w:val="864"/>
        <w:ind w:firstLine="645"/>
        <w:jc w:val="right"/>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联合体中各供应商全称（公章）：     </w:t>
      </w:r>
      <w:r/>
    </w:p>
    <w:p>
      <w:pPr>
        <w:pStyle w:val="864"/>
        <w:ind w:firstLine="645"/>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日期：</w:t>
      </w:r>
      <w:r/>
    </w:p>
    <w:p>
      <w:pPr>
        <w:pStyle w:val="864"/>
        <w:jc w:val="center"/>
        <w:spacing w:beforeAutospacing="0" w:afterAutospacing="0" w:line="360" w:lineRule="auto"/>
        <w:rPr>
          <w:sz w:val="28"/>
          <w:szCs w:val="28"/>
          <w:highlight w:val="none"/>
          <w:shd w:val="clear" w:color="auto" w:fill="auto"/>
        </w:rPr>
      </w:pPr>
      <w:r>
        <w:rPr>
          <w:rFonts w:hint="eastAsia" w:ascii="黑体" w:hAnsi="宋体" w:eastAsia="黑体" w:cs="黑体"/>
          <w:b/>
          <w:color w:val="000000"/>
          <w:sz w:val="28"/>
          <w:szCs w:val="28"/>
          <w:highlight w:val="none"/>
          <w:shd w:val="clear" w:color="auto" w:fill="auto"/>
        </w:rPr>
        <w:t xml:space="preserve">十二、投标分项报价表（分包号：***）</w:t>
      </w:r>
      <w:r/>
    </w:p>
    <w:tbl>
      <w:tblPr>
        <w:tblStyle w:val="85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产品</w:t>
            </w:r>
            <w:r/>
          </w:p>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规格</w:t>
            </w:r>
            <w:r/>
          </w:p>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bl>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8"/>
          <w:szCs w:val="28"/>
          <w:highlight w:val="none"/>
          <w:shd w:val="clear" w:color="auto" w:fill="auto"/>
        </w:rPr>
        <w:t xml:space="preserve"> “</w:t>
      </w:r>
      <w:r>
        <w:rPr>
          <w:rFonts w:hint="eastAsia" w:ascii="宋体" w:hAnsi="宋体" w:eastAsia="宋体" w:cs="宋体"/>
          <w:color w:val="000000"/>
          <w:sz w:val="28"/>
          <w:szCs w:val="28"/>
          <w:highlight w:val="none"/>
          <w:shd w:val="clear" w:color="auto" w:fill="auto"/>
        </w:rPr>
        <w:t xml:space="preserve">投标分项报价表</w:t>
      </w:r>
      <w:r>
        <w:rPr>
          <w:rFonts w:ascii="Times New Roman" w:hAnsi="Times New Roman"/>
          <w:color w:val="000000"/>
          <w:sz w:val="28"/>
          <w:szCs w:val="28"/>
          <w:highlight w:val="none"/>
          <w:shd w:val="clear" w:color="auto" w:fill="auto"/>
        </w:rPr>
        <w:t xml:space="preserve">”</w:t>
      </w:r>
      <w:r>
        <w:rPr>
          <w:rFonts w:hint="eastAsia" w:ascii="宋体" w:hAnsi="宋体" w:eastAsia="宋体" w:cs="宋体"/>
          <w:color w:val="000000"/>
          <w:sz w:val="28"/>
          <w:szCs w:val="28"/>
          <w:highlight w:val="none"/>
          <w:shd w:val="clear" w:color="auto" w:fill="auto"/>
        </w:rPr>
        <w:t xml:space="preserve">中“投标总报价”数额应当与“开标一览表”中“投标总报价”数额一致。</w:t>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rPr>
          <w:sz w:val="28"/>
          <w:szCs w:val="28"/>
          <w:highlight w:val="none"/>
          <w:shd w:val="clear" w:color="auto" w:fill="auto"/>
        </w:rPr>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rFonts w:hint="eastAsia" w:ascii="黑体" w:hAnsi="宋体" w:eastAsia="黑体" w:cs="黑体"/>
          <w:b/>
          <w:color w:val="000000"/>
          <w:sz w:val="28"/>
          <w:szCs w:val="28"/>
          <w:highlight w:val="none"/>
          <w:shd w:val="clear" w:color="auto" w:fill="auto"/>
        </w:rPr>
        <w:t xml:space="preserve">十三、技术要求响应及偏离表（分包号：**）</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证明</w:t>
            </w:r>
            <w:r/>
          </w:p>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color w:val="000000" w:themeColor="text1"/>
                <w:sz w:val="28"/>
                <w:szCs w:val="28"/>
                <w:highlight w:val="none"/>
                <w:shd w:val="clear" w:color="auto" w:fill="auto"/>
                <w14:textFill>
                  <w14:solidFill>
                    <w14:schemeClr w14:val="tx1"/>
                  </w14:solidFill>
                </w14:textFill>
              </w:rPr>
              <w:t xml:space="preserve">打</w:t>
            </w:r>
            <w:r>
              <w:rPr>
                <w:rFonts w:hint="eastAsia" w:ascii="微软雅黑" w:hAnsi="微软雅黑" w:eastAsia="微软雅黑" w:cs="微软雅黑"/>
                <w:color w:val="000000" w:themeColor="text1"/>
                <w:sz w:val="28"/>
                <w:szCs w:val="28"/>
                <w:highlight w:val="none"/>
                <w:shd w:val="clear" w:color="auto" w:fill="auto"/>
                <w14:textFill>
                  <w14:solidFill>
                    <w14:schemeClr w14:val="tx1"/>
                  </w14:solidFill>
                </w14:textFill>
              </w:rPr>
              <w:t xml:space="preserve">★</w:t>
            </w:r>
            <w:r>
              <w:rPr>
                <w:rFonts w:hint="eastAsia"/>
                <w:color w:val="000000" w:themeColor="text1"/>
                <w:sz w:val="28"/>
                <w:szCs w:val="28"/>
                <w:highlight w:val="none"/>
                <w:shd w:val="clear" w:color="auto" w:fill="auto"/>
                <w14:textFill>
                  <w14:solidFill>
                    <w14:schemeClr w14:val="tx1"/>
                  </w14:solidFill>
                </w14:textFill>
              </w:rPr>
              <w:t xml:space="preserve">号</w:t>
            </w:r>
            <w:r>
              <w:rPr>
                <w:color w:val="000000" w:themeColor="text1"/>
                <w:sz w:val="28"/>
                <w:szCs w:val="28"/>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color w:val="000000" w:themeColor="text1"/>
                <w:sz w:val="28"/>
                <w:szCs w:val="28"/>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eastAsia="宋体"/>
                <w:color w:val="000000" w:themeColor="text1"/>
                <w:sz w:val="28"/>
                <w:szCs w:val="28"/>
                <w:highlight w:val="none"/>
                <w:shd w:val="clear" w:color="auto" w:fill="auto"/>
                <w14:textFill>
                  <w14:solidFill>
                    <w14:schemeClr w14:val="tx1"/>
                  </w14:solidFill>
                </w14:textFill>
              </w:rPr>
              <w:t xml:space="preserve">打▲</w:t>
            </w:r>
            <w:r>
              <w:rPr>
                <w:color w:val="000000" w:themeColor="text1"/>
                <w:sz w:val="28"/>
                <w:szCs w:val="28"/>
                <w:highlight w:val="none"/>
                <w:shd w:val="clear" w:color="auto" w:fill="auto"/>
                <w14:textFill>
                  <w14:solidFill>
                    <w14:schemeClr w14:val="tx1"/>
                  </w14:solidFill>
                </w14:textFill>
              </w:rPr>
              <w:t xml:space="preserve"> </w:t>
            </w:r>
            <w:r>
              <w:rPr>
                <w:rFonts w:hint="eastAsia" w:eastAsia="宋体"/>
                <w:color w:val="000000" w:themeColor="text1"/>
                <w:sz w:val="28"/>
                <w:szCs w:val="28"/>
                <w:highlight w:val="none"/>
                <w:shd w:val="clear" w:color="auto" w:fill="auto"/>
                <w14:textFill>
                  <w14:solidFill>
                    <w14:schemeClr w14:val="tx1"/>
                  </w14:solidFill>
                </w14:textFill>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color w:val="000000" w:themeColor="text1"/>
                <w:sz w:val="28"/>
                <w:szCs w:val="28"/>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color w:val="000000" w:themeColor="text1"/>
                <w:sz w:val="28"/>
                <w:szCs w:val="28"/>
                <w:highlight w:val="none"/>
                <w:shd w:val="clear" w:color="auto" w:fill="auto"/>
                <w14:textFill>
                  <w14:solidFill>
                    <w14:schemeClr w14:val="tx1"/>
                  </w14:solidFill>
                </w14:textFill>
              </w:rPr>
              <w:t xml:space="preserve">打</w:t>
            </w:r>
            <w:r>
              <w:rPr>
                <w:rFonts w:eastAsia="宋体"/>
                <w:color w:val="000000" w:themeColor="text1"/>
                <w:sz w:val="28"/>
                <w:szCs w:val="28"/>
                <w:highlight w:val="none"/>
                <w:shd w:val="clear" w:color="auto" w:fill="auto"/>
                <w14:textFill>
                  <w14:solidFill>
                    <w14:schemeClr w14:val="tx1"/>
                  </w14:solidFill>
                </w14:textFill>
              </w:rPr>
              <w:t xml:space="preserve">*</w:t>
            </w:r>
            <w:r>
              <w:rPr>
                <w:rFonts w:hint="eastAsia"/>
                <w:color w:val="000000" w:themeColor="text1"/>
                <w:sz w:val="28"/>
                <w:szCs w:val="28"/>
                <w:highlight w:val="none"/>
                <w:shd w:val="clear" w:color="auto" w:fill="auto"/>
                <w14:textFill>
                  <w14:solidFill>
                    <w14:schemeClr w14:val="tx1"/>
                  </w14:solidFill>
                </w14:textFill>
              </w:rPr>
              <w:t xml:space="preserve">号</w:t>
            </w:r>
            <w:r>
              <w:rPr>
                <w:color w:val="000000" w:themeColor="text1"/>
                <w:sz w:val="28"/>
                <w:szCs w:val="28"/>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bl>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注： 行数不够，可自行添加。</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bookmarkStart w:id="250" w:name="_Hlt26955054"/>
      <w:r>
        <w:rPr>
          <w:rFonts w:hint="eastAsia" w:ascii="黑体" w:hAnsi="宋体" w:eastAsia="黑体" w:cs="黑体"/>
          <w:b/>
          <w:color w:val="000000"/>
          <w:sz w:val="28"/>
          <w:szCs w:val="28"/>
          <w:highlight w:val="none"/>
          <w:shd w:val="clear" w:color="auto" w:fill="auto"/>
        </w:rPr>
        <w:t xml:space="preserve">十四、商务要求响应及偏离表（分包号：**）</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bookmarkStart w:id="251" w:name="_Hlt26609391"/>
            <w:r/>
            <w:bookmarkStart w:id="252" w:name="_Hlt26580838"/>
            <w:r/>
            <w:bookmarkStart w:id="253" w:name="_Hlt26955056"/>
            <w:r/>
            <w:bookmarkStart w:id="254" w:name="_Hlt24879081"/>
            <w:r/>
            <w:bookmarkStart w:id="255" w:name="_Hlt26671372"/>
            <w:r/>
            <w:bookmarkStart w:id="256" w:name="_Hlt26671343"/>
            <w:r/>
            <w:bookmarkStart w:id="257" w:name="_Hlt26955064"/>
            <w:r/>
            <w:bookmarkStart w:id="258" w:name="_Hlt26782999"/>
            <w:r>
              <w:rPr>
                <w:rFonts w:hint="eastAsia" w:ascii="宋体" w:hAnsi="宋体" w:eastAsia="宋体" w:cs="宋体"/>
                <w:color w:val="000000"/>
                <w:sz w:val="28"/>
                <w:szCs w:val="28"/>
                <w:highlight w:val="none"/>
                <w:shd w:val="clear" w:color="auto" w:fill="auto"/>
              </w:rPr>
              <w:t xml:space="preserve">序号</w:t>
            </w:r>
            <w:bookmarkEnd w:id="251"/>
            <w:r/>
            <w:bookmarkEnd w:id="252"/>
            <w:r/>
            <w:bookmarkEnd w:id="253"/>
            <w:r/>
            <w:bookmarkEnd w:id="254"/>
            <w:r/>
            <w:bookmarkEnd w:id="255"/>
            <w:r/>
            <w:bookmarkEnd w:id="256"/>
            <w:r/>
            <w:bookmarkEnd w:id="257"/>
            <w:r/>
            <w:bookmarkEnd w:id="25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证明</w:t>
            </w:r>
            <w:r/>
          </w:p>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bl>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注： 行数不够，可自行添加。</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bookmarkStart w:id="259" w:name="_Hlt26609389"/>
      <w:r/>
      <w:bookmarkStart w:id="260" w:name="_Hlt26955066"/>
      <w:r/>
      <w:bookmarkStart w:id="261" w:name="_Hlt26671374"/>
      <w:r/>
      <w:bookmarkStart w:id="262" w:name="_格式2__法定代表人授权书"/>
      <w:r/>
      <w:bookmarkStart w:id="263" w:name="_Toc462564146"/>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center"/>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sz w:val="28"/>
          <w:szCs w:val="28"/>
          <w:highlight w:val="none"/>
          <w:shd w:val="clear" w:color="auto" w:fill="auto"/>
        </w:rPr>
      </w:pPr>
      <w:r>
        <w:rPr>
          <w:rFonts w:hint="eastAsia" w:ascii="黑体" w:hAnsi="宋体" w:eastAsia="黑体" w:cs="黑体"/>
          <w:b/>
          <w:i/>
          <w:color w:val="000000"/>
          <w:sz w:val="28"/>
          <w:szCs w:val="28"/>
          <w:highlight w:val="none"/>
          <w:u w:val="single"/>
          <w:shd w:val="clear" w:color="auto" w:fill="auto"/>
        </w:rPr>
        <w:t xml:space="preserve">十五、开标一览表</w:t>
      </w:r>
      <w:r>
        <w:rPr>
          <w:rFonts w:ascii="Times New Roman" w:hAnsi="Times New Roman"/>
          <w:color w:val="000000"/>
          <w:sz w:val="28"/>
          <w:szCs w:val="28"/>
          <w:highlight w:val="none"/>
          <w:shd w:val="clear" w:color="auto" w:fill="auto"/>
        </w:rPr>
        <w:t xml:space="preserve">（备注：经办人在有总报价有核心产品时选用。确定后该备注删除。）</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投标人全称（加盖CA电子签章）：</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项目名称：</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招标编号：                                   分包号：</w:t>
      </w:r>
      <w:r/>
    </w:p>
    <w:tbl>
      <w:tblPr>
        <w:tblStyle w:val="85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4"/>
              <w:jc w:val="center"/>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4"/>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bl>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日期：  </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年</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月</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日</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rFonts w:hint="eastAsia" w:ascii="黑体" w:hAnsi="宋体" w:eastAsia="黑体" w:cs="黑体"/>
          <w:b/>
          <w:i/>
          <w:color w:val="000000"/>
          <w:sz w:val="28"/>
          <w:szCs w:val="28"/>
          <w:highlight w:val="none"/>
          <w:u w:val="single"/>
          <w:shd w:val="clear" w:color="auto" w:fill="auto"/>
        </w:rPr>
      </w:pPr>
      <w:r>
        <w:rPr>
          <w:rFonts w:hint="eastAsia" w:ascii="黑体" w:hAnsi="宋体" w:eastAsia="黑体" w:cs="黑体"/>
          <w:b/>
          <w:i/>
          <w:color w:val="000000"/>
          <w:sz w:val="28"/>
          <w:szCs w:val="28"/>
          <w:highlight w:val="none"/>
          <w:u w:val="single"/>
          <w:shd w:val="clear" w:color="auto" w:fill="auto"/>
        </w:rPr>
      </w:r>
      <w:r/>
    </w:p>
    <w:p>
      <w:pPr>
        <w:pStyle w:val="864"/>
        <w:jc w:val="both"/>
        <w:spacing w:beforeAutospacing="0" w:afterAutospacing="0" w:line="360" w:lineRule="auto"/>
        <w:rPr>
          <w:rFonts w:hint="eastAsia" w:ascii="黑体" w:hAnsi="宋体" w:eastAsia="黑体" w:cs="黑体"/>
          <w:b/>
          <w:i/>
          <w:color w:val="000000"/>
          <w:sz w:val="28"/>
          <w:szCs w:val="28"/>
          <w:highlight w:val="none"/>
          <w:u w:val="single"/>
          <w:shd w:val="clear" w:color="auto" w:fill="auto"/>
        </w:rPr>
      </w:pPr>
      <w:r>
        <w:rPr>
          <w:rFonts w:hint="eastAsia" w:ascii="黑体" w:hAnsi="宋体" w:eastAsia="黑体" w:cs="黑体"/>
          <w:b/>
          <w:i/>
          <w:color w:val="000000"/>
          <w:sz w:val="28"/>
          <w:szCs w:val="28"/>
          <w:highlight w:val="none"/>
          <w:u w:val="single"/>
          <w:shd w:val="clear" w:color="auto" w:fill="auto"/>
        </w:rPr>
      </w:r>
      <w:r/>
    </w:p>
    <w:p>
      <w:pPr>
        <w:pStyle w:val="864"/>
        <w:jc w:val="both"/>
        <w:spacing w:beforeAutospacing="0" w:afterAutospacing="0" w:line="360" w:lineRule="auto"/>
        <w:rPr>
          <w:rFonts w:hint="eastAsia" w:ascii="黑体" w:hAnsi="宋体" w:eastAsia="黑体" w:cs="黑体"/>
          <w:b/>
          <w:i/>
          <w:color w:val="000000"/>
          <w:sz w:val="28"/>
          <w:szCs w:val="28"/>
          <w:highlight w:val="none"/>
          <w:u w:val="single"/>
          <w:shd w:val="clear" w:color="auto" w:fill="auto"/>
        </w:rPr>
      </w:pPr>
      <w:r>
        <w:rPr>
          <w:rFonts w:hint="eastAsia" w:ascii="黑体" w:hAnsi="宋体" w:eastAsia="黑体" w:cs="黑体"/>
          <w:b/>
          <w:i/>
          <w:color w:val="000000"/>
          <w:sz w:val="28"/>
          <w:szCs w:val="28"/>
          <w:highlight w:val="none"/>
          <w:u w:val="single"/>
          <w:shd w:val="clear" w:color="auto" w:fill="auto"/>
        </w:rPr>
      </w:r>
      <w:r/>
    </w:p>
    <w:p>
      <w:pPr>
        <w:pStyle w:val="864"/>
        <w:jc w:val="both"/>
        <w:spacing w:beforeAutospacing="0" w:afterAutospacing="0" w:line="360" w:lineRule="auto"/>
        <w:rPr>
          <w:sz w:val="28"/>
          <w:szCs w:val="28"/>
          <w:highlight w:val="none"/>
          <w:shd w:val="clear" w:color="auto" w:fill="auto"/>
        </w:rPr>
      </w:pPr>
      <w:r>
        <w:rPr>
          <w:rFonts w:hint="eastAsia" w:ascii="黑体" w:hAnsi="宋体" w:eastAsia="黑体" w:cs="黑体"/>
          <w:b/>
          <w:i/>
          <w:color w:val="000000"/>
          <w:sz w:val="28"/>
          <w:szCs w:val="28"/>
          <w:highlight w:val="none"/>
          <w:u w:val="single"/>
          <w:shd w:val="clear" w:color="auto" w:fill="auto"/>
        </w:rPr>
        <w:t xml:space="preserve">十五、开标一览表</w:t>
      </w:r>
      <w:r>
        <w:rPr>
          <w:rFonts w:ascii="Times New Roman" w:hAnsi="Times New Roman"/>
          <w:color w:val="000000"/>
          <w:sz w:val="28"/>
          <w:szCs w:val="28"/>
          <w:highlight w:val="none"/>
          <w:shd w:val="clear" w:color="auto" w:fill="auto"/>
        </w:rPr>
        <w:t xml:space="preserve">（备注：经办人在有总报价无核心产品时选用。确定后该备注删除。）</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投标人全称（加盖CA电子签章）：</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项目名称：</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招标编号：                                   分包号：</w:t>
      </w:r>
      <w:r/>
    </w:p>
    <w:tbl>
      <w:tblPr>
        <w:tblStyle w:val="858"/>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4"/>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小写：                             （人民币：元）</w:t>
            </w:r>
            <w:r/>
          </w:p>
        </w:tc>
      </w:tr>
    </w:tbl>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日期：  </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年</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月</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日</w:t>
      </w: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rPr>
      </w:pPr>
      <w:r>
        <w:rPr>
          <w:rFonts w:hint="eastAsia" w:ascii="宋体" w:hAnsi="宋体" w:eastAsia="宋体" w:cs="宋体"/>
          <w:color w:val="000000"/>
          <w:sz w:val="28"/>
          <w:szCs w:val="28"/>
          <w:highlight w:val="none"/>
          <w:shd w:val="clear" w:color="auto" w:fill="auto"/>
        </w:rPr>
      </w:r>
      <w:r>
        <w:rPr>
          <w:rFonts w:hint="eastAsia" w:ascii="黑体" w:hAnsi="宋体" w:eastAsia="黑体" w:cs="黑体"/>
          <w:b/>
          <w:i/>
          <w:color w:val="000000"/>
          <w:sz w:val="28"/>
          <w:szCs w:val="28"/>
          <w:highlight w:val="none"/>
          <w:u w:val="single"/>
          <w:shd w:val="clear" w:color="auto" w:fill="auto"/>
        </w:rPr>
        <w:t xml:space="preserve">十五、开标一览表</w:t>
      </w:r>
      <w:r>
        <w:rPr>
          <w:rFonts w:hint="eastAsia" w:ascii="宋体" w:hAnsi="宋体" w:eastAsia="宋体" w:cs="宋体"/>
          <w:color w:val="000000"/>
          <w:sz w:val="28"/>
          <w:szCs w:val="28"/>
          <w:highlight w:val="none"/>
          <w:shd w:val="clear" w:color="auto" w:fill="auto"/>
        </w:rPr>
        <w:t xml:space="preserve">（备注：经办人在有折扣率有核心产品时选用。确定后该备注删除。）</w:t>
      </w:r>
      <w:r>
        <w:rPr>
          <w:sz w:val="28"/>
          <w:szCs w:val="28"/>
          <w:highlight w:val="non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投标人全称（加盖CA电子签章）：</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项目名称：</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招标编号：                                   分包号：</w:t>
      </w:r>
      <w:r/>
    </w:p>
    <w:tbl>
      <w:tblPr>
        <w:tblStyle w:val="85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投标折扣率</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4"/>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小写：                             （%）</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4"/>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tc>
      </w:tr>
    </w:tbl>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日期：  </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年</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月</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日</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rPr>
      </w:r>
      <w:r>
        <w:rPr>
          <w:sz w:val="28"/>
          <w:szCs w:val="28"/>
          <w:highlight w:val="none"/>
        </w:rPr>
      </w:r>
      <w:r/>
    </w:p>
    <w:p>
      <w:pPr>
        <w:pStyle w:val="864"/>
        <w:ind w:firstLine="480"/>
        <w:jc w:val="both"/>
        <w:spacing w:beforeAutospacing="0" w:afterAutospacing="0" w:line="360" w:lineRule="auto"/>
        <w:rPr>
          <w:sz w:val="28"/>
          <w:szCs w:val="28"/>
          <w:highlight w:val="none"/>
        </w:rPr>
      </w:pPr>
      <w:r>
        <w:rPr>
          <w:sz w:val="28"/>
          <w:szCs w:val="28"/>
          <w:highlight w:val="none"/>
          <w:shd w:val="clear" w:color="auto" w:fill="auto"/>
        </w:rPr>
      </w:r>
      <w:r>
        <w:rPr>
          <w:sz w:val="28"/>
          <w:szCs w:val="28"/>
          <w:highlight w:val="none"/>
          <w:shd w:val="clear" w:color="auto" w:fill="auto"/>
        </w:rPr>
      </w:r>
      <w:r/>
    </w:p>
    <w:p>
      <w:pPr>
        <w:pStyle w:val="864"/>
        <w:ind w:firstLine="480"/>
        <w:jc w:val="both"/>
        <w:spacing w:beforeAutospacing="0" w:afterAutospacing="0" w:line="360" w:lineRule="auto"/>
        <w:rPr>
          <w:rFonts w:hint="eastAsia" w:ascii="黑体" w:hAnsi="宋体" w:eastAsia="黑体" w:cs="黑体"/>
          <w:b/>
          <w:i/>
          <w:color w:val="000000"/>
          <w:sz w:val="28"/>
          <w:szCs w:val="28"/>
          <w:highlight w:val="none"/>
          <w:u w:val="single"/>
          <w:shd w:val="clear" w:color="auto" w:fill="auto"/>
        </w:rPr>
      </w:pPr>
      <w:r>
        <w:rPr>
          <w:rFonts w:hint="eastAsia" w:ascii="黑体" w:hAnsi="宋体" w:eastAsia="黑体" w:cs="黑体"/>
          <w:b/>
          <w:i/>
          <w:color w:val="000000"/>
          <w:sz w:val="28"/>
          <w:szCs w:val="28"/>
          <w:highlight w:val="none"/>
          <w:u w:val="single"/>
          <w:shd w:val="clear" w:color="auto" w:fill="auto"/>
        </w:rPr>
      </w:r>
      <w:r/>
    </w:p>
    <w:p>
      <w:pPr>
        <w:pStyle w:val="864"/>
        <w:ind w:firstLine="480"/>
        <w:jc w:val="both"/>
        <w:spacing w:beforeAutospacing="0" w:afterAutospacing="0" w:line="360" w:lineRule="auto"/>
        <w:rPr>
          <w:rFonts w:hint="eastAsia" w:ascii="黑体" w:hAnsi="宋体" w:eastAsia="黑体" w:cs="黑体"/>
          <w:b/>
          <w:i/>
          <w:color w:val="000000"/>
          <w:sz w:val="28"/>
          <w:szCs w:val="28"/>
          <w:highlight w:val="none"/>
          <w:u w:val="single"/>
          <w:shd w:val="clear" w:color="auto" w:fill="auto"/>
        </w:rPr>
      </w:pPr>
      <w:r>
        <w:rPr>
          <w:rFonts w:hint="eastAsia" w:ascii="黑体" w:hAnsi="宋体" w:eastAsia="黑体" w:cs="黑体"/>
          <w:b/>
          <w:i/>
          <w:color w:val="000000"/>
          <w:sz w:val="28"/>
          <w:szCs w:val="28"/>
          <w:highlight w:val="none"/>
          <w:u w:val="single"/>
          <w:shd w:val="clear" w:color="auto" w:fill="auto"/>
        </w:rPr>
      </w:r>
      <w:r/>
    </w:p>
    <w:p>
      <w:pPr>
        <w:pStyle w:val="864"/>
        <w:ind w:firstLine="480"/>
        <w:jc w:val="both"/>
        <w:spacing w:beforeAutospacing="0" w:afterAutospacing="0" w:line="360" w:lineRule="auto"/>
        <w:rPr>
          <w:rFonts w:hint="eastAsia" w:ascii="黑体" w:hAnsi="宋体" w:eastAsia="黑体" w:cs="黑体"/>
          <w:b/>
          <w:i/>
          <w:color w:val="000000"/>
          <w:sz w:val="28"/>
          <w:szCs w:val="28"/>
          <w:highlight w:val="none"/>
          <w:u w:val="single"/>
          <w:shd w:val="clear" w:color="auto" w:fill="auto"/>
        </w:rPr>
      </w:pPr>
      <w:r>
        <w:rPr>
          <w:rFonts w:hint="eastAsia" w:ascii="黑体" w:hAnsi="宋体" w:eastAsia="黑体" w:cs="黑体"/>
          <w:b/>
          <w:i/>
          <w:color w:val="000000"/>
          <w:sz w:val="28"/>
          <w:szCs w:val="28"/>
          <w:highlight w:val="none"/>
          <w:u w:val="single"/>
          <w:shd w:val="clear" w:color="auto" w:fill="auto"/>
        </w:rPr>
      </w:r>
      <w:r/>
    </w:p>
    <w:p>
      <w:pPr>
        <w:pStyle w:val="864"/>
        <w:ind w:firstLine="480"/>
        <w:jc w:val="both"/>
        <w:spacing w:beforeAutospacing="0" w:afterAutospacing="0" w:line="360" w:lineRule="auto"/>
        <w:rPr>
          <w:sz w:val="28"/>
          <w:szCs w:val="28"/>
          <w:highlight w:val="none"/>
          <w:shd w:val="clear" w:color="auto" w:fill="auto"/>
        </w:rPr>
      </w:pPr>
      <w:r>
        <w:rPr>
          <w:rFonts w:hint="eastAsia" w:ascii="黑体" w:hAnsi="宋体" w:eastAsia="黑体" w:cs="黑体"/>
          <w:b/>
          <w:i/>
          <w:color w:val="000000"/>
          <w:sz w:val="28"/>
          <w:szCs w:val="28"/>
          <w:highlight w:val="none"/>
          <w:u w:val="single"/>
          <w:shd w:val="clear" w:color="auto" w:fill="auto"/>
        </w:rPr>
        <w:t xml:space="preserve">十五、开标一览表</w:t>
      </w:r>
      <w:r>
        <w:rPr>
          <w:rFonts w:hint="eastAsia" w:ascii="宋体" w:hAnsi="宋体" w:eastAsia="宋体" w:cs="宋体"/>
          <w:color w:val="000000"/>
          <w:sz w:val="28"/>
          <w:szCs w:val="28"/>
          <w:highlight w:val="none"/>
          <w:shd w:val="clear" w:color="auto" w:fill="auto"/>
        </w:rPr>
        <w:t xml:space="preserve">（备注：经办人在有折扣率无核心产品时选用。确定后该备注删除。）</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投标人全称（加盖CA电子签章）：</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项目名称： </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招标编号：                                   分包号：</w:t>
      </w:r>
      <w:r/>
    </w:p>
    <w:tbl>
      <w:tblPr>
        <w:tblStyle w:val="858"/>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投标折扣率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4"/>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小写：                             （%）</w:t>
            </w:r>
            <w:r/>
          </w:p>
        </w:tc>
      </w:tr>
    </w:tbl>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ind w:firstLine="480"/>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日期：  </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年</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月</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shd w:val="clear" w:color="auto" w:fill="auto"/>
        </w:rPr>
        <w:t xml:space="preserve">日</w:t>
      </w:r>
      <w:r/>
    </w:p>
    <w:p>
      <w:pPr>
        <w:pStyle w:val="864"/>
        <w:jc w:val="both"/>
        <w:spacing w:beforeAutospacing="0" w:afterAutospacing="0" w:line="360" w:lineRule="auto"/>
        <w:rPr>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（总备注：经办人应当根据项目实际情况确定选用一种“开标一览表”样式，确定后自行删除其他三种不需要的样式。确定后该总备注删除。）</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both"/>
        <w:spacing w:beforeAutospacing="0" w:afterAutospacing="0" w:line="360" w:lineRule="auto"/>
        <w:rPr>
          <w:sz w:val="28"/>
          <w:szCs w:val="28"/>
          <w:highlight w:val="none"/>
          <w:shd w:val="clear" w:color="auto" w:fill="auto"/>
        </w:rPr>
      </w:pPr>
      <w:r>
        <w:rPr>
          <w:sz w:val="28"/>
          <w:szCs w:val="28"/>
          <w:highlight w:val="none"/>
          <w:shd w:val="clear" w:color="auto" w:fill="auto"/>
        </w:rPr>
        <w:t xml:space="preserve"> </w:t>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jc w:val="center"/>
        <w:spacing w:before="50" w:after="50" w:line="360" w:lineRule="auto"/>
        <w:widowControl/>
        <w:rPr>
          <w:sz w:val="28"/>
          <w:szCs w:val="28"/>
          <w:highlight w:val="none"/>
          <w:shd w:val="clear" w:color="auto" w:fill="auto"/>
        </w:rPr>
      </w:pPr>
      <w:r>
        <w:rPr>
          <w:sz w:val="28"/>
          <w:szCs w:val="28"/>
          <w:highlight w:val="none"/>
          <w:shd w:val="clear" w:color="auto" w:fill="auto"/>
        </w:rPr>
        <w:tab/>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r>
      <w:r/>
    </w:p>
    <w:p>
      <w:pPr>
        <w:jc w:val="center"/>
        <w:spacing w:before="50" w:after="50" w:line="360" w:lineRule="auto"/>
        <w:widowControl/>
        <w:rPr>
          <w:rFonts w:hint="eastAsia" w:ascii="宋体" w:hAnsi="宋体" w:eastAsia="宋体" w:cs="宋体"/>
          <w:sz w:val="28"/>
          <w:szCs w:val="28"/>
          <w:highlight w:val="none"/>
          <w:lang w:eastAsia="zh-CN"/>
          <w14:textFill>
            <w14:solidFill>
              <w14:schemeClr w14:val="tx1"/>
            </w14:solidFill>
          </w14:textFill>
        </w:rPr>
      </w:pPr>
      <w:r>
        <w:rPr>
          <w:sz w:val="28"/>
          <w:szCs w:val="28"/>
          <w:highlight w:val="none"/>
          <w:shd w:val="clear" w:color="auto" w:fill="auto"/>
        </w:rPr>
      </w:r>
      <w:r>
        <w:rPr>
          <w:rFonts w:hint="eastAsia" w:ascii="宋体" w:hAnsi="宋体" w:eastAsia="宋体" w:cs="宋体"/>
          <w:color w:val="000000"/>
          <w:sz w:val="28"/>
          <w:szCs w:val="28"/>
          <w:highlight w:val="none"/>
          <w:shd w:val="clear" w:color="auto" w:fill="auto"/>
        </w:rPr>
        <w:t xml:space="preserve">十六、</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项目实施方案</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（实施计划验收方案、培训方案</w:t>
      </w:r>
      <w:r/>
    </w:p>
    <w:p>
      <w:pPr>
        <w:jc w:val="center"/>
        <w:spacing w:before="50" w:after="5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耗材与备件保障方案）</w:t>
      </w:r>
      <w:r>
        <w:rPr>
          <w:rFonts w:hint="eastAsia" w:ascii="宋体" w:hAnsi="宋体" w:eastAsia="宋体" w:cs="宋体"/>
          <w:color w:val="000000" w:themeColor="text1"/>
          <w:sz w:val="28"/>
          <w:szCs w:val="28"/>
          <w:highlight w:val="none"/>
          <w:shd w:val="clear" w:color="auto" w:fill="auto"/>
          <w14:textFill>
            <w14:solidFill>
              <w14:schemeClr w14:val="tx1"/>
            </w14:solidFill>
          </w14:textFill>
        </w:rPr>
        <w:t xml:space="preserve">、售后服务等</w:t>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bCs/>
          <w:color w:val="000000"/>
          <w:sz w:val="28"/>
          <w:szCs w:val="28"/>
          <w:highlight w:val="none"/>
        </w:rPr>
      </w:pPr>
      <w:r>
        <w:rPr>
          <w:rFonts w:ascii="宋体" w:hAnsi="宋体" w:eastAsia="宋体" w:cs="宋体"/>
          <w:b/>
          <w:color w:val="000000"/>
          <w:sz w:val="28"/>
          <w:szCs w:val="28"/>
          <w:highlight w:val="none"/>
          <w:shd w:val="clear" w:color="auto" w:fill="auto"/>
        </w:rPr>
      </w:r>
      <w:r>
        <w:rPr>
          <w:rFonts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shd w:val="clear" w:color="auto" w:fill="auto"/>
        </w:rPr>
      </w:r>
      <w:r>
        <w:rPr>
          <w:rFonts w:ascii="宋体" w:hAnsi="宋体" w:eastAsia="宋体" w:cs="宋体"/>
          <w:b/>
          <w:bCs/>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shd w:val="clear" w:color="auto" w:fill="auto"/>
        </w:rPr>
      </w:r>
      <w:r>
        <w:rPr>
          <w:rFonts w:ascii="宋体" w:hAnsi="宋体" w:eastAsia="宋体" w:cs="宋体"/>
          <w:b/>
          <w:bCs/>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bCs/>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pStyle w:val="864"/>
        <w:jc w:val="both"/>
        <w:spacing w:beforeAutospacing="0" w:afterAutospacing="0" w:line="360" w:lineRule="auto"/>
        <w:rPr>
          <w:rFonts w:ascii="宋体" w:hAnsi="宋体" w:eastAsia="宋体" w:cs="宋体"/>
          <w:b/>
          <w:color w:val="000000"/>
          <w:sz w:val="28"/>
          <w:szCs w:val="28"/>
          <w:highlight w:val="none"/>
          <w:shd w:val="clear" w:color="auto" w:fill="auto"/>
        </w:rPr>
      </w:pPr>
      <w:r>
        <w:rPr>
          <w:rFonts w:ascii="宋体" w:hAnsi="宋体" w:eastAsia="宋体" w:cs="宋体"/>
          <w:b/>
          <w:color w:val="000000"/>
          <w:sz w:val="28"/>
          <w:szCs w:val="28"/>
          <w:highlight w:val="none"/>
          <w:shd w:val="clear" w:color="auto" w:fill="auto"/>
        </w:rPr>
      </w:r>
      <w:r/>
    </w:p>
    <w:p>
      <w:pPr>
        <w:ind w:firstLine="1600"/>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十七、盐城市政府采购事前信用承诺书</w:t>
      </w:r>
      <w:r/>
    </w:p>
    <w:p>
      <w:pPr>
        <w:ind w:firstLine="640"/>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w:t>
      </w:r>
      <w:r/>
    </w:p>
    <w:p>
      <w:pPr>
        <w:ind w:firstLine="480"/>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为营造我市公开、公平、公正、诚实守信的政府采购交易环境，树立诚信守法的投标人形象，本人代表本单位作出以下承诺：</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（四）严格遵守即时信息公示规定，及时维护和更新维护和更新盐城市政府采购网中与本单位相关的信息；</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（六）自觉接受政府、行业组织、社会公众、新闻舆论的监督；</w:t>
      </w:r>
      <w:r/>
    </w:p>
    <w:p>
      <w:pPr>
        <w:ind w:firstLine="480"/>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（八）本人已认真阅读了上述承诺，并向本单位员工作了宣传教育。</w:t>
      </w:r>
      <w:r/>
    </w:p>
    <w:p>
      <w:pPr>
        <w:jc w:val="left"/>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法定代表人签名：</w:t>
      </w:r>
      <w:r/>
    </w:p>
    <w:p>
      <w:pPr>
        <w:jc w:val="center"/>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单位名称（盖章）：</w:t>
      </w:r>
      <w:r/>
    </w:p>
    <w:p>
      <w:pPr>
        <w:jc w:val="center"/>
        <w:spacing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                      年月日</w:t>
      </w:r>
      <w:r/>
    </w:p>
    <w:p>
      <w:pPr>
        <w:pStyle w:val="864"/>
        <w:jc w:val="center"/>
        <w:spacing w:beforeAutospacing="0" w:afterAutospacing="0" w:line="360" w:lineRule="auto"/>
        <w:rPr>
          <w:sz w:val="28"/>
          <w:szCs w:val="28"/>
          <w:highlight w:val="none"/>
          <w:shd w:val="clear" w:color="auto" w:fill="auto"/>
        </w:rPr>
      </w:pPr>
      <w:r>
        <w:rPr>
          <w:sz w:val="28"/>
          <w:szCs w:val="28"/>
          <w:highlight w:val="none"/>
          <w:shd w:val="clear" w:color="auto" w:fill="auto"/>
        </w:rPr>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72"/>
      <w:r/>
      <w:bookmarkEnd w:id="240"/>
      <w:r/>
      <w:bookmarkEnd w:id="243"/>
      <w:r/>
      <w:bookmarkEnd w:id="244"/>
      <w:r/>
      <w:bookmarkEnd w:id="245"/>
      <w:r/>
      <w:bookmarkEnd w:id="246"/>
      <w:r/>
      <w:bookmarkEnd w:id="247"/>
      <w:r/>
      <w:bookmarkEnd w:id="248"/>
      <w:r/>
      <w:bookmarkEnd w:id="249"/>
      <w:r/>
      <w:bookmarkEnd w:id="250"/>
      <w:r/>
      <w:bookmarkEnd w:id="259"/>
      <w:r/>
      <w:bookmarkEnd w:id="260"/>
      <w:r/>
      <w:bookmarkEnd w:id="261"/>
      <w:r/>
      <w:bookmarkEnd w:id="262"/>
      <w:r/>
      <w:bookmarkEnd w:id="263"/>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shd w:val="clear" w:color="auto" w:fill="auto"/>
        </w:rPr>
      </w: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shd w:val="clear" w:color="auto" w:fill="auto"/>
        </w:rPr>
      </w:r>
      <w:r>
        <w:rPr>
          <w:rFonts w:hint="eastAsia" w:ascii="宋体" w:hAnsi="宋体" w:eastAsia="宋体" w:cs="宋体"/>
          <w:b/>
          <w:bCs/>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shd w:val="clear" w:color="auto" w:fill="auto"/>
        </w:rPr>
      </w:r>
      <w:r>
        <w:rPr>
          <w:rFonts w:hint="eastAsia" w:ascii="宋体" w:hAnsi="宋体" w:eastAsia="宋体" w:cs="宋体"/>
          <w:b/>
          <w:bCs/>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shd w:val="clear" w:color="auto" w:fill="auto"/>
        </w:rPr>
      </w:r>
      <w:r>
        <w:rPr>
          <w:rFonts w:hint="eastAsia" w:ascii="宋体" w:hAnsi="宋体" w:eastAsia="宋体" w:cs="宋体"/>
          <w:b/>
          <w:bCs/>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shd w:val="clear" w:color="auto" w:fill="auto"/>
        </w:rPr>
      </w:r>
      <w:r>
        <w:rPr>
          <w:rFonts w:hint="eastAsia" w:ascii="宋体" w:hAnsi="宋体" w:eastAsia="宋体" w:cs="宋体"/>
          <w:b/>
          <w:bCs/>
          <w:color w:val="000000"/>
          <w:sz w:val="28"/>
          <w:szCs w:val="28"/>
          <w:highlight w:val="none"/>
          <w:shd w:val="clear" w:color="auto" w:fill="auto"/>
        </w:rPr>
      </w:r>
      <w:r/>
    </w:p>
    <w:p>
      <w:pPr>
        <w:pStyle w:val="864"/>
        <w:jc w:val="center"/>
        <w:spacing w:beforeAutospacing="0" w:afterAutospacing="0" w:line="360" w:lineRule="auto"/>
        <w:rPr>
          <w:rFonts w:hint="eastAsia" w:ascii="宋体" w:hAnsi="宋体" w:eastAsia="宋体" w:cs="宋体"/>
          <w:b/>
          <w:bCs/>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r>
      <w:r/>
    </w:p>
    <w:p>
      <w:pPr>
        <w:pStyle w:val="864"/>
        <w:jc w:val="center"/>
        <w:spacing w:beforeAutospacing="0" w:afterAutospacing="0" w:line="360" w:lineRule="auto"/>
        <w:rPr>
          <w:rFonts w:ascii="宋体" w:hAnsi="宋体" w:eastAsia="宋体" w:cs="宋体"/>
          <w:b/>
          <w:color w:val="000000"/>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质疑函范本</w:t>
      </w:r>
      <w:r/>
    </w:p>
    <w:p>
      <w:pPr>
        <w:pStyle w:val="864"/>
        <w:jc w:val="both"/>
        <w:spacing w:before="290"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一、质疑供应商基本信息</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质疑供应商：</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color w:val="000000"/>
          <w:sz w:val="28"/>
          <w:szCs w:val="28"/>
          <w:highlight w:val="none"/>
          <w:u w:val="single"/>
          <w:shd w:val="clear" w:color="auto" w:fill="auto"/>
        </w:rPr>
      </w:pPr>
      <w:r>
        <w:rPr>
          <w:rFonts w:hint="eastAsia" w:ascii="宋体" w:hAnsi="宋体" w:eastAsia="宋体" w:cs="宋体"/>
          <w:color w:val="000000"/>
          <w:sz w:val="28"/>
          <w:szCs w:val="28"/>
          <w:highlight w:val="none"/>
          <w:shd w:val="clear" w:color="auto" w:fill="auto"/>
        </w:rPr>
        <w:t xml:space="preserve">地址：</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邮编：</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color w:val="000000"/>
          <w:sz w:val="28"/>
          <w:szCs w:val="28"/>
          <w:highlight w:val="none"/>
          <w:u w:val="single"/>
          <w:shd w:val="clear" w:color="auto" w:fill="auto"/>
        </w:rPr>
      </w:pPr>
      <w:r>
        <w:rPr>
          <w:rFonts w:hint="eastAsia" w:ascii="宋体" w:hAnsi="宋体" w:eastAsia="宋体" w:cs="宋体"/>
          <w:color w:val="000000"/>
          <w:sz w:val="28"/>
          <w:szCs w:val="28"/>
          <w:highlight w:val="none"/>
          <w:shd w:val="clear" w:color="auto" w:fill="auto"/>
        </w:rPr>
        <w:t xml:space="preserve">联系人：</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联系电话：</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授权代表：</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联系电话：</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color w:val="000000"/>
          <w:sz w:val="28"/>
          <w:szCs w:val="28"/>
          <w:highlight w:val="none"/>
          <w:u w:val="single"/>
          <w:shd w:val="clear" w:color="auto" w:fill="auto"/>
        </w:rPr>
      </w:pPr>
      <w:r>
        <w:rPr>
          <w:rFonts w:hint="eastAsia" w:ascii="宋体" w:hAnsi="宋体" w:eastAsia="宋体" w:cs="宋体"/>
          <w:color w:val="000000"/>
          <w:sz w:val="28"/>
          <w:szCs w:val="28"/>
          <w:highlight w:val="none"/>
          <w:shd w:val="clear" w:color="auto" w:fill="auto"/>
        </w:rPr>
        <w:t xml:space="preserve">地址： </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邮编：</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二、质疑项目基本情况</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质疑项目的名称：</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color w:val="000000"/>
          <w:sz w:val="28"/>
          <w:szCs w:val="28"/>
          <w:highlight w:val="none"/>
          <w:u w:val="single"/>
          <w:shd w:val="clear" w:color="auto" w:fill="auto"/>
        </w:rPr>
      </w:pPr>
      <w:r>
        <w:rPr>
          <w:rFonts w:hint="eastAsia" w:ascii="宋体" w:hAnsi="宋体" w:eastAsia="宋体" w:cs="宋体"/>
          <w:color w:val="000000"/>
          <w:sz w:val="28"/>
          <w:szCs w:val="28"/>
          <w:highlight w:val="none"/>
          <w:shd w:val="clear" w:color="auto" w:fill="auto"/>
        </w:rPr>
        <w:t xml:space="preserve">质疑项目的编号：</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包号：</w:t>
      </w:r>
      <w:r>
        <w:rPr>
          <w:rFonts w:hint="eastAsia" w:ascii="宋体" w:hAnsi="宋体" w:eastAsia="宋体" w:cs="宋体"/>
          <w:color w:val="000000"/>
          <w:sz w:val="28"/>
          <w:szCs w:val="28"/>
          <w:highlight w:val="none"/>
          <w:u w:val="single"/>
          <w:shd w:val="clear" w:color="auto" w:fill="auto"/>
        </w:rPr>
        <w:t xml:space="preserve">                       </w:t>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ab/>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采购人名称：</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采购文件获取日期：</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三、质疑事项具体内容</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质疑事项1：</w:t>
      </w:r>
      <w:r>
        <w:rPr>
          <w:rFonts w:hint="eastAsia" w:ascii="宋体" w:hAnsi="宋体" w:eastAsia="宋体" w:cs="宋体"/>
          <w:color w:val="000000"/>
          <w:sz w:val="28"/>
          <w:szCs w:val="28"/>
          <w:highlight w:val="none"/>
          <w:u w:val="single"/>
          <w:shd w:val="clear" w:color="auto" w:fill="auto"/>
        </w:rPr>
        <w:t xml:space="preserve">                             </w:t>
      </w:r>
      <w:r/>
    </w:p>
    <w:p>
      <w:pPr>
        <w:pStyle w:val="864"/>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事实依据：</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法律依据：</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质疑事项2</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四、与质疑事项相关的质疑请求</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请求：</w:t>
      </w:r>
      <w:r>
        <w:rPr>
          <w:rFonts w:hint="eastAsia" w:ascii="宋体" w:hAnsi="宋体" w:eastAsia="宋体" w:cs="宋体"/>
          <w:color w:val="000000"/>
          <w:sz w:val="28"/>
          <w:szCs w:val="28"/>
          <w:highlight w:val="none"/>
          <w:u w:val="single"/>
          <w:shd w:val="clear" w:color="auto" w:fill="auto"/>
        </w:rPr>
        <w:t xml:space="preserve">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签字(签章)：                 公章：               日期：    </w:t>
      </w:r>
      <w:r/>
    </w:p>
    <w:p>
      <w:pPr>
        <w:pStyle w:val="864"/>
        <w:jc w:val="both"/>
        <w:spacing w:beforeAutospacing="0" w:afterAutospacing="0" w:line="360" w:lineRule="auto"/>
        <w:rPr>
          <w:rFonts w:ascii="宋体" w:hAnsi="宋体" w:eastAsia="宋体" w:cs="宋体"/>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 xml:space="preserve">质疑函制作说明：</w:t>
      </w:r>
      <w:r/>
    </w:p>
    <w:p>
      <w:pPr>
        <w:pStyle w:val="864"/>
        <w:ind w:firstLine="480"/>
        <w:spacing w:beforeAutospacing="0" w:afterAutospacing="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1.供应商提出质疑时，应提交质疑函和必要的证明材料。</w:t>
      </w:r>
      <w:r/>
    </w:p>
    <w:p>
      <w:pPr>
        <w:pStyle w:val="864"/>
        <w:ind w:firstLine="480"/>
        <w:spacing w:beforeAutospacing="0" w:afterAutospacing="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3.质疑供应商若对项目的某一分包进行质疑，质疑函中应列明具体分包号。</w:t>
      </w:r>
      <w:r/>
    </w:p>
    <w:p>
      <w:pPr>
        <w:pStyle w:val="864"/>
        <w:ind w:firstLine="480"/>
        <w:spacing w:beforeAutospacing="0" w:afterAutospacing="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4.质疑函的质疑事项应具体、明确，并有必要的事实依据和法律依据。</w:t>
      </w:r>
      <w:r/>
    </w:p>
    <w:p>
      <w:pPr>
        <w:pStyle w:val="864"/>
        <w:ind w:firstLine="480"/>
        <w:spacing w:beforeAutospacing="0" w:afterAutospacing="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5.质疑函的质疑请求应与质疑事项相关。</w:t>
      </w:r>
      <w:r/>
    </w:p>
    <w:p>
      <w:pPr>
        <w:pStyle w:val="864"/>
        <w:ind w:firstLine="480"/>
        <w:spacing w:beforeAutospacing="0" w:afterAutospacing="0" w:line="360" w:lineRule="auto"/>
        <w:widowControl/>
        <w:rPr>
          <w:rFonts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64"/>
        <w:spacing w:beforeAutospacing="0" w:afterAutospacing="0" w:line="360" w:lineRule="auto"/>
        <w:rPr>
          <w:sz w:val="28"/>
          <w:szCs w:val="28"/>
          <w:highlight w:val="none"/>
          <w:shd w:val="clear" w:color="auto" w:fill="auto"/>
        </w:rPr>
      </w:pPr>
      <w:r>
        <w:rPr>
          <w:sz w:val="28"/>
          <w:szCs w:val="28"/>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中宋">
    <w:panose1 w:val="02010600040101010101"/>
  </w:font>
  <w:font w:name="仿宋_GB2312">
    <w:panose1 w:val="02010609060101010101"/>
  </w:font>
  <w:font w:name="黑体">
    <w:panose1 w:val="02010609060101010101"/>
  </w:font>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2"/>
  </w:num>
  <w:num w:numId="4">
    <w:abstractNumId w:val="10"/>
  </w:num>
  <w:num w:numId="5">
    <w:abstractNumId w:val="5"/>
    <w:lvlOverride w:ilvl="0">
      <w:startOverride w:val="2"/>
    </w:lvlOverride>
  </w:num>
  <w:num w:numId="6">
    <w:abstractNumId w:val="4"/>
    <w:lvlOverride w:ilvl="0">
      <w:startOverride w:val="6"/>
    </w:lvlOverride>
  </w:num>
  <w:num w:numId="7">
    <w:abstractNumId w:val="0"/>
    <w:lvlOverride w:ilvl="0">
      <w:startOverride w:val="16"/>
    </w:lvlOverride>
  </w:num>
  <w:num w:numId="8">
    <w:abstractNumId w:val="6"/>
    <w:lvlOverride w:ilvl="0">
      <w:startOverride w:val="23"/>
    </w:lvlOverride>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5"/>
    <w:next w:val="855"/>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7"/>
    <w:link w:val="681"/>
    <w:uiPriority w:val="9"/>
    <w:rPr>
      <w:rFonts w:ascii="Arial" w:hAnsi="Arial" w:eastAsia="Arial" w:cs="Arial"/>
      <w:sz w:val="40"/>
      <w:szCs w:val="40"/>
    </w:rPr>
  </w:style>
  <w:style w:type="character" w:styleId="683">
    <w:name w:val="Heading 2 Char"/>
    <w:basedOn w:val="857"/>
    <w:link w:val="856"/>
    <w:uiPriority w:val="9"/>
    <w:rPr>
      <w:rFonts w:ascii="Arial" w:hAnsi="Arial" w:eastAsia="Arial" w:cs="Arial"/>
      <w:sz w:val="34"/>
    </w:rPr>
  </w:style>
  <w:style w:type="paragraph" w:styleId="684">
    <w:name w:val="Heading 3"/>
    <w:basedOn w:val="855"/>
    <w:next w:val="855"/>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7"/>
    <w:link w:val="684"/>
    <w:uiPriority w:val="9"/>
    <w:rPr>
      <w:rFonts w:ascii="Arial" w:hAnsi="Arial" w:eastAsia="Arial" w:cs="Arial"/>
      <w:sz w:val="30"/>
      <w:szCs w:val="30"/>
    </w:rPr>
  </w:style>
  <w:style w:type="paragraph" w:styleId="686">
    <w:name w:val="Heading 4"/>
    <w:basedOn w:val="855"/>
    <w:next w:val="855"/>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7"/>
    <w:link w:val="686"/>
    <w:uiPriority w:val="9"/>
    <w:rPr>
      <w:rFonts w:ascii="Arial" w:hAnsi="Arial" w:eastAsia="Arial" w:cs="Arial"/>
      <w:b/>
      <w:bCs/>
      <w:sz w:val="26"/>
      <w:szCs w:val="26"/>
    </w:rPr>
  </w:style>
  <w:style w:type="paragraph" w:styleId="688">
    <w:name w:val="Heading 5"/>
    <w:basedOn w:val="855"/>
    <w:next w:val="855"/>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7"/>
    <w:link w:val="688"/>
    <w:uiPriority w:val="9"/>
    <w:rPr>
      <w:rFonts w:ascii="Arial" w:hAnsi="Arial" w:eastAsia="Arial" w:cs="Arial"/>
      <w:b/>
      <w:bCs/>
      <w:sz w:val="24"/>
      <w:szCs w:val="24"/>
    </w:rPr>
  </w:style>
  <w:style w:type="paragraph" w:styleId="690">
    <w:name w:val="Heading 6"/>
    <w:basedOn w:val="855"/>
    <w:next w:val="855"/>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7"/>
    <w:link w:val="690"/>
    <w:uiPriority w:val="9"/>
    <w:rPr>
      <w:rFonts w:ascii="Arial" w:hAnsi="Arial" w:eastAsia="Arial" w:cs="Arial"/>
      <w:b/>
      <w:bCs/>
      <w:sz w:val="22"/>
      <w:szCs w:val="22"/>
    </w:rPr>
  </w:style>
  <w:style w:type="paragraph" w:styleId="692">
    <w:name w:val="Heading 7"/>
    <w:basedOn w:val="855"/>
    <w:next w:val="855"/>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7"/>
    <w:link w:val="692"/>
    <w:uiPriority w:val="9"/>
    <w:rPr>
      <w:rFonts w:ascii="Arial" w:hAnsi="Arial" w:eastAsia="Arial" w:cs="Arial"/>
      <w:b/>
      <w:bCs/>
      <w:i/>
      <w:iCs/>
      <w:sz w:val="22"/>
      <w:szCs w:val="22"/>
    </w:rPr>
  </w:style>
  <w:style w:type="paragraph" w:styleId="694">
    <w:name w:val="Heading 8"/>
    <w:basedOn w:val="855"/>
    <w:next w:val="855"/>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7"/>
    <w:link w:val="694"/>
    <w:uiPriority w:val="9"/>
    <w:rPr>
      <w:rFonts w:ascii="Arial" w:hAnsi="Arial" w:eastAsia="Arial" w:cs="Arial"/>
      <w:i/>
      <w:iCs/>
      <w:sz w:val="22"/>
      <w:szCs w:val="22"/>
    </w:rPr>
  </w:style>
  <w:style w:type="paragraph" w:styleId="696">
    <w:name w:val="Heading 9"/>
    <w:basedOn w:val="855"/>
    <w:next w:val="855"/>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7"/>
    <w:link w:val="696"/>
    <w:uiPriority w:val="9"/>
    <w:rPr>
      <w:rFonts w:ascii="Arial" w:hAnsi="Arial" w:eastAsia="Arial" w:cs="Arial"/>
      <w:i/>
      <w:iCs/>
      <w:sz w:val="21"/>
      <w:szCs w:val="21"/>
    </w:rPr>
  </w:style>
  <w:style w:type="paragraph" w:styleId="698">
    <w:name w:val="List Paragraph"/>
    <w:basedOn w:val="855"/>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5"/>
    <w:next w:val="855"/>
    <w:link w:val="701"/>
    <w:uiPriority w:val="10"/>
    <w:qFormat/>
    <w:pPr>
      <w:contextualSpacing/>
      <w:spacing w:before="300" w:after="200"/>
    </w:pPr>
    <w:rPr>
      <w:sz w:val="48"/>
      <w:szCs w:val="48"/>
    </w:rPr>
  </w:style>
  <w:style w:type="character" w:styleId="701">
    <w:name w:val="Title Char"/>
    <w:basedOn w:val="857"/>
    <w:link w:val="700"/>
    <w:uiPriority w:val="10"/>
    <w:rPr>
      <w:sz w:val="48"/>
      <w:szCs w:val="48"/>
    </w:rPr>
  </w:style>
  <w:style w:type="paragraph" w:styleId="702">
    <w:name w:val="Subtitle"/>
    <w:basedOn w:val="855"/>
    <w:next w:val="855"/>
    <w:link w:val="703"/>
    <w:uiPriority w:val="11"/>
    <w:qFormat/>
    <w:pPr>
      <w:spacing w:before="200" w:after="200"/>
    </w:pPr>
    <w:rPr>
      <w:sz w:val="24"/>
      <w:szCs w:val="24"/>
    </w:rPr>
  </w:style>
  <w:style w:type="character" w:styleId="703">
    <w:name w:val="Subtitle Char"/>
    <w:basedOn w:val="857"/>
    <w:link w:val="702"/>
    <w:uiPriority w:val="11"/>
    <w:rPr>
      <w:sz w:val="24"/>
      <w:szCs w:val="24"/>
    </w:rPr>
  </w:style>
  <w:style w:type="paragraph" w:styleId="704">
    <w:name w:val="Quote"/>
    <w:basedOn w:val="855"/>
    <w:next w:val="855"/>
    <w:link w:val="705"/>
    <w:uiPriority w:val="29"/>
    <w:qFormat/>
    <w:pPr>
      <w:ind w:left="720" w:right="720"/>
    </w:pPr>
    <w:rPr>
      <w:i/>
    </w:rPr>
  </w:style>
  <w:style w:type="character" w:styleId="705">
    <w:name w:val="Quote Char"/>
    <w:link w:val="704"/>
    <w:uiPriority w:val="29"/>
    <w:rPr>
      <w:i/>
    </w:rPr>
  </w:style>
  <w:style w:type="paragraph" w:styleId="706">
    <w:name w:val="Intense Quote"/>
    <w:basedOn w:val="855"/>
    <w:next w:val="855"/>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7"/>
    <w:link w:val="863"/>
    <w:uiPriority w:val="99"/>
  </w:style>
  <w:style w:type="character" w:styleId="709">
    <w:name w:val="Footer Char"/>
    <w:basedOn w:val="857"/>
    <w:link w:val="862"/>
    <w:uiPriority w:val="99"/>
  </w:style>
  <w:style w:type="paragraph" w:styleId="710">
    <w:name w:val="Caption"/>
    <w:basedOn w:val="855"/>
    <w:next w:val="855"/>
    <w:uiPriority w:val="35"/>
    <w:semiHidden/>
    <w:unhideWhenUsed/>
    <w:qFormat/>
    <w:pPr>
      <w:spacing w:line="276" w:lineRule="auto"/>
    </w:pPr>
    <w:rPr>
      <w:b/>
      <w:bCs/>
      <w:color w:val="4f81bd" w:themeColor="accent1"/>
      <w:sz w:val="18"/>
      <w:szCs w:val="18"/>
    </w:rPr>
  </w:style>
  <w:style w:type="character" w:styleId="711">
    <w:name w:val="Caption Char"/>
    <w:basedOn w:val="710"/>
    <w:link w:val="862"/>
    <w:uiPriority w:val="99"/>
  </w:style>
  <w:style w:type="table" w:styleId="712">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8">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9">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0">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1">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2">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3">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4">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5">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6">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7">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8">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1">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2">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3">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4">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5">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4">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5">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6">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7">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8">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9">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1">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2">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3">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4">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5">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6">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7"/>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7"/>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6">
    <w:name w:val="Heading 2"/>
    <w:basedOn w:val="855"/>
    <w:next w:val="85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annotation text"/>
    <w:basedOn w:val="855"/>
    <w:uiPriority w:val="0"/>
    <w:qFormat/>
    <w:pPr>
      <w:jc w:val="left"/>
    </w:pPr>
  </w:style>
  <w:style w:type="paragraph" w:styleId="860">
    <w:name w:val="Body Text"/>
    <w:basedOn w:val="855"/>
    <w:next w:val="855"/>
    <w:uiPriority w:val="0"/>
    <w:unhideWhenUsed/>
    <w:qFormat/>
    <w:pPr>
      <w:spacing w:after="120"/>
    </w:pPr>
    <w:rPr>
      <w:rFonts w:ascii="Calibri" w:hAnsi="Calibri"/>
      <w:szCs w:val="22"/>
    </w:rPr>
  </w:style>
  <w:style w:type="paragraph" w:styleId="861">
    <w:name w:val="Plain Text"/>
    <w:basedOn w:val="855"/>
    <w:uiPriority w:val="0"/>
    <w:unhideWhenUsed/>
    <w:qFormat/>
    <w:rPr>
      <w:rFonts w:ascii="宋体" w:hAnsi="Courier New" w:cs="Courier New"/>
      <w:szCs w:val="21"/>
    </w:rPr>
  </w:style>
  <w:style w:type="paragraph" w:styleId="862">
    <w:name w:val="Footer"/>
    <w:basedOn w:val="855"/>
    <w:link w:val="867"/>
    <w:uiPriority w:val="0"/>
    <w:qFormat/>
    <w:pPr>
      <w:jc w:val="left"/>
      <w:tabs>
        <w:tab w:val="center" w:pos="4153" w:leader="none"/>
        <w:tab w:val="right" w:pos="8306" w:leader="none"/>
      </w:tabs>
    </w:pPr>
    <w:rPr>
      <w:sz w:val="18"/>
      <w:szCs w:val="18"/>
    </w:rPr>
  </w:style>
  <w:style w:type="paragraph" w:styleId="863">
    <w:name w:val="Header"/>
    <w:basedOn w:val="855"/>
    <w:link w:val="866"/>
    <w:uiPriority w:val="0"/>
    <w:qFormat/>
    <w:pPr>
      <w:jc w:val="center"/>
      <w:tabs>
        <w:tab w:val="center" w:pos="4153" w:leader="none"/>
        <w:tab w:val="right" w:pos="8306" w:leader="none"/>
      </w:tabs>
      <w:pBdr>
        <w:bottom w:val="single" w:color="auto" w:sz="6" w:space="1"/>
      </w:pBdr>
    </w:pPr>
    <w:rPr>
      <w:sz w:val="18"/>
      <w:szCs w:val="18"/>
    </w:rPr>
  </w:style>
  <w:style w:type="paragraph" w:styleId="864">
    <w:name w:val="Normal (Web)"/>
    <w:basedOn w:val="855"/>
    <w:uiPriority w:val="0"/>
    <w:qFormat/>
    <w:pPr>
      <w:jc w:val="left"/>
      <w:spacing w:beforeAutospacing="1" w:afterAutospacing="1"/>
    </w:pPr>
    <w:rPr>
      <w:rFonts w:cs="Times New Roman"/>
      <w:sz w:val="24"/>
    </w:rPr>
  </w:style>
  <w:style w:type="table" w:styleId="865">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customStyle="1">
    <w:name w:val="页眉 Char"/>
    <w:basedOn w:val="857"/>
    <w:link w:val="863"/>
    <w:uiPriority w:val="0"/>
    <w:qFormat/>
    <w:rPr>
      <w:rFonts w:asciiTheme="minorHAnsi" w:hAnsiTheme="minorHAnsi" w:eastAsiaTheme="minorEastAsia" w:cstheme="minorBidi"/>
      <w:sz w:val="18"/>
      <w:szCs w:val="18"/>
    </w:rPr>
  </w:style>
  <w:style w:type="character" w:styleId="867" w:customStyle="1">
    <w:name w:val="页脚 Char"/>
    <w:basedOn w:val="857"/>
    <w:link w:val="862"/>
    <w:uiPriority w:val="0"/>
    <w:qFormat/>
    <w:rPr>
      <w:rFonts w:asciiTheme="minorHAnsi" w:hAnsiTheme="minorHAnsi" w:eastAsiaTheme="minorEastAsia" w:cstheme="minorBidi"/>
      <w:sz w:val="18"/>
      <w:szCs w:val="18"/>
    </w:rPr>
  </w:style>
  <w:style w:type="paragraph" w:styleId="8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9" w:customStyle="1">
    <w:name w:val="页脚1"/>
    <w:basedOn w:val="855"/>
    <w:uiPriority w:val="99"/>
    <w:unhideWhenUsed/>
    <w:qFormat/>
    <w:pPr>
      <w:jc w:val="left"/>
      <w:tabs>
        <w:tab w:val="center" w:pos="4153" w:leader="none"/>
        <w:tab w:val="right" w:pos="8306" w:leader="none"/>
      </w:tabs>
    </w:pPr>
    <w:rPr>
      <w:sz w:val="18"/>
      <w:szCs w:val="18"/>
    </w:rPr>
  </w:style>
  <w:style w:type="paragraph" w:styleId="870" w:customStyle="1">
    <w:name w:val="普通正文"/>
    <w:basedOn w:val="855"/>
    <w:uiPriority w:val="0"/>
    <w:qFormat/>
    <w:pPr>
      <w:ind w:firstLine="480"/>
      <w:jc w:val="left"/>
      <w:spacing w:before="120" w:after="120" w:line="360" w:lineRule="auto"/>
    </w:pPr>
    <w:rPr>
      <w:rFonts w:ascii="Arial" w:hAnsi="Arial" w:eastAsia="等线" w:cs="Arial"/>
      <w:sz w:val="24"/>
      <w:szCs w:val="24"/>
    </w:rPr>
  </w:style>
  <w:style w:type="character" w:styleId="871" w:customStyle="1">
    <w:name w:val="font51"/>
    <w:basedOn w:val="857"/>
    <w:uiPriority w:val="0"/>
    <w:qFormat/>
    <w:rPr>
      <w:rFonts w:hint="eastAsia" w:ascii="宋体" w:hAnsi="宋体" w:eastAsia="宋体" w:cs="宋体"/>
      <w:color w:val="000000"/>
      <w:sz w:val="24"/>
      <w:szCs w:val="24"/>
      <w:u w:val="none"/>
      <w:vertAlign w:val="subscript"/>
    </w:rPr>
  </w:style>
  <w:style w:type="table" w:styleId="872" w:customStyle="1">
    <w:name w:val="Table Normal"/>
    <w:uiPriority w:val="0"/>
    <w:semiHidden/>
    <w:unhideWhenUsed/>
    <w:qFormat/>
    <w:tblPr>
      <w:tblCellMar>
        <w:left w:w="0" w:type="dxa"/>
        <w:top w:w="0" w:type="dxa"/>
        <w:right w:w="0" w:type="dxa"/>
        <w:bottom w:w="0" w:type="dxa"/>
      </w:tblCellMar>
    </w:tblPr>
  </w:style>
  <w:style w:type="table" w:styleId="873" w:customStyle="1">
    <w:name w:val="网格型1"/>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陈志洋</cp:lastModifiedBy>
  <cp:revision>123</cp:revision>
  <dcterms:created xsi:type="dcterms:W3CDTF">2014-10-29T12:08:00Z</dcterms:created>
  <dcterms:modified xsi:type="dcterms:W3CDTF">2024-10-30T15:40:45Z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0C5221C256594506B744EE364675151A_13</vt:lpwstr>
  </property>
</Properties>
</file>