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olor w:val="auto"/>
          <w:sz w:val="36"/>
        </w:rPr>
      </w:pPr>
      <w:r/>
      <w:bookmarkStart w:id="0" w:name="_Toc368759509"/>
      <w:r/>
      <w:bookmarkStart w:id="1" w:name="_Toc363326675"/>
      <w:r/>
      <w:bookmarkStart w:id="2" w:name="_Toc369077541"/>
      <w:r/>
      <w:r/>
    </w:p>
    <w:p>
      <w:pPr>
        <w:pStyle w:val="821"/>
        <w:ind w:left="1260"/>
        <w:rPr>
          <w:rFonts w:hAnsi="宋体" w:cs="宋体"/>
          <w:color w:val="auto"/>
          <w:sz w:val="36"/>
        </w:rPr>
      </w:pPr>
      <w:r>
        <w:rPr>
          <w:rFonts w:hAnsi="宋体" w:cs="宋体"/>
          <w:color w:val="auto"/>
          <w:sz w:val="36"/>
        </w:rPr>
      </w:r>
      <w:r/>
    </w:p>
    <w:p>
      <w:pPr>
        <w:rPr>
          <w:rFonts w:ascii="宋体" w:hAnsi="宋体" w:cs="宋体"/>
          <w:color w:val="auto"/>
          <w:sz w:val="36"/>
        </w:rPr>
      </w:pPr>
      <w:r>
        <w:rPr>
          <w:rFonts w:ascii="宋体" w:hAnsi="宋体" w:cs="宋体"/>
          <w:color w:val="auto"/>
          <w:sz w:val="36"/>
        </w:rPr>
      </w:r>
      <w:r/>
    </w:p>
    <w:p>
      <w:pPr>
        <w:pStyle w:val="821"/>
        <w:ind w:left="1260"/>
        <w:rPr>
          <w:color w:val="auto"/>
          <w:highlight w:val="none"/>
        </w:rPr>
      </w:pPr>
      <w:r>
        <w:rPr>
          <w:color w:val="auto"/>
          <w:highlight w:val="none"/>
        </w:rPr>
      </w:r>
      <w:r/>
    </w:p>
    <w:p>
      <w:pPr>
        <w:jc w:val="center"/>
        <w:rPr>
          <w:rFonts w:ascii="宋体" w:hAnsi="宋体" w:cs="宋体"/>
          <w:b/>
          <w:color w:val="auto"/>
          <w:sz w:val="84"/>
          <w:highlight w:val="none"/>
        </w:rPr>
      </w:pPr>
      <w:r>
        <w:rPr>
          <w:rFonts w:hint="eastAsia" w:ascii="宋体" w:hAnsi="宋体" w:cs="宋体"/>
          <w:bCs/>
          <w:color w:val="auto"/>
          <w:sz w:val="84"/>
          <w:highlight w:val="none"/>
        </w:rPr>
        <w:t xml:space="preserve">招 标 文 件</w:t>
      </w:r>
      <w:r/>
    </w:p>
    <w:p>
      <w:pPr>
        <w:rPr>
          <w:rFonts w:ascii="宋体" w:hAnsi="宋体" w:cs="宋体"/>
          <w:b/>
          <w:color w:val="auto"/>
          <w:sz w:val="32"/>
          <w:highlight w:val="none"/>
        </w:rPr>
      </w:pPr>
      <w:r>
        <w:rPr>
          <w:rFonts w:ascii="宋体" w:hAnsi="宋体" w:cs="宋体"/>
          <w:b/>
          <w:color w:val="auto"/>
          <w:sz w:val="32"/>
          <w:highlight w:val="none"/>
        </w:rPr>
      </w:r>
      <w:r/>
    </w:p>
    <w:p>
      <w:pPr>
        <w:jc w:val="center"/>
        <w:rPr>
          <w:rFonts w:ascii="宋体" w:hAnsi="宋体" w:cs="宋体"/>
          <w:b/>
          <w:color w:val="auto"/>
          <w:sz w:val="32"/>
          <w:highlight w:val="none"/>
        </w:rPr>
      </w:pPr>
      <w:r>
        <w:rPr>
          <w:rFonts w:ascii="宋体" w:hAnsi="宋体" w:cs="宋体"/>
          <w:b/>
          <w:color w:val="auto"/>
          <w:sz w:val="32"/>
          <w:highlight w:val="none"/>
        </w:rPr>
      </w:r>
      <w:r/>
    </w:p>
    <w:p>
      <w:pPr>
        <w:jc w:val="center"/>
        <w:rPr>
          <w:rFonts w:ascii="宋体" w:hAnsi="宋体" w:cs="宋体"/>
          <w:b/>
          <w:color w:val="auto"/>
          <w:sz w:val="32"/>
          <w:highlight w:val="none"/>
        </w:rPr>
      </w:pPr>
      <w:r>
        <w:rPr>
          <w:rFonts w:ascii="宋体" w:hAnsi="宋体" w:cs="宋体"/>
          <w:b/>
          <w:color w:val="auto"/>
          <w:sz w:val="32"/>
          <w:highlight w:val="none"/>
        </w:rPr>
      </w:r>
      <w:r/>
    </w:p>
    <w:p>
      <w:pPr>
        <w:ind w:firstLine="723"/>
        <w:rPr>
          <w:rFonts w:ascii="宋体" w:hAnsi="宋体" w:cs="宋体"/>
          <w:b/>
          <w:color w:val="auto"/>
          <w:sz w:val="36"/>
          <w:highlight w:val="none"/>
        </w:rPr>
      </w:pPr>
      <w:r>
        <w:rPr>
          <w:rFonts w:hint="eastAsia" w:ascii="宋体" w:hAnsi="宋体" w:cs="宋体"/>
          <w:b/>
          <w:color w:val="auto"/>
          <w:sz w:val="36"/>
          <w:highlight w:val="none"/>
        </w:rPr>
        <w:t xml:space="preserve">项目编号：JSZC-320904-RHZX-G2025-0015</w:t>
      </w:r>
      <w:r/>
    </w:p>
    <w:p>
      <w:pPr>
        <w:rPr>
          <w:rFonts w:ascii="宋体" w:hAnsi="宋体" w:cs="宋体"/>
          <w:b/>
          <w:color w:val="auto"/>
          <w:sz w:val="36"/>
          <w:szCs w:val="36"/>
          <w:highlight w:val="none"/>
        </w:rPr>
      </w:pPr>
      <w:r>
        <w:rPr>
          <w:rFonts w:ascii="宋体" w:hAnsi="宋体" w:cs="宋体"/>
          <w:b/>
          <w:color w:val="auto"/>
          <w:sz w:val="36"/>
          <w:szCs w:val="36"/>
          <w:highlight w:val="none"/>
        </w:rPr>
      </w:r>
      <w:r/>
    </w:p>
    <w:p>
      <w:pPr>
        <w:ind w:firstLine="723"/>
        <w:spacing w:line="360" w:lineRule="auto"/>
        <w:rPr>
          <w:rFonts w:hint="eastAsia" w:ascii="宋体" w:hAnsi="宋体" w:cs="宋体"/>
          <w:b/>
          <w:color w:val="auto"/>
          <w:sz w:val="36"/>
          <w:szCs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b/>
          <w:color w:val="auto"/>
          <w:sz w:val="36"/>
          <w:szCs w:val="36"/>
          <w:highlight w:val="none"/>
          <w:lang w:eastAsia="zh-CN"/>
        </w:rPr>
        <w:t xml:space="preserve">社会风险防控应急指挥体系升级设备及</w:t>
      </w:r>
      <w:r/>
    </w:p>
    <w:p>
      <w:pPr>
        <w:ind w:firstLine="723"/>
        <w:spacing w:line="360" w:lineRule="auto"/>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办公家具等采购项目</w:t>
      </w:r>
      <w:r/>
    </w:p>
    <w:p>
      <w:pPr>
        <w:ind w:firstLine="2244"/>
        <w:rPr>
          <w:rFonts w:ascii="宋体" w:hAnsi="宋体" w:cs="宋体"/>
          <w:b/>
          <w:color w:val="auto"/>
          <w:sz w:val="30"/>
          <w:szCs w:val="30"/>
          <w:highlight w:val="none"/>
        </w:rPr>
      </w:pPr>
      <w:r>
        <w:rPr>
          <w:rFonts w:ascii="宋体" w:hAnsi="宋体" w:cs="宋体"/>
          <w:b/>
          <w:color w:val="auto"/>
          <w:sz w:val="30"/>
          <w:szCs w:val="30"/>
          <w:highlight w:val="none"/>
        </w:rPr>
      </w:r>
      <w:r/>
    </w:p>
    <w:p>
      <w:pPr>
        <w:rPr>
          <w:rFonts w:ascii="宋体" w:hAnsi="宋体" w:cs="宋体"/>
          <w:b/>
          <w:color w:val="auto"/>
          <w:sz w:val="32"/>
          <w:highlight w:val="none"/>
        </w:rPr>
      </w:pPr>
      <w:r>
        <w:rPr>
          <w:rFonts w:ascii="宋体" w:hAnsi="宋体" w:cs="宋体"/>
          <w:b/>
          <w:color w:val="auto"/>
          <w:sz w:val="32"/>
          <w:highlight w:val="none"/>
        </w:rPr>
      </w:r>
      <w:r/>
    </w:p>
    <w:p>
      <w:pPr>
        <w:rPr>
          <w:rFonts w:ascii="宋体" w:hAnsi="宋体" w:cs="宋体"/>
          <w:b/>
          <w:color w:val="auto"/>
          <w:sz w:val="32"/>
          <w:highlight w:val="none"/>
        </w:rPr>
      </w:pPr>
      <w:r>
        <w:rPr>
          <w:rFonts w:ascii="宋体" w:hAnsi="宋体" w:cs="宋体"/>
          <w:b/>
          <w:color w:val="auto"/>
          <w:sz w:val="32"/>
          <w:highlight w:val="none"/>
        </w:rPr>
      </w:r>
      <w:r/>
    </w:p>
    <w:p>
      <w:pPr>
        <w:pStyle w:val="848"/>
        <w:rPr>
          <w:rFonts w:cs="宋体"/>
          <w:color w:val="auto"/>
          <w:highlight w:val="none"/>
        </w:rPr>
      </w:pPr>
      <w:r>
        <w:rPr>
          <w:rFonts w:cs="宋体"/>
          <w:color w:val="auto"/>
          <w:highlight w:val="none"/>
        </w:rPr>
      </w:r>
      <w:r/>
    </w:p>
    <w:p>
      <w:pPr>
        <w:pStyle w:val="810"/>
        <w:rPr>
          <w:color w:val="auto"/>
          <w:highlight w:val="none"/>
        </w:rPr>
      </w:pPr>
      <w:r>
        <w:rPr>
          <w:color w:val="auto"/>
          <w:highlight w:val="none"/>
        </w:rPr>
      </w:r>
      <w:r/>
    </w:p>
    <w:p>
      <w:pPr>
        <w:pStyle w:val="810"/>
        <w:rPr>
          <w:color w:val="auto"/>
          <w:highlight w:val="none"/>
        </w:rPr>
      </w:pPr>
      <w:r>
        <w:rPr>
          <w:color w:val="auto"/>
          <w:highlight w:val="none"/>
        </w:rPr>
      </w:r>
      <w:r/>
    </w:p>
    <w:p>
      <w:pPr>
        <w:pStyle w:val="810"/>
        <w:rPr>
          <w:color w:val="auto"/>
          <w:highlight w:val="none"/>
        </w:rPr>
      </w:pPr>
      <w:r>
        <w:rPr>
          <w:color w:val="auto"/>
          <w:highlight w:val="none"/>
        </w:rPr>
      </w:r>
      <w:r/>
    </w:p>
    <w:p>
      <w:pPr>
        <w:pStyle w:val="810"/>
        <w:ind w:left="0" w:firstLine="0"/>
        <w:rPr>
          <w:color w:val="auto"/>
          <w:highlight w:val="none"/>
        </w:rPr>
      </w:pPr>
      <w:r>
        <w:rPr>
          <w:color w:val="auto"/>
          <w:highlight w:val="none"/>
        </w:rPr>
      </w:r>
      <w:r/>
    </w:p>
    <w:p>
      <w:pPr>
        <w:pStyle w:val="810"/>
        <w:rPr>
          <w:color w:val="auto"/>
          <w:highlight w:val="none"/>
        </w:rPr>
      </w:pPr>
      <w:r>
        <w:rPr>
          <w:color w:val="auto"/>
          <w:highlight w:val="none"/>
        </w:rPr>
      </w:r>
      <w:r/>
    </w:p>
    <w:p>
      <w:pPr>
        <w:rPr>
          <w:rFonts w:ascii="宋体" w:hAnsi="宋体" w:cs="宋体"/>
          <w:b/>
          <w:color w:val="auto"/>
          <w:sz w:val="32"/>
          <w:highlight w:val="none"/>
        </w:rPr>
      </w:pPr>
      <w:r>
        <w:rPr>
          <w:rFonts w:ascii="宋体" w:hAnsi="宋体" w:cs="宋体"/>
          <w:b/>
          <w:color w:val="auto"/>
          <w:sz w:val="32"/>
          <w:highlight w:val="none"/>
        </w:rPr>
      </w:r>
      <w:r/>
    </w:p>
    <w:p>
      <w:pPr>
        <w:jc w:val="center"/>
        <w:spacing w:before="120" w:after="120" w:line="700" w:lineRule="exact"/>
        <w:rPr>
          <w:rFonts w:ascii="宋体" w:hAnsi="宋体" w:cs="宋体"/>
          <w:bCs/>
          <w:color w:val="auto"/>
          <w:sz w:val="36"/>
          <w:szCs w:val="36"/>
          <w:highlight w:val="none"/>
        </w:rPr>
      </w:pPr>
      <w:r>
        <w:rPr>
          <w:rFonts w:hint="eastAsia" w:ascii="宋体" w:hAnsi="宋体" w:cs="宋体"/>
          <w:bCs/>
          <w:color w:val="auto"/>
          <w:sz w:val="36"/>
          <w:szCs w:val="36"/>
          <w:highlight w:val="none"/>
          <w:lang w:eastAsia="zh-CN"/>
        </w:rPr>
        <w:t xml:space="preserve">盐城市公安局大丰分局</w:t>
      </w:r>
      <w:r/>
    </w:p>
    <w:p>
      <w:pPr>
        <w:jc w:val="center"/>
        <w:spacing w:before="120" w:after="120" w:line="700" w:lineRule="exact"/>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lang w:eastAsia="zh-CN"/>
        </w:rPr>
        <w:t xml:space="preserve">江苏仁禾中衡工程咨询房地产估价有限公司</w:t>
      </w:r>
      <w:r/>
    </w:p>
    <w:p>
      <w:pPr>
        <w:jc w:val="center"/>
        <w:spacing w:line="800" w:lineRule="exact"/>
        <w:tabs>
          <w:tab w:val="left" w:pos="7560"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202</w:t>
      </w:r>
      <w:r>
        <w:rPr>
          <w:rFonts w:ascii="宋体" w:hAnsi="宋体" w:cs="宋体"/>
          <w:color w:val="auto"/>
          <w:sz w:val="36"/>
          <w:szCs w:val="36"/>
          <w:highlight w:val="none"/>
        </w:rPr>
        <w:t xml:space="preserve">5</w:t>
      </w:r>
      <w:r>
        <w:rPr>
          <w:rFonts w:hint="eastAsia" w:ascii="宋体" w:hAnsi="宋体" w:cs="宋体"/>
          <w:color w:val="auto"/>
          <w:sz w:val="36"/>
          <w:szCs w:val="36"/>
          <w:highlight w:val="none"/>
        </w:rPr>
        <w:t xml:space="preserve">年</w:t>
      </w:r>
      <w:r>
        <w:rPr>
          <w:rFonts w:hint="eastAsia" w:ascii="宋体" w:hAnsi="宋体" w:cs="宋体"/>
          <w:color w:val="auto"/>
          <w:sz w:val="36"/>
          <w:szCs w:val="36"/>
          <w:highlight w:val="none"/>
          <w:lang w:val="en-US" w:eastAsia="zh-CN"/>
        </w:rPr>
        <w:t xml:space="preserve">8</w:t>
      </w:r>
      <w:r>
        <w:rPr>
          <w:rFonts w:hint="eastAsia" w:ascii="宋体" w:hAnsi="宋体" w:cs="宋体"/>
          <w:color w:val="auto"/>
          <w:sz w:val="36"/>
          <w:szCs w:val="36"/>
          <w:highlight w:val="none"/>
        </w:rPr>
        <w:t xml:space="preserve">月</w:t>
      </w:r>
      <w:bookmarkEnd w:id="0"/>
      <w:r/>
      <w:bookmarkEnd w:id="1"/>
      <w:r/>
      <w:bookmarkEnd w:id="2"/>
      <w:r/>
      <w:r/>
    </w:p>
    <w:p>
      <w:pPr>
        <w:jc w:val="center"/>
        <w:spacing w:beforeAutospacing="0" w:afterAutospacing="0" w:line="480" w:lineRule="auto"/>
        <w:widowControl w:val="off"/>
        <w:rPr>
          <w:rFonts w:ascii="Times New Roman" w:hAnsi="Times New Roman" w:eastAsia="宋体" w:cs="Times New Roman"/>
          <w:color w:val="auto"/>
          <w:sz w:val="21"/>
          <w:szCs w:val="21"/>
          <w:highlight w:val="none"/>
          <w:lang w:val="en-US" w:eastAsia="zh-CN" w:bidi="ar-SA"/>
        </w:rPr>
      </w:pPr>
      <w:r/>
      <w:bookmarkStart w:id="3" w:name="OLE_LINK3"/>
      <w:r/>
      <w:bookmarkStart w:id="4" w:name="OLE_LINK1"/>
      <w:r/>
      <w:bookmarkStart w:id="5" w:name="OLE_LINK4"/>
      <w:r/>
      <w:bookmarkStart w:id="6" w:name="_Toc368759511"/>
      <w:r/>
      <w:bookmarkStart w:id="7" w:name="_Toc369077550"/>
      <w:r/>
      <w:bookmarkStart w:id="8" w:name="OLE_LINK2"/>
      <w:r/>
      <w:bookmarkStart w:id="9" w:name="OLE_LINK6"/>
      <w:r/>
      <w:bookmarkStart w:id="10" w:name="OLE_LINK5"/>
      <w:r/>
      <w:r/>
    </w:p>
    <w:p>
      <w:pPr>
        <w:jc w:val="center"/>
        <w:spacing w:beforeAutospacing="0" w:afterAutospacing="0" w:line="600" w:lineRule="auto"/>
        <w:widowControl w:val="off"/>
        <w:rPr>
          <w:rFonts w:hint="eastAsia" w:ascii="宋体" w:hAnsi="宋体" w:eastAsia="宋体" w:cs="宋体"/>
          <w:b/>
          <w:bCs/>
          <w:color w:val="auto"/>
          <w:sz w:val="40"/>
          <w:szCs w:val="40"/>
          <w:highlight w:val="none"/>
          <w:lang w:val="en-US" w:eastAsia="zh-CN" w:bidi="ar-SA"/>
        </w:rPr>
        <w:sectPr>
          <w:footnotePr/>
          <w:endnotePr/>
          <w:type w:val="nextPage"/>
          <w:pgSz w:w="11906" w:h="16838" w:orient="portrait"/>
          <w:pgMar w:top="1440" w:right="1080" w:bottom="1440" w:left="1080" w:header="851" w:footer="992" w:gutter="0"/>
          <w:pgNumType w:start="1"/>
          <w:cols w:num="1" w:sep="0" w:space="425" w:equalWidth="1"/>
          <w:docGrid w:linePitch="360"/>
        </w:sectPr>
      </w:pPr>
      <w:r/>
      <w:bookmarkStart w:id="11" w:name="_Toc16938516"/>
      <w:r/>
      <w:bookmarkStart w:id="12" w:name="_Toc120614210"/>
      <w:r/>
      <w:bookmarkStart w:id="13" w:name="_Toc513029200"/>
      <w:r/>
      <w:bookmarkStart w:id="14" w:name="_Toc20823272"/>
      <w:r/>
      <w:bookmarkStart w:id="15" w:name="_Toc523127445"/>
      <w:r/>
      <w:bookmarkStart w:id="16" w:name="_Toc479757206"/>
      <w:r/>
      <w:r/>
    </w:p>
    <w:p>
      <w:pPr>
        <w:jc w:val="center"/>
        <w:spacing w:beforeAutospacing="0" w:afterAutospacing="0" w:line="600" w:lineRule="auto"/>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bCs/>
          <w:color w:val="auto"/>
          <w:sz w:val="40"/>
          <w:szCs w:val="40"/>
          <w:highlight w:val="none"/>
          <w:lang w:val="en-US" w:eastAsia="zh-CN" w:bidi="ar-SA"/>
        </w:rPr>
        <w:t xml:space="preserve">总  目  录</w:t>
      </w:r>
      <w:bookmarkEnd w:id="11"/>
      <w:r/>
      <w:bookmarkEnd w:id="12"/>
      <w:r/>
      <w:bookmarkEnd w:id="13"/>
      <w:r/>
      <w:bookmarkEnd w:id="14"/>
      <w:r/>
      <w:bookmarkEnd w:id="15"/>
      <w:r/>
      <w:bookmarkEnd w:id="16"/>
      <w:r/>
      <w:r/>
    </w:p>
    <w:p>
      <w:pPr>
        <w:ind w:left="2160" w:hanging="1440"/>
        <w:jc w:val="both"/>
        <w:spacing w:beforeAutospacing="0" w:afterAutospacing="0" w:line="600" w:lineRule="auto"/>
        <w:widowControl w:val="off"/>
        <w:tabs>
          <w:tab w:val="left" w:pos="1441" w:leader="none"/>
        </w:tabs>
        <w:rPr>
          <w:rFonts w:hint="default" w:ascii="Calibri" w:hAnsi="Calibri" w:eastAsia="宋体" w:cs="Times New Roman"/>
          <w:color w:val="auto"/>
          <w:sz w:val="24"/>
          <w:szCs w:val="24"/>
          <w:highlight w:val="none"/>
          <w:lang w:val="en-US" w:eastAsia="zh-CN" w:bidi="ar-SA"/>
        </w:rPr>
      </w:pPr>
      <w:r>
        <w:rPr>
          <w:rFonts w:hint="eastAsia" w:ascii="黑体" w:hAnsi="宋体" w:eastAsia="黑体" w:cs="黑体"/>
          <w:color w:val="auto"/>
          <w:sz w:val="36"/>
          <w:szCs w:val="36"/>
          <w:highlight w:val="none"/>
          <w:lang w:val="en-US" w:eastAsia="zh-CN" w:bidi="ar-SA"/>
        </w:rPr>
        <w:t xml:space="preserve">招标公告……………………………………2</w:t>
      </w:r>
      <w:r/>
    </w:p>
    <w:p>
      <w:pPr>
        <w:ind w:left="2160" w:hanging="1440"/>
        <w:jc w:val="both"/>
        <w:spacing w:beforeAutospacing="0" w:afterAutospacing="0" w:line="600" w:lineRule="auto"/>
        <w:widowControl w:val="off"/>
        <w:tabs>
          <w:tab w:val="left" w:pos="1441" w:leader="none"/>
        </w:tabs>
        <w:rPr>
          <w:rFonts w:ascii="Calibri" w:hAnsi="Calibri" w:eastAsia="宋体" w:cs="Times New Roman"/>
          <w:color w:val="auto"/>
          <w:sz w:val="24"/>
          <w:szCs w:val="24"/>
          <w:highlight w:val="none"/>
          <w:lang w:val="en-US" w:eastAsia="zh-CN" w:bidi="ar-SA"/>
        </w:rPr>
      </w:pPr>
      <w:r>
        <w:rPr>
          <w:rFonts w:hint="eastAsia" w:ascii="黑体" w:hAnsi="宋体" w:eastAsia="黑体" w:cs="黑体"/>
          <w:color w:val="auto"/>
          <w:sz w:val="36"/>
          <w:szCs w:val="36"/>
          <w:highlight w:val="none"/>
          <w:lang w:val="en-US" w:eastAsia="zh-CN" w:bidi="ar-SA"/>
        </w:rPr>
        <w:t xml:space="preserve">投标人须知…………………………………5  </w:t>
      </w:r>
      <w:r/>
    </w:p>
    <w:p>
      <w:pPr>
        <w:ind w:left="2160" w:hanging="1440"/>
        <w:jc w:val="both"/>
        <w:spacing w:beforeAutospacing="0" w:afterAutospacing="0" w:line="600" w:lineRule="auto"/>
        <w:widowControl w:val="off"/>
        <w:tabs>
          <w:tab w:val="left" w:pos="1441" w:leader="none"/>
        </w:tabs>
        <w:rPr>
          <w:rFonts w:hint="default" w:ascii="Calibri" w:hAnsi="Calibri" w:eastAsia="宋体" w:cs="Times New Roman"/>
          <w:color w:val="auto"/>
          <w:sz w:val="24"/>
          <w:szCs w:val="24"/>
          <w:highlight w:val="none"/>
          <w:lang w:val="en-US" w:eastAsia="zh-CN" w:bidi="ar-SA"/>
        </w:rPr>
      </w:pPr>
      <w:r>
        <w:rPr>
          <w:rFonts w:hint="eastAsia" w:ascii="黑体" w:hAnsi="宋体" w:eastAsia="黑体" w:cs="黑体"/>
          <w:color w:val="auto"/>
          <w:sz w:val="36"/>
          <w:szCs w:val="36"/>
          <w:highlight w:val="none"/>
          <w:lang w:val="en-US" w:eastAsia="zh-CN" w:bidi="ar-SA"/>
        </w:rPr>
        <w:t xml:space="preserve">合同条款……………………………………17</w:t>
      </w:r>
      <w:r/>
    </w:p>
    <w:p>
      <w:pPr>
        <w:ind w:left="2160" w:hanging="1440"/>
        <w:jc w:val="both"/>
        <w:spacing w:beforeAutospacing="0" w:afterAutospacing="0" w:line="600" w:lineRule="auto"/>
        <w:widowControl w:val="off"/>
        <w:tabs>
          <w:tab w:val="left" w:pos="1441" w:leader="none"/>
        </w:tabs>
        <w:rPr>
          <w:rFonts w:hint="default" w:ascii="Calibri" w:hAnsi="Calibri" w:eastAsia="宋体" w:cs="Times New Roman"/>
          <w:color w:val="auto"/>
          <w:sz w:val="24"/>
          <w:szCs w:val="24"/>
          <w:highlight w:val="none"/>
          <w:lang w:val="en-US" w:eastAsia="zh-CN" w:bidi="ar-SA"/>
        </w:rPr>
      </w:pPr>
      <w:r>
        <w:rPr>
          <w:rFonts w:hint="eastAsia" w:ascii="黑体" w:hAnsi="宋体" w:eastAsia="黑体" w:cs="黑体"/>
          <w:color w:val="auto"/>
          <w:sz w:val="36"/>
          <w:szCs w:val="36"/>
          <w:highlight w:val="none"/>
          <w:lang w:val="en-US" w:eastAsia="zh-CN" w:bidi="ar-SA"/>
        </w:rPr>
        <w:t xml:space="preserve">采购需求……………………………………23</w:t>
      </w:r>
      <w:r/>
    </w:p>
    <w:p>
      <w:pPr>
        <w:ind w:left="2160" w:hanging="1440"/>
        <w:jc w:val="both"/>
        <w:spacing w:beforeAutospacing="0" w:afterAutospacing="0" w:line="600" w:lineRule="auto"/>
        <w:widowControl w:val="off"/>
        <w:tabs>
          <w:tab w:val="left" w:pos="1441" w:leader="none"/>
        </w:tabs>
        <w:rPr>
          <w:rFonts w:hint="default" w:ascii="Calibri" w:hAnsi="Calibri" w:eastAsia="宋体" w:cs="Times New Roman"/>
          <w:color w:val="auto"/>
          <w:sz w:val="24"/>
          <w:szCs w:val="24"/>
          <w:highlight w:val="none"/>
          <w:lang w:val="en-US" w:eastAsia="zh-CN" w:bidi="ar-SA"/>
        </w:rPr>
      </w:pPr>
      <w:r>
        <w:rPr>
          <w:rFonts w:hint="eastAsia" w:ascii="黑体" w:hAnsi="宋体" w:eastAsia="黑体" w:cs="黑体"/>
          <w:color w:val="auto"/>
          <w:sz w:val="36"/>
          <w:szCs w:val="36"/>
          <w:highlight w:val="none"/>
          <w:lang w:val="en-US" w:eastAsia="zh-CN" w:bidi="ar-SA"/>
        </w:rPr>
        <w:t xml:space="preserve">评标方法与评标标准………………………47</w:t>
      </w:r>
      <w:r/>
    </w:p>
    <w:p>
      <w:pPr>
        <w:ind w:left="2160" w:hanging="1440"/>
        <w:jc w:val="both"/>
        <w:spacing w:beforeAutospacing="0" w:afterAutospacing="0" w:line="600" w:lineRule="auto"/>
        <w:widowControl w:val="off"/>
        <w:tabs>
          <w:tab w:val="left" w:pos="1441" w:leader="none"/>
        </w:tabs>
        <w:rPr>
          <w:rFonts w:hint="default" w:ascii="Calibri" w:hAnsi="Calibri" w:eastAsia="宋体" w:cs="Times New Roman"/>
          <w:color w:val="auto"/>
          <w:sz w:val="24"/>
          <w:szCs w:val="24"/>
          <w:highlight w:val="none"/>
          <w:lang w:val="en-US" w:eastAsia="zh-CN" w:bidi="ar-SA"/>
        </w:rPr>
      </w:pPr>
      <w:r>
        <w:rPr>
          <w:rFonts w:hint="eastAsia" w:ascii="黑体" w:hAnsi="宋体" w:eastAsia="黑体" w:cs="黑体"/>
          <w:color w:val="auto"/>
          <w:sz w:val="36"/>
          <w:szCs w:val="36"/>
          <w:highlight w:val="none"/>
          <w:lang w:val="en-US" w:eastAsia="zh-CN" w:bidi="ar-SA"/>
        </w:rPr>
        <w:t xml:space="preserve">投标文件格式………………………………53</w:t>
      </w:r>
      <w:bookmarkStart w:id="147" w:name="_GoBack"/>
      <w:r/>
      <w:bookmarkEnd w:id="147"/>
      <w:r/>
      <w:r/>
    </w:p>
    <w:p>
      <w:pPr>
        <w:pStyle w:val="1129"/>
        <w:jc w:val="center"/>
        <w:shd w:val="clear" w:color="auto" w:fill="auto"/>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sectPr>
          <w:footerReference w:type="default" r:id="rId11"/>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宋体" w:hAnsi="宋体" w:eastAsia="宋体" w:cs="宋体"/>
          <w:b/>
          <w:bCs/>
          <w:color w:val="auto"/>
          <w:sz w:val="40"/>
          <w:szCs w:val="40"/>
          <w:highlight w:val="none"/>
        </w:rPr>
      </w:r>
      <w:r/>
    </w:p>
    <w:p>
      <w:pPr>
        <w:pStyle w:val="1129"/>
        <w:jc w:val="center"/>
        <w:spacing w:line="24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bCs/>
          <w:color w:val="auto"/>
          <w:sz w:val="40"/>
          <w:szCs w:val="40"/>
          <w:highlight w:val="none"/>
        </w:rPr>
        <w:t xml:space="preserve">第一章</w:t>
      </w:r>
      <w:r>
        <w:rPr>
          <w:rFonts w:hint="eastAsia" w:ascii="宋体" w:hAnsi="宋体" w:eastAsia="宋体" w:cs="宋体"/>
          <w:b/>
          <w:bCs/>
          <w:color w:val="auto"/>
          <w:sz w:val="40"/>
          <w:szCs w:val="40"/>
          <w:highlight w:val="none"/>
          <w:lang w:val="en-US" w:eastAsia="zh-CN"/>
        </w:rPr>
        <w:t xml:space="preserve">  </w:t>
      </w:r>
      <w:r>
        <w:rPr>
          <w:rFonts w:hint="eastAsia" w:ascii="宋体" w:hAnsi="宋体" w:eastAsia="宋体" w:cs="宋体"/>
          <w:b/>
          <w:bCs/>
          <w:color w:val="auto"/>
          <w:sz w:val="40"/>
          <w:szCs w:val="40"/>
          <w:highlight w:val="none"/>
        </w:rPr>
        <w:t xml:space="preserve">招标公告</w:t>
      </w:r>
      <w:r/>
    </w:p>
    <w:p>
      <w:pPr>
        <w:ind w:firstLine="480"/>
        <w:keepLines w:val="0"/>
        <w:keepNext w:val="0"/>
        <w:pageBreakBefore w:val="0"/>
        <w:spacing w:line="400" w:lineRule="exact"/>
        <w:shd w:val="clear" w:color="auto" w:fill="auto"/>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400" w:lineRule="exact"/>
        <w:shd w:val="clear" w:color="auto" w:fill="auto"/>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社会风险防控应急指挥体系升级设备及办公家具等采购项目</w:t>
      </w:r>
      <w:r>
        <w:rPr>
          <w:rFonts w:hint="eastAsia" w:ascii="宋体" w:hAnsi="宋体" w:eastAsia="宋体" w:cs="宋体"/>
          <w:color w:val="auto"/>
          <w:sz w:val="24"/>
          <w:szCs w:val="24"/>
          <w:highlight w:val="none"/>
        </w:rPr>
        <w:t xml:space="preserve">的潜在投标人</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在</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苏采云</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bCs/>
          <w:color w:val="auto"/>
          <w:sz w:val="24"/>
          <w:szCs w:val="24"/>
          <w:highlight w:val="none"/>
          <w:u w:val="single"/>
        </w:rPr>
        <w:t xml:space="preserve">2025</w:t>
      </w:r>
      <w:r>
        <w:rPr>
          <w:rFonts w:hint="eastAsia" w:ascii="宋体" w:hAnsi="宋体" w:eastAsia="宋体" w:cs="宋体"/>
          <w:bCs/>
          <w:color w:val="auto"/>
          <w:sz w:val="24"/>
          <w:szCs w:val="24"/>
          <w:highlight w:val="none"/>
          <w:u w:val="single"/>
        </w:rPr>
        <w:t xml:space="preserve">年9</w:t>
      </w:r>
      <w:r>
        <w:rPr>
          <w:rFonts w:hint="eastAsia" w:ascii="宋体" w:hAnsi="宋体" w:eastAsia="宋体" w:cs="宋体"/>
          <w:bCs/>
          <w:color w:val="auto"/>
          <w:sz w:val="24"/>
          <w:szCs w:val="24"/>
          <w:highlight w:val="none"/>
          <w:u w:val="single"/>
        </w:rPr>
        <w:t xml:space="preserve">月29</w:t>
      </w:r>
      <w:r>
        <w:rPr>
          <w:rFonts w:hint="eastAsia" w:ascii="宋体" w:hAnsi="宋体" w:eastAsia="宋体" w:cs="宋体"/>
          <w:bCs/>
          <w:color w:val="auto"/>
          <w:sz w:val="24"/>
          <w:szCs w:val="24"/>
          <w:highlight w:val="none"/>
          <w:u w:val="single"/>
        </w:rPr>
        <w:t xml:space="preserve">日10</w:t>
      </w:r>
      <w:r>
        <w:rPr>
          <w:rFonts w:hint="eastAsia" w:ascii="宋体" w:hAnsi="宋体" w:eastAsia="宋体" w:cs="宋体"/>
          <w:bCs/>
          <w:color w:val="auto"/>
          <w:sz w:val="24"/>
          <w:szCs w:val="24"/>
          <w:highlight w:val="none"/>
          <w:u w:val="single"/>
        </w:rPr>
        <w:t xml:space="preserve">时</w:t>
      </w:r>
      <w:r>
        <w:rPr>
          <w:rFonts w:hint="eastAsia" w:ascii="宋体" w:hAnsi="宋体" w:eastAsia="宋体" w:cs="宋体"/>
          <w:bCs/>
          <w:color w:val="auto"/>
          <w:sz w:val="24"/>
          <w:szCs w:val="24"/>
          <w:highlight w:val="none"/>
          <w:u w:val="single"/>
        </w:rPr>
        <w:t xml:space="preserve">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p>
    <w:p>
      <w:pPr>
        <w:ind w:firstLine="482"/>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一、项目基本概况</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（1）项目编号：JSZC-320904-RHZX-G2025-0015</w:t>
      </w:r>
      <w:r/>
    </w:p>
    <w:p>
      <w:pPr>
        <w:ind w:firstLine="480"/>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社会风险防控应急指挥体系升级设备及办公家具等采购项目</w:t>
      </w:r>
      <w:r/>
    </w:p>
    <w:p>
      <w:pPr>
        <w:ind w:firstLine="480"/>
        <w:spacing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采购方式：公开招标</w:t>
      </w:r>
      <w:r/>
    </w:p>
    <w:p>
      <w:pPr>
        <w:ind w:firstLine="480"/>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438.84万元</w:t>
      </w:r>
      <w:r/>
    </w:p>
    <w:p>
      <w:pPr>
        <w:ind w:firstLine="480"/>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（5）最高限价：438.84万元</w:t>
      </w:r>
      <w:r/>
    </w:p>
    <w:p>
      <w:pPr>
        <w:ind w:firstLine="420"/>
        <w:jc w:val="left"/>
        <w:spacing w:line="500" w:lineRule="exact"/>
        <w:shd w:val="clear" w:color="auto" w:fill="ffffff"/>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）采购需求：</w:t>
      </w:r>
      <w:r>
        <w:rPr>
          <w:rFonts w:hint="eastAsia" w:ascii="宋体" w:hAnsi="宋体" w:eastAsia="宋体" w:cs="宋体"/>
          <w:color w:val="auto"/>
          <w:sz w:val="24"/>
          <w:highlight w:val="none"/>
          <w:lang w:eastAsia="zh-CN"/>
        </w:rPr>
        <w:t xml:space="preserve">社会风险防控应急指挥体系升级</w:t>
      </w:r>
      <w:r>
        <w:rPr>
          <w:rFonts w:hint="eastAsia" w:ascii="宋体" w:hAnsi="宋体" w:eastAsia="宋体" w:cs="宋体"/>
          <w:color w:val="auto"/>
          <w:sz w:val="24"/>
          <w:highlight w:val="none"/>
          <w:lang w:val="en-US" w:eastAsia="zh-CN"/>
        </w:rPr>
        <w:t xml:space="preserve">设备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含</w:t>
      </w:r>
      <w:r>
        <w:rPr>
          <w:rFonts w:hint="eastAsia" w:ascii="宋体" w:hAnsi="宋体" w:eastAsia="宋体" w:cs="宋体"/>
          <w:color w:val="auto"/>
          <w:sz w:val="24"/>
          <w:highlight w:val="none"/>
          <w:lang w:val="en-US" w:eastAsia="zh-CN"/>
        </w:rPr>
        <w:t xml:space="preserve">LED大屏幕系统、分布式坐席系统、视频会议系统、操作台系统、网络设备系统、不间断电源系统、办公家居家电、移机等</w:t>
      </w:r>
      <w:r>
        <w:rPr>
          <w:rFonts w:hint="eastAsia" w:ascii="宋体" w:hAnsi="宋体" w:eastAsia="宋体" w:cs="宋体"/>
          <w:color w:val="auto"/>
          <w:sz w:val="24"/>
          <w:highlight w:val="none"/>
        </w:rPr>
        <w:t xml:space="preserve">，具体详见招标文件采购需求。</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）合同履行期限：签订合</w:t>
      </w:r>
      <w:r>
        <w:rPr>
          <w:rFonts w:hint="eastAsia" w:ascii="宋体" w:hAnsi="宋体" w:cs="宋体"/>
          <w:color w:val="000000" w:themeColor="text1"/>
          <w:sz w:val="24"/>
          <w:highlight w:val="none"/>
          <w14:textFill>
            <w14:solidFill>
              <w14:schemeClr w14:val="tx1"/>
            </w14:solidFill>
          </w14:textFill>
        </w:rPr>
        <w:t xml:space="preserve">同后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40</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日历天</w:t>
      </w:r>
      <w:r>
        <w:rPr>
          <w:rFonts w:hint="eastAsia" w:ascii="宋体" w:hAnsi="宋体" w:cs="宋体"/>
          <w:color w:val="auto"/>
          <w:sz w:val="24"/>
          <w:highlight w:val="none"/>
        </w:rPr>
        <w:t xml:space="preserve">内完成所需设备的采购、供应、运输、安装、调试等相关伴随服务，并通过采购人的验收。</w:t>
      </w:r>
      <w:r/>
    </w:p>
    <w:p>
      <w:pPr>
        <w:ind w:firstLine="482"/>
        <w:spacing w:line="400" w:lineRule="exact"/>
        <w:tabs>
          <w:tab w:val="left" w:pos="6741"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w:t>
      </w:r>
      <w:bookmarkStart w:id="17" w:name="OLE_LINK15"/>
      <w:r>
        <w:rPr>
          <w:rFonts w:hint="eastAsia" w:ascii="宋体" w:hAnsi="宋体" w:cs="宋体"/>
          <w:color w:val="auto"/>
          <w:sz w:val="24"/>
          <w:highlight w:val="none"/>
        </w:rPr>
        <w:t xml:space="preserve">质保期：三年</w:t>
      </w:r>
      <w:bookmarkEnd w:id="17"/>
      <w:r>
        <w:rPr>
          <w:rFonts w:hint="eastAsia" w:ascii="宋体" w:hAnsi="宋体" w:cs="宋体"/>
          <w:color w:val="auto"/>
          <w:sz w:val="24"/>
          <w:highlight w:val="none"/>
        </w:rPr>
        <w:t xml:space="preserve">（含设备免费维护保养）。</w:t>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）本项目</w:t>
      </w:r>
      <w:r>
        <w:rPr>
          <w:rFonts w:hint="eastAsia" w:ascii="宋体" w:hAnsi="宋体" w:cs="宋体"/>
          <w:color w:val="auto"/>
          <w:sz w:val="24"/>
          <w:highlight w:val="none"/>
          <w:lang w:val="en-US" w:eastAsia="zh-CN"/>
        </w:rPr>
        <w:t xml:space="preserve">不</w:t>
      </w:r>
      <w:r>
        <w:rPr>
          <w:rFonts w:hint="eastAsia" w:ascii="宋体" w:hAnsi="宋体" w:cs="宋体"/>
          <w:color w:val="auto"/>
          <w:sz w:val="24"/>
          <w:highlight w:val="none"/>
        </w:rPr>
        <w:t xml:space="preserve">接受联合体参与</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w:t>
      </w:r>
      <w:r/>
    </w:p>
    <w:p>
      <w:pPr>
        <w:ind w:firstLine="482"/>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二、申请人的资格要求：</w:t>
      </w:r>
      <w:r/>
    </w:p>
    <w:p>
      <w:pPr>
        <w:ind w:firstLine="48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1.满足《中华人民共和国政府采购法》第二十二条规定，并提供下列材料：</w:t>
      </w:r>
      <w:r/>
    </w:p>
    <w:p>
      <w:pPr>
        <w:ind w:firstLine="48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1.1 法人或者其他组织的营业执照等证明文件，自然人的身份证明；</w:t>
      </w:r>
      <w:r/>
    </w:p>
    <w:p>
      <w:pPr>
        <w:ind w:firstLine="48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1.2上一年度的财务状况报表（成立不满一年无需提供）；</w:t>
      </w:r>
      <w:r/>
    </w:p>
    <w:p>
      <w:pPr>
        <w:ind w:firstLine="480"/>
        <w:jc w:val="left"/>
        <w:spacing w:line="4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具备履行合同所必需的设备和专业技术能力的书面声明；</w:t>
      </w:r>
      <w:r/>
    </w:p>
    <w:p>
      <w:pPr>
        <w:ind w:firstLine="48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.5参加政府采购活动前3年内在经营活动中没有重大违法记录的书面声明。</w:t>
      </w:r>
      <w:r/>
    </w:p>
    <w:p>
      <w:pPr>
        <w:ind w:firstLine="480"/>
        <w:jc w:val="left"/>
        <w:spacing w:line="4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1.6法律、行政法规规定的其他条件。</w:t>
      </w:r>
      <w:r/>
    </w:p>
    <w:p>
      <w:pPr>
        <w:ind w:firstLine="48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rPr>
        <w:t xml:space="preserve">单位负责人为同一人或者存在直接控股、管理关系的不同供应商，不得参加同一合同项下的政府采购活动。</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2、落实政府采购政策需满足的资格要求：无。</w:t>
      </w:r>
      <w:r/>
    </w:p>
    <w:p>
      <w:pPr>
        <w:ind w:firstLine="482"/>
        <w:jc w:val="left"/>
        <w:spacing w:line="40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三、获取招标文件</w:t>
      </w:r>
      <w:r/>
    </w:p>
    <w:p>
      <w:pPr>
        <w:ind w:firstLine="480"/>
        <w:jc w:val="left"/>
        <w:spacing w:line="400" w:lineRule="exact"/>
        <w:widowControl/>
        <w:rPr>
          <w:rFonts w:ascii="宋体" w:hAnsi="宋体" w:cs="宋体"/>
          <w:color w:val="auto"/>
          <w:sz w:val="24"/>
          <w:highlight w:val="none"/>
        </w:rPr>
      </w:pPr>
      <w:r/>
      <w:bookmarkStart w:id="18" w:name="_Toc28359005"/>
      <w:r/>
      <w:bookmarkStart w:id="19" w:name="_Toc35393624"/>
      <w:r/>
      <w:bookmarkStart w:id="20" w:name="_Toc35393793"/>
      <w:r/>
      <w:bookmarkStart w:id="21" w:name="_Toc28359082"/>
      <w:r/>
      <w:bookmarkStart w:id="22" w:name="_Toc38985266"/>
      <w:r>
        <w:rPr>
          <w:rFonts w:hint="eastAsia" w:ascii="宋体" w:hAnsi="宋体" w:cs="宋体"/>
          <w:color w:val="auto"/>
          <w:sz w:val="24"/>
          <w:highlight w:val="none"/>
        </w:rPr>
        <w:t xml:space="preserve">1.时间：</w:t>
      </w:r>
      <w:bookmarkEnd w:id="18"/>
      <w:r/>
      <w:bookmarkEnd w:id="19"/>
      <w:r/>
      <w:bookmarkEnd w:id="20"/>
      <w:r/>
      <w:bookmarkEnd w:id="21"/>
      <w:r/>
      <w:bookmarkEnd w:id="22"/>
      <w:r>
        <w:rPr>
          <w:rFonts w:hint="eastAsia" w:ascii="宋体" w:hAnsi="宋体" w:cs="宋体"/>
          <w:color w:val="auto"/>
          <w:sz w:val="24"/>
          <w:highlight w:val="none"/>
        </w:rPr>
        <w:t xml:space="preserve">自招标文件公告发布之日起5个工作日。</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2.地点：</w:t>
      </w:r>
      <w:r>
        <w:rPr>
          <w:rFonts w:hint="eastAsia" w:ascii="宋体" w:hAnsi="宋体" w:eastAsia="宋体" w:cs="宋体"/>
          <w:color w:val="auto"/>
          <w:sz w:val="24"/>
          <w:szCs w:val="24"/>
          <w:highlight w:val="none"/>
          <w:shd w:val="clear" w:color="auto" w:fill="auto"/>
          <w:lang w:val="en-US" w:eastAsia="zh-CN" w:bidi="ar-SA"/>
        </w:rPr>
        <w:t xml:space="preserve">“苏采云”系统内免费下载（投标人必须在苏采云系统中获取采购文件，方能参与政府采购项目）</w:t>
      </w:r>
      <w:r>
        <w:rPr>
          <w:rFonts w:hint="eastAsia" w:ascii="宋体" w:hAnsi="宋体" w:cs="宋体"/>
          <w:color w:val="auto"/>
          <w:sz w:val="24"/>
          <w:highlight w:val="none"/>
        </w:rPr>
        <w:t xml:space="preserve">；</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3.方式：</w:t>
      </w:r>
      <w:r>
        <w:rPr>
          <w:rFonts w:hint="eastAsia" w:ascii="宋体" w:hAnsi="宋体" w:cs="宋体"/>
          <w:color w:val="auto"/>
          <w:sz w:val="24"/>
          <w:highlight w:val="none"/>
          <w:lang w:val="en-US" w:eastAsia="zh-CN"/>
        </w:rPr>
        <w:t xml:space="preserve">本项目采用网上注册登记方式</w:t>
      </w:r>
      <w:r>
        <w:rPr>
          <w:rFonts w:hint="eastAsia" w:ascii="宋体" w:hAnsi="宋体" w:cs="宋体"/>
          <w:color w:val="auto"/>
          <w:sz w:val="24"/>
          <w:highlight w:val="none"/>
        </w:rPr>
        <w:t xml:space="preserve">。 </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4.售价：</w:t>
      </w:r>
      <w:r>
        <w:rPr>
          <w:rFonts w:hint="eastAsia" w:ascii="宋体" w:hAnsi="宋体" w:cs="宋体"/>
          <w:color w:val="auto"/>
          <w:sz w:val="24"/>
          <w:highlight w:val="none"/>
          <w:lang w:val="en-US" w:eastAsia="zh-CN"/>
        </w:rPr>
        <w:t xml:space="preserve">0元</w:t>
      </w:r>
      <w:r>
        <w:rPr>
          <w:rFonts w:hint="eastAsia" w:ascii="宋体" w:hAnsi="宋体" w:cs="宋体"/>
          <w:color w:val="auto"/>
          <w:sz w:val="24"/>
          <w:highlight w:val="none"/>
        </w:rPr>
        <w:t xml:space="preserve">。</w:t>
      </w:r>
      <w:r/>
    </w:p>
    <w:p>
      <w:pPr>
        <w:ind w:firstLine="482"/>
        <w:jc w:val="left"/>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四、提交投标文件截止时间、开标时间和地点</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1.时间：</w:t>
      </w:r>
      <w:r>
        <w:rPr>
          <w:rFonts w:hint="eastAsia" w:ascii="宋体" w:hAnsi="宋体" w:eastAsia="宋体" w:cs="宋体"/>
          <w:bCs/>
          <w:color w:val="auto"/>
          <w:sz w:val="24"/>
          <w:szCs w:val="24"/>
          <w:highlight w:val="none"/>
          <w:u w:val="single"/>
        </w:rPr>
        <w:t xml:space="preserve">2025</w:t>
      </w:r>
      <w:r>
        <w:rPr>
          <w:rFonts w:hint="eastAsia" w:ascii="宋体" w:hAnsi="宋体" w:eastAsia="宋体" w:cs="宋体"/>
          <w:bCs/>
          <w:color w:val="auto"/>
          <w:sz w:val="24"/>
          <w:szCs w:val="24"/>
          <w:highlight w:val="none"/>
          <w:u w:val="single"/>
        </w:rPr>
        <w:t xml:space="preserve">年9</w:t>
      </w:r>
      <w:r>
        <w:rPr>
          <w:rFonts w:hint="eastAsia" w:ascii="宋体" w:hAnsi="宋体" w:eastAsia="宋体" w:cs="宋体"/>
          <w:bCs/>
          <w:color w:val="auto"/>
          <w:sz w:val="24"/>
          <w:szCs w:val="24"/>
          <w:highlight w:val="none"/>
          <w:u w:val="single"/>
        </w:rPr>
        <w:t xml:space="preserve">月29</w:t>
      </w:r>
      <w:r>
        <w:rPr>
          <w:rFonts w:hint="eastAsia" w:ascii="宋体" w:hAnsi="宋体" w:eastAsia="宋体" w:cs="宋体"/>
          <w:bCs/>
          <w:color w:val="auto"/>
          <w:sz w:val="24"/>
          <w:szCs w:val="24"/>
          <w:highlight w:val="none"/>
          <w:u w:val="single"/>
        </w:rPr>
        <w:t xml:space="preserve">日10</w:t>
      </w:r>
      <w:r>
        <w:rPr>
          <w:rFonts w:hint="eastAsia" w:ascii="宋体" w:hAnsi="宋体" w:eastAsia="宋体" w:cs="宋体"/>
          <w:bCs/>
          <w:color w:val="auto"/>
          <w:sz w:val="24"/>
          <w:szCs w:val="24"/>
          <w:highlight w:val="none"/>
          <w:u w:val="single"/>
        </w:rPr>
        <w:t xml:space="preserve">时</w:t>
      </w:r>
      <w:r>
        <w:rPr>
          <w:rFonts w:hint="eastAsia" w:ascii="宋体" w:hAnsi="宋体" w:eastAsia="宋体" w:cs="宋体"/>
          <w:bCs/>
          <w:color w:val="auto"/>
          <w:sz w:val="24"/>
          <w:szCs w:val="24"/>
          <w:highlight w:val="none"/>
          <w:u w:val="single"/>
        </w:rPr>
        <w:t xml:space="preserve">00</w:t>
      </w:r>
      <w:r>
        <w:rPr>
          <w:rFonts w:hint="eastAsia" w:ascii="宋体" w:hAnsi="宋体" w:eastAsia="宋体" w:cs="宋体"/>
          <w:bCs/>
          <w:color w:val="auto"/>
          <w:sz w:val="24"/>
          <w:szCs w:val="24"/>
          <w:highlight w:val="none"/>
          <w:u w:val="single"/>
        </w:rPr>
        <w:t xml:space="preserve">分</w:t>
      </w:r>
      <w:r>
        <w:rPr>
          <w:rFonts w:hint="eastAsia" w:ascii="宋体" w:hAnsi="宋体" w:cs="宋体"/>
          <w:color w:val="auto"/>
          <w:sz w:val="24"/>
          <w:highlight w:val="none"/>
        </w:rPr>
        <w:t xml:space="preserve">（北京时间）</w:t>
      </w:r>
      <w:r>
        <w:rPr>
          <w:rFonts w:hint="eastAsia" w:ascii="宋体" w:hAnsi="宋体" w:cs="宋体"/>
          <w:color w:val="auto"/>
          <w:sz w:val="24"/>
          <w:highlight w:val="none"/>
        </w:rPr>
      </w:r>
      <w:r/>
    </w:p>
    <w:p>
      <w:pPr>
        <w:ind w:firstLine="480"/>
        <w:jc w:val="left"/>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2.地点：</w:t>
      </w:r>
      <w:r>
        <w:rPr>
          <w:rFonts w:hint="eastAsia" w:ascii="宋体" w:hAnsi="宋体" w:eastAsia="宋体" w:cs="宋体"/>
          <w:color w:val="auto"/>
          <w:sz w:val="24"/>
          <w:szCs w:val="24"/>
          <w:highlight w:val="none"/>
          <w:shd w:val="clear" w:color="auto" w:fill="auto"/>
        </w:rPr>
        <w:t xml:space="preserve">苏采云“不见面”开标大厅</w:t>
      </w:r>
      <w:r>
        <w:rPr>
          <w:rFonts w:hint="eastAsia" w:ascii="宋体" w:hAnsi="宋体" w:cs="宋体"/>
          <w:color w:val="auto"/>
          <w:sz w:val="24"/>
          <w:highlight w:val="none"/>
        </w:rPr>
        <w:t xml:space="preserve">。</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五、公告期限</w:t>
      </w:r>
      <w:r/>
    </w:p>
    <w:p>
      <w:pPr>
        <w:ind w:firstLine="480"/>
        <w:spacing w:line="400" w:lineRule="exact"/>
        <w:rPr>
          <w:rFonts w:ascii="宋体" w:hAnsi="宋体" w:cs="宋体"/>
          <w:b/>
          <w:bCs/>
          <w:color w:val="auto"/>
          <w:sz w:val="24"/>
          <w:highlight w:val="none"/>
        </w:rPr>
      </w:pPr>
      <w:r>
        <w:rPr>
          <w:rFonts w:hint="eastAsia" w:ascii="宋体" w:hAnsi="宋体" w:cs="宋体"/>
          <w:color w:val="auto"/>
          <w:sz w:val="24"/>
          <w:highlight w:val="none"/>
          <w:lang w:val="en-US" w:eastAsia="zh-CN"/>
        </w:rPr>
        <w:t xml:space="preserve">自本公告发布之日起5个工作日</w:t>
      </w:r>
      <w:r>
        <w:rPr>
          <w:rFonts w:hint="eastAsia" w:ascii="宋体" w:hAnsi="宋体" w:cs="宋体"/>
          <w:color w:val="auto"/>
          <w:sz w:val="24"/>
          <w:highlight w:val="none"/>
        </w:rPr>
        <w:t xml:space="preserve">。</w:t>
      </w:r>
      <w:bookmarkEnd w:id="3"/>
      <w:r/>
      <w:bookmarkEnd w:id="4"/>
      <w:r/>
      <w:bookmarkEnd w:id="5"/>
      <w:r/>
      <w:bookmarkEnd w:id="6"/>
      <w:r/>
      <w:bookmarkEnd w:id="7"/>
      <w:r/>
      <w:r/>
    </w:p>
    <w:p>
      <w:pPr>
        <w:ind w:firstLine="482"/>
        <w:jc w:val="left"/>
        <w:spacing w:line="400" w:lineRule="exact"/>
        <w:widowControl/>
        <w:rPr>
          <w:rFonts w:ascii="宋体" w:hAnsi="宋体" w:cs="宋体"/>
          <w:b/>
          <w:bCs/>
          <w:color w:val="auto"/>
          <w:sz w:val="24"/>
          <w:highlight w:val="none"/>
        </w:rPr>
      </w:pPr>
      <w:r/>
      <w:bookmarkStart w:id="23" w:name="_Toc6770"/>
      <w:r/>
      <w:bookmarkStart w:id="24" w:name="_Toc387526281"/>
      <w:r/>
      <w:bookmarkStart w:id="25" w:name="_Toc369077558"/>
      <w:r/>
      <w:bookmarkStart w:id="26" w:name="_Toc363326679"/>
      <w:r/>
      <w:bookmarkStart w:id="27" w:name="_Toc387526373"/>
      <w:r/>
      <w:bookmarkStart w:id="28" w:name="_Toc397928547"/>
      <w:r/>
      <w:bookmarkStart w:id="29" w:name="_Toc368759512"/>
      <w:r/>
      <w:bookmarkStart w:id="30" w:name="_Toc387526177"/>
      <w:r/>
      <w:bookmarkStart w:id="31" w:name="_Toc184635069"/>
      <w:r>
        <w:rPr>
          <w:rFonts w:hint="eastAsia" w:ascii="宋体" w:hAnsi="宋体" w:cs="宋体"/>
          <w:b/>
          <w:bCs/>
          <w:color w:val="auto"/>
          <w:sz w:val="24"/>
          <w:highlight w:val="none"/>
        </w:rPr>
        <w:t xml:space="preserve">六、其他补充事宜</w:t>
      </w:r>
      <w:r/>
    </w:p>
    <w:p>
      <w:pPr>
        <w:ind w:firstLine="480"/>
        <w:jc w:val="left"/>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2.潜在供应商访问电子招标响应交易平台的网络地址和方法：</w:t>
      </w:r>
      <w:r/>
    </w:p>
    <w:p>
      <w:pPr>
        <w:ind w:firstLine="480"/>
        <w:jc w:val="left"/>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 潜在投标人访问“苏采云”系统方法：江苏省政府采购网首页-“苏采云”链接。 </w:t>
      </w:r>
      <w:r/>
    </w:p>
    <w:p>
      <w:pPr>
        <w:ind w:firstLine="480"/>
        <w:jc w:val="left"/>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 采购文件（后缀名为“.kedt”）、供应商操作手册及政府采购客户端工具可通过“苏采云”系统相应链接进行下载。 </w:t>
      </w:r>
      <w:r/>
    </w:p>
    <w:p>
      <w:pPr>
        <w:ind w:firstLine="480"/>
        <w:jc w:val="left"/>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 采购代理机构将数据电文形式的采购文件加载至“苏采云”系统，供潜在供应商下载或者查阅。 </w:t>
      </w:r>
      <w:r/>
    </w:p>
    <w:p>
      <w:pPr>
        <w:ind w:firstLine="480"/>
        <w:jc w:val="left"/>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 请潜在投标单位提前安装相应的控件（详见《“苏采云”系统供应商操作手册》）并使用谷歌浏览器登录“苏采云”系统参与不见面开评标。</w:t>
      </w:r>
      <w:r/>
    </w:p>
    <w:p>
      <w:pPr>
        <w:ind w:firstLine="480"/>
        <w:jc w:val="left"/>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如潜在投标人未按上述要求操作，将自行承担所产生的风险。</w:t>
      </w:r>
      <w:r/>
    </w:p>
    <w:p>
      <w:pPr>
        <w:ind w:firstLine="480"/>
        <w:jc w:val="left"/>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3.有关本次招标的事项若存在变动或修改，敬请及时关注盐城市政府采购中心在“中国政府采购网”、“江苏政府采购网”、“盐城市政府采购网”发布的更正公告。</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4.本次招标不收取投标保证金，不收取质量保证金。</w:t>
      </w:r>
      <w:r/>
    </w:p>
    <w:p>
      <w:pPr>
        <w:ind w:firstLine="482"/>
        <w:jc w:val="left"/>
        <w:spacing w:line="40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七、对本次招标提出询问，请按以下方式联系。</w:t>
      </w:r>
      <w:bookmarkEnd w:id="8"/>
      <w:r/>
      <w:bookmarkEnd w:id="9"/>
      <w:r/>
      <w:bookmarkEnd w:id="10"/>
      <w:r/>
      <w:r/>
    </w:p>
    <w:p>
      <w:pPr>
        <w:ind w:firstLine="480"/>
        <w:jc w:val="left"/>
        <w:spacing w:line="400" w:lineRule="exact"/>
        <w:rPr>
          <w:rFonts w:ascii="宋体" w:hAnsi="宋体" w:cs="宋体"/>
          <w:color w:val="auto"/>
          <w:sz w:val="24"/>
          <w:highlight w:val="none"/>
          <w:lang w:val="zh-CN"/>
        </w:rPr>
      </w:pPr>
      <w:r/>
      <w:bookmarkStart w:id="32" w:name="_Toc508216878"/>
      <w:r>
        <w:rPr>
          <w:rFonts w:hint="eastAsia" w:ascii="宋体" w:hAnsi="宋体" w:cs="宋体"/>
          <w:color w:val="auto"/>
          <w:sz w:val="24"/>
          <w:highlight w:val="none"/>
          <w:lang w:val="zh-CN"/>
        </w:rPr>
        <w:t xml:space="preserve">1.采购人信息</w:t>
      </w:r>
      <w:r/>
    </w:p>
    <w:p>
      <w:pPr>
        <w:ind w:firstLine="480"/>
        <w:jc w:val="left"/>
        <w:spacing w:line="400" w:lineRule="exact"/>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名</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称：</w:t>
      </w:r>
      <w:r>
        <w:rPr>
          <w:rFonts w:hint="eastAsia" w:ascii="宋体" w:hAnsi="宋体" w:cs="宋体"/>
          <w:color w:val="auto"/>
          <w:sz w:val="24"/>
          <w:highlight w:val="none"/>
          <w:lang w:eastAsia="zh-CN"/>
        </w:rPr>
        <w:t xml:space="preserve">盐城市公安局大丰分局</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地</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址：江苏省盐城市大丰区健康西路21号</w:t>
      </w:r>
      <w:r/>
    </w:p>
    <w:p>
      <w:pPr>
        <w:ind w:firstLine="480"/>
        <w:jc w:val="left"/>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联 系 人：</w:t>
      </w:r>
      <w:r>
        <w:rPr>
          <w:rFonts w:hint="eastAsia" w:ascii="宋体" w:hAnsi="宋体" w:cs="宋体"/>
          <w:color w:val="auto"/>
          <w:sz w:val="24"/>
          <w:highlight w:val="none"/>
          <w:lang w:val="en-US" w:eastAsia="zh-CN"/>
        </w:rPr>
        <w:t xml:space="preserve">吕先生</w:t>
      </w:r>
      <w:r/>
    </w:p>
    <w:p>
      <w:pPr>
        <w:ind w:firstLine="480"/>
        <w:jc w:val="left"/>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联系方式：18862035526</w:t>
      </w:r>
      <w:r/>
    </w:p>
    <w:p>
      <w:pPr>
        <w:ind w:firstLine="480"/>
        <w:jc w:val="left"/>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2.采购代理机构信息</w:t>
      </w:r>
      <w:r/>
    </w:p>
    <w:p>
      <w:pPr>
        <w:ind w:firstLine="480"/>
        <w:jc w:val="left"/>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名    称：江苏仁禾中衡工程咨询房地产估价有限公司</w:t>
      </w:r>
      <w:r/>
    </w:p>
    <w:p>
      <w:pPr>
        <w:ind w:firstLine="480"/>
        <w:jc w:val="left"/>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地    址：盐城市大丰区丰尚国际1号楼9楼</w:t>
      </w:r>
      <w:r/>
    </w:p>
    <w:p>
      <w:pPr>
        <w:ind w:firstLine="480"/>
        <w:jc w:val="left"/>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联</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 xml:space="preserve">系</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 xml:space="preserve">人：</w:t>
      </w:r>
      <w:r>
        <w:rPr>
          <w:rFonts w:hint="eastAsia" w:ascii="宋体" w:hAnsi="宋体" w:cs="宋体"/>
          <w:color w:val="auto"/>
          <w:sz w:val="24"/>
          <w:highlight w:val="none"/>
          <w:lang w:val="en-US" w:eastAsia="zh-CN"/>
        </w:rPr>
        <w:t xml:space="preserve">董娟</w:t>
      </w:r>
      <w:r/>
    </w:p>
    <w:p>
      <w:pPr>
        <w:ind w:firstLine="480"/>
        <w:jc w:val="left"/>
        <w:spacing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联系电话：</w:t>
      </w:r>
      <w:r>
        <w:rPr>
          <w:rFonts w:hint="eastAsia" w:ascii="宋体" w:hAnsi="宋体" w:cs="宋体"/>
          <w:color w:val="auto"/>
          <w:sz w:val="24"/>
          <w:highlight w:val="none"/>
          <w:lang w:val="en-US" w:eastAsia="zh-CN"/>
        </w:rPr>
        <w:t xml:space="preserve">18761216296</w:t>
      </w:r>
      <w:r/>
    </w:p>
    <w:p>
      <w:pPr>
        <w:ind w:firstLine="480"/>
        <w:jc w:val="left"/>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3.项目联系方式</w:t>
      </w:r>
      <w:r/>
    </w:p>
    <w:p>
      <w:pPr>
        <w:ind w:firstLine="480"/>
        <w:jc w:val="left"/>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联</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 xml:space="preserve">系</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 xml:space="preserve">人：</w:t>
      </w:r>
      <w:r>
        <w:rPr>
          <w:rFonts w:hint="eastAsia" w:ascii="宋体" w:hAnsi="宋体" w:cs="宋体"/>
          <w:color w:val="auto"/>
          <w:sz w:val="24"/>
          <w:highlight w:val="none"/>
          <w:lang w:val="zh-CN" w:eastAsia="zh-CN"/>
        </w:rPr>
        <w:t xml:space="preserve">董娟</w:t>
      </w:r>
      <w:r/>
    </w:p>
    <w:p>
      <w:pPr>
        <w:ind w:firstLine="480"/>
        <w:jc w:val="left"/>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rPr>
          <w:rFonts w:hint="eastAsia" w:ascii="宋体" w:hAnsi="宋体" w:cs="宋体"/>
          <w:color w:val="auto"/>
          <w:sz w:val="24"/>
          <w:highlight w:val="none"/>
          <w:lang w:val="en-US" w:eastAsia="zh-CN"/>
        </w:rPr>
        <w:t xml:space="preserve">18761216296</w:t>
      </w:r>
      <w:r/>
    </w:p>
    <w:p>
      <w:pPr>
        <w:rPr>
          <w:rFonts w:ascii="宋体" w:hAnsi="宋体" w:cs="宋体"/>
          <w:color w:val="auto"/>
          <w:highlight w:val="none"/>
        </w:rPr>
      </w:pPr>
      <w:r>
        <w:rPr>
          <w:rFonts w:ascii="宋体" w:hAnsi="宋体" w:cs="宋体"/>
          <w:color w:val="auto"/>
          <w:highlight w:val="none"/>
        </w:rPr>
      </w:r>
      <w:r/>
    </w:p>
    <w:p>
      <w:pPr>
        <w:pStyle w:val="797"/>
        <w:jc w:val="center"/>
        <w:spacing w:before="0" w:after="0" w:line="360" w:lineRule="auto"/>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第二章</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投标人须知</w:t>
      </w:r>
      <w:bookmarkEnd w:id="23"/>
      <w:r/>
      <w:bookmarkEnd w:id="24"/>
      <w:r/>
      <w:bookmarkEnd w:id="25"/>
      <w:r/>
      <w:bookmarkEnd w:id="26"/>
      <w:r/>
      <w:bookmarkEnd w:id="27"/>
      <w:r/>
      <w:bookmarkEnd w:id="28"/>
      <w:r/>
      <w:bookmarkEnd w:id="29"/>
      <w:r/>
      <w:bookmarkEnd w:id="30"/>
      <w:r/>
      <w:bookmarkEnd w:id="31"/>
      <w:r/>
      <w:bookmarkEnd w:id="32"/>
      <w:r/>
      <w:r/>
    </w:p>
    <w:p>
      <w:pPr>
        <w:pStyle w:val="844"/>
        <w:ind w:firstLine="482"/>
        <w:jc w:val="both"/>
        <w:keepLines/>
        <w:keepNext/>
        <w:spacing w:before="0" w:beforeAutospacing="0" w:after="0" w:afterAutospacing="0" w:line="400" w:lineRule="exact"/>
        <w:widowControl w:val="off"/>
        <w:rPr>
          <w:color w:val="auto"/>
          <w:highlight w:val="none"/>
        </w:rPr>
      </w:pPr>
      <w:r/>
      <w:bookmarkStart w:id="33" w:name="_Toc120614214"/>
      <w:r/>
      <w:bookmarkStart w:id="34" w:name="_Toc513029203"/>
      <w:r/>
      <w:bookmarkStart w:id="35" w:name="_Toc20823275"/>
      <w:r/>
      <w:bookmarkStart w:id="36" w:name="_Toc16938519"/>
      <w:r/>
      <w:bookmarkStart w:id="37" w:name="_Toc387526178"/>
      <w:r/>
      <w:bookmarkStart w:id="38" w:name="_Toc397928548"/>
      <w:r/>
      <w:bookmarkStart w:id="39" w:name="_Toc387526374"/>
      <w:r/>
      <w:bookmarkStart w:id="40" w:name="_Toc16205"/>
      <w:r/>
      <w:bookmarkStart w:id="41" w:name="_Toc369077559"/>
      <w:r/>
      <w:bookmarkStart w:id="42" w:name="_Toc508216879"/>
      <w:r/>
      <w:bookmarkStart w:id="43" w:name="_Toc387526282"/>
      <w:r>
        <w:rPr>
          <w:rFonts w:hint="eastAsia"/>
          <w:b/>
          <w:color w:val="auto"/>
          <w:highlight w:val="none"/>
        </w:rPr>
        <w:t xml:space="preserve">一、总则</w:t>
      </w:r>
      <w:bookmarkEnd w:id="33"/>
      <w:r/>
      <w:bookmarkEnd w:id="34"/>
      <w:r/>
      <w:bookmarkEnd w:id="35"/>
      <w:r/>
      <w:bookmarkEnd w:id="36"/>
      <w:r/>
      <w:r/>
    </w:p>
    <w:p>
      <w:pPr>
        <w:pStyle w:val="844"/>
        <w:ind w:firstLine="480"/>
        <w:jc w:val="both"/>
        <w:keepLines/>
        <w:keepNext/>
        <w:spacing w:before="0" w:beforeAutospacing="0" w:after="0" w:afterAutospacing="0" w:line="400" w:lineRule="exact"/>
        <w:widowControl w:val="off"/>
        <w:rPr>
          <w:color w:val="auto"/>
          <w:highlight w:val="none"/>
        </w:rPr>
      </w:pPr>
      <w:r/>
      <w:bookmarkStart w:id="44" w:name="_Toc16938520"/>
      <w:r/>
      <w:bookmarkStart w:id="45" w:name="_Toc458694821"/>
      <w:r/>
      <w:bookmarkStart w:id="46" w:name="_Toc513029204"/>
      <w:r/>
      <w:bookmarkStart w:id="47" w:name="_Toc20823276"/>
      <w:r>
        <w:rPr>
          <w:rFonts w:hint="eastAsia"/>
          <w:color w:val="auto"/>
          <w:highlight w:val="none"/>
        </w:rPr>
        <w:t xml:space="preserve">1</w:t>
      </w:r>
      <w:bookmarkEnd w:id="44"/>
      <w:r>
        <w:rPr>
          <w:rFonts w:hint="eastAsia"/>
          <w:color w:val="auto"/>
          <w:highlight w:val="none"/>
        </w:rPr>
        <w:t xml:space="preserve">、招标方式</w:t>
      </w:r>
      <w:bookmarkEnd w:id="45"/>
      <w:r/>
      <w:bookmarkEnd w:id="46"/>
      <w:r/>
      <w:bookmarkEnd w:id="47"/>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1.1本次招标采取公开招标方式，本招标文件仅适用于招标公告中所述项目。</w:t>
      </w:r>
      <w:r/>
    </w:p>
    <w:p>
      <w:pPr>
        <w:pStyle w:val="844"/>
        <w:ind w:firstLine="480"/>
        <w:jc w:val="both"/>
        <w:keepLines/>
        <w:keepNext/>
        <w:spacing w:before="0" w:beforeAutospacing="0" w:after="0" w:afterAutospacing="0" w:line="400" w:lineRule="exact"/>
        <w:widowControl w:val="off"/>
        <w:rPr>
          <w:color w:val="auto"/>
          <w:highlight w:val="none"/>
        </w:rPr>
      </w:pPr>
      <w:r/>
      <w:bookmarkStart w:id="48" w:name="_Toc16938521"/>
      <w:r/>
      <w:bookmarkStart w:id="49" w:name="_Toc513029205"/>
      <w:r/>
      <w:bookmarkStart w:id="50" w:name="_Toc20823277"/>
      <w:r>
        <w:rPr>
          <w:rFonts w:hint="eastAsia"/>
          <w:color w:val="auto"/>
          <w:highlight w:val="none"/>
        </w:rPr>
        <w:t xml:space="preserve">2、合格的投标人</w:t>
      </w:r>
      <w:bookmarkEnd w:id="48"/>
      <w:r/>
      <w:bookmarkEnd w:id="49"/>
      <w:r/>
      <w:bookmarkEnd w:id="50"/>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2.1满足招标公告中供应商的资格要求的规定。</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2.2满足本文件实质性要求和条件的规定。</w:t>
      </w:r>
      <w:r/>
    </w:p>
    <w:p>
      <w:pPr>
        <w:pStyle w:val="844"/>
        <w:ind w:firstLine="480"/>
        <w:jc w:val="both"/>
        <w:keepLines/>
        <w:keepNext/>
        <w:spacing w:before="0" w:beforeAutospacing="0" w:after="0" w:afterAutospacing="0" w:line="400" w:lineRule="exact"/>
        <w:widowControl w:val="off"/>
        <w:rPr>
          <w:color w:val="auto"/>
          <w:highlight w:val="none"/>
        </w:rPr>
      </w:pPr>
      <w:r/>
      <w:bookmarkStart w:id="51" w:name="_Toc20823278"/>
      <w:r/>
      <w:bookmarkStart w:id="52" w:name="_Toc513029206"/>
      <w:r/>
      <w:bookmarkStart w:id="53" w:name="_Toc16938522"/>
      <w:r>
        <w:rPr>
          <w:rFonts w:hint="eastAsia"/>
          <w:color w:val="auto"/>
          <w:highlight w:val="none"/>
        </w:rPr>
        <w:t xml:space="preserve">3、适用法律</w:t>
      </w:r>
      <w:bookmarkEnd w:id="51"/>
      <w:r/>
      <w:bookmarkEnd w:id="52"/>
      <w:r/>
      <w:bookmarkEnd w:id="53"/>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3.1本次招标及由此产生的合同受中华人民共和国有关的法律法规制约和保护。</w:t>
      </w:r>
      <w:r/>
    </w:p>
    <w:p>
      <w:pPr>
        <w:pStyle w:val="844"/>
        <w:ind w:firstLine="480"/>
        <w:jc w:val="both"/>
        <w:keepLines/>
        <w:keepNext/>
        <w:spacing w:before="0" w:beforeAutospacing="0" w:after="0" w:afterAutospacing="0" w:line="400" w:lineRule="exact"/>
        <w:widowControl w:val="off"/>
        <w:rPr>
          <w:color w:val="auto"/>
          <w:highlight w:val="none"/>
        </w:rPr>
      </w:pPr>
      <w:r/>
      <w:bookmarkStart w:id="54" w:name="_Toc20823279"/>
      <w:r/>
      <w:bookmarkStart w:id="55" w:name="_Toc16938523"/>
      <w:r/>
      <w:bookmarkStart w:id="56" w:name="_Toc513029207"/>
      <w:r/>
      <w:bookmarkStart w:id="57" w:name="_Toc462564067"/>
      <w:r>
        <w:rPr>
          <w:rFonts w:hint="eastAsia"/>
          <w:color w:val="auto"/>
          <w:highlight w:val="none"/>
        </w:rPr>
        <w:t xml:space="preserve">4、投标费用</w:t>
      </w:r>
      <w:bookmarkEnd w:id="54"/>
      <w:r/>
      <w:bookmarkEnd w:id="55"/>
      <w:r/>
      <w:bookmarkEnd w:id="56"/>
      <w:r/>
      <w:bookmarkEnd w:id="57"/>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4.1投标人应自行承担所有与参加投标有关的费用，无论投标过程中的做法和结果如何，</w:t>
      </w:r>
      <w:r>
        <w:rPr>
          <w:rFonts w:hint="eastAsia"/>
          <w:color w:val="auto"/>
          <w:highlight w:val="none"/>
          <w:lang w:eastAsia="zh-CN"/>
        </w:rPr>
        <w:t xml:space="preserve">盐城市公安局大丰分局</w:t>
      </w:r>
      <w:r>
        <w:rPr>
          <w:rFonts w:hint="eastAsia"/>
          <w:color w:val="auto"/>
          <w:highlight w:val="none"/>
        </w:rPr>
        <w:t xml:space="preserve">（以下简称采购人）在任何情况下均无义务和责任承担这些费用。</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4.</w:t>
      </w:r>
      <w:r>
        <w:rPr>
          <w:color w:val="auto"/>
          <w:highlight w:val="none"/>
        </w:rPr>
        <w:t xml:space="preserve">2</w:t>
      </w:r>
      <w:r>
        <w:rPr>
          <w:rFonts w:hint="eastAsia"/>
          <w:color w:val="auto"/>
          <w:highlight w:val="none"/>
        </w:rPr>
        <w:t xml:space="preserve">本项目的招标代理费向中标单位收取，招标代理费按苏招协【2022】002号文件*</w:t>
      </w:r>
      <w:r>
        <w:rPr>
          <w:color w:val="auto"/>
          <w:highlight w:val="none"/>
        </w:rPr>
        <w:t xml:space="preserve">40%</w:t>
      </w:r>
      <w:r>
        <w:rPr>
          <w:rFonts w:hint="eastAsia"/>
          <w:color w:val="auto"/>
          <w:highlight w:val="none"/>
        </w:rPr>
        <w:t xml:space="preserve">收取，各投标单位报价时，须考虑以上费用。</w:t>
      </w:r>
      <w:r/>
    </w:p>
    <w:p>
      <w:pPr>
        <w:pStyle w:val="844"/>
        <w:ind w:firstLine="480"/>
        <w:jc w:val="both"/>
        <w:keepLines/>
        <w:keepNext/>
        <w:spacing w:before="0" w:beforeAutospacing="0" w:after="0" w:afterAutospacing="0" w:line="400" w:lineRule="exact"/>
        <w:widowControl w:val="off"/>
        <w:rPr>
          <w:color w:val="auto"/>
          <w:highlight w:val="none"/>
        </w:rPr>
      </w:pPr>
      <w:r>
        <w:rPr>
          <w:rFonts w:hint="eastAsia"/>
          <w:bCs/>
          <w:color w:val="auto"/>
          <w:highlight w:val="none"/>
        </w:rPr>
        <w:t xml:space="preserve">5、</w:t>
      </w:r>
      <w:r>
        <w:rPr>
          <w:rFonts w:hint="eastAsia"/>
          <w:color w:val="auto"/>
          <w:highlight w:val="none"/>
        </w:rPr>
        <w:t xml:space="preserve">招标文件的约束力</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5.1投标人一旦参加本项目采购活动，即被认为接受了本招标文件的规定和约束。</w:t>
      </w:r>
      <w:r/>
    </w:p>
    <w:p>
      <w:pPr>
        <w:pStyle w:val="844"/>
        <w:ind w:firstLine="482"/>
        <w:jc w:val="both"/>
        <w:keepLines/>
        <w:keepNext/>
        <w:spacing w:before="0" w:beforeAutospacing="0" w:after="0" w:afterAutospacing="0" w:line="400" w:lineRule="exact"/>
        <w:widowControl w:val="off"/>
        <w:rPr>
          <w:color w:val="auto"/>
          <w:highlight w:val="none"/>
        </w:rPr>
      </w:pPr>
      <w:r/>
      <w:bookmarkStart w:id="58" w:name="_Toc120614215"/>
      <w:r/>
      <w:bookmarkStart w:id="59" w:name="_Toc513029209"/>
      <w:r/>
      <w:bookmarkStart w:id="60" w:name="_Toc16938525"/>
      <w:r/>
      <w:bookmarkStart w:id="61" w:name="_Toc20823281"/>
      <w:r>
        <w:rPr>
          <w:rFonts w:hint="eastAsia"/>
          <w:b/>
          <w:color w:val="auto"/>
          <w:highlight w:val="none"/>
        </w:rPr>
        <w:t xml:space="preserve">二、招标文件</w:t>
      </w:r>
      <w:bookmarkEnd w:id="58"/>
      <w:r/>
      <w:bookmarkEnd w:id="59"/>
      <w:r/>
      <w:bookmarkEnd w:id="60"/>
      <w:r/>
      <w:bookmarkEnd w:id="61"/>
      <w:r/>
      <w:r/>
    </w:p>
    <w:p>
      <w:pPr>
        <w:pStyle w:val="844"/>
        <w:ind w:firstLine="480"/>
        <w:jc w:val="both"/>
        <w:keepLines/>
        <w:keepNext/>
        <w:spacing w:before="0" w:beforeAutospacing="0" w:after="0" w:afterAutospacing="0" w:line="400" w:lineRule="exact"/>
        <w:widowControl w:val="off"/>
        <w:rPr>
          <w:color w:val="auto"/>
          <w:highlight w:val="none"/>
        </w:rPr>
      </w:pPr>
      <w:r/>
      <w:bookmarkStart w:id="62" w:name="_Toc16938526"/>
      <w:r/>
      <w:bookmarkStart w:id="63" w:name="_Toc513029210"/>
      <w:r/>
      <w:bookmarkStart w:id="64" w:name="_Toc20823282"/>
      <w:r>
        <w:rPr>
          <w:rFonts w:hint="eastAsia"/>
          <w:color w:val="auto"/>
          <w:highlight w:val="none"/>
        </w:rPr>
        <w:t xml:space="preserve">6、招标文件构成</w:t>
      </w:r>
      <w:bookmarkEnd w:id="62"/>
      <w:r/>
      <w:bookmarkEnd w:id="63"/>
      <w:r/>
      <w:bookmarkEnd w:id="64"/>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6.1 招标文件由以下部分组成：</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（1）招标公告</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（2）投标人须知</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（3）合同文本</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（4）采购需求</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（5）评标方法与评标标准</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（6）投标文件格式</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请仔细检查招标文件是否齐全，如有缺漏请立即与采购人联系解决。</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4"/>
        <w:ind w:firstLine="480"/>
        <w:jc w:val="both"/>
        <w:keepLines/>
        <w:keepNext/>
        <w:spacing w:before="0" w:beforeAutospacing="0" w:after="0" w:afterAutospacing="0" w:line="400" w:lineRule="exact"/>
        <w:widowControl w:val="off"/>
        <w:rPr>
          <w:color w:val="auto"/>
          <w:highlight w:val="none"/>
        </w:rPr>
      </w:pPr>
      <w:r/>
      <w:bookmarkStart w:id="65" w:name="_Toc16938527"/>
      <w:r/>
      <w:bookmarkStart w:id="66" w:name="_Toc462564070"/>
      <w:r/>
      <w:bookmarkStart w:id="67" w:name="_Toc20823283"/>
      <w:r/>
      <w:bookmarkStart w:id="68" w:name="_Toc513029211"/>
      <w:r>
        <w:rPr>
          <w:rFonts w:hint="eastAsia"/>
          <w:color w:val="auto"/>
          <w:highlight w:val="none"/>
        </w:rPr>
        <w:t xml:space="preserve">7、招标文件的澄清</w:t>
      </w:r>
      <w:bookmarkEnd w:id="65"/>
      <w:r/>
      <w:bookmarkEnd w:id="66"/>
      <w:r/>
      <w:bookmarkEnd w:id="67"/>
      <w:r/>
      <w:bookmarkEnd w:id="68"/>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7.1任何要求对招标文件进行澄清的投标人，应在投标截止期</w:t>
      </w:r>
      <w:r>
        <w:rPr>
          <w:rFonts w:hint="eastAsia"/>
          <w:b/>
          <w:color w:val="auto"/>
          <w:highlight w:val="none"/>
        </w:rPr>
        <w:t xml:space="preserve">十日</w:t>
      </w:r>
      <w:r>
        <w:rPr>
          <w:rFonts w:hint="eastAsia"/>
          <w:color w:val="auto"/>
          <w:highlight w:val="none"/>
        </w:rPr>
        <w:t xml:space="preserve">前按招标公告中的通讯地址，以书面形式通知采购人。</w:t>
      </w:r>
      <w:r/>
    </w:p>
    <w:p>
      <w:pPr>
        <w:pStyle w:val="844"/>
        <w:ind w:firstLine="480"/>
        <w:jc w:val="both"/>
        <w:keepLines/>
        <w:keepNext/>
        <w:spacing w:before="0" w:beforeAutospacing="0" w:after="0" w:afterAutospacing="0" w:line="400" w:lineRule="exact"/>
        <w:widowControl w:val="off"/>
        <w:rPr>
          <w:color w:val="auto"/>
          <w:highlight w:val="none"/>
        </w:rPr>
      </w:pPr>
      <w:r/>
      <w:bookmarkStart w:id="69" w:name="_Toc462564071"/>
      <w:r/>
      <w:bookmarkStart w:id="70" w:name="_Toc20823284"/>
      <w:r/>
      <w:bookmarkStart w:id="71" w:name="_Toc16938528"/>
      <w:r/>
      <w:bookmarkStart w:id="72" w:name="_Toc513029212"/>
      <w:r>
        <w:rPr>
          <w:rFonts w:hint="eastAsia"/>
          <w:color w:val="auto"/>
          <w:highlight w:val="none"/>
        </w:rPr>
        <w:t xml:space="preserve">8、招标文件的修改</w:t>
      </w:r>
      <w:bookmarkEnd w:id="69"/>
      <w:r/>
      <w:bookmarkEnd w:id="70"/>
      <w:r/>
      <w:bookmarkEnd w:id="71"/>
      <w:r/>
      <w:bookmarkEnd w:id="72"/>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8.1在投标截止时间前，采购人可以对招标文件进行修改。</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8.2采购人有权按照法定的要求推迟投标截止日期和开标日期。</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8.3招标文件的修改将在中国政府采购网</w:t>
      </w:r>
      <w:r>
        <w:rPr>
          <w:rFonts w:hint="eastAsia"/>
          <w:color w:val="auto"/>
          <w:highlight w:val="none"/>
          <w:shd w:val="clear" w:color="auto" w:fill="ffffff"/>
        </w:rPr>
        <w:t xml:space="preserve">、</w:t>
      </w:r>
      <w:r>
        <w:rPr>
          <w:rFonts w:hint="eastAsia"/>
          <w:color w:val="auto"/>
          <w:highlight w:val="none"/>
        </w:rPr>
        <w:t xml:space="preserve">江苏政府采购网、盐城市政府采购网公布，补充文件将作为招标文件的组成部分，并对投标人具有约束力。</w:t>
      </w:r>
      <w:r/>
    </w:p>
    <w:p>
      <w:pPr>
        <w:pStyle w:val="844"/>
        <w:ind w:firstLine="482"/>
        <w:jc w:val="both"/>
        <w:keepLines/>
        <w:keepNext/>
        <w:spacing w:before="0" w:beforeAutospacing="0" w:after="0" w:afterAutospacing="0" w:line="400" w:lineRule="exact"/>
        <w:widowControl w:val="off"/>
        <w:rPr>
          <w:color w:val="auto"/>
          <w:highlight w:val="none"/>
        </w:rPr>
      </w:pPr>
      <w:r/>
      <w:bookmarkStart w:id="73" w:name="_Toc120614216"/>
      <w:r/>
      <w:bookmarkStart w:id="74" w:name="_Toc20823285"/>
      <w:r/>
      <w:bookmarkStart w:id="75" w:name="_Toc462564072"/>
      <w:r/>
      <w:bookmarkStart w:id="76" w:name="_Toc16938529"/>
      <w:r/>
      <w:bookmarkStart w:id="77" w:name="_Toc513029213"/>
      <w:r>
        <w:rPr>
          <w:rFonts w:hint="eastAsia"/>
          <w:b/>
          <w:color w:val="auto"/>
          <w:highlight w:val="none"/>
        </w:rPr>
        <w:t xml:space="preserve">三、投标文件的编制</w:t>
      </w:r>
      <w:bookmarkEnd w:id="73"/>
      <w:r/>
      <w:bookmarkEnd w:id="74"/>
      <w:r/>
      <w:bookmarkEnd w:id="75"/>
      <w:r/>
      <w:bookmarkEnd w:id="76"/>
      <w:r/>
      <w:bookmarkEnd w:id="77"/>
      <w:r/>
      <w:r/>
    </w:p>
    <w:p>
      <w:pPr>
        <w:pStyle w:val="844"/>
        <w:ind w:firstLine="480"/>
        <w:jc w:val="both"/>
        <w:keepLines/>
        <w:keepNext/>
        <w:spacing w:before="0" w:beforeAutospacing="0" w:after="0" w:afterAutospacing="0" w:line="400" w:lineRule="exact"/>
        <w:widowControl w:val="off"/>
        <w:rPr>
          <w:color w:val="auto"/>
          <w:highlight w:val="none"/>
        </w:rPr>
      </w:pPr>
      <w:r/>
      <w:bookmarkStart w:id="78" w:name="_Toc462564073"/>
      <w:r/>
      <w:bookmarkStart w:id="79" w:name="_Toc20823286"/>
      <w:r/>
      <w:bookmarkStart w:id="80" w:name="_Toc16938530"/>
      <w:r/>
      <w:bookmarkStart w:id="81" w:name="_Toc513029214"/>
      <w:r>
        <w:rPr>
          <w:rFonts w:hint="eastAsia"/>
          <w:color w:val="auto"/>
          <w:highlight w:val="none"/>
        </w:rPr>
        <w:t xml:space="preserve">9、投标文件的语言及度量衡单位</w:t>
      </w:r>
      <w:bookmarkEnd w:id="78"/>
      <w:r/>
      <w:bookmarkEnd w:id="79"/>
      <w:r/>
      <w:bookmarkEnd w:id="80"/>
      <w:r/>
      <w:bookmarkEnd w:id="81"/>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9.1投标人提交的投标文件以及投标人与采购人就有关投标的所有来往通知、函件和文件均应使用</w:t>
      </w:r>
      <w:r>
        <w:rPr>
          <w:rFonts w:hint="eastAsia"/>
          <w:b/>
          <w:color w:val="auto"/>
          <w:highlight w:val="none"/>
        </w:rPr>
        <w:t xml:space="preserve">简体中文</w:t>
      </w:r>
      <w:r>
        <w:rPr>
          <w:rFonts w:hint="eastAsia"/>
          <w:color w:val="auto"/>
          <w:highlight w:val="none"/>
        </w:rPr>
        <w:t xml:space="preserve">。</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9.2除技术性能另有规定外，投标文件所使用的度量衡单位，均须采用国家法定计量单位。</w:t>
      </w:r>
      <w:r/>
    </w:p>
    <w:p>
      <w:pPr>
        <w:pStyle w:val="844"/>
        <w:ind w:firstLine="480"/>
        <w:jc w:val="both"/>
        <w:keepLines/>
        <w:keepNext/>
        <w:spacing w:before="0" w:beforeAutospacing="0" w:after="0" w:afterAutospacing="0" w:line="400" w:lineRule="exact"/>
        <w:widowControl w:val="off"/>
        <w:rPr>
          <w:color w:val="auto"/>
          <w:highlight w:val="none"/>
        </w:rPr>
      </w:pPr>
      <w:r/>
      <w:bookmarkStart w:id="82" w:name="_Toc16938531"/>
      <w:r/>
      <w:bookmarkStart w:id="83" w:name="_Toc20823287"/>
      <w:r/>
      <w:bookmarkStart w:id="84" w:name="_Toc462564074"/>
      <w:r/>
      <w:bookmarkStart w:id="85" w:name="_Toc513029215"/>
      <w:r>
        <w:rPr>
          <w:rFonts w:hint="eastAsia"/>
          <w:color w:val="auto"/>
          <w:highlight w:val="none"/>
        </w:rPr>
        <w:t xml:space="preserve">10、投标文件构成</w:t>
      </w:r>
      <w:bookmarkEnd w:id="82"/>
      <w:r/>
      <w:bookmarkEnd w:id="83"/>
      <w:r/>
      <w:bookmarkEnd w:id="84"/>
      <w:r/>
      <w:bookmarkEnd w:id="85"/>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10.2如标书制作工具中格式和内容与</w:t>
      </w:r>
      <w:r>
        <w:rPr>
          <w:rFonts w:hint="eastAsia"/>
          <w:color w:val="auto"/>
          <w:highlight w:val="none"/>
          <w:shd w:val="clear" w:color="auto" w:fill="ffffff"/>
        </w:rPr>
        <w:t xml:space="preserve">“</w:t>
      </w:r>
      <w:r>
        <w:rPr>
          <w:rFonts w:hint="eastAsia"/>
          <w:color w:val="auto"/>
          <w:highlight w:val="none"/>
        </w:rPr>
        <w:t xml:space="preserve">中国政府采购网</w:t>
      </w:r>
      <w:r>
        <w:rPr>
          <w:rFonts w:hint="eastAsia"/>
          <w:color w:val="auto"/>
          <w:highlight w:val="none"/>
          <w:shd w:val="clear" w:color="auto" w:fill="ffffff"/>
        </w:rPr>
        <w:t xml:space="preserve">”、</w:t>
      </w:r>
      <w:r>
        <w:rPr>
          <w:rFonts w:hint="eastAsia"/>
          <w:color w:val="auto"/>
          <w:highlight w:val="none"/>
        </w:rPr>
        <w:t xml:space="preserve">“江苏政府采购网”、“盐城市政府采购网”发布的招标文件不一致，请以</w:t>
      </w:r>
      <w:r>
        <w:rPr>
          <w:rFonts w:hint="eastAsia"/>
          <w:color w:val="auto"/>
          <w:highlight w:val="none"/>
          <w:shd w:val="clear" w:color="auto" w:fill="ffffff"/>
        </w:rPr>
        <w:t xml:space="preserve">“</w:t>
      </w:r>
      <w:r>
        <w:rPr>
          <w:rFonts w:hint="eastAsia"/>
          <w:color w:val="auto"/>
          <w:highlight w:val="none"/>
        </w:rPr>
        <w:t xml:space="preserve">中国政府采购网</w:t>
      </w:r>
      <w:r>
        <w:rPr>
          <w:rFonts w:hint="eastAsia"/>
          <w:color w:val="auto"/>
          <w:highlight w:val="none"/>
          <w:shd w:val="clear" w:color="auto" w:fill="ffffff"/>
        </w:rPr>
        <w:t xml:space="preserve">”、</w:t>
      </w:r>
      <w:r>
        <w:rPr>
          <w:rFonts w:hint="eastAsia"/>
          <w:color w:val="auto"/>
          <w:highlight w:val="none"/>
        </w:rPr>
        <w:t xml:space="preserve">“江苏政府采购网”、“盐城市政府采购网”发布的招标文件为准。</w:t>
      </w:r>
      <w:r/>
    </w:p>
    <w:p>
      <w:pPr>
        <w:pStyle w:val="844"/>
        <w:ind w:firstLine="480"/>
        <w:jc w:val="both"/>
        <w:keepLines/>
        <w:keepNext/>
        <w:spacing w:before="0" w:beforeAutospacing="0" w:after="0" w:afterAutospacing="0" w:line="400" w:lineRule="exact"/>
        <w:widowControl w:val="off"/>
        <w:rPr>
          <w:color w:val="auto"/>
          <w:highlight w:val="none"/>
        </w:rPr>
      </w:pPr>
      <w:r/>
      <w:bookmarkStart w:id="86" w:name="_Toc513029219"/>
      <w:r/>
      <w:bookmarkStart w:id="87" w:name="_Toc513029216"/>
      <w:r/>
      <w:bookmarkStart w:id="88" w:name="_Toc14577354"/>
      <w:r/>
      <w:bookmarkStart w:id="89" w:name="_Toc49090507"/>
      <w:r/>
      <w:bookmarkStart w:id="90" w:name="_Toc49090509"/>
      <w:r/>
      <w:bookmarkStart w:id="91" w:name="_Toc14577357"/>
      <w:r>
        <w:rPr>
          <w:rFonts w:hint="eastAsia"/>
          <w:color w:val="auto"/>
          <w:highlight w:val="none"/>
        </w:rPr>
        <w:t xml:space="preserve">11、证明投标人及投标标的符合招标文件规定的文件</w:t>
      </w:r>
      <w:bookmarkEnd w:id="86"/>
      <w:r/>
      <w:bookmarkEnd w:id="87"/>
      <w:r/>
      <w:bookmarkEnd w:id="88"/>
      <w:r/>
      <w:bookmarkEnd w:id="89"/>
      <w:r/>
      <w:bookmarkEnd w:id="90"/>
      <w:r/>
      <w:bookmarkEnd w:id="91"/>
      <w:r/>
      <w:r/>
    </w:p>
    <w:p>
      <w:pPr>
        <w:pStyle w:val="844"/>
        <w:ind w:firstLine="480"/>
        <w:jc w:val="both"/>
        <w:spacing w:before="0" w:beforeAutospacing="0" w:after="0" w:afterAutospacing="0" w:line="400" w:lineRule="exact"/>
        <w:widowControl w:val="off"/>
        <w:rPr>
          <w:color w:val="auto"/>
          <w:highlight w:val="none"/>
        </w:rPr>
      </w:pPr>
      <w:r/>
      <w:bookmarkStart w:id="92" w:name="_Toc14577355"/>
      <w:r/>
      <w:bookmarkStart w:id="93" w:name="_Toc49090508"/>
      <w:r>
        <w:rPr>
          <w:rFonts w:hint="eastAsia"/>
          <w:color w:val="auto"/>
          <w:highlight w:val="none"/>
        </w:rPr>
        <w:t xml:space="preserve">11.1投标人应按照法律、法规、规章和规范性文件以及招标文件要求提交证明文件，证明其及投标标的符合招标文件规定。</w:t>
      </w:r>
      <w:bookmarkEnd w:id="92"/>
      <w:r/>
      <w:bookmarkEnd w:id="93"/>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11.2招标文件对证明文件无明确形式要求的，证明文件可以以文字资料、图纸和数据等形式提交。</w:t>
      </w:r>
      <w:r/>
    </w:p>
    <w:p>
      <w:pPr>
        <w:pStyle w:val="844"/>
        <w:ind w:firstLine="480"/>
        <w:jc w:val="both"/>
        <w:keepLines/>
        <w:keepNext/>
        <w:spacing w:before="0" w:beforeAutospacing="0" w:after="0" w:afterAutospacing="0" w:line="400" w:lineRule="exact"/>
        <w:widowControl w:val="off"/>
        <w:rPr>
          <w:color w:val="auto"/>
          <w:highlight w:val="none"/>
        </w:rPr>
      </w:pPr>
      <w:r>
        <w:rPr>
          <w:rFonts w:hint="eastAsia"/>
          <w:color w:val="auto"/>
          <w:highlight w:val="none"/>
        </w:rPr>
        <w:t xml:space="preserve">12、投标分项报价表</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12.1投标人应按照招标文件规定格式填报投标分项报价表。</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12.2投标货币。投标文件中的单价和总价无特殊规定的采用人民币报价，以元为单位标注。招标文件中另有规定的按规定执行。</w:t>
      </w:r>
      <w:r/>
    </w:p>
    <w:p>
      <w:pPr>
        <w:pStyle w:val="844"/>
        <w:ind w:firstLine="480"/>
        <w:jc w:val="both"/>
        <w:keepLines/>
        <w:keepNext/>
        <w:spacing w:before="0" w:beforeAutospacing="0" w:after="0" w:afterAutospacing="0" w:line="400" w:lineRule="exact"/>
        <w:widowControl w:val="off"/>
        <w:rPr>
          <w:color w:val="auto"/>
          <w:highlight w:val="none"/>
        </w:rPr>
      </w:pPr>
      <w:r>
        <w:rPr>
          <w:rFonts w:hint="eastAsia"/>
          <w:color w:val="auto"/>
          <w:highlight w:val="none"/>
        </w:rPr>
        <w:t xml:space="preserve">13、技术要求响应及偏离表、商务要求响应及偏离表</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13.1投标人需对招标文件中的技术要求与商务要求逐项作出响应或偏离，并说明原因。</w:t>
      </w:r>
      <w:r/>
    </w:p>
    <w:p>
      <w:pPr>
        <w:pStyle w:val="844"/>
        <w:ind w:firstLine="480"/>
        <w:jc w:val="both"/>
        <w:spacing w:before="0" w:beforeAutospacing="0" w:after="0" w:afterAutospacing="0" w:line="400" w:lineRule="exact"/>
        <w:widowControl w:val="off"/>
        <w:tabs>
          <w:tab w:val="left" w:pos="1036" w:leader="none"/>
        </w:tabs>
        <w:rPr>
          <w:rFonts w:hint="eastAsia"/>
          <w:color w:val="auto"/>
          <w:highlight w:val="none"/>
        </w:rPr>
      </w:pPr>
      <w:r>
        <w:rPr>
          <w:rFonts w:hint="eastAsia"/>
          <w:color w:val="auto"/>
          <w:highlight w:val="none"/>
        </w:rPr>
        <w:t xml:space="preserve">13.2投标人可在投标文件中提供认为需要的其他技术文件或说明。</w:t>
      </w:r>
      <w:r/>
    </w:p>
    <w:p>
      <w:pPr>
        <w:pStyle w:val="844"/>
        <w:ind w:firstLine="480"/>
        <w:jc w:val="both"/>
        <w:spacing w:before="0" w:beforeAutospacing="0" w:after="0" w:afterAutospacing="0" w:line="400" w:lineRule="exact"/>
        <w:widowControl w:val="off"/>
        <w:tabs>
          <w:tab w:val="left" w:pos="1036" w:leader="none"/>
        </w:tabs>
        <w:rPr>
          <w:rFonts w:hint="eastAsia"/>
          <w:color w:val="auto"/>
          <w:highlight w:val="none"/>
        </w:rPr>
      </w:pPr>
      <w:r>
        <w:rPr>
          <w:rFonts w:hint="eastAsia"/>
          <w:color w:val="auto"/>
          <w:highlight w:val="none"/>
        </w:rPr>
        <w:t xml:space="preserve">14、服务承诺、培训计划、人员安排及其他</w:t>
      </w:r>
      <w:r/>
    </w:p>
    <w:p>
      <w:pPr>
        <w:pStyle w:val="844"/>
        <w:ind w:firstLine="480"/>
        <w:jc w:val="both"/>
        <w:spacing w:before="0" w:beforeAutospacing="0" w:after="0" w:afterAutospacing="0" w:line="400" w:lineRule="exact"/>
        <w:widowControl w:val="off"/>
        <w:tabs>
          <w:tab w:val="left" w:pos="1036" w:leader="none"/>
        </w:tabs>
        <w:rPr>
          <w:rFonts w:hint="eastAsia"/>
          <w:color w:val="auto"/>
          <w:highlight w:val="none"/>
        </w:rPr>
      </w:pPr>
      <w:r>
        <w:rPr>
          <w:rFonts w:hint="eastAsia"/>
          <w:color w:val="auto"/>
          <w:highlight w:val="none"/>
        </w:rPr>
        <w:t xml:space="preserve">14.1投标人需根据招标文件要求提供有关售后服务的管理制度，售后服务机构的分布情况，售后服务人员的数量、素质、技术水平及售后服务的反应能力等。</w:t>
      </w:r>
      <w:r/>
    </w:p>
    <w:p>
      <w:pPr>
        <w:pStyle w:val="844"/>
        <w:ind w:firstLine="480"/>
        <w:jc w:val="both"/>
        <w:spacing w:before="0" w:beforeAutospacing="0" w:after="0" w:afterAutospacing="0" w:line="400" w:lineRule="exact"/>
        <w:widowControl w:val="off"/>
        <w:tabs>
          <w:tab w:val="left" w:pos="1036" w:leader="none"/>
        </w:tabs>
        <w:rPr>
          <w:rFonts w:hint="eastAsia"/>
          <w:color w:val="auto"/>
          <w:highlight w:val="none"/>
        </w:rPr>
      </w:pPr>
      <w:r>
        <w:rPr>
          <w:rFonts w:hint="eastAsia"/>
          <w:color w:val="auto"/>
          <w:highlight w:val="none"/>
        </w:rPr>
        <w:t xml:space="preserve">14.2投标人需根据招标文件要求提供培训计划。</w:t>
      </w:r>
      <w:r/>
    </w:p>
    <w:p>
      <w:pPr>
        <w:pStyle w:val="844"/>
        <w:ind w:firstLine="480"/>
        <w:jc w:val="both"/>
        <w:spacing w:before="0" w:beforeAutospacing="0" w:after="0" w:afterAutospacing="0" w:line="400" w:lineRule="exact"/>
        <w:widowControl w:val="off"/>
        <w:tabs>
          <w:tab w:val="left" w:pos="1036" w:leader="none"/>
        </w:tabs>
        <w:rPr>
          <w:rFonts w:hint="eastAsia"/>
          <w:color w:val="auto"/>
          <w:highlight w:val="none"/>
        </w:rPr>
      </w:pPr>
      <w:r>
        <w:rPr>
          <w:rFonts w:hint="eastAsia"/>
          <w:color w:val="auto"/>
          <w:highlight w:val="none"/>
        </w:rPr>
        <w:t xml:space="preserve">14.3投标人需根据招标文件要求提供所投标的的主要组成部分、功能设计、实现思路及关键技术等。</w:t>
      </w:r>
      <w:r/>
    </w:p>
    <w:p>
      <w:pPr>
        <w:pStyle w:val="844"/>
        <w:ind w:firstLine="480"/>
        <w:jc w:val="both"/>
        <w:keepLines/>
        <w:keepNext/>
        <w:spacing w:before="0" w:beforeAutospacing="0" w:after="0" w:afterAutospacing="0" w:line="400" w:lineRule="exact"/>
        <w:widowControl w:val="off"/>
        <w:rPr>
          <w:color w:val="auto"/>
          <w:highlight w:val="none"/>
        </w:rPr>
      </w:pPr>
      <w:r/>
      <w:bookmarkStart w:id="94" w:name="_Toc14577359"/>
      <w:r/>
      <w:bookmarkStart w:id="95" w:name="_Toc49090510"/>
      <w:r>
        <w:rPr>
          <w:rFonts w:hint="eastAsia"/>
          <w:color w:val="auto"/>
          <w:highlight w:val="none"/>
          <w:lang w:val="en-US" w:eastAsia="zh-CN"/>
        </w:rPr>
        <w:t xml:space="preserve">15</w:t>
      </w:r>
      <w:r>
        <w:rPr>
          <w:rFonts w:hint="eastAsia"/>
          <w:color w:val="auto"/>
          <w:highlight w:val="none"/>
        </w:rPr>
        <w:t xml:space="preserve">、投标函和开标一览表</w:t>
      </w:r>
      <w:bookmarkEnd w:id="94"/>
      <w:r/>
      <w:bookmarkEnd w:id="95"/>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lang w:val="en-US" w:eastAsia="zh-CN"/>
        </w:rPr>
        <w:t xml:space="preserve">15</w:t>
      </w:r>
      <w:r>
        <w:rPr>
          <w:rFonts w:hint="eastAsia"/>
          <w:color w:val="auto"/>
          <w:highlight w:val="none"/>
        </w:rPr>
        <w:t xml:space="preserve">.1投标人应按照招标文件中提供的格式完整、正确填写投标函、开标一览表。</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lang w:val="en-US" w:eastAsia="zh-CN"/>
        </w:rPr>
        <w:t xml:space="preserve">15</w:t>
      </w:r>
      <w:r>
        <w:rPr>
          <w:rFonts w:hint="eastAsia"/>
          <w:color w:val="auto"/>
          <w:highlight w:val="none"/>
        </w:rPr>
        <w:t xml:space="preserve">.2对于采用货币报价的项目，开标一览表中的投标总报价应与投标分项报价表中的投标总报价一致，如不一致，不作为无效投标处理，但评标时按开标一览表中价格为准</w:t>
      </w:r>
      <w:r>
        <w:rPr>
          <w:rFonts w:hint="eastAsia"/>
          <w:bCs/>
          <w:color w:val="auto"/>
          <w:highlight w:val="none"/>
        </w:rPr>
        <w:t xml:space="preserve">。</w:t>
      </w:r>
      <w:bookmarkStart w:id="96" w:name="_Toc14577360"/>
      <w:r/>
      <w:bookmarkStart w:id="97" w:name="_Toc49090511"/>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16、投标有效期</w:t>
      </w:r>
      <w:bookmarkEnd w:id="96"/>
      <w:r/>
      <w:bookmarkEnd w:id="97"/>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16.1投标有效期为采购人规定的开标之日后</w:t>
      </w:r>
      <w:r>
        <w:rPr>
          <w:rFonts w:hint="eastAsia"/>
          <w:b/>
          <w:color w:val="auto"/>
          <w:highlight w:val="none"/>
          <w:u w:val="single"/>
          <w:lang w:val="en-US" w:eastAsia="zh-CN"/>
        </w:rPr>
        <w:t xml:space="preserve">九十</w:t>
      </w:r>
      <w:r>
        <w:rPr>
          <w:rFonts w:hint="eastAsia"/>
          <w:b/>
          <w:color w:val="auto"/>
          <w:highlight w:val="none"/>
          <w:u w:val="single"/>
        </w:rPr>
        <w:t xml:space="preserve">（</w:t>
      </w:r>
      <w:r>
        <w:rPr>
          <w:rFonts w:hint="eastAsia"/>
          <w:b/>
          <w:color w:val="auto"/>
          <w:highlight w:val="none"/>
          <w:u w:val="single"/>
          <w:lang w:val="en-US" w:eastAsia="zh-CN"/>
        </w:rPr>
        <w:t xml:space="preserve">90</w:t>
      </w:r>
      <w:r>
        <w:rPr>
          <w:rFonts w:hint="eastAsia"/>
          <w:b/>
          <w:color w:val="auto"/>
          <w:highlight w:val="none"/>
          <w:u w:val="single"/>
        </w:rPr>
        <w:t xml:space="preserve">）天</w:t>
      </w:r>
      <w:r>
        <w:rPr>
          <w:rFonts w:hint="eastAsia"/>
          <w:color w:val="auto"/>
          <w:highlight w:val="none"/>
        </w:rPr>
        <w:t xml:space="preserve">。投标有效期比规定短的将被视为未实质性响应招标文件而予以拒绝。</w:t>
      </w:r>
      <w:r/>
    </w:p>
    <w:p>
      <w:pPr>
        <w:pStyle w:val="844"/>
        <w:ind w:firstLine="480"/>
        <w:jc w:val="both"/>
        <w:keepLines/>
        <w:keepNext/>
        <w:spacing w:before="0" w:beforeAutospacing="0" w:after="0" w:afterAutospacing="0" w:line="400" w:lineRule="exact"/>
        <w:widowControl w:val="off"/>
        <w:rPr>
          <w:color w:val="auto"/>
          <w:highlight w:val="none"/>
        </w:rPr>
      </w:pPr>
      <w:r>
        <w:rPr>
          <w:rFonts w:hint="eastAsia"/>
          <w:color w:val="auto"/>
          <w:highlight w:val="none"/>
        </w:rPr>
        <w:t xml:space="preserve">17、投标有效期的延长</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44"/>
        <w:ind w:firstLine="482"/>
        <w:jc w:val="both"/>
        <w:keepLines/>
        <w:keepNext/>
        <w:spacing w:before="0" w:beforeAutospacing="0" w:after="0" w:afterAutospacing="0" w:line="400" w:lineRule="exact"/>
        <w:widowControl w:val="off"/>
        <w:rPr>
          <w:color w:val="auto"/>
          <w:highlight w:val="none"/>
        </w:rPr>
      </w:pPr>
      <w:r/>
      <w:bookmarkStart w:id="98" w:name="_Toc120614217"/>
      <w:r/>
      <w:bookmarkStart w:id="99" w:name="_Toc513029224"/>
      <w:r/>
      <w:bookmarkStart w:id="100" w:name="_Toc20823296"/>
      <w:r/>
      <w:bookmarkStart w:id="101" w:name="_Toc16938540"/>
      <w:r>
        <w:rPr>
          <w:rFonts w:hint="eastAsia"/>
          <w:b/>
          <w:color w:val="auto"/>
          <w:highlight w:val="none"/>
        </w:rPr>
        <w:t xml:space="preserve">四、投标文件的递交</w:t>
      </w:r>
      <w:bookmarkEnd w:id="98"/>
      <w:r/>
      <w:bookmarkEnd w:id="99"/>
      <w:r/>
      <w:bookmarkEnd w:id="100"/>
      <w:r/>
      <w:bookmarkEnd w:id="101"/>
      <w:r/>
      <w:r/>
    </w:p>
    <w:p>
      <w:pPr>
        <w:pStyle w:val="844"/>
        <w:ind w:firstLine="480"/>
        <w:jc w:val="both"/>
        <w:keepLines/>
        <w:keepNext/>
        <w:spacing w:before="0" w:beforeAutospacing="0" w:after="0" w:afterAutospacing="0" w:line="400" w:lineRule="exact"/>
        <w:widowControl w:val="off"/>
        <w:rPr>
          <w:color w:val="auto"/>
          <w:highlight w:val="none"/>
        </w:rPr>
      </w:pPr>
      <w:r/>
      <w:bookmarkStart w:id="102" w:name="_Toc513029225"/>
      <w:r/>
      <w:bookmarkStart w:id="103" w:name="_Toc462564084"/>
      <w:r/>
      <w:bookmarkStart w:id="104" w:name="_Toc16938541"/>
      <w:r/>
      <w:bookmarkStart w:id="105" w:name="_Toc20823297"/>
      <w:r>
        <w:rPr>
          <w:rFonts w:hint="eastAsia"/>
          <w:color w:val="auto"/>
          <w:highlight w:val="none"/>
        </w:rPr>
        <w:t xml:space="preserve">18、投标文件</w:t>
      </w:r>
      <w:bookmarkEnd w:id="102"/>
      <w:r/>
      <w:bookmarkEnd w:id="103"/>
      <w:r/>
      <w:bookmarkEnd w:id="104"/>
      <w:r/>
      <w:bookmarkEnd w:id="105"/>
      <w:r>
        <w:rPr>
          <w:rFonts w:hint="eastAsia"/>
          <w:color w:val="auto"/>
          <w:highlight w:val="none"/>
        </w:rPr>
        <w:t xml:space="preserve">的递交</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18.1 电子投标文件的递交</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投标人应当按照《操作手册》规定，在投标截止时间前制作并上传电子投标文件。</w:t>
      </w:r>
      <w:bookmarkStart w:id="106" w:name="_Toc20823298"/>
      <w:r/>
      <w:bookmarkEnd w:id="106"/>
      <w:r/>
      <w:bookmarkStart w:id="107" w:name="_Toc16938542"/>
      <w:r/>
      <w:bookmarkEnd w:id="107"/>
      <w:r/>
      <w:r/>
    </w:p>
    <w:p>
      <w:pPr>
        <w:pStyle w:val="844"/>
        <w:ind w:firstLine="480"/>
        <w:jc w:val="both"/>
        <w:keepLines/>
        <w:keepNext/>
        <w:spacing w:before="0" w:beforeAutospacing="0" w:after="0" w:afterAutospacing="0" w:line="400" w:lineRule="exact"/>
        <w:widowControl w:val="off"/>
        <w:rPr>
          <w:rFonts w:hint="eastAsia" w:eastAsia="宋体"/>
          <w:color w:val="auto"/>
          <w:highlight w:val="none"/>
          <w:lang w:eastAsia="zh-CN"/>
        </w:rPr>
      </w:pPr>
      <w:r>
        <w:rPr>
          <w:rFonts w:hint="eastAsia"/>
          <w:color w:val="auto"/>
          <w:highlight w:val="none"/>
        </w:rPr>
        <w:t xml:space="preserve">19、投标截止</w:t>
      </w:r>
      <w:r>
        <w:rPr>
          <w:rFonts w:hint="eastAsia"/>
          <w:color w:val="auto"/>
          <w:highlight w:val="none"/>
          <w:lang w:val="en-US" w:eastAsia="zh-CN"/>
        </w:rPr>
        <w:t xml:space="preserve">日期</w:t>
      </w:r>
      <w:r/>
    </w:p>
    <w:p>
      <w:pPr>
        <w:pStyle w:val="844"/>
        <w:ind w:firstLine="480"/>
        <w:jc w:val="both"/>
        <w:keepLines/>
        <w:keepNext/>
        <w:spacing w:before="0" w:beforeAutospacing="0" w:after="0" w:afterAutospacing="0" w:line="400" w:lineRule="exact"/>
        <w:widowControl w:val="off"/>
        <w:rPr>
          <w:color w:val="auto"/>
          <w:highlight w:val="none"/>
        </w:rPr>
      </w:pPr>
      <w:r>
        <w:rPr>
          <w:rFonts w:hint="eastAsia"/>
          <w:color w:val="auto"/>
          <w:highlight w:val="none"/>
        </w:rPr>
        <w:t xml:space="preserve">19.1投标人上传电子投标文件的时间不得迟于招标公告中规定的投标截止时间。</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投标人应充分考虑到网络环境、网络带宽等风险因素，如因投标人自身原因造成的电子投标文件上传不成功的按照本招标文件第二章第</w:t>
      </w:r>
      <w:r>
        <w:rPr>
          <w:rFonts w:hint="eastAsia"/>
          <w:color w:val="auto"/>
          <w:highlight w:val="none"/>
          <w:lang w:val="en-US" w:eastAsia="zh-CN"/>
        </w:rPr>
        <w:t xml:space="preserve">27.1.2条</w:t>
      </w:r>
      <w:r>
        <w:rPr>
          <w:rFonts w:hint="eastAsia"/>
          <w:color w:val="auto"/>
          <w:highlight w:val="none"/>
        </w:rPr>
        <w:t xml:space="preserve">规定做无效投标处理。</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19.2采购人可以按照规定，通过修改招标文件酌情延长投标截止时间，在此情况下，投标人的所有权利和义务以及投标人受制的截止</w:t>
      </w:r>
      <w:r>
        <w:rPr>
          <w:rFonts w:hint="eastAsia"/>
          <w:color w:val="auto"/>
          <w:highlight w:val="none"/>
          <w:lang w:val="en-US" w:eastAsia="zh-CN"/>
        </w:rPr>
        <w:t xml:space="preserve">日期</w:t>
      </w:r>
      <w:r>
        <w:rPr>
          <w:rFonts w:hint="eastAsia"/>
          <w:color w:val="auto"/>
          <w:highlight w:val="none"/>
        </w:rPr>
        <w:t xml:space="preserve">均应以延长后新的截止</w:t>
      </w:r>
      <w:r>
        <w:rPr>
          <w:rFonts w:hint="eastAsia"/>
          <w:color w:val="auto"/>
          <w:highlight w:val="none"/>
          <w:lang w:val="en-US" w:eastAsia="zh-CN"/>
        </w:rPr>
        <w:t xml:space="preserve">日期</w:t>
      </w:r>
      <w:r>
        <w:rPr>
          <w:rFonts w:hint="eastAsia"/>
          <w:color w:val="auto"/>
          <w:highlight w:val="none"/>
        </w:rPr>
        <w:t xml:space="preserve">为准。</w:t>
      </w:r>
      <w:r/>
    </w:p>
    <w:p>
      <w:pPr>
        <w:pStyle w:val="844"/>
        <w:ind w:firstLine="480"/>
        <w:jc w:val="both"/>
        <w:keepLines/>
        <w:keepNext/>
        <w:spacing w:before="0" w:beforeAutospacing="0" w:after="0" w:afterAutospacing="0" w:line="400" w:lineRule="exact"/>
        <w:widowControl w:val="off"/>
        <w:rPr>
          <w:color w:val="auto"/>
          <w:highlight w:val="none"/>
        </w:rPr>
      </w:pPr>
      <w:r/>
      <w:bookmarkStart w:id="108" w:name="_Toc20823299"/>
      <w:r/>
      <w:bookmarkStart w:id="109" w:name="_Toc16938543"/>
      <w:r/>
      <w:bookmarkStart w:id="110" w:name="_Toc513029227"/>
      <w:r>
        <w:rPr>
          <w:rFonts w:hint="eastAsia"/>
          <w:color w:val="auto"/>
          <w:highlight w:val="none"/>
        </w:rPr>
        <w:t xml:space="preserve">20、投标文件</w:t>
      </w:r>
      <w:bookmarkEnd w:id="108"/>
      <w:r/>
      <w:bookmarkEnd w:id="109"/>
      <w:r/>
      <w:bookmarkEnd w:id="110"/>
      <w:r>
        <w:rPr>
          <w:rFonts w:hint="eastAsia"/>
          <w:color w:val="auto"/>
          <w:highlight w:val="none"/>
        </w:rPr>
        <w:t xml:space="preserve">的拒收</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20.1采购人拒绝接收在其规定的投标截止时间后上传的任何投标文件。</w:t>
      </w:r>
      <w:r/>
    </w:p>
    <w:p>
      <w:pPr>
        <w:pStyle w:val="844"/>
        <w:ind w:firstLine="480"/>
        <w:jc w:val="both"/>
        <w:keepLines/>
        <w:keepNext/>
        <w:spacing w:before="0" w:beforeAutospacing="0" w:after="0" w:afterAutospacing="0" w:line="400" w:lineRule="exact"/>
        <w:widowControl w:val="off"/>
        <w:rPr>
          <w:color w:val="auto"/>
          <w:highlight w:val="none"/>
        </w:rPr>
      </w:pPr>
      <w:r/>
      <w:bookmarkStart w:id="111" w:name="_Toc513029228"/>
      <w:r/>
      <w:bookmarkStart w:id="112" w:name="_Toc20823300"/>
      <w:r/>
      <w:bookmarkStart w:id="113" w:name="_Toc16938544"/>
      <w:r>
        <w:rPr>
          <w:rFonts w:hint="eastAsia"/>
          <w:color w:val="auto"/>
          <w:highlight w:val="none"/>
        </w:rPr>
        <w:t xml:space="preserve">21、投标文件的撤回和修改</w:t>
      </w:r>
      <w:bookmarkEnd w:id="111"/>
      <w:r/>
      <w:bookmarkEnd w:id="112"/>
      <w:r/>
      <w:bookmarkEnd w:id="113"/>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21.1投标文件的撤回</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21.1.1电子投标文件的撤回</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投标人可在投标截止时间前，撤回其电子投标文件，具体操作方法见《操作手册》。</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21.1.2投标人撤回电子投标文件，则认为其不再参与本项目投标活动。</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21.2 投标文件的修改</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21.2.1投标人可在投标截止时间前，对其电子投标文件进行修改，具体操作方法见《操作手册》。</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21.2.2在投标截止时间之后，投标人不得对其电子投标文件作任何修改。</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21.3在投标截止时间至招标文件中规定的投标有效期满之间的这段时间内，投标人不得撤回其投标。</w:t>
      </w:r>
      <w:r/>
    </w:p>
    <w:p>
      <w:pPr>
        <w:pStyle w:val="844"/>
        <w:ind w:firstLine="482"/>
        <w:jc w:val="both"/>
        <w:keepLines/>
        <w:keepNext/>
        <w:spacing w:before="0" w:beforeAutospacing="0" w:after="0" w:afterAutospacing="0" w:line="400" w:lineRule="exact"/>
        <w:widowControl w:val="off"/>
        <w:rPr>
          <w:color w:val="auto"/>
          <w:highlight w:val="none"/>
        </w:rPr>
      </w:pPr>
      <w:r/>
      <w:bookmarkStart w:id="114" w:name="_Toc20823301"/>
      <w:r/>
      <w:bookmarkStart w:id="115" w:name="_Toc513029229"/>
      <w:r/>
      <w:bookmarkStart w:id="116" w:name="_Toc120614218"/>
      <w:r/>
      <w:bookmarkStart w:id="117" w:name="_Toc16938545"/>
      <w:r>
        <w:rPr>
          <w:rFonts w:hint="eastAsia"/>
          <w:b/>
          <w:color w:val="auto"/>
          <w:highlight w:val="none"/>
        </w:rPr>
        <w:t xml:space="preserve">五、开标与评标</w:t>
      </w:r>
      <w:bookmarkEnd w:id="114"/>
      <w:r/>
      <w:bookmarkEnd w:id="115"/>
      <w:r/>
      <w:bookmarkEnd w:id="116"/>
      <w:r/>
      <w:bookmarkEnd w:id="117"/>
      <w:r/>
      <w:r/>
    </w:p>
    <w:p>
      <w:pPr>
        <w:pStyle w:val="844"/>
        <w:ind w:firstLine="480"/>
        <w:jc w:val="both"/>
        <w:keepLines/>
        <w:keepNext/>
        <w:spacing w:before="0" w:beforeAutospacing="0" w:after="0" w:afterAutospacing="0" w:line="400" w:lineRule="exact"/>
        <w:widowControl w:val="off"/>
        <w:rPr>
          <w:color w:val="auto"/>
          <w:highlight w:val="none"/>
        </w:rPr>
      </w:pPr>
      <w:r/>
      <w:bookmarkStart w:id="118" w:name="_Toc16938546"/>
      <w:r/>
      <w:bookmarkStart w:id="119" w:name="_Toc20823302"/>
      <w:r/>
      <w:bookmarkStart w:id="120" w:name="_Toc513029230"/>
      <w:r>
        <w:rPr>
          <w:rFonts w:hint="eastAsia"/>
          <w:color w:val="auto"/>
          <w:highlight w:val="none"/>
        </w:rPr>
        <w:t xml:space="preserve">22、开标</w:t>
      </w:r>
      <w:bookmarkEnd w:id="118"/>
      <w:r/>
      <w:bookmarkEnd w:id="119"/>
      <w:r/>
      <w:bookmarkEnd w:id="120"/>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22.1采购人委托代理机构将在招标公告中规定的时间和地点组织公开开标。投标人应当按照《操作手册》规定，参加开标活动和在苏采云系统规定的时间内对投标文件进行解密。</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22.2开标仪式由采购人委托代理机构组织。苏采云系统将自动对项目进行开标，并宣布各投标人名称和投标价格。</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22.3投标人在开标过程中涉及到的投标文件解密、开标结果确认等工作，应按照《操作手册》规定执行。</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22.4投标人如果对开标过程和开标记录有疑义，应当根据《操作手册》规定提出，如苏采云系统中《开标记录表》宣布后5分钟内未提出的，视同认可开标结果。</w:t>
      </w:r>
      <w:r/>
    </w:p>
    <w:p>
      <w:pPr>
        <w:pStyle w:val="844"/>
        <w:ind w:firstLine="480"/>
        <w:jc w:val="both"/>
        <w:keepLines/>
        <w:keepNext/>
        <w:spacing w:before="0" w:beforeAutospacing="0" w:after="0" w:afterAutospacing="0" w:line="400" w:lineRule="exact"/>
        <w:widowControl w:val="off"/>
        <w:rPr>
          <w:color w:val="auto"/>
          <w:highlight w:val="none"/>
        </w:rPr>
      </w:pPr>
      <w:r/>
      <w:bookmarkStart w:id="121" w:name="_Toc20823303"/>
      <w:r/>
      <w:bookmarkStart w:id="122" w:name="_Toc513029231"/>
      <w:r/>
      <w:bookmarkStart w:id="123" w:name="_Toc16938547"/>
      <w:r>
        <w:rPr>
          <w:rFonts w:hint="eastAsia"/>
          <w:color w:val="auto"/>
          <w:highlight w:val="none"/>
        </w:rPr>
        <w:t xml:space="preserve">23、评标委员会</w:t>
      </w:r>
      <w:bookmarkEnd w:id="121"/>
      <w:r/>
      <w:bookmarkEnd w:id="122"/>
      <w:r/>
      <w:bookmarkEnd w:id="123"/>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23.1开标后，采购人将立即组织评标委员会（以下简称评委会）进行评标。</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23.2评委会由采购人代表和有关技术、经济等方面的专家组成，且人员构成符合政府采购有关规定。</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23.3评委会独立工作，负责评审所有投标文件并确定中标侯选人。</w:t>
      </w:r>
      <w:r/>
    </w:p>
    <w:p>
      <w:pPr>
        <w:pStyle w:val="844"/>
        <w:ind w:firstLine="480"/>
        <w:jc w:val="both"/>
        <w:keepLines/>
        <w:keepNext/>
        <w:spacing w:before="0" w:beforeAutospacing="0" w:after="0" w:afterAutospacing="0" w:line="400" w:lineRule="exact"/>
        <w:widowControl w:val="off"/>
        <w:rPr>
          <w:color w:val="auto"/>
          <w:highlight w:val="none"/>
        </w:rPr>
      </w:pPr>
      <w:r>
        <w:rPr>
          <w:rFonts w:hint="eastAsia"/>
          <w:color w:val="auto"/>
          <w:highlight w:val="none"/>
          <w:lang w:val="en-US" w:eastAsia="zh-CN"/>
        </w:rPr>
        <w:t xml:space="preserve">24</w:t>
      </w:r>
      <w:r>
        <w:rPr>
          <w:rFonts w:hint="eastAsia"/>
          <w:color w:val="auto"/>
          <w:highlight w:val="none"/>
        </w:rPr>
        <w:t xml:space="preserve">、评标过程的保密与公正</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24.1凡是与审查、澄清、评价和比较投标的有关资料以及授标建议等，采购人、评委、采购人均不得向投标人或与评标无关的其他人员透露。</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24.2在评标过程中，投标人不得以任何行为影响评标过程，否则其投标文件将被作为无效投标文件。</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24.3采购人和评标委员会不向未中标的投标人解释未中标原因，也不公布评标过程中的相关细节。</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24.4采用综合评分法的项目，未中标的投标人可于中标结果公告期限届满之日起通过苏采云系统查看自己的评审得分及排序情况。</w:t>
      </w:r>
      <w:r/>
    </w:p>
    <w:p>
      <w:pPr>
        <w:pStyle w:val="844"/>
        <w:ind w:firstLine="480"/>
        <w:jc w:val="both"/>
        <w:keepLines/>
        <w:keepNext/>
        <w:spacing w:before="0" w:beforeAutospacing="0" w:after="0" w:afterAutospacing="0" w:line="400" w:lineRule="exact"/>
        <w:widowControl w:val="off"/>
        <w:rPr>
          <w:color w:val="auto"/>
          <w:highlight w:val="none"/>
        </w:rPr>
      </w:pPr>
      <w:r/>
      <w:bookmarkStart w:id="124" w:name="_Toc20823304"/>
      <w:r/>
      <w:bookmarkStart w:id="125" w:name="_Toc16938548"/>
      <w:r/>
      <w:bookmarkStart w:id="126" w:name="_Toc513029232"/>
      <w:r>
        <w:rPr>
          <w:rFonts w:hint="eastAsia"/>
          <w:color w:val="auto"/>
          <w:highlight w:val="none"/>
        </w:rPr>
        <w:t xml:space="preserve">25、投标文件的澄清</w:t>
      </w:r>
      <w:bookmarkEnd w:id="124"/>
      <w:r/>
      <w:bookmarkEnd w:id="125"/>
      <w:r/>
      <w:bookmarkEnd w:id="126"/>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25.1评标期间，评委会对投标文件中含义不明确、同类问题表述不一致或者有明显文字和计算错误的内容，有权要求投标人作出必要的澄清、说明或者补正。</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投标人的澄清、说明或者补正不得超出投标文件的范围或者改变投标文件的实质性内容。</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评标委员会并非对每个投标人都做澄清要求。</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25.3接到评委会澄清、说明和补正要求的投标人如未按规定做出澄清、说明和补正，其风险由投标人自行承担。</w:t>
      </w:r>
      <w:r/>
    </w:p>
    <w:p>
      <w:pPr>
        <w:pStyle w:val="844"/>
        <w:ind w:firstLine="480"/>
        <w:jc w:val="both"/>
        <w:keepLines/>
        <w:keepNext/>
        <w:spacing w:before="0" w:beforeAutospacing="0" w:after="0" w:afterAutospacing="0" w:line="400" w:lineRule="exact"/>
        <w:widowControl w:val="off"/>
        <w:rPr>
          <w:color w:val="auto"/>
          <w:highlight w:val="none"/>
        </w:rPr>
      </w:pPr>
      <w:r/>
      <w:bookmarkStart w:id="127" w:name="_Toc16938549"/>
      <w:r/>
      <w:bookmarkStart w:id="128" w:name="_Toc20823305"/>
      <w:r/>
      <w:bookmarkStart w:id="129" w:name="_Toc513029233"/>
      <w:r>
        <w:rPr>
          <w:rFonts w:hint="eastAsia"/>
          <w:color w:val="auto"/>
          <w:highlight w:val="none"/>
        </w:rPr>
        <w:t xml:space="preserve">26、对投标文件的初审</w:t>
      </w:r>
      <w:bookmarkEnd w:id="127"/>
      <w:r/>
      <w:bookmarkEnd w:id="128"/>
      <w:r/>
      <w:bookmarkEnd w:id="129"/>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26.1投标文件初审分为资格审查和符合性审查。</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26.1.1资格审查：依据法律法规和招标文件的规定，由采购人对投标文件中的资格证明文件进行审查。资格审查的结论，采购人以书面形式向评委会进行反馈。</w:t>
      </w:r>
      <w:r/>
    </w:p>
    <w:p>
      <w:pPr>
        <w:pStyle w:val="844"/>
        <w:ind w:firstLine="482"/>
        <w:jc w:val="both"/>
        <w:keepLines w:val="0"/>
        <w:keepNext w:val="0"/>
        <w:pageBreakBefore w:val="0"/>
        <w:spacing w:before="0" w:beforeAutospacing="0" w:after="0" w:afterAutospacing="0" w:line="400" w:lineRule="exact"/>
        <w:widowControl w:val="off"/>
        <w:rPr>
          <w:rFonts w:hint="eastAsia"/>
          <w:color w:val="auto"/>
          <w:highlight w:val="none"/>
        </w:rPr>
      </w:pPr>
      <w:r>
        <w:rPr>
          <w:rFonts w:hint="eastAsia"/>
          <w:color w:val="auto"/>
          <w:highlight w:val="none"/>
        </w:rPr>
        <w:t xml:space="preserve">采购人在进行资格性审查的同时，将在“信用中国”网站（www.creditchina.gov.cn）查询投标人的信用记录，以确定投标人是否具备投标资格,查询结果留存并归档</w:t>
      </w:r>
      <w:r/>
    </w:p>
    <w:p>
      <w:pPr>
        <w:pStyle w:val="844"/>
        <w:ind w:firstLine="482"/>
        <w:jc w:val="both"/>
        <w:keepLines w:val="0"/>
        <w:keepNext w:val="0"/>
        <w:pageBreakBefore w:val="0"/>
        <w:spacing w:before="0" w:beforeAutospacing="0" w:after="0" w:afterAutospacing="0" w:line="400" w:lineRule="exact"/>
        <w:widowControl w:val="off"/>
        <w:rPr>
          <w:color w:val="auto"/>
          <w:highlight w:val="none"/>
        </w:rPr>
      </w:pPr>
      <w:r>
        <w:rPr>
          <w:rFonts w:hint="eastAsia"/>
          <w:color w:val="auto"/>
          <w:highlight w:val="none"/>
        </w:rPr>
        <w:t xml:space="preserve">接受联合体的项目，两个以上的自然人、法人或者其他组织组成一个联合体，以一个供应商的身份共同参加政府采购活动的</w:t>
      </w:r>
      <w:r>
        <w:rPr>
          <w:rFonts w:hint="eastAsia"/>
          <w:color w:val="auto"/>
          <w:highlight w:val="none"/>
          <w:lang w:eastAsia="zh-CN"/>
        </w:rPr>
        <w:t xml:space="preserve">，</w:t>
      </w:r>
      <w:r>
        <w:rPr>
          <w:rFonts w:hint="eastAsia"/>
          <w:color w:val="auto"/>
          <w:highlight w:val="none"/>
        </w:rPr>
        <w:t xml:space="preserve">联合体成员中任何一方存在不良信用记录的，视同联合体存在不良应用记录。</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26.1.2符合性审查：依据招标文件的规定，由评委会从投标文件的有效性、完整性和对招标文件的响应程度进行审查，以确定是否对招标文件的实质性要求作出响应。</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26.1.3未通过资格审查或符合性审查的投标人，采购人将在苏采云系统中告知未通过资格审查或符合性审查的原因，评标结束后，采购人将不再告知未通过资格审查和符合性审查的原因。</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26.3如果投标文件实质上没有响应招标文件的要求，评委会将予以拒绝，投标人不得通过修改或撤销不合要求的偏离或保留而使其投标成为实质性响应的投标。</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26.4评委会将对确定为实质性响应的投标进行进一步审核，确定其是否有计算上或累加上的算术错误，修正错误的原则如下：</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（1）投标文件中开标一览表内容与投标文件中相应内容不一致的，以开标一览表为准。</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（2）大写金额和小写金额不一致的，以大写金额为准。</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（3）单价金额小数点或者百分比有明显错位的，以开标一览表的总价为准，并修改单价。</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（4）总价金额与按单价汇总金额不一致的，以单价金额计算结果为准。</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同时出现两种以上错误的，按照前款规定的顺序修正。</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非单一产品采购项目，招标文件中将载明其中的核心产品。多家投标人提供的核心产品品牌相同的，按前两款规定处理。</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26.7投标人在开、评标全过程中应保持通讯畅通，及时登录苏采云系统查阅、答复相关信息，并安排专人与采购中心及评标委员会联系。</w:t>
      </w:r>
      <w:r/>
    </w:p>
    <w:p>
      <w:pPr>
        <w:pStyle w:val="844"/>
        <w:ind w:firstLine="480"/>
        <w:jc w:val="both"/>
        <w:keepLines/>
        <w:keepNext/>
        <w:spacing w:before="0" w:beforeAutospacing="0" w:after="0" w:afterAutospacing="0" w:line="400" w:lineRule="exact"/>
        <w:widowControl w:val="off"/>
        <w:rPr>
          <w:color w:val="auto"/>
          <w:highlight w:val="none"/>
        </w:rPr>
      </w:pPr>
      <w:r>
        <w:rPr>
          <w:rFonts w:hint="eastAsia"/>
          <w:color w:val="auto"/>
          <w:highlight w:val="none"/>
        </w:rPr>
        <w:t xml:space="preserve">27、无效投标条款和废标条款</w:t>
      </w:r>
      <w:r/>
    </w:p>
    <w:p>
      <w:pPr>
        <w:pStyle w:val="844"/>
        <w:ind w:firstLine="480"/>
        <w:jc w:val="both"/>
        <w:spacing w:before="0" w:beforeAutospacing="0" w:after="0" w:afterAutospacing="0" w:line="400" w:lineRule="exact"/>
        <w:widowControl w:val="off"/>
        <w:rPr>
          <w:color w:val="auto"/>
          <w:highlight w:val="none"/>
        </w:rPr>
      </w:pPr>
      <w:r/>
      <w:bookmarkStart w:id="130" w:name="_Toc513029235"/>
      <w:r/>
      <w:bookmarkStart w:id="131" w:name="_Toc16938551"/>
      <w:r/>
      <w:bookmarkStart w:id="132" w:name="_Toc20823307"/>
      <w:r>
        <w:rPr>
          <w:rFonts w:hint="eastAsia"/>
          <w:color w:val="auto"/>
          <w:highlight w:val="none"/>
        </w:rPr>
        <w:t xml:space="preserve">27.1无效投标条款</w:t>
      </w:r>
      <w:bookmarkEnd w:id="130"/>
      <w:r/>
      <w:bookmarkEnd w:id="131"/>
      <w:r/>
      <w:bookmarkEnd w:id="132"/>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27.1.1投标人在苏采云系统规定的时间内未成功解密电子投标文件的。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27.1.2投标人未按照招标文件要求上传电子投标文件的。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27.1.3同一投标人提交两个（含两个）以上不同的投标报价的。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27.1.4投标人不具备招标文件中规定资格要求的。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27.1.5投标人的报价超过了采购预算或最高限价的。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27.1.6未通过符合性审查的。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27.1.7不符合招标文件中规定的实质性要求和条件的</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本招标文件中斜体且有下划线部分为实质性要求和条件）</w:t>
      </w:r>
      <w:r>
        <w:rPr>
          <w:rFonts w:hint="eastAsia"/>
          <w:i/>
          <w:color w:val="auto"/>
          <w:highlight w:val="none"/>
        </w:rPr>
        <w:t xml:space="preserve">。</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27.1.9投标文件含有采购人不能接受的附加条件的。</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ascii="宋体" w:hAnsi="宋体" w:eastAsia="宋体" w:cs="宋体"/>
          <w:color w:val="auto"/>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27.1.1</w:t>
      </w:r>
      <w:r>
        <w:rPr>
          <w:rFonts w:hint="eastAsia"/>
          <w:color w:val="auto"/>
          <w:highlight w:val="none"/>
          <w:lang w:val="en-US" w:eastAsia="zh-CN"/>
        </w:rPr>
        <w:t xml:space="preserve">2</w:t>
      </w:r>
      <w:r>
        <w:rPr>
          <w:rFonts w:hint="eastAsia"/>
          <w:color w:val="auto"/>
          <w:highlight w:val="none"/>
        </w:rPr>
        <w:t xml:space="preserve">投标文件未按照招标文件要求加盖CA电子公章的。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27.1.1</w:t>
      </w:r>
      <w:r>
        <w:rPr>
          <w:rFonts w:hint="eastAsia"/>
          <w:color w:val="auto"/>
          <w:highlight w:val="none"/>
          <w:lang w:val="en-US" w:eastAsia="zh-CN"/>
        </w:rPr>
        <w:t xml:space="preserve">3</w:t>
      </w:r>
      <w:r>
        <w:rPr>
          <w:rFonts w:hint="eastAsia"/>
          <w:color w:val="auto"/>
          <w:highlight w:val="none"/>
        </w:rPr>
        <w:t xml:space="preserve">其他法律、法规及本招标文件规定的属无效投标的情形。</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27.2废标条款</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27.2.1符合专业条件的供应商或者对招标文件作实质响应的供应商不足三家的。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27.2.2出现影响采购公正的违法、违规行为的。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27.2.3因重大变故，采购任务取消的。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27.2.4评标委员会认定招标文件存在歧义、重大缺陷导致评审工作无法进行。</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27.2.5因苏采云系统系统故障原因造成开标不成功的。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27.3 投标截止时间结束后参加投标的供应商不足三家的处理：</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27.3.1如出现投标截止时间结束后参加投标的供应商或者在评标期间对招标文件做出实质响应的供应商不足三家情况，按政府采购相关规定执行。</w:t>
      </w:r>
      <w:r/>
    </w:p>
    <w:p>
      <w:pPr>
        <w:pStyle w:val="844"/>
        <w:ind w:firstLine="482"/>
        <w:jc w:val="both"/>
        <w:keepLines/>
        <w:keepNext/>
        <w:spacing w:before="0" w:beforeAutospacing="0" w:after="0" w:afterAutospacing="0" w:line="400" w:lineRule="exact"/>
        <w:widowControl w:val="off"/>
        <w:rPr>
          <w:color w:val="auto"/>
          <w:highlight w:val="none"/>
        </w:rPr>
      </w:pPr>
      <w:r/>
      <w:bookmarkStart w:id="133" w:name="_Toc120614219"/>
      <w:r>
        <w:rPr>
          <w:rFonts w:hint="eastAsia"/>
          <w:b/>
          <w:color w:val="auto"/>
          <w:highlight w:val="none"/>
        </w:rPr>
        <w:t xml:space="preserve">六、定标</w:t>
      </w:r>
      <w:bookmarkEnd w:id="133"/>
      <w:r/>
      <w:r/>
    </w:p>
    <w:p>
      <w:pPr>
        <w:pStyle w:val="844"/>
        <w:ind w:firstLine="480"/>
        <w:jc w:val="both"/>
        <w:keepLines/>
        <w:keepNext/>
        <w:spacing w:before="0" w:beforeAutospacing="0" w:after="0" w:afterAutospacing="0" w:line="400" w:lineRule="exact"/>
        <w:widowControl w:val="off"/>
        <w:rPr>
          <w:color w:val="auto"/>
          <w:highlight w:val="none"/>
        </w:rPr>
      </w:pPr>
      <w:r/>
      <w:bookmarkStart w:id="134" w:name="_Toc20823310"/>
      <w:r/>
      <w:bookmarkStart w:id="135" w:name="_Toc16938554"/>
      <w:r/>
      <w:bookmarkStart w:id="136" w:name="_Toc513029238"/>
      <w:r>
        <w:rPr>
          <w:rFonts w:hint="eastAsia"/>
          <w:color w:val="auto"/>
          <w:highlight w:val="none"/>
        </w:rPr>
        <w:t xml:space="preserve">28、</w:t>
      </w:r>
      <w:bookmarkEnd w:id="134"/>
      <w:r>
        <w:rPr>
          <w:rFonts w:hint="eastAsia"/>
          <w:color w:val="auto"/>
          <w:highlight w:val="none"/>
        </w:rPr>
        <w:t xml:space="preserve">确定</w:t>
      </w:r>
      <w:bookmarkEnd w:id="135"/>
      <w:r/>
      <w:bookmarkEnd w:id="136"/>
      <w:r>
        <w:rPr>
          <w:rFonts w:hint="eastAsia"/>
          <w:color w:val="auto"/>
          <w:highlight w:val="none"/>
        </w:rPr>
        <w:t xml:space="preserve">中标单位</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28.1中标候选人的选取原则和数量见招标文件第五章规定。 </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28.2采购人应根据评委会推荐的中标候选人确定中标人。</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28.3采购人将在“中国政府采购网”、“江苏政府采购网”、“盐城市政府采购网”发布中标公告，公告期限为1个工作日。</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28.4若有充分证据证明，中标人出现下列情况之一的，一经查实，将被取消中标资格：</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28.4.1提供虚假材料谋取中标的。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28.4.2向采购人、采购人行贿或者提供其他不正当利益的。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28.4.3属于本文件规定的无效条件，但在评标过程中又未被评委会发现的。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28.4.4与采购人或者其他供应商恶意串通的。</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28.4.5采取不正当手段诋毁、排挤其他供应商的。</w:t>
      </w:r>
      <w:r/>
    </w:p>
    <w:p>
      <w:pPr>
        <w:pStyle w:val="844"/>
        <w:ind w:firstLine="480"/>
        <w:jc w:val="both"/>
        <w:spacing w:before="0" w:beforeAutospacing="0" w:after="0" w:afterAutospacing="0" w:line="400" w:lineRule="exact"/>
        <w:widowControl w:val="off"/>
        <w:rPr>
          <w:color w:val="auto"/>
          <w:highlight w:val="none"/>
        </w:rPr>
      </w:pPr>
      <w:r/>
      <w:bookmarkStart w:id="137" w:name="_Toc200451960"/>
      <w:r>
        <w:rPr>
          <w:rFonts w:hint="eastAsia"/>
          <w:color w:val="auto"/>
          <w:highlight w:val="none"/>
        </w:rPr>
        <w:t xml:space="preserve">28.5 有下列情形之一的，视为投标人串通投标，投标无效：</w:t>
      </w:r>
      <w:bookmarkEnd w:id="137"/>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28.5.1不同投标人的投标文件由同一单位或者个人编制。</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28.5.2不同投标人委托同一单位或者个人办理投标事宜。</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28.5.3不同投标人的投标文件载明的项目管理成员或者联系人员为同一人。</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28.5.4不同投标人的投标文件异常一致或者投标报价呈规律性差异。</w:t>
      </w:r>
      <w:r/>
    </w:p>
    <w:p>
      <w:pPr>
        <w:pStyle w:val="844"/>
        <w:ind w:firstLine="480"/>
        <w:jc w:val="both"/>
        <w:keepLines/>
        <w:keepNext/>
        <w:spacing w:before="0" w:beforeAutospacing="0" w:after="0" w:afterAutospacing="0" w:line="400" w:lineRule="exact"/>
        <w:widowControl w:val="off"/>
        <w:rPr>
          <w:color w:val="auto"/>
          <w:highlight w:val="none"/>
        </w:rPr>
      </w:pPr>
      <w:r>
        <w:rPr>
          <w:rFonts w:hint="eastAsia"/>
          <w:color w:val="auto"/>
          <w:highlight w:val="none"/>
        </w:rPr>
        <w:t xml:space="preserve">29、质疑处理</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29.1提出质疑的供应商应当是参与所质疑项目采购活动的供应商。潜在供应商依法获取其可质疑的采购文件的，可以对采购文件提出质疑。</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29.2供应商认为采购文件、采购过程和采购结果使自己的权益受到损害的，可以在知道或应知其权益受到损害之日起七个工作日内，以书面形式根据下述</w:t>
      </w:r>
      <w:r>
        <w:rPr>
          <w:rFonts w:hint="eastAsia"/>
          <w:color w:val="auto"/>
          <w:highlight w:val="none"/>
          <w:lang w:val="en-US" w:eastAsia="zh-CN"/>
        </w:rPr>
        <w:t xml:space="preserve">29.4条款</w:t>
      </w:r>
      <w:r>
        <w:rPr>
          <w:rFonts w:hint="eastAsia"/>
          <w:color w:val="auto"/>
          <w:highlight w:val="none"/>
        </w:rPr>
        <w:t xml:space="preserve">的规定向采购人或</w:t>
      </w:r>
      <w:r>
        <w:rPr>
          <w:rFonts w:hint="eastAsia"/>
          <w:color w:val="auto"/>
          <w:highlight w:val="none"/>
          <w:lang w:val="en-US" w:eastAsia="zh-CN"/>
        </w:rPr>
        <w:t xml:space="preserve">招标代理机构</w:t>
      </w:r>
      <w:r>
        <w:rPr>
          <w:rFonts w:hint="eastAsia"/>
          <w:color w:val="auto"/>
          <w:highlight w:val="none"/>
        </w:rPr>
        <w:t xml:space="preserve">提出质疑。上述应知其权益受到损害之日，是指：</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29.2.1对可以质疑的采购文件提出质疑的，为收到采购文件之日或者采购文件公告期限届满之日；</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29.2.2对采购过程提出质疑的，为各采购程序环节结束之日；</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29.2.3对中标或者成交结果提出质疑的，为中标或者成交结果公告期限届满之日。</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29.4</w:t>
      </w:r>
      <w:r>
        <w:rPr>
          <w:rFonts w:hint="eastAsia" w:ascii="宋体" w:hAnsi="宋体" w:eastAsia="宋体" w:cs="宋体"/>
          <w:color w:val="auto"/>
          <w:sz w:val="24"/>
          <w:szCs w:val="24"/>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负责答复。</w:t>
      </w:r>
      <w:r/>
    </w:p>
    <w:p>
      <w:pPr>
        <w:ind w:firstLine="480"/>
        <w:jc w:val="left"/>
        <w:spacing w:line="400" w:lineRule="exact"/>
        <w:tabs>
          <w:tab w:val="left" w:pos="1331" w:leader="none"/>
        </w:tabs>
        <w:rPr>
          <w:rFonts w:ascii="宋体" w:hAnsi="宋体" w:cs="宋体"/>
          <w:color w:val="auto"/>
          <w:sz w:val="24"/>
          <w:highlight w:val="none"/>
        </w:rPr>
      </w:pPr>
      <w:r>
        <w:rPr>
          <w:rFonts w:hint="eastAsia" w:ascii="宋体" w:hAnsi="宋体" w:cs="宋体"/>
          <w:color w:val="auto"/>
          <w:sz w:val="24"/>
          <w:highlight w:val="none"/>
        </w:rPr>
        <w:t xml:space="preserve">采购人只接收以纸质原件形式送达的质疑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采购人不接受未填写快递运单的快件。</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29.5 以下情形的质疑不予受理</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29.5.1内容不符合《政府采购质疑和投诉办法》第十二条规定的质疑。</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29.5.2超出政府采购法定期限的质疑。</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29.5.3以传真、电子邮件等方式递交的非原件形式的质疑。</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29.5.4未参加投标活动的供应商或在投标活动中自身权益未受到损害的供应商所提出的质疑。</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44"/>
        <w:ind w:firstLine="480"/>
        <w:jc w:val="both"/>
        <w:keepLines/>
        <w:keepNext/>
        <w:spacing w:before="0" w:beforeAutospacing="0" w:after="0" w:afterAutospacing="0" w:line="400" w:lineRule="exact"/>
        <w:widowControl w:val="off"/>
        <w:rPr>
          <w:color w:val="auto"/>
          <w:highlight w:val="none"/>
        </w:rPr>
      </w:pPr>
      <w:r>
        <w:rPr>
          <w:rFonts w:hint="eastAsia"/>
          <w:color w:val="auto"/>
          <w:highlight w:val="none"/>
        </w:rPr>
        <w:t xml:space="preserve">30、中标通知书</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30.l中标结果确定后，采购人将向中标人发出中标通知书。请中标人在中标结果公告届满之日起30日内</w:t>
      </w:r>
      <w:r>
        <w:rPr>
          <w:rFonts w:hint="eastAsia"/>
          <w:color w:val="auto"/>
          <w:highlight w:val="none"/>
          <w:lang w:eastAsia="zh-CN"/>
        </w:rPr>
        <w:t xml:space="preserve">，</w:t>
      </w:r>
      <w:r>
        <w:rPr>
          <w:rFonts w:hint="eastAsia"/>
          <w:color w:val="auto"/>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color w:val="auto"/>
          <w:highlight w:val="none"/>
          <w:lang w:eastAsia="zh-CN"/>
        </w:rPr>
        <w:t xml:space="preserve">，</w:t>
      </w:r>
      <w:r>
        <w:rPr>
          <w:rFonts w:hint="eastAsia"/>
          <w:color w:val="auto"/>
          <w:highlight w:val="none"/>
        </w:rPr>
        <w:t xml:space="preserve">因未及时下载而造成的不利后果由中标人自行承担。</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844"/>
        <w:ind w:firstLine="482"/>
        <w:jc w:val="both"/>
        <w:keepLines/>
        <w:keepNext/>
        <w:spacing w:before="0" w:beforeAutospacing="0" w:after="0" w:afterAutospacing="0" w:line="400" w:lineRule="exact"/>
        <w:widowControl w:val="off"/>
        <w:rPr>
          <w:color w:val="auto"/>
          <w:highlight w:val="none"/>
        </w:rPr>
      </w:pPr>
      <w:r/>
      <w:bookmarkStart w:id="138" w:name="_Toc513029236"/>
      <w:r/>
      <w:bookmarkStart w:id="139" w:name="_Toc16938552"/>
      <w:r/>
      <w:bookmarkStart w:id="140" w:name="_Toc20823308"/>
      <w:r/>
      <w:bookmarkStart w:id="141" w:name="_Toc120614220"/>
      <w:r>
        <w:rPr>
          <w:rFonts w:hint="eastAsia"/>
          <w:b/>
          <w:color w:val="auto"/>
          <w:highlight w:val="none"/>
        </w:rPr>
        <w:t xml:space="preserve">七、授予合同</w:t>
      </w:r>
      <w:bookmarkEnd w:id="138"/>
      <w:r/>
      <w:bookmarkEnd w:id="139"/>
      <w:r/>
      <w:bookmarkEnd w:id="140"/>
      <w:r/>
      <w:bookmarkEnd w:id="141"/>
      <w:r/>
      <w:r/>
    </w:p>
    <w:p>
      <w:pPr>
        <w:pStyle w:val="844"/>
        <w:ind w:firstLine="480"/>
        <w:jc w:val="both"/>
        <w:keepLines/>
        <w:keepNext/>
        <w:spacing w:before="0" w:beforeAutospacing="0" w:after="0" w:afterAutospacing="0" w:line="400" w:lineRule="exact"/>
        <w:widowControl w:val="off"/>
        <w:rPr>
          <w:color w:val="auto"/>
          <w:highlight w:val="none"/>
        </w:rPr>
      </w:pPr>
      <w:r/>
      <w:bookmarkStart w:id="142" w:name="_Toc16938553"/>
      <w:r/>
      <w:bookmarkStart w:id="143" w:name="_Toc20823309"/>
      <w:r/>
      <w:bookmarkStart w:id="144" w:name="_Toc513029237"/>
      <w:r>
        <w:rPr>
          <w:rFonts w:hint="eastAsia"/>
          <w:color w:val="auto"/>
          <w:highlight w:val="none"/>
        </w:rPr>
        <w:t xml:space="preserve">31.签订合同</w:t>
      </w:r>
      <w:bookmarkEnd w:id="142"/>
      <w:r/>
      <w:bookmarkEnd w:id="143"/>
      <w:r/>
      <w:bookmarkEnd w:id="144"/>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31.l中标人应当在中标通知书发出之日起</w:t>
      </w:r>
      <w:r>
        <w:rPr>
          <w:rFonts w:hint="eastAsia"/>
          <w:color w:val="auto"/>
          <w:highlight w:val="none"/>
          <w:lang w:val="en-US" w:eastAsia="zh-CN"/>
        </w:rPr>
        <w:t xml:space="preserve">三十</w:t>
      </w:r>
      <w:r>
        <w:rPr>
          <w:rFonts w:hint="eastAsia"/>
          <w:color w:val="auto"/>
          <w:highlight w:val="none"/>
        </w:rPr>
        <w:t xml:space="preserve">日内，按照招标文件确定的事项与采购人签订政府采购合同。</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31.2招标文件、中标人的投标文件及招标过程中有关澄清、承诺文件均应作为合同附件。</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844"/>
        <w:ind w:firstLine="480"/>
        <w:jc w:val="both"/>
        <w:keepLines/>
        <w:keepNext/>
        <w:spacing w:before="0" w:beforeAutospacing="0" w:after="0" w:afterAutospacing="0" w:line="400" w:lineRule="exact"/>
        <w:widowControl w:val="off"/>
        <w:rPr>
          <w:color w:val="auto"/>
          <w:highlight w:val="none"/>
        </w:rPr>
      </w:pPr>
      <w:r>
        <w:rPr>
          <w:rFonts w:hint="eastAsia"/>
          <w:color w:val="auto"/>
          <w:highlight w:val="none"/>
        </w:rPr>
        <w:t xml:space="preserve">32、</w:t>
      </w:r>
      <w:r>
        <w:rPr>
          <w:rFonts w:hint="eastAsia" w:ascii="宋体" w:hAnsi="宋体" w:eastAsia="宋体" w:cs="宋体"/>
          <w:color w:val="auto"/>
          <w:sz w:val="24"/>
          <w:szCs w:val="24"/>
          <w:highlight w:val="none"/>
        </w:rPr>
        <w:t xml:space="preserve">货物（包含与货物相关的服务）的追加</w:t>
      </w:r>
      <w:r/>
    </w:p>
    <w:p>
      <w:pPr>
        <w:pStyle w:val="844"/>
        <w:ind w:firstLine="480"/>
        <w:jc w:val="both"/>
        <w:spacing w:before="0" w:beforeAutospacing="0" w:after="0" w:afterAutospacing="0" w:line="400" w:lineRule="exact"/>
        <w:widowControl w:val="off"/>
        <w:rPr>
          <w:rFonts w:hint="eastAsia" w:eastAsia="宋体"/>
          <w:color w:val="auto"/>
          <w:highlight w:val="none"/>
          <w:lang w:eastAsia="zh-CN"/>
        </w:rPr>
      </w:pPr>
      <w:r>
        <w:rPr>
          <w:rFonts w:hint="eastAsia"/>
          <w:color w:val="auto"/>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color w:val="auto"/>
          <w:highlight w:val="none"/>
          <w:lang w:eastAsia="zh-CN"/>
        </w:rPr>
        <w:t xml:space="preserve">。</w:t>
      </w:r>
      <w:bookmarkEnd w:id="37"/>
      <w:r/>
      <w:bookmarkEnd w:id="38"/>
      <w:r/>
      <w:bookmarkEnd w:id="39"/>
      <w:r/>
      <w:bookmarkEnd w:id="40"/>
      <w:r/>
      <w:bookmarkEnd w:id="41"/>
      <w:r/>
      <w:bookmarkEnd w:id="42"/>
      <w:r/>
      <w:bookmarkEnd w:id="43"/>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bookmarkStart w:id="145" w:name="_Toc508216932"/>
      <w:r/>
      <w:bookmarkStart w:id="146" w:name="_Toc397928599"/>
      <w:r>
        <w:rPr>
          <w:rFonts w:hint="eastAsia"/>
          <w:color w:val="auto"/>
          <w:highlight w:val="none"/>
          <w:lang w:val="en-US" w:eastAsia="zh-CN"/>
        </w:rPr>
        <w:t xml:space="preserve">33、政府采购政策功能落实</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lang w:val="en-US" w:eastAsia="zh-CN"/>
        </w:rPr>
        <w:t xml:space="preserve">33.1</w:t>
      </w:r>
      <w:r>
        <w:rPr>
          <w:rFonts w:hint="eastAsia"/>
          <w:color w:val="auto"/>
          <w:highlight w:val="none"/>
        </w:rPr>
        <w:t xml:space="preserve">政府采购</w:t>
      </w:r>
      <w:r>
        <w:rPr>
          <w:rFonts w:hint="eastAsia"/>
          <w:color w:val="auto"/>
          <w:highlight w:val="none"/>
          <w:lang w:eastAsia="zh-CN"/>
        </w:rPr>
        <w:t xml:space="preserve">线上合同信用融资</w:t>
      </w:r>
      <w:r>
        <w:rPr>
          <w:rFonts w:hint="eastAsia"/>
          <w:color w:val="auto"/>
          <w:highlight w:val="none"/>
        </w:rPr>
        <w:t xml:space="preserve">政策</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根据《转发江苏省财政厅</w:t>
      </w:r>
      <w:r>
        <w:rPr>
          <w:rFonts w:hint="eastAsia"/>
          <w:color w:val="auto"/>
          <w:highlight w:val="none"/>
          <w:lang w:val="en-US" w:eastAsia="zh-CN"/>
        </w:rPr>
        <w:t xml:space="preserve"> </w:t>
      </w:r>
      <w:r>
        <w:rPr>
          <w:rFonts w:hint="eastAsia"/>
          <w:color w:val="auto"/>
          <w:highlight w:val="none"/>
        </w:rPr>
        <w:t xml:space="preserve">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33.2进口产品</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lang w:val="en-US" w:eastAsia="zh-CN"/>
        </w:rPr>
        <w:t xml:space="preserve">进口产品</w:t>
      </w:r>
      <w:r>
        <w:rPr>
          <w:rFonts w:hint="eastAsia"/>
          <w:color w:val="auto"/>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33.3中小企业、监狱企业及残疾人福利性单位</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.3.1中小企业定义：</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中小企业是</w:t>
      </w:r>
      <w:r>
        <w:rPr>
          <w:rFonts w:hint="eastAsia"/>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.3.2供应商提供的货物、工程或者服务符合下列情形的，享受中小企业扶持政策：</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.3.2.1在货物采购项目中，货物由中小企业制造，即货物由中小企业生产且使用该中小企业商号或者注册商标；</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.3.2.2在工程采购项目中，工程由中小企业承建，即工程施工单位为中小企业；</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.3.2.3在服务采购项目中，服务由中小企业承接，即提供服务的人员为中小企业依照《中华人民共和国劳动合同法》订立劳动合同的从业人员。</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.3.3在货物采购项目中，供应商提供的货物既有中小企业制造货物，也有大型企业制造货物的，不享受中小企业扶持政策。</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.3.4以联合体形式参加政府采购活动，联合体各方均为中小企业的，联合体视同中小企业。其中，联合体各方均为小微企业的，联合体视同小微企业。</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.3.6残疾人福利单位定义：享受政府采购支持政策的残疾人福利性单位应当同时满足以下条件：</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.3.6.1安置的残疾人占本单位在职职工人数的比例不低于25%（含25%），并且安置的残疾人人数不少于10 人（含10 人）；</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.3.6.2依法与安置的每位残疾人签订了一年以上（含一年）的劳动合同或服务协议；</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.3.6.3为安置的每位残疾人按月足额缴纳了基本养老保险、基本医疗保险、失业保险、工伤保险和生育保险等社会保险费；</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.3.6.4通过银行等金融机构向安置的每位残疾人，按月支付了不低于单位所在区县适用的经省级人民政府批准的月最低工资标准的工资；</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.3.6.5提供本单位制造的货物、承担的工程或者服务（以下简称产品），或者提供其他残疾人福利性单位制造的货物（不包括使用非残疾人福利性单位注册商标的货物）；</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lang w:val="en-US" w:eastAsia="zh-CN"/>
        </w:rPr>
        <w:t xml:space="preserve">33</w:t>
      </w:r>
      <w:r>
        <w:rPr>
          <w:rFonts w:hint="eastAsia"/>
          <w:color w:val="auto"/>
          <w:highlight w:val="none"/>
        </w:rPr>
        <w:t xml:space="preserve">.3.</w:t>
      </w:r>
      <w:r>
        <w:rPr>
          <w:rFonts w:hint="eastAsia"/>
          <w:color w:val="auto"/>
          <w:highlight w:val="none"/>
          <w:lang w:val="en-US" w:eastAsia="zh-CN"/>
        </w:rPr>
        <w:t xml:space="preserve">7</w:t>
      </w:r>
      <w:r>
        <w:rPr>
          <w:rFonts w:hint="eastAsia"/>
          <w:color w:val="auto"/>
          <w:highlight w:val="none"/>
        </w:rPr>
        <w:t xml:space="preserve">采购标的对应的中小企业划分标准所属行业见第四章《采购需求》。</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.3.</w:t>
      </w:r>
      <w:r>
        <w:rPr>
          <w:rFonts w:hint="eastAsia"/>
          <w:color w:val="auto"/>
          <w:highlight w:val="none"/>
          <w:lang w:val="en-US" w:eastAsia="zh-CN"/>
        </w:rPr>
        <w:t xml:space="preserve">8</w:t>
      </w:r>
      <w:r>
        <w:rPr>
          <w:rFonts w:hint="eastAsia"/>
          <w:color w:val="auto"/>
          <w:highlight w:val="none"/>
        </w:rPr>
        <w:t xml:space="preserve">小微企业价格评审优惠的政策：见第五章《评标方法和评标标准》。</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33.4政府采购节能产品、环境标志产品</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.4.1严格执行政府采购关于支持</w:t>
      </w:r>
      <w:r>
        <w:rPr>
          <w:rFonts w:hint="eastAsia"/>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3</w:t>
      </w:r>
      <w:r>
        <w:rPr>
          <w:rFonts w:hint="eastAsia"/>
          <w:color w:val="auto"/>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33.5绿色包装</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33.6政府采购创新产品</w:t>
      </w:r>
      <w:r/>
    </w:p>
    <w:p>
      <w:pPr>
        <w:pStyle w:val="844"/>
        <w:ind w:firstLine="480"/>
        <w:jc w:val="both"/>
        <w:spacing w:before="0" w:beforeAutospacing="0" w:after="0" w:afterAutospacing="0" w:line="400" w:lineRule="exact"/>
        <w:widowControl w:val="off"/>
        <w:rPr>
          <w:rFonts w:hint="eastAsia"/>
          <w:color w:val="auto"/>
          <w:highlight w:val="none"/>
        </w:rPr>
      </w:pPr>
      <w:r>
        <w:rPr>
          <w:rFonts w:hint="eastAsia"/>
          <w:color w:val="auto"/>
          <w:highlight w:val="none"/>
          <w:lang w:val="en-US" w:eastAsia="zh-CN"/>
        </w:rPr>
        <w:t xml:space="preserve">采购人优先采购各级政府部门公开发布的有效期内的创新产品、创新服务、首台套、首购首用等《目录》的创新产品</w:t>
      </w:r>
      <w:r>
        <w:rPr>
          <w:rFonts w:hint="eastAsia"/>
          <w:color w:val="auto"/>
          <w:highlight w:val="none"/>
        </w:rPr>
        <w:t xml:space="preserve">。</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33.7绿色数据中心政策 </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本文件中若涉及到数据中心采购，采购人应依据《绿色数据中心政府采购需求标准（试行）》（财办库〔2023〕7号）文件精神</w:t>
      </w:r>
      <w:r>
        <w:rPr>
          <w:rFonts w:hint="eastAsia"/>
          <w:color w:val="auto"/>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33.8履约保证金政策</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确需收取履约保证金的，履约保证金的缴纳形式：</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如以履约保函（保险）形式缴纳履约保证金，供应商可通过政府采购电子履约保函（保险）平台（www.jsdzbh.com）在线申请履约保函（保险）。</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履约保证金金额不得超过合同金额的</w:t>
      </w:r>
      <w:r>
        <w:rPr>
          <w:rFonts w:hint="eastAsia"/>
          <w:color w:val="auto"/>
          <w:highlight w:val="none"/>
          <w:u w:val="none"/>
          <w:lang w:val="en-US" w:eastAsia="zh-CN"/>
        </w:rPr>
        <w:t xml:space="preserve">10%</w:t>
      </w:r>
      <w:r>
        <w:rPr>
          <w:rFonts w:hint="eastAsia"/>
          <w:color w:val="auto"/>
          <w:highlight w:val="none"/>
          <w:lang w:val="en-US" w:eastAsia="zh-CN"/>
        </w:rPr>
        <w:t xml:space="preserve">，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844"/>
        <w:ind w:firstLine="480"/>
        <w:jc w:val="both"/>
        <w:spacing w:before="0" w:beforeAutospacing="0" w:after="0" w:afterAutospacing="0" w:line="400" w:lineRule="exact"/>
        <w:widowControl w:val="off"/>
        <w:rPr>
          <w:rFonts w:hint="eastAsia"/>
          <w:color w:val="auto"/>
          <w:highlight w:val="none"/>
          <w:lang w:val="en-US" w:eastAsia="zh-CN"/>
        </w:rPr>
      </w:pPr>
      <w:r>
        <w:rPr>
          <w:rFonts w:hint="eastAsia"/>
          <w:color w:val="auto"/>
          <w:highlight w:val="none"/>
          <w:lang w:val="en-US" w:eastAsia="zh-CN"/>
        </w:rPr>
        <w:t xml:space="preserve">34、预付款制度</w:t>
      </w:r>
      <w:r/>
    </w:p>
    <w:p>
      <w:pPr>
        <w:pStyle w:val="844"/>
        <w:ind w:firstLine="480"/>
        <w:jc w:val="both"/>
        <w:spacing w:before="0" w:beforeAutospacing="0" w:after="0" w:afterAutospacing="0" w:line="400" w:lineRule="exact"/>
        <w:widowControl w:val="off"/>
        <w:rPr>
          <w:color w:val="auto"/>
          <w:highlight w:val="none"/>
        </w:rPr>
      </w:pPr>
      <w:r>
        <w:rPr>
          <w:rFonts w:hint="eastAsia"/>
          <w:color w:val="auto"/>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844"/>
        <w:ind w:firstLine="480"/>
        <w:jc w:val="both"/>
        <w:spacing w:before="0" w:beforeAutospacing="0" w:after="0" w:afterAutospacing="0" w:line="400" w:lineRule="exact"/>
        <w:widowControl w:val="off"/>
        <w:rPr>
          <w:color w:val="auto"/>
          <w:highlight w:val="none"/>
        </w:rPr>
      </w:pPr>
      <w:r>
        <w:rPr>
          <w:color w:val="auto"/>
          <w:highlight w:val="none"/>
        </w:rPr>
      </w:r>
      <w:r/>
    </w:p>
    <w:p>
      <w:pPr>
        <w:pStyle w:val="815"/>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815"/>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858"/>
        <w:rPr>
          <w:rFonts w:ascii="宋体" w:hAnsi="宋体" w:cs="宋体"/>
          <w:color w:val="auto"/>
          <w:szCs w:val="21"/>
          <w:highlight w:val="none"/>
        </w:rPr>
      </w:pPr>
      <w:r>
        <w:rPr>
          <w:rFonts w:ascii="宋体" w:hAnsi="宋体" w:cs="宋体"/>
          <w:color w:val="auto"/>
          <w:szCs w:val="21"/>
          <w:highlight w:val="none"/>
        </w:rPr>
      </w:r>
      <w:r/>
    </w:p>
    <w:p>
      <w:pPr>
        <w:pStyle w:val="858"/>
        <w:rPr>
          <w:rFonts w:ascii="宋体" w:hAnsi="宋体" w:cs="宋体"/>
          <w:color w:val="auto"/>
          <w:szCs w:val="21"/>
          <w:highlight w:val="none"/>
        </w:rPr>
      </w:pPr>
      <w:r>
        <w:rPr>
          <w:rFonts w:ascii="宋体" w:hAnsi="宋体" w:cs="宋体"/>
          <w:color w:val="auto"/>
          <w:szCs w:val="21"/>
          <w:highlight w:val="none"/>
        </w:rPr>
      </w:r>
      <w:r/>
    </w:p>
    <w:p>
      <w:pPr>
        <w:pStyle w:val="858"/>
        <w:rPr>
          <w:rFonts w:ascii="宋体" w:hAnsi="宋体" w:cs="宋体"/>
          <w:color w:val="auto"/>
          <w:szCs w:val="21"/>
          <w:highlight w:val="none"/>
        </w:rPr>
      </w:pPr>
      <w:r>
        <w:rPr>
          <w:rFonts w:ascii="宋体" w:hAnsi="宋体" w:cs="宋体"/>
          <w:color w:val="auto"/>
          <w:szCs w:val="21"/>
          <w:highlight w:val="none"/>
        </w:rPr>
      </w:r>
      <w:r/>
    </w:p>
    <w:p>
      <w:pPr>
        <w:pStyle w:val="815"/>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847"/>
        <w:rPr>
          <w:color w:val="auto"/>
        </w:rPr>
      </w:pPr>
      <w:r>
        <w:rPr>
          <w:color w:val="auto"/>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858"/>
        <w:rPr>
          <w:color w:val="auto"/>
        </w:rPr>
      </w:pPr>
      <w:r>
        <w:rPr>
          <w:color w:val="auto"/>
        </w:rPr>
      </w:r>
      <w:r/>
    </w:p>
    <w:p>
      <w:pPr>
        <w:jc w:val="center"/>
        <w:spacing w:line="360" w:lineRule="auto"/>
        <w:widowControl/>
        <w:rPr>
          <w:rFonts w:ascii="宋体" w:hAnsi="宋体" w:eastAsia="宋体" w:cs="宋体"/>
          <w:b/>
          <w:color w:val="auto"/>
          <w:sz w:val="48"/>
          <w:szCs w:val="44"/>
          <w:highlight w:val="none"/>
        </w:rPr>
      </w:pPr>
      <w:r>
        <w:rPr>
          <w:rFonts w:hint="eastAsia" w:ascii="宋体" w:hAnsi="宋体" w:eastAsia="宋体" w:cs="宋体"/>
          <w:b/>
          <w:color w:val="auto"/>
          <w:sz w:val="48"/>
          <w:szCs w:val="44"/>
          <w:highlight w:val="none"/>
        </w:rPr>
        <w:t xml:space="preserve">第三</w:t>
      </w:r>
      <w:r>
        <w:rPr>
          <w:rFonts w:hint="eastAsia" w:ascii="宋体" w:hAnsi="宋体" w:eastAsia="宋体" w:cs="宋体"/>
          <w:b/>
          <w:color w:val="auto"/>
          <w:sz w:val="48"/>
          <w:szCs w:val="44"/>
          <w:highlight w:val="none"/>
          <w:lang w:eastAsia="zh-CN"/>
        </w:rPr>
        <w:t xml:space="preserve">章</w:t>
      </w:r>
      <w:r>
        <w:rPr>
          <w:rFonts w:hint="eastAsia" w:ascii="宋体" w:hAnsi="宋体" w:eastAsia="宋体" w:cs="宋体"/>
          <w:b/>
          <w:color w:val="auto"/>
          <w:sz w:val="48"/>
          <w:szCs w:val="44"/>
          <w:highlight w:val="none"/>
        </w:rPr>
        <w:t xml:space="preserve">  合同条款</w:t>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pStyle w:val="858"/>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pStyle w:val="858"/>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rPr>
          <w:rFonts w:ascii="宋体" w:hAnsi="宋体" w:eastAsia="宋体" w:cs="宋体"/>
          <w:color w:val="auto"/>
          <w:sz w:val="30"/>
          <w:highlight w:val="none"/>
        </w:rPr>
      </w:pPr>
      <w:r>
        <w:rPr>
          <w:rFonts w:ascii="宋体" w:hAnsi="宋体" w:eastAsia="宋体" w:cs="宋体"/>
          <w:color w:val="auto"/>
          <w:sz w:val="30"/>
          <w:highlight w:val="none"/>
        </w:rPr>
      </w:r>
      <w:r/>
    </w:p>
    <w:p>
      <w:pPr>
        <w:jc w:val="center"/>
        <w:rPr>
          <w:rFonts w:ascii="宋体" w:hAnsi="宋体" w:eastAsia="宋体" w:cs="宋体"/>
          <w:color w:val="auto"/>
          <w:sz w:val="30"/>
          <w:highlight w:val="none"/>
        </w:rPr>
      </w:pPr>
      <w:r>
        <w:rPr>
          <w:rFonts w:hint="eastAsia" w:ascii="宋体" w:hAnsi="宋体" w:eastAsia="宋体" w:cs="宋体"/>
          <w:color w:val="auto"/>
          <w:sz w:val="30"/>
          <w:highlight w:val="none"/>
        </w:rPr>
        <w:t xml:space="preserve">政府采购货物买卖合同</w:t>
      </w:r>
      <w:r/>
    </w:p>
    <w:p>
      <w:pPr>
        <w:jc w:val="center"/>
        <w:rPr>
          <w:rFonts w:ascii="宋体" w:hAnsi="宋体" w:eastAsia="宋体" w:cs="宋体"/>
          <w:color w:val="auto"/>
          <w:sz w:val="30"/>
          <w:highlight w:val="none"/>
        </w:rPr>
      </w:pPr>
      <w:r>
        <w:rPr>
          <w:rFonts w:ascii="宋体" w:hAnsi="宋体" w:eastAsia="宋体" w:cs="宋体"/>
          <w:color w:val="auto"/>
          <w:sz w:val="30"/>
          <w:highlight w:val="none"/>
        </w:rPr>
      </w:r>
      <w:r/>
    </w:p>
    <w:p>
      <w:pPr>
        <w:rPr>
          <w:rFonts w:ascii="宋体" w:hAnsi="宋体" w:eastAsia="宋体" w:cs="宋体"/>
          <w:color w:val="auto"/>
          <w:sz w:val="30"/>
          <w:highlight w:val="none"/>
        </w:rPr>
      </w:pPr>
      <w:r>
        <w:rPr>
          <w:rFonts w:ascii="宋体" w:hAnsi="宋体" w:eastAsia="宋体" w:cs="宋体"/>
          <w:color w:val="auto"/>
          <w:sz w:val="30"/>
          <w:highlight w:val="none"/>
        </w:rPr>
      </w:r>
      <w:r/>
    </w:p>
    <w:p>
      <w:pPr>
        <w:rPr>
          <w:rFonts w:ascii="宋体" w:hAnsi="宋体" w:eastAsia="宋体" w:cs="宋体"/>
          <w:color w:val="auto"/>
          <w:sz w:val="30"/>
          <w:highlight w:val="none"/>
        </w:rPr>
      </w:pPr>
      <w:r>
        <w:rPr>
          <w:rFonts w:ascii="宋体" w:hAnsi="宋体" w:eastAsia="宋体" w:cs="宋体"/>
          <w:color w:val="auto"/>
          <w:sz w:val="30"/>
          <w:highlight w:val="none"/>
        </w:rPr>
      </w:r>
      <w:r/>
    </w:p>
    <w:p>
      <w:pPr>
        <w:rPr>
          <w:rFonts w:ascii="宋体" w:hAnsi="宋体" w:eastAsia="宋体" w:cs="宋体"/>
          <w:color w:val="auto"/>
          <w:sz w:val="30"/>
          <w:highlight w:val="none"/>
        </w:rPr>
      </w:pPr>
      <w:r>
        <w:rPr>
          <w:rFonts w:ascii="宋体" w:hAnsi="宋体" w:eastAsia="宋体" w:cs="宋体"/>
          <w:color w:val="auto"/>
          <w:sz w:val="30"/>
          <w:highlight w:val="none"/>
        </w:rPr>
      </w:r>
      <w:r/>
    </w:p>
    <w:p>
      <w:pPr>
        <w:ind w:left="420"/>
        <w:spacing w:line="360" w:lineRule="auto"/>
        <w:rPr>
          <w:rFonts w:ascii="宋体" w:hAnsi="宋体" w:eastAsia="宋体" w:cs="宋体"/>
          <w:color w:val="auto"/>
          <w:sz w:val="30"/>
          <w:highlight w:val="none"/>
        </w:rPr>
      </w:pPr>
      <w:r>
        <w:rPr>
          <w:rFonts w:hint="eastAsia" w:ascii="宋体" w:hAnsi="宋体" w:eastAsia="宋体" w:cs="宋体"/>
          <w:color w:val="auto"/>
          <w:sz w:val="30"/>
          <w:highlight w:val="none"/>
        </w:rPr>
        <w:t xml:space="preserve">项目名称：</w:t>
      </w:r>
      <w:r/>
    </w:p>
    <w:p>
      <w:pPr>
        <w:ind w:left="420"/>
        <w:spacing w:line="360" w:lineRule="auto"/>
        <w:rPr>
          <w:rFonts w:ascii="宋体" w:hAnsi="宋体" w:eastAsia="宋体" w:cs="宋体"/>
          <w:color w:val="auto"/>
          <w:sz w:val="30"/>
          <w:highlight w:val="none"/>
        </w:rPr>
      </w:pPr>
      <w:r>
        <w:rPr>
          <w:rFonts w:hint="eastAsia" w:ascii="宋体" w:hAnsi="宋体" w:eastAsia="宋体" w:cs="宋体"/>
          <w:color w:val="auto"/>
          <w:sz w:val="30"/>
          <w:highlight w:val="none"/>
        </w:rPr>
        <w:t xml:space="preserve">甲    方：</w:t>
      </w:r>
      <w:r/>
    </w:p>
    <w:p>
      <w:pPr>
        <w:ind w:left="420"/>
        <w:spacing w:line="360" w:lineRule="auto"/>
        <w:rPr>
          <w:rFonts w:ascii="宋体" w:hAnsi="宋体" w:eastAsia="宋体" w:cs="宋体"/>
          <w:color w:val="auto"/>
          <w:sz w:val="30"/>
          <w:highlight w:val="none"/>
        </w:rPr>
      </w:pPr>
      <w:r>
        <w:rPr>
          <w:rFonts w:hint="eastAsia" w:ascii="宋体" w:hAnsi="宋体" w:eastAsia="宋体" w:cs="宋体"/>
          <w:color w:val="auto"/>
          <w:sz w:val="30"/>
          <w:highlight w:val="none"/>
        </w:rPr>
        <w:t xml:space="preserve">乙    方：</w:t>
      </w:r>
      <w:r/>
    </w:p>
    <w:p>
      <w:pPr>
        <w:ind w:left="420"/>
        <w:spacing w:line="360" w:lineRule="auto"/>
        <w:rPr>
          <w:rFonts w:ascii="宋体" w:hAnsi="宋体" w:eastAsia="宋体" w:cs="宋体"/>
          <w:color w:val="auto"/>
          <w:sz w:val="30"/>
          <w:highlight w:val="none"/>
        </w:rPr>
      </w:pPr>
      <w:r>
        <w:rPr>
          <w:rFonts w:hint="eastAsia" w:ascii="宋体" w:hAnsi="宋体" w:eastAsia="宋体" w:cs="宋体"/>
          <w:color w:val="auto"/>
          <w:sz w:val="30"/>
          <w:highlight w:val="none"/>
        </w:rPr>
        <w:t xml:space="preserve">签订时间：</w:t>
      </w:r>
      <w:r/>
    </w:p>
    <w:p>
      <w:pPr>
        <w:pStyle w:val="797"/>
        <w:spacing w:before="0" w:after="0" w:line="360" w:lineRule="auto"/>
        <w:rPr>
          <w:rFonts w:ascii="宋体" w:hAnsi="宋体" w:cs="宋体"/>
          <w:color w:val="auto"/>
          <w:highlight w:val="none"/>
        </w:rPr>
      </w:pPr>
      <w:r>
        <w:rPr>
          <w:rFonts w:hint="eastAsia" w:ascii="宋体" w:hAnsi="宋体" w:cs="宋体"/>
          <w:color w:val="auto"/>
          <w:highlight w:val="none"/>
        </w:rPr>
        <w:t xml:space="preserve"> </w:t>
      </w:r>
      <w:r/>
    </w:p>
    <w:p>
      <w:pPr>
        <w:pStyle w:val="824"/>
        <w:ind w:firstLine="480"/>
        <w:spacing w:line="400" w:lineRule="exact"/>
        <w:rPr>
          <w:rFonts w:hint="eastAsia" w:hAnsi="宋体" w:cs="宋体"/>
          <w:color w:val="auto"/>
          <w:sz w:val="24"/>
          <w:szCs w:val="24"/>
          <w:highlight w:val="none"/>
        </w:rPr>
      </w:pPr>
      <w:r>
        <w:rPr>
          <w:rFonts w:hint="eastAsia" w:hAnsi="宋体" w:cs="宋体"/>
          <w:color w:val="auto"/>
          <w:sz w:val="24"/>
          <w:szCs w:val="24"/>
          <w:highlight w:val="none"/>
        </w:rPr>
      </w:r>
      <w:r/>
    </w:p>
    <w:p>
      <w:pPr>
        <w:pStyle w:val="824"/>
        <w:ind w:firstLine="480"/>
        <w:spacing w:line="400" w:lineRule="exact"/>
        <w:rPr>
          <w:rFonts w:hint="eastAsia" w:hAnsi="宋体" w:cs="宋体"/>
          <w:color w:val="auto"/>
          <w:sz w:val="24"/>
          <w:szCs w:val="24"/>
          <w:highlight w:val="none"/>
        </w:rPr>
      </w:pPr>
      <w:r>
        <w:rPr>
          <w:rFonts w:hint="eastAsia" w:hAnsi="宋体" w:cs="宋体"/>
          <w:color w:val="auto"/>
          <w:sz w:val="24"/>
          <w:szCs w:val="24"/>
          <w:highlight w:val="none"/>
        </w:rPr>
      </w:r>
      <w:r/>
    </w:p>
    <w:p>
      <w:pPr>
        <w:pStyle w:val="824"/>
        <w:ind w:firstLine="480"/>
        <w:spacing w:line="400" w:lineRule="exact"/>
        <w:rPr>
          <w:rFonts w:hint="eastAsia" w:hAnsi="宋体" w:cs="宋体"/>
          <w:color w:val="auto"/>
          <w:sz w:val="24"/>
          <w:szCs w:val="24"/>
          <w:highlight w:val="none"/>
        </w:rPr>
      </w:pPr>
      <w:r>
        <w:rPr>
          <w:rFonts w:hint="eastAsia" w:hAnsi="宋体" w:cs="宋体"/>
          <w:color w:val="auto"/>
          <w:sz w:val="24"/>
          <w:szCs w:val="24"/>
          <w:highlight w:val="none"/>
        </w:rPr>
      </w:r>
      <w:r/>
    </w:p>
    <w:p>
      <w:pPr>
        <w:pStyle w:val="824"/>
        <w:ind w:firstLine="480"/>
        <w:spacing w:line="400" w:lineRule="exact"/>
        <w:rPr>
          <w:rFonts w:hint="eastAsia" w:hAnsi="宋体" w:cs="宋体"/>
          <w:color w:val="auto"/>
          <w:sz w:val="24"/>
          <w:szCs w:val="24"/>
          <w:highlight w:val="none"/>
        </w:rPr>
      </w:pPr>
      <w:r>
        <w:rPr>
          <w:rFonts w:hint="eastAsia" w:hAnsi="宋体" w:cs="宋体"/>
          <w:color w:val="auto"/>
          <w:sz w:val="24"/>
          <w:szCs w:val="24"/>
          <w:highlight w:val="none"/>
        </w:rPr>
      </w:r>
      <w:r/>
    </w:p>
    <w:p>
      <w:pPr>
        <w:pStyle w:val="824"/>
        <w:ind w:firstLine="480"/>
        <w:spacing w:line="400" w:lineRule="exact"/>
        <w:rPr>
          <w:rFonts w:hint="eastAsia" w:hAnsi="宋体" w:cs="宋体"/>
          <w:color w:val="auto"/>
          <w:sz w:val="24"/>
          <w:szCs w:val="24"/>
          <w:highlight w:val="none"/>
        </w:rPr>
      </w:pPr>
      <w:r>
        <w:rPr>
          <w:rFonts w:hint="eastAsia" w:hAnsi="宋体" w:cs="宋体"/>
          <w:color w:val="auto"/>
          <w:sz w:val="24"/>
          <w:szCs w:val="24"/>
          <w:highlight w:val="none"/>
        </w:rPr>
      </w:r>
      <w:r/>
    </w:p>
    <w:p>
      <w:pPr>
        <w:pStyle w:val="824"/>
        <w:ind w:firstLine="480"/>
        <w:spacing w:line="400" w:lineRule="exact"/>
        <w:rPr>
          <w:rFonts w:hint="eastAsia" w:hAnsi="宋体" w:cs="宋体"/>
          <w:color w:val="auto"/>
          <w:sz w:val="24"/>
          <w:szCs w:val="24"/>
          <w:highlight w:val="none"/>
        </w:rPr>
      </w:pPr>
      <w:r>
        <w:rPr>
          <w:rFonts w:hint="eastAsia" w:hAnsi="宋体" w:cs="宋体"/>
          <w:color w:val="auto"/>
          <w:sz w:val="24"/>
          <w:szCs w:val="24"/>
          <w:highlight w:val="none"/>
        </w:rPr>
      </w:r>
      <w:r/>
    </w:p>
    <w:p>
      <w:pPr>
        <w:pStyle w:val="824"/>
        <w:ind w:firstLine="480"/>
        <w:spacing w:line="400" w:lineRule="exact"/>
        <w:rPr>
          <w:rFonts w:hint="eastAsia" w:hAnsi="宋体" w:cs="宋体"/>
          <w:color w:val="auto"/>
          <w:sz w:val="24"/>
          <w:szCs w:val="24"/>
          <w:highlight w:val="none"/>
        </w:rPr>
      </w:pPr>
      <w:r>
        <w:rPr>
          <w:rFonts w:hint="eastAsia" w:hAnsi="宋体" w:cs="宋体"/>
          <w:color w:val="auto"/>
          <w:sz w:val="24"/>
          <w:szCs w:val="24"/>
          <w:highlight w:val="none"/>
        </w:rPr>
      </w:r>
      <w:r/>
    </w:p>
    <w:p>
      <w:pPr>
        <w:pStyle w:val="824"/>
        <w:ind w:firstLine="480"/>
        <w:spacing w:line="400" w:lineRule="exact"/>
        <w:rPr>
          <w:rFonts w:hint="eastAsia" w:hAnsi="宋体" w:cs="宋体"/>
          <w:color w:val="auto"/>
          <w:sz w:val="24"/>
          <w:szCs w:val="24"/>
          <w:highlight w:val="none"/>
        </w:rPr>
      </w:pPr>
      <w:r>
        <w:rPr>
          <w:rFonts w:hint="eastAsia" w:hAnsi="宋体" w:cs="宋体"/>
          <w:color w:val="auto"/>
          <w:sz w:val="24"/>
          <w:szCs w:val="24"/>
          <w:highlight w:val="none"/>
        </w:rPr>
      </w:r>
      <w:r/>
    </w:p>
    <w:p>
      <w:pPr>
        <w:pStyle w:val="824"/>
        <w:ind w:firstLine="480"/>
        <w:spacing w:line="400" w:lineRule="exact"/>
        <w:rPr>
          <w:rFonts w:hint="eastAsia" w:hAnsi="宋体" w:cs="宋体"/>
          <w:color w:val="auto"/>
          <w:sz w:val="24"/>
          <w:szCs w:val="24"/>
          <w:highlight w:val="none"/>
        </w:rPr>
      </w:pPr>
      <w:r>
        <w:rPr>
          <w:rFonts w:hint="eastAsia" w:hAnsi="宋体" w:cs="宋体"/>
          <w:color w:val="auto"/>
          <w:sz w:val="24"/>
          <w:szCs w:val="24"/>
          <w:highlight w:val="none"/>
        </w:rPr>
      </w:r>
      <w:r/>
    </w:p>
    <w:p>
      <w:pPr>
        <w:ind w:firstLine="420"/>
        <w:keepLines w:val="0"/>
        <w:keepNext w:val="0"/>
        <w:pageBreakBefore w:val="0"/>
        <w:spacing w:line="480" w:lineRule="exact"/>
        <w:tabs>
          <w:tab w:val="left" w:pos="2472" w:leader="none"/>
        </w:tabs>
        <w:rPr>
          <w:rFonts w:hint="eastAsia" w:ascii="宋体" w:hAnsi="宋体" w:eastAsia="宋体" w:cs="仿宋"/>
          <w:color w:val="000000" w:themeColor="text1"/>
          <w:sz w:val="21"/>
          <w:szCs w:val="21"/>
          <w:u w:val="single"/>
          <w:lang w:eastAsia="zh-CN"/>
          <w14:textFill>
            <w14:solidFill>
              <w14:schemeClr w14:val="tx1"/>
            </w14:solidFill>
          </w14:textFill>
        </w:rPr>
      </w:pPr>
      <w:r>
        <w:rPr>
          <w:rFonts w:hint="eastAsia" w:ascii="宋体" w:hAnsi="宋体" w:eastAsia="宋体" w:cs="仿宋"/>
          <w:color w:val="000000" w:themeColor="text1"/>
          <w:sz w:val="21"/>
          <w:szCs w:val="21"/>
          <w14:textFill>
            <w14:solidFill>
              <w14:schemeClr w14:val="tx1"/>
            </w14:solidFill>
          </w14:textFill>
        </w:rPr>
        <w:t xml:space="preserve">采购人(以下简称甲方)：</w:t>
      </w:r>
      <w:r>
        <w:rPr>
          <w:rFonts w:hint="eastAsia" w:ascii="宋体" w:hAnsi="宋体" w:cs="仿宋"/>
          <w:color w:val="000000" w:themeColor="text1"/>
          <w:sz w:val="21"/>
          <w:szCs w:val="21"/>
          <w:u w:val="single"/>
          <w:lang w:eastAsia="zh-CN"/>
          <w14:textFill>
            <w14:solidFill>
              <w14:schemeClr w14:val="tx1"/>
            </w14:solidFill>
          </w14:textFill>
        </w:rPr>
        <w:t xml:space="preserve">盐城市公安局大丰分局</w:t>
      </w:r>
      <w:r/>
    </w:p>
    <w:p>
      <w:pPr>
        <w:ind w:firstLine="420"/>
        <w:keepLines w:val="0"/>
        <w:keepNext w:val="0"/>
        <w:pageBreakBefore w:val="0"/>
        <w:spacing w:line="480" w:lineRule="exact"/>
        <w:tabs>
          <w:tab w:val="left" w:pos="2472" w:leader="none"/>
        </w:tabs>
        <w:rPr>
          <w:rFonts w:ascii="宋体" w:hAnsi="宋体" w:eastAsia="宋体" w:cs="仿宋"/>
          <w:color w:val="000000" w:themeColor="text1"/>
          <w:sz w:val="21"/>
          <w:szCs w:val="21"/>
          <w14:textFill>
            <w14:solidFill>
              <w14:schemeClr w14:val="tx1"/>
            </w14:solidFill>
          </w14:textFill>
        </w:rPr>
      </w:pPr>
      <w:r>
        <w:rPr>
          <w:rFonts w:hint="eastAsia" w:ascii="宋体" w:hAnsi="宋体" w:eastAsia="宋体" w:cs="仿宋"/>
          <w:color w:val="000000" w:themeColor="text1"/>
          <w:sz w:val="21"/>
          <w:szCs w:val="21"/>
          <w14:textFill>
            <w14:solidFill>
              <w14:schemeClr w14:val="tx1"/>
            </w14:solidFill>
          </w14:textFill>
        </w:rPr>
        <w:t xml:space="preserve">供应商(以下简称乙方)：</w:t>
      </w:r>
      <w:r>
        <w:rPr>
          <w:rFonts w:hint="eastAsia" w:ascii="宋体" w:hAnsi="宋体" w:eastAsia="宋体" w:cs="仿宋"/>
          <w:color w:val="000000" w:themeColor="text1"/>
          <w:sz w:val="21"/>
          <w:szCs w:val="21"/>
          <w:u w:val="single"/>
          <w14:textFill>
            <w14:solidFill>
              <w14:schemeClr w14:val="tx1"/>
            </w14:solidFill>
          </w14:textFill>
        </w:rPr>
        <w:t xml:space="preserve">                      </w:t>
      </w:r>
      <w:r>
        <w:rPr>
          <w:rFonts w:hint="eastAsia" w:ascii="宋体" w:hAnsi="宋体" w:eastAsia="宋体" w:cs="仿宋"/>
          <w:color w:val="000000" w:themeColor="text1"/>
          <w:sz w:val="21"/>
          <w:szCs w:val="21"/>
          <w14:textFill>
            <w14:solidFill>
              <w14:schemeClr w14:val="tx1"/>
            </w14:solidFill>
          </w14:textFill>
        </w:rPr>
        <w:t xml:space="preserve">        </w:t>
      </w:r>
      <w:r/>
    </w:p>
    <w:p>
      <w:pPr>
        <w:ind w:firstLine="420"/>
        <w:jc w:val="left"/>
        <w:keepLines w:val="0"/>
        <w:keepNext w:val="0"/>
        <w:pageBreakBefore w:val="0"/>
        <w:spacing w:line="480" w:lineRule="exact"/>
        <w:widowControl/>
        <w:rPr>
          <w:rFonts w:ascii="宋体" w:hAnsi="宋体" w:eastAsia="宋体" w:cs="仿宋"/>
          <w:color w:val="000000" w:themeColor="text1"/>
          <w:sz w:val="21"/>
          <w:szCs w:val="21"/>
          <w14:textFill>
            <w14:solidFill>
              <w14:schemeClr w14:val="tx1"/>
            </w14:solidFill>
          </w14:textFill>
        </w:rPr>
      </w:pPr>
      <w:r>
        <w:rPr>
          <w:rFonts w:hint="eastAsia" w:ascii="宋体" w:hAnsi="宋体" w:eastAsia="宋体" w:cs="仿宋"/>
          <w:color w:val="000000" w:themeColor="text1"/>
          <w:sz w:val="21"/>
          <w:szCs w:val="21"/>
          <w:lang w:val="zh-CN"/>
          <w14:textFill>
            <w14:solidFill>
              <w14:schemeClr w14:val="tx1"/>
            </w14:solidFill>
          </w14:textFill>
        </w:rPr>
        <w:t xml:space="preserve">根据《中华人民共和国民法典》、</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中华人民共和国政府采购法》等有关的法律法规</w:t>
      </w:r>
      <w:r>
        <w:rPr>
          <w:rFonts w:hint="eastAsia" w:ascii="宋体" w:hAnsi="宋体" w:eastAsia="宋体" w:cs="仿宋"/>
          <w:color w:val="000000" w:themeColor="text1"/>
          <w:sz w:val="21"/>
          <w:szCs w:val="21"/>
          <w:lang w:val="zh-CN"/>
          <w14:textFill>
            <w14:solidFill>
              <w14:schemeClr w14:val="tx1"/>
            </w14:solidFill>
          </w14:textFill>
        </w:rPr>
        <w:t xml:space="preserve">，甲乙双方</w:t>
      </w:r>
      <w:r>
        <w:rPr>
          <w:rFonts w:hint="eastAsia" w:ascii="宋体" w:hAnsi="宋体" w:eastAsia="宋体" w:cs="仿宋"/>
          <w:color w:val="000000" w:themeColor="text1"/>
          <w:sz w:val="21"/>
          <w:szCs w:val="21"/>
          <w14:textFill>
            <w14:solidFill>
              <w14:schemeClr w14:val="tx1"/>
            </w14:solidFill>
          </w14:textFill>
        </w:rPr>
        <w:t xml:space="preserve">就</w:t>
      </w:r>
      <w:r>
        <w:rPr>
          <w:rFonts w:hint="eastAsia" w:ascii="宋体" w:hAnsi="宋体" w:eastAsia="宋体" w:cs="仿宋"/>
          <w:color w:val="000000" w:themeColor="text1"/>
          <w:sz w:val="21"/>
          <w:szCs w:val="21"/>
          <w:u w:val="single"/>
          <w14:textFill>
            <w14:solidFill>
              <w14:schemeClr w14:val="tx1"/>
            </w14:solidFill>
          </w14:textFill>
        </w:rPr>
        <w:t xml:space="preserve"> </w:t>
      </w:r>
      <w:r>
        <w:rPr>
          <w:rFonts w:hint="eastAsia" w:ascii="宋体" w:hAnsi="宋体" w:eastAsia="宋体" w:cs="仿宋"/>
          <w:color w:val="000000" w:themeColor="text1"/>
          <w:sz w:val="21"/>
          <w:szCs w:val="21"/>
          <w:u w:val="single"/>
          <w:lang w:eastAsia="zh-CN"/>
          <w14:textFill>
            <w14:solidFill>
              <w14:schemeClr w14:val="tx1"/>
            </w14:solidFill>
          </w14:textFill>
        </w:rPr>
        <w:t xml:space="preserve">社会风险防控应急指挥体系升级设备及办公家具等采购项目</w:t>
      </w:r>
      <w:r>
        <w:rPr>
          <w:rFonts w:hint="eastAsia" w:ascii="宋体" w:hAnsi="宋体" w:eastAsia="宋体" w:cs="仿宋"/>
          <w:color w:val="000000" w:themeColor="text1"/>
          <w:sz w:val="21"/>
          <w:szCs w:val="21"/>
          <w:u w:val="single"/>
          <w14:textFill>
            <w14:solidFill>
              <w14:schemeClr w14:val="tx1"/>
            </w14:solidFill>
          </w14:textFill>
        </w:rPr>
        <w:t xml:space="preserve"> </w:t>
      </w:r>
      <w:r>
        <w:rPr>
          <w:rFonts w:hint="eastAsia" w:ascii="宋体" w:hAnsi="宋体" w:eastAsia="宋体" w:cs="仿宋"/>
          <w:color w:val="000000" w:themeColor="text1"/>
          <w:sz w:val="21"/>
          <w:szCs w:val="21"/>
          <w:lang w:val="zh-CN"/>
          <w14:textFill>
            <w14:solidFill>
              <w14:schemeClr w14:val="tx1"/>
            </w14:solidFill>
          </w14:textFill>
        </w:rPr>
        <w:t xml:space="preserve">按照招标结果及中标通知书，经协商一致后签订本合同。</w:t>
      </w:r>
      <w:r/>
    </w:p>
    <w:p>
      <w:pPr>
        <w:pStyle w:val="1107"/>
        <w:keepLines w:val="0"/>
        <w:keepNext w:val="0"/>
        <w:pageBreakBefore w:val="0"/>
        <w:spacing w:line="360" w:lineRule="auto"/>
        <w:widowControl w:val="off"/>
        <w:rPr>
          <w:rFonts w:hint="eastAsia" w:ascii="宋体" w:hAnsi="宋体" w:eastAsia="宋体" w:cs="Times New Roman"/>
          <w:b/>
          <w:color w:val="000000" w:themeColor="text1"/>
          <w:sz w:val="24"/>
          <w:szCs w:val="24"/>
          <w:lang w:val="en-US" w:eastAsia="zh-CN" w:bidi="ar-SA"/>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一、货物内容</w:t>
      </w:r>
      <w:r/>
    </w:p>
    <w:p>
      <w:pPr>
        <w:pStyle w:val="1107"/>
        <w:ind w:firstLine="48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 货物名称：</w:t>
      </w:r>
      <w:r/>
    </w:p>
    <w:p>
      <w:pPr>
        <w:pStyle w:val="1107"/>
        <w:ind w:firstLine="48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 型号规格：</w:t>
      </w:r>
      <w:r/>
    </w:p>
    <w:p>
      <w:pPr>
        <w:pStyle w:val="1107"/>
        <w:ind w:firstLine="480"/>
        <w:keepLines w:val="0"/>
        <w:keepNext w:val="0"/>
        <w:pageBreakBefore w:val="0"/>
        <w:spacing w:line="360" w:lineRule="auto"/>
        <w:widowControl w:val="off"/>
        <w:rPr>
          <w:rFonts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 数量（单位）：</w:t>
      </w:r>
      <w:r/>
    </w:p>
    <w:p>
      <w:pPr>
        <w:pStyle w:val="1107"/>
        <w:keepLines w:val="0"/>
        <w:keepNext w:val="0"/>
        <w:pageBreakBefore w:val="0"/>
        <w:spacing w:line="360" w:lineRule="auto"/>
        <w:widowControl w:val="off"/>
        <w:rPr>
          <w:rFonts w:hint="eastAsia" w:ascii="宋体" w:hAnsi="宋体" w:eastAsia="宋体" w:cs="Times New Roman"/>
          <w:b/>
          <w:color w:val="000000" w:themeColor="text1"/>
          <w:sz w:val="24"/>
          <w:szCs w:val="24"/>
          <w:lang w:val="en-US" w:eastAsia="zh-CN" w:bidi="ar-SA"/>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二、合同金额</w:t>
      </w:r>
      <w:r/>
    </w:p>
    <w:p>
      <w:pPr>
        <w:ind w:firstLine="480"/>
        <w:keepLines w:val="0"/>
        <w:keepNext w:val="0"/>
        <w:pageBreakBefore w:val="0"/>
        <w:spacing w:line="360" w:lineRule="auto"/>
        <w:widowControl w:val="off"/>
        <w:rPr>
          <w:rFonts w:ascii="宋体" w:hAnsi="宋体"/>
          <w:bCs/>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2.1 本合同金额为（大写）：________元（_______________元）人民币</w:t>
      </w:r>
      <w:r>
        <w:rPr>
          <w:rFonts w:hint="eastAsia" w:ascii="宋体" w:hAnsi="宋体"/>
          <w:bCs/>
          <w:color w:val="000000" w:themeColor="text1"/>
          <w:sz w:val="21"/>
          <w:szCs w:val="21"/>
          <w14:textFill>
            <w14:solidFill>
              <w14:schemeClr w14:val="tx1"/>
            </w14:solidFill>
          </w14:textFill>
        </w:rPr>
        <w:t xml:space="preserve">或其他币种</w:t>
      </w:r>
      <w:r>
        <w:rPr>
          <w:rFonts w:ascii="宋体" w:hAnsi="宋体"/>
          <w:bCs/>
          <w:color w:val="000000" w:themeColor="text1"/>
          <w:sz w:val="21"/>
          <w:szCs w:val="21"/>
          <w14:textFill>
            <w14:solidFill>
              <w14:schemeClr w14:val="tx1"/>
            </w14:solidFill>
          </w14:textFill>
        </w:rPr>
        <w:t xml:space="preserve">。</w:t>
      </w:r>
      <w:r/>
    </w:p>
    <w:p>
      <w:pPr>
        <w:pStyle w:val="1107"/>
        <w:keepLines w:val="0"/>
        <w:keepNext w:val="0"/>
        <w:pageBreakBefore w:val="0"/>
        <w:spacing w:line="360" w:lineRule="auto"/>
        <w:widowControl w:val="off"/>
        <w:rPr>
          <w:rFonts w:hint="eastAsia" w:ascii="宋体" w:hAnsi="宋体" w:eastAsia="宋体" w:cs="Times New Roman"/>
          <w:b/>
          <w:color w:val="000000" w:themeColor="text1"/>
          <w:sz w:val="24"/>
          <w:szCs w:val="24"/>
          <w:lang w:val="en-US" w:eastAsia="zh-CN" w:bidi="ar-SA"/>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三、技术资料</w:t>
      </w:r>
      <w:r/>
    </w:p>
    <w:p>
      <w:pPr>
        <w:ind w:firstLine="480"/>
        <w:keepLines w:val="0"/>
        <w:keepNext w:val="0"/>
        <w:pageBreakBefore w:val="0"/>
        <w:spacing w:line="360" w:lineRule="auto"/>
        <w:widowControl w:val="off"/>
        <w:rPr>
          <w:rFonts w:ascii="宋体" w:hAnsi="宋体"/>
          <w:bCs/>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3.1乙方应按招标文件规定的时间向甲方提供使用货物的有关技术资料。</w:t>
      </w:r>
      <w:r/>
    </w:p>
    <w:p>
      <w:pPr>
        <w:ind w:firstLine="480"/>
        <w:keepLines w:val="0"/>
        <w:keepNext w:val="0"/>
        <w:pageBreakBefore w:val="0"/>
        <w:spacing w:line="360" w:lineRule="auto"/>
        <w:widowControl w:val="off"/>
        <w:rPr>
          <w:rFonts w:ascii="宋体" w:hAnsi="宋体"/>
          <w:bCs/>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07"/>
        <w:keepLines w:val="0"/>
        <w:keepNext w:val="0"/>
        <w:pageBreakBefore w:val="0"/>
        <w:spacing w:line="360" w:lineRule="auto"/>
        <w:widowControl w:val="off"/>
        <w:rPr>
          <w:rFonts w:hAnsi="宋体"/>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四、知识产权</w:t>
      </w:r>
      <w:r/>
    </w:p>
    <w:p>
      <w:pPr>
        <w:ind w:firstLine="480"/>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4.1乙</w:t>
      </w:r>
      <w:r>
        <w:rPr>
          <w:rFonts w:hint="eastAsia" w:ascii="宋体" w:hAnsi="宋体"/>
          <w:color w:val="000000" w:themeColor="text1"/>
          <w:sz w:val="21"/>
          <w:szCs w:val="21"/>
          <w14:textFill>
            <w14:solidFill>
              <w14:schemeClr w14:val="tx1"/>
            </w14:solidFill>
          </w14:textFill>
        </w:rPr>
        <w:t xml:space="preserve">方应保证甲方在使用、接受本合同货物和服务或其任何一部分时不受第三方提出侵犯其专利权、版权、商标权和工业设计权等知识产权的起诉。一旦出现侵权，由乙方负全部责任。</w:t>
      </w:r>
      <w:r/>
    </w:p>
    <w:p>
      <w:pPr>
        <w:pStyle w:val="1107"/>
        <w:keepLines w:val="0"/>
        <w:keepNext w:val="0"/>
        <w:pageBreakBefore w:val="0"/>
        <w:spacing w:line="360" w:lineRule="auto"/>
        <w:widowControl w:val="off"/>
        <w:rPr>
          <w:rFonts w:hAnsi="宋体"/>
          <w:color w:val="000000" w:themeColor="text1"/>
          <w:sz w:val="24"/>
          <w:szCs w:val="24"/>
          <w:u w:val="single"/>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五、产权担保</w:t>
      </w:r>
      <w:r/>
    </w:p>
    <w:p>
      <w:pPr>
        <w:pStyle w:val="1107"/>
        <w:ind w:firstLine="48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5.1 乙方保证所交付的货物的所有权完全属于乙方且无任何抵押、查封等产权瑕疵。</w:t>
      </w:r>
      <w:r/>
    </w:p>
    <w:p>
      <w:pPr>
        <w:pStyle w:val="1107"/>
        <w:keepLines w:val="0"/>
        <w:keepNext w:val="0"/>
        <w:pageBreakBefore w:val="0"/>
        <w:spacing w:line="360" w:lineRule="auto"/>
        <w:widowControl w:val="off"/>
        <w:rPr>
          <w:rFonts w:hAnsi="宋体"/>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六、履约保证金</w:t>
      </w:r>
      <w:r/>
    </w:p>
    <w:p>
      <w:pPr>
        <w:pStyle w:val="1107"/>
        <w:ind w:firstLine="480"/>
        <w:keepLines w:val="0"/>
        <w:keepNext w:val="0"/>
        <w:pageBreakBefore w:val="0"/>
        <w:spacing w:line="360" w:lineRule="auto"/>
        <w:widowControl w:val="off"/>
        <w:rPr>
          <w:rFonts w:hint="eastAsia" w:hAnsi="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6.1乙方交纳本项目合同价的10%给甲方，作为本项目的履约保证金，乙方如</w:t>
      </w:r>
      <w:r>
        <w:rPr>
          <w:rFonts w:hint="eastAsia" w:ascii="宋体" w:hAnsi="宋体" w:eastAsia="宋体" w:cs="宋体"/>
          <w:color w:val="000000" w:themeColor="text1"/>
          <w:sz w:val="21"/>
          <w:szCs w:val="21"/>
          <w:lang w:val="en-US" w:eastAsia="zh-CN"/>
          <w14:textFill>
            <w14:solidFill>
              <w14:schemeClr w14:val="tx1"/>
            </w14:solidFill>
          </w14:textFill>
        </w:rPr>
        <w:t xml:space="preserve">提供</w:t>
      </w:r>
      <w:r>
        <w:rPr>
          <w:rFonts w:hint="eastAsia" w:ascii="宋体" w:hAnsi="宋体" w:eastAsia="宋体" w:cs="宋体"/>
          <w:color w:val="000000" w:themeColor="text1"/>
          <w:sz w:val="21"/>
          <w:szCs w:val="21"/>
          <w14:textFill>
            <w14:solidFill>
              <w14:schemeClr w14:val="tx1"/>
            </w14:solidFill>
          </w14:textFill>
        </w:rPr>
        <w:t xml:space="preserve">第三方信用服务机构依据标准规范评定为 AA 级及以上的政府采购供应商（需在签订采购合同前提供信用管理部门备案的第三方信用报告，且信用报告通过“信用盐城网”可查实），免收履约保证金</w:t>
      </w:r>
      <w:r>
        <w:rPr>
          <w:rFonts w:hint="eastAsia" w:hAnsi="宋体"/>
          <w:color w:val="000000" w:themeColor="text1"/>
          <w:sz w:val="21"/>
          <w:szCs w:val="21"/>
          <w14:textFill>
            <w14:solidFill>
              <w14:schemeClr w14:val="tx1"/>
            </w14:solidFill>
          </w14:textFill>
        </w:rPr>
        <w:t xml:space="preserve">。</w:t>
      </w:r>
      <w:r/>
    </w:p>
    <w:p>
      <w:pPr>
        <w:pStyle w:val="1107"/>
        <w:ind w:firstLine="480"/>
        <w:keepLines w:val="0"/>
        <w:keepNext w:val="0"/>
        <w:pageBreakBefore w:val="0"/>
        <w:spacing w:line="360" w:lineRule="auto"/>
        <w:widowControl w:val="off"/>
        <w:rPr>
          <w:rFonts w:hint="default" w:ascii="宋体" w:hAnsi="宋体" w:eastAsia="宋体" w:cs="Times New Roman"/>
          <w:color w:val="000000" w:themeColor="text1"/>
          <w:sz w:val="21"/>
          <w:szCs w:val="21"/>
          <w:lang w:val="en-US" w:eastAsia="zh-CN"/>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6.2</w:t>
      </w:r>
      <w:r>
        <w:rPr>
          <w:rFonts w:hint="eastAsia" w:ascii="宋体" w:hAnsi="宋体" w:eastAsia="宋体" w:cs="Times New Roman"/>
          <w:color w:val="000000" w:themeColor="text1"/>
          <w:sz w:val="21"/>
          <w:szCs w:val="21"/>
          <w:lang w:val="en-US" w:eastAsia="zh-CN"/>
          <w14:textFill>
            <w14:solidFill>
              <w14:schemeClr w14:val="tx1"/>
            </w14:solidFill>
          </w14:textFill>
        </w:rPr>
        <w:t xml:space="preserve">履约保证金的收取方式：银行转帐或电汇或保函或履约保函（保险），履约保证金的退还：项目验收合格后15日内无息退还。如未能按期交付验收合格的履约保证金不予退还。</w:t>
      </w:r>
      <w:r/>
    </w:p>
    <w:p>
      <w:pPr>
        <w:keepLines w:val="0"/>
        <w:keepNext w:val="0"/>
        <w:pageBreakBefore w:val="0"/>
        <w:spacing w:line="360" w:lineRule="auto"/>
        <w:widowControl w:val="off"/>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七、转包或分包</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7.1</w:t>
      </w:r>
      <w:r>
        <w:rPr>
          <w:rFonts w:hint="eastAsia" w:ascii="宋体" w:hAnsi="宋体"/>
          <w:color w:val="000000" w:themeColor="text1"/>
          <w:sz w:val="21"/>
          <w:szCs w:val="21"/>
          <w14:textFill>
            <w14:solidFill>
              <w14:schemeClr w14:val="tx1"/>
            </w14:solidFill>
          </w14:textFill>
        </w:rPr>
        <w:t xml:space="preserve">本合同范围的货物，应由乙方直接供应，不得转让他人供应；</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7.2 </w:t>
      </w:r>
      <w:r>
        <w:rPr>
          <w:rFonts w:hint="eastAsia" w:ascii="宋体" w:hAnsi="宋体"/>
          <w:color w:val="000000" w:themeColor="text1"/>
          <w:sz w:val="21"/>
          <w:szCs w:val="21"/>
          <w14:textFill>
            <w14:solidFill>
              <w14:schemeClr w14:val="tx1"/>
            </w14:solidFill>
          </w14:textFill>
        </w:rPr>
        <w:t xml:space="preserve">除非得到甲方的书面同意，乙方不得部分分包给他人供应。</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7.3</w:t>
      </w:r>
      <w:r>
        <w:rPr>
          <w:rFonts w:hint="eastAsia" w:ascii="宋体" w:hAnsi="宋体"/>
          <w:color w:val="000000" w:themeColor="text1"/>
          <w:sz w:val="21"/>
          <w:szCs w:val="21"/>
          <w14:textFill>
            <w14:solidFill>
              <w14:schemeClr w14:val="tx1"/>
            </w14:solidFill>
          </w14:textFill>
        </w:rPr>
        <w:t xml:space="preserve">如有转让和未经甲方同意的分包行为，甲方有权给予终止合同。</w:t>
      </w:r>
      <w:r/>
    </w:p>
    <w:p>
      <w:pPr>
        <w:pStyle w:val="1107"/>
        <w:keepLines w:val="0"/>
        <w:keepNext w:val="0"/>
        <w:pageBreakBefore w:val="0"/>
        <w:spacing w:line="360" w:lineRule="auto"/>
        <w:widowControl w:val="off"/>
        <w:rPr>
          <w:rFonts w:hint="eastAsia" w:ascii="宋体" w:hAnsi="宋体" w:eastAsia="宋体" w:cs="Times New Roman"/>
          <w:b/>
          <w:color w:val="000000" w:themeColor="text1"/>
          <w:sz w:val="24"/>
          <w:szCs w:val="24"/>
          <w:lang w:val="en-US" w:eastAsia="zh-CN" w:bidi="ar-SA"/>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八、质保期</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8.1 质保期</w:t>
      </w:r>
      <w:r>
        <w:rPr>
          <w:rFonts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u w:val="single"/>
          <w:lang w:val="en-US" w:eastAsia="zh-CN"/>
          <w14:textFill>
            <w14:solidFill>
              <w14:schemeClr w14:val="tx1"/>
            </w14:solidFill>
          </w14:textFill>
        </w:rPr>
        <w:t xml:space="preserve">  </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年。自</w:t>
      </w:r>
      <w:r>
        <w:rPr>
          <w:rFonts w:hint="eastAsia" w:ascii="宋体" w:hAnsi="宋体"/>
          <w:color w:val="000000" w:themeColor="text1"/>
          <w:sz w:val="21"/>
          <w:szCs w:val="21"/>
          <w:lang w:val="en-US" w:eastAsia="zh-CN"/>
          <w14:textFill>
            <w14:solidFill>
              <w14:schemeClr w14:val="tx1"/>
            </w14:solidFill>
          </w14:textFill>
        </w:rPr>
        <w:t xml:space="preserve">整体</w:t>
      </w:r>
      <w:r>
        <w:rPr>
          <w:rFonts w:hint="eastAsia" w:ascii="宋体" w:hAnsi="宋体"/>
          <w:color w:val="000000" w:themeColor="text1"/>
          <w:sz w:val="21"/>
          <w:szCs w:val="21"/>
          <w:lang w:eastAsia="zh-CN"/>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验收合格之日起计</w:t>
      </w:r>
      <w:r>
        <w:rPr>
          <w:rFonts w:hint="eastAsia" w:ascii="宋体" w:hAnsi="宋体"/>
          <w:color w:val="000000" w:themeColor="text1"/>
          <w:sz w:val="21"/>
          <w:szCs w:val="21"/>
          <w14:textFill>
            <w14:solidFill>
              <w14:schemeClr w14:val="tx1"/>
            </w14:solidFill>
          </w14:textFill>
        </w:rPr>
        <w:t xml:space="preserve">，质保期内的设备等其他损害货物均由乙方在甲方要求时间内整修完毕，</w:t>
      </w:r>
      <w:r>
        <w:rPr>
          <w:rFonts w:hint="eastAsia" w:ascii="宋体" w:hAnsi="宋体"/>
          <w:color w:val="000000" w:themeColor="text1"/>
          <w:sz w:val="21"/>
          <w:szCs w:val="21"/>
          <w:lang w:val="en-US" w:eastAsia="zh-CN"/>
          <w14:textFill>
            <w14:solidFill>
              <w14:schemeClr w14:val="tx1"/>
            </w14:solidFill>
          </w14:textFill>
        </w:rPr>
        <w:t xml:space="preserve">并</w:t>
      </w:r>
      <w:r>
        <w:rPr>
          <w:rFonts w:hint="eastAsia" w:ascii="宋体" w:hAnsi="宋体"/>
          <w:color w:val="000000" w:themeColor="text1"/>
          <w:sz w:val="21"/>
          <w:szCs w:val="21"/>
          <w14:textFill>
            <w14:solidFill>
              <w14:schemeClr w14:val="tx1"/>
            </w14:solidFill>
          </w14:textFill>
        </w:rPr>
        <w:t xml:space="preserve">保证安全</w:t>
      </w:r>
      <w:r>
        <w:rPr>
          <w:rFonts w:hint="eastAsia" w:ascii="宋体" w:hAnsi="宋体"/>
          <w:color w:val="000000" w:themeColor="text1"/>
          <w:sz w:val="21"/>
          <w:szCs w:val="21"/>
          <w:lang w:val="en-US" w:eastAsia="zh-CN"/>
          <w14:textFill>
            <w14:solidFill>
              <w14:schemeClr w14:val="tx1"/>
            </w14:solidFill>
          </w14:textFill>
        </w:rPr>
        <w:t xml:space="preserve">施工</w:t>
      </w:r>
      <w:r>
        <w:rPr>
          <w:rFonts w:hint="eastAsia" w:ascii="宋体" w:hAnsi="宋体"/>
          <w:color w:val="000000" w:themeColor="text1"/>
          <w:sz w:val="21"/>
          <w:szCs w:val="21"/>
          <w14:textFill>
            <w14:solidFill>
              <w14:schemeClr w14:val="tx1"/>
            </w14:solidFill>
          </w14:textFill>
        </w:rPr>
        <w:t xml:space="preserve">，由第三方人为因素造成的</w:t>
      </w:r>
      <w:r>
        <w:rPr>
          <w:rFonts w:hint="eastAsia" w:ascii="宋体" w:hAnsi="宋体"/>
          <w:color w:val="000000" w:themeColor="text1"/>
          <w:sz w:val="21"/>
          <w:szCs w:val="21"/>
          <w:lang w:eastAsia="zh-CN"/>
          <w14:textFill>
            <w14:solidFill>
              <w14:schemeClr w14:val="tx1"/>
            </w14:solidFill>
          </w14:textFill>
        </w:rPr>
        <w:t xml:space="preserve">损坏</w:t>
      </w:r>
      <w:r>
        <w:rPr>
          <w:rFonts w:hint="eastAsia" w:ascii="宋体" w:hAnsi="宋体"/>
          <w:color w:val="000000" w:themeColor="text1"/>
          <w:sz w:val="21"/>
          <w:szCs w:val="21"/>
          <w14:textFill>
            <w14:solidFill>
              <w14:schemeClr w14:val="tx1"/>
            </w14:solidFill>
          </w14:textFill>
        </w:rPr>
        <w:t xml:space="preserve">，由乙方自行处理索赔事务，与甲方无关。</w:t>
      </w:r>
      <w:r/>
    </w:p>
    <w:p>
      <w:pPr>
        <w:pStyle w:val="1107"/>
        <w:keepLines w:val="0"/>
        <w:keepNext w:val="0"/>
        <w:pageBreakBefore w:val="0"/>
        <w:spacing w:line="360" w:lineRule="auto"/>
        <w:widowControl w:val="off"/>
        <w:rPr>
          <w:rFonts w:hint="eastAsia" w:ascii="宋体" w:hAnsi="宋体" w:eastAsia="宋体" w:cs="Times New Roman"/>
          <w:b/>
          <w:color w:val="000000" w:themeColor="text1"/>
          <w:sz w:val="24"/>
          <w:szCs w:val="24"/>
          <w:lang w:val="en-US" w:eastAsia="zh-CN" w:bidi="ar-SA"/>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九、合同履行期限、交货方式及交货地点</w:t>
      </w:r>
      <w:r/>
    </w:p>
    <w:p>
      <w:pPr>
        <w:pStyle w:val="1107"/>
        <w:ind w:firstLine="480"/>
        <w:keepLines w:val="0"/>
        <w:keepNext w:val="0"/>
        <w:pageBreakBefore w:val="0"/>
        <w:spacing w:line="360" w:lineRule="auto"/>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9.1 合同履行期限：_________</w:t>
      </w:r>
      <w:r/>
    </w:p>
    <w:p>
      <w:pPr>
        <w:pStyle w:val="1107"/>
        <w:ind w:firstLine="480"/>
        <w:keepLines w:val="0"/>
        <w:keepNext w:val="0"/>
        <w:pageBreakBefore w:val="0"/>
        <w:spacing w:line="360" w:lineRule="auto"/>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9.2 交货方式：_________</w:t>
      </w:r>
      <w:r/>
    </w:p>
    <w:p>
      <w:pPr>
        <w:pStyle w:val="1107"/>
        <w:ind w:firstLine="480"/>
        <w:keepLines w:val="0"/>
        <w:keepNext w:val="0"/>
        <w:pageBreakBefore w:val="0"/>
        <w:spacing w:line="360" w:lineRule="auto"/>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9.3 交货地点：_________</w:t>
      </w:r>
      <w:r/>
    </w:p>
    <w:p>
      <w:pPr>
        <w:pStyle w:val="1107"/>
        <w:keepLines w:val="0"/>
        <w:keepNext w:val="0"/>
        <w:pageBreakBefore w:val="0"/>
        <w:spacing w:line="360" w:lineRule="auto"/>
        <w:widowControl w:val="off"/>
        <w:rPr>
          <w:rFonts w:hAnsi="宋体"/>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十、货款支付</w:t>
      </w:r>
      <w:r/>
    </w:p>
    <w:p>
      <w:pPr>
        <w:ind w:firstLine="480"/>
        <w:keepLines w:val="0"/>
        <w:keepNext w:val="0"/>
        <w:pageBreakBefore w:val="0"/>
        <w:spacing w:line="360" w:lineRule="auto"/>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10.1 付款方式：合同签订后付30%预付款（合同签订并收到中标人发票后10个工作日内），项目验收合格后付至合同价款的</w:t>
      </w:r>
      <w:r>
        <w:rPr>
          <w:rFonts w:hint="eastAsia" w:ascii="宋体" w:hAnsi="宋体"/>
          <w:color w:val="000000" w:themeColor="text1"/>
          <w:sz w:val="21"/>
          <w:szCs w:val="21"/>
          <w:lang w:val="en-US" w:eastAsia="zh-CN"/>
          <w14:textFill>
            <w14:solidFill>
              <w14:schemeClr w14:val="tx1"/>
            </w14:solidFill>
          </w14:textFill>
        </w:rPr>
        <w:t xml:space="preserve">7</w:t>
      </w:r>
      <w:r>
        <w:rPr>
          <w:rFonts w:hint="eastAsia" w:ascii="宋体" w:hAnsi="宋体"/>
          <w:color w:val="000000" w:themeColor="text1"/>
          <w:sz w:val="21"/>
          <w:szCs w:val="21"/>
          <w14:textFill>
            <w14:solidFill>
              <w14:schemeClr w14:val="tx1"/>
            </w14:solidFill>
          </w14:textFill>
        </w:rPr>
        <w:t xml:space="preserve">0%，验收合格满一年后付至审核价款的</w:t>
      </w:r>
      <w:r>
        <w:rPr>
          <w:rFonts w:hint="eastAsia" w:ascii="宋体" w:hAnsi="宋体"/>
          <w:color w:val="000000" w:themeColor="text1"/>
          <w:sz w:val="21"/>
          <w:szCs w:val="21"/>
          <w:lang w:val="en-US" w:eastAsia="zh-CN"/>
          <w14:textFill>
            <w14:solidFill>
              <w14:schemeClr w14:val="tx1"/>
            </w14:solidFill>
          </w14:textFill>
        </w:rPr>
        <w:t xml:space="preserve">8</w:t>
      </w:r>
      <w:r>
        <w:rPr>
          <w:rFonts w:hint="eastAsia" w:ascii="宋体" w:hAnsi="宋体"/>
          <w:color w:val="000000" w:themeColor="text1"/>
          <w:sz w:val="21"/>
          <w:szCs w:val="21"/>
          <w14:textFill>
            <w14:solidFill>
              <w14:schemeClr w14:val="tx1"/>
            </w14:solidFill>
          </w14:textFill>
        </w:rPr>
        <w:t xml:space="preserve">0%，验收合格满二年后付至审核价款的</w:t>
      </w:r>
      <w:r>
        <w:rPr>
          <w:rFonts w:hint="eastAsia" w:ascii="宋体" w:hAnsi="宋体"/>
          <w:color w:val="000000" w:themeColor="text1"/>
          <w:sz w:val="21"/>
          <w:szCs w:val="21"/>
          <w:lang w:val="en-US" w:eastAsia="zh-CN"/>
          <w14:textFill>
            <w14:solidFill>
              <w14:schemeClr w14:val="tx1"/>
            </w14:solidFill>
          </w14:textFill>
        </w:rPr>
        <w:t xml:space="preserve">9</w:t>
      </w:r>
      <w:r>
        <w:rPr>
          <w:rFonts w:hint="eastAsia" w:ascii="宋体" w:hAnsi="宋体"/>
          <w:color w:val="000000" w:themeColor="text1"/>
          <w:sz w:val="21"/>
          <w:szCs w:val="21"/>
          <w14:textFill>
            <w14:solidFill>
              <w14:schemeClr w14:val="tx1"/>
            </w14:solidFill>
          </w14:textFill>
        </w:rPr>
        <w:t xml:space="preserve">0%，</w:t>
      </w:r>
      <w:r>
        <w:rPr>
          <w:rFonts w:hint="eastAsia" w:ascii="宋体" w:hAnsi="宋体"/>
          <w:color w:val="000000" w:themeColor="text1"/>
          <w:sz w:val="21"/>
          <w:szCs w:val="21"/>
          <w:lang w:val="en-US" w:eastAsia="zh-CN"/>
          <w14:textFill>
            <w14:solidFill>
              <w14:schemeClr w14:val="tx1"/>
            </w14:solidFill>
          </w14:textFill>
        </w:rPr>
        <w:t xml:space="preserve">剩余款项待质保期满后一次性付清</w:t>
      </w:r>
      <w:r>
        <w:rPr>
          <w:rFonts w:hint="eastAsia" w:ascii="宋体" w:hAnsi="宋体"/>
          <w:color w:val="000000" w:themeColor="text1"/>
          <w:sz w:val="21"/>
          <w:szCs w:val="21"/>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b/>
          <w:color w:val="000000" w:themeColor="text1"/>
          <w:sz w:val="21"/>
          <w:szCs w:val="21"/>
          <w:highlight w:val="none"/>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在签订合同时，供应商明确表示无需预付款或者主动要求降低预付款比例的，采购人可不适用前述规定。</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10.2当采购数量与实际使用数量不一致时，</w:t>
      </w:r>
      <w:r>
        <w:rPr>
          <w:rFonts w:hint="eastAsia" w:ascii="宋体" w:hAnsi="宋体"/>
          <w:color w:val="000000" w:themeColor="text1"/>
          <w:sz w:val="21"/>
          <w:szCs w:val="21"/>
          <w14:textFill>
            <w14:solidFill>
              <w14:schemeClr w14:val="tx1"/>
            </w14:solidFill>
          </w14:textFill>
        </w:rPr>
        <w:t xml:space="preserve">乙方</w:t>
      </w:r>
      <w:r>
        <w:rPr>
          <w:rFonts w:ascii="宋体" w:hAnsi="宋体"/>
          <w:color w:val="000000" w:themeColor="text1"/>
          <w:sz w:val="21"/>
          <w:szCs w:val="21"/>
          <w14:textFill>
            <w14:solidFill>
              <w14:schemeClr w14:val="tx1"/>
            </w14:solidFill>
          </w14:textFill>
        </w:rPr>
        <w:t xml:space="preserve">应根据实际使用量供货，合同的最终结算金额按实际使用量乘以成交单价进行计算。</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10.3</w:t>
      </w:r>
      <w:r>
        <w:rPr>
          <w:rFonts w:hint="eastAsia" w:ascii="宋体" w:hAnsi="宋体"/>
          <w:color w:val="000000" w:themeColor="text1"/>
          <w:sz w:val="21"/>
          <w:szCs w:val="21"/>
          <w:lang w:val="en-US" w:eastAsia="zh-CN"/>
          <w14:textFill>
            <w14:solidFill>
              <w14:schemeClr w14:val="tx1"/>
            </w14:solidFill>
          </w14:textFill>
        </w:rPr>
        <w:t xml:space="preserve">乙方付款时需提供合法有效的发票</w:t>
      </w:r>
      <w:r>
        <w:rPr>
          <w:rFonts w:ascii="宋体" w:hAnsi="宋体"/>
          <w:color w:val="000000" w:themeColor="text1"/>
          <w:sz w:val="21"/>
          <w:szCs w:val="21"/>
          <w14:textFill>
            <w14:solidFill>
              <w14:schemeClr w14:val="tx1"/>
            </w14:solidFill>
          </w14:textFill>
        </w:rPr>
        <w:t xml:space="preserve">。</w:t>
      </w:r>
      <w:r/>
    </w:p>
    <w:p>
      <w:pPr>
        <w:keepLines w:val="0"/>
        <w:keepNext w:val="0"/>
        <w:pageBreakBefore w:val="0"/>
        <w:spacing w:line="360" w:lineRule="auto"/>
        <w:widowControl w:val="off"/>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十一</w:t>
      </w:r>
      <w:r>
        <w:rPr>
          <w:rFonts w:ascii="宋体" w:hAnsi="宋体"/>
          <w:b/>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税费</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11.1</w:t>
      </w:r>
      <w:r>
        <w:rPr>
          <w:rFonts w:hint="eastAsia" w:ascii="宋体" w:hAnsi="宋体"/>
          <w:color w:val="000000" w:themeColor="text1"/>
          <w:sz w:val="21"/>
          <w:szCs w:val="21"/>
          <w14:textFill>
            <w14:solidFill>
              <w14:schemeClr w14:val="tx1"/>
            </w14:solidFill>
          </w14:textFill>
        </w:rPr>
        <w:t xml:space="preserve">本合同执行中相关的一切税费均由乙方负担。</w:t>
      </w:r>
      <w:r/>
    </w:p>
    <w:p>
      <w:pPr>
        <w:pStyle w:val="1107"/>
        <w:keepLines w:val="0"/>
        <w:keepNext w:val="0"/>
        <w:pageBreakBefore w:val="0"/>
        <w:spacing w:line="360" w:lineRule="auto"/>
        <w:widowControl w:val="off"/>
        <w:rPr>
          <w:rFonts w:hAnsi="宋体"/>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十二、质量保证及售后服务</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12.1 乙方应按招标文件规定的货物性能、技术要求、质量标准向甲方提供未经使用的全新产品。</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12.2 乙方提供的货物在质量期内因货物本身的质量问题发生故障，乙方应负责免费更换。对达不到技术要求者，根据实际情况，经双方协商，可按以下办法处理：</w:t>
      </w:r>
      <w:r/>
    </w:p>
    <w:p>
      <w:pPr>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⑴更换：由乙方承担所发生的全部费用。</w:t>
      </w:r>
      <w:r/>
    </w:p>
    <w:p>
      <w:pPr>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⑵贬值处理：由甲乙双方合议定价。</w:t>
      </w:r>
      <w:r/>
    </w:p>
    <w:p>
      <w:pPr>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keepLines w:val="0"/>
        <w:keepNext w:val="0"/>
        <w:pageBreakBefore w:val="0"/>
        <w:spacing w:line="360" w:lineRule="auto"/>
        <w:widowControl w:val="off"/>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12.3 如在使用过程中发生质量问题，</w:t>
      </w:r>
      <w:r>
        <w:rPr>
          <w:rFonts w:hint="eastAsia" w:ascii="宋体" w:hAnsi="宋体"/>
          <w:color w:val="000000" w:themeColor="text1"/>
          <w:sz w:val="21"/>
          <w:szCs w:val="21"/>
          <w14:textFill>
            <w14:solidFill>
              <w14:schemeClr w14:val="tx1"/>
            </w14:solidFill>
          </w14:textFill>
        </w:rPr>
        <w:t xml:space="preserve">乙方在接到电话后须在</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u w:val="single"/>
          <w:lang w:val="en-US" w:eastAsia="zh-CN"/>
          <w14:textFill>
            <w14:solidFill>
              <w14:schemeClr w14:val="tx1"/>
            </w14:solidFill>
          </w14:textFill>
        </w:rPr>
        <w:t xml:space="preserve">3</w:t>
      </w:r>
      <w:r>
        <w:rPr>
          <w:rFonts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小时</w:t>
      </w:r>
      <w:r>
        <w:rPr>
          <w:rFonts w:hint="eastAsia" w:ascii="宋体" w:hAnsi="宋体"/>
          <w:color w:val="000000" w:themeColor="text1"/>
          <w:sz w:val="21"/>
          <w:szCs w:val="21"/>
          <w:lang w:eastAsia="zh-CN"/>
          <w14:textFill>
            <w14:solidFill>
              <w14:schemeClr w14:val="tx1"/>
            </w14:solidFill>
          </w14:textFill>
        </w:rPr>
        <w:t xml:space="preserve">内</w:t>
      </w:r>
      <w:r>
        <w:rPr>
          <w:rFonts w:hint="eastAsia" w:ascii="宋体" w:hAnsi="宋体"/>
          <w:color w:val="000000" w:themeColor="text1"/>
          <w:sz w:val="21"/>
          <w:szCs w:val="21"/>
          <w14:textFill>
            <w14:solidFill>
              <w14:schemeClr w14:val="tx1"/>
            </w14:solidFill>
          </w14:textFill>
        </w:rPr>
        <w:t xml:space="preserve">响应，</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u w:val="single"/>
          <w:lang w:val="en-US" w:eastAsia="zh-CN"/>
          <w14:textFill>
            <w14:solidFill>
              <w14:schemeClr w14:val="tx1"/>
            </w14:solidFill>
          </w14:textFill>
        </w:rPr>
        <w:t xml:space="preserve">24</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小时内到达</w:t>
      </w:r>
      <w:r>
        <w:rPr>
          <w:rFonts w:hint="eastAsia" w:ascii="宋体" w:hAnsi="宋体"/>
          <w:color w:val="000000" w:themeColor="text1"/>
          <w:sz w:val="21"/>
          <w:szCs w:val="21"/>
          <w14:textFill>
            <w14:solidFill>
              <w14:schemeClr w14:val="tx1"/>
            </w14:solidFill>
          </w14:textFill>
        </w:rPr>
        <w:t xml:space="preserve">现场解决问题</w:t>
      </w:r>
      <w:r>
        <w:rPr>
          <w:rFonts w:hint="eastAsia" w:ascii="宋体" w:hAnsi="宋体"/>
          <w:color w:val="000000" w:themeColor="text1"/>
          <w:sz w:val="21"/>
          <w:szCs w:val="21"/>
          <w:lang w:eastAsia="zh-CN"/>
          <w14:textFill>
            <w14:solidFill>
              <w14:schemeClr w14:val="tx1"/>
            </w14:solidFill>
          </w14:textFill>
        </w:rPr>
        <w:t xml:space="preserve">（</w:t>
      </w:r>
      <w:r>
        <w:rPr>
          <w:rFonts w:hint="eastAsia" w:ascii="宋体" w:hAnsi="宋体"/>
          <w:color w:val="000000" w:themeColor="text1"/>
          <w:sz w:val="21"/>
          <w:szCs w:val="21"/>
          <w:lang w:val="en-US" w:eastAsia="zh-CN"/>
          <w14:textFill>
            <w14:solidFill>
              <w14:schemeClr w14:val="tx1"/>
            </w14:solidFill>
          </w14:textFill>
        </w:rPr>
        <w:t xml:space="preserve">如遇特殊情况不能在规定时间内解决的须向甲方提出书面申请，经甲方同意后方可延长维修时间，否则按合同价的万分一/天作为逾期违约处罚，违约金直接从结算价款中扣除</w:t>
      </w:r>
      <w:r>
        <w:rPr>
          <w:rFonts w:hint="eastAsia" w:ascii="宋体" w:hAnsi="宋体"/>
          <w:color w:val="000000" w:themeColor="text1"/>
          <w:sz w:val="21"/>
          <w:szCs w:val="21"/>
          <w:lang w:eastAsia="zh-CN"/>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，如果需要更换货物或配件，需保证所换货物或配件不低于原配置</w:t>
      </w:r>
      <w:r>
        <w:rPr>
          <w:rFonts w:hint="eastAsia"/>
          <w:color w:val="000000" w:themeColor="text1"/>
          <w:sz w:val="21"/>
          <w:szCs w:val="21"/>
          <w:lang w:eastAsia="zh-CN"/>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如在</w:t>
      </w:r>
      <w:r>
        <w:rPr>
          <w:rFonts w:hint="eastAsia" w:ascii="宋体" w:hAnsi="宋体"/>
          <w:color w:val="000000" w:themeColor="text1"/>
          <w:sz w:val="21"/>
          <w:szCs w:val="21"/>
          <w:lang w:val="en-US" w:eastAsia="zh-CN"/>
          <w14:textFill>
            <w14:solidFill>
              <w14:schemeClr w14:val="tx1"/>
            </w14:solidFill>
          </w14:textFill>
        </w:rPr>
        <w:t xml:space="preserve">上述</w:t>
      </w:r>
      <w:r>
        <w:rPr>
          <w:rFonts w:hint="eastAsia" w:ascii="宋体" w:hAnsi="宋体"/>
          <w:color w:val="000000" w:themeColor="text1"/>
          <w:sz w:val="21"/>
          <w:szCs w:val="21"/>
          <w14:textFill>
            <w14:solidFill>
              <w14:schemeClr w14:val="tx1"/>
            </w14:solidFill>
          </w14:textFill>
        </w:rPr>
        <w:t xml:space="preserve">规定时间内不能到位的，甲方有权自行维修或更换，其费用</w:t>
      </w:r>
      <w:r>
        <w:rPr>
          <w:rFonts w:hint="eastAsia" w:ascii="宋体" w:hAnsi="宋体"/>
          <w:color w:val="000000" w:themeColor="text1"/>
          <w:sz w:val="21"/>
          <w:szCs w:val="21"/>
          <w:lang w:eastAsia="zh-CN"/>
          <w14:textFill>
            <w14:solidFill>
              <w14:schemeClr w14:val="tx1"/>
            </w14:solidFill>
          </w14:textFill>
        </w:rPr>
        <w:t xml:space="preserve">由乙方全部承担，甲方自行维修后的设备仍享有乙方的质保承诺</w:t>
      </w:r>
      <w:r>
        <w:rPr>
          <w:rFonts w:hint="eastAsia" w:ascii="宋体" w:hAnsi="宋体"/>
          <w:color w:val="000000" w:themeColor="text1"/>
          <w:sz w:val="21"/>
          <w:szCs w:val="21"/>
          <w14:textFill>
            <w14:solidFill>
              <w14:schemeClr w14:val="tx1"/>
            </w14:solidFill>
          </w14:textFill>
        </w:rPr>
        <w:t xml:space="preserve">。如设备、配套设施、管线等出现意外（包括自然灾害等）或任何人为等因素造成损坏的，乙方需先无条件维修复原，维修完成后再由乙方（甲方配合）向人为因素造成损坏的责任人追偿。</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12.</w:t>
      </w:r>
      <w:r>
        <w:rPr>
          <w:rFonts w:hint="eastAsia" w:ascii="宋体" w:hAnsi="宋体"/>
          <w:color w:val="000000" w:themeColor="text1"/>
          <w:sz w:val="21"/>
          <w:szCs w:val="21"/>
          <w:lang w:val="en-US" w:eastAsia="zh-CN"/>
          <w14:textFill>
            <w14:solidFill>
              <w14:schemeClr w14:val="tx1"/>
            </w14:solidFill>
          </w14:textFill>
        </w:rPr>
        <w:t xml:space="preserve">4</w:t>
      </w:r>
      <w:r>
        <w:rPr>
          <w:rFonts w:ascii="宋体" w:hAnsi="宋体"/>
          <w:color w:val="000000" w:themeColor="text1"/>
          <w:sz w:val="21"/>
          <w:szCs w:val="21"/>
          <w14:textFill>
            <w14:solidFill>
              <w14:schemeClr w14:val="tx1"/>
            </w14:solidFill>
          </w14:textFill>
        </w:rPr>
        <w:t xml:space="preserve"> 在质保期内，乙方应对货物出现的质量及安全问题负责处理解决并承担一切费用。</w:t>
      </w:r>
      <w:r/>
    </w:p>
    <w:p>
      <w:pPr>
        <w:pStyle w:val="1107"/>
        <w:keepLines w:val="0"/>
        <w:keepNext w:val="0"/>
        <w:pageBreakBefore w:val="0"/>
        <w:spacing w:line="360" w:lineRule="auto"/>
        <w:widowControl w:val="off"/>
        <w:rPr>
          <w:rFonts w:hint="eastAsia" w:ascii="宋体" w:hAnsi="宋体" w:eastAsia="宋体" w:cs="Times New Roman"/>
          <w:b/>
          <w:color w:val="000000" w:themeColor="text1"/>
          <w:sz w:val="24"/>
          <w:szCs w:val="24"/>
          <w:lang w:val="en-US" w:eastAsia="zh-CN" w:bidi="ar-SA"/>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十三、调试和验收</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13.2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13.3 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360" w:lineRule="auto"/>
        <w:widowControl w:val="off"/>
        <w:rPr>
          <w:rFonts w:hint="eastAsia" w:ascii="宋体" w:hAnsi="宋体" w:eastAsia="宋体"/>
          <w:color w:val="000000" w:themeColor="text1"/>
          <w:sz w:val="21"/>
          <w:szCs w:val="21"/>
          <w:lang w:eastAsia="zh-CN"/>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13.4 对技术复杂的货物，甲方</w:t>
      </w:r>
      <w:r>
        <w:rPr>
          <w:rFonts w:hint="eastAsia" w:ascii="宋体" w:hAnsi="宋体"/>
          <w:color w:val="000000" w:themeColor="text1"/>
          <w:sz w:val="21"/>
          <w:szCs w:val="21"/>
          <w14:textFill>
            <w14:solidFill>
              <w14:schemeClr w14:val="tx1"/>
            </w14:solidFill>
          </w14:textFill>
        </w:rPr>
        <w:t xml:space="preserve">可</w:t>
      </w:r>
      <w:r>
        <w:rPr>
          <w:rFonts w:ascii="宋体" w:hAnsi="宋体"/>
          <w:color w:val="000000" w:themeColor="text1"/>
          <w:sz w:val="21"/>
          <w:szCs w:val="21"/>
          <w14:textFill>
            <w14:solidFill>
              <w14:schemeClr w14:val="tx1"/>
            </w14:solidFill>
          </w14:textFill>
        </w:rPr>
        <w:t xml:space="preserve">请国家认可的专业检测机构参与初步验收及最终验收，并由其出具质量检测报告。</w:t>
      </w:r>
      <w:r>
        <w:rPr>
          <w:rFonts w:hint="eastAsia" w:ascii="宋体" w:hAnsi="宋体"/>
          <w:color w:val="000000" w:themeColor="text1"/>
          <w:sz w:val="21"/>
          <w:szCs w:val="21"/>
          <w:lang w:eastAsia="zh-CN"/>
          <w14:textFill>
            <w14:solidFill>
              <w14:schemeClr w14:val="tx1"/>
            </w14:solidFill>
          </w14:textFill>
        </w:rPr>
        <w:t xml:space="preserve">检测费用由乙方负责。</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13.5 验收时乙方必须在现场，验收完毕后作出验收结果报告；验收费用由乙方</w:t>
      </w:r>
      <w:r>
        <w:rPr>
          <w:rFonts w:hint="eastAsia" w:ascii="宋体" w:hAnsi="宋体"/>
          <w:color w:val="000000" w:themeColor="text1"/>
          <w:sz w:val="21"/>
          <w:szCs w:val="21"/>
          <w:lang w:eastAsia="zh-CN"/>
          <w14:textFill>
            <w14:solidFill>
              <w14:schemeClr w14:val="tx1"/>
            </w14:solidFill>
          </w14:textFill>
        </w:rPr>
        <w:t xml:space="preserve">支付</w:t>
      </w:r>
      <w:r>
        <w:rPr>
          <w:rFonts w:ascii="宋体" w:hAnsi="宋体"/>
          <w:color w:val="000000" w:themeColor="text1"/>
          <w:sz w:val="21"/>
          <w:szCs w:val="21"/>
          <w14:textFill>
            <w14:solidFill>
              <w14:schemeClr w14:val="tx1"/>
            </w14:solidFill>
          </w14:textFill>
        </w:rPr>
        <w:t xml:space="preserve">。</w:t>
      </w:r>
      <w:r/>
    </w:p>
    <w:p>
      <w:pPr>
        <w:pStyle w:val="1107"/>
        <w:keepLines w:val="0"/>
        <w:keepNext w:val="0"/>
        <w:pageBreakBefore w:val="0"/>
        <w:spacing w:line="360" w:lineRule="auto"/>
        <w:widowControl w:val="off"/>
        <w:rPr>
          <w:rFonts w:hint="eastAsia" w:ascii="宋体" w:hAnsi="宋体" w:eastAsia="宋体" w:cs="Times New Roman"/>
          <w:b/>
          <w:color w:val="000000" w:themeColor="text1"/>
          <w:sz w:val="24"/>
          <w:szCs w:val="24"/>
          <w:lang w:val="en-US" w:eastAsia="zh-CN" w:bidi="ar-SA"/>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十四、货物包装、发运及运输</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14.1 乙方应在货物发运前对其进行满足运输距离、防潮、防震、防锈和防破损装卸等要求包装，以保证货物安全运达甲方指定地点。</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14.2 使用说明书、质量检验证明书、随配附件和工具以及清单一并附于货物内。</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14.3 乙方在货物发运手续办理完毕后24小时内或货到甲方48小时前通知甲方，以准备接货。</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14.4 货物在交付甲方前发生的风险均由乙方负责。</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14.5 货物在规定的交付期限内由乙方送达甲方指定的地点视为交付，乙方同时需通知甲方货物已送达。</w:t>
      </w:r>
      <w:r/>
    </w:p>
    <w:p>
      <w:pPr>
        <w:pStyle w:val="1107"/>
        <w:keepLines w:val="0"/>
        <w:keepNext w:val="0"/>
        <w:pageBreakBefore w:val="0"/>
        <w:spacing w:line="360" w:lineRule="auto"/>
        <w:widowControl w:val="off"/>
        <w:rPr>
          <w:rFonts w:hint="eastAsia" w:ascii="宋体" w:hAnsi="宋体" w:eastAsia="宋体" w:cs="Times New Roman"/>
          <w:b/>
          <w:color w:val="000000" w:themeColor="text1"/>
          <w:sz w:val="24"/>
          <w:szCs w:val="24"/>
          <w:lang w:val="en-US" w:eastAsia="zh-CN" w:bidi="ar-SA"/>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十五、违约责任</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15.1 甲方无正当理由拒收货物的，甲方向乙方偿付拒收货款总值的百分之五违约金。</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15.2 甲方无故逾期验收和办理货款支付手续的,甲方应按逾期付款总额每日万分之五向乙方支付违约金。</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07"/>
        <w:keepLines w:val="0"/>
        <w:keepNext w:val="0"/>
        <w:pageBreakBefore w:val="0"/>
        <w:spacing w:line="360" w:lineRule="auto"/>
        <w:widowControl w:val="off"/>
        <w:rPr>
          <w:rFonts w:hint="eastAsia" w:ascii="宋体" w:hAnsi="宋体" w:eastAsia="宋体" w:cs="Times New Roman"/>
          <w:b/>
          <w:color w:val="000000" w:themeColor="text1"/>
          <w:sz w:val="24"/>
          <w:szCs w:val="24"/>
          <w:lang w:val="en-US" w:eastAsia="zh-CN" w:bidi="ar-SA"/>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十六、不可抗力事件处理</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16.2 不可抗力事件发生后，应立即通知对方，并寄送有关权威机构出具的证明。</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16.3 不可抗力事件延续120天以上，双方应通过友好协商，确定是否继续履行合同。</w:t>
      </w:r>
      <w:r/>
    </w:p>
    <w:p>
      <w:pPr>
        <w:pStyle w:val="1107"/>
        <w:keepLines w:val="0"/>
        <w:keepNext w:val="0"/>
        <w:pageBreakBefore w:val="0"/>
        <w:spacing w:line="360" w:lineRule="auto"/>
        <w:widowControl w:val="off"/>
        <w:rPr>
          <w:rFonts w:hint="eastAsia" w:ascii="宋体" w:hAnsi="宋体" w:eastAsia="宋体" w:cs="Times New Roman"/>
          <w:b/>
          <w:color w:val="000000" w:themeColor="text1"/>
          <w:sz w:val="24"/>
          <w:szCs w:val="24"/>
          <w:lang w:val="en-US" w:eastAsia="zh-CN" w:bidi="ar-SA"/>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十七、诉讼</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17.1 双方在执行合同中所发生的一切争议，应通过协商解决。如协商不成，可向合同签订地法院起诉，合同签订地在此约定为</w:t>
      </w:r>
      <w:r>
        <w:rPr>
          <w:rFonts w:hint="eastAsia" w:ascii="宋体" w:hAnsi="宋体"/>
          <w:color w:val="000000" w:themeColor="text1"/>
          <w:sz w:val="21"/>
          <w:szCs w:val="21"/>
          <w14:textFill>
            <w14:solidFill>
              <w14:schemeClr w14:val="tx1"/>
            </w14:solidFill>
          </w14:textFill>
        </w:rPr>
        <w:t xml:space="preserve">盐城</w:t>
      </w:r>
      <w:r>
        <w:rPr>
          <w:rFonts w:ascii="宋体" w:hAnsi="宋体"/>
          <w:color w:val="000000" w:themeColor="text1"/>
          <w:sz w:val="21"/>
          <w:szCs w:val="21"/>
          <w14:textFill>
            <w14:solidFill>
              <w14:schemeClr w14:val="tx1"/>
            </w14:solidFill>
          </w14:textFill>
        </w:rPr>
        <w:t xml:space="preserve">市。</w:t>
      </w:r>
      <w:r/>
    </w:p>
    <w:p>
      <w:pPr>
        <w:pStyle w:val="1107"/>
        <w:keepLines w:val="0"/>
        <w:keepNext w:val="0"/>
        <w:pageBreakBefore w:val="0"/>
        <w:spacing w:line="360" w:lineRule="auto"/>
        <w:widowControl w:val="off"/>
        <w:rPr>
          <w:rFonts w:hint="eastAsia" w:ascii="宋体" w:hAnsi="宋体" w:eastAsia="宋体" w:cs="Times New Roman"/>
          <w:b/>
          <w:color w:val="000000" w:themeColor="text1"/>
          <w:sz w:val="24"/>
          <w:szCs w:val="24"/>
          <w:lang w:val="en-US" w:eastAsia="zh-CN" w:bidi="ar-SA"/>
          <w14:textFill>
            <w14:solidFill>
              <w14:schemeClr w14:val="tx1"/>
            </w14:solidFill>
          </w14:textFill>
        </w:rPr>
      </w:pPr>
      <w:r>
        <w:rPr>
          <w:rFonts w:hint="eastAsia" w:ascii="宋体" w:hAnsi="宋体" w:eastAsia="宋体" w:cs="Times New Roman"/>
          <w:b/>
          <w:color w:val="000000" w:themeColor="text1"/>
          <w:sz w:val="24"/>
          <w:szCs w:val="24"/>
          <w:lang w:val="en-US" w:eastAsia="zh-CN" w:bidi="ar-SA"/>
          <w14:textFill>
            <w14:solidFill>
              <w14:schemeClr w14:val="tx1"/>
            </w14:solidFill>
          </w14:textFill>
        </w:rPr>
        <w:t xml:space="preserve">十八、合同生效及其它</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18.1 合同经双方法定代表人</w:t>
      </w:r>
      <w:r>
        <w:rPr>
          <w:rFonts w:hint="eastAsia" w:ascii="宋体" w:hAnsi="宋体"/>
          <w:color w:val="000000" w:themeColor="text1"/>
          <w:sz w:val="21"/>
          <w:szCs w:val="21"/>
          <w14:textFill>
            <w14:solidFill>
              <w14:schemeClr w14:val="tx1"/>
            </w14:solidFill>
          </w14:textFill>
        </w:rPr>
        <w:t xml:space="preserve">（或负责人）</w:t>
      </w:r>
      <w:r>
        <w:rPr>
          <w:rFonts w:ascii="宋体" w:hAnsi="宋体"/>
          <w:color w:val="000000" w:themeColor="text1"/>
          <w:sz w:val="21"/>
          <w:szCs w:val="21"/>
          <w14:textFill>
            <w14:solidFill>
              <w14:schemeClr w14:val="tx1"/>
            </w14:solidFill>
          </w14:textFill>
        </w:rPr>
        <w:t xml:space="preserve">或授权委托代</w:t>
      </w:r>
      <w:r>
        <w:rPr>
          <w:rFonts w:hint="eastAsia" w:ascii="宋体" w:hAnsi="宋体"/>
          <w:color w:val="000000" w:themeColor="text1"/>
          <w:sz w:val="21"/>
          <w:szCs w:val="21"/>
          <w14:textFill>
            <w14:solidFill>
              <w14:schemeClr w14:val="tx1"/>
            </w14:solidFill>
          </w14:textFill>
        </w:rPr>
        <w:t xml:space="preserve">表</w:t>
      </w:r>
      <w:r>
        <w:rPr>
          <w:rFonts w:ascii="宋体" w:hAnsi="宋体"/>
          <w:color w:val="000000" w:themeColor="text1"/>
          <w:sz w:val="21"/>
          <w:szCs w:val="21"/>
          <w14:textFill>
            <w14:solidFill>
              <w14:schemeClr w14:val="tx1"/>
            </w14:solidFill>
          </w14:textFill>
        </w:rPr>
        <w:t xml:space="preserve">人签字并加盖单位公章后生效。</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18.2本合同未尽事宜，遵照《</w:t>
      </w:r>
      <w:r>
        <w:rPr>
          <w:rFonts w:hint="eastAsia" w:ascii="宋体" w:hAnsi="宋体"/>
          <w:color w:val="000000" w:themeColor="text1"/>
          <w:sz w:val="21"/>
          <w:szCs w:val="21"/>
          <w14:textFill>
            <w14:solidFill>
              <w14:schemeClr w14:val="tx1"/>
            </w14:solidFill>
          </w14:textFill>
        </w:rPr>
        <w:t xml:space="preserve">民</w:t>
      </w:r>
      <w:r>
        <w:rPr>
          <w:rFonts w:ascii="宋体" w:hAnsi="宋体"/>
          <w:color w:val="000000" w:themeColor="text1"/>
          <w:sz w:val="21"/>
          <w:szCs w:val="21"/>
          <w14:textFill>
            <w14:solidFill>
              <w14:schemeClr w14:val="tx1"/>
            </w14:solidFill>
          </w14:textFill>
        </w:rPr>
        <w:t xml:space="preserve">法典》有关条文执行。</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18.</w:t>
      </w:r>
      <w:r>
        <w:rPr>
          <w:rFonts w:hint="eastAsia" w:ascii="宋体" w:hAnsi="宋体"/>
          <w:color w:val="000000" w:themeColor="text1"/>
          <w:sz w:val="21"/>
          <w:szCs w:val="21"/>
          <w14:textFill>
            <w14:solidFill>
              <w14:schemeClr w14:val="tx1"/>
            </w14:solidFill>
          </w14:textFill>
        </w:rPr>
        <w:t xml:space="preserve">3</w:t>
      </w:r>
      <w:r>
        <w:rPr>
          <w:rFonts w:ascii="宋体" w:hAnsi="宋体"/>
          <w:color w:val="000000" w:themeColor="text1"/>
          <w:sz w:val="21"/>
          <w:szCs w:val="21"/>
          <w14:textFill>
            <w14:solidFill>
              <w14:schemeClr w14:val="tx1"/>
            </w14:solidFill>
          </w14:textFill>
        </w:rPr>
        <w:t xml:space="preserve"> 本合同一式</w:t>
      </w:r>
      <w:r>
        <w:rPr>
          <w:rFonts w:hint="eastAsia" w:ascii="宋体" w:hAnsi="宋体"/>
          <w:color w:val="000000" w:themeColor="text1"/>
          <w:sz w:val="21"/>
          <w:szCs w:val="21"/>
          <w14:textFill>
            <w14:solidFill>
              <w14:schemeClr w14:val="tx1"/>
            </w14:solidFill>
          </w14:textFill>
        </w:rPr>
        <w:t xml:space="preserve">肆</w:t>
      </w:r>
      <w:r>
        <w:rPr>
          <w:rFonts w:ascii="宋体" w:hAnsi="宋体"/>
          <w:color w:val="000000" w:themeColor="text1"/>
          <w:sz w:val="21"/>
          <w:szCs w:val="21"/>
          <w14:textFill>
            <w14:solidFill>
              <w14:schemeClr w14:val="tx1"/>
            </w14:solidFill>
          </w14:textFill>
        </w:rPr>
        <w:t xml:space="preserve">份，</w:t>
      </w:r>
      <w:r>
        <w:rPr>
          <w:rFonts w:hint="eastAsia" w:ascii="宋体" w:hAnsi="宋体"/>
          <w:color w:val="000000" w:themeColor="text1"/>
          <w:sz w:val="21"/>
          <w:szCs w:val="21"/>
          <w14:textFill>
            <w14:solidFill>
              <w14:schemeClr w14:val="tx1"/>
            </w14:solidFill>
          </w14:textFill>
        </w:rPr>
        <w:t xml:space="preserve">甲乙双方各执贰份。</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  甲方：                         乙方： </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  地址：                         地址： </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  法定代表人</w:t>
      </w:r>
      <w:r>
        <w:rPr>
          <w:rFonts w:hint="eastAsia" w:ascii="宋体" w:hAnsi="宋体"/>
          <w:color w:val="000000" w:themeColor="text1"/>
          <w:sz w:val="21"/>
          <w:szCs w:val="21"/>
          <w14:textFill>
            <w14:solidFill>
              <w14:schemeClr w14:val="tx1"/>
            </w14:solidFill>
          </w14:textFill>
        </w:rPr>
        <w:t xml:space="preserve">或授权代表</w:t>
      </w:r>
      <w:r>
        <w:rPr>
          <w:rFonts w:ascii="宋体" w:hAnsi="宋体"/>
          <w:color w:val="000000" w:themeColor="text1"/>
          <w:sz w:val="21"/>
          <w:szCs w:val="21"/>
          <w14:textFill>
            <w14:solidFill>
              <w14:schemeClr w14:val="tx1"/>
            </w14:solidFill>
          </w14:textFill>
        </w:rPr>
        <w:t xml:space="preserve">：         法定代表人</w:t>
      </w:r>
      <w:r>
        <w:rPr>
          <w:rFonts w:hint="eastAsia" w:ascii="宋体" w:hAnsi="宋体"/>
          <w:color w:val="000000" w:themeColor="text1"/>
          <w:sz w:val="21"/>
          <w:szCs w:val="21"/>
          <w14:textFill>
            <w14:solidFill>
              <w14:schemeClr w14:val="tx1"/>
            </w14:solidFill>
          </w14:textFill>
        </w:rPr>
        <w:t xml:space="preserve">或授权代表</w:t>
      </w:r>
      <w:r>
        <w:rPr>
          <w:rFonts w:ascii="宋体" w:hAnsi="宋体"/>
          <w:color w:val="000000" w:themeColor="text1"/>
          <w:sz w:val="21"/>
          <w:szCs w:val="21"/>
          <w14:textFill>
            <w14:solidFill>
              <w14:schemeClr w14:val="tx1"/>
            </w14:solidFill>
          </w14:textFill>
        </w:rPr>
        <w:t xml:space="preserve">：</w:t>
      </w:r>
      <w:r/>
    </w:p>
    <w:p>
      <w:pPr>
        <w:ind w:firstLine="480"/>
        <w:keepLines w:val="0"/>
        <w:keepNext w:val="0"/>
        <w:pageBreakBefore w:val="0"/>
        <w:spacing w:line="360" w:lineRule="auto"/>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联系电话：                     联系电话：</w:t>
      </w:r>
      <w:r/>
    </w:p>
    <w:p>
      <w:pPr>
        <w:pStyle w:val="1107"/>
        <w:keepLines w:val="0"/>
        <w:keepNext w:val="0"/>
        <w:pageBreakBefore w:val="0"/>
        <w:spacing w:before="120" w:after="120" w:line="36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p>
      <w:pPr>
        <w:pStyle w:val="844"/>
        <w:ind w:firstLine="880"/>
        <w:jc w:val="center"/>
        <w:spacing w:before="120" w:beforeAutospacing="0" w:after="120" w:afterAutospacing="0" w:line="0" w:lineRule="atLeast"/>
        <w:rPr>
          <w:rFonts w:ascii="黑体" w:hAnsi="宋体" w:eastAsia="黑体" w:cs="黑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 xml:space="preserve">                      </w:t>
      </w:r>
      <w:r>
        <w:rPr>
          <w:rFonts w:hAnsi="宋体"/>
          <w:color w:val="000000" w:themeColor="text1"/>
          <w:sz w:val="21"/>
          <w:szCs w:val="21"/>
          <w14:textFill>
            <w14:solidFill>
              <w14:schemeClr w14:val="tx1"/>
            </w14:solidFill>
          </w14:textFill>
        </w:rPr>
        <w:t xml:space="preserve"> 签订日期：      年  月  日</w:t>
      </w:r>
      <w:r/>
    </w:p>
    <w:p>
      <w:pPr>
        <w:pStyle w:val="844"/>
        <w:ind w:firstLine="880"/>
        <w:jc w:val="center"/>
        <w:spacing w:before="120" w:beforeAutospacing="0" w:after="120" w:afterAutospacing="0" w:line="0" w:lineRule="atLeast"/>
        <w:rPr>
          <w:rFonts w:ascii="黑体" w:hAnsi="宋体" w:eastAsia="黑体" w:cs="黑体"/>
          <w:color w:val="000000" w:themeColor="text1"/>
          <w:sz w:val="44"/>
          <w:szCs w:val="44"/>
          <w14:textFill>
            <w14:solidFill>
              <w14:schemeClr w14:val="tx1"/>
            </w14:solidFill>
          </w14:textFill>
        </w:rPr>
      </w:pPr>
      <w:r>
        <w:rPr>
          <w:rFonts w:ascii="黑体" w:hAnsi="宋体" w:eastAsia="黑体" w:cs="黑体"/>
          <w:color w:val="000000" w:themeColor="text1"/>
          <w:sz w:val="44"/>
          <w:szCs w:val="44"/>
          <w14:textFill>
            <w14:solidFill>
              <w14:schemeClr w14:val="tx1"/>
            </w14:solidFill>
          </w14:textFill>
        </w:rPr>
      </w:r>
      <w:r/>
    </w:p>
    <w:p>
      <w:pPr>
        <w:pStyle w:val="844"/>
        <w:ind w:firstLine="880"/>
        <w:jc w:val="center"/>
        <w:spacing w:before="120" w:beforeAutospacing="0" w:after="120" w:afterAutospacing="0" w:line="0" w:lineRule="atLeast"/>
        <w:rPr>
          <w:rFonts w:ascii="黑体" w:hAnsi="宋体" w:eastAsia="黑体" w:cs="黑体"/>
          <w:color w:val="000000" w:themeColor="text1"/>
          <w:sz w:val="44"/>
          <w:szCs w:val="44"/>
          <w14:textFill>
            <w14:solidFill>
              <w14:schemeClr w14:val="tx1"/>
            </w14:solidFill>
          </w14:textFill>
        </w:rPr>
      </w:pPr>
      <w:r>
        <w:rPr>
          <w:rFonts w:ascii="黑体" w:hAnsi="宋体" w:eastAsia="黑体" w:cs="黑体"/>
          <w:color w:val="000000" w:themeColor="text1"/>
          <w:sz w:val="44"/>
          <w:szCs w:val="44"/>
          <w14:textFill>
            <w14:solidFill>
              <w14:schemeClr w14:val="tx1"/>
            </w14:solidFill>
          </w14:textFill>
        </w:rPr>
      </w:r>
      <w:r/>
    </w:p>
    <w:p>
      <w:pPr>
        <w:pStyle w:val="844"/>
        <w:ind w:firstLine="880"/>
        <w:jc w:val="center"/>
        <w:spacing w:before="120" w:beforeAutospacing="0" w:after="120" w:afterAutospacing="0" w:line="0" w:lineRule="atLeast"/>
        <w:rPr>
          <w:rFonts w:ascii="黑体" w:hAnsi="宋体" w:eastAsia="黑体" w:cs="黑体"/>
          <w:color w:val="000000" w:themeColor="text1"/>
          <w:sz w:val="44"/>
          <w:szCs w:val="44"/>
          <w14:textFill>
            <w14:solidFill>
              <w14:schemeClr w14:val="tx1"/>
            </w14:solidFill>
          </w14:textFill>
        </w:rPr>
      </w:pPr>
      <w:r>
        <w:rPr>
          <w:rFonts w:ascii="黑体" w:hAnsi="宋体" w:eastAsia="黑体" w:cs="黑体"/>
          <w:color w:val="000000" w:themeColor="text1"/>
          <w:sz w:val="44"/>
          <w:szCs w:val="44"/>
          <w14:textFill>
            <w14:solidFill>
              <w14:schemeClr w14:val="tx1"/>
            </w14:solidFill>
          </w14:textFill>
        </w:rPr>
      </w:r>
      <w:r/>
    </w:p>
    <w:p>
      <w:pPr>
        <w:pStyle w:val="844"/>
        <w:ind w:firstLine="880"/>
        <w:jc w:val="center"/>
        <w:spacing w:before="120" w:beforeAutospacing="0" w:after="120" w:afterAutospacing="0" w:line="0" w:lineRule="atLeast"/>
        <w:rPr>
          <w:rFonts w:ascii="黑体" w:hAnsi="宋体" w:eastAsia="黑体" w:cs="黑体"/>
          <w:color w:val="000000" w:themeColor="text1"/>
          <w:sz w:val="44"/>
          <w:szCs w:val="44"/>
          <w14:textFill>
            <w14:solidFill>
              <w14:schemeClr w14:val="tx1"/>
            </w14:solidFill>
          </w14:textFill>
        </w:rPr>
      </w:pPr>
      <w:r>
        <w:rPr>
          <w:rFonts w:ascii="黑体" w:hAnsi="宋体" w:eastAsia="黑体" w:cs="黑体"/>
          <w:color w:val="000000" w:themeColor="text1"/>
          <w:sz w:val="44"/>
          <w:szCs w:val="44"/>
          <w14:textFill>
            <w14:solidFill>
              <w14:schemeClr w14:val="tx1"/>
            </w14:solidFill>
          </w14:textFill>
        </w:rPr>
      </w:r>
      <w:r/>
    </w:p>
    <w:p>
      <w:pPr>
        <w:pStyle w:val="844"/>
        <w:ind w:firstLine="880"/>
        <w:jc w:val="center"/>
        <w:spacing w:before="120" w:beforeAutospacing="0" w:after="120" w:afterAutospacing="0" w:line="0" w:lineRule="atLeast"/>
        <w:rPr>
          <w:rFonts w:ascii="黑体" w:hAnsi="宋体" w:eastAsia="黑体" w:cs="黑体"/>
          <w:color w:val="000000" w:themeColor="text1"/>
          <w:sz w:val="44"/>
          <w:szCs w:val="44"/>
          <w14:textFill>
            <w14:solidFill>
              <w14:schemeClr w14:val="tx1"/>
            </w14:solidFill>
          </w14:textFill>
        </w:rPr>
      </w:pPr>
      <w:r>
        <w:rPr>
          <w:rFonts w:ascii="黑体" w:hAnsi="宋体" w:eastAsia="黑体" w:cs="黑体"/>
          <w:color w:val="000000" w:themeColor="text1"/>
          <w:sz w:val="44"/>
          <w:szCs w:val="44"/>
          <w14:textFill>
            <w14:solidFill>
              <w14:schemeClr w14:val="tx1"/>
            </w14:solidFill>
          </w14:textFill>
        </w:rPr>
      </w:r>
      <w:r/>
    </w:p>
    <w:p>
      <w:pPr>
        <w:pStyle w:val="844"/>
        <w:ind w:firstLine="880"/>
        <w:jc w:val="center"/>
        <w:spacing w:before="120" w:beforeAutospacing="0" w:after="120" w:afterAutospacing="0" w:line="0" w:lineRule="atLeast"/>
        <w:rPr>
          <w:rFonts w:ascii="黑体" w:hAnsi="宋体" w:eastAsia="黑体" w:cs="黑体"/>
          <w:color w:val="000000" w:themeColor="text1"/>
          <w:sz w:val="44"/>
          <w:szCs w:val="44"/>
          <w14:textFill>
            <w14:solidFill>
              <w14:schemeClr w14:val="tx1"/>
            </w14:solidFill>
          </w14:textFill>
        </w:rPr>
      </w:pPr>
      <w:r>
        <w:rPr>
          <w:rFonts w:ascii="黑体" w:hAnsi="宋体" w:eastAsia="黑体" w:cs="黑体"/>
          <w:color w:val="000000" w:themeColor="text1"/>
          <w:sz w:val="44"/>
          <w:szCs w:val="44"/>
          <w14:textFill>
            <w14:solidFill>
              <w14:schemeClr w14:val="tx1"/>
            </w14:solidFill>
          </w14:textFill>
        </w:rPr>
      </w:r>
      <w:r/>
    </w:p>
    <w:p>
      <w:pPr>
        <w:pStyle w:val="844"/>
        <w:ind w:firstLine="880"/>
        <w:jc w:val="center"/>
        <w:spacing w:before="120" w:beforeAutospacing="0" w:after="120" w:afterAutospacing="0" w:line="0" w:lineRule="atLeast"/>
        <w:rPr>
          <w:rFonts w:ascii="黑体" w:hAnsi="宋体" w:eastAsia="黑体" w:cs="黑体"/>
          <w:color w:val="000000" w:themeColor="text1"/>
          <w:sz w:val="44"/>
          <w:szCs w:val="44"/>
          <w14:textFill>
            <w14:solidFill>
              <w14:schemeClr w14:val="tx1"/>
            </w14:solidFill>
          </w14:textFill>
        </w:rPr>
      </w:pPr>
      <w:r>
        <w:rPr>
          <w:rFonts w:ascii="黑体" w:hAnsi="宋体" w:eastAsia="黑体" w:cs="黑体"/>
          <w:color w:val="000000" w:themeColor="text1"/>
          <w:sz w:val="44"/>
          <w:szCs w:val="44"/>
          <w14:textFill>
            <w14:solidFill>
              <w14:schemeClr w14:val="tx1"/>
            </w14:solidFill>
          </w14:textFill>
        </w:rPr>
      </w:r>
      <w:r/>
    </w:p>
    <w:p>
      <w:pPr>
        <w:pStyle w:val="844"/>
        <w:ind w:firstLine="880"/>
        <w:jc w:val="center"/>
        <w:spacing w:before="120" w:beforeAutospacing="0" w:after="120" w:afterAutospacing="0" w:line="0" w:lineRule="atLeast"/>
        <w:rPr>
          <w:rFonts w:ascii="黑体" w:hAnsi="宋体" w:eastAsia="黑体" w:cs="黑体"/>
          <w:color w:val="000000" w:themeColor="text1"/>
          <w:sz w:val="44"/>
          <w:szCs w:val="44"/>
          <w14:textFill>
            <w14:solidFill>
              <w14:schemeClr w14:val="tx1"/>
            </w14:solidFill>
          </w14:textFill>
        </w:rPr>
      </w:pPr>
      <w:r>
        <w:rPr>
          <w:rFonts w:ascii="黑体" w:hAnsi="宋体" w:eastAsia="黑体" w:cs="黑体"/>
          <w:color w:val="000000" w:themeColor="text1"/>
          <w:sz w:val="44"/>
          <w:szCs w:val="44"/>
          <w14:textFill>
            <w14:solidFill>
              <w14:schemeClr w14:val="tx1"/>
            </w14:solidFill>
          </w14:textFill>
        </w:rPr>
      </w:r>
      <w:r/>
    </w:p>
    <w:p>
      <w:pPr>
        <w:jc w:val="both"/>
        <w:rPr>
          <w:rFonts w:hint="eastAsia" w:ascii="宋体" w:hAnsi="宋体" w:eastAsia="宋体" w:cs="宋体"/>
          <w:color w:val="000000" w:themeColor="text1"/>
          <w:sz w:val="44"/>
          <w:szCs w:val="44"/>
          <w14:textFill>
            <w14:solidFill>
              <w14:schemeClr w14:val="tx1"/>
            </w14:solidFill>
          </w14:textFill>
        </w:rPr>
        <w:outlineLvl w:val="0"/>
      </w:pPr>
      <w:r>
        <w:rPr>
          <w:rFonts w:hint="eastAsia" w:ascii="宋体" w:hAnsi="宋体" w:eastAsia="宋体" w:cs="宋体"/>
          <w:color w:val="000000" w:themeColor="text1"/>
          <w:sz w:val="44"/>
          <w:szCs w:val="44"/>
          <w14:textFill>
            <w14:solidFill>
              <w14:schemeClr w14:val="tx1"/>
            </w14:solidFill>
          </w14:textFill>
        </w:rPr>
      </w:r>
      <w:r/>
    </w:p>
    <w:p>
      <w:pPr>
        <w:jc w:val="center"/>
        <w:rPr>
          <w:rFonts w:hint="eastAsia" w:ascii="宋体" w:hAnsi="宋体" w:eastAsia="宋体" w:cs="宋体"/>
          <w:color w:val="000000" w:themeColor="text1"/>
          <w:sz w:val="44"/>
          <w:szCs w:val="44"/>
          <w14:textFill>
            <w14:solidFill>
              <w14:schemeClr w14:val="tx1"/>
            </w14:solidFill>
          </w14:textFill>
        </w:rPr>
        <w:outlineLvl w:val="0"/>
      </w:pPr>
      <w:r>
        <w:rPr>
          <w:rFonts w:hint="eastAsia" w:ascii="宋体" w:hAnsi="宋体" w:eastAsia="宋体" w:cs="宋体"/>
          <w:color w:val="000000" w:themeColor="text1"/>
          <w:sz w:val="44"/>
          <w:szCs w:val="44"/>
          <w14:textFill>
            <w14:solidFill>
              <w14:schemeClr w14:val="tx1"/>
            </w14:solidFill>
          </w14:textFill>
        </w:rPr>
      </w:r>
      <w:r/>
    </w:p>
    <w:p>
      <w:pPr>
        <w:jc w:val="center"/>
        <w:rPr>
          <w:rFonts w:ascii="宋体" w:hAnsi="宋体" w:eastAsia="宋体" w:cs="宋体"/>
          <w:color w:val="000000" w:themeColor="text1"/>
          <w:sz w:val="44"/>
          <w:szCs w:val="44"/>
          <w14:textFill>
            <w14:solidFill>
              <w14:schemeClr w14:val="tx1"/>
            </w14:solidFill>
          </w14:textFill>
        </w:rPr>
        <w:outlineLvl w:val="0"/>
      </w:pPr>
      <w:r>
        <w:rPr>
          <w:rFonts w:hint="eastAsia" w:ascii="宋体" w:hAnsi="宋体" w:eastAsia="宋体" w:cs="宋体"/>
          <w:color w:val="000000" w:themeColor="text1"/>
          <w:sz w:val="44"/>
          <w:szCs w:val="44"/>
          <w14:textFill>
            <w14:solidFill>
              <w14:schemeClr w14:val="tx1"/>
            </w14:solidFill>
          </w14:textFill>
        </w:rPr>
        <w:t xml:space="preserve">政府采购合同履约验收书（参考格式）</w:t>
      </w:r>
      <w:r/>
    </w:p>
    <w:p>
      <w:pPr>
        <w:ind w:firstLine="600"/>
        <w:jc w:val="left"/>
        <w:spacing w:line="56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根据政府采购合同（编号：</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）的约定，我单位组织对</w:t>
      </w:r>
      <w:r>
        <w:rPr>
          <w:rFonts w:hint="eastAsia" w:ascii="宋体" w:hAnsi="宋体" w:eastAsia="宋体" w:cs="宋体"/>
          <w:color w:val="000000" w:themeColor="text1"/>
          <w:sz w:val="21"/>
          <w:szCs w:val="21"/>
          <w:u w:val="single"/>
          <w14:textFill>
            <w14:solidFill>
              <w14:schemeClr w14:val="tx1"/>
            </w14:solidFill>
          </w14:textFill>
        </w:rPr>
        <w:t xml:space="preserve">（项目名称）</w:t>
      </w:r>
      <w:r>
        <w:rPr>
          <w:rFonts w:hint="eastAsia" w:ascii="宋体" w:hAnsi="宋体" w:eastAsia="宋体" w:cs="宋体"/>
          <w:color w:val="000000" w:themeColor="text1"/>
          <w:sz w:val="21"/>
          <w:szCs w:val="21"/>
          <w14:textFill>
            <w14:solidFill>
              <w14:schemeClr w14:val="tx1"/>
            </w14:solidFill>
          </w14:textFill>
        </w:rPr>
        <w:t xml:space="preserve">项目中标（成交）供应商</w:t>
      </w:r>
      <w:r>
        <w:rPr>
          <w:rFonts w:hint="eastAsia" w:ascii="宋体" w:hAnsi="宋体" w:eastAsia="宋体" w:cs="宋体"/>
          <w:color w:val="000000" w:themeColor="text1"/>
          <w:sz w:val="21"/>
          <w:szCs w:val="21"/>
          <w:u w:val="single"/>
          <w14:textFill>
            <w14:solidFill>
              <w14:schemeClr w14:val="tx1"/>
            </w14:solidFill>
          </w14:textFill>
        </w:rPr>
        <w:t xml:space="preserve">（公司名称）</w:t>
      </w:r>
      <w:r>
        <w:rPr>
          <w:rFonts w:hint="eastAsia" w:ascii="宋体" w:hAnsi="宋体" w:eastAsia="宋体" w:cs="宋体"/>
          <w:color w:val="000000" w:themeColor="text1"/>
          <w:sz w:val="21"/>
          <w:szCs w:val="21"/>
          <w14:textFill>
            <w14:solidFill>
              <w14:schemeClr w14:val="tx1"/>
            </w14:solidFill>
          </w14:textFill>
        </w:rPr>
        <w:t xml:space="preserve">提供的货物（工程、服务）进行了履约验收，验收情况如下：</w:t>
      </w:r>
      <w:r/>
    </w:p>
    <w:tbl>
      <w:tblPr>
        <w:tblStyle w:val="80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736"/>
        <w:gridCol w:w="3079"/>
        <w:gridCol w:w="1779"/>
        <w:gridCol w:w="2692"/>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tc>
      </w:tr>
      <w:tr>
        <w:trPr>
          <w:jc w:val="center"/>
          <w:trHeight w:val="4020"/>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验收情况和验收意见</w:t>
            </w:r>
            <w:r/>
          </w:p>
          <w:p>
            <w:pP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（可另附）</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验收小组（签字）：</w:t>
            </w:r>
            <w:r/>
          </w:p>
          <w:p>
            <w:pPr>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br/>
            </w:r>
            <w:r>
              <w:rPr>
                <w:rFonts w:hint="eastAsia" w:ascii="宋体" w:hAnsi="宋体" w:eastAsia="宋体" w:cs="宋体"/>
                <w:color w:val="000000" w:themeColor="text1"/>
                <w:sz w:val="21"/>
                <w:szCs w:val="21"/>
                <w14:textFill>
                  <w14:solidFill>
                    <w14:schemeClr w14:val="tx1"/>
                  </w14:solidFill>
                </w14:textFill>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供应商确认意见（签章）：</w:t>
            </w:r>
            <w:r>
              <w:rPr>
                <w:rFonts w:hint="eastAsia" w:ascii="宋体" w:hAnsi="宋体" w:eastAsia="宋体" w:cs="宋体"/>
                <w:color w:val="000000" w:themeColor="text1"/>
                <w:sz w:val="21"/>
                <w:szCs w:val="21"/>
                <w14:textFill>
                  <w14:solidFill>
                    <w14:schemeClr w14:val="tx1"/>
                  </w14:solidFill>
                </w14:textFill>
              </w:rPr>
              <w:br/>
            </w:r>
            <w:r>
              <w:rPr>
                <w:rFonts w:hint="eastAsia" w:ascii="宋体" w:hAnsi="宋体" w:eastAsia="宋体" w:cs="宋体"/>
                <w:color w:val="000000" w:themeColor="text1"/>
                <w:sz w:val="21"/>
                <w:szCs w:val="21"/>
                <w14:textFill>
                  <w14:solidFill>
                    <w14:schemeClr w14:val="tx1"/>
                  </w14:solidFill>
                </w14:textFill>
              </w:rPr>
              <w:t xml:space="preserve">　　</w:t>
            </w:r>
            <w:r/>
          </w:p>
          <w:p>
            <w:pPr>
              <w:jc w:val="righ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采购人确认意见（签章）：</w:t>
            </w:r>
            <w:r/>
          </w:p>
          <w:p>
            <w:pPr>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r>
            <w:r>
              <w:rPr>
                <w:rFonts w:hint="eastAsia" w:ascii="宋体" w:hAnsi="宋体" w:eastAsia="宋体" w:cs="宋体"/>
                <w:color w:val="000000" w:themeColor="text1"/>
                <w:sz w:val="21"/>
                <w:szCs w:val="21"/>
                <w14:textFill>
                  <w14:solidFill>
                    <w14:schemeClr w14:val="tx1"/>
                  </w14:solidFill>
                </w14:textFill>
              </w:rPr>
              <w:t xml:space="preserve">　　　　　                              年    月    日</w:t>
            </w:r>
            <w:r/>
          </w:p>
        </w:tc>
      </w:tr>
    </w:tbl>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858"/>
        <w:rPr>
          <w:color w:val="auto"/>
        </w:rPr>
      </w:pPr>
      <w:r>
        <w:rPr>
          <w:color w:val="auto"/>
        </w:rPr>
      </w:r>
      <w:r/>
    </w:p>
    <w:p>
      <w:pPr>
        <w:pStyle w:val="858"/>
        <w:rPr>
          <w:color w:val="auto"/>
        </w:rPr>
      </w:pPr>
      <w:r>
        <w:rPr>
          <w:color w:val="auto"/>
        </w:rPr>
      </w:r>
      <w:r/>
    </w:p>
    <w:p>
      <w:pPr>
        <w:pStyle w:val="858"/>
        <w:rPr>
          <w:color w:val="auto"/>
        </w:rPr>
      </w:pPr>
      <w:r>
        <w:rPr>
          <w:color w:val="auto"/>
        </w:rPr>
      </w:r>
      <w:r/>
    </w:p>
    <w:p>
      <w:pPr>
        <w:pStyle w:val="797"/>
        <w:numPr>
          <w:ilvl w:val="0"/>
          <w:numId w:val="3"/>
        </w:numPr>
        <w:jc w:val="center"/>
        <w:pageBreakBefore w:val="0"/>
        <w:spacing w:before="0" w:after="0" w:line="360" w:lineRule="atLeast"/>
        <w:widowControl w:val="off"/>
        <w:rPr>
          <w:rFonts w:hint="eastAsia" w:ascii="宋体" w:hAnsi="宋体" w:cs="宋体"/>
          <w:color w:val="auto"/>
          <w:highlight w:val="none"/>
        </w:rPr>
      </w:pPr>
      <w:r>
        <w:rPr>
          <w:rFonts w:hint="eastAsia" w:ascii="宋体" w:hAnsi="宋体" w:cs="宋体"/>
          <w:color w:val="auto"/>
          <w:highlight w:val="none"/>
        </w:rPr>
        <w:t xml:space="preserve">采购需求</w:t>
      </w:r>
      <w:r/>
    </w:p>
    <w:p>
      <w:pPr>
        <w:spacing w:line="480" w:lineRule="exact"/>
        <w:rPr>
          <w:rFonts w:ascii="宋体" w:hAnsi="宋体" w:eastAsia="宋体" w:cs="仿宋"/>
          <w:b/>
          <w:color w:val="000000" w:themeColor="text1"/>
          <w:sz w:val="24"/>
          <w14:textFill>
            <w14:solidFill>
              <w14:schemeClr w14:val="tx1"/>
            </w14:solidFill>
          </w14:textFill>
        </w:rPr>
      </w:pPr>
      <w:r>
        <w:rPr>
          <w:rFonts w:hint="eastAsia" w:ascii="宋体" w:hAnsi="宋体" w:eastAsia="宋体" w:cs="仿宋"/>
          <w:b/>
          <w:bCs/>
          <w:color w:val="000000" w:themeColor="text1"/>
          <w:sz w:val="24"/>
          <w14:textFill>
            <w14:solidFill>
              <w14:schemeClr w14:val="tx1"/>
            </w14:solidFill>
          </w14:textFill>
        </w:rPr>
        <w:t xml:space="preserve">一、采购属性：货物类</w:t>
      </w:r>
      <w:r/>
    </w:p>
    <w:p>
      <w:pPr>
        <w:spacing w:line="480" w:lineRule="exact"/>
        <w:rPr>
          <w:rFonts w:hint="eastAsia" w:ascii="宋体" w:hAnsi="宋体" w:eastAsia="宋体" w:cs="仿宋"/>
          <w:b/>
          <w:color w:val="000000" w:themeColor="text1"/>
          <w:sz w:val="24"/>
          <w:lang w:eastAsia="zh-CN"/>
          <w14:textFill>
            <w14:solidFill>
              <w14:schemeClr w14:val="tx1"/>
            </w14:solidFill>
          </w14:textFill>
        </w:rPr>
      </w:pPr>
      <w:r>
        <w:rPr>
          <w:rFonts w:hint="eastAsia" w:ascii="宋体" w:hAnsi="宋体" w:eastAsia="宋体" w:cs="仿宋"/>
          <w:b/>
          <w:bCs/>
          <w:color w:val="000000" w:themeColor="text1"/>
          <w:sz w:val="24"/>
          <w14:textFill>
            <w14:solidFill>
              <w14:schemeClr w14:val="tx1"/>
            </w14:solidFill>
          </w14:textFill>
        </w:rPr>
        <w:t xml:space="preserve">二、采购标的所属行业：</w:t>
      </w:r>
      <w:r>
        <w:rPr>
          <w:rFonts w:hint="eastAsia" w:ascii="宋体" w:hAnsi="宋体" w:eastAsia="宋体" w:cs="仿宋"/>
          <w:b/>
          <w:color w:val="000000" w:themeColor="text1"/>
          <w:sz w:val="24"/>
          <w14:textFill>
            <w14:solidFill>
              <w14:schemeClr w14:val="tx1"/>
            </w14:solidFill>
          </w14:textFill>
        </w:rPr>
        <w:t xml:space="preserve">工业。</w:t>
      </w:r>
      <w:r/>
    </w:p>
    <w:p>
      <w:pPr>
        <w:spacing w:line="480" w:lineRule="exact"/>
        <w:rPr>
          <w:rFonts w:hint="eastAsia" w:ascii="宋体" w:hAnsi="宋体" w:eastAsia="宋体" w:cs="仿宋"/>
          <w:b/>
          <w:bCs/>
          <w:color w:val="000000" w:themeColor="text1"/>
          <w:sz w:val="24"/>
          <w:lang w:val="en-US" w:eastAsia="zh-CN"/>
          <w14:textFill>
            <w14:solidFill>
              <w14:schemeClr w14:val="tx1"/>
            </w14:solidFill>
          </w14:textFill>
        </w:rPr>
      </w:pPr>
      <w:r>
        <w:rPr>
          <w:rFonts w:hint="eastAsia" w:ascii="宋体" w:hAnsi="宋体" w:eastAsia="宋体" w:cs="仿宋"/>
          <w:b/>
          <w:bCs/>
          <w:color w:val="000000" w:themeColor="text1"/>
          <w:sz w:val="24"/>
          <w14:textFill>
            <w14:solidFill>
              <w14:schemeClr w14:val="tx1"/>
            </w14:solidFill>
          </w14:textFill>
        </w:rPr>
        <w:t xml:space="preserve">三</w:t>
      </w:r>
      <w:r>
        <w:rPr>
          <w:rFonts w:ascii="宋体" w:hAnsi="宋体" w:eastAsia="宋体" w:cs="仿宋"/>
          <w:b/>
          <w:bCs/>
          <w:color w:val="000000" w:themeColor="text1"/>
          <w:sz w:val="24"/>
          <w:lang w:eastAsia="en-US"/>
          <w14:textFill>
            <w14:solidFill>
              <w14:schemeClr w14:val="tx1"/>
            </w14:solidFill>
          </w14:textFill>
        </w:rPr>
        <w:t xml:space="preserve">、</w:t>
      </w:r>
      <w:r>
        <w:rPr>
          <w:rFonts w:hint="eastAsia" w:ascii="宋体" w:hAnsi="宋体" w:eastAsia="宋体" w:cs="仿宋"/>
          <w:b/>
          <w:bCs/>
          <w:color w:val="000000" w:themeColor="text1"/>
          <w:sz w:val="24"/>
          <w:lang w:val="en-US" w:eastAsia="zh-CN"/>
          <w14:textFill>
            <w14:solidFill>
              <w14:schemeClr w14:val="tx1"/>
            </w14:solidFill>
          </w14:textFill>
        </w:rPr>
        <w:t xml:space="preserve">详细需求及</w:t>
      </w:r>
      <w:r>
        <w:rPr>
          <w:rFonts w:hint="eastAsia" w:ascii="宋体" w:hAnsi="宋体" w:eastAsia="宋体" w:cs="仿宋"/>
          <w:b/>
          <w:bCs/>
          <w:color w:val="000000" w:themeColor="text1"/>
          <w:sz w:val="24"/>
          <w14:textFill>
            <w14:solidFill>
              <w14:schemeClr w14:val="tx1"/>
            </w14:solidFill>
          </w14:textFill>
        </w:rPr>
        <w:t xml:space="preserve">设备清单</w:t>
      </w:r>
      <w:r/>
    </w:p>
    <w:p>
      <w:p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1、LED大屏幕系统</w:t>
      </w:r>
      <w:r/>
    </w:p>
    <w:tbl>
      <w:tblPr>
        <w:tblStyle w:val="807"/>
        <w:tblW w:w="10525" w:type="dxa"/>
        <w:tblInd w:w="-51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4"/>
        <w:gridCol w:w="1081"/>
        <w:gridCol w:w="7131"/>
        <w:gridCol w:w="675"/>
        <w:gridCol w:w="84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主要规格</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280"/>
        </w:trPr>
        <w:tc>
          <w:tcPr>
            <w:gridSpan w:val="5"/>
            <w:shd w:val="clear" w:color="auto" w:fill="auto"/>
            <w:tcBorders>
              <w:top w:val="single" w:color="000000" w:sz="4" w:space="0"/>
              <w:left w:val="single" w:color="000000" w:sz="4" w:space="0"/>
              <w:bottom w:val="single" w:color="000000" w:sz="4" w:space="0"/>
              <w:right w:val="single" w:color="000000" w:sz="4" w:space="0"/>
            </w:tcBorders>
            <w:tcW w:w="10525"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一、屏体</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室内LED显示屏</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1.屏体尺寸：宽度≥14.4米，高度≥4.05米，分辨率11520（宽）*3240（高），净显示面积不低于58.32平方米，全金属自然散热结构，箱体内部无风扇，防尘，静音设计；</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58.32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2.物理实像素点间距≤1.25mm； 物理实像素点密度：≥640000点/㎡；物理实像素箱体分辨率≥480×270 dots；像素组成：纯红+纯绿+纯蓝，每个像素点由独立的红绿蓝发光芯片构成,不接受像素点之间红绿蓝发光芯片复用（不接受虚拟像素及动态像素引擎）。采用RGB晶片全倒装技术，发光晶片单边尺寸≤100μm，COB封装，无引线</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3.表面工艺：采用多层光学结构设计，提升对比度，解决黑屏一致性问题，过滤蓝光健康护眼；发光面光泽度≤10GU；墨色一致性△E&lt;0.5；色准△E&lt;0.9；有效抑制90%摩尔纹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4.显示屏亮度支持≥600 cd/m²，色温1000K~10000K(可调)，视角水平175°/垂直175°，支持单点亮度色度校正，发光点中心距偏差＜1%，对比度≥10000:1，换帧频率≥60Hz，画面刷新率≥3840Hz；灰度等级0~19bit可调</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5.箱体间平整度/缝隙：≤0.1mm；像素点失控率:≤1/1000000；亮度均匀性 ≥99%；色度均匀性：Cx,Cy± 0.001；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6.LED显示屏经济节能，要求峰值功耗：≤320W/m²，平均功耗：≤200W/m²；具备智能（黑屏）节电功能，开启智能节电功能比没有开启节能80%以上；</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7.LED显示屏温升低，要求环境温度在25℃时，屏体在600nits白屏状态下，运行3小时，屏体表面温升≤15℃;LED显示屏正常使用达到热平衡后，屏体结构金属部分、绝缘材料温升≤15℃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8.箱体后背带测试按键，支持红、绿、蓝、白纯色测试画面，支持横扫、斜扫、灰阶测试画面，箱体带信号指示灯，可以通过指示灯来监控箱体运行状态；</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LED显示屏具有有效改善墨色一致性，提升显示屏亮度等相关封装方法或关键技术（提供国家权威机构出具的技术证明文件并加盖公章，同时提供证书真伪查询网站及查询结果截图，网站查询结果需体现该技术描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LED显示屏具有高对比度及良好的亮度均匀性，要求具备相应关键技术，该技术同时可减少像素间的光串扰问题；（提供国家权威机构出具的技术证明文件并加盖公章，同时提供证书真伪查询网站及查询结果截图，网站查询结果需体现该技术描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LED显示屏具有填充层，粘接层等多层覆膜工艺，以提升产品的物理防护性能及产品显示效果；（提供国家权威机构出具的技术证明文件并加盖公章，同时提供证书真伪查询网站及查询结果截图，网站查询结果需体现该技术描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从LED显示屏观看效果和后期运维成本方面综合考虑，要求投标LED显示屏采用芯片级封装LED结构技术，能够有效增强对比度，降低发热量。（提供国家权威机构出具的技术证明文件并加盖公章，同时提供证书真伪查询网站及查询结果截图，网站查询结果需体现该技术描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为响应碳中和国家政策，LED显示屏制造商具备低碳产品供应商证书及碳标签标识使用授权书，LED显示屏通过ISO14067：2018的要求，获得产品碳足迹核查声明认证证书及产品碳标签评价证书（提供相关证明文件并加盖公章，资质获得者与CCC认证中产品生产者名称一致，集团公司或子公司资质无效）</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LED显示屏需采用完全国产关键元器件（关键元器件包含且不限于：单片机、IC芯片、LED发光二极管、PCB、行管、接插件、连接器、存储芯片、灯珠等），提供权威机构出具的100%国产化专项检验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★15.为体现LED显示屏制造商控制软件二次开发能力，LED显示屏制造商应通过CMMI5级认证；（提供相关证明文件并加盖公章，资质获得者与CCC中产品生产者名称一致，集团公司或子公司资质无效）</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为响应国家绿色发展战略，LED显示屏制造商通过国家级部门颁布的绿色工厂及工业产品绿色设计示范企业认证；（提供相关证明文件并加盖公章，资质获得者与CCC中产品生产者名称一致，集团公司或子公司资质无效）</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17.为保障项目信息基础设施及软件系统等业务连续性要求LED显示屏制造商具备信息化建设及数字化能力评价证书且等级不低于二级；</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★18.LED显示屏通过CQC节能、环保II型、环境标志II型、有害物质限制使用产品(国推ROHS)认证；（提供相关证明文件并加盖公章，资质获得者与CCC认证中产品生产者名称一致，集团公司或子公司资质无效）</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19.LED显示屏厂家具有符合ISO 56005: 2020标准创新与知识产权管理能力或符合ISO 56001:2024《创新管理体系-要求》（提供相关证明文件并加盖公章，资质获得者与CCC认证中产品生产者名称一致，集团公司或子公司资质无效）；</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LED显示屏生产厂商通过ISO14001环境管理体系、ISO45001职业管理安全管理体系、Q/SY08002.1-2022健康安全与环境管理体系要求，具备HSE管理体系认证，（提供相关证明文件并加盖公章，资质获得者与CCC认证中产品生产者名称一致，集团公司或子公司资质无效）</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★21.需提供三年免费售后服务承诺书原件加盖投标人公章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原有大屏拆除</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原有大屏拆除，并在建设单位指定地点重新安装并调试，如在过程中损坏、配件遗失等，需进行更换，满足有关验收要求，直至投入使用，如产生残值，归建设单位所有</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r>
      <w:tr>
        <w:trPr>
          <w:trHeight w:val="320"/>
        </w:trPr>
        <w:tc>
          <w:tcPr>
            <w:gridSpan w:val="5"/>
            <w:shd w:val="clear" w:color="auto" w:fill="auto"/>
            <w:tcBorders>
              <w:top w:val="single" w:color="000000" w:sz="4" w:space="0"/>
              <w:left w:val="single" w:color="000000" w:sz="4" w:space="0"/>
              <w:bottom w:val="single" w:color="000000" w:sz="4" w:space="0"/>
              <w:right w:val="single" w:color="000000" w:sz="4" w:space="0"/>
            </w:tcBorders>
            <w:tcW w:w="10525"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屏体控制器(音视频综合管理平台)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1.支持不低于 1 路 DP 1.2 输入和 1 路 HDMI 2.0 输入</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2.支持 DP1.2、HDMI2.0 信号源无缝切换</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3.支持最大输出带载 885 万像素点，最宽 8192 像素点，或最高 8192 像素点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4.单网口最大带载 65 万像素点，最宽或最高为 4096 像素点，当高度超过 1280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像素点后，总带载会有所减少。</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5.支持最大输入分辨率 4096×2160@60Hz，支持控制范围内自定义分辨率设置</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6.支持不少于20 路网口输出，支持单机或双机冗余备份</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7.支持 USB 级联控制和 RS232 串口协议控制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8.与LED屏选用同一品牌产品，产品具有CCC、CQC节能认证；</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9.产品具有有害物质限制使用产品(国推ROHS)认证；</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★10.需采用完全国产关键元器件（关键元器件包含且不限于：多层片状陶瓷电容器、厚膜片式固定电阻器、贴片电感、三极管、二极管、晶振、存储 IC、MCU、接口芯片等），提供权威机构出具的100%国产化专项检验报告复印件并加盖公章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编辑控制软件</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1.显示屏专用管理软件，配合发送、接收、监控以及多功能卡，用户可以方便的实现对LED显示屏的智能配置、参数调节、亮度控制、电源管理、屏体校正以及硬件监控。</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2.系统支持电源远程控制系统软件功能，提供软件著作权证书复印件并加盖原厂公章；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3.系统支持区域图像死灯率检测系统软件功能，提供软件著作权证书复印件并加盖原厂公章；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4.系统需考虑热量均匀分布及散热，具有传热设计简要计算软件，提供软件著作权证书复印件并加盖原厂公章；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5.系统支持需考虑屏体温度监测，具有多点温度监测系统软件功能，提供软件著作权证书复印件并加盖原厂公章；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6.系统支持LED智能修复及检测控制软件功能，提供软件著作权证书复印件并加盖原厂公章；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PLC控制软件</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实现对LED显示屏的远程有线控制上电，实现定时开关屏体，具有“分步延时起动”、“分步延时断电”的功能。</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不低于I5处理器，8G内存，21寸1080P显示器</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多媒体服务器</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1.机箱:4U机箱</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2.CPU:Intel i9 13900K (3.6G/8核)内存:32GB</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3.存储:250G SSD+500G SSD</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4.电源:650W电源</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5.显卡:NVIDIA QUADRO RTX5000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6.同步卡:无</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7.网口:2.5GB以太网*1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8.数据/外设:4*USB 3.2、2*USB 3.0、2*USB 2.0、1*PS/2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9.输出路数:3路DP+1路VirtualLink操作系统:windows10企业版搭载媒体服务器播控软件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10.与LED屏选用同一品牌产品，产品具有CCC、CQC节能认证；</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1.不低于30kw配电系统，具备PLC远程控制功能</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2.三相配电系统，功率根据屏体峰值功耗并预留一定冗余；</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3.具有过载、过流、过载保护；</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4.通过定制软件控制电源系统的开关,具有温湿度采集；</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5.通过PLC可设定任意时间开启和关闭LED显示屏电源；</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6.通过PLC可设定任意时间关闭计算机；</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7.为了后期维护的便利性考虑，必须与LED屏选用同一品牌产品。</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1.不低于15kw配电系统，具备PLC远程控制功能</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2.三相配电系统，功率根据屏体峰值功耗并预留一定冗余；</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3.具有过载、过流、过载保护；</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4.通过定制软件控制电源系统的开关,具有温湿度采集；</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5.通过PLC可设定任意时间开启和关闭LED显示屏电源；</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6.通过PLC可设定任意时间关闭计算机；</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5"/>
            <w:shd w:val="clear" w:color="auto" w:fill="auto"/>
            <w:tcBorders>
              <w:top w:val="single" w:color="000000" w:sz="4" w:space="0"/>
              <w:left w:val="single" w:color="000000" w:sz="4" w:space="0"/>
              <w:bottom w:val="single" w:color="000000" w:sz="4" w:space="0"/>
              <w:right w:val="single" w:color="000000" w:sz="4" w:space="0"/>
            </w:tcBorders>
            <w:tcW w:w="10525"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三、工程服务及配件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工程结构</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根据现场实际情况调整，满足工作需要。</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106.32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1.显示屏固定安装支撑结构采用优质冷轧钢板框架结构组合形式。</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2.零件采用壁厚2mm Q235板材制作，采用机加工冲孔、折弯工艺，表面酸洗、磷化、烤漆，烤漆颜色为哑光黑色，整体美观大方，具有足够的静态与动态机械强度和刚度；确保支架受力均匀，长期使用支架变形容许值≤3mm。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3.显示屏采用落地式支架，前维护方式。</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包边装饰</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不锈钢拉丝</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106.32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专用线材</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箱体间内部连接线缆(出厂配置)</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106.32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主动力电缆</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配电系统的主进线缆</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电源线、信号线铺设至大屏安装位置(冗余一定长度)</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bl>
    <w:p>
      <w:pPr>
        <w:numPr>
          <w:ilvl w:val="0"/>
          <w:numId w:val="0"/>
        </w:num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p>
      <w:pPr>
        <w:numPr>
          <w:ilvl w:val="0"/>
          <w:numId w:val="0"/>
        </w:num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t xml:space="preserve">2、</w:t>
      </w:r>
      <w:r>
        <w:rPr>
          <w:rFonts w:hint="eastAsia" w:ascii="宋体" w:hAnsi="宋体" w:eastAsia="宋体" w:cs="宋体"/>
          <w:b/>
          <w:bCs/>
          <w:i w:val="0"/>
          <w:iCs w:val="0"/>
          <w:color w:val="000000"/>
          <w:sz w:val="20"/>
          <w:szCs w:val="20"/>
          <w:u w:val="none"/>
          <w:lang w:val="en-US" w:eastAsia="zh-CN" w:bidi="ar"/>
        </w:rPr>
        <w:t xml:space="preserve">分布坐席系统</w:t>
      </w:r>
      <w:r/>
    </w:p>
    <w:tbl>
      <w:tblPr>
        <w:tblStyle w:val="807"/>
        <w:tblW w:w="10469" w:type="dxa"/>
        <w:tblInd w:w="-5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0"/>
        <w:gridCol w:w="1081"/>
        <w:gridCol w:w="7169"/>
        <w:gridCol w:w="650"/>
        <w:gridCol w:w="769"/>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主要规格</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4K分布式输入节点</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1.采用完全分布式架构，无需配置服务器即可构建无服务器的去中心化分布式音视频综合管控网络；</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2.分辨率支持4K60并向下兼容；</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3.支持≥1路HDMI输入接口，≥1路RJ45网络接口，≥1路SFP光纤口，≥1路3pin凤凰端子的模拟音频输入接口、≥1路3pin凤凰端子的模拟音频输出接口，≥1路3.5mm MIC，≥1路RS232、≥1路RS485、≥3路IO/IR，≥2路USB Type-A接口，≥1路复位按键；</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4.单路视频可同时提供多种不同分辨率、不同帧率（1-60帧）、不同码率的码流以适应本地显示、预览等不同场景需求；</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支持在不通过界面软件编辑的情况下，可通过快捷菜单对预览信号进行在线增加或删除，支持一键式填入视频流地址；支持拖动信号重新排列位置，方便调整常用信号位置；（需提供国内第三方机构出具的测试报告证明和功能界面截图）</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6.具备一键恢复出厂设置按钮，支持反向寻址功能；当软件选中时，节点所有指示灯闪烁，快速定位到故障位置；</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7.HDMI接口具备不少于6级可调距金属卡扣固定装置，防止HDMI线缆松动脱落，影响使用；</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8.为保证产品稳定性，提供不低于IP6X防尘等级报告、高低温测试报告、电磁兼容测试报告</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4K分布式输出节点</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1.采用完全分布式架构，无需配置服务器即可构建无服务器的去中心化分布式音视频网络；</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2.分辨率支持4K60并向下兼容；支持不小于16个信号任意叠放；</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支持≥1路HDMI输出接口，≥1路DVI输出接口、≥1路VGA输出接口，≥1路RJ45网络接口，≥1路SFP光纤口，≥1路3pin凤凰端子的模拟音频输入接口、≥1路3pin凤凰端子的模拟音频输出接口，≥1路RS485、≥2路RS232、≥4路IR、≥4路IO，≥1路复位按键；（提供实物接口照片佐证，支持实物备查）</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4.支持LED、LCD、DLP多种类型拼接大屏直接拼接，单个屏组可容纳屏幕数量无限制，拼接大屏整屏实时帧同步，拼接节点间帧同步信号差异≤1ms；</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5.支持画质调整，可对输出的亮度、对比度、色彩饱和度以及增益进行调整；</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6.支持任意大屏的开窗、叠加、漫游、全屏、缩放控制；</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7.节点间采用单播协议，无需交换机和接入网络具备组播功能的情况下支持超过200路以上并发，满足跨网段跨区域互联互通；同时可兼容组播，组播并发数量不受限制；</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★8.HDMI接口具备不少于6级可调距金属卡扣固定装置，防止HDMI线缆松动脱落，影响使用；（HDMI具备合法使用授权，需提供证明文件）</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9.支持音频音量大小调节、延时调节以便唇音同步、静音以及实时音量大小反馈；</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支持通过内置混音输出功能，实现多会场视频发言管理，可在无需添加MCU和视频会议终端机的基础上，直接通过分布式系统设备实现不少于15方之间的组会，可任意开启1方发言或者多方发言；（需提供国内第三方机构出具的测试报告证明）</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4K分布式KVM输入节点</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1.采用完全分布式架构，无需配置服务器即可构建无服务器的去中心化分布式音视频网络；</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2.分辨率支持4K60并向下兼容；</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3.支持≥1路HDMI输入接口，≥1路HDMI环出接口，≥1路RJ45网络接口，≥1路SFP光纤口，≥1路3pin凤凰端子的模拟音频输入接口、≥1路3pin凤凰端子的模拟音频输出接口，≥1路3.5mm MIC，≥1路RS232、≥1路RS485、≥3路IO/IR，≥2路USB Type-A接口，≥1路复位按键；（提供实物接口照片佐证，支持实物备查）</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4.提供无压缩的音视频传输通道或AAC、G711a、G711u、PCM编码音频通道，音频采样频率48K 24位以上，支持音频与视频同步或者异步传输；</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5.支持中文可视化OSD菜单、可显示各信号源在线状态；</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6.支持一人多机场景、一人多屏场景、人机分离场景、单屏多视窗场景、鼠标跨屏漫游场景;</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7.为适应不同人员的操作习惯，菜单可提供该不少于3种信号接管方式：信号拖拽、鼠标双击、键盘按键；</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8.为保证信息系统安全，需提供信息系统安全等级保护备案证明；</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4K分布式KVM输出节点</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1.去中心化无服务器架构部署，任意节点故障，均不影响系统整体运行；</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2.≥1路HDMI输出，≥1路3pin凤凰端子的立体声音频输出接口，≥1路RJ45网口、≥1路SFP光纤口，≥1路RS232、≥2路IO/IR，≥7路USB 2.0接口；</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3.分辨率支持4K60并向下兼容；</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★4.通过悬浮式 OSD 菜单，方便快速访问读取坐席信息、开启唤醒 KVM 应用，菜单支持以透明小视窗方式浮于桌面图层之上，不对业务桌面画面产生遮挡，支持收起与展开；为适应不同人员的操作习惯，菜单可提供该不少于3种信号接管方式：信号拖拽、鼠标双击、键盘按键；（需提供国内第三方机构出具的测试报告证明）</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5.悬浮式 OSD 菜单可跟随鼠标自动跨屏移动，支持一键关闭悬浮式 OSD 菜单显示；悬浮式 OSD 菜单透明度、位置、语言均支持自定义，方便用户灵活使用；</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6.避免使用中视频线从接口脱落，造成信号丢失，节点HDMI接口需具备可调节距离卡扣装置固定不同规格的HDMI视频线材；</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7.为保证产品质量，提供IP6X、CQC、CEC认证证书；</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8.悬浮式OSD菜单支持快速读取坐席信息、开启视频会议功能，不小于4种布局模式和13分屏模式，席位间可满足多人视频语音对讲，实现静音、闭音、打开关闭摄像头、切换视图功能；</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分布式全景智慧座舱模块</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1.支持全景全栈智能座舱，集约化界面，模块化组件布局；</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2.全景式展示应用组件，包括登录、信号接管、坐席推送、大屏推送、坐席预案、坐席多方视频会议、坐席文字通讯、坐席分屏、OCR文字识别等，坐席应用功能丰富，图文式展示，用户操作直观便捷；</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★3.支持智能 OCR 离线识图功能，可对指定画面进行框选后进行文字识别与提取，识别后可自动排列显示，提取/修改文字并实现在物理隔离状态下的主机之间跨屏复制；（需提供国内第三方机构出具的测试报告证明）</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分布式坐席应用组件模块</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★1.支持高算力AI芯片，搭载轻量的边端技术引擎，具备AI数据采集分析能力，可接入各类视频源以提供视频算法分析能力；（需提供国内第三方机构出具的测试报告证明）</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2.具备坐席操作申请批阅功能，坐席队列调控系统具有向上申请授权弹窗，向下指令批阅确认的授权操作，为要素席、班长席、主任席等席间实现协同操作的效果;</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3.具备≥1路HDMI输出、≥1路RJ45接口、≥1路SFP光纤接口、≥4路USB接口、≥1路3.5mm MIC、≥1路RS232、≥2路IO/IR;</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4.支持 AI神经网络深度学习的人体骨骼行为分析算法，支持识别人体的性别年龄、衣着外观特征，辅助定位追踪特定人员;监测预警各类危险、违规行为(如抽烟、未口罩)，减少安全隐患;</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5.支持 AI边缘计算与车辆分析算法，可检测视频中的主体车辆位置，品牌型号、年份、颜色信息，可对指定车辆如渣土车、危化品车高危、重点车辆不按规定时间、路线行驶的驾驶人员进行历史路径追踪分析及长时间行驶记录的挖掘分析，并根据相关信息进行风险评估并预警;</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分布式保密模块</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1.USB2.0≥1,3.5mm MIC≥1;</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2.用于主机节点与业务系统主机之间的USB连接的外置适配器，有效的从物理接口上防止数据的入侵和隔离病毒的感染</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3.传输键鼠信号,不存储数据且无法执行HID攻击;</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保密模块通过各项严格安全性测试，且安全测试报告目录涵盖信息收集分析、代码审计、风险级别分类统计、风险级别数量统计、插入执行检验、数据存储检验、数据接收检验、数据获取传输检验等安全测试；（需提供国内第三方机构出具的测试报告证明）</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客户端授权</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1.Windows电脑客户端授权密匙;</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2.支持开窗、漫游、叠加、预案；</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3.支持权限管理，支持多用户管理；</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4.支持中控管理功能；</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节点安装支架</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支持标准19英寸机柜安装机架，每套应可容纳2个输入输出节点的安装；</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节点安装机架</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支持标准19英寸机柜安装机架，满足节点机柜整体部署安装，每套应可容纳8-10个输入输出节点的安装；</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分布式图像调度平台</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1.操作软件应支持国产硬件和操作系统，并提供跨平台能力；多控制终端应具备同步控制能力，支持多个操作系统同时控制同一套分布式系统；</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2.支持图像开窗、窗口叠加、窗口漫游、窗口缩放、字符叠加、场景保存及读取、大底图显示等功能；</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3.可根据不同需求进行不同场景保存，包含但不限于窗口布局、信号源、字符叠加、底图、布局信息等；支持资源框方式保存场景，支持无限个场景保存调用，并支持一键调取保存的场景预案；</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4.支持大屏预布局，通过操作终端预先所见所得的对屏幕进行布局，而不影响当前屏幕显示，布局完成并需要切换时一键发送、一键切换；</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5.支持超大底图功能，底图应可达到与显示墙点对点的超高分辨率；</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6.支持定时执行预案，在日常工作状态下，大屏幕墙将按照预定的时间自行工作，自动开窗口切换画面，不需要人工干预；</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7.支持在控制终端大屏回显区域分割横幅，用于指挥调度主题、参观交流欢迎词等，需支持直接在控制终端输入文字、设置文字字体、颜色、大小等，大屏同步显示横幅内容；</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8.支持同屏功能，支持本地/异地同屏功能，同屏显示同样的内容、同样的分割模式；可对不同大小和比例的屏幕进行同屏；</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9.支持与国产处理器及数据库产品兼容，提供产品兼容认证证明；</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分布式中控主机</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1.支持32位嵌入式CPU，主频≥1GHz，内存≥2GB。</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2.主机具备≥9路串口，≥8路IR，≥8路IO，≥8路弱继电器，≥4个模拟量输入接口，≥1个模拟量输出接口，≥2路NET口，≥1路HDMI监控接口；（需提供国内第三方机构出具的测试报告证明）</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3.支持双向反馈，可显示温度、湿度、pm2.5 及周边环境状态；</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★4.需提供三年免费售后服务承诺书原件加盖生产厂家公章</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1.具有≥8路自动、手动电源控制器，内置≥8个20A继电器，负载能力≥4400W/单路；</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2.前面板带LCD显示，可设定网络参数；</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编程软件</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根据用户需要定制</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分布式控制终端</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CPU性能≥ intel i5，≥16G内存，≥1TB SSD，显示器尺寸≥23.8寸</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48口千兆POE接入交换机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支持TCP/IP协议，支持标准网线或光纤传输，具备≥48个10/100/1000Base-T以太网端口，≥4个万兆SFP+光口；</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支持POE供电；交换容量≥432Gbps，包转发率≥166Mpps；含2个万兆光模块。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24口千兆POE接入交换机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支持TCP/IP协议，支持标准网线或光纤传输，具备≥24个10/100/1000Base-T以太网端口，≥4个万兆SFP+光口；</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支持POE供电；交换容量≥336Gbps，包转发率≥108Mpps；含2个万兆光模块。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bl>
    <w:p>
      <w:pPr>
        <w:pStyle w:val="858"/>
        <w:keepLines w:val="0"/>
        <w:keepNext w:val="0"/>
        <w:pageBreakBefore w:val="0"/>
        <w:spacing w:line="350" w:lineRule="atLeast"/>
        <w:widowControl w:val="off"/>
        <w:rPr>
          <w:rFonts w:hint="eastAsia"/>
          <w:color w:val="auto"/>
          <w:lang w:val="en-US" w:eastAsia="zh-CN"/>
        </w:rPr>
      </w:pPr>
      <w:r>
        <w:rPr>
          <w:rFonts w:hint="eastAsia"/>
          <w:color w:val="auto"/>
          <w:lang w:val="en-US" w:eastAsia="zh-CN"/>
        </w:rPr>
      </w:r>
      <w:r/>
    </w:p>
    <w:p>
      <w:pPr>
        <w:numPr>
          <w:ilvl w:val="0"/>
          <w:numId w:val="4"/>
        </w:numPr>
        <w:jc w:val="left"/>
        <w:keepLines w:val="0"/>
        <w:keepNext w:val="0"/>
        <w:widowControl/>
        <w:rPr>
          <w:rFonts w:hint="eastAsia" w:ascii="宋体" w:hAnsi="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t xml:space="preserve">视频会议系统</w:t>
      </w:r>
      <w:r/>
    </w:p>
    <w:tbl>
      <w:tblPr>
        <w:tblStyle w:val="807"/>
        <w:tblW w:w="10450" w:type="dxa"/>
        <w:tblInd w:w="-5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0"/>
        <w:gridCol w:w="1088"/>
        <w:gridCol w:w="7156"/>
        <w:gridCol w:w="662"/>
        <w:gridCol w:w="74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主要规格</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1045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一、会议前端设备</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分体式视频会议终端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1.终端需与江苏省公安厅一键点调系统无缝数字级联，投标文件中须提供厂家对接承诺函。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2.采用硬件分体式结构，非PC架构、非工控机架构。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终端采用国产嵌入式操作系统。终端核心芯片采用国产化元器件，至少包括音视频编解码单元、CPU处理单元、视频输入输出芯片、音频输入输出芯片、可编程逻辑芯片、电源芯片、时钟芯片、专用安全芯片、内存存储芯片、闪存存储芯片等均采用国产化器件。</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4.支持ITU-T H.320、H.323和IETF SIP、RTC通信标准，会议速率支持128Kbps－8Mbps。</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5.支持H.239、BFCP双流协议标准。</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6.支持1080p60、1080p30、720p60、720p30高清分辨率，并向下兼容4CIF、CIF标清分辨率。</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7.在保证主视频1080p60fps前提下，辅视频可以支持到1080p60fps。</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8.支持≥3路高清视频输入接口（至少含2个HDMI输入口）、≥2路高清视频输出接口。</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9.支持2个10/100/1000M以太网接口，支持网口热备份。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10.支持内置视频矩阵功能，可在终端控制系统上灵活配置任意视频输入和输出接口之间的对应关系。（投标人需提供权威机构检测报告证明）</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11.支持演讲者追踪，手动指定某区域，智能跟踪指定区域内的发言人，并居中显示。</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12.支持背景替换，通过人像检测技术，可将与会方与背景分离，可以虚化模糊背景或替换已有的背景。</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13.支持多人特写功能，支持把会议室中的与会方的人像裁剪出来拼接成一个多宫格画面，作为一路图像显示。</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14.支持双流共享叠加人像功能。基于人像检测技术技术，可将与会方与背景分离，实现与会方图像叠加到共享图像上合成显示。</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15.支持智能视频编码（ROI），可对感兴趣的与会方增强编码，其他区域弱化编码，节省带宽的同时提高与会方图像的显示效果。</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16.支持云虚拟会议室功能，终端注册入网后，可实时获取当前已创建的虚拟会议室列表及状态（预约或会议中），可以直接选择需要参加的虚拟会议室加入。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17.支持不低于120个摄像机预置位存储和调用，支持摄像机预置位快照及预览功能，可直观地显示预置位场景。</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18.系统具有字幕叠加功能，支持在本地图像不同位置叠加台标、横幅、滚动字幕。</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19.支持OLED屏显示设备运行状态，显示状态：启动、升级、休眠、网络异常、错误码、温度异常、外设连接异常、风扇异常、IP地址以及号码</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20.支持软件通过投屏码发送辅流。</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21.终端支持叠加视频水印，可实现主流、辅流叠加水印，实现会议数据内容的盗摄溯源</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22.终端支持国家密码局认定的国产密码算法，保证信息安全自主可控。支持SM1、SM2、SM3、SM4等国密加密算法。</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23.终端内置安全芯片，生产预置的设备证书及对应的私钥都存储在安全芯片内；支持一机一证，终端生产时向内置安全芯片烧写唯一的证书。</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24.具备较强的网络抗丢包能力，在IP网络达到55%丢包率情况下语音清晰连续、视频清晰流畅、无马赛克；80%的丢包率情况下声音清晰流畅、可准确理解。</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25.具备多种抗丢包策略，支持丢包重传、前向纠错、自适应丢包补偿技术、自适应抖动平滑技术。</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26.终端需无缝接入大丰区公安局MCU，能实现双流功能，图像声音流畅无卡顿，并能够实现跨级管理。（出具厂家承诺函）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1.支持壁装、三脚架安装或吊顶安装等多种安装方式，可按用户需求进行安装。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2.图像传感器采用不小于1/2.8"CMOS图像传感器，支持1080p60、1080p50、1080p30、1080p25、720p60、720p50等高清信号输出。</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3.支持不小于12倍光学变倍，支持不小于16倍数字变焦。</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4.支持广角镜头，水平视角不小于80°。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5.视频输出接口具备HDMI、USB接口。</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6.支持RS422控制接口，支持标准VISCA和PELCO协议，支持摄像机通过控制口实现菊花链控制。</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7.支持网口 VISCA控制。</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8.支持中英文OSD菜单，可在OSD中对摄像机进行设置。</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9.水平转动范围：≥ ±170°，垂直转动范围：≥ -30°～30°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10.支持自带显示屏，可方便显示视频输出分辨率。</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11.支持保存不少于255个预置位。</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12.支持图像防抖功能，可实现图像防抖。</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13.支持HDR高动态功能，支持图像抗闪烁功能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14.支持终端遥控器通过摄像机反向控制会议终端。</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5"/>
            <w:shd w:val="clear" w:color="auto" w:fill="auto"/>
            <w:tcBorders>
              <w:top w:val="single" w:color="000000" w:sz="4" w:space="0"/>
              <w:left w:val="single" w:color="000000" w:sz="4" w:space="0"/>
              <w:bottom w:val="single" w:color="000000" w:sz="4" w:space="0"/>
              <w:right w:val="single" w:color="000000" w:sz="4" w:space="0"/>
            </w:tcBorders>
            <w:tcW w:w="1045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二、扩声系统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1.额定功率≥400W；峰值功率≥1600W</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2.最大声压级（额定/峰值）:≥122dB/128dB</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3.标称阻抗：≤6Ω</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4.频率响应等同或优于60Hz-20KHz</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5.灵敏度≥96dB(1M/1W)</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6.喇叭单元：≥3＂全频×12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1.标准≤1U机柜式设计；采用PFC+开关电源+D类数字功放设计方案；输出功率：立体声@8Ω：≥500W×2；立体声@4Ω：≥850W×2；桥接@8Ω：≥1700W。</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2.开关电源采用LLC谐振电源短路保护电路和D类数字功放一体模块化设计，保证半桥LLC开关电源稳定性和可靠性。</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3.支持开机软启动功能，软启动过程中电源需求缓慢上升，减少对电网和其他电子设备的电流冲击。</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4.开关电源内置EMI电路，有效的抑制电源谐波，达到欧盟绿色电源标准。</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5.数字功放核心的调制和匹配电路技术，让功放还原真实原声。</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6.整机转换效率达到85%以上。</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7.数字功放电源自适应音频调整节能功能，实现智能削峰限幅器，控制功率模块及扬声器系统在安全范围内工作。</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8.MONO /STEREO/BRIDGE三种模式可选择切换。</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9.开机软启动，防止开机时向电网吸收大电流，干扰其它用电设备。</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10.内置六大保护电路模块，为功放的可靠性保驾护航，具有：过压保护，欠压保护，过流保护，直流保护，输出短路保护，温控风扇等功能。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音箱支架</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天花喇叭</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1．额定功率≥200W</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2．最大功率≥400W</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3．阻抗：≤8Ω</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4．灵敏度（1W/1M）≥92dB±3dB</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5．频率响应（-10dB）：等同或优于50Hz-20KHz</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6．喇叭单元：≤8"×1,1.5"×1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后面板具有≥8路线路音频凤凰端子平衡输入接口VN.WJ17442（具有48V幻象供电）、≥8路线路音频凤凰端子平衡输出接口、≥1个拨码开关、≥1个RJ45接口、≥1个RS232接口、≥1个RS485接口、≥8个可编程GPIO控制接口、≥1个接地柱；前面板具有≥2.0英寸 IPS 真彩显示屏、≥1个编码旋钮、≥1个USB存储设备接口。</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2.输入通道支持前级放大、信号发生</w:t>
            </w:r>
            <w:r>
              <w:rPr>
                <w:rFonts w:hint="eastAsia" w:ascii="宋体" w:hAnsi="宋体" w:eastAsia="宋体" w:cs="宋体"/>
                <w:i w:val="0"/>
                <w:iCs w:val="0"/>
                <w:color w:val="000000"/>
                <w:sz w:val="18"/>
                <w:szCs w:val="18"/>
                <w:u w:val="none"/>
                <w:lang w:val="en-US" w:eastAsia="zh-CN"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3.具有矩阵增益调节功能，每个输入通道参与混音的增益可调，增益调节范围等同或优于-72db到12db。</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音频处理器具有跨平台软件，可运行的操作系统版本≥8种，包括Windows7/10/11、银河麒麟桌面操作系统（兆芯版）、银河麒麟桌面操作系统（飞腾版）、macOS系统、统信UOS、Ubuntu桌面版操作系统。（提供功能截图佐证）（需提供得到CMA或CNAS认可的检测机构出具的检测报告作为该技术参数证明材料）</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5.产品具有PC客户端、手机移动端、安卓平板端不同控制方式，可以通同时登入APP软件、PC客户端同时连接设备，并实现多端数据的同步。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6.设备具有编码旋钮和IPS屏幕，可用于控制和配置设备静音，增益，场景；IPS屏幕能够显示IP地址，输入和输出通道的实时电平。</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7.具有设备定位功能，客户端一键定位局域网内同类设备，被定位的设备会显示定位信息。</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8.设备具有统一集中控制功能，支持≥65535台设备通过软件集中控制。</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1.支持≥8路麦克风输入兼容6路线路输入接口，支持≥2路立体声输入接口，≥4路RCA输入，话筒接口幻象电源：+48V。</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2.具有≥2组立体声输出、≥4路编组输出、≥4路辅助输出、≥1个耳机监听输出、≥1个接口双路效果输出 、≥1组控制室输出、≥1组主混音断点插入、≥6个断点插入。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3.内置≥24位DSP效果器，提供≥100种预设效果。</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4.具备≥13个60mm行程的高精密碳膜推子。</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5.内置USB声卡模块，支持连接电脑进行音乐播放和声音录音；内置MP3播放器，支持≥1个USB接口接U盘播放音乐。</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抑制器</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1.基于啸叫检测门限更新法，具有移频+陷波反馈抑制功能，可以使用≥48个可编程陷波点。</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前面板具有≥48个LED灯陷波状态指示灯（具有≥2×12个静态点和≥2×12个动态点）、≥2英寸IPS真彩显示屏、≥1个编码旋钮；后面板具有≥1个船形开关、≥2路XLR母座+2路TRS母座模拟输入、≥2路XLR公座+2路TRS母座模拟输出、≥1个RJ45接口。</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3.设备具有编码旋钮和≥2.0英寸IPS屏幕，可用于控制和配置设备直通、场景。IPS屏幕能够显示IP地址，输入和输出通道的实时电平。</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4.具有设备定位，PC客户端具有一键定位局域网内同类设备功能，被定位到的设备会在显示屏上显示定位信息。</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5.设备具有统一集中控制功能，支持≥65535台设备通过软件集中控制。</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6.支持多客户端数据同步，≥2个客户端以上连接混音器设备时，可实现多端数据同步。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为了保证货物的交付和后续易损易耗件、零配件的持续供应，要求投标人或投标的产品制造商具有符合GB/T30146-2023或ISO22301:2019标准的《业务连续性管理体系认证证书》（提供在有效期内的证书复印件及证书编号在全国认证认可信息公共服务平台的查询结果截图加盖公章）</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2.具有≥1台接收主机、≥2只手持发射机；频率范围等同或优于470MHz-510MHz、540MHz-590MHz、640MHz-690MHz、807MHz-830MHz四个频段使用。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具有自动静音功能，麦克风跌落、抛掷时，毫秒级自动静音，避免冲击声；实时监测设备姿态，静置≥5秒静音，≥8分钟关机，无需手动干预。（需提供得到CMA或CNAS认可的检测机构出具的检测报告作为该技术参数证明材料</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5.具有多档位混响调节功能，混响效果≥15625个，效果占比、回响延时、混响幅度调节，三种音效各具有≥25档调节方式。</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6.具有多频段均衡调节功能，均衡调节≥2197种，麦克风均衡器调节功能，具有高、中、低音三种调节档位，每种效果支持≥13档调节。</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7.具有长时间续航，发射机使用时长≥10小时。</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8.具有ID码防串扰功能，采用32位唯一ID码，用于接收和发射配对，收发ID码必须相同才能对码，能够有效防止相同频率的信号相互串台。</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9.接收机具有≥2个2.2英寸的TFT-LCD显示屏；发射机具有≥0.96英寸OLED显示屏，能够显示频率信息、音频加密状态、功率挡位、静音状态、电量格数信息。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1.基于数字U段的传输技术，pi/4-DQPSK调制方式，采用国产主控芯片，传输距离≥80米，接收机具有≥4路平衡输出、≥1路非平衡混音输出；具有混响、均衡、智能静音、音频加密、功率调节功能。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2.具有≥1台接收主机、≥4台桌面式短咪杆发射机；频率范围等同或优于470MHz-510MHz、540MHz-590MHz、640MHz-690MHz、807MHz-830MHz四个频段使用。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3.接收机前面板具有≥4个LCD 显示屏、≥4个编码旋钮、≥4个频率扫描实体按键、≥4个红外对频实体按键、≥1个电源开关按键、≥1个二合一指示灯（红外发射管+对频指示灯）；后面板具有≥1个LINE-OUT接口、≥4个XLR-OUT接口、≥4个BNC接口、≥1个DC接口。桌面式发射机具有≥1个TYPE-C 充电口、≥1个3.5mm耳麦输入接口、≥1个OLED显示屏、≥1个电源开关按键，≥1个触摸开关麦按键。</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4.具有多档位混响调节功能，混响效果≥15625个，效果占比、回响延时、混响幅度调节，三种音效各具有≥25档调节方式。</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5.具有多频段均衡调节功能，均衡调节≥2197种，麦克风均衡器调节功能，具有高、中、低音三种调节档位，每种效果支持≥13档调节。</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6.具有ID码防串扰功能，采用32位唯一ID码，用于接收和发射配对，收发ID码必须相同才能对码，能够有效防止相同频率的信号相互串台。</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7.接收机具有≥4个2.2英寸的TFT-LCD显示屏；发射机具有≥0.96英寸OLED显示屏，能够显示频率信息、音频加密状态、功率挡位、静音状态、电量格数信息。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8.桌面式发射机配置≥1颗容量2400mAh的锂电池，使用时长≥15小时；设备电池孔位≥4个，电池具有扩展性，通过拓展连续使用时长≥60小时。</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话筒天线</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1.射频频率范围等同或优于470～950MHz</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2.驻波比：≤2.0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3.输入阻抗：≤50Ω</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1.具备≥2个天线输入接口，支持接收天线信号，实现分配多路射频信号的效果。</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2.具备放大射频信号，补偿因信号功率被分配至多个输出而造成的插入损耗。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3.具备≥2个天线级联接口，支持无限制级联分配器，可实现扩展无线话筒的目的。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4.具备≥4个直流电源输出接口，支持给≥4台接收机供电，减少适配器数量和免去繁琐布线。</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监听音箱</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1.双放大器有源扬声器系统，低音扬声器≥70W峰值功率，高音扬声器≥50W峰值功率；≥1" 软球顶高音喇叭，≥5.25" 复合玻璃纤维低音喇叭。</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2.0°相位声音响应。</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3.具有低失真反射端口，精密指向性高音波导。</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4.频响范围等同或优于50Hz-20kHz</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5.最大声压级≥107dB</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6.水平扩散角度≥110°、垂直扩散角度≥70°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7.总功率(D类功放)≥120W，高音≥50W，低音≥70w</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8.低音微调、高音微调支持-1.5dB/0dB/+1.5dB</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2.当远程控制有效时同时控制后板ALARM（报警）端口导通以起到级联控制ALARM（报警）功能。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3.单个通道最大负载功率≥2200W，所有通道负载总功率≥6000W。输出连接器：多用途电源插座。</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1.标准≤1U机箱设计，采用D类数字功放设计方案。</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2.标准XLR输入接口，和LINK输出口。</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3.电源采用开关电源技术，效率高，有效的抑制电源谐波。</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4.内置智能削峰限幅器，支持开机软启动，防止开机时向电网吸收大电流，干扰其它用电设备。</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5.具有：过压保护，欠压保护，过流保护，直流保护，输出短路保护，温控风扇等功能。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6.输出功率：立体声@8Ω：≥350W×2；立体声@4Ω：≥600W×2。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天花喇叭</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1．额定功率≥100W</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阻抗：≤8Ω</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3．灵敏度(1W/1M)≥91dB</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4．频率响应(-10dB)等同或优于50Hz-20KHz</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5．喇叭单元：≥8" ×1  1.5" ×1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1.标准≤1U机箱设计，采用D类数字功放设计方案。</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2.标准XLR输入接口，和LINK输出口。</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3.电源采用开关电源技术，效率高，有效的抑制电源谐波。</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4.内置智能削峰限幅器，支持开机软启动，防止开机时向电网吸收大电流，干扰其它用电设备。</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5.具有：过压保护，欠压保护，过流保护，直流保护，输出短路保护，温控风扇等功能。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一拖四话筒</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1.基于数字U段的传输技术，pi/4-DQPSK调制方式，采用国产主控芯片，传输距离≥80米，接收机具有≥4路平衡输出、≥1路非平衡混音输出；具有混响、均衡、智能静音、音频加密、功率调节功能。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2.具有≥1台接收主机、≥4台桌面式鹅颈咪杆发射机；频率范围等同或优于470MHz-510MHz、540MHz-590MHz、640MHz-690MHz、807MHz-830MHz四个频段使用。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3.接收机前面板具有≥4个LCD 显示屏、≥4个编码旋钮、≥4个频率扫描实体按键、≥4个红外对频实体按键、≥1个电源开关按键、≥1个二合一指示灯（红外发射管+对频指示灯）；后面板具有≥1个LINE-OUT接口、≥4个XLR-OUT接口、≥4个BNC接口、≥1个DC接口。桌面式发射机具有≥1个TYPE-C 充电口、≥1个3.5mm耳麦输入接口、≥1个OLED显示屏、≥1个电源开关按键，≥1个触摸开关麦按键。</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4.具有多档位混响调节功能，混响效果≥15625个，效果占比、回响延时、混响幅度调节，三种音效各具有≥25档调节方式。</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5.具有多频段均衡调节功能，均衡调节≥2197种，麦克风均衡器调节功能，具有高、中、低音三种调节档位，每种效果支持≥13档调节。</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6.具有ID码防串扰功能，采用32位唯一ID码，用于接收和发射配对，收发ID码必须相同才能对码，能够有效防止相同频率的信号相互串台。</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7.接收机具有≥4个2.2英寸的TFT-LCD显示屏；发射机具有≥0.96英寸OLED显示屏，能够显示频率信息、音频加密状态、功率挡位、静音状态、电量格数信息。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8.桌面式发射机配置≥1颗容量2400mAh的锂电池，使用时长≥15小时；设备电池孔位≥4个，电池具有扩展性，通过拓展连续使用时长≥60小时。</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话筒</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1.设备具有话筒增益调节接口，可调节话筒增益。</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2.设备支持幻象供电、电池供电供电方式；电池支持连续发言≥60小时。</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3.设备底部具有电池电源拨动开关，可根据实际使用状态手动开关话筒电池电源。</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4.开麦具有指示灯提示，按键开启后，咪杆指示灯亮起。</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5.指向性：心形指向性；信噪比：≥80dB(A)；频率响应：等同或优于80Hz~16KHz；输出阻抗：≥75Ω；灵敏度：≥-38±2dB</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1.采用≥6只3寸全频喇叭单元。</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2.箱体采用≥12mm高密度板，CNC加工，耐磨喷漆处理。</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3.拼接排列扬声器设计。</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4.额定功率≥200W；峰值功率≥800W</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5.灵敏度≥95dB(1M/1W)</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6.最大声压级（额定/峰值）≥118dB/124dB</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7.标称阻抗≤6Ω</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8.频率范围等同或优于80Hz-20kHz</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1045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三、数字会议系统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全数字会议系统主机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1.支持≥4096台有线会议单元和≥300台无线会议单元同时接入管理使用；支持≥4396台会议单元同时参与会议议程（签到、表决、服务）以及发言控制。</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2.主机兼容同时连接有线与无线会议单元，二者可并行使用；采用跨域音频同步技术，有线与无线会议单元音频的音频无缝混音输出。</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3.设备采用分段压缩混音处理技术和时钟同步传输技术，会议单元拾音到主机输出延时≤5ms。</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设备具有≥1个USB接口；后面板具有≥2路RS-232接口、≥1路RS-485接口、≥4路RJ45通讯接口；具有≥1路RCA输入、≥1路卡侬输入、≥2路凤凰端子输入接口；≥1路RCA输出、≥1路卡侬输出、≥16路凤凰端子输出接口；≥1个拨码开关、≥1个接地柱。</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7.主机具有≥16通道音频分组输出接口；采用会议分区相控技术，可拆分≥16个独立的会议系统使用，也可以组成一个大型的会议系统使用，实现多种方式的会议室合并/拆分。</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8.支持主机U盘和客户端软件两种录音方式；搭配会议话筒和录音盒可以录制单个会议单元发言音频和录制所有会议单元混音发言音频。</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★9.具有C/S、B/S管控架构，包括客户端、WEB端、本机全彩触摸屏、安卓手机/平板控制方式；通过客户端、WEB端可调节</w:t>
            </w:r>
            <w:r>
              <w:rPr>
                <w:rFonts w:hint="eastAsia" w:ascii="宋体" w:hAnsi="宋体" w:eastAsia="宋体" w:cs="宋体"/>
                <w:i w:val="0"/>
                <w:iCs w:val="0"/>
                <w:color w:val="000000"/>
                <w:sz w:val="18"/>
                <w:szCs w:val="18"/>
                <w:u w:val="none"/>
                <w:lang w:val="en-US" w:eastAsia="zh-CN" w:bidi="ar"/>
              </w:rPr>
              <w:t xml:space="preserve">音频矩阵参数（包括EQ、音量、延时器、会议单元灵敏度）、≥16通道输出模式切换、开关会议单元、中英俄法四种语言切换、控制角色分离主机功能；使用本机全彩触摸屏可调节会议模式、有线/无线会议单元开麦数量、编ID、主机/从机设置、中英俄法四种语言切换、显示亮度/输出音量调节、显示剩余使用天数、输入注册码进行主机注册功能；使用安卓手机/平板可控制会议单元开关、开启签到、投票、表决、接收会议服务信息、一键关闭无线会议单元功能，免PC操作。（需提供得到CMA或CNAS认可的检测机构出具的检测报告作为该技术参数证明材料）</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10.WEB管理端具有切换个性化主题风格功能，可切换≥4种风格，可选简约主题、政务主题、时尚主题、活力主题，不同主题提供不同UI界面背景颜色。</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超大数据处理能力：系统支持≥24台会议单元同时发言，其中支持≥16台有线会议单元和≥8台无线会议单元同时发言；具有自定义会议单元发言人数功能，有线会议单元发言人数范围可设置为等同或优于1至16之间的任意数量；无线会议单元发言人数范围可设置为等同或优于1至8之间的任意数量。</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13.采用会议系统多环路检测及网络补给技术，实现会议单元手拉手链路出现故障时快速恢复，环路恢复时间≤5ms。</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具有C/S、B/S架构管理软件，客户端、WEB端软件均可运行的操作系统版本≥8种，包括Windows7/10/11、银河麒麟桌面操作系统（兆芯版）、银河麒麟桌面操作系统（飞腾版）、macOS系统、统信UOS、Ubuntu桌面版操作系统。</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支持搭配会议话筒处理器使用，主机与话筒处理器之间通过网线连接方式传输音频，可以同时传输≥16路有线会议单元和≥8路无线会议单元发言的音频信号，并提供反馈抑制、智能混音以及自动增益音频调节处理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会议主机软件融入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功能和一键还原配置信息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★17.需提供三年免费售后服务承诺书原件加盖生产厂家公章</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1.数字传输链路，通过网线连接到会议主机级联口供电，非压缩音频传输技术，≥48k采样率，等同或优于80Hz-16kHz带宽音质。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2.采用实体按键签到方式。咪杆尺寸≤240mm</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3.单元支持 PC 软件话筒控制，支持声控功能。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4.主席单元具备关闭代表单元发言的优先权限。</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5.单元具有TCP/IP协议族，支持ICMP、HTTP、UDP、TCP、IGMP等多种协议。</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6.单元支持PING包功能。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7.单元具有独立的web控制页面，支持调节话筒ID号、话筒灵敏度等参数。</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8.单元内部具有声控功能，声控灵敏度可调。</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9.单元支持签到功能，也可以通过PC软件禁止单元签到、控制单元签到等功能。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10.单元支持web页面固件升级功能。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11.单元支持IP地址嗅探功能，通过PC工具可以查找到未知单元的ID号、IP地址、MAC地址等参数。</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1.数字传输链路，通过网线连接到会议主机级联口供电，非压缩音频传输技术，≥48k采样率，等同或优于80Hz-16kHz带宽音质。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2.采用实体按键签到方式。咪杆尺寸≤240mm</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3.单元支持 PC 软件话筒控制，支持声控功能。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4.代表机具有申请发言功能，主席可批准申请人发言。</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5.单元具有TCP/IP协议族，支持ICMP、HTTP、UDP、TCP、IGMP等多种协议。</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6.单元支持PING包功能。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7.单元具有独立的web控制页面，支持调节话筒ID号、话筒灵敏度等参数。</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8.单元内部具有声控功能，声控灵敏度可调。</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9.单元支持签到功能，也可以通过PC软件禁止单元签到、控制单元签到等功能。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10.单元支持web页面固件升级功能。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11.单元支持IP地址嗅探功能，通过PC工具可以查找到未知单元的ID号、IP地址、MAC地址等参数。</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连接线</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≥20米延长线（一公一母）</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1.一进三出连接单元</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2.采用 ≥100M/10M 自适应网络传输，可以实现手拉手级联。</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3.每个六芯航空接口支持IEEE802.3、IEEE802.3u、 IEEE802.3x规范。</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1.一款双通道音频隔离器。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2.低底噪、无50Hz交流“嗡”声、无高频“嗞啦”干扰。</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3.点对点平衡传输音频，可以选择前面板2个接口中的任意一个COMBO接口输入，从后面板对应COMBO接口输出。</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4.即插即用，支持热插拨。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5.隔离滤波音频传输最远传输信号等同或优于450－600米。</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6.内置瞬态、浪涌抑制、抗静电保护电路。</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7.具有≥2路XLR输入；具有≥2路XLR输出</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会议话筒处理器</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2.具有≥1个RS485、≥1个RS232接口，可对接摄像机实现摄像跟踪功能；内置≥64个话筒预置位，满足大型会议室摄像跟踪需求。</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3.后面板具有≥1个船形开关、≥4个RJ45、≥1个RS485、≥2个RS232、≥1个TYPE-C接口、≥1个拨码开关、≥1路卡侬输出接口和≥2路RCA输出接口；前面板具有≥1个AFC电容触摸开关；≥4个状态指示灯（包括≥1个AFC 功能状态指示灯、≥1个音频信号灯、≥1个处理器工作状态指示灯、≥1个工作电源指示灯）。</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处理器与数字会议主机通过网络传输链路传输会议单元音频信号，只需要通过网线即可以接收数字会议单元音频信号，并提供自动增益、自动混音、AFC反馈抑制（≥24个可编程陷波点）、EQ调节（≥31段图示均衡器调节）音频处理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5.采用啸叫检测门限更新法，移频+陷波组合反馈抑制方式，具有≥24个可编程陷波点，可自由分配动态/静态点，自动/手动切换。</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产品软件与数字会议主机软件集成，可以实现使用同一软件配置数字会议主机和会议话筒处理器；支持搭配音频综合管理平台集中管控各种音频设备，包含数字会议系统软件模块、电子桌牌软件模块、反馈抑制器软件模块、智能混音器软件模块、数字音频处理器软件模块、智控数字专业功放软件模块，各模块打开呈现在状态栏窗口，可快速管理和调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支持通过在线服务小程序提交工单，可提交的类型包括“维护”、“指导调试”、“指导安装”、“指导布线”、“远程调试”类别可选。可通过在线服务小程序实时查询处理进度，具有“待处理”、“处理中”及“已处理”等版块。“已处理”版块具有历史记录功能，可通过联系电话搜索历史条目，条目信息记录客户、联系电话、申请日期、问题描述、状态、客服工程师、用时和信息反馈。并且具有“再次申请”功能。（提供功能界面截图佐证）</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5"/>
            <w:shd w:val="clear" w:color="auto" w:fill="auto"/>
            <w:tcBorders>
              <w:top w:val="single" w:color="000000" w:sz="4" w:space="0"/>
              <w:left w:val="single" w:color="000000" w:sz="4" w:space="0"/>
              <w:bottom w:val="single" w:color="000000" w:sz="4" w:space="0"/>
              <w:right w:val="single" w:color="000000" w:sz="4" w:space="0"/>
            </w:tcBorders>
            <w:tcW w:w="1045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四、辅助材料</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音频跳线</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音频跳线</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2-金银线(300*0.1)国产优质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RVVP2*0.3国产优质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HD102国产优质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电源线（强电）</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RVV3*3.5mm²国产优质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Φ32国产优质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jc w:val="lef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bl>
    <w:p>
      <w:pPr>
        <w:numPr>
          <w:ilvl w:val="0"/>
          <w:numId w:val="0"/>
        </w:numPr>
        <w:jc w:val="left"/>
        <w:keepLines w:val="0"/>
        <w:keepNext w:val="0"/>
        <w:pageBreakBefore w:val="0"/>
        <w:spacing w:line="350" w:lineRule="atLeast"/>
        <w:widowControl w:val="off"/>
        <w:tabs>
          <w:tab w:val="center" w:pos="4153" w:leader="none"/>
          <w:tab w:val="right" w:pos="8306"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numPr>
          <w:ilvl w:val="0"/>
          <w:numId w:val="5"/>
        </w:numPr>
        <w:jc w:val="left"/>
        <w:keepLines w:val="0"/>
        <w:keepNext w:val="0"/>
        <w:widowControl/>
        <w:rPr>
          <w:rFonts w:hint="eastAsia" w:ascii="宋体" w:hAnsi="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t xml:space="preserve">控制台系统</w:t>
      </w:r>
      <w:r/>
    </w:p>
    <w:p>
      <w:pPr>
        <w:numPr>
          <w:ilvl w:val="0"/>
          <w:numId w:val="0"/>
        </w:numPr>
        <w:jc w:val="left"/>
        <w:keepLines w:val="0"/>
        <w:keepNext w:val="0"/>
        <w:widowControl/>
        <w:rPr>
          <w:rFonts w:hint="default" w:ascii="宋体" w:hAnsi="宋体" w:cs="宋体"/>
          <w:b/>
          <w:bCs/>
          <w:i w:val="0"/>
          <w:iCs w:val="0"/>
          <w:color w:val="000000"/>
          <w:sz w:val="20"/>
          <w:szCs w:val="20"/>
          <w:u w:val="none"/>
          <w:lang w:val="en-US" w:eastAsia="zh-CN" w:bidi="ar"/>
        </w:rPr>
        <w:suppressLineNumbers w:val="0"/>
      </w:pPr>
      <w:r>
        <w:rPr>
          <w:rFonts w:hint="default" w:ascii="宋体" w:hAnsi="宋体" w:cs="宋体"/>
          <w:b/>
          <w:bCs/>
          <w:i w:val="0"/>
          <w:iCs w:val="0"/>
          <w:color w:val="000000"/>
          <w:sz w:val="20"/>
          <w:szCs w:val="20"/>
          <w:u w:val="none"/>
          <w:lang w:val="en-US" w:eastAsia="zh-CN" w:bidi="ar"/>
        </w:rPr>
      </w:r>
      <w:r/>
    </w:p>
    <w:tbl>
      <w:tblPr>
        <w:tblStyle w:val="807"/>
        <w:tblW w:w="10481" w:type="dxa"/>
        <w:tblInd w:w="-53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6"/>
        <w:gridCol w:w="1040"/>
        <w:gridCol w:w="7256"/>
        <w:gridCol w:w="656"/>
        <w:gridCol w:w="763"/>
      </w:tblGrid>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主要规格</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6席位赋能支援数据战队、情报研判控制台</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基本参数：6席位,台面深度980mm,距地面高750mm，柜体深度550mm。</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1.框架结构：内部主框架为钢架防静电喷塑处理，承重部件采用鞍钢不低于2.5mm厚优质冷轧钢。</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2.台面板：采用抗倍特板厚度不小于15mm，大面板之间需做隐藏式箭头所链接，整体连接后必须平整光滑无缝隙。</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3.台面边缘：采用台面延伸数控加工一体成型，具有良好的抗刮，耐磨及耐腐蚀效果，满足人员长期24小时工作带来的相关磨损。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4.前后门1.0mm厚冷轧钢板冲压成型，整体厚度为20mm,门板铰链具备阻尼功能，确保100000次开关要求。</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5.后背墙：铝型材采用蜂窝结构截面厚度不低于3mm，表面要经过耐磨电喷处理，防静电，有易于显示器支臂悬挂的凹槽。</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6.侧板：侧板材质采用钢板，经典的“方倒圆”元素设计，保持稳重气质的同时更具亲和力，其外观面可添加LOGO，展现与控制台呼应的效果。</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7.控制台灯光控制系统：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8.采用优质亚克力；表面样式：透明、磨砂；</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9.支持RGB任意颜色（三原色任意调整RGB值的组合颜色）调整。</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10.支持本地按钮改变6种常用氛围颜色（蓝、红、绿）切换。</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11.此软件支持警情联动，根据不同警情显示不同颜色。</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9"/>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★12.控制台所使用的粉末需通过GB 18582-2020、GB 18581-2020标准的检测，其中甲醛≤5mg/kg，有毒有害物质铅≤0.071mg/kg，镉≤0.014mg/kg，铬≤0.087mg/kg，贡≤0.004mg/kg，需提供第三方检测机构出具的带有CNAS,ilac.MRA标识检测报告及国家市场监督管理总局全国认证认可信息公共服务平台查询该报告编号的截图。</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★13.为降低指挥中心的噪声污染，满足消防安全要求，保证工作人员身心健康和生命财产安全：操作台需通过GB/T 3768-2017《声学 声压法测定噪声源的声功率级 采用包络测面积的简易法》测试，提供证明材料并加盖公章。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★14.为了指挥中心工作人员的身体健康，控制台需通过GB/T 35607-2017《绿色产品评价 家具》测试，且有害物质（甲醛释放量、苯、甲苯、二甲苯、TVOC）均为检出，提供证明材料并加盖公章。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2"/>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★15.控制台的阻燃性需通过GB 20286-2006《公共场所阻燃制品及组件燃烧性能要求和标识》附录C的燃烧测试，烟密度0.55%，热释放速率应小于2KJ，5分钟热释放量应小于0.5MJ，一氧化碳浓度应小于20ppm，质量损失率最大为0.1%，需提供第三方检测机构出具的带有CNAS、ilac-MRA、CMA标识检测报告。</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2"/>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★16.控制台所使用的金属件框架通过GB/T 10125-2021《中性盐雾测试》测试，且测试时间不低于240小时，金属件外观等级≥10级，需提供第三方检测机构出具的带有CNAS、ilac-MRA、CMA标识检测报告及国家市场监督管理总局全国认证认可信息公共服务平台查询该报告编号的截图。</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★17.需提供三年免费售后服务承诺书原件加盖</w:t>
            </w:r>
            <w:r>
              <w:rPr>
                <w:rFonts w:hint="eastAsia" w:ascii="宋体" w:hAnsi="宋体" w:eastAsia="宋体" w:cs="宋体"/>
                <w:i w:val="0"/>
                <w:iCs w:val="0"/>
                <w:color w:val="000000"/>
                <w:sz w:val="18"/>
                <w:szCs w:val="18"/>
                <w:u w:val="none"/>
                <w:lang w:val="en-US" w:eastAsia="zh-CN" w:bidi="ar"/>
              </w:rPr>
              <w:t xml:space="preserve">投标</w:t>
            </w:r>
            <w:r>
              <w:rPr>
                <w:rFonts w:hint="eastAsia" w:ascii="宋体" w:hAnsi="宋体" w:eastAsia="宋体" w:cs="宋体"/>
                <w:i w:val="0"/>
                <w:iCs w:val="0"/>
                <w:color w:val="000000"/>
                <w:sz w:val="18"/>
                <w:szCs w:val="18"/>
                <w:u w:val="none"/>
                <w:lang w:val="en-US" w:eastAsia="zh-CN" w:bidi="ar"/>
              </w:rPr>
              <w:t xml:space="preserve">人</w:t>
            </w:r>
            <w:r>
              <w:rPr>
                <w:rFonts w:hint="eastAsia" w:ascii="宋体" w:hAnsi="宋体" w:eastAsia="宋体" w:cs="宋体"/>
                <w:i w:val="0"/>
                <w:iCs w:val="0"/>
                <w:color w:val="000000"/>
                <w:sz w:val="18"/>
                <w:szCs w:val="18"/>
                <w:u w:val="none"/>
                <w:lang w:val="en-US" w:eastAsia="zh-CN" w:bidi="ar"/>
              </w:rPr>
              <w:t xml:space="preserve">公章</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3席位赋能支援数据战队、情报研判米字控制台</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基本参数：3席位,台面深度980mm,距地面高750mm，柜体深度550mm。</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1.框架结构：内部主框架为钢架防静电喷塑处理，承重部件采用鞍钢不低于2.5mm厚优质冷轧钢。</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2.台面板：采用抗倍特板厚度不小于15mm，大面板之间需做隐藏式箭头所链接，整体连接后必须平整光滑无缝隙。</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3.台面边缘：采用台面延伸数控加工一体成型，具有良好的抗刮，耐磨及耐腐蚀效果，满足人员长期24小时工作带来的相关磨损。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4.前后门1.0mm厚冷轧钢板冲压成型，整体厚度为20mm,门板铰链具备阻尼功能，确保100000次开关要求。</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5.侧板：侧板材质采用钢板，经典的“方倒圆”元素设计，保持稳重气质的同时更具亲和力，其外观面可添加LOGO，展现与控制台呼应的效果。</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6.控制台灯光控制系统：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7.采用优质亚克力；表面样式：透明、磨砂；</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8.支持RGB任意颜色（三原色任意调整RGB值的组合颜色）调整。</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9.支持本地按钮改变6种常用氛围颜色（蓝、红、绿）切换。</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10.此软件支持警情联动，根据不同警情显示不同颜色。</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15席位研判会商桌</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基本参数：五边形会商桌边长3184mm,距地面高750mm。</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1.框架结构：内部主框架为钢架防静电喷塑处理，承重部件采用鞍钢不低于2.5mm厚优质冷轧钢。</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2.台面板：采用抗倍特板厚度不小于15mm，大面板之间需做隐藏式箭头所链接，整体连接后必须平整光滑无缝隙。</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3.台面边缘：采用台面延伸数控加工一体成型，具有良好的抗刮，耐磨及耐腐蚀效果，满足人员长期24小时工作带来的相关磨损。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4.前后门1.0mm厚冷轧钢板冲压成型，整体厚度为20mm,门板铰链具备阻尼功能，确保100000次开关要求。</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升降屏</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电动升降器，含21.5寸屏幕（配套控制台使用）</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6席位110指挥中心控制台</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基本参数：6席位,台面深度980mm,距地面高750mm，背墙高160mm，柜体深度550mm。</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1.框架结构：内部主框架为钢架防静电喷塑处理，承重部件采用鞍钢不低于2.5mm厚优质冷轧钢。</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2.台面板：采用抗倍特板厚度不小于15mm，大面板之间需做隐藏式箭头所链接，整体连接后必须平整光滑无缝隙。</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3.台面边缘：采用台面延伸数控加工一体成型，具有良好的抗刮，耐磨及耐腐蚀效果，满足人员长期24小时工作带来的相关磨损。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4.前后门1.0mm厚冷轧钢板冲压成型，整体厚度为20mm,门板铰链具备阻尼功能，确保100000次开关要求。</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5.后背墙：铝型材采用蜂窝结构截面厚度不低于3mm，表面要经过耐磨电喷处理，防静电，有易于显示器支臂悬挂的凹槽。</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6.控制台灯光控制系统：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7.采用优质亚克力；表面样式：透明、磨砂；</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8.支持RGB任意颜色（三原色任意调整RGB值的组合颜色）调整。</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9.支持本地按钮改变6种常用氛围颜色（蓝、红、绿）切换。</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10.此软件支持警情联动，根据不同警情显示不同颜色。</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3席位110指挥中心弓型控制台</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基本参数：3席位,台面深度980mm,距地面高750mm，背墙高160mm，柜体深度550mm。</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1.框架结构：内部主框架为钢架防静电喷塑处理，承重部件采用鞍钢不低于2.5mm厚优质冷轧钢。</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2.台面板：采用抗倍特板厚度不小于15mm，大面板之间需做隐藏式箭头所链接，整体连接后必须平整光滑无缝隙。</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3.台面边缘：采用台面延伸数控加工一体成型，具有良好的抗刮，耐磨及耐腐蚀效果，满足人员长期24小时工作带来的相关磨损。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4.前后门1.0mm厚冷轧钢板冲压成型，整体厚度为20mm,门板铰链具备阻尼功能，确保100000次开关要求。</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5.后背墙：铝型材采用蜂窝结构截面厚度不低于3mm，表面要经过耐磨电喷处理，防静电，有易于显示器支臂悬挂的凹槽。</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6.控制台灯光控制系统：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7.采用优质亚克力；表面样式：透明、磨砂；</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8.支持RGB任意颜色（三原色任意调整RGB值的组合颜色）调整。</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9.支持本地按钮改变6种常用氛围颜色（蓝、红、绿）切换。</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10.此软件支持警情联动，根据不同警情显示不同颜色。</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4席位A类情报研判室控制台</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基本参数：4席位,台面深度1400mm,距地面高750mm，背墙高160mm。</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1.框架结构：内部主框架为钢架防静电喷塑处理，承重部件采用鞍钢不低于2.5mm厚优质冷轧钢。</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2.台面板：采用抗倍特板厚度不小于15mm，大面板之间需做隐藏式箭头所链接，整体连接后必须平整光滑无缝隙。</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3.台面边缘：采用台面延伸数控加工一体成型，具有良好的抗刮，耐磨及耐腐蚀效果，满足人员长期24小时工作带来的相关磨损。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4.前后门1.0mm厚冷轧钢板冲压成型，整体厚度为20mm,门板铰链具备阻尼功能，确保100000次开关要求。</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5.后背墙：铝型材采用蜂窝结构截面厚度不低于3mm，表面要经过耐磨电喷处理，防静电，有易于显示器支臂悬挂的凹槽。</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6.控制台灯光控制系统：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7.采用优质亚克力；表面样式：透明、磨砂；</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8.支持RGB任意颜色（三原色任意调整RGB值的组合颜色）调整。</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9.支持本地按钮改变6种常用氛围颜色（蓝、红、绿）切换。</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7"/>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显示器支臂</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挂墙型固定于控制台背墙，可9方向自由调节、伸缩的铝合金液晶支架，稳定承重3-11kg液晶显示器。</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键盘抽屉</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键盘抽屉采用优质冷钢冲压成型，抽屉枕边为聚氨酯与ABS金属一次性注胶成型，柔软舒适，耐磨性强，静音滑轨，满足100000次抽拉要求</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五孔六位10A(新国标）</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抽拉托盘</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优质冷轧钢板冲压成型</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信息盒</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1.接口：电源，网络，USB接口</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2.颜色：银色</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3.开启方式：翻盖</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4.背部接线预留200-300mm长</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1.采用冷轧钢板冲压成型，表面静电喷涂处理 </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2.脚轮采用万向轮带刹车功能</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3.三抽屉</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5"/>
        </w:trPr>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bl>
    <w:p>
      <w:pPr>
        <w:jc w:val="left"/>
        <w:keepLines w:val="0"/>
        <w:keepNext w:val="0"/>
        <w:widowControl/>
        <w:rPr>
          <w:rFonts w:hint="eastAsia" w:ascii="宋体" w:hAnsi="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r>
      <w:r/>
    </w:p>
    <w:p>
      <w:pPr>
        <w:jc w:val="left"/>
        <w:keepLines w:val="0"/>
        <w:keepNext w:val="0"/>
        <w:widowControl/>
        <w:rPr>
          <w:rFonts w:hint="eastAsia" w:ascii="宋体" w:hAnsi="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r>
      <w:r/>
    </w:p>
    <w:p>
      <w:pPr>
        <w:numPr>
          <w:ilvl w:val="0"/>
          <w:numId w:val="6"/>
        </w:numPr>
        <w:jc w:val="left"/>
        <w:keepLines w:val="0"/>
        <w:keepNext w:val="0"/>
        <w:widowControl/>
        <w:rPr>
          <w:rFonts w:hint="eastAsia" w:ascii="宋体" w:hAnsi="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t xml:space="preserve">网络设备系统</w:t>
      </w:r>
      <w:r/>
    </w:p>
    <w:p>
      <w:pPr>
        <w:numPr>
          <w:ilvl w:val="0"/>
          <w:numId w:val="0"/>
        </w:numPr>
        <w:jc w:val="left"/>
        <w:keepLines w:val="0"/>
        <w:keepNext w:val="0"/>
        <w:widowControl/>
        <w:rPr>
          <w:rFonts w:hint="default" w:ascii="宋体" w:hAnsi="宋体" w:cs="宋体"/>
          <w:b/>
          <w:bCs/>
          <w:i w:val="0"/>
          <w:iCs w:val="0"/>
          <w:color w:val="000000"/>
          <w:sz w:val="20"/>
          <w:szCs w:val="20"/>
          <w:u w:val="none"/>
          <w:lang w:val="en-US" w:eastAsia="zh-CN" w:bidi="ar"/>
        </w:rPr>
        <w:suppressLineNumbers w:val="0"/>
      </w:pPr>
      <w:r>
        <w:rPr>
          <w:rFonts w:hint="default" w:ascii="宋体" w:hAnsi="宋体" w:cs="宋体"/>
          <w:b/>
          <w:bCs/>
          <w:i w:val="0"/>
          <w:iCs w:val="0"/>
          <w:color w:val="000000"/>
          <w:sz w:val="20"/>
          <w:szCs w:val="20"/>
          <w:u w:val="none"/>
          <w:lang w:val="en-US" w:eastAsia="zh-CN" w:bidi="ar"/>
        </w:rPr>
      </w:r>
      <w:r/>
    </w:p>
    <w:tbl>
      <w:tblPr>
        <w:tblStyle w:val="807"/>
        <w:tblW w:w="10494" w:type="dxa"/>
        <w:tblInd w:w="-53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5"/>
        <w:gridCol w:w="1031"/>
        <w:gridCol w:w="7256"/>
        <w:gridCol w:w="644"/>
        <w:gridCol w:w="788"/>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主要规格</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网关</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1.支持固化千兆电口≥8个，干兆光口≥2个，万兆光口≥2个，标准1U设备</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2.支持内存≥4GB</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3.吞吐性能u≥5G</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4.最大并发连接数≥500000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5.待机终端数≥800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6.支持静态路由、OSPFv2等路由协议</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7.为满足数据包按照用户指定的策略进行转发，必须支持策略路由</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8.支持多家宽场景，在家宽链路上提供带宽+会话的综合负载均衡</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9.硬盘空间（需支持硬盘扩展）、CPU、内存使用率WEB界面可以展示</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10.支持基于带宽、负载、源IP、源目的IP、连接数、链路权重、链路优先级、链路质量的接口负载均衡配置</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11.支持基于场景的≥5个细分市场的流控模版</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12.支持基于偏好的≥4个流控模版</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13.支持线路过载保护功能，当某条外网线路拥塞时，自动将其流量切换到其他链路</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AC无线网关控制器</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1.标准1U设备，非X86多核硬件体系架构，固化千兆电口≥5个，1个USB口</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2.设备配置吞吐量≥1.2GB，用户规模≥500终端</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3.内存≥2GB；</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4.为满足数据包按照用户指定的策略进行转发，应该支持策略路由，如：一个策略可以指定从某个网络发出的数据包只能转发到某个特定的接口；</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5.为提高客户上网体验，提供行为/流控/认证/VPN 等功能</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6.内置无线控制器功能，可以直接管理AP，最大支持管理64个AP。</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7.能够实时看到各级流控策略的状态：包括所属线路、瞬时速率、通道占用比例、用户数、保证带宽、最大带宽、启用状态等。</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网络汇聚交换</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1.固化端口：≥24个10/100/1000Mbps光口，≥4个万兆SFP+光口，8个复用千兆电口，可上1U机架</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2.交换容量≥598Gbps/5.98Tbps，包转发率≥148Mpps/222Mpps</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3.为避免网络被异常流量和突发流量波及导致网络瘫痪，要求设备支持QOS，支持端口流量限速</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4.支持专门针对CPU的保护机制，能够针对发往CPU处理的各种报文进行流量控制和优先级处理，保护交换机在各种环境下稳定工作</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5.支持防雷等级≥6kV</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6.支持标准的ACL、支持基于IP/MAC扩展的ACL</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7.符合国家低碳环保等政策要求，支持IEEE 802.3az标准的EEE节能技术</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8.支持网管平台管理，通过可上网的PC或者手机，即可完成部署，即插即用，支持可视化整网拓扑、前面板端口通断状态呈现、CPU、内存利用率、设备配置等功能</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9.为方便新建项目开局，要求设备支持对全网同品牌设备整网一体化统一组网，并通过网关对交换、AP、AC进行集中化的调试，避免各区域分别调试的麻烦。</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10.工作温度范围0ºC~50ºC</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POE供电交换</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1.可上1U机架 ，实配固化千兆电接口数≥24个，万兆SFP光口≥4个，最大可用端口≥28个</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2.支持PoE供电口≥24个，整机最大PoE供电功率370W，单端口最大PoE供电功率30W</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3.内存512MB，交换容量≥336Gbps，包转发率≥108Mpps</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4.交换缓存≥12Mbit</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5.推荐整机待机终端650个或带200W像素IPC350个</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6.支持生成树 STP / RSTP ; 提高容错能力，保证网络的稳定运行和链路的负载均衡，合理使用网络通道，提供冗余链路利用率。</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7.支持防环路检测，自动解决环路问题</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8.支持三层口，支持的最大SVI接口数量≥32个，支持的最大三层聚合口数量≥15个</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1.可上1U机架 ，实配固化千兆电接口数≥24个，万兆SFP光口≥4个，最大可用端口≥28个</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2.支持PoE供电口≥24个，整机最大PoE供电功率370W，单端口最大PoE供电功率30W</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3.内存512MB，交换容量≥331.可上1U机架 ，实配固化千兆电接口数≥24个，万兆SFP光口≥4个，最大可用端口≥28个</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4.内存512MB，交换容量≥336Gbps，包转发率≥108Mpps</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5.交换缓存≥12Mbit</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6.推荐整机待机终端500个或带200W像素IPC280个</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7.支持标准的ACL、支持基于IP/MAC扩展的ACL</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8.支持CPU安全保护策略(硬件CPP)</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9.支持交换机0配置上线,支持自组网。</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10.工作温度范围0ºC~50ºC</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万兆单模光模块,最大传输距离10KM,双纤口,适用LC型接头跳线</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吸顶AP</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1.支持802.11ax协议；整机支持≥4条空间流；整机最大无线速率≥2.97Gbps；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2.内置蓝牙5.1；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3.至少支持1个1000M自适应以太网端口；至少支持1个2.5G SFP光口；采用光电混合缆供电的AP需搭配POE转换口；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4.为了降低辐射对人体带来的潜在危害，保证设备电磁辐射对人体安全，所投产品要求满足Council Recommendation 1999/519/EC Annex II 的相关要求，SAR值不高于2.0W/kg；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、为快速建立高度隔离的安全网络，设备应支持实现AP虚拟化功能，实现一台AP虚拟为多台AP，分别受不同AC设备独立管理，互不影响。不同虚拟AP之间数据隔离，虚拟AP在AC上不占用AP License。</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门禁</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1.7英寸触摸显示屏，屏幕比例9:16，屏幕分辨率600*1024；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2.摄像头参数：采用宽动态200万双目摄像头；</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3.认证方式：支持人脸、刷卡（M1卡/IC卡、手机NFC卡、CPU卡序列号/内容、身份证卡序列号）、密码认证方式，可外接身份证模块；</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4.面部检测：采用深度学习算法，支持单人或多人识别（最多5人同时认证）功能；支持照片、视频防假；1:N人面部识别速度≤0.2s，人脸验证准确率≥99%；</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5.存储容量：本地支持2万人脸库、5万张卡，15万条事件记录；</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6.可视对讲：支持和云眸、4200客户端、室内机、管理机进行可视对讲；支持配置一键呼叫室内机或管理机；支持副门口机或围墙机模式；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7.视频预览：支持管理中心远程视频预览，支持接入NVR设备，实现视频监控录像，编码格式H.264；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8.口罩检测：支持口罩检测模式，可配置提醒戴口罩模式、强制戴口罩模式，关联门禁控制； ü 提醒戴口罩模式：未带口罩可做身份验证，身份验证通过后提醒佩戴口罩； ü 强制戴口罩模式：未带口罩无法做身份验证，提醒佩戴口罩；</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9.识别界面可配：识别主界面的“呼叫”、“二维码”、“密码”的按键图标可分别配置是否显示；</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10.认证结果显示可配：支持认证成功界面的“照片”、“姓名”、“工号”信息可配置是否显示；</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11.认证结果语音自定义：集成文字转语音（TTS）和语音合成技术，认证成功和认证失败的语音可以分别配置4个时间段进行自定义播报，同时认证成功的语音可叠加播报姓名；</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12.外接安全模块：支持通过RS485接入门控安全模块，防止主机被恶意破坏的情况下，门锁不被打开；</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外接读卡器：支持通过RS485或韦根（W26/W34）接口外接1个读卡器，同时可实现单门反潜回功能；</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13.门禁计划模板：支持255组计划模板管理，128个周计划，1024个假日计划；支持常开、常闭时段管理；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14.组合认证：刷卡+密码、刷卡+人脸、人脸+密码等组合认证方式；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15.多重认证：支持多个人员认证（人脸、刷卡等）通过后才开门；</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16.黑名单核验：支持中心下发黑名单人员信息，实现本地黑名单核验；</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17.报警功能：设备支持防拆报警、门被外力开起报警、胁迫卡和胁迫密码报警、黑名单报警等；</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18.事件上传：在线状态下将设备认证结果、温度信息及联动抓拍照片实时上传给平台，支持断网续传功能，设备离线状态下产生事件在与平台连接后会重新上</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19.单机使用：设备可进行本地管理，支持本地注册人脸、查询、设置、管理设备参数等；</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20.WEB管理：支持Web端管理，可进行人员管理、参数配置、事件查询、系统维护等操作。7英寸触摸显示屏，屏幕比例9:16，屏幕分辨率600*1024；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监控摄像头（含拾音器）</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1.设备支持智能搜索硬盘录像机，实现图搜、文搜功能。</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2.主码流支持2560x1440@25fps。</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3.靶面尺寸为1/3英寸</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4.最低照度彩色0.005lx。</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5.镜头光圈大小:F1.6±5%</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6.可通过IE浏览器将视频编码格式设置为H.265、H.264、MJPEG;可将H.265格式设置为Baseline/Main/High Profile,H.264格式设置为Main Profile</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同一场景相同图像质量下设备在H.264或H265编码方式时，开启智能编码功能和不开启智能编码相比，码率节约90%。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内置1颗GPU芯片，具备区域入侵、停车、越界入侵、人员聚集、进入区域、离开区域、快速移动、物品移除、物品遗留、徘徊智能分析功能，当以上智能分析行为达到设定的阈值时，可通过客户端软件或IE浏览器给出报警提示,内置3颗红外补光灯，支持红外补光，红外作用距离不低于30m，样机应能在额定电源电压在DC12V±25%范围内正常工作。</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8.内置1个麦克风，具有1个RJ45网络接口，1个音频输入接口、1个音频输出接口、1个报警输入接口、1个报警输出接口、1个SD卡卡槽。支持DC12V或POE供电。</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支持IP66防尘防水。</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硬盘录像机（含硬盘）</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1.具有2个HDMI接口、2个VGA接口、2个RJ45 千兆网络接口；2个USB2.0接口、2个USB3.0接口、1个RS232接口、1个RS485接口（可接入RS485键盘）、1个eSata接口；具有1路音频输入接口、2路音频输出接口、16路报警输入接口、4路报警输出接口，可内置9块SATA接口硬盘</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2.支持最大接入带宽 640Mbps，最大存储带宽 640Mbps，最大转发带宽 640Mbps</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3.支持接入具有专家模式的移动侦测的摄像机，移动侦测报警能够区分是人、车还是其它目标产生，可录像和记录报警信息</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4.接入警戒摄像机，支持对 IPC 的声音和闪光参数进行配置， 支持通过移动侦测、区域入侵、越界侦测、进入区域和离开区域事件联动一个或多个 IPC 的声光报警，可以对声光联动一键撤防</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5.支持常规距离、中距离、远距离三种检测模式；根据不同的检测距离，在配置界面给出最小可检出人体目标尺寸，单个通道最多同时支持4种周界报警模式，每种模式最多同时支持 4 个警戒区域</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12路解码器</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1.采用嵌入式架构，专用Linux系统，使用DSP解码。为了设备稳定可靠运行，不得采用工控机或者PC机的X86架构。</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2.支持对输入的视频画面进行90°、180°、270°旋转显示。</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3.设备接入具有智能分析功能的摄像机，可解码显示智能分析信息，包括移动侦测、越界入侵、区域入侵、起身离开等，并上传报警信息。</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4.支持前端接入智能摄像机，直连前端人脸检测设备，可实时展示人脸检测结果，包括年龄、性别、是否戴眼镜等人脸属性信息；属性直接叠加画面显示。</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5.支持黑白名单功能，可设置256个黑白名单；当设置白名单时，只允许白名单IP访问设备；当设置黑名单时，黑名单内IP无法访问设备</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6.支持PC 软件客户端、WEB 浏览器客户端、平台客户端、IPAD、可视化触控平台方式访问管理。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7.支持通过IE浏览器进行网络模式设置，包括设置为流畅性优先/实时性优先。</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8.可通过设备抓屏软件，将远程电脑桌面实时解码上墙显示，画面帧率可达30fps。</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9.可通过客户端软件导入和导出设备配置参数。</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10.可通过客户端软件设置HDMI接口输出分辨率为3840*2160(30Hz、1920*1080(50Hz)、1920*1080(60Hz))、1680*1050(60Hz)、1600*1200(60Hz)、1280*1024(60Hz)、1280*720(60Hz)、1280*720(50Hz)、1024*768(60Hz)。</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11.支持1、2、4、6、8、9、10、12、16画面分割显示；支持平均分割；支持分割线开启/关闭设置，支持底色设置功能。</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网线跳线</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光仟跳线</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含网线、光缆、音频线等线缆、辅材及配套安装调试等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256" w:type="dxa"/>
            <w:vAlign w:val="center"/>
            <w:textDirection w:val="lrTb"/>
            <w:noWrap w:val="false"/>
          </w:tcPr>
          <w:p>
            <w:pPr>
              <w:jc w:val="lef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bl>
    <w:p>
      <w:pPr>
        <w:numPr>
          <w:ilvl w:val="0"/>
          <w:numId w:val="0"/>
        </w:numPr>
        <w:keepLines w:val="0"/>
        <w:keepNext w:val="0"/>
        <w:pageBreakBefore w:val="0"/>
        <w:spacing w:line="360" w:lineRule="atLeas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numPr>
          <w:ilvl w:val="0"/>
          <w:numId w:val="7"/>
        </w:numPr>
        <w:jc w:val="left"/>
        <w:keepLines w:val="0"/>
        <w:keepNext w:val="0"/>
        <w:widowControl/>
        <w:rPr>
          <w:rFonts w:hint="eastAsia" w:ascii="宋体" w:hAnsi="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t xml:space="preserve">不间断电源系统</w:t>
      </w:r>
      <w:r/>
    </w:p>
    <w:p>
      <w:pPr>
        <w:numPr>
          <w:ilvl w:val="0"/>
          <w:numId w:val="0"/>
        </w:numPr>
        <w:jc w:val="left"/>
        <w:keepLines w:val="0"/>
        <w:keepNext w:val="0"/>
        <w:widowControl/>
        <w:rPr>
          <w:rFonts w:hint="default" w:ascii="宋体" w:hAnsi="宋体" w:cs="宋体"/>
          <w:b/>
          <w:bCs/>
          <w:i w:val="0"/>
          <w:iCs w:val="0"/>
          <w:color w:val="000000"/>
          <w:sz w:val="20"/>
          <w:szCs w:val="20"/>
          <w:u w:val="none"/>
          <w:lang w:val="en-US" w:eastAsia="zh-CN" w:bidi="ar"/>
        </w:rPr>
        <w:suppressLineNumbers w:val="0"/>
      </w:pPr>
      <w:r>
        <w:rPr>
          <w:rFonts w:hint="default" w:ascii="宋体" w:hAnsi="宋体" w:cs="宋体"/>
          <w:b/>
          <w:bCs/>
          <w:i w:val="0"/>
          <w:iCs w:val="0"/>
          <w:color w:val="000000"/>
          <w:sz w:val="20"/>
          <w:szCs w:val="20"/>
          <w:u w:val="none"/>
          <w:lang w:val="en-US" w:eastAsia="zh-CN" w:bidi="ar"/>
        </w:rPr>
      </w:r>
      <w:r/>
    </w:p>
    <w:tbl>
      <w:tblPr>
        <w:tblStyle w:val="807"/>
        <w:tblW w:w="10462" w:type="dxa"/>
        <w:tblInd w:w="-5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2"/>
        <w:gridCol w:w="1031"/>
        <w:gridCol w:w="7257"/>
        <w:gridCol w:w="637"/>
        <w:gridCol w:w="77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主要规格</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1.UPS主机基本要求为：塔式三进三出UPS，功率为60kVA。</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2.为了减少大功率ups启动对电网的冲击，要求ups应具有缓启动功能，当市电恢复，由电池态切回市电态供电时，UPS整流器是个缓启动过程，输入电流缓慢上升，避免较大电流/电压直接对电网造成冲击。</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3.输入电压范围：线电压138Vac~485Vac 或相电压80Vac～280Vac，输入电压宽，适应恶劣电网环境。</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4.UPS应具备负载自测试功能，有效解决现场调试及老化的负载问题，减少投资；</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5.输入功率因数： 100%非线性负载：≥0.99， 50%非线性负载：≥0.97，30%非线性负载：≥0.96。</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6.整机UPS效率：100%阻性负载：≥96%、50%阻性负载：≥96%、30%阻性负载：≥95%；要求提供泰尔检验报告证明，带载能力强：输出功率因数应等于1，输出端可带更多负载</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7.模块化UPS具备除尘功能，当设备运行周期较长或设备积尘过多时，UPS模块启动自动除尘功能，防范未然，提高供电可靠性。</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8.模块化UPS应具备智能发电机管理功能：当前端市电停电，可由UPS发送指令启动发电机；重新定义发电机和UPS配比，无需额外加大发电机功率，降低用户投资成本。；</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中文7英寸触摸大液晶屏，具有LCD+LED指示的操作界面，实时记录工作状态和运行信息，管理更加直观；操作界面要求配备手动开关机按钮，确保在触摸屏失效时依然可以开关机操作，同时为提高设备可靠性应具备避免单键触发设备开关机动作的保护预防措施发生。</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10.具有智能录波功能，当UPS设备故障时，完整记录故障发生瞬间，有助于故障诊断和快速故障定位，方便现场分析，提高维护工作效率；</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11.主机近端标配EPO按钮，同时具备远程干接点接口，灵活使用，确保现场紧急状况下能够快速断电，保护设备安全。</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12.自老化功能：具备自老化功能，有效解决现场调试及老化的负载问题，减少投资。</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1.名称:免维护铅酸蓄电池；</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2.型号:12V100AH，设计寿命≥10年，25℃；</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3.产品工作条件要求：蓄电池产品应能在温度:-15~+50℃条件下工作；</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4.蓄电池安全阀开阀压力应满足范围:10~25kPa，闭阀压力应满足范围:10~20kPa；</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5.密封反应效率要求:蓄电池密封反应效率应不低于 97%；</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6.容量保存率要求：蓄电池封置28天后，其容量保存率应不低于97%；</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7.容量一致性：同组蓄电池10小时率容量试验时，最大实际容量与最小实际容量差值≤3、5%；</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8.电池间连续压降：5、5I10放电条件下，△U应≤6mV；</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9.蓄电池须按照YD 5083-2005《电信设备抗地震性能检测规范》及YD/T 5096-2016《通信用电源设备抗地震性能检测规范》经8、9烈度抗地震检测后评定为合格。投标人须提供同系列产品第三方权威检测机构CNAS及CMA联合认证检测报告复印件并加盖公章。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电池架</w:t>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开放式电池架，4层安装，满足100AH蓄电池安装要求。</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直流空开</w:t>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125A直流空开。</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电池连接线</w:t>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采用成品电池连接线。</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铜鼻子，线缆，扎带，胶带等安装辅材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tcPr>
          <w:p>
            <w:pPr>
              <w:jc w:val="left"/>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bl>
    <w:p>
      <w:pPr>
        <w:numPr>
          <w:ilvl w:val="0"/>
          <w:numId w:val="0"/>
        </w:numPr>
        <w:jc w:val="both"/>
        <w:keepLines w:val="0"/>
        <w:keepNext w:val="0"/>
        <w:pageBreakBefore w:val="0"/>
        <w:spacing w:line="360" w:lineRule="atLeas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numPr>
          <w:ilvl w:val="0"/>
          <w:numId w:val="8"/>
        </w:numPr>
        <w:jc w:val="left"/>
        <w:keepLines w:val="0"/>
        <w:keepNext w:val="0"/>
        <w:widowControl/>
        <w:rPr>
          <w:rFonts w:hint="eastAsia" w:ascii="宋体" w:hAnsi="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t xml:space="preserve">办公家居、家电</w:t>
      </w:r>
      <w:r/>
    </w:p>
    <w:tbl>
      <w:tblPr>
        <w:tblStyle w:val="807"/>
        <w:tblW w:w="10469" w:type="dxa"/>
        <w:tblInd w:w="-5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2"/>
        <w:gridCol w:w="1125"/>
        <w:gridCol w:w="7163"/>
        <w:gridCol w:w="644"/>
        <w:gridCol w:w="77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主要规格</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会商桌椅子</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1、面料：采用优质西皮，游离甲醛未检出，挥发性有机物（V0C）未检出，透气性好，韧性高，符合GB/T16799-2018《家具用皮革》标准。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海绵：采用高弹阻燃海绵，甲醛释放量≤0.025mg/㎡h，TVOC未检出，抗引燃特性-阴燃的香烟试件表面未发现续燃或阴燃现象，软硬适中，回弹性好，表面涂有防止老化变形的保护膜，符合GB/T10802--2006《通用软质聚醚型聚氨酯泡沫塑料》、GB17927.1-2011《软体家具床垫和沙发抗引燃特性的评定第1部分:阴燃的香烟》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座板：采用优质曲木板，甲醛释放量≤0.124mg/m³，TVOC未检出，根据人体工程学原理高频热压成型设计，具有防水、耐污、不易开裂性能，四周倒圆角防撞处理，符合GB/T22350-2017《成型胶合板》、GB/T35601-2017《绿色产品评价人造板和木质地板》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4、弓形脚：金属抗盐雾18h，直径1.5mm以下锈点≤20点/d㎡，其中直径≥1.0mm锈点不超过5点(距边缘棱角2mm以内的不计)检测合格，符合GB/T3325-2017《金属家具通用技术条件》标准。尺寸670*580*990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情报研判/赋能支援数据战队椅子</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阻燃网布，甲醛含量未检出，抗引燃特性-模拟火柴火焰试件表面未发现续燃或阴燃现象，耐磨性强，透气性好，经防污处理，符合GB18401-2010《国家纺织产品基本安全技术规范》、GB17927.2-2011《软体家具床垫和沙发抗引燃特性的评定第2部分:模拟火柴火焰》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海绵：采用高弹阻燃海绵，甲醛释放量≤0.025mg/㎡h，TVOC未检出，抗引燃特性-阴燃的香烟试件表面未发现续燃或阴燃现象，软硬适中，回弹性好，表面涂有防止老化变形的保护膜，符合GB/T10802--2006《通用软质聚醚型聚氨酯泡沫塑料》、GB17927.1-2011《软体家具床垫和沙发抗引燃特性的评定第1部分:阴燃的香烟》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座板：采用优质曲木板，甲醛释放量≤0.124mg/m³，TVOC未检出，根据人体工程学原理高频热压成型设计，具有防水、耐污、不易开裂性能，四周倒圆角防撞处理，符合GB/T22350-2017《成型胶合板》、GB/T35601-2017《绿色产品评价人造板和木质地板》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4、扶手：采用优质椅子扶手，重金属可溶性铅未检出，可溶性镉未检出，可溶性铬未检出，可溶性汞未检出，多环芳烃未检出，符合GB28481-2012《塑料家具中有害物质限量》标准。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5、倾仰机构：金属件抗盐雾220h，直径1.5mm以下锈点≤20点/d㎡，其中直径≥1.0mm锈点不超过5点(距边缘棱角2mm以内的不计)检测结果符合要求，符合GB/T3325-2017《金属家具通用技术条件》标准。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6、气压棒：采用优质气压棒，密封性能检测合格，耐高低温性能检测合格，循环寿命检测合格，符合GB/T29525-2013《座椅升降气弹簧技术条件》标准。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7、脚架：采用优质五星脚。尺寸640*590*1280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(型号一)</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1.面材：优质0.6mm木皮贴面。基材：采用符合欧洲E1级标准的优质环保型密度板。实木封边。</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油漆：引用意大利先进UV生产线，采用“五底三面”油漆工艺制作。 面漆采用“华润”牌，达到色泽美观、不变色、光滑耐磨、手感好。                                                                                                                                         3.五金件：采用优质五金配件，五金配件结合紧密，牢固，间隙细小且均匀，平整无毛刺   尺寸1800*800*750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(型号一)</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1.弯板颜色选择:胡桃木/白色烤漆/水曲柳</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2.高密度海绵</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3.中班飞机底盘</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4.脚可选(大班350mm中班330mm铝合金脚,十字固定脚)</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5.65拉4分3级电镀气杆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6.PU+铁皮静音电镀脚轮             尺寸680*750*1220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班前椅</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1.弯板颜色选择:胡桃木/白色烤漆/水曲柳</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2.高密度海绵</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3.中班飞机底盘</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4.脚可选(大班350mm中班330mm铝合金脚,十字固定脚)</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5.65拉4分3级电镀气杆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6.PU+铁皮静音电镀脚轮             尺寸680*750*930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(型号二)</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1、基材：采用优质E1级三聚氰胺板（浸渍胶膜纸饰面刨花板）台面板材厚度≥25mm，三聚氰胺板材质要求密度为 0.60～0.70g/㎝³之间，含水率在 ≤6.5%，2h吸水厚度膨胀率≤0.2%，表面耐划痕，尺寸稳定性好，甲醛释放量≤0.002mg/m³、挥发性有机化合物（苯 甲苯 二甲苯）均为未检出合格要求。</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ABS激光封边条：采用优质ABS激光封边条,其材质要求甲醛释放量、邻苯二甲酸脂、多溴联苯、多溴联苯醚、可迁移元素（可溶性重金属），铅、镉、铬、汞、砷、硒均为检出；且耐磨性合格的材质，采用激光封边数控加工中心一体成型工艺。</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脚架：采用优质铝合金台架，管材应无裂缝，涂层应无漏喷、锈蚀和脱色、掉色现象，涂层应光滑均匀，色泽一致，等缺陷，金属表面耐腐蚀通过乙酸盐雾连续喷雾150h涂层本身的耐腐蚀等级测试达到10级；静电粉末高静电无尘涂装，表面光滑，材质要求硬度（擦伤）≥5H,耐冲击性50cm，耐碱性168h无异常，耐酸性240h无异常，且重金属（可溶性铅、可溶性镉、可溶性铬、可溶性汞）均符合检测未检出合格要求； 底部PC调节脚脚垫，材质塑料重金属（可溶性铅、可溶性镉、可溶性铬、可溶性汞）均符合检测未检出合格要求。</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4、胶黏剂：采用环保胶黏剂其二氯甲烷、二氯乙烷≤0.005g/kg,苯≤0.01g/kg，甲苯+二甲苯≤0.04g/kg，总挥发性有机物≤30g/L的检测要求。</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5、五金件：采用优质导轨，导轨的金属电镀层抗盐雾通过18h测试无锈点检测要求，耐腐蚀等级（乙酸盐雾试验ASS）180h测试乙酸盐雾试验达到10级检测要求。  尺寸1400*600*750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(型号二)</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1、采用进口网布，手感好，透气性强柔软而富于韧性；                                                                                                </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2、泡棉：采用PU成型高回弹性发泡海绵，软硬适中，回弹性好，不变形，根据人体工程学原理设计，座感舒适。  </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3、优质五金弓字脚</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1、面料：采用优质西皮，游离甲醛未检出，挥发性有机物（V0C）未检出，透气性好，韧性高，符合GB/T16799-2018《家具用皮革》标准。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海绵：采用高弹阻燃海绵，甲醛释放量≤0.025mg/㎡h，TVOC未检出，抗引燃特性-阴燃的香烟试件表面未发现续燃或阴燃现象，软硬适中，回弹性好，表面涂有防止老化变形的保护膜，符合GB/T10802--2006《通用软质聚醚型聚氨酯泡沫塑料》、GB17927.1-2011《软体家具床垫和沙发抗引燃特性的评定第1部分:阴燃的香烟》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3、脚架：采用优质钢管，220h乙酸盐雾试验(AASS试验)≥10级，符合GB/T3325-2017《金属家具通用技术条件》、QB/T3832-1999《轻工产品金属镀层腐蚀试验结果的评价》标准。   尺寸800*2000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休息沙发</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1、采用进口皮革，手感好，透气性强柔软而富于韧性；                                                      </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2、泡棉：采用PU成型高回弹性发泡海绵，软硬适中，回弹性好，不变形，根据人体工程学原理设计，座感舒适。</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3、实木定型架   尺寸1170*980*790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1、面材：采用0.6MM厚度胡桃木木皮贴面；</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2、封边：采用实木封边；</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3、基材：采用高密度中纤板（达到国家新检测标准E1级）</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4、五金配件：采用优质五金产品   尺寸600*600*520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茶水柜（大理石台面）</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1、饰面：优质耐磨三聚氰胺浸渍饰面，覆面拼贴严密、平整、无脱胶、鼓泡，无裂纹、压痕和划伤；</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2、基材：优质E1级环保刨花板，环保达标，贴面平整，无起泡、坑凹，所有板材均经过防虫、防霉化学处理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3、封边用材：2mm厚PVC胶边，进口热熔胶；在高温及寒冷环境下不脱胶、不变形</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4、优质品牌五金配件      尺寸2000*400*800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研判会议桌</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1.面材:采用铝合金框架,三聚氰氨板台面,优质五金脚                                          2.板材: 采用高密度刨花板,均经过防虫.防腐等化学处理,密度板之间用紧固体及强胶拼接;                                                                         3.封边:台湾进口PVC胶边;        尺寸2400*1200*750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1、采用进口网布，手感好，透气性强柔软而富于韧性；                                                       2、泡棉：采用PU成型高回弹性发泡海绵，软硬适中，回弹性好，不变形，根据人体工程学原理设计，座感舒适。                                           3、优质五金弓字脚</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单人上下床（含四件套）</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环保刨花板，甲醛释放量≤0.025mg/m³(测试时间≥50h)，苯未检出,甲苯未检出,二甲苯未检出，总挥发性有机化合物（TVOC）未检出，经防潮、防虫、防腐处理，强度高，不易变形，符合GB/T4897-2015《刨花板》、GB/T35601-2017《绿色产品评价人造板和木质地板》、GB18584-2001《室内装饰装修材料木家具中有害物质限量》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2、饰面：采用优质三聚氰胺浸渍纸饰面，甲醛释放量≤0.5mg/L，挥发物含量5～9%，预固化度10～70%，具有耐磨，抗刻划，耐高温，易清洁，耐酸碱等优点，符合LY/T1831-2009《人造板饰面专用装饰纸》标准。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3、封边：采用优质激光封边条，甲醛释放量未检出，氯乙烯单体未检出，耐变形、耐开裂，无缝，零胶线，符合QB/T4463-2013《家具用封边条技术要求》标准。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4、热熔胶：采用优质热熔胶，苯未检出，总挥发性有机物未检出，黏合强度大，稳定性强，符合HJ2541-2016《环境标志产品技术要求胶粘剂》标准。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5、三合一连接件：三合一偏心连接件偏心体抗压强度≥450N，符合GB/T28203-2011《家具用连接件技术要求及试验方法》标准。     尺寸2145*1200*1000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防螨阻燃针织棉面，床胆内部填充用热带或亚热带地区纯天然椰棕与纯天然乳胶制作经高温、灭菌、定型三道工序而成。棕比具有超强弹力，随意折叠棕丝不变形自动回弹，长时间使用不易塌陷及变形，易保养、不易虫蛀或发霉.</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2、床垫：检测结果甲醛释放量≤0.01mg/m³，卫生、安全检测试件表面未发现续燃或阴燃现象，面料及复合面料物理性能检测结果合格，符合GB/T 26706-2011《软体家具 棕纤维弹性床垫》、GB/T35607-2017《绿色产品评价 家具》、GB 17927.1-2011《软体家具 床垫和沙发抗引燃特性的评定 第1部分：阴燃的香烟》标准。 尺寸1200*2000*200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会议桌改色</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原有视频会议桌改色灰色</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238L、220V,一级能效</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电脑音响</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笔记本、台式电脑木质小音响</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一体机</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75寸触屏会议大屏一体机</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微波炉烤箱一体机</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微波炉烤箱一体机 小型家用20升微波炉 光波加热 钻石背板</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A4激光打印机</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黑白激光打印机 无线三合一打印、复印、扫描 支持有线连接</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A3激光打印复印扫描一体机</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无线+传真套装 a3打印机 大型彩色激光复合机 打印复印扫描一体机 企业级商用办公</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电话机</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话务电话    耳机一用一备</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吸尘器</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无线手持</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碎纸机</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双轴撕碎机刀片</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报警控制</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远程一键开机、关机、远程管理</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显示器</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21.5寸</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显示器</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27寸</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服务费</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移机、办公桌椅、柜等拆除安装，搬运至建设单位指定地点，保证系统正常使用</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163" w:type="dxa"/>
            <w:vAlign w:val="center"/>
            <w:textDirection w:val="lrTb"/>
            <w:noWrap w:val="false"/>
          </w:tcPr>
          <w:p>
            <w:pP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numPr>
          <w:ilvl w:val="0"/>
          <w:numId w:val="0"/>
        </w:numPr>
        <w:keepLines w:val="0"/>
        <w:keepNext w:val="0"/>
        <w:pageBreakBefore w:val="0"/>
        <w:spacing w:line="360" w:lineRule="atLeas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numPr>
          <w:ilvl w:val="0"/>
          <w:numId w:val="0"/>
        </w:numPr>
        <w:jc w:val="left"/>
        <w:keepLines w:val="0"/>
        <w:keepNext w:val="0"/>
        <w:widowControl/>
        <w:rPr>
          <w:rFonts w:hint="eastAsia" w:ascii="宋体" w:hAnsi="宋体" w:cs="宋体"/>
          <w:b/>
          <w:bCs/>
          <w:i w:val="0"/>
          <w:iCs w:val="0"/>
          <w:color w:val="000000"/>
          <w:sz w:val="20"/>
          <w:szCs w:val="20"/>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8、移机</w:t>
      </w:r>
      <w:r/>
    </w:p>
    <w:tbl>
      <w:tblPr>
        <w:tblStyle w:val="807"/>
        <w:tblpPr w:horzAnchor="page" w:tblpX="922" w:vertAnchor="text" w:tblpY="377" w:leftFromText="180" w:topFromText="0" w:rightFromText="180" w:bottomFromText="0"/>
        <w:tblW w:w="103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1"/>
        <w:gridCol w:w="1592"/>
        <w:gridCol w:w="8028"/>
      </w:tblGrid>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02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t xml:space="preserve">主要规格</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t xml:space="preserve">移机</w:t>
            </w:r>
            <w:r/>
          </w:p>
        </w:tc>
        <w:tc>
          <w:tcPr>
            <w:shd w:val="clear" w:color="auto" w:fill="auto"/>
            <w:tcBorders>
              <w:top w:val="single" w:color="000000" w:sz="4" w:space="0"/>
              <w:left w:val="single" w:color="000000" w:sz="4" w:space="0"/>
              <w:bottom w:val="single" w:color="000000" w:sz="4" w:space="0"/>
              <w:right w:val="single" w:color="000000" w:sz="4" w:space="0"/>
            </w:tcBorders>
            <w:tcW w:w="802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t xml:space="preserve">指挥中心调度台移机，含一切费用，直至投入使用</w:t>
            </w:r>
            <w:r/>
          </w:p>
        </w:tc>
      </w:tr>
    </w:tbl>
    <w:p>
      <w:pPr>
        <w:numPr>
          <w:ilvl w:val="0"/>
          <w:numId w:val="0"/>
        </w:numPr>
        <w:jc w:val="left"/>
        <w:keepLines w:val="0"/>
        <w:keepNext w:val="0"/>
        <w:widowControl/>
        <w:rPr>
          <w:rFonts w:hint="default" w:ascii="宋体" w:hAnsi="宋体" w:cs="宋体"/>
          <w:b/>
          <w:bCs/>
          <w:i w:val="0"/>
          <w:iCs w:val="0"/>
          <w:color w:val="000000"/>
          <w:sz w:val="20"/>
          <w:szCs w:val="20"/>
          <w:u w:val="none"/>
          <w:lang w:val="en-US" w:eastAsia="zh-CN" w:bidi="ar"/>
        </w:rPr>
        <w:suppressLineNumbers w:val="0"/>
      </w:pPr>
      <w:r>
        <w:rPr>
          <w:rFonts w:hint="default" w:ascii="宋体" w:hAnsi="宋体" w:cs="宋体"/>
          <w:b/>
          <w:bCs/>
          <w:i w:val="0"/>
          <w:iCs w:val="0"/>
          <w:color w:val="000000"/>
          <w:sz w:val="20"/>
          <w:szCs w:val="20"/>
          <w:u w:val="none"/>
          <w:lang w:val="en-US" w:eastAsia="zh-CN" w:bidi="ar"/>
        </w:rPr>
      </w:r>
      <w:r/>
    </w:p>
    <w:p>
      <w:pPr>
        <w:pStyle w:val="844"/>
        <w:jc w:val="both"/>
        <w:spacing w:before="0" w:beforeAutospacing="0" w:after="0" w:afterAutospacing="0" w:line="400" w:lineRule="exact"/>
        <w:widowControl w:val="off"/>
        <w:rPr>
          <w:rFonts w:hint="eastAsia"/>
          <w:b/>
          <w:bCs/>
          <w:color w:val="auto"/>
          <w:highlight w:val="none"/>
          <w:lang w:val="en-US" w:eastAsia="zh-CN"/>
        </w:rPr>
      </w:pPr>
      <w:r>
        <w:rPr>
          <w:rFonts w:hint="eastAsia"/>
          <w:b/>
          <w:bCs/>
          <w:color w:val="auto"/>
          <w:highlight w:val="none"/>
          <w:lang w:val="en-US" w:eastAsia="zh-CN"/>
        </w:rPr>
      </w:r>
      <w:r/>
    </w:p>
    <w:p>
      <w:pPr>
        <w:pStyle w:val="844"/>
        <w:jc w:val="both"/>
        <w:spacing w:before="0" w:beforeAutospacing="0" w:after="0" w:afterAutospacing="0" w:line="400" w:lineRule="exact"/>
        <w:widowControl w:val="off"/>
        <w:rPr>
          <w:b/>
          <w:bCs/>
          <w:color w:val="auto"/>
          <w:highlight w:val="none"/>
        </w:rPr>
      </w:pPr>
      <w:r>
        <w:rPr>
          <w:rFonts w:hint="eastAsia"/>
          <w:b/>
          <w:bCs/>
          <w:color w:val="auto"/>
          <w:highlight w:val="none"/>
          <w:lang w:val="en-US" w:eastAsia="zh-CN"/>
        </w:rPr>
        <w:t xml:space="preserve">四</w:t>
      </w:r>
      <w:r>
        <w:rPr>
          <w:rFonts w:hint="eastAsia"/>
          <w:b/>
          <w:bCs/>
          <w:color w:val="auto"/>
          <w:highlight w:val="none"/>
        </w:rPr>
        <w:t xml:space="preserve">、商务要求：</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1、合同履行期限：签订合同后 </w:t>
      </w:r>
      <w:r>
        <w:rPr>
          <w:rFonts w:hint="eastAsia" w:cs="Times New Roman"/>
          <w:sz w:val="21"/>
          <w:szCs w:val="21"/>
          <w:lang w:val="en-US" w:eastAsia="zh-CN" w:bidi="ar-SA"/>
        </w:rPr>
        <w:t xml:space="preserve">40</w:t>
      </w:r>
      <w:r>
        <w:rPr>
          <w:rFonts w:hint="eastAsia" w:ascii="宋体" w:hAnsi="宋体" w:eastAsia="宋体" w:cs="Times New Roman"/>
          <w:sz w:val="21"/>
          <w:szCs w:val="21"/>
          <w:lang w:val="en-US" w:eastAsia="zh-CN" w:bidi="ar-SA"/>
        </w:rPr>
        <w:t xml:space="preserve">日历天内完成所需设备的采购、供应、运输、安装、调试等相关伴随服务，并通过采购人的验收。</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2、交货方式：全部货物到现场安装调试完毕交付甲方。</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3、交货地点：甲方指定地点。</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4、付款方式：本项目预付款为30%，</w:t>
      </w:r>
      <w:r>
        <w:rPr>
          <w:rFonts w:hint="eastAsia" w:ascii="宋体" w:hAnsi="宋体"/>
          <w:color w:val="000000" w:themeColor="text1"/>
          <w:sz w:val="21"/>
          <w:szCs w:val="21"/>
          <w14:textFill>
            <w14:solidFill>
              <w14:schemeClr w14:val="tx1"/>
            </w14:solidFill>
          </w14:textFill>
        </w:rPr>
        <w:t xml:space="preserve">项目验收合格后付至合同价款的</w:t>
      </w:r>
      <w:r>
        <w:rPr>
          <w:rFonts w:hint="eastAsia" w:ascii="宋体" w:hAnsi="宋体"/>
          <w:color w:val="000000" w:themeColor="text1"/>
          <w:sz w:val="21"/>
          <w:szCs w:val="21"/>
          <w:lang w:val="en-US" w:eastAsia="zh-CN"/>
          <w14:textFill>
            <w14:solidFill>
              <w14:schemeClr w14:val="tx1"/>
            </w14:solidFill>
          </w14:textFill>
        </w:rPr>
        <w:t xml:space="preserve">7</w:t>
      </w:r>
      <w:r>
        <w:rPr>
          <w:rFonts w:hint="eastAsia" w:ascii="宋体" w:hAnsi="宋体"/>
          <w:color w:val="000000" w:themeColor="text1"/>
          <w:sz w:val="21"/>
          <w:szCs w:val="21"/>
          <w14:textFill>
            <w14:solidFill>
              <w14:schemeClr w14:val="tx1"/>
            </w14:solidFill>
          </w14:textFill>
        </w:rPr>
        <w:t xml:space="preserve">0%，验收合格满一年后付至审核价款的</w:t>
      </w:r>
      <w:r>
        <w:rPr>
          <w:rFonts w:hint="eastAsia" w:ascii="宋体" w:hAnsi="宋体"/>
          <w:color w:val="000000" w:themeColor="text1"/>
          <w:sz w:val="21"/>
          <w:szCs w:val="21"/>
          <w:lang w:val="en-US" w:eastAsia="zh-CN"/>
          <w14:textFill>
            <w14:solidFill>
              <w14:schemeClr w14:val="tx1"/>
            </w14:solidFill>
          </w14:textFill>
        </w:rPr>
        <w:t xml:space="preserve">8</w:t>
      </w:r>
      <w:r>
        <w:rPr>
          <w:rFonts w:hint="eastAsia" w:ascii="宋体" w:hAnsi="宋体"/>
          <w:color w:val="000000" w:themeColor="text1"/>
          <w:sz w:val="21"/>
          <w:szCs w:val="21"/>
          <w14:textFill>
            <w14:solidFill>
              <w14:schemeClr w14:val="tx1"/>
            </w14:solidFill>
          </w14:textFill>
        </w:rPr>
        <w:t xml:space="preserve">0%，验收合格满二年后付至审核价款的</w:t>
      </w:r>
      <w:r>
        <w:rPr>
          <w:rFonts w:hint="eastAsia" w:ascii="宋体" w:hAnsi="宋体"/>
          <w:color w:val="000000" w:themeColor="text1"/>
          <w:sz w:val="21"/>
          <w:szCs w:val="21"/>
          <w:lang w:val="en-US" w:eastAsia="zh-CN"/>
          <w14:textFill>
            <w14:solidFill>
              <w14:schemeClr w14:val="tx1"/>
            </w14:solidFill>
          </w14:textFill>
        </w:rPr>
        <w:t xml:space="preserve">9</w:t>
      </w:r>
      <w:r>
        <w:rPr>
          <w:rFonts w:hint="eastAsia" w:ascii="宋体" w:hAnsi="宋体"/>
          <w:color w:val="000000" w:themeColor="text1"/>
          <w:sz w:val="21"/>
          <w:szCs w:val="21"/>
          <w14:textFill>
            <w14:solidFill>
              <w14:schemeClr w14:val="tx1"/>
            </w14:solidFill>
          </w14:textFill>
        </w:rPr>
        <w:t xml:space="preserve">0%，</w:t>
      </w:r>
      <w:r>
        <w:rPr>
          <w:rFonts w:hint="eastAsia" w:ascii="宋体" w:hAnsi="宋体"/>
          <w:color w:val="000000" w:themeColor="text1"/>
          <w:sz w:val="21"/>
          <w:szCs w:val="21"/>
          <w:lang w:val="en-US" w:eastAsia="zh-CN"/>
          <w14:textFill>
            <w14:solidFill>
              <w14:schemeClr w14:val="tx1"/>
            </w14:solidFill>
          </w14:textFill>
        </w:rPr>
        <w:t xml:space="preserve">剩余款项待质保期满后一次性付清</w:t>
      </w:r>
      <w:r>
        <w:rPr>
          <w:rFonts w:hint="eastAsia" w:ascii="宋体" w:hAnsi="宋体" w:eastAsia="宋体" w:cs="Times New Roman"/>
          <w:sz w:val="21"/>
          <w:szCs w:val="21"/>
          <w:lang w:val="en-US" w:eastAsia="zh-CN" w:bidi="ar-SA"/>
        </w:rPr>
        <w:t xml:space="preserve">。</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付款时乙方须提供正规发票（采购人原则上自收到发票后10个工作日内将资金支付到合同约定的供应商账户）。合同款一律通过银行非现金结算，结算方式：转账。（按以上进度付款无任何利息补偿）</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5、质保期要求：三年（含设备免费维护保养）。</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6、包装和运输要求：供应商对于投标产品的商品包装、快递包装应按照《关于印发《商品包装政府采购需求标准（试行）》、《快递包装政府采购需求标准（试行）》的通知》（财办库〔2020〕123号）执行。</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7、质量要求及验收标准：相关质量验收规范合格标准，验收执行国家或行业最新标准、招标文件各项技术参数指标、投标文件投标承诺所达到的各项技术参数指标（招标文件、投标文件、国家或行业标准不一致处以最高标准执行）。</w:t>
      </w:r>
      <w:r/>
    </w:p>
    <w:p>
      <w:pPr>
        <w:pStyle w:val="844"/>
        <w:ind w:firstLine="482"/>
        <w:jc w:val="both"/>
        <w:spacing w:before="0" w:beforeAutospacing="0" w:after="0" w:afterAutospacing="0" w:line="400" w:lineRule="exact"/>
        <w:widowControl w:val="off"/>
        <w:rPr>
          <w:color w:val="auto"/>
          <w:highlight w:val="none"/>
        </w:rPr>
      </w:pPr>
      <w:r>
        <w:rPr>
          <w:rFonts w:hint="eastAsia"/>
          <w:b/>
          <w:bCs/>
          <w:color w:val="auto"/>
          <w:highlight w:val="none"/>
          <w:lang w:val="en-US" w:eastAsia="zh-CN"/>
        </w:rPr>
        <w:t xml:space="preserve">五</w:t>
      </w:r>
      <w:r>
        <w:rPr>
          <w:rFonts w:hint="eastAsia"/>
          <w:b/>
          <w:bCs/>
          <w:color w:val="auto"/>
          <w:highlight w:val="none"/>
        </w:rPr>
        <w:t xml:space="preserve">、其他内容</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1、本项目不接受进口产品投标。</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2、本项目采购标的所属行业划分为工业。</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cs="Times New Roman"/>
          <w:sz w:val="21"/>
          <w:szCs w:val="21"/>
          <w:lang w:val="en-US" w:eastAsia="zh-CN" w:bidi="ar-SA"/>
        </w:rPr>
        <w:t xml:space="preserve">3</w:t>
      </w:r>
      <w:r>
        <w:rPr>
          <w:rFonts w:hint="eastAsia" w:ascii="宋体" w:hAnsi="宋体" w:eastAsia="宋体" w:cs="Times New Roman"/>
          <w:sz w:val="21"/>
          <w:szCs w:val="21"/>
          <w:lang w:val="en-US" w:eastAsia="zh-CN" w:bidi="ar-SA"/>
        </w:rPr>
        <w:t xml:space="preserve">、本项目中标后中标人自接到采购人通知后2日内到采购人指定地点对主要产品及检测报告（需提供原件以及官网查询截图证明）进行核实，投标人所投材料如发现虚假响应，甲方有权拒签合同，核实所产生的费用由投标人考虑至报价中，甲方不再另行支付。</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4、本项目所有传输设备接口均需达到千兆或以上等级如交换机、光纤收发器等，光纤传输带宽均须达到千兆或以上。</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cs="Times New Roman"/>
          <w:sz w:val="21"/>
          <w:szCs w:val="21"/>
          <w:lang w:val="en-US" w:eastAsia="zh-CN" w:bidi="ar-SA"/>
        </w:rPr>
        <w:t xml:space="preserve">5</w:t>
      </w:r>
      <w:r>
        <w:rPr>
          <w:rFonts w:hint="eastAsia" w:ascii="宋体" w:hAnsi="宋体" w:eastAsia="宋体" w:cs="Times New Roman"/>
          <w:sz w:val="21"/>
          <w:szCs w:val="21"/>
          <w:lang w:val="en-US" w:eastAsia="zh-CN" w:bidi="ar-SA"/>
        </w:rPr>
        <w:t xml:space="preserve">、本项目采购的各类产品，由中标方负责联系厂家到场进行培训，确保采购方熟练掌握使用，不限培训次数；质保期间，需要厂家到场解决或提供支撑服务的，厂家亦须无条件到场解决支持；培训支持等费用由中标方全部解决。</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cs="Times New Roman"/>
          <w:sz w:val="21"/>
          <w:szCs w:val="21"/>
          <w:lang w:val="en-US" w:eastAsia="zh-CN" w:bidi="ar-SA"/>
        </w:rPr>
        <w:t xml:space="preserve">6</w:t>
      </w:r>
      <w:r>
        <w:rPr>
          <w:rFonts w:hint="eastAsia" w:ascii="宋体" w:hAnsi="宋体" w:eastAsia="宋体" w:cs="Times New Roman"/>
          <w:sz w:val="21"/>
          <w:szCs w:val="21"/>
          <w:lang w:val="en-US" w:eastAsia="zh-CN" w:bidi="ar-SA"/>
        </w:rPr>
        <w:t xml:space="preserve">、技术响应部分，投标人在投标时未按招标文件要求提交官网截图证明、检测报告、承诺书以及其他证明文件的，或者未提交上述证明文件的，均作负偏离处理，文件中描述如有其他冲突地方，均以本条为准。</w:t>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pStyle w:val="844"/>
        <w:ind w:firstLine="480"/>
        <w:jc w:val="both"/>
        <w:spacing w:before="0" w:beforeAutospacing="0" w:after="0" w:afterAutospacing="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r/>
      <w:r/>
    </w:p>
    <w:p>
      <w:pPr>
        <w:pStyle w:val="797"/>
        <w:jc w:val="center"/>
        <w:spacing w:before="0" w:after="0" w:line="360" w:lineRule="auto"/>
        <w:rPr>
          <w:rFonts w:ascii="宋体" w:hAnsi="宋体" w:cs="宋体"/>
          <w:color w:val="auto"/>
          <w:highlight w:val="none"/>
        </w:rPr>
      </w:pPr>
      <w:r>
        <w:rPr>
          <w:rFonts w:hint="eastAsia" w:ascii="宋体" w:hAnsi="宋体" w:cs="宋体"/>
          <w:color w:val="auto"/>
          <w:highlight w:val="none"/>
        </w:rPr>
        <w:t xml:space="preserve">第五章  评标方法与评标标准</w:t>
      </w:r>
      <w:r/>
    </w:p>
    <w:p>
      <w:pPr>
        <w:pStyle w:val="798"/>
        <w:ind w:firstLine="422"/>
        <w:jc w:val="left"/>
        <w:spacing w:before="0" w:after="0" w:line="480" w:lineRule="exact"/>
        <w:rPr>
          <w:rFonts w:ascii="宋体" w:hAnsi="宋体" w:eastAsia="宋体" w:cs="宋体"/>
          <w:sz w:val="21"/>
          <w:szCs w:val="21"/>
        </w:rPr>
      </w:pPr>
      <w:r>
        <w:rPr>
          <w:rFonts w:hint="eastAsia" w:ascii="宋体" w:hAnsi="宋体" w:eastAsia="宋体" w:cs="宋体"/>
          <w:sz w:val="21"/>
          <w:szCs w:val="21"/>
        </w:rPr>
        <w:t xml:space="preserve">开标时特别说明：</w:t>
      </w:r>
      <w:r/>
    </w:p>
    <w:p>
      <w:pPr>
        <w:pStyle w:val="798"/>
        <w:ind w:firstLine="422"/>
        <w:jc w:val="left"/>
        <w:spacing w:before="0" w:after="0" w:line="480" w:lineRule="exact"/>
        <w:rPr>
          <w:rFonts w:ascii="宋体" w:hAnsi="宋体" w:eastAsia="宋体" w:cs="宋体"/>
          <w:sz w:val="21"/>
          <w:szCs w:val="21"/>
        </w:rPr>
      </w:pPr>
      <w:r>
        <w:rPr>
          <w:rFonts w:hint="eastAsia" w:ascii="宋体" w:hAnsi="宋体" w:eastAsia="宋体" w:cs="宋体"/>
          <w:sz w:val="21"/>
          <w:szCs w:val="21"/>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p>
    <w:p>
      <w:pPr>
        <w:ind w:firstLine="420"/>
        <w:spacing w:line="480" w:lineRule="exact"/>
        <w:rPr>
          <w:rFonts w:ascii="宋体" w:hAnsi="宋体" w:cs="宋体"/>
          <w:szCs w:val="21"/>
        </w:rPr>
      </w:pPr>
      <w:r>
        <w:rPr>
          <w:rFonts w:hint="eastAsia" w:ascii="宋体" w:hAnsi="宋体"/>
          <w:szCs w:val="21"/>
        </w:rPr>
        <w:t xml:space="preserve">本次评标采用综合评分法。评标委员会对满足招标文件实质性要求的投标文件，按照本招标文件规定的评分标准进行打分，并按得分由高到低顺序推荐1名中标候选人。综合评分相等时，以投标报价低的优先；投标报价也相等的，由招标人确定。最低报价及任何单项因素的最优均不是中标的必要条件。</w:t>
      </w:r>
      <w:r/>
    </w:p>
    <w:p>
      <w:pPr>
        <w:ind w:firstLine="420"/>
        <w:spacing w:line="480" w:lineRule="exact"/>
        <w:rPr>
          <w:rFonts w:ascii="宋体" w:hAnsi="宋体" w:cs="宋体"/>
          <w:szCs w:val="21"/>
        </w:rPr>
      </w:pPr>
      <w:r>
        <w:rPr>
          <w:rFonts w:hint="eastAsia" w:ascii="宋体" w:hAnsi="宋体" w:cs="宋体"/>
          <w:szCs w:val="21"/>
        </w:rPr>
        <w:t xml:space="preserve">一、初步评审</w:t>
      </w:r>
      <w:r/>
    </w:p>
    <w:p>
      <w:pPr>
        <w:ind w:left="420"/>
        <w:spacing w:line="480" w:lineRule="exact"/>
        <w:rPr>
          <w:rFonts w:ascii="宋体" w:hAnsi="宋体" w:cs="宋体"/>
          <w:szCs w:val="21"/>
        </w:rPr>
      </w:pPr>
      <w:r>
        <w:rPr>
          <w:rFonts w:hint="eastAsia" w:ascii="宋体" w:hAnsi="宋体" w:cs="宋体"/>
          <w:szCs w:val="21"/>
        </w:rPr>
        <w:t xml:space="preserve">1、资格审查</w:t>
      </w:r>
      <w:r/>
    </w:p>
    <w:p>
      <w:pPr>
        <w:ind w:firstLine="420"/>
        <w:spacing w:line="480" w:lineRule="exact"/>
        <w:rPr>
          <w:rFonts w:ascii="宋体" w:hAnsi="宋体"/>
          <w:szCs w:val="21"/>
        </w:rPr>
      </w:pPr>
      <w:r>
        <w:rPr>
          <w:rFonts w:ascii="宋体" w:hAnsi="宋体"/>
          <w:szCs w:val="21"/>
        </w:rPr>
        <w:t xml:space="preserve">1.1</w:t>
      </w:r>
      <w:r>
        <w:rPr>
          <w:rFonts w:hint="eastAsia" w:ascii="宋体" w:hAnsi="宋体"/>
          <w:szCs w:val="21"/>
        </w:rPr>
        <w:t xml:space="preserve">法人或者其他组织的营业执照等证明文件；</w:t>
      </w:r>
      <w:r/>
    </w:p>
    <w:p>
      <w:pPr>
        <w:ind w:firstLine="420"/>
        <w:spacing w:line="480" w:lineRule="exact"/>
        <w:rPr>
          <w:rFonts w:ascii="宋体" w:hAnsi="宋体"/>
          <w:szCs w:val="21"/>
        </w:rPr>
      </w:pPr>
      <w:r>
        <w:rPr>
          <w:rFonts w:ascii="宋体" w:hAnsi="宋体"/>
          <w:szCs w:val="21"/>
        </w:rPr>
        <w:t xml:space="preserve">1.2</w:t>
      </w:r>
      <w:r>
        <w:rPr>
          <w:rFonts w:hint="eastAsia" w:ascii="宋体" w:hAnsi="宋体"/>
          <w:szCs w:val="21"/>
        </w:rPr>
        <w:t xml:space="preserve">上一年度的财务报表（成立不满一年不需提供）；</w:t>
      </w:r>
      <w:r/>
    </w:p>
    <w:p>
      <w:pPr>
        <w:ind w:firstLine="420"/>
        <w:spacing w:line="480" w:lineRule="exact"/>
        <w:rPr>
          <w:rFonts w:ascii="宋体" w:hAnsi="宋体"/>
          <w:szCs w:val="21"/>
        </w:rPr>
      </w:pPr>
      <w:r>
        <w:rPr>
          <w:rFonts w:ascii="宋体" w:hAnsi="宋体"/>
          <w:szCs w:val="21"/>
        </w:rPr>
        <w:t xml:space="preserve">1.3</w:t>
      </w:r>
      <w:r>
        <w:rPr>
          <w:rFonts w:hint="eastAsia" w:ascii="宋体" w:hAnsi="宋体"/>
          <w:szCs w:val="21"/>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p>
    <w:p>
      <w:pPr>
        <w:ind w:firstLine="420"/>
        <w:spacing w:line="480" w:lineRule="exact"/>
        <w:rPr>
          <w:rFonts w:ascii="宋体" w:hAnsi="宋体"/>
          <w:szCs w:val="21"/>
        </w:rPr>
      </w:pPr>
      <w:r>
        <w:rPr>
          <w:rFonts w:ascii="宋体" w:hAnsi="宋体"/>
          <w:szCs w:val="21"/>
        </w:rPr>
        <w:t xml:space="preserve">1.4</w:t>
      </w:r>
      <w:r>
        <w:rPr>
          <w:rFonts w:hint="eastAsia" w:ascii="宋体" w:hAnsi="宋体"/>
          <w:szCs w:val="21"/>
        </w:rPr>
        <w:t xml:space="preserve">具备履行合同所必需的设备和专业技术能力的书面声明；</w:t>
      </w:r>
      <w:r/>
    </w:p>
    <w:p>
      <w:pPr>
        <w:ind w:firstLine="420"/>
        <w:spacing w:line="480" w:lineRule="exact"/>
        <w:rPr>
          <w:rFonts w:ascii="宋体" w:hAnsi="宋体"/>
          <w:szCs w:val="21"/>
        </w:rPr>
      </w:pPr>
      <w:r>
        <w:rPr>
          <w:rFonts w:ascii="宋体" w:hAnsi="宋体"/>
          <w:szCs w:val="21"/>
        </w:rPr>
        <w:t xml:space="preserve">1.5</w:t>
      </w:r>
      <w:r>
        <w:rPr>
          <w:rFonts w:hint="eastAsia" w:ascii="宋体" w:hAnsi="宋体"/>
          <w:szCs w:val="21"/>
        </w:rPr>
        <w:t xml:space="preserve">参加政府采购活动前3年内在经营活动中没有重大违法记录的书面声明。</w:t>
      </w:r>
      <w:r/>
    </w:p>
    <w:p>
      <w:pPr>
        <w:ind w:firstLine="420"/>
        <w:spacing w:line="480" w:lineRule="exact"/>
        <w:rPr>
          <w:rFonts w:ascii="宋体" w:hAnsi="宋体" w:cs="宋体"/>
          <w:szCs w:val="21"/>
        </w:rPr>
      </w:pPr>
      <w:r>
        <w:rPr>
          <w:rFonts w:hint="eastAsia" w:ascii="宋体" w:hAnsi="宋体" w:cs="宋体"/>
          <w:szCs w:val="21"/>
        </w:rPr>
        <w:t xml:space="preserve">注：</w:t>
      </w:r>
      <w:r>
        <w:rPr>
          <w:rFonts w:ascii="宋体" w:hAnsi="宋体" w:cs="宋体"/>
          <w:szCs w:val="21"/>
        </w:rPr>
        <w:t xml:space="preserve">a</w:t>
      </w:r>
      <w:r>
        <w:rPr>
          <w:rFonts w:hint="eastAsia" w:ascii="宋体" w:hAnsi="宋体" w:cs="宋体"/>
          <w:szCs w:val="21"/>
        </w:rPr>
        <w:t xml:space="preserve">、因上述扫描件不清晰无法辨认、或提供的关键信息不全、更新不及时导致被招标人或评标委员会评委认定为无效投标的，其不利的后果由投标人自行承担。</w:t>
      </w:r>
      <w:r/>
    </w:p>
    <w:p>
      <w:pPr>
        <w:ind w:firstLine="420"/>
        <w:spacing w:line="480" w:lineRule="exact"/>
        <w:rPr>
          <w:rFonts w:ascii="宋体" w:hAnsi="宋体" w:cs="宋体"/>
          <w:szCs w:val="21"/>
        </w:rPr>
      </w:pPr>
      <w:r>
        <w:rPr>
          <w:rFonts w:ascii="宋体" w:hAnsi="宋体" w:cs="宋体"/>
          <w:szCs w:val="21"/>
        </w:rPr>
        <w:t xml:space="preserve">b</w:t>
      </w:r>
      <w:r>
        <w:rPr>
          <w:rFonts w:hint="eastAsia" w:ascii="宋体" w:hAnsi="宋体" w:cs="宋体"/>
          <w:szCs w:val="21"/>
        </w:rPr>
        <w:t xml:space="preserve">、若中标候选人上述有关证书有效性被质疑的，被质疑人出具发证机关证明或通过二维码或证书查询系统能够证明有效即可。</w:t>
      </w:r>
      <w:r/>
    </w:p>
    <w:p>
      <w:pPr>
        <w:ind w:firstLine="420"/>
        <w:spacing w:line="480" w:lineRule="exact"/>
        <w:rPr>
          <w:rFonts w:ascii="宋体" w:hAnsi="宋体" w:cs="宋体"/>
          <w:szCs w:val="21"/>
        </w:rPr>
      </w:pPr>
      <w:r>
        <w:rPr>
          <w:rFonts w:ascii="宋体" w:hAnsi="宋体" w:cs="宋体"/>
          <w:szCs w:val="21"/>
        </w:rPr>
        <w:t xml:space="preserve">c</w:t>
      </w:r>
      <w:r>
        <w:rPr>
          <w:rFonts w:hint="eastAsia" w:ascii="宋体" w:hAnsi="宋体" w:cs="宋体"/>
          <w:szCs w:val="21"/>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p>
    <w:p>
      <w:pPr>
        <w:ind w:firstLine="420"/>
        <w:spacing w:line="480" w:lineRule="exact"/>
        <w:rPr>
          <w:rFonts w:ascii="宋体" w:hAnsi="宋体" w:cs="宋体"/>
          <w:szCs w:val="21"/>
        </w:rPr>
      </w:pPr>
      <w:r>
        <w:rPr>
          <w:rFonts w:hint="eastAsia" w:ascii="宋体" w:hAnsi="宋体" w:cs="宋体"/>
          <w:szCs w:val="21"/>
        </w:rPr>
        <w:t xml:space="preserve">2、符合性评审：</w:t>
      </w:r>
      <w:r/>
    </w:p>
    <w:p>
      <w:pPr>
        <w:ind w:firstLine="420"/>
        <w:spacing w:line="480" w:lineRule="exact"/>
        <w:rPr>
          <w:rFonts w:ascii="宋体" w:hAnsi="宋体" w:cs="宋体"/>
          <w:szCs w:val="21"/>
        </w:rPr>
      </w:pPr>
      <w:r>
        <w:rPr>
          <w:rFonts w:hint="eastAsia" w:ascii="宋体" w:hAnsi="宋体" w:cs="宋体"/>
          <w:szCs w:val="21"/>
        </w:rPr>
        <w:t xml:space="preserve">投标人的投标文件符合招标文件、招标答疑的要求，主要包括：采购需求、合同履行期间、质量、投标报价、签章等符合招标文件的实质性要求等。不符合招标文件采购需求最低要求的一律作为无效标书，不得作为中标候选人。</w:t>
      </w:r>
      <w:r/>
    </w:p>
    <w:p>
      <w:pPr>
        <w:ind w:firstLine="420"/>
        <w:spacing w:line="480" w:lineRule="exact"/>
        <w:rPr>
          <w:rFonts w:ascii="宋体" w:hAnsi="宋体" w:cs="宋体"/>
          <w:szCs w:val="21"/>
        </w:rPr>
      </w:pPr>
      <w:r>
        <w:rPr>
          <w:rFonts w:hint="eastAsia" w:ascii="宋体" w:hAnsi="宋体" w:cs="宋体"/>
          <w:szCs w:val="21"/>
        </w:rPr>
        <w:t xml:space="preserve">二、详细评审</w:t>
      </w:r>
      <w:r/>
    </w:p>
    <w:p>
      <w:pPr>
        <w:pStyle w:val="799"/>
        <w:ind w:firstLine="422"/>
        <w:spacing w:before="0" w:after="0" w:line="480" w:lineRule="exact"/>
        <w:rPr>
          <w:rFonts w:ascii="宋体" w:hAnsi="宋体" w:eastAsia="宋体"/>
          <w:b/>
          <w:sz w:val="21"/>
          <w:szCs w:val="21"/>
        </w:rPr>
      </w:pPr>
      <w:r>
        <w:rPr>
          <w:rFonts w:ascii="宋体" w:hAnsi="宋体" w:eastAsia="宋体"/>
          <w:b/>
          <w:sz w:val="21"/>
          <w:szCs w:val="21"/>
        </w:rPr>
        <w:t xml:space="preserve">2.1</w:t>
      </w:r>
      <w:r>
        <w:rPr>
          <w:rFonts w:hint="eastAsia" w:ascii="宋体" w:hAnsi="宋体" w:eastAsia="宋体"/>
          <w:b/>
          <w:sz w:val="21"/>
          <w:szCs w:val="21"/>
        </w:rPr>
        <w:t xml:space="preserve">详细评审分值构成与评分标准</w:t>
      </w:r>
      <w:r/>
    </w:p>
    <w:p>
      <w:pPr>
        <w:ind w:firstLine="420"/>
        <w:spacing w:line="480" w:lineRule="exact"/>
        <w:shd w:val="clear" w:color="auto" w:fill="ffffff"/>
        <w:rPr>
          <w:rFonts w:ascii="宋体" w:hAnsi="宋体"/>
          <w:szCs w:val="21"/>
        </w:rPr>
      </w:pPr>
      <w:r>
        <w:rPr>
          <w:rFonts w:hint="eastAsia" w:ascii="宋体" w:hAnsi="宋体"/>
          <w:szCs w:val="21"/>
        </w:rPr>
        <w:t xml:space="preserve">1、小微型企业价格扣除</w:t>
      </w:r>
      <w:r/>
    </w:p>
    <w:p>
      <w:pPr>
        <w:ind w:firstLine="420"/>
        <w:spacing w:line="480" w:lineRule="exact"/>
        <w:shd w:val="clear" w:color="auto" w:fill="ffffff"/>
        <w:rPr>
          <w:rFonts w:ascii="宋体" w:hAnsi="宋体"/>
          <w:szCs w:val="21"/>
        </w:rPr>
      </w:pPr>
      <w:r>
        <w:rPr>
          <w:rFonts w:hint="eastAsia" w:ascii="宋体" w:hAnsi="宋体"/>
          <w:szCs w:val="21"/>
        </w:rPr>
        <w:t xml:space="preserve">（1）本项目对小型和微型企业产品给予20%的扣除价格，用扣除后的价格参与评审。</w:t>
      </w:r>
      <w:r/>
    </w:p>
    <w:p>
      <w:pPr>
        <w:ind w:firstLine="420"/>
        <w:spacing w:line="480" w:lineRule="exact"/>
        <w:shd w:val="clear" w:color="auto" w:fill="ffffff"/>
        <w:rPr>
          <w:rFonts w:ascii="宋体" w:hAnsi="宋体"/>
          <w:szCs w:val="21"/>
        </w:rPr>
      </w:pPr>
      <w:r>
        <w:rPr>
          <w:rFonts w:hint="eastAsia" w:ascii="宋体" w:hAnsi="宋体"/>
          <w:szCs w:val="21"/>
        </w:rPr>
        <w:t xml:space="preserve">（2）投标人需按照采购文件的要求提供相应的《企业声明函》。</w:t>
      </w:r>
      <w:r/>
    </w:p>
    <w:p>
      <w:pPr>
        <w:ind w:firstLine="420"/>
        <w:spacing w:line="480" w:lineRule="exact"/>
        <w:shd w:val="clear" w:color="auto" w:fill="ffffff"/>
        <w:rPr>
          <w:rFonts w:ascii="宋体" w:hAnsi="宋体"/>
          <w:szCs w:val="21"/>
        </w:rPr>
      </w:pPr>
      <w:r>
        <w:rPr>
          <w:rFonts w:hint="eastAsia" w:ascii="宋体" w:hAnsi="宋体"/>
          <w:szCs w:val="21"/>
        </w:rPr>
        <w:t xml:space="preserve">（3）企业标准请参照《关于印发中小企业划型标准规定的通知》（工信部联企业[2011]300号）文件规定自行填写。</w:t>
      </w:r>
      <w:r/>
    </w:p>
    <w:p>
      <w:pPr>
        <w:ind w:firstLine="420"/>
        <w:spacing w:line="480" w:lineRule="exact"/>
        <w:shd w:val="clear" w:color="auto" w:fill="ffffff"/>
        <w:rPr>
          <w:rFonts w:ascii="宋体" w:hAnsi="宋体"/>
          <w:szCs w:val="21"/>
        </w:rPr>
      </w:pPr>
      <w:r>
        <w:rPr>
          <w:rFonts w:hint="eastAsia" w:ascii="宋体" w:hAnsi="宋体"/>
          <w:szCs w:val="21"/>
        </w:rPr>
        <w:t xml:space="preserve">2、残疾人福利单位价格扣除</w:t>
      </w:r>
      <w:r/>
    </w:p>
    <w:p>
      <w:pPr>
        <w:ind w:firstLine="420"/>
        <w:spacing w:line="480" w:lineRule="exact"/>
        <w:shd w:val="clear" w:color="auto" w:fill="ffffff"/>
        <w:rPr>
          <w:rFonts w:ascii="宋体" w:hAnsi="宋体"/>
          <w:szCs w:val="21"/>
        </w:rPr>
      </w:pPr>
      <w:r>
        <w:rPr>
          <w:rFonts w:hint="eastAsia" w:ascii="宋体" w:hAnsi="宋体"/>
          <w:szCs w:val="21"/>
        </w:rPr>
        <w:t xml:space="preserve">（1）本项目对残疾人福利性单位视同小型、微型企业，给予20%的价格扣除，用扣除后的价格参与评审。</w:t>
      </w:r>
      <w:r/>
    </w:p>
    <w:p>
      <w:pPr>
        <w:ind w:firstLine="420"/>
        <w:spacing w:line="480" w:lineRule="exact"/>
        <w:shd w:val="clear" w:color="auto" w:fill="ffffff"/>
        <w:rPr>
          <w:rFonts w:ascii="宋体" w:hAnsi="宋体"/>
          <w:szCs w:val="21"/>
        </w:rPr>
      </w:pPr>
      <w:r>
        <w:rPr>
          <w:rFonts w:hint="eastAsia" w:ascii="宋体" w:hAnsi="宋体"/>
          <w:szCs w:val="21"/>
        </w:rPr>
        <w:t xml:space="preserve">（2）残疾人福利单位需按照采购文件的要求提供《残疾人福利性单位声明函》。</w:t>
      </w:r>
      <w:r/>
    </w:p>
    <w:p>
      <w:pPr>
        <w:ind w:firstLine="420"/>
        <w:spacing w:line="480" w:lineRule="exact"/>
        <w:shd w:val="clear" w:color="auto" w:fill="ffffff"/>
        <w:rPr>
          <w:rFonts w:ascii="宋体" w:hAnsi="宋体"/>
          <w:szCs w:val="21"/>
        </w:rPr>
      </w:pPr>
      <w:r>
        <w:rPr>
          <w:rFonts w:hint="eastAsia" w:ascii="宋体" w:hAnsi="宋体"/>
          <w:szCs w:val="21"/>
        </w:rPr>
        <w:t xml:space="preserve">（3）残疾人福利单位标准请参照《关于促进残疾人就业政府采购政策的通知》（财库〔2017〕141号）。</w:t>
      </w:r>
      <w:r/>
    </w:p>
    <w:p>
      <w:pPr>
        <w:ind w:firstLine="420"/>
        <w:spacing w:line="480" w:lineRule="exact"/>
        <w:shd w:val="clear" w:color="auto" w:fill="ffffff"/>
        <w:rPr>
          <w:rFonts w:ascii="宋体" w:hAnsi="宋体"/>
          <w:szCs w:val="21"/>
        </w:rPr>
      </w:pPr>
      <w:r>
        <w:rPr>
          <w:rFonts w:hint="eastAsia" w:ascii="宋体" w:hAnsi="宋体"/>
          <w:szCs w:val="21"/>
        </w:rPr>
        <w:t xml:space="preserve">3、监狱和戒毒企业价格扣除</w:t>
      </w:r>
      <w:r/>
    </w:p>
    <w:p>
      <w:pPr>
        <w:ind w:firstLine="420"/>
        <w:spacing w:line="480" w:lineRule="exact"/>
        <w:shd w:val="clear" w:color="auto" w:fill="ffffff"/>
        <w:rPr>
          <w:rFonts w:ascii="宋体" w:hAnsi="宋体"/>
          <w:szCs w:val="21"/>
        </w:rPr>
      </w:pPr>
      <w:r>
        <w:rPr>
          <w:rFonts w:hint="eastAsia" w:ascii="宋体" w:hAnsi="宋体"/>
          <w:szCs w:val="21"/>
        </w:rPr>
        <w:t xml:space="preserve">（1）本项目对监狱和戒毒企业（简称监狱企业）视同小型、微型企业，给予20%的价格扣除，用扣除后的价格参与评审。</w:t>
      </w:r>
      <w:r/>
    </w:p>
    <w:p>
      <w:pPr>
        <w:ind w:firstLine="420"/>
        <w:spacing w:line="480" w:lineRule="exact"/>
        <w:shd w:val="clear" w:color="auto" w:fill="ffffff"/>
        <w:rPr>
          <w:rFonts w:ascii="宋体" w:hAnsi="宋体"/>
          <w:szCs w:val="21"/>
        </w:rPr>
      </w:pPr>
      <w:r>
        <w:rPr>
          <w:rFonts w:hint="eastAsia" w:ascii="宋体" w:hAnsi="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80" w:lineRule="exact"/>
        <w:shd w:val="clear" w:color="auto" w:fill="ffffff"/>
        <w:rPr>
          <w:rFonts w:ascii="宋体" w:hAnsi="宋体"/>
          <w:szCs w:val="21"/>
        </w:rPr>
      </w:pPr>
      <w:r>
        <w:rPr>
          <w:rFonts w:hint="eastAsia" w:ascii="宋体" w:hAnsi="宋体"/>
          <w:szCs w:val="21"/>
        </w:rPr>
        <w:t xml:space="preserve">（3）监狱企业标准请参照《关于政府采购支持监狱企业发展有关问题的通知》（财库[2014]68号）。</w:t>
      </w:r>
      <w:r/>
    </w:p>
    <w:p>
      <w:pPr>
        <w:ind w:firstLine="420"/>
        <w:spacing w:line="480" w:lineRule="exact"/>
        <w:shd w:val="clear" w:color="auto" w:fill="ffffff"/>
        <w:rPr>
          <w:rFonts w:ascii="宋体" w:hAnsi="宋体"/>
          <w:szCs w:val="21"/>
        </w:rPr>
      </w:pPr>
      <w:r>
        <w:rPr>
          <w:rFonts w:hint="eastAsia" w:ascii="宋体" w:hAnsi="宋体"/>
          <w:szCs w:val="21"/>
        </w:rPr>
        <w:t xml:space="preserve">4、残疾人福利单位、监狱企业属于小型、微型企业的，不重复享受政策。</w:t>
      </w:r>
      <w:r/>
    </w:p>
    <w:p>
      <w:pPr>
        <w:ind w:firstLine="422"/>
        <w:spacing w:line="480" w:lineRule="exact"/>
        <w:rPr>
          <w:rFonts w:ascii="宋体" w:hAnsi="宋体"/>
          <w:b/>
          <w:szCs w:val="21"/>
        </w:rPr>
      </w:pPr>
      <w:r>
        <w:rPr>
          <w:rFonts w:ascii="宋体" w:hAnsi="宋体"/>
          <w:b/>
          <w:szCs w:val="21"/>
        </w:rPr>
        <w:t xml:space="preserve">5</w:t>
      </w:r>
      <w:r>
        <w:rPr>
          <w:rFonts w:hint="eastAsia" w:ascii="宋体" w:hAnsi="宋体"/>
          <w:b/>
          <w:szCs w:val="21"/>
        </w:rPr>
        <w:t xml:space="preserve">、评审过程中出现下列情形之一的，评审委员会应当启动异常低价投标(响应)审查程序:</w:t>
      </w:r>
      <w:r/>
    </w:p>
    <w:p>
      <w:pPr>
        <w:ind w:firstLine="422"/>
        <w:spacing w:line="480" w:lineRule="exact"/>
        <w:rPr>
          <w:rFonts w:ascii="宋体" w:hAnsi="宋体"/>
          <w:b/>
          <w:szCs w:val="21"/>
        </w:rPr>
      </w:pPr>
      <w:r>
        <w:rPr>
          <w:rFonts w:hint="eastAsia" w:ascii="宋体" w:hAnsi="宋体"/>
          <w:b/>
          <w:szCs w:val="21"/>
        </w:rPr>
        <w:t xml:space="preserve">（1）投标(响应)报价低于采购项目预算50%的，即投标(响应)报价&lt;采购项目预算x50%;</w:t>
      </w:r>
      <w:r/>
    </w:p>
    <w:p>
      <w:pPr>
        <w:ind w:firstLine="422"/>
        <w:spacing w:line="480" w:lineRule="exact"/>
        <w:rPr>
          <w:rFonts w:ascii="宋体" w:hAnsi="宋体"/>
          <w:b/>
          <w:szCs w:val="21"/>
        </w:rPr>
      </w:pPr>
      <w:r>
        <w:rPr>
          <w:rFonts w:hint="eastAsia" w:ascii="宋体" w:hAnsi="宋体"/>
          <w:b/>
          <w:szCs w:val="21"/>
        </w:rPr>
        <w:t xml:space="preserve">（2）投标(响应)报价低于采购项目最高限价45%的，即投标(响应)报价&lt;采购项目最高限价x45%;</w:t>
      </w:r>
      <w:r/>
    </w:p>
    <w:p>
      <w:pPr>
        <w:ind w:firstLine="422"/>
        <w:spacing w:line="480" w:lineRule="exact"/>
        <w:rPr>
          <w:rFonts w:ascii="宋体" w:hAnsi="宋体"/>
          <w:b/>
          <w:szCs w:val="21"/>
        </w:rPr>
      </w:pPr>
      <w:r>
        <w:rPr>
          <w:rFonts w:hint="eastAsia" w:ascii="宋体" w:hAnsi="宋体"/>
          <w:b/>
          <w:szCs w:val="21"/>
        </w:rPr>
        <w:t xml:space="preserve">（3）评审委员会认定的供应商报价过低、有可能影响产品质量或者不能诚信履约的其他情形。</w:t>
      </w:r>
      <w:r/>
    </w:p>
    <w:p>
      <w:pPr>
        <w:ind w:firstLine="422"/>
        <w:spacing w:line="480" w:lineRule="exact"/>
        <w:rPr>
          <w:rFonts w:ascii="宋体" w:hAnsi="宋体"/>
          <w:b/>
          <w:szCs w:val="21"/>
        </w:rPr>
      </w:pPr>
      <w:r>
        <w:rPr>
          <w:rFonts w:ascii="宋体" w:hAnsi="宋体"/>
          <w:b/>
          <w:szCs w:val="21"/>
        </w:rPr>
        <w:t xml:space="preserve">6</w:t>
      </w:r>
      <w:r>
        <w:rPr>
          <w:rFonts w:hint="eastAsia" w:ascii="宋体" w:hAnsi="宋体"/>
          <w:b/>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乎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r/>
    </w:p>
    <w:p>
      <w:pPr>
        <w:ind w:firstLine="422"/>
        <w:spacing w:line="480" w:lineRule="exact"/>
        <w:rPr>
          <w:rFonts w:hint="eastAsia" w:ascii="宋体" w:hAnsi="宋体"/>
          <w:b/>
          <w:szCs w:val="21"/>
        </w:rPr>
      </w:pPr>
      <w:r>
        <w:rPr>
          <w:rFonts w:hint="eastAsia" w:ascii="宋体" w:hAnsi="宋体"/>
          <w:b/>
          <w:szCs w:val="21"/>
        </w:rPr>
        <w:t xml:space="preserve">7、评分标准</w:t>
      </w:r>
      <w:r/>
    </w:p>
    <w:p>
      <w:pPr>
        <w:ind w:firstLine="420"/>
        <w:spacing w:line="480" w:lineRule="exact"/>
        <w:shd w:val="clear" w:color="auto" w:fill="ffff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本项目评分总分值为100分。</w:t>
      </w:r>
      <w:r/>
    </w:p>
    <w:tbl>
      <w:tblPr>
        <w:tblStyle w:val="807"/>
        <w:tblW w:w="9939" w:type="dxa"/>
        <w:tblInd w:w="-2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00"/>
        <w:gridCol w:w="1266"/>
        <w:gridCol w:w="7473"/>
      </w:tblGrid>
      <w:tr>
        <w:trPr>
          <w:trHeight w:val="989"/>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spacing w:line="480" w:lineRule="exact"/>
              <w:shd w:val="clear" w:color="auto" w:fill="ffffff"/>
              <w:rPr>
                <w:rFonts w:hint="default" w:ascii="宋体" w:hAnsi="宋体" w:eastAsia="宋体" w:cs="Times New Roman"/>
                <w:sz w:val="21"/>
                <w:szCs w:val="21"/>
                <w:lang w:val="en-US" w:eastAsia="zh-CN" w:bidi="ar-SA"/>
              </w:rPr>
            </w:pPr>
            <w:r>
              <w:rPr>
                <w:rFonts w:hint="eastAsia" w:ascii="宋体" w:hAnsi="宋体" w:eastAsia="宋体" w:cs="Times New Roman"/>
                <w:b/>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rPr>
                <w:rFonts w:hint="eastAsia" w:ascii="宋体" w:hAnsi="宋体" w:eastAsia="宋体" w:cs="Times New Roman"/>
                <w:sz w:val="21"/>
                <w:szCs w:val="21"/>
                <w:lang w:val="en-US" w:eastAsia="zh-CN" w:bidi="ar-SA"/>
              </w:rPr>
            </w:pPr>
            <w:r>
              <w:rPr>
                <w:rFonts w:hint="eastAsia" w:ascii="宋体" w:hAnsi="宋体" w:eastAsia="宋体" w:cs="Times New Roman"/>
                <w:b/>
                <w:color w:val="auto"/>
                <w:sz w:val="24"/>
                <w:highlight w:val="none"/>
              </w:rPr>
              <w:t xml:space="preserve">评审项目</w:t>
            </w:r>
            <w:r/>
          </w:p>
        </w:tc>
        <w:tc>
          <w:tcPr>
            <w:shd w:val="clear" w:color="auto" w:fill="ffffff"/>
            <w:tcBorders>
              <w:top w:val="single" w:color="000000" w:sz="4" w:space="0"/>
              <w:left w:val="single" w:color="000000" w:sz="4" w:space="0"/>
              <w:bottom w:val="single" w:color="000000" w:sz="4" w:space="0"/>
              <w:right w:val="single" w:color="000000" w:sz="4" w:space="0"/>
            </w:tcBorders>
            <w:tcW w:w="7473" w:type="dxa"/>
            <w:vAlign w:val="center"/>
            <w:textDirection w:val="lrTb"/>
            <w:noWrap w:val="false"/>
          </w:tcPr>
          <w:p>
            <w:pPr>
              <w:jc w:val="center"/>
              <w:rPr>
                <w:rFonts w:hint="eastAsia" w:ascii="宋体" w:hAnsi="宋体" w:eastAsia="宋体" w:cs="Times New Roman"/>
                <w:sz w:val="21"/>
                <w:szCs w:val="21"/>
                <w:lang w:val="en-US" w:eastAsia="zh-CN" w:bidi="ar-SA"/>
              </w:rPr>
            </w:pPr>
            <w:r>
              <w:rPr>
                <w:rFonts w:hint="eastAsia" w:ascii="宋体" w:hAnsi="宋体" w:eastAsia="宋体" w:cs="Times New Roman"/>
                <w:b/>
                <w:color w:val="auto"/>
                <w:sz w:val="24"/>
                <w:highlight w:val="none"/>
              </w:rPr>
              <w:t xml:space="preserve">评分标准</w:t>
            </w:r>
            <w:r/>
          </w:p>
        </w:tc>
      </w:tr>
      <w:tr>
        <w:trPr>
          <w:trHeight w:val="989"/>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spacing w:line="480" w:lineRule="exact"/>
              <w:shd w:val="clear" w:color="auto" w:fill="ffffff"/>
              <w:rPr>
                <w:rFonts w:hint="eastAsia"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spacing w:line="240" w:lineRule="auto"/>
              <w:shd w:val="clear" w:color="auto" w:fill="ffffff"/>
              <w:rPr>
                <w:rFonts w:hint="eastAsia"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投标报价</w:t>
            </w:r>
            <w:r>
              <w:rPr>
                <w:rFonts w:hint="eastAsia" w:ascii="宋体" w:hAnsi="宋体" w:eastAsia="宋体" w:cs="Times New Roman"/>
                <w:sz w:val="21"/>
                <w:szCs w:val="21"/>
                <w:lang w:val="en-US" w:eastAsia="zh-CN" w:bidi="ar-SA"/>
              </w:rPr>
              <w:t xml:space="preserve">（30分）</w:t>
            </w:r>
            <w:r/>
          </w:p>
        </w:tc>
        <w:tc>
          <w:tcPr>
            <w:shd w:val="clear" w:color="auto" w:fill="ffffff"/>
            <w:tcBorders>
              <w:top w:val="single" w:color="000000" w:sz="4" w:space="0"/>
              <w:left w:val="single" w:color="000000" w:sz="4" w:space="0"/>
              <w:bottom w:val="single" w:color="000000" w:sz="4" w:space="0"/>
              <w:right w:val="single" w:color="000000" w:sz="4" w:space="0"/>
            </w:tcBorders>
            <w:tcW w:w="7473" w:type="dxa"/>
            <w:vAlign w:val="center"/>
            <w:textDirection w:val="lrTb"/>
            <w:noWrap w:val="false"/>
          </w:tcPr>
          <w:p>
            <w:pPr>
              <w:spacing w:line="240" w:lineRule="auto"/>
              <w:shd w:val="clear" w:color="auto" w:fill="ffff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价格分采用低价优先法计算，即满足招标文件要求且投标报价最低的为评标基准价，其价格分为满分。其他供应商的价格分统一按下列公式计算：报价得分=（评标基准价/投标报价）×30，价格分保留两位小数。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spacing w:line="360" w:lineRule="auto"/>
              <w:widowControl/>
              <w:rPr>
                <w:rFonts w:hint="eastAsia" w:ascii="宋体" w:hAnsi="宋体" w:eastAsia="宋体" w:cs="Times New Roman"/>
                <w:sz w:val="21"/>
                <w:szCs w:val="21"/>
                <w:lang w:val="en-US" w:eastAsia="zh-CN" w:bidi="ar-SA"/>
              </w:rPr>
            </w:pPr>
            <w:r>
              <w:rPr>
                <w:rFonts w:hint="eastAsia" w:ascii="宋体" w:hAnsi="宋体" w:cs="宋体"/>
                <w:color w:val="auto"/>
                <w:sz w:val="24"/>
                <w:highlight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1266"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技术响应</w:t>
            </w:r>
            <w:r/>
          </w:p>
          <w:p>
            <w:pPr>
              <w:jc w:val="center"/>
              <w:spacing w:line="360" w:lineRule="auto"/>
              <w:widowControl/>
              <w:rPr>
                <w:rFonts w:hint="eastAsia" w:ascii="宋体" w:hAnsi="宋体" w:eastAsia="宋体" w:cs="Times New Roman"/>
                <w:sz w:val="21"/>
                <w:szCs w:val="21"/>
                <w:lang w:val="en-US" w:eastAsia="zh-CN" w:bidi="ar-SA"/>
              </w:rPr>
            </w:pPr>
            <w:r>
              <w:rPr>
                <w:rFonts w:hint="eastAsia" w:ascii="宋体" w:hAnsi="宋体" w:eastAsia="宋体" w:cs="宋体"/>
                <w:color w:val="auto"/>
                <w:sz w:val="24"/>
                <w:highlight w:val="none"/>
              </w:rPr>
              <w:t xml:space="preserve">（43分）</w:t>
            </w:r>
            <w:r/>
          </w:p>
        </w:tc>
        <w:tc>
          <w:tcPr>
            <w:shd w:val="clear" w:color="auto" w:fill="ffffff"/>
            <w:tcBorders>
              <w:top w:val="single" w:color="000000" w:sz="4" w:space="0"/>
              <w:left w:val="single" w:color="000000" w:sz="4" w:space="0"/>
              <w:bottom w:val="single" w:color="000000" w:sz="4" w:space="0"/>
              <w:right w:val="single" w:color="000000" w:sz="4" w:space="0"/>
            </w:tcBorders>
            <w:tcW w:w="7473" w:type="dxa"/>
            <w:vAlign w:val="center"/>
            <w:textDirection w:val="lrTb"/>
            <w:noWrap w:val="false"/>
          </w:tcPr>
          <w:p>
            <w:pPr>
              <w:spacing w:line="240" w:lineRule="auto"/>
              <w:shd w:val="clear" w:color="auto" w:fill="ffffff"/>
              <w:rPr>
                <w:rFonts w:hint="eastAsia" w:ascii="宋体" w:hAnsi="宋体" w:cs="Times New Roman"/>
                <w:sz w:val="21"/>
                <w:szCs w:val="21"/>
                <w:lang w:val="en-US" w:eastAsia="zh-CN" w:bidi="ar-SA"/>
              </w:rPr>
            </w:pPr>
            <w:r>
              <w:rPr>
                <w:rFonts w:hint="eastAsia" w:ascii="宋体" w:hAnsi="宋体" w:cs="Times New Roman"/>
                <w:sz w:val="21"/>
                <w:szCs w:val="21"/>
                <w:lang w:val="en-US" w:eastAsia="zh-CN" w:bidi="ar-SA"/>
              </w:rPr>
              <w:t xml:space="preserve">1、加★项参数负偏离（1-5）项得30分，负偏离（6-10）项得25分，负偏离（11-15）项得20分，负偏离（16-20）项得15分，负偏离（21-23）项得10分，负偏离（24-25）项得5分，负偏离（26-29）项得1分，全部负偏离的不得分；完全满足招标技术参数要求得38分。</w:t>
            </w:r>
            <w:r/>
          </w:p>
          <w:p>
            <w:pPr>
              <w:spacing w:line="240" w:lineRule="auto"/>
              <w:shd w:val="clear" w:color="auto" w:fill="ffffff"/>
              <w:rPr>
                <w:rFonts w:hint="eastAsia" w:ascii="宋体" w:hAnsi="宋体" w:cs="Times New Roman"/>
                <w:sz w:val="21"/>
                <w:szCs w:val="21"/>
                <w:lang w:val="en-US" w:eastAsia="zh-CN" w:bidi="ar-SA"/>
              </w:rPr>
            </w:pPr>
            <w:r>
              <w:rPr>
                <w:rFonts w:hint="eastAsia" w:ascii="宋体" w:hAnsi="宋体" w:cs="Times New Roman"/>
                <w:sz w:val="21"/>
                <w:szCs w:val="21"/>
                <w:lang w:val="en-US" w:eastAsia="zh-CN" w:bidi="ar-SA"/>
              </w:rPr>
              <w:t xml:space="preserve">2、其它参数（不包含★）负偏离（1-20）项得4分，负偏离（21-40）项得3分，负偏离（41-60）项得2分，负偏离（61-80）项得1分，负偏离（81-100）项得0.5分，负偏离101项及以上的不得分，完全满足招标技术参数要求得5分。</w:t>
            </w:r>
            <w:r/>
          </w:p>
          <w:p>
            <w:pPr>
              <w:spacing w:line="240" w:lineRule="auto"/>
              <w:shd w:val="clear" w:color="auto" w:fill="ffffff"/>
              <w:rPr>
                <w:rFonts w:hint="eastAsia"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技术参数不得虚假响应，如经查实，将予以取消中标资格，并提交财政监管部门处理，有可能面临着被列入失信名单的法律风险；</w:t>
            </w:r>
            <w:r/>
          </w:p>
        </w:tc>
      </w:tr>
      <w:tr>
        <w:trPr>
          <w:trHeight w:val="1212"/>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1266" w:type="dxa"/>
            <w:vAlign w:val="center"/>
            <w:textDirection w:val="lrTb"/>
            <w:noWrap/>
          </w:tcPr>
          <w:p>
            <w:pPr>
              <w:jc w:val="center"/>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cs="Times New Roman"/>
                <w:sz w:val="21"/>
                <w:szCs w:val="21"/>
                <w:lang w:val="en-US" w:eastAsia="zh-CN" w:bidi="ar-SA"/>
              </w:rPr>
              <w:t xml:space="preserve">综合实力 </w:t>
            </w:r>
            <w:r>
              <w:rPr>
                <w:rFonts w:hint="eastAsia" w:ascii="宋体" w:hAnsi="宋体" w:eastAsia="宋体" w:cs="Times New Roman"/>
                <w:sz w:val="21"/>
                <w:szCs w:val="21"/>
                <w:lang w:val="en-US" w:eastAsia="zh-CN" w:bidi="ar-SA"/>
              </w:rPr>
              <w:t xml:space="preserve">（4分）</w:t>
            </w:r>
            <w:r/>
          </w:p>
        </w:tc>
        <w:tc>
          <w:tcPr>
            <w:shd w:val="clear" w:color="auto" w:fill="ffffff"/>
            <w:tcBorders>
              <w:top w:val="single" w:color="000000" w:sz="4" w:space="0"/>
              <w:left w:val="single" w:color="000000" w:sz="4" w:space="0"/>
              <w:bottom w:val="single" w:color="000000" w:sz="4" w:space="0"/>
              <w:right w:val="single" w:color="000000" w:sz="4" w:space="0"/>
            </w:tcBorders>
            <w:tcW w:w="7473" w:type="dxa"/>
            <w:vAlign w:val="center"/>
            <w:textDirection w:val="lrTb"/>
            <w:noWrap w:val="false"/>
          </w:tcPr>
          <w:p>
            <w:p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1）投标人具有ISO9001质量管理体系认证证书的得2分。需提供</w:t>
            </w:r>
            <w:r>
              <w:rPr>
                <w:rFonts w:hint="eastAsia" w:ascii="宋体" w:hAnsi="宋体" w:cs="Times New Roman"/>
                <w:sz w:val="21"/>
                <w:szCs w:val="21"/>
                <w:lang w:val="en-US" w:eastAsia="zh-CN" w:bidi="ar-SA"/>
              </w:rPr>
              <w:t xml:space="preserve">原件扫描件</w:t>
            </w:r>
            <w:r>
              <w:rPr>
                <w:rFonts w:hint="eastAsia" w:ascii="宋体" w:hAnsi="宋体" w:eastAsia="宋体" w:cs="Times New Roman"/>
                <w:sz w:val="21"/>
                <w:szCs w:val="21"/>
                <w:lang w:val="en-US" w:eastAsia="zh-CN" w:bidi="ar-SA"/>
              </w:rPr>
              <w:t xml:space="preserve">，不提供不得分。</w:t>
            </w:r>
            <w:r/>
          </w:p>
          <w:p>
            <w:p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2）投标人具有ISO27001信息安全管理体系认证证书的得2分。需提供</w:t>
            </w:r>
            <w:r>
              <w:rPr>
                <w:rFonts w:hint="eastAsia" w:ascii="宋体" w:hAnsi="宋体" w:cs="Times New Roman"/>
                <w:sz w:val="21"/>
                <w:szCs w:val="21"/>
                <w:lang w:val="en-US" w:eastAsia="zh-CN" w:bidi="ar-SA"/>
              </w:rPr>
              <w:t xml:space="preserve">原件扫描件</w:t>
            </w:r>
            <w:r>
              <w:rPr>
                <w:rFonts w:hint="eastAsia" w:ascii="宋体" w:hAnsi="宋体" w:eastAsia="宋体" w:cs="Times New Roman"/>
                <w:sz w:val="21"/>
                <w:szCs w:val="21"/>
                <w:lang w:val="en-US" w:eastAsia="zh-CN" w:bidi="ar-SA"/>
              </w:rPr>
              <w:t xml:space="preserve">，不提供不得分。</w:t>
            </w:r>
            <w:r>
              <w:rPr>
                <w:rFonts w:hint="eastAsia" w:ascii="宋体" w:hAnsi="宋体" w:cs="Times New Roman"/>
                <w:sz w:val="21"/>
                <w:szCs w:val="21"/>
                <w:lang w:val="en-US" w:eastAsia="zh-CN" w:bidi="ar-SA"/>
              </w:rPr>
              <w:t xml:space="preserve">                                               </w:t>
            </w:r>
            <w:r>
              <w:rPr>
                <w:rFonts w:hint="eastAsia" w:ascii="宋体" w:hAnsi="宋体" w:eastAsia="宋体" w:cs="Times New Roman"/>
                <w:sz w:val="21"/>
                <w:szCs w:val="21"/>
                <w:lang w:val="en-US" w:eastAsia="zh-CN" w:bidi="ar-SA"/>
              </w:rPr>
              <w:t xml:space="preserve">3）投标人具有ISO20000 信息技术服务管理体系认证证书的得2分。需提供</w:t>
            </w:r>
            <w:r>
              <w:rPr>
                <w:rFonts w:hint="eastAsia" w:ascii="宋体" w:hAnsi="宋体" w:cs="Times New Roman"/>
                <w:sz w:val="21"/>
                <w:szCs w:val="21"/>
                <w:lang w:val="en-US" w:eastAsia="zh-CN" w:bidi="ar-SA"/>
              </w:rPr>
              <w:t xml:space="preserve">原件扫描件</w:t>
            </w:r>
            <w:r>
              <w:rPr>
                <w:rFonts w:hint="eastAsia" w:ascii="宋体" w:hAnsi="宋体" w:eastAsia="宋体" w:cs="Times New Roman"/>
                <w:sz w:val="21"/>
                <w:szCs w:val="21"/>
                <w:lang w:val="en-US" w:eastAsia="zh-CN" w:bidi="ar-SA"/>
              </w:rPr>
              <w:t xml:space="preserve">，不提供不得分。</w:t>
            </w:r>
            <w:r/>
          </w:p>
          <w:p>
            <w:p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注：提供的上述证书必须在有效期范围内且在全国认证认可信息服务平台查询状态必须是合格状态。   </w:t>
            </w:r>
            <w:r/>
          </w:p>
        </w:tc>
      </w:tr>
      <w:tr>
        <w:trPr>
          <w:trHeight w:val="2268"/>
        </w:trPr>
        <w:tc>
          <w:tcPr>
            <w:shd w:val="clear" w:color="auto" w:fill="auto"/>
            <w:tcBorders>
              <w:top w:val="single" w:color="000000" w:sz="4" w:space="0"/>
              <w:left w:val="single" w:color="000000" w:sz="4" w:space="0"/>
              <w:bottom w:val="single" w:color="000000" w:sz="4" w:space="0"/>
              <w:right w:val="single" w:color="auto" w:sz="4" w:space="0"/>
            </w:tcBorders>
            <w:tcW w:w="1200" w:type="dxa"/>
            <w:vAlign w:val="center"/>
            <w:textDirection w:val="lrTb"/>
            <w:noWrap/>
          </w:tcPr>
          <w:p>
            <w:pPr>
              <w:jc w:val="center"/>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keepLines w:val="0"/>
              <w:keepNext w:val="0"/>
              <w:spacing w:line="240" w:lineRule="auto"/>
              <w:widowControl/>
              <w:rPr>
                <w:rFonts w:hint="default" w:ascii="宋体" w:hAnsi="宋体" w:eastAsia="宋体" w:cs="Times New Roman"/>
                <w:sz w:val="21"/>
                <w:szCs w:val="21"/>
                <w:lang w:val="en-US" w:eastAsia="zh-CN" w:bidi="ar-SA"/>
              </w:rPr>
              <w:suppressLineNumbers w:val="0"/>
            </w:pPr>
            <w:r>
              <w:rPr>
                <w:rFonts w:hint="eastAsia" w:ascii="宋体" w:hAnsi="宋体" w:cs="Times New Roman"/>
                <w:sz w:val="21"/>
                <w:szCs w:val="21"/>
                <w:lang w:val="en-US" w:eastAsia="zh-CN" w:bidi="ar-SA"/>
              </w:rPr>
              <w:t xml:space="preserve">履约能力</w:t>
            </w:r>
            <w:r/>
          </w:p>
          <w:p>
            <w:pPr>
              <w:jc w:val="center"/>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w:t>
            </w:r>
            <w:r>
              <w:rPr>
                <w:rFonts w:hint="eastAsia" w:ascii="宋体" w:hAnsi="宋体" w:cs="Times New Roman"/>
                <w:sz w:val="21"/>
                <w:szCs w:val="21"/>
                <w:lang w:val="en-US" w:eastAsia="zh-CN" w:bidi="ar-SA"/>
              </w:rPr>
              <w:t xml:space="preserve">9</w:t>
            </w:r>
            <w:r>
              <w:rPr>
                <w:rFonts w:hint="eastAsia" w:ascii="宋体" w:hAnsi="宋体" w:eastAsia="宋体" w:cs="Times New Roman"/>
                <w:sz w:val="21"/>
                <w:szCs w:val="21"/>
                <w:lang w:val="en-US" w:eastAsia="zh-CN" w:bidi="ar-SA"/>
              </w:rPr>
              <w:t xml:space="preserve">分）</w:t>
            </w:r>
            <w:r/>
          </w:p>
        </w:tc>
        <w:tc>
          <w:tcPr>
            <w:shd w:val="clear" w:color="auto" w:fill="ffffff"/>
            <w:tcBorders>
              <w:top w:val="single" w:color="000000" w:sz="4" w:space="0"/>
              <w:left w:val="single" w:color="auto" w:sz="4" w:space="0"/>
              <w:bottom w:val="single" w:color="000000" w:sz="4" w:space="0"/>
              <w:right w:val="single" w:color="000000" w:sz="4" w:space="0"/>
            </w:tcBorders>
            <w:tcW w:w="7473" w:type="dxa"/>
            <w:vAlign w:val="center"/>
            <w:textDirection w:val="lrTb"/>
            <w:noWrap w:val="false"/>
          </w:tcPr>
          <w:p>
            <w:pPr>
              <w:numPr>
                <w:ilvl w:val="0"/>
                <w:numId w:val="0"/>
              </w:numPr>
              <w:jc w:val="left"/>
              <w:keepLines w:val="0"/>
              <w:keepNext w:val="0"/>
              <w:widowControl/>
              <w:rPr>
                <w:rFonts w:hint="eastAsia" w:ascii="宋体" w:hAnsi="宋体" w:cs="Times New Roman"/>
                <w:sz w:val="21"/>
                <w:szCs w:val="21"/>
                <w:lang w:val="en-US" w:eastAsia="zh-CN" w:bidi="ar-SA"/>
              </w:rPr>
              <w:suppressLineNumbers w:val="0"/>
            </w:pPr>
            <w:r>
              <w:rPr>
                <w:rFonts w:hint="eastAsia" w:ascii="宋体" w:hAnsi="宋体" w:cs="Times New Roman"/>
                <w:sz w:val="21"/>
                <w:szCs w:val="21"/>
                <w:lang w:val="en-US" w:eastAsia="zh-CN" w:bidi="ar-SA"/>
              </w:rPr>
              <w:t xml:space="preserve">1）投标人拟派项目经理（1人）：注册信息安全专业人员（CISP)，电子信息专业工程师及以上职称的，每提供一个证书得2分，最高得4分。</w:t>
            </w:r>
            <w:r/>
          </w:p>
          <w:p>
            <w:pPr>
              <w:numPr>
                <w:ilvl w:val="0"/>
                <w:numId w:val="0"/>
              </w:numPr>
              <w:jc w:val="left"/>
              <w:keepLines w:val="0"/>
              <w:keepNext w:val="0"/>
              <w:widowControl/>
              <w:rPr>
                <w:rFonts w:hint="eastAsia" w:ascii="宋体" w:hAnsi="宋体" w:cs="Times New Roman"/>
                <w:sz w:val="21"/>
                <w:szCs w:val="21"/>
                <w:lang w:val="en-US" w:eastAsia="zh-CN" w:bidi="ar-SA"/>
              </w:rPr>
              <w:suppressLineNumbers w:val="0"/>
            </w:pPr>
            <w:r>
              <w:rPr>
                <w:rFonts w:hint="eastAsia" w:ascii="宋体" w:hAnsi="宋体" w:cs="Times New Roman"/>
                <w:sz w:val="21"/>
                <w:szCs w:val="21"/>
                <w:lang w:val="en-US" w:eastAsia="zh-CN" w:bidi="ar-SA"/>
              </w:rPr>
              <w:t xml:space="preserve">2）投标人拟派技术经理（1人）：具有信息系统项目管理师证书、二级及以上建造师（机电工程）、电子信息工程相关的工程师及以上职称证书，每提供一个证书得1分，最高得3分。</w:t>
            </w:r>
            <w:r/>
          </w:p>
          <w:p>
            <w:pPr>
              <w:numPr>
                <w:ilvl w:val="0"/>
                <w:numId w:val="0"/>
              </w:numPr>
              <w:jc w:val="left"/>
              <w:keepLines w:val="0"/>
              <w:keepNext w:val="0"/>
              <w:widowControl/>
              <w:rPr>
                <w:rFonts w:hint="eastAsia" w:ascii="宋体" w:hAnsi="宋体" w:cs="Times New Roman"/>
                <w:sz w:val="21"/>
                <w:szCs w:val="21"/>
                <w:lang w:val="en-US" w:eastAsia="zh-CN" w:bidi="ar-SA"/>
              </w:rPr>
              <w:suppressLineNumbers w:val="0"/>
            </w:pPr>
            <w:r>
              <w:rPr>
                <w:rFonts w:hint="eastAsia" w:ascii="宋体" w:hAnsi="宋体" w:cs="Times New Roman"/>
                <w:sz w:val="21"/>
                <w:szCs w:val="21"/>
                <w:lang w:val="en-US" w:eastAsia="zh-CN" w:bidi="ar-SA"/>
              </w:rPr>
              <w:t xml:space="preserve">3）本项目所配备的项目团队人员（除项目经理和技术经理外）具有以下证书的，每提供一个得1分，满分2分。</w:t>
            </w:r>
            <w:r/>
          </w:p>
          <w:p>
            <w:pPr>
              <w:numPr>
                <w:ilvl w:val="0"/>
                <w:numId w:val="0"/>
              </w:numPr>
              <w:jc w:val="left"/>
              <w:keepLines w:val="0"/>
              <w:keepNext w:val="0"/>
              <w:widowControl/>
              <w:rPr>
                <w:rFonts w:hint="eastAsia" w:ascii="宋体" w:hAnsi="宋体" w:cs="Times New Roman"/>
                <w:sz w:val="21"/>
                <w:szCs w:val="21"/>
                <w:lang w:val="en-US" w:eastAsia="zh-CN" w:bidi="ar-SA"/>
              </w:rPr>
              <w:suppressLineNumbers w:val="0"/>
            </w:pPr>
            <w:r>
              <w:rPr>
                <w:rFonts w:hint="eastAsia" w:ascii="宋体" w:hAnsi="宋体" w:cs="Times New Roman"/>
                <w:sz w:val="21"/>
                <w:szCs w:val="21"/>
                <w:lang w:val="en-US" w:eastAsia="zh-CN" w:bidi="ar-SA"/>
              </w:rPr>
              <w:t xml:space="preserve">1、信息系统项目管理师</w:t>
            </w:r>
            <w:r/>
          </w:p>
          <w:p>
            <w:pPr>
              <w:numPr>
                <w:ilvl w:val="0"/>
                <w:numId w:val="0"/>
              </w:numPr>
              <w:jc w:val="left"/>
              <w:keepLines w:val="0"/>
              <w:keepNext w:val="0"/>
              <w:widowControl/>
              <w:rPr>
                <w:rFonts w:hint="eastAsia" w:ascii="宋体" w:hAnsi="宋体" w:cs="Times New Roman"/>
                <w:sz w:val="21"/>
                <w:szCs w:val="21"/>
                <w:lang w:val="en-US" w:eastAsia="zh-CN" w:bidi="ar-SA"/>
              </w:rPr>
              <w:suppressLineNumbers w:val="0"/>
            </w:pPr>
            <w:r>
              <w:rPr>
                <w:rFonts w:hint="eastAsia" w:ascii="宋体" w:hAnsi="宋体" w:cs="Times New Roman"/>
                <w:sz w:val="21"/>
                <w:szCs w:val="21"/>
                <w:lang w:val="en-US" w:eastAsia="zh-CN" w:bidi="ar-SA"/>
              </w:rPr>
              <w:t xml:space="preserve">2、网络规划设计师</w:t>
            </w:r>
            <w:r/>
          </w:p>
          <w:p>
            <w:pPr>
              <w:numPr>
                <w:ilvl w:val="0"/>
                <w:numId w:val="0"/>
              </w:numPr>
              <w:jc w:val="left"/>
              <w:keepLines w:val="0"/>
              <w:keepNext w:val="0"/>
              <w:widowControl/>
              <w:rPr>
                <w:rFonts w:hint="eastAsia" w:ascii="宋体" w:hAnsi="宋体" w:eastAsia="宋体" w:cs="Times New Roman"/>
                <w:sz w:val="21"/>
                <w:szCs w:val="21"/>
                <w:lang w:val="en-US" w:eastAsia="zh-CN" w:bidi="ar-SA"/>
              </w:rPr>
              <w:suppressLineNumbers w:val="0"/>
            </w:pPr>
            <w:r>
              <w:rPr>
                <w:rFonts w:hint="eastAsia" w:ascii="宋体" w:hAnsi="宋体" w:cs="Times New Roman"/>
                <w:sz w:val="21"/>
                <w:szCs w:val="21"/>
                <w:lang w:val="en-US" w:eastAsia="zh-CN" w:bidi="ar-SA"/>
              </w:rPr>
              <w:t xml:space="preserve">注：投标时需提供以上人员证书原件扫描件、投标人与以上人员签订的劳动合同原件扫描件，以及投标人已为以上人员缴纳养老保险的承诺书，未按要求提供和不提供的均不得分。</w:t>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80" w:lineRule="exact"/>
              <w:shd w:val="clear" w:color="auto" w:fill="ffffff"/>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240" w:lineRule="auto"/>
              <w:shd w:val="clear" w:color="auto" w:fill="ffff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成功案例</w:t>
            </w:r>
            <w:r>
              <w:rPr>
                <w:rFonts w:hint="eastAsia" w:ascii="宋体" w:hAnsi="宋体" w:cs="Times New Roman"/>
                <w:sz w:val="21"/>
                <w:szCs w:val="21"/>
                <w:lang w:val="en-US" w:eastAsia="zh-CN" w:bidi="ar-SA"/>
              </w:rPr>
              <w:t xml:space="preserve"> </w:t>
            </w:r>
            <w:r>
              <w:rPr>
                <w:rFonts w:hint="eastAsia" w:ascii="宋体" w:hAnsi="宋体" w:eastAsia="宋体" w:cs="Times New Roman"/>
                <w:sz w:val="21"/>
                <w:szCs w:val="21"/>
                <w:lang w:val="en-US" w:eastAsia="zh-CN" w:bidi="ar-SA"/>
              </w:rPr>
              <w:t xml:space="preserve">（2分）</w:t>
            </w:r>
            <w:r/>
          </w:p>
        </w:tc>
        <w:tc>
          <w:tcPr>
            <w:shd w:val="clear" w:color="auto" w:fill="ffffff"/>
            <w:tcBorders>
              <w:top w:val="single" w:color="000000" w:sz="4" w:space="0"/>
              <w:left w:val="single" w:color="000000" w:sz="4" w:space="0"/>
              <w:bottom w:val="single" w:color="000000" w:sz="4" w:space="0"/>
              <w:right w:val="single" w:color="000000" w:sz="4" w:space="0"/>
            </w:tcBorders>
            <w:tcW w:w="7473" w:type="dxa"/>
            <w:vAlign w:val="center"/>
            <w:textDirection w:val="lrTb"/>
            <w:noWrap w:val="false"/>
          </w:tcPr>
          <w:p>
            <w:pPr>
              <w:spacing w:line="240" w:lineRule="auto"/>
              <w:shd w:val="clear" w:color="auto" w:fill="ffff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投标人提供自2021年1月1日以来（以合同签订日期为准）承担过的类似智能化项目业绩，每提供一个业绩得1分，满分2分。</w:t>
            </w:r>
            <w:r/>
          </w:p>
          <w:p>
            <w:pPr>
              <w:spacing w:line="240" w:lineRule="auto"/>
              <w:shd w:val="clear" w:color="auto" w:fill="ffff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注：投标人需提供类似项目合同及验收证明文件原件扫描件，以上文件缺一不可，未提供不得分。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numPr>
                <w:ilvl w:val="0"/>
                <w:numId w:val="0"/>
              </w:numPr>
              <w:jc w:val="center"/>
              <w:keepLines w:val="0"/>
              <w:keepNext w:val="0"/>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施工组织方案（4分）</w:t>
            </w:r>
            <w:r/>
          </w:p>
        </w:tc>
        <w:tc>
          <w:tcPr>
            <w:shd w:val="clear" w:color="auto" w:fill="ffffff"/>
            <w:tcBorders>
              <w:top w:val="single" w:color="000000" w:sz="4" w:space="0"/>
              <w:left w:val="single" w:color="000000" w:sz="4" w:space="0"/>
              <w:bottom w:val="single" w:color="000000" w:sz="4" w:space="0"/>
              <w:right w:val="single" w:color="000000" w:sz="4" w:space="0"/>
            </w:tcBorders>
            <w:tcW w:w="7473"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根据项目工期、质量要求，投标人根据实际情况制定合理的施工组织方案，方案须包括但不限于如下内容：</w:t>
            </w:r>
            <w:r/>
          </w:p>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1、人员安排（1分）：人员安排合理、分工明确满足采购需求、针对本项目服务人员安排合理化建议，大于等于5条的得1分；人员安排合理、分工明确满足采购需求、针对本项目服务人员安排合理化建议，3-4条的得0.5分；人员安排合理、分工明确满足采购需求、针对本项目服务人员安排合理化建议，1-2条的得0.2分；方案内容有明显重大缺陷的或未提供本项内容的不得分。</w:t>
            </w:r>
            <w:r/>
          </w:p>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2、施工进度安排（1分）：进度计划方案完全满足工期要求、内容完整、进度保证合理化措施，不少于5条的得1分；进度计划方案完全满足工期要求、内容完整、进度保证合理化措施，3-4条的得0.5分；进度计划方案完全满足工期要求、内容完整、进度保证合理化措施，1-2条的得0.2分；方案内容有明显重大缺陷的或未提供本项内容的不得分。</w:t>
            </w:r>
            <w:r/>
          </w:p>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3、施工安全保证措施（1分）：安全保证方案内容完整、安全保证合理化措施，不少于5条的得1分；安全保证方案内容完整、安全保证合理化措施，3-4条的得0.5分，安全保证方案内容完整、安全保证合理化措施，1-2条的得0.2分，方案内容有明显重大缺陷的或未提供本项内容的不得分。</w:t>
            </w:r>
            <w:r/>
          </w:p>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4、施工质量保证措施（1分）：质量保证方案内容完整、质量保证合理化措施，不少于5条的得1分；质量保证方案内容完整、质量保证合理化措施，3-4条的得0.5分；质量保证方案内容完整、质量保证合理化措施，1-2条的得0.2分，方案内容有明显重大缺陷的或未提供本项内容的不得分。</w:t>
            </w:r>
            <w:r/>
          </w:p>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评委根据方案内容进行评分，未提供或表述内容与本项目无关、套用其它方案、凭空编造、逻辑漏洞、科学原理错误以及不可能实现的夸大情形等不得分。</w:t>
            </w:r>
            <w:r/>
          </w:p>
        </w:tc>
      </w:tr>
      <w:tr>
        <w:trPr>
          <w:trHeight w:val="1438"/>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售后服务方案（4分）</w:t>
            </w:r>
            <w:r/>
          </w:p>
        </w:tc>
        <w:tc>
          <w:tcPr>
            <w:shd w:val="clear" w:color="auto" w:fill="auto"/>
            <w:tcBorders>
              <w:top w:val="single" w:color="000000" w:sz="4" w:space="0"/>
              <w:left w:val="single" w:color="000000" w:sz="4" w:space="0"/>
              <w:bottom w:val="single" w:color="000000" w:sz="4" w:space="0"/>
              <w:right w:val="single" w:color="000000" w:sz="4" w:space="0"/>
            </w:tcBorders>
            <w:tcW w:w="7473"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对投标人提供的售后技术服务方案进行打分，方案须包含但不限于以下内容：</w:t>
            </w:r>
            <w:r/>
          </w:p>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1、具体可行的售后服务体系（2分）</w:t>
            </w:r>
            <w:r/>
          </w:p>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服务承诺、售后服务内容、质保期内（含设备发生故障后，按照不同故障类型所采取的处置方案）的售后服务方案、履行合同相关专业服务机构及人员配置情况、售后服务响应时间、备品备件方案6个方面全部进行合理叙述承诺的得2分；3-5个方面进行合理叙述承诺的得1分；1-2个方面进行合理叙述承诺的得0.5分；方案内容有明显重大缺陷的或未提供的不得分。</w:t>
            </w:r>
            <w:r/>
          </w:p>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2、出现问题应急方案（2分）</w:t>
            </w:r>
            <w:r/>
          </w:p>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应急响应整体架构完整、响应时间合理、人员设备应急响应能力充足应急方案中具有针对本项目的合理化建议大于等于5条的得2分；急响应整体架构完整、响应时间合理、人员设备应急响应能力充足应急方案中具有针对本项目的合理化建议3-4条的得1分；急响应整体架构完整、响应时间合理、人员设备应急响应能力充足应急方案中具有针对本项目的合理化建议1-2条的得0.5分；方案内容有明显重大缺陷的或未提供的不得分。</w:t>
            </w:r>
            <w:r/>
          </w:p>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评委根据方案内容进行评分，未提供或表述内容与本项目无关、套用其它方案、凭空编造、逻辑漏洞、科学原理错误以及不可能实现的夸大情形等不得分。</w:t>
            </w:r>
            <w:r/>
          </w:p>
        </w:tc>
      </w:tr>
      <w:tr>
        <w:trPr>
          <w:trHeight w:val="1723"/>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default" w:ascii="宋体" w:hAnsi="宋体" w:cs="Times New Roman"/>
                <w:sz w:val="21"/>
                <w:szCs w:val="21"/>
                <w:lang w:val="en-US" w:eastAsia="zh-CN" w:bidi="ar-SA"/>
              </w:rPr>
            </w:pPr>
            <w:r>
              <w:rPr>
                <w:rFonts w:hint="eastAsia" w:ascii="宋体" w:hAnsi="宋体" w:cs="Times New Roman"/>
                <w:sz w:val="21"/>
                <w:szCs w:val="21"/>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节能环保</w:t>
            </w:r>
            <w:r>
              <w:rPr>
                <w:rFonts w:hint="eastAsia" w:ascii="宋体" w:hAnsi="宋体" w:cs="Times New Roman"/>
                <w:sz w:val="21"/>
                <w:szCs w:val="21"/>
                <w:lang w:val="en-US" w:eastAsia="zh-CN" w:bidi="ar-SA"/>
              </w:rPr>
              <w:t xml:space="preserve"> </w:t>
            </w:r>
            <w:r>
              <w:rPr>
                <w:rFonts w:hint="eastAsia" w:ascii="宋体" w:hAnsi="宋体" w:eastAsia="宋体" w:cs="Times New Roman"/>
                <w:sz w:val="21"/>
                <w:szCs w:val="21"/>
                <w:lang w:val="en-US" w:eastAsia="zh-CN" w:bidi="ar-SA"/>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7473"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numPr>
                <w:ilvl w:val="0"/>
                <w:numId w:val="0"/>
              </w:numPr>
              <w:jc w:val="left"/>
              <w:keepLines w:val="0"/>
              <w:keepNext w:val="0"/>
              <w:spacing w:line="240" w:lineRule="auto"/>
              <w:widowControl/>
              <w:rPr>
                <w:rFonts w:hint="eastAsia" w:ascii="宋体" w:hAnsi="宋体" w:eastAsia="宋体" w:cs="Times New Roman"/>
                <w:sz w:val="21"/>
                <w:szCs w:val="21"/>
                <w:lang w:val="en-US" w:eastAsia="zh-CN" w:bidi="ar-SA"/>
              </w:rPr>
              <w:suppressLineNumbers w:val="0"/>
            </w:pPr>
            <w:r>
              <w:rPr>
                <w:rFonts w:hint="eastAsia" w:ascii="宋体" w:hAnsi="宋体" w:eastAsia="宋体" w:cs="Times New Roman"/>
                <w:sz w:val="21"/>
                <w:szCs w:val="21"/>
                <w:lang w:val="en-US" w:eastAsia="zh-CN" w:bidi="ar-SA"/>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ind w:firstLine="420"/>
        <w:spacing w:line="480" w:lineRule="exact"/>
        <w:shd w:val="clear" w:color="auto" w:fill="ffffff"/>
        <w:rPr>
          <w:rFonts w:hint="eastAsia" w:ascii="宋体" w:hAnsi="宋体" w:eastAsia="宋体" w:cs="Times New Roman"/>
          <w:szCs w:val="21"/>
        </w:rPr>
      </w:pPr>
      <w:r>
        <w:rPr>
          <w:rFonts w:hint="eastAsia" w:ascii="宋体" w:hAnsi="宋体" w:eastAsia="宋体" w:cs="Times New Roman"/>
          <w:szCs w:val="21"/>
        </w:rPr>
        <w:t xml:space="preserve">2.招标人有权在中标公示期间、签约前后等任何环节对相关资料的真实性进行核验，如发现提供虚假资料招标人将依法取消其中标资格。</w:t>
      </w:r>
      <w:r/>
    </w:p>
    <w:p>
      <w:pPr>
        <w:ind w:firstLine="420"/>
        <w:spacing w:line="480" w:lineRule="exact"/>
        <w:shd w:val="clear" w:color="auto" w:fill="ffffff"/>
        <w:rPr>
          <w:rFonts w:ascii="宋体" w:hAnsi="宋体"/>
          <w:szCs w:val="21"/>
        </w:rPr>
      </w:pPr>
      <w:r>
        <w:rPr>
          <w:rFonts w:ascii="宋体" w:hAnsi="宋体"/>
          <w:szCs w:val="21"/>
        </w:rPr>
        <w:t xml:space="preserve">3</w:t>
      </w:r>
      <w:r>
        <w:rPr>
          <w:rFonts w:hint="eastAsia" w:ascii="宋体" w:hAnsi="宋体"/>
          <w:szCs w:val="21"/>
          <w:lang w:val="en-US" w:eastAsia="zh-CN"/>
        </w:rPr>
        <w:t xml:space="preserve">.</w:t>
      </w:r>
      <w:r>
        <w:rPr>
          <w:rFonts w:hint="eastAsia" w:ascii="宋体" w:hAnsi="宋体"/>
          <w:szCs w:val="21"/>
        </w:rPr>
        <w:t xml:space="preserve">评委应记名打分，打分未记名的或未按招标文件规定的评标办法打分的，一律按无效打分处理。取所有评委的有效分值进行计分、汇总；各项汇总时，每大项记分保留三位小数（第四位四舍五入）；总得分汇总时保留两位小数（第三位四舍五入）。</w:t>
      </w:r>
      <w:r/>
    </w:p>
    <w:p>
      <w:pPr>
        <w:ind w:firstLine="420"/>
        <w:spacing w:line="480" w:lineRule="exact"/>
        <w:rPr>
          <w:rFonts w:ascii="宋体" w:hAnsi="宋体" w:cs="宋体"/>
          <w:szCs w:val="21"/>
        </w:rPr>
      </w:pPr>
      <w:r>
        <w:rPr>
          <w:rFonts w:hint="eastAsia" w:ascii="宋体" w:hAnsi="宋体" w:cs="宋体"/>
          <w:szCs w:val="21"/>
        </w:rPr>
        <w:t xml:space="preserve">三、评标程序</w:t>
      </w:r>
      <w:r/>
    </w:p>
    <w:p>
      <w:pPr>
        <w:ind w:firstLine="420"/>
        <w:spacing w:line="480" w:lineRule="exact"/>
        <w:rPr>
          <w:rFonts w:ascii="宋体" w:hAnsi="宋体" w:cs="宋体"/>
          <w:szCs w:val="21"/>
        </w:rPr>
      </w:pPr>
      <w:r>
        <w:rPr>
          <w:rFonts w:hint="eastAsia" w:ascii="宋体" w:hAnsi="宋体" w:cs="宋体"/>
          <w:szCs w:val="21"/>
        </w:rPr>
        <w:t xml:space="preserve">3.1 评标准备</w:t>
      </w:r>
      <w:r/>
    </w:p>
    <w:p>
      <w:pPr>
        <w:ind w:firstLine="42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t xml:space="preserve">1</w:t>
      </w:r>
      <w:r>
        <w:rPr>
          <w:rFonts w:hint="eastAsia" w:ascii="宋体" w:hAnsi="宋体" w:cs="宋体"/>
          <w:szCs w:val="21"/>
        </w:rPr>
        <w:t xml:space="preserve"> 评标委员会成员首先推选一名评标委员会负责人，负责评标活动的组织领导工作。</w:t>
      </w:r>
      <w:r/>
    </w:p>
    <w:p>
      <w:pPr>
        <w:ind w:firstLine="42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t xml:space="preserve">2</w:t>
      </w:r>
      <w:r>
        <w:rPr>
          <w:rFonts w:hint="eastAsia" w:ascii="宋体" w:hAnsi="宋体" w:cs="宋体"/>
          <w:szCs w:val="21"/>
        </w:rPr>
        <w:t xml:space="preserve"> 招标人或招标代理机构应向评标委员会提供评标所需的信息和数据。评标委员会负责人应组织评标委员会成员认真研究招标文件，未在招标文件中规定的标准和方法不得作为评标的依据。</w:t>
      </w:r>
      <w:r/>
    </w:p>
    <w:p>
      <w:pPr>
        <w:ind w:firstLine="420"/>
        <w:spacing w:line="480" w:lineRule="exact"/>
        <w:rPr>
          <w:rFonts w:ascii="宋体" w:hAnsi="宋体" w:cs="宋体"/>
          <w:szCs w:val="21"/>
        </w:rPr>
      </w:pPr>
      <w:r>
        <w:rPr>
          <w:rFonts w:hint="eastAsia" w:ascii="宋体" w:hAnsi="宋体" w:cs="宋体"/>
          <w:szCs w:val="21"/>
        </w:rPr>
        <w:t xml:space="preserve">3.2 初步评审</w:t>
      </w:r>
      <w:r/>
    </w:p>
    <w:p>
      <w:pPr>
        <w:ind w:firstLine="420"/>
        <w:spacing w:line="480" w:lineRule="exact"/>
        <w:rPr>
          <w:rFonts w:ascii="宋体" w:hAnsi="宋体" w:cs="宋体"/>
          <w:szCs w:val="21"/>
        </w:rPr>
      </w:pPr>
      <w:r>
        <w:rPr>
          <w:rFonts w:hint="eastAsia" w:ascii="宋体" w:hAnsi="宋体" w:cs="宋体"/>
          <w:szCs w:val="21"/>
        </w:rPr>
        <w:t xml:space="preserve">3.2.1评标委员会依据本章第一款规定的标准对投标文件进行初步评审。</w:t>
      </w:r>
      <w:r/>
    </w:p>
    <w:p>
      <w:pPr>
        <w:ind w:firstLine="420"/>
        <w:spacing w:line="480" w:lineRule="exact"/>
        <w:rPr>
          <w:rFonts w:ascii="宋体" w:hAnsi="宋体" w:cs="宋体"/>
          <w:szCs w:val="21"/>
        </w:rPr>
      </w:pPr>
      <w:r>
        <w:rPr>
          <w:rFonts w:hint="eastAsia" w:ascii="宋体" w:hAnsi="宋体" w:cs="宋体"/>
          <w:szCs w:val="21"/>
        </w:rPr>
        <w:t xml:space="preserve">3.2.2投标文件不符合本章第一款评审标准的，属于重大偏差，视为未能对招标文件作出实质性响应，应当作为无效投标予以否决。</w:t>
      </w:r>
      <w:r/>
    </w:p>
    <w:p>
      <w:pPr>
        <w:ind w:firstLine="420"/>
        <w:spacing w:line="480" w:lineRule="exact"/>
        <w:rPr>
          <w:rFonts w:ascii="宋体" w:hAnsi="宋体" w:cs="宋体"/>
          <w:szCs w:val="21"/>
        </w:rPr>
      </w:pPr>
      <w:r>
        <w:rPr>
          <w:rFonts w:hint="eastAsia" w:ascii="宋体" w:hAnsi="宋体" w:cs="宋体"/>
          <w:szCs w:val="21"/>
        </w:rPr>
        <w:t xml:space="preserve">3.2.</w:t>
      </w:r>
      <w:r>
        <w:rPr>
          <w:rFonts w:ascii="宋体" w:hAnsi="宋体" w:cs="宋体"/>
          <w:szCs w:val="21"/>
        </w:rPr>
        <w:t xml:space="preserve">3</w:t>
      </w:r>
      <w:r>
        <w:rPr>
          <w:rFonts w:hint="eastAsia" w:ascii="宋体" w:hAnsi="宋体" w:cs="宋体"/>
          <w:szCs w:val="21"/>
        </w:rPr>
        <w:t xml:space="preserve">只有通过初步评审的投标文件才能进入详细评审。</w:t>
      </w:r>
      <w:r/>
    </w:p>
    <w:p>
      <w:pPr>
        <w:ind w:firstLine="420"/>
        <w:spacing w:line="480" w:lineRule="exact"/>
        <w:rPr>
          <w:rFonts w:ascii="宋体" w:hAnsi="宋体" w:cs="宋体"/>
          <w:szCs w:val="21"/>
        </w:rPr>
      </w:pPr>
      <w:r>
        <w:rPr>
          <w:rFonts w:hint="eastAsia" w:ascii="宋体" w:hAnsi="宋体" w:cs="宋体"/>
          <w:szCs w:val="21"/>
        </w:rPr>
        <w:t xml:space="preserve">3.3 详细评审</w:t>
      </w:r>
      <w:r/>
    </w:p>
    <w:p>
      <w:pPr>
        <w:ind w:firstLine="420"/>
        <w:spacing w:line="480" w:lineRule="exact"/>
        <w:rPr>
          <w:rFonts w:ascii="宋体" w:hAnsi="宋体" w:cs="宋体"/>
          <w:szCs w:val="21"/>
        </w:rPr>
      </w:pPr>
      <w:r>
        <w:rPr>
          <w:rFonts w:hint="eastAsia" w:ascii="宋体" w:hAnsi="宋体" w:cs="宋体"/>
          <w:szCs w:val="21"/>
        </w:rPr>
        <w:t xml:space="preserve">3.4 投标文件的澄清和补正</w:t>
      </w:r>
      <w:r/>
    </w:p>
    <w:p>
      <w:pPr>
        <w:ind w:firstLine="420"/>
        <w:spacing w:line="480" w:lineRule="exact"/>
        <w:rPr>
          <w:rFonts w:ascii="宋体" w:hAnsi="宋体" w:cs="宋体"/>
          <w:szCs w:val="21"/>
        </w:rPr>
      </w:pPr>
      <w:r>
        <w:rPr>
          <w:rFonts w:hint="eastAsia" w:ascii="宋体" w:hAnsi="宋体" w:cs="宋体"/>
          <w:szCs w:val="21"/>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spacing w:line="480" w:lineRule="exact"/>
        <w:rPr>
          <w:rFonts w:ascii="宋体" w:hAnsi="宋体" w:cs="宋体"/>
          <w:szCs w:val="21"/>
        </w:rPr>
      </w:pPr>
      <w:r>
        <w:rPr>
          <w:rFonts w:hint="eastAsia" w:ascii="宋体" w:hAnsi="宋体" w:cs="宋体"/>
          <w:szCs w:val="21"/>
        </w:rPr>
        <w:t xml:space="preserve">3.4.2 澄清、说明和补正不得改变投标文件的实质性内容（算术性错误修正的除外）。投标人的书面澄清、说明和补正属于投标文件的组成部分。</w:t>
      </w:r>
      <w:r/>
    </w:p>
    <w:p>
      <w:pPr>
        <w:ind w:firstLine="420"/>
        <w:spacing w:line="480" w:lineRule="exact"/>
        <w:rPr>
          <w:rFonts w:ascii="宋体" w:hAnsi="宋体" w:cs="宋体"/>
          <w:szCs w:val="21"/>
        </w:rPr>
      </w:pPr>
      <w:r>
        <w:rPr>
          <w:rFonts w:hint="eastAsia" w:ascii="宋体" w:hAnsi="宋体" w:cs="宋体"/>
          <w:szCs w:val="21"/>
        </w:rPr>
        <w:t xml:space="preserve">3.4.3 评标委员会对投标人提交的澄清、说明或补正有疑问的，可以要求投标人进一步澄清、说明或补正。</w:t>
      </w:r>
      <w:r/>
    </w:p>
    <w:p>
      <w:pPr>
        <w:ind w:firstLine="420"/>
        <w:spacing w:line="480" w:lineRule="exact"/>
        <w:rPr>
          <w:rFonts w:ascii="宋体" w:hAnsi="宋体" w:cs="宋体"/>
          <w:szCs w:val="21"/>
        </w:rPr>
      </w:pPr>
      <w:r>
        <w:rPr>
          <w:rFonts w:hint="eastAsia" w:ascii="宋体" w:hAnsi="宋体" w:cs="宋体"/>
          <w:szCs w:val="21"/>
        </w:rPr>
        <w:t xml:space="preserve">3.5 推荐中标候选人或直接确定中标人</w:t>
      </w:r>
      <w:r/>
    </w:p>
    <w:p>
      <w:pPr>
        <w:ind w:firstLine="420"/>
        <w:spacing w:line="480" w:lineRule="exact"/>
        <w:rPr>
          <w:rFonts w:ascii="宋体" w:hAnsi="宋体" w:cs="宋体"/>
          <w:szCs w:val="21"/>
        </w:rPr>
      </w:pPr>
      <w:r>
        <w:rPr>
          <w:rFonts w:hint="eastAsia" w:ascii="宋体" w:hAnsi="宋体" w:cs="宋体"/>
          <w:szCs w:val="21"/>
        </w:rPr>
        <w:t xml:space="preserve">3.5.1 除投标人须知前附表授权直接确定中标人外，评标委员会在推荐中标候选人时，应遵照以下原则:</w:t>
      </w:r>
      <w:r/>
    </w:p>
    <w:p>
      <w:pPr>
        <w:ind w:firstLine="420"/>
        <w:jc w:val="left"/>
        <w:spacing w:line="480" w:lineRule="exact"/>
        <w:rPr>
          <w:rFonts w:ascii="宋体" w:hAnsi="TimesNewRomanPSMT"/>
          <w:szCs w:val="21"/>
        </w:rPr>
      </w:pPr>
      <w:r>
        <w:rPr>
          <w:rFonts w:hint="eastAsia" w:ascii="宋体" w:hAnsi="TimesNewRomanPSMT"/>
          <w:szCs w:val="21"/>
        </w:rPr>
        <w:t xml:space="preserve">评标委员会按照最终得分由高至低的次序排列，并根据投标人须知前附表规定的中标候选人数量，将排序在前的投标人推荐为中标候选人。</w:t>
      </w:r>
      <w:r/>
    </w:p>
    <w:p>
      <w:pPr>
        <w:ind w:firstLine="420"/>
        <w:spacing w:line="480" w:lineRule="exact"/>
        <w:rPr>
          <w:rFonts w:ascii="宋体" w:hAnsi="宋体" w:cs="宋体"/>
          <w:szCs w:val="21"/>
        </w:rPr>
      </w:pPr>
      <w:r>
        <w:rPr>
          <w:rFonts w:hint="eastAsia" w:ascii="宋体" w:hAnsi="宋体" w:cs="宋体"/>
          <w:szCs w:val="21"/>
        </w:rPr>
        <w:t xml:space="preserve">3.6 提交评标报告</w:t>
      </w:r>
      <w:r/>
    </w:p>
    <w:p>
      <w:pPr>
        <w:ind w:firstLine="420"/>
        <w:spacing w:line="480" w:lineRule="exact"/>
        <w:rPr>
          <w:rFonts w:ascii="宋体" w:hAnsi="宋体" w:cs="宋体"/>
          <w:szCs w:val="21"/>
        </w:rPr>
      </w:pPr>
      <w:r>
        <w:rPr>
          <w:rFonts w:hint="eastAsia" w:ascii="宋体" w:hAnsi="宋体" w:cs="宋体"/>
          <w:szCs w:val="21"/>
        </w:rPr>
        <w:t xml:space="preserve">评标委员会完成评标后，应当向招标人提交书面评标报告。评标报告应当由全体评标委员会成员签字，并于评标结束时抄送有关行政监督部门。</w:t>
      </w:r>
      <w:r/>
    </w:p>
    <w:p>
      <w:pPr>
        <w:ind w:firstLine="420"/>
        <w:spacing w:line="480" w:lineRule="exact"/>
        <w:rPr>
          <w:rFonts w:ascii="宋体" w:hAnsi="宋体" w:cs="宋体"/>
          <w:szCs w:val="21"/>
        </w:rPr>
      </w:pPr>
      <w:r>
        <w:rPr>
          <w:rFonts w:hint="eastAsia" w:ascii="宋体" w:hAnsi="宋体" w:cs="宋体"/>
          <w:szCs w:val="21"/>
        </w:rPr>
        <w:t xml:space="preserve">4． 通用评标规则</w:t>
      </w:r>
      <w:r/>
    </w:p>
    <w:p>
      <w:pPr>
        <w:ind w:firstLine="420"/>
        <w:spacing w:line="480" w:lineRule="exact"/>
        <w:rPr>
          <w:rFonts w:ascii="宋体" w:hAnsi="宋体" w:cs="宋体"/>
          <w:szCs w:val="21"/>
        </w:rPr>
      </w:pPr>
      <w:r>
        <w:rPr>
          <w:rFonts w:hint="eastAsia" w:ascii="宋体" w:hAnsi="宋体" w:cs="宋体"/>
          <w:szCs w:val="21"/>
        </w:rPr>
        <w:t xml:space="preserve">4.1 评标程序</w:t>
      </w:r>
      <w:r/>
    </w:p>
    <w:p>
      <w:pPr>
        <w:ind w:firstLine="420"/>
        <w:spacing w:line="480" w:lineRule="exact"/>
        <w:rPr>
          <w:rFonts w:ascii="宋体" w:hAnsi="宋体" w:cs="宋体"/>
          <w:szCs w:val="21"/>
        </w:rPr>
      </w:pPr>
      <w:r>
        <w:rPr>
          <w:rFonts w:hint="eastAsia" w:ascii="宋体" w:hAnsi="宋体" w:cs="宋体"/>
          <w:szCs w:val="21"/>
        </w:rPr>
        <w:t xml:space="preserve">资信文件、商务文件应分别评审，评审后不得更改。</w:t>
      </w:r>
      <w:r/>
    </w:p>
    <w:p>
      <w:pPr>
        <w:ind w:firstLine="420"/>
        <w:spacing w:line="480" w:lineRule="exact"/>
        <w:rPr>
          <w:rFonts w:ascii="宋体" w:hAnsi="宋体" w:cs="宋体"/>
          <w:szCs w:val="21"/>
        </w:rPr>
      </w:pPr>
      <w:r>
        <w:rPr>
          <w:rFonts w:hint="eastAsia" w:ascii="宋体" w:hAnsi="宋体" w:cs="宋体"/>
          <w:szCs w:val="21"/>
        </w:rPr>
        <w:t xml:space="preserve">4.2计价文件评审规定</w:t>
      </w:r>
      <w:r/>
    </w:p>
    <w:p>
      <w:pPr>
        <w:ind w:firstLine="420"/>
        <w:spacing w:line="480" w:lineRule="exact"/>
        <w:rPr>
          <w:rFonts w:ascii="宋体" w:hAnsi="宋体" w:cs="宋体"/>
          <w:szCs w:val="21"/>
        </w:rPr>
      </w:pPr>
      <w:r>
        <w:rPr>
          <w:rFonts w:hint="eastAsia" w:ascii="宋体" w:hAnsi="宋体" w:cs="宋体"/>
          <w:szCs w:val="21"/>
        </w:rPr>
        <w:t xml:space="preserve">评标委员会认为投标人的投标报价有可能低于其个别成本时，应当要求投标人以书面方式作出澄清，并提供相关证明材料后再进行认定。</w:t>
      </w:r>
      <w:r/>
    </w:p>
    <w:p>
      <w:pPr>
        <w:ind w:firstLine="420"/>
        <w:spacing w:line="480" w:lineRule="exact"/>
        <w:rPr>
          <w:rFonts w:ascii="宋体" w:hAnsi="宋体" w:cs="宋体"/>
          <w:szCs w:val="21"/>
        </w:rPr>
      </w:pPr>
      <w:r>
        <w:rPr>
          <w:rFonts w:hint="eastAsia" w:ascii="宋体" w:hAnsi="宋体" w:cs="宋体"/>
          <w:szCs w:val="21"/>
        </w:rPr>
        <w:t xml:space="preserve">4.3争议处理</w:t>
      </w:r>
      <w:r/>
    </w:p>
    <w:p>
      <w:pPr>
        <w:ind w:firstLine="420"/>
        <w:spacing w:line="480" w:lineRule="exact"/>
        <w:rPr>
          <w:rFonts w:ascii="宋体" w:hAnsi="宋体" w:cs="宋体"/>
          <w:szCs w:val="21"/>
        </w:rPr>
      </w:pPr>
      <w:r>
        <w:rPr>
          <w:rFonts w:hint="eastAsia" w:ascii="宋体" w:hAnsi="宋体" w:cs="宋体"/>
          <w:szCs w:val="21"/>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ind w:firstLine="420"/>
        <w:spacing w:line="480" w:lineRule="exact"/>
        <w:rPr>
          <w:rFonts w:ascii="宋体" w:hAnsi="宋体" w:cs="宋体"/>
          <w:szCs w:val="21"/>
        </w:rPr>
      </w:pPr>
      <w:r>
        <w:rPr>
          <w:rFonts w:hint="eastAsia" w:ascii="宋体" w:hAnsi="宋体" w:cs="宋体"/>
          <w:szCs w:val="21"/>
        </w:rPr>
        <w:t xml:space="preserve">4.4违法违纪行为</w:t>
      </w:r>
      <w:r/>
    </w:p>
    <w:p>
      <w:pPr>
        <w:ind w:firstLine="482"/>
        <w:jc w:val="left"/>
        <w:spacing w:line="400" w:lineRule="exact"/>
        <w:rPr>
          <w:rFonts w:hint="eastAsia" w:ascii="宋体" w:hAnsi="宋体" w:cs="宋体"/>
          <w:szCs w:val="21"/>
        </w:rPr>
      </w:pPr>
      <w:r>
        <w:rPr>
          <w:rFonts w:hint="eastAsia" w:ascii="宋体" w:hAnsi="宋体" w:cs="宋体"/>
          <w:szCs w:val="21"/>
        </w:rPr>
        <w:t xml:space="preserve">在招投标过程中发生行贿受贿、扰乱招投标活动秩序及其他严重违法违纪行为的，一律取消有关责任人参与招投标活动的资格；影响评审结果的，应宣布评审结果无效。</w:t>
      </w:r>
      <w:r/>
    </w:p>
    <w:p>
      <w:pPr>
        <w:ind w:firstLine="482"/>
        <w:jc w:val="left"/>
        <w:spacing w:line="400" w:lineRule="exact"/>
        <w:rPr>
          <w:rFonts w:hint="eastAsia" w:ascii="宋体" w:hAnsi="宋体" w:cs="宋体"/>
          <w:szCs w:val="21"/>
        </w:rPr>
      </w:pPr>
      <w:r>
        <w:rPr>
          <w:rFonts w:hint="eastAsia" w:ascii="宋体" w:hAnsi="宋体" w:cs="宋体"/>
          <w:szCs w:val="21"/>
        </w:rPr>
      </w:r>
      <w:r/>
    </w:p>
    <w:p>
      <w:pPr>
        <w:jc w:val="left"/>
        <w:widowControl/>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r>
      <w:r/>
    </w:p>
    <w:p>
      <w:pPr>
        <w:jc w:val="center"/>
        <w:widowControl/>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r>
      <w:r/>
    </w:p>
    <w:p>
      <w:pPr>
        <w:jc w:val="center"/>
        <w:widowControl/>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t xml:space="preserve">第六章   投标文件格式</w:t>
      </w:r>
      <w:r/>
    </w:p>
    <w:p>
      <w:pPr>
        <w:pStyle w:val="844"/>
        <w:jc w:val="center"/>
        <w:spacing w:beforeAutospacing="0" w:afterAutospacing="0"/>
        <w:rPr>
          <w:b/>
          <w:color w:val="auto"/>
          <w:sz w:val="72"/>
          <w:szCs w:val="72"/>
          <w:highlight w:val="none"/>
        </w:rPr>
      </w:pPr>
      <w:r>
        <w:rPr>
          <w:b/>
          <w:color w:val="auto"/>
          <w:sz w:val="72"/>
          <w:szCs w:val="72"/>
          <w:highlight w:val="none"/>
        </w:rPr>
      </w:r>
      <w:r/>
    </w:p>
    <w:p>
      <w:pPr>
        <w:pStyle w:val="844"/>
        <w:jc w:val="center"/>
        <w:spacing w:beforeAutospacing="0" w:afterAutospacing="0"/>
        <w:rPr>
          <w:color w:val="auto"/>
          <w:highlight w:val="none"/>
        </w:rPr>
      </w:pPr>
      <w:r>
        <w:rPr>
          <w:rFonts w:hint="eastAsia"/>
          <w:b/>
          <w:color w:val="auto"/>
          <w:sz w:val="72"/>
          <w:szCs w:val="72"/>
          <w:highlight w:val="none"/>
        </w:rPr>
        <w:t xml:space="preserve">投  标  文  件</w:t>
      </w:r>
      <w:r/>
    </w:p>
    <w:p>
      <w:pPr>
        <w:pStyle w:val="844"/>
        <w:jc w:val="center"/>
        <w:spacing w:beforeAutospacing="0" w:afterAutospacing="0"/>
        <w:rPr>
          <w:color w:val="auto"/>
          <w:highlight w:val="none"/>
        </w:rPr>
      </w:pPr>
      <w:r>
        <w:rPr>
          <w:rFonts w:hint="eastAsia"/>
          <w:color w:val="auto"/>
          <w:highlight w:val="none"/>
        </w:rPr>
        <w:t xml:space="preserve"> </w:t>
      </w:r>
      <w:r/>
    </w:p>
    <w:p>
      <w:pPr>
        <w:pStyle w:val="844"/>
        <w:jc w:val="center"/>
        <w:spacing w:beforeAutospacing="0" w:afterAutospacing="0"/>
        <w:rPr>
          <w:color w:val="auto"/>
          <w:highlight w:val="none"/>
        </w:rPr>
      </w:pPr>
      <w:r>
        <w:rPr>
          <w:rFonts w:hint="eastAsia"/>
          <w:color w:val="auto"/>
          <w:highlight w:val="none"/>
        </w:rPr>
        <w:t xml:space="preserve"> </w:t>
      </w:r>
      <w:r/>
    </w:p>
    <w:p>
      <w:pPr>
        <w:pStyle w:val="844"/>
        <w:jc w:val="center"/>
        <w:spacing w:beforeAutospacing="0" w:afterAutospacing="0"/>
        <w:rPr>
          <w:color w:val="auto"/>
          <w:highlight w:val="none"/>
        </w:rPr>
      </w:pPr>
      <w:r>
        <w:rPr>
          <w:rFonts w:hint="eastAsia"/>
          <w:color w:val="auto"/>
          <w:highlight w:val="none"/>
        </w:rPr>
        <w:t xml:space="preserve"> </w:t>
      </w:r>
      <w:r/>
    </w:p>
    <w:p>
      <w:pPr>
        <w:pStyle w:val="844"/>
        <w:jc w:val="center"/>
        <w:spacing w:beforeAutospacing="0" w:afterAutospacing="0"/>
        <w:rPr>
          <w:color w:val="auto"/>
          <w:highlight w:val="none"/>
        </w:rPr>
      </w:pPr>
      <w:r>
        <w:rPr>
          <w:rFonts w:hint="eastAsia"/>
          <w:color w:val="auto"/>
          <w:highlight w:val="none"/>
        </w:rPr>
        <w:t xml:space="preserve"> </w:t>
      </w:r>
      <w:r/>
    </w:p>
    <w:p>
      <w:pPr>
        <w:pStyle w:val="844"/>
        <w:jc w:val="center"/>
        <w:spacing w:beforeAutospacing="0" w:afterAutospacing="0"/>
        <w:rPr>
          <w:color w:val="auto"/>
          <w:highlight w:val="none"/>
        </w:rPr>
      </w:pPr>
      <w:r>
        <w:rPr>
          <w:rFonts w:hint="eastAsia"/>
          <w:color w:val="auto"/>
          <w:highlight w:val="none"/>
        </w:rPr>
        <w:t xml:space="preserve"> </w:t>
      </w:r>
      <w:r/>
    </w:p>
    <w:p>
      <w:pPr>
        <w:pStyle w:val="844"/>
        <w:ind w:firstLine="723"/>
        <w:jc w:val="both"/>
        <w:spacing w:beforeAutospacing="0" w:afterAutospacing="0" w:line="1000" w:lineRule="exact"/>
        <w:widowControl w:val="off"/>
        <w:rPr>
          <w:color w:val="auto"/>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pStyle w:val="844"/>
        <w:ind w:firstLine="723"/>
        <w:jc w:val="both"/>
        <w:spacing w:beforeAutospacing="0" w:afterAutospacing="0" w:line="1000" w:lineRule="exact"/>
        <w:widowControl w:val="off"/>
        <w:rPr>
          <w:color w:val="auto"/>
          <w:highlight w:val="non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pStyle w:val="844"/>
        <w:ind w:firstLine="723"/>
        <w:jc w:val="both"/>
        <w:spacing w:beforeAutospacing="0" w:afterAutospacing="0" w:line="1000" w:lineRule="exact"/>
        <w:widowControl w:val="off"/>
        <w:rPr>
          <w:color w:val="auto"/>
          <w:highlight w:val="none"/>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        </w:t>
      </w:r>
      <w:r/>
    </w:p>
    <w:p>
      <w:pPr>
        <w:pStyle w:val="844"/>
        <w:ind w:firstLine="723"/>
        <w:jc w:val="both"/>
        <w:spacing w:beforeAutospacing="0" w:afterAutospacing="0" w:line="1000" w:lineRule="exact"/>
        <w:widowControl w:val="off"/>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both"/>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b/>
          <w:color w:val="auto"/>
          <w:sz w:val="36"/>
          <w:szCs w:val="36"/>
          <w:highlight w:val="none"/>
          <w:u w:val="single"/>
        </w:rPr>
      </w:pPr>
      <w:r>
        <w:rPr>
          <w:b/>
          <w:color w:val="auto"/>
          <w:sz w:val="36"/>
          <w:szCs w:val="36"/>
          <w:highlight w:val="none"/>
          <w:u w:val="single"/>
        </w:rPr>
      </w:r>
      <w:r/>
    </w:p>
    <w:p>
      <w:pPr>
        <w:pStyle w:val="844"/>
        <w:jc w:val="center"/>
        <w:spacing w:beforeAutospacing="0" w:afterAutospacing="0" w:line="0" w:lineRule="atLeast"/>
        <w:rPr>
          <w:b/>
          <w:color w:val="auto"/>
          <w:sz w:val="36"/>
          <w:szCs w:val="36"/>
          <w:highlight w:val="none"/>
          <w:u w:val="single"/>
        </w:rPr>
      </w:pPr>
      <w:r>
        <w:rPr>
          <w:b/>
          <w:color w:val="auto"/>
          <w:sz w:val="36"/>
          <w:szCs w:val="36"/>
          <w:highlight w:val="none"/>
          <w:u w:val="single"/>
        </w:rPr>
      </w:r>
      <w:r/>
    </w:p>
    <w:p>
      <w:pPr>
        <w:pStyle w:val="844"/>
        <w:jc w:val="center"/>
        <w:spacing w:beforeAutospacing="0" w:afterAutospacing="0" w:line="0" w:lineRule="atLeast"/>
        <w:rPr>
          <w:b/>
          <w:color w:val="auto"/>
          <w:sz w:val="36"/>
          <w:szCs w:val="36"/>
          <w:highlight w:val="none"/>
          <w:u w:val="single"/>
        </w:rPr>
      </w:pPr>
      <w:r>
        <w:rPr>
          <w:b/>
          <w:color w:val="auto"/>
          <w:sz w:val="36"/>
          <w:szCs w:val="36"/>
          <w:highlight w:val="none"/>
          <w:u w:val="single"/>
        </w:rPr>
      </w:r>
      <w:r/>
    </w:p>
    <w:p>
      <w:pPr>
        <w:pStyle w:val="844"/>
        <w:jc w:val="both"/>
        <w:spacing w:beforeAutospacing="0" w:afterAutospacing="0" w:line="0" w:lineRule="atLeast"/>
        <w:rPr>
          <w:b/>
          <w:color w:val="auto"/>
          <w:sz w:val="36"/>
          <w:szCs w:val="36"/>
          <w:highlight w:val="none"/>
          <w:u w:val="single"/>
        </w:rPr>
      </w:pPr>
      <w:r>
        <w:rPr>
          <w:b/>
          <w:color w:val="auto"/>
          <w:sz w:val="36"/>
          <w:szCs w:val="36"/>
          <w:highlight w:val="none"/>
          <w:u w:val="single"/>
        </w:rPr>
      </w:r>
      <w:r/>
    </w:p>
    <w:p>
      <w:pPr>
        <w:pStyle w:val="844"/>
        <w:jc w:val="both"/>
        <w:spacing w:beforeAutospacing="0" w:afterAutospacing="0" w:line="0" w:lineRule="atLeast"/>
        <w:rPr>
          <w:b/>
          <w:color w:val="auto"/>
          <w:sz w:val="36"/>
          <w:szCs w:val="36"/>
          <w:highlight w:val="none"/>
          <w:u w:val="single"/>
        </w:rPr>
      </w:pPr>
      <w:r>
        <w:rPr>
          <w:b/>
          <w:color w:val="auto"/>
          <w:sz w:val="36"/>
          <w:szCs w:val="36"/>
          <w:highlight w:val="none"/>
          <w:u w:val="single"/>
        </w:rPr>
      </w:r>
      <w:r/>
    </w:p>
    <w:p>
      <w:pPr>
        <w:pStyle w:val="844"/>
        <w:jc w:val="center"/>
        <w:spacing w:beforeAutospacing="0" w:afterAutospacing="0" w:line="0" w:lineRule="atLeast"/>
        <w:rPr>
          <w:color w:val="auto"/>
          <w:highlight w:val="none"/>
        </w:rPr>
      </w:pPr>
      <w:r>
        <w:rPr>
          <w:rFonts w:hint="eastAsia"/>
          <w:b/>
          <w:color w:val="auto"/>
          <w:sz w:val="32"/>
          <w:szCs w:val="32"/>
          <w:highlight w:val="none"/>
        </w:rPr>
        <w:t xml:space="preserve">投标文件目录</w:t>
      </w:r>
      <w:r/>
    </w:p>
    <w:p>
      <w:pPr>
        <w:pStyle w:val="844"/>
        <w:jc w:val="both"/>
        <w:spacing w:before="0" w:beforeAutospacing="0" w:after="0" w:afterAutospacing="0" w:line="440" w:lineRule="exact"/>
        <w:rPr>
          <w:iCs/>
          <w:color w:val="auto"/>
          <w:highlight w:val="none"/>
        </w:rPr>
      </w:pPr>
      <w:r>
        <w:rPr>
          <w:rFonts w:hint="eastAsia"/>
          <w:iCs/>
          <w:color w:val="auto"/>
          <w:highlight w:val="none"/>
        </w:rPr>
        <w:t xml:space="preserve">一、法人或者其他组织的营业执照等证明文件，自然人的身份证明</w:t>
      </w:r>
      <w:r/>
    </w:p>
    <w:p>
      <w:pPr>
        <w:jc w:val="left"/>
        <w:spacing w:line="440" w:lineRule="exact"/>
        <w:tabs>
          <w:tab w:val="left" w:pos="1331" w:leader="none"/>
        </w:tabs>
        <w:rPr>
          <w:rFonts w:ascii="宋体" w:hAnsi="宋体" w:cs="宋体"/>
          <w:iCs/>
          <w:color w:val="auto"/>
          <w:sz w:val="24"/>
          <w:highlight w:val="none"/>
        </w:rPr>
      </w:pPr>
      <w:r>
        <w:rPr>
          <w:rFonts w:hint="eastAsia" w:ascii="宋体" w:hAnsi="宋体" w:cs="宋体"/>
          <w:iCs/>
          <w:color w:val="auto"/>
          <w:sz w:val="24"/>
          <w:highlight w:val="none"/>
        </w:rPr>
        <w:t xml:space="preserve">二、上一年度的财务状况报表（至少提供资产负债表、利润表、现金流量表，投标人成立不满一年无需提供）</w:t>
      </w:r>
      <w:r/>
    </w:p>
    <w:p>
      <w:pPr>
        <w:pStyle w:val="844"/>
        <w:jc w:val="both"/>
        <w:spacing w:before="0" w:beforeAutospacing="0" w:after="0" w:afterAutospacing="0" w:line="440" w:lineRule="exact"/>
        <w:rPr>
          <w:iCs/>
          <w:color w:val="auto"/>
          <w:highlight w:val="none"/>
        </w:rPr>
      </w:pPr>
      <w:r>
        <w:rPr>
          <w:rFonts w:hint="eastAsia"/>
          <w:iCs/>
          <w:color w:val="auto"/>
          <w:highlight w:val="none"/>
        </w:rPr>
        <w:t xml:space="preserve">三、具备履行合同所必需的设备和专业技术能力的书面声明</w:t>
      </w:r>
      <w:r/>
    </w:p>
    <w:p>
      <w:pPr>
        <w:pStyle w:val="844"/>
        <w:jc w:val="both"/>
        <w:spacing w:before="0" w:beforeAutospacing="0" w:after="0" w:afterAutospacing="0" w:line="440" w:lineRule="exact"/>
        <w:rPr>
          <w:iCs/>
          <w:color w:val="auto"/>
          <w:highlight w:val="none"/>
        </w:rPr>
      </w:pPr>
      <w:r>
        <w:rPr>
          <w:rFonts w:hint="eastAsia"/>
          <w:iCs/>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4"/>
        <w:jc w:val="both"/>
        <w:spacing w:before="0" w:beforeAutospacing="0" w:after="0" w:afterAutospacing="0" w:line="440" w:lineRule="exact"/>
        <w:rPr>
          <w:iCs/>
          <w:color w:val="auto"/>
          <w:highlight w:val="none"/>
        </w:rPr>
      </w:pPr>
      <w:r>
        <w:rPr>
          <w:rFonts w:hint="eastAsia"/>
          <w:iCs/>
          <w:color w:val="auto"/>
          <w:highlight w:val="none"/>
        </w:rPr>
        <w:t xml:space="preserve">五、参加政府采购活动前 3 年内在经营活动中没有重大违法记录的书面声明</w:t>
      </w:r>
      <w:r/>
    </w:p>
    <w:p>
      <w:pPr>
        <w:pStyle w:val="844"/>
        <w:jc w:val="both"/>
        <w:spacing w:before="0" w:beforeAutospacing="0" w:after="0" w:afterAutospacing="0" w:line="440" w:lineRule="exact"/>
        <w:rPr>
          <w:iCs/>
          <w:color w:val="auto"/>
          <w:highlight w:val="none"/>
        </w:rPr>
      </w:pPr>
      <w:r>
        <w:rPr>
          <w:rFonts w:hint="eastAsia"/>
          <w:iCs/>
          <w:color w:val="auto"/>
          <w:highlight w:val="none"/>
        </w:rPr>
        <w:t xml:space="preserve">六、特定资格要求的证明文件（如果本项目设置特定资格要求，则需要提供）</w:t>
      </w:r>
      <w:r/>
    </w:p>
    <w:p>
      <w:pPr>
        <w:pStyle w:val="844"/>
        <w:jc w:val="both"/>
        <w:spacing w:before="0" w:beforeAutospacing="0" w:after="0" w:afterAutospacing="0" w:line="440" w:lineRule="exact"/>
        <w:rPr>
          <w:iCs/>
          <w:color w:val="auto"/>
          <w:highlight w:val="none"/>
        </w:rPr>
      </w:pPr>
      <w:r>
        <w:rPr>
          <w:rFonts w:hint="eastAsia"/>
          <w:iCs/>
          <w:color w:val="auto"/>
          <w:highlight w:val="none"/>
        </w:rPr>
        <w:t xml:space="preserve">七、法人授权书</w:t>
      </w:r>
      <w:r/>
    </w:p>
    <w:p>
      <w:pPr>
        <w:pStyle w:val="844"/>
        <w:jc w:val="both"/>
        <w:spacing w:before="0" w:beforeAutospacing="0" w:after="0" w:afterAutospacing="0" w:line="440" w:lineRule="exact"/>
        <w:rPr>
          <w:iCs/>
          <w:color w:val="auto"/>
          <w:highlight w:val="none"/>
        </w:rPr>
      </w:pPr>
      <w:r>
        <w:rPr>
          <w:rFonts w:hint="eastAsia"/>
          <w:iCs/>
          <w:color w:val="auto"/>
          <w:highlight w:val="none"/>
        </w:rPr>
        <w:t xml:space="preserve">八、投标函</w:t>
      </w:r>
      <w:r/>
    </w:p>
    <w:p>
      <w:pPr>
        <w:pStyle w:val="844"/>
        <w:jc w:val="both"/>
        <w:spacing w:before="0" w:beforeAutospacing="0" w:after="0" w:afterAutospacing="0" w:line="440" w:lineRule="exact"/>
        <w:rPr>
          <w:color w:val="auto"/>
          <w:highlight w:val="none"/>
        </w:rPr>
      </w:pPr>
      <w:r>
        <w:rPr>
          <w:rFonts w:hint="eastAsia"/>
          <w:color w:val="auto"/>
          <w:highlight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rPr>
          <w:rFonts w:hint="eastAsia"/>
          <w:color w:val="auto"/>
          <w:highlight w:val="none"/>
        </w:rPr>
        <w:t xml:space="preserve">（如有）</w:t>
      </w:r>
      <w:r/>
    </w:p>
    <w:p>
      <w:pPr>
        <w:pStyle w:val="844"/>
        <w:jc w:val="both"/>
        <w:spacing w:before="0" w:beforeAutospacing="0" w:after="0" w:afterAutospacing="0" w:line="440" w:lineRule="exact"/>
        <w:rPr>
          <w:color w:val="auto"/>
          <w:highlight w:val="none"/>
        </w:rPr>
      </w:pPr>
      <w:r>
        <w:rPr>
          <w:rFonts w:hint="eastAsia"/>
          <w:color w:val="auto"/>
          <w:highlight w:val="none"/>
        </w:rPr>
        <w:t xml:space="preserve">十、残疾人福利性单位声明函（如有）</w:t>
      </w:r>
      <w:r/>
    </w:p>
    <w:p>
      <w:pPr>
        <w:pStyle w:val="844"/>
        <w:jc w:val="both"/>
        <w:spacing w:before="0" w:beforeAutospacing="0" w:after="0" w:afterAutospacing="0" w:line="440" w:lineRule="exact"/>
        <w:rPr>
          <w:color w:val="auto"/>
          <w:highlight w:val="none"/>
        </w:rPr>
      </w:pPr>
      <w:r>
        <w:rPr>
          <w:rFonts w:hint="eastAsia"/>
          <w:color w:val="auto"/>
          <w:highlight w:val="none"/>
        </w:rPr>
        <w:t xml:space="preserve">十一、联合体协议（如有）</w:t>
      </w:r>
      <w:r/>
    </w:p>
    <w:p>
      <w:pPr>
        <w:pStyle w:val="844"/>
        <w:jc w:val="both"/>
        <w:spacing w:before="0" w:beforeAutospacing="0" w:after="0" w:afterAutospacing="0" w:line="440" w:lineRule="exact"/>
        <w:rPr>
          <w:color w:val="auto"/>
          <w:highlight w:val="none"/>
        </w:rPr>
      </w:pPr>
      <w:r>
        <w:rPr>
          <w:rFonts w:hint="eastAsia"/>
          <w:color w:val="auto"/>
          <w:highlight w:val="none"/>
        </w:rPr>
        <w:t xml:space="preserve">十二、投标分项报价表</w:t>
      </w:r>
      <w:r/>
    </w:p>
    <w:p>
      <w:pPr>
        <w:pStyle w:val="844"/>
        <w:jc w:val="both"/>
        <w:spacing w:before="0" w:beforeAutospacing="0" w:after="0" w:afterAutospacing="0" w:line="440" w:lineRule="exact"/>
        <w:rPr>
          <w:color w:val="auto"/>
          <w:highlight w:val="none"/>
        </w:rPr>
      </w:pPr>
      <w:r>
        <w:rPr>
          <w:rFonts w:hint="eastAsia"/>
          <w:color w:val="auto"/>
          <w:highlight w:val="none"/>
        </w:rPr>
        <w:t xml:space="preserve">十三、技术要求响应及偏离表</w:t>
      </w:r>
      <w:r/>
    </w:p>
    <w:p>
      <w:pPr>
        <w:pStyle w:val="844"/>
        <w:jc w:val="both"/>
        <w:spacing w:before="0" w:beforeAutospacing="0" w:after="0" w:afterAutospacing="0" w:line="440" w:lineRule="exact"/>
        <w:rPr>
          <w:color w:val="auto"/>
          <w:highlight w:val="none"/>
        </w:rPr>
      </w:pPr>
      <w:r>
        <w:rPr>
          <w:rFonts w:hint="eastAsia"/>
          <w:color w:val="auto"/>
          <w:highlight w:val="none"/>
        </w:rPr>
        <w:t xml:space="preserve">十四、商务要求响应及偏离表</w:t>
      </w:r>
      <w:r/>
    </w:p>
    <w:p>
      <w:pPr>
        <w:pStyle w:val="844"/>
        <w:jc w:val="both"/>
        <w:spacing w:before="0" w:beforeAutospacing="0" w:after="0" w:afterAutospacing="0" w:line="440" w:lineRule="exact"/>
        <w:rPr>
          <w:i/>
          <w:color w:val="auto"/>
          <w:highlight w:val="none"/>
          <w:u w:val="single"/>
        </w:rPr>
      </w:pPr>
      <w:r>
        <w:rPr>
          <w:rFonts w:hint="eastAsia"/>
          <w:iCs/>
          <w:color w:val="auto"/>
          <w:highlight w:val="none"/>
        </w:rPr>
        <w:t xml:space="preserve">十五、开标一览表</w:t>
      </w:r>
      <w:r/>
    </w:p>
    <w:p>
      <w:pPr>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十六、</w:t>
      </w:r>
      <w:r>
        <w:rPr>
          <w:rFonts w:hint="eastAsia" w:ascii="宋体" w:hAnsi="宋体" w:eastAsia="宋体" w:cs="宋体"/>
          <w:i w:val="0"/>
          <w:iCs/>
          <w:color w:val="auto"/>
          <w:sz w:val="24"/>
          <w:highlight w:val="none"/>
          <w:u w:val="none"/>
        </w:rPr>
        <w:t xml:space="preserve">技术方案、服务承诺、培训承诺等</w:t>
      </w:r>
      <w:r/>
    </w:p>
    <w:p>
      <w:pPr>
        <w:pStyle w:val="844"/>
        <w:jc w:val="both"/>
        <w:spacing w:before="0" w:beforeAutospacing="0" w:after="0" w:afterAutospacing="0" w:line="440" w:lineRule="exact"/>
        <w:rPr>
          <w:color w:val="auto"/>
          <w:highlight w:val="none"/>
        </w:rPr>
      </w:pPr>
      <w:r>
        <w:rPr>
          <w:rFonts w:hint="eastAsia"/>
          <w:color w:val="auto"/>
          <w:highlight w:val="none"/>
        </w:rPr>
        <w:t xml:space="preserve">十七、盐城市政府采购事前信用承诺书</w:t>
      </w:r>
      <w:r/>
    </w:p>
    <w:p>
      <w:pPr>
        <w:pStyle w:val="844"/>
        <w:jc w:val="both"/>
        <w:spacing w:beforeAutospacing="0" w:afterAutospacing="0" w:line="0" w:lineRule="atLeast"/>
        <w:rPr>
          <w:color w:val="auto"/>
          <w:highlight w:val="none"/>
        </w:rPr>
      </w:pPr>
      <w:r>
        <w:rPr>
          <w:color w:val="auto"/>
          <w:highlight w:val="none"/>
        </w:rPr>
      </w:r>
      <w:r/>
    </w:p>
    <w:p>
      <w:pPr>
        <w:pStyle w:val="844"/>
        <w:jc w:val="both"/>
        <w:spacing w:beforeAutospacing="0" w:afterAutospacing="0" w:line="0" w:lineRule="atLeast"/>
        <w:rPr>
          <w:color w:val="auto"/>
          <w:highlight w:val="none"/>
        </w:rPr>
      </w:pPr>
      <w:r>
        <w:rPr>
          <w:color w:val="auto"/>
          <w:highlight w:val="none"/>
        </w:rPr>
      </w:r>
      <w:r/>
    </w:p>
    <w:p>
      <w:pPr>
        <w:pStyle w:val="844"/>
        <w:jc w:val="both"/>
        <w:spacing w:beforeAutospacing="0" w:afterAutospacing="0" w:line="0" w:lineRule="atLeast"/>
        <w:rPr>
          <w:color w:val="auto"/>
          <w:highlight w:val="none"/>
        </w:rPr>
      </w:pPr>
      <w:r>
        <w:rPr>
          <w:rFonts w:hint="eastAsia"/>
          <w:color w:val="auto"/>
          <w:highlight w:val="none"/>
        </w:rPr>
        <w:t xml:space="preserve"> </w:t>
      </w:r>
      <w:r/>
    </w:p>
    <w:p>
      <w:pPr>
        <w:pStyle w:val="844"/>
        <w:jc w:val="both"/>
        <w:spacing w:beforeAutospacing="0" w:afterAutospacing="0" w:line="0" w:lineRule="atLeast"/>
        <w:rPr>
          <w:color w:val="auto"/>
          <w:highlight w:val="none"/>
        </w:rPr>
      </w:pPr>
      <w:r>
        <w:rPr>
          <w:rFonts w:hint="eastAsia"/>
          <w:color w:val="auto"/>
          <w:highlight w:val="none"/>
        </w:rPr>
        <w:t xml:space="preserve"> </w:t>
      </w:r>
      <w:r/>
    </w:p>
    <w:p>
      <w:pPr>
        <w:pStyle w:val="844"/>
        <w:jc w:val="both"/>
        <w:spacing w:beforeAutospacing="0" w:afterAutospacing="0"/>
        <w:rPr>
          <w:color w:val="auto"/>
          <w:sz w:val="32"/>
          <w:szCs w:val="32"/>
          <w:highlight w:val="none"/>
          <w:u w:val="single"/>
        </w:rPr>
      </w:pPr>
      <w:r>
        <w:rPr>
          <w:color w:val="auto"/>
          <w:sz w:val="32"/>
          <w:szCs w:val="32"/>
          <w:highlight w:val="none"/>
          <w:u w:val="single"/>
        </w:rPr>
      </w:r>
      <w:r/>
    </w:p>
    <w:p>
      <w:pPr>
        <w:pStyle w:val="844"/>
        <w:jc w:val="both"/>
        <w:spacing w:beforeAutospacing="0" w:afterAutospacing="0"/>
        <w:rPr>
          <w:color w:val="auto"/>
          <w:sz w:val="32"/>
          <w:szCs w:val="32"/>
          <w:highlight w:val="none"/>
          <w:u w:val="single"/>
        </w:rPr>
      </w:pPr>
      <w:r>
        <w:rPr>
          <w:color w:val="auto"/>
          <w:sz w:val="32"/>
          <w:szCs w:val="32"/>
          <w:highlight w:val="none"/>
          <w:u w:val="single"/>
        </w:rPr>
      </w:r>
      <w:r/>
    </w:p>
    <w:p>
      <w:pPr>
        <w:pStyle w:val="844"/>
        <w:jc w:val="both"/>
        <w:spacing w:beforeAutospacing="0" w:afterAutospacing="0"/>
        <w:rPr>
          <w:color w:val="auto"/>
          <w:sz w:val="32"/>
          <w:szCs w:val="32"/>
          <w:highlight w:val="none"/>
          <w:u w:val="single"/>
        </w:rPr>
      </w:pPr>
      <w:r>
        <w:rPr>
          <w:color w:val="auto"/>
          <w:sz w:val="32"/>
          <w:szCs w:val="32"/>
          <w:highlight w:val="none"/>
          <w:u w:val="single"/>
        </w:rPr>
      </w:r>
      <w:r/>
    </w:p>
    <w:p>
      <w:pPr>
        <w:pStyle w:val="844"/>
        <w:jc w:val="both"/>
        <w:spacing w:beforeAutospacing="0" w:afterAutospacing="0"/>
        <w:rPr>
          <w:color w:val="auto"/>
          <w:sz w:val="32"/>
          <w:szCs w:val="32"/>
          <w:highlight w:val="none"/>
          <w:u w:val="single"/>
        </w:rPr>
      </w:pPr>
      <w:r>
        <w:rPr>
          <w:color w:val="auto"/>
          <w:sz w:val="32"/>
          <w:szCs w:val="32"/>
          <w:highlight w:val="none"/>
          <w:u w:val="single"/>
        </w:rPr>
      </w:r>
      <w:r/>
    </w:p>
    <w:p>
      <w:pPr>
        <w:pStyle w:val="844"/>
        <w:jc w:val="both"/>
        <w:spacing w:beforeAutospacing="0" w:afterAutospacing="0"/>
        <w:rPr>
          <w:color w:val="auto"/>
          <w:sz w:val="32"/>
          <w:szCs w:val="32"/>
          <w:highlight w:val="none"/>
          <w:u w:val="single"/>
        </w:rPr>
      </w:pPr>
      <w:r>
        <w:rPr>
          <w:color w:val="auto"/>
          <w:sz w:val="32"/>
          <w:szCs w:val="32"/>
          <w:highlight w:val="none"/>
          <w:u w:val="single"/>
        </w:rPr>
      </w:r>
      <w:r/>
    </w:p>
    <w:p>
      <w:pPr>
        <w:pStyle w:val="844"/>
        <w:jc w:val="both"/>
        <w:spacing w:beforeAutospacing="0" w:afterAutospacing="0"/>
        <w:rPr>
          <w:color w:val="auto"/>
          <w:sz w:val="32"/>
          <w:szCs w:val="32"/>
          <w:highlight w:val="none"/>
          <w:u w:val="single"/>
        </w:rPr>
      </w:pPr>
      <w:r>
        <w:rPr>
          <w:color w:val="auto"/>
          <w:sz w:val="32"/>
          <w:szCs w:val="32"/>
          <w:highlight w:val="none"/>
          <w:u w:val="single"/>
        </w:rPr>
      </w:r>
      <w:r/>
    </w:p>
    <w:p>
      <w:pPr>
        <w:pStyle w:val="844"/>
        <w:jc w:val="both"/>
        <w:spacing w:beforeAutospacing="0" w:afterAutospacing="0" w:line="240" w:lineRule="auto"/>
        <w:rPr>
          <w:color w:val="auto"/>
          <w:sz w:val="22"/>
          <w:szCs w:val="22"/>
          <w:highlight w:val="none"/>
        </w:rPr>
      </w:pPr>
      <w:r>
        <w:rPr>
          <w:rFonts w:hint="eastAsia"/>
          <w:color w:val="auto"/>
          <w:sz w:val="28"/>
          <w:szCs w:val="28"/>
          <w:highlight w:val="none"/>
          <w:u w:val="single"/>
        </w:rPr>
        <w:t xml:space="preserve">一、法人或者其他组织的营业执照等证明文件，自然人的身份证明</w:t>
      </w:r>
      <w:r/>
    </w:p>
    <w:p>
      <w:pPr>
        <w:pStyle w:val="844"/>
        <w:jc w:val="both"/>
        <w:spacing w:beforeAutospacing="0" w:afterAutospacing="0" w:line="240" w:lineRule="auto"/>
        <w:rPr>
          <w:color w:val="auto"/>
          <w:sz w:val="22"/>
          <w:szCs w:val="22"/>
          <w:highlight w:val="none"/>
        </w:rPr>
      </w:pPr>
      <w:r>
        <w:rPr>
          <w:color w:val="auto"/>
          <w:sz w:val="22"/>
          <w:szCs w:val="22"/>
          <w:highlight w:val="none"/>
        </w:rPr>
      </w:r>
      <w:r/>
    </w:p>
    <w:p>
      <w:pPr>
        <w:pStyle w:val="844"/>
        <w:jc w:val="both"/>
        <w:spacing w:beforeAutospacing="0" w:afterAutospacing="0" w:line="240" w:lineRule="auto"/>
        <w:rPr>
          <w:color w:val="auto"/>
          <w:sz w:val="22"/>
          <w:szCs w:val="22"/>
          <w:highlight w:val="none"/>
        </w:rPr>
      </w:pPr>
      <w:r>
        <w:rPr>
          <w:rFonts w:hint="eastAsia"/>
          <w:color w:val="auto"/>
          <w:sz w:val="28"/>
          <w:szCs w:val="28"/>
          <w:highlight w:val="none"/>
          <w:u w:val="single"/>
        </w:rPr>
        <w:t xml:space="preserve">二、上一年度的财务状况报表</w:t>
      </w:r>
      <w:r/>
    </w:p>
    <w:p>
      <w:pPr>
        <w:pStyle w:val="844"/>
        <w:jc w:val="both"/>
        <w:spacing w:beforeAutospacing="0" w:afterAutospacing="0" w:line="240" w:lineRule="auto"/>
        <w:rPr>
          <w:color w:val="auto"/>
          <w:sz w:val="22"/>
          <w:szCs w:val="22"/>
          <w:highlight w:val="none"/>
        </w:rPr>
      </w:pPr>
      <w:r>
        <w:rPr>
          <w:rFonts w:hint="eastAsia"/>
          <w:color w:val="auto"/>
          <w:sz w:val="22"/>
          <w:szCs w:val="22"/>
          <w:highlight w:val="none"/>
        </w:rPr>
        <w:t xml:space="preserve">投标人成立不满一年不需提供</w:t>
      </w:r>
      <w:r/>
    </w:p>
    <w:p>
      <w:pPr>
        <w:pStyle w:val="844"/>
        <w:jc w:val="both"/>
        <w:spacing w:beforeAutospacing="0" w:afterAutospacing="0" w:line="240" w:lineRule="auto"/>
        <w:rPr>
          <w:color w:val="auto"/>
          <w:sz w:val="22"/>
          <w:szCs w:val="22"/>
          <w:highlight w:val="none"/>
        </w:rPr>
      </w:pPr>
      <w:r>
        <w:rPr>
          <w:rFonts w:hint="eastAsia"/>
          <w:color w:val="auto"/>
          <w:sz w:val="22"/>
          <w:szCs w:val="22"/>
          <w:highlight w:val="none"/>
        </w:rPr>
        <w:t xml:space="preserve"> </w:t>
      </w:r>
      <w:r/>
    </w:p>
    <w:p>
      <w:pPr>
        <w:pStyle w:val="844"/>
        <w:jc w:val="both"/>
        <w:spacing w:beforeAutospacing="0" w:afterAutospacing="0" w:line="240" w:lineRule="auto"/>
        <w:rPr>
          <w:color w:val="auto"/>
          <w:sz w:val="22"/>
          <w:szCs w:val="22"/>
          <w:highlight w:val="none"/>
        </w:rPr>
      </w:pPr>
      <w:r>
        <w:rPr>
          <w:rFonts w:hint="eastAsia"/>
          <w:color w:val="auto"/>
          <w:sz w:val="28"/>
          <w:szCs w:val="28"/>
          <w:highlight w:val="none"/>
          <w:u w:val="single"/>
        </w:rPr>
        <w:t xml:space="preserve">三、具备履行合同所必需的设备和专业技术能力的书面声明</w:t>
      </w:r>
      <w:r/>
    </w:p>
    <w:p>
      <w:pPr>
        <w:pStyle w:val="844"/>
        <w:jc w:val="both"/>
        <w:spacing w:beforeAutospacing="0" w:afterAutospacing="0" w:line="240" w:lineRule="auto"/>
        <w:rPr>
          <w:color w:val="auto"/>
          <w:sz w:val="22"/>
          <w:szCs w:val="22"/>
          <w:highlight w:val="none"/>
        </w:rPr>
      </w:pPr>
      <w:r>
        <w:rPr>
          <w:rFonts w:hint="eastAsia" w:ascii="宋体" w:hAnsi="宋体" w:eastAsia="宋体" w:cs="宋体"/>
          <w:color w:val="auto"/>
          <w:sz w:val="22"/>
          <w:szCs w:val="22"/>
          <w:highlight w:val="none"/>
        </w:rPr>
        <w:t xml:space="preserve">我单位郑重声明：我单位具备履行本项采购合同所必需的设备和专业技术能力，为履行本项采购合同我公司具备如下主要设备和主要专业技术能力</w:t>
      </w:r>
      <w:r>
        <w:rPr>
          <w:rFonts w:hint="eastAsia"/>
          <w:color w:val="auto"/>
          <w:sz w:val="22"/>
          <w:szCs w:val="22"/>
          <w:highlight w:val="none"/>
        </w:rPr>
        <w:t xml:space="preserve">：</w:t>
      </w:r>
      <w:r/>
    </w:p>
    <w:p>
      <w:pPr>
        <w:pStyle w:val="844"/>
        <w:jc w:val="both"/>
        <w:spacing w:beforeAutospacing="0" w:afterAutospacing="0" w:line="240" w:lineRule="auto"/>
        <w:rPr>
          <w:color w:val="auto"/>
          <w:sz w:val="22"/>
          <w:szCs w:val="22"/>
          <w:highlight w:val="none"/>
        </w:rPr>
      </w:pPr>
      <w:r>
        <w:rPr>
          <w:rFonts w:hint="eastAsia"/>
          <w:color w:val="auto"/>
          <w:sz w:val="22"/>
          <w:szCs w:val="22"/>
          <w:highlight w:val="none"/>
        </w:rPr>
        <w:t xml:space="preserve">主要设备有：</w:t>
      </w:r>
      <w:r>
        <w:rPr>
          <w:rFonts w:hint="eastAsia"/>
          <w:color w:val="auto"/>
          <w:sz w:val="22"/>
          <w:szCs w:val="22"/>
          <w:highlight w:val="none"/>
          <w:u w:val="single"/>
        </w:rPr>
        <w:t xml:space="preserve">         </w:t>
      </w:r>
      <w:r>
        <w:rPr>
          <w:rFonts w:hint="eastAsia"/>
          <w:color w:val="auto"/>
          <w:sz w:val="22"/>
          <w:szCs w:val="22"/>
          <w:highlight w:val="none"/>
        </w:rPr>
        <w:t xml:space="preserve">。</w:t>
      </w:r>
      <w:r/>
    </w:p>
    <w:p>
      <w:pPr>
        <w:pStyle w:val="844"/>
        <w:jc w:val="both"/>
        <w:spacing w:beforeAutospacing="0" w:afterAutospacing="0" w:line="240" w:lineRule="auto"/>
        <w:rPr>
          <w:color w:val="auto"/>
          <w:sz w:val="22"/>
          <w:szCs w:val="22"/>
          <w:highlight w:val="none"/>
        </w:rPr>
      </w:pPr>
      <w:r>
        <w:rPr>
          <w:rFonts w:hint="eastAsia"/>
          <w:color w:val="auto"/>
          <w:sz w:val="22"/>
          <w:szCs w:val="22"/>
          <w:highlight w:val="none"/>
        </w:rPr>
        <w:t xml:space="preserve">主要专业技术能力有：</w:t>
      </w:r>
      <w:r>
        <w:rPr>
          <w:rFonts w:hint="eastAsia"/>
          <w:color w:val="auto"/>
          <w:sz w:val="22"/>
          <w:szCs w:val="22"/>
          <w:highlight w:val="none"/>
          <w:u w:val="single"/>
        </w:rPr>
        <w:t xml:space="preserve">        </w:t>
      </w:r>
      <w:r>
        <w:rPr>
          <w:rFonts w:hint="eastAsia"/>
          <w:color w:val="auto"/>
          <w:sz w:val="22"/>
          <w:szCs w:val="22"/>
          <w:highlight w:val="none"/>
        </w:rPr>
        <w:t xml:space="preserve">。</w:t>
      </w:r>
      <w:r/>
    </w:p>
    <w:p>
      <w:pPr>
        <w:pStyle w:val="844"/>
        <w:jc w:val="both"/>
        <w:spacing w:beforeAutospacing="0" w:afterAutospacing="0" w:line="240" w:lineRule="auto"/>
        <w:rPr>
          <w:color w:val="auto"/>
          <w:sz w:val="28"/>
          <w:szCs w:val="28"/>
          <w:highlight w:val="none"/>
          <w:u w:val="single"/>
        </w:rPr>
      </w:pPr>
      <w:r>
        <w:rPr>
          <w:color w:val="auto"/>
          <w:sz w:val="28"/>
          <w:szCs w:val="28"/>
          <w:highlight w:val="none"/>
          <w:u w:val="single"/>
        </w:rPr>
      </w:r>
      <w:r/>
    </w:p>
    <w:p>
      <w:pPr>
        <w:pStyle w:val="844"/>
        <w:jc w:val="both"/>
        <w:spacing w:beforeAutospacing="0" w:afterAutospacing="0" w:line="240" w:lineRule="auto"/>
        <w:rPr>
          <w:color w:val="auto"/>
          <w:sz w:val="22"/>
          <w:szCs w:val="22"/>
          <w:highlight w:val="none"/>
        </w:rPr>
      </w:pPr>
      <w:r>
        <w:rPr>
          <w:rFonts w:hint="eastAsia"/>
          <w:color w:val="auto"/>
          <w:sz w:val="28"/>
          <w:szCs w:val="28"/>
          <w:highlight w:val="none"/>
          <w:u w:val="single"/>
        </w:rPr>
        <w:t xml:space="preserve">四、依法缴纳税收和社会保障资金的相关材料</w:t>
      </w:r>
      <w:r/>
    </w:p>
    <w:p>
      <w:pPr>
        <w:pStyle w:val="844"/>
        <w:jc w:val="both"/>
        <w:spacing w:beforeAutospacing="0" w:afterAutospacing="0" w:line="240" w:lineRule="auto"/>
        <w:rPr>
          <w:color w:val="auto"/>
          <w:sz w:val="22"/>
          <w:szCs w:val="22"/>
          <w:highlight w:val="none"/>
        </w:rPr>
      </w:pPr>
      <w:r>
        <w:rPr>
          <w:rFonts w:hint="eastAsia"/>
          <w:color w:val="auto"/>
          <w:sz w:val="22"/>
          <w:szCs w:val="22"/>
          <w:highlight w:val="none"/>
        </w:rPr>
        <w:t xml:space="preserve">提供提交投标文件截止时间前一年内至少一个月依法缴纳税收及缴纳社会保障资金的证明材料。投标人依法享受缓缴、免缴税收、社会保障资金的提供证明材料。</w:t>
      </w:r>
      <w:r/>
    </w:p>
    <w:p>
      <w:pPr>
        <w:pStyle w:val="844"/>
        <w:jc w:val="both"/>
        <w:spacing w:beforeAutospacing="0" w:afterAutospacing="0" w:line="240" w:lineRule="auto"/>
        <w:rPr>
          <w:color w:val="auto"/>
          <w:sz w:val="28"/>
          <w:szCs w:val="28"/>
          <w:highlight w:val="none"/>
          <w:u w:val="single"/>
        </w:rPr>
      </w:pPr>
      <w:r>
        <w:rPr>
          <w:color w:val="auto"/>
          <w:sz w:val="28"/>
          <w:szCs w:val="28"/>
          <w:highlight w:val="none"/>
          <w:u w:val="single"/>
        </w:rPr>
      </w:r>
      <w:r/>
    </w:p>
    <w:p>
      <w:pPr>
        <w:pStyle w:val="844"/>
        <w:jc w:val="both"/>
        <w:spacing w:beforeAutospacing="0" w:afterAutospacing="0" w:line="240" w:lineRule="auto"/>
        <w:rPr>
          <w:color w:val="auto"/>
          <w:sz w:val="22"/>
          <w:szCs w:val="22"/>
          <w:highlight w:val="none"/>
        </w:rPr>
      </w:pPr>
      <w:r>
        <w:rPr>
          <w:rFonts w:hint="eastAsia"/>
          <w:color w:val="auto"/>
          <w:sz w:val="28"/>
          <w:szCs w:val="28"/>
          <w:highlight w:val="none"/>
          <w:u w:val="single"/>
        </w:rPr>
        <w:t xml:space="preserve">五、参加政府采购活动前 3 年内在经营活动中没有重大违法记录的书面声明</w:t>
      </w:r>
      <w:r/>
    </w:p>
    <w:p>
      <w:pPr>
        <w:pStyle w:val="844"/>
        <w:jc w:val="center"/>
        <w:spacing w:beforeAutospacing="0" w:afterAutospacing="0" w:line="240" w:lineRule="auto"/>
        <w:widowControl w:val="off"/>
        <w:rPr>
          <w:color w:val="auto"/>
          <w:sz w:val="22"/>
          <w:szCs w:val="22"/>
          <w:highlight w:val="none"/>
        </w:rPr>
      </w:pPr>
      <w:r>
        <w:rPr>
          <w:rFonts w:hint="eastAsia"/>
          <w:b/>
          <w:color w:val="auto"/>
          <w:sz w:val="40"/>
          <w:szCs w:val="40"/>
          <w:highlight w:val="none"/>
        </w:rPr>
        <w:t xml:space="preserve">声  明</w:t>
      </w:r>
      <w:r/>
    </w:p>
    <w:p>
      <w:pPr>
        <w:pStyle w:val="844"/>
        <w:ind w:firstLine="440"/>
        <w:jc w:val="both"/>
        <w:spacing w:beforeAutospacing="0" w:afterAutospacing="0" w:line="240" w:lineRule="auto"/>
        <w:rPr>
          <w:color w:val="auto"/>
          <w:sz w:val="22"/>
          <w:szCs w:val="22"/>
          <w:highlight w:val="none"/>
        </w:rPr>
      </w:pPr>
      <w:r>
        <w:rPr>
          <w:rFonts w:hint="eastAsia"/>
          <w:color w:val="auto"/>
          <w:sz w:val="22"/>
          <w:szCs w:val="22"/>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44"/>
        <w:jc w:val="both"/>
        <w:spacing w:beforeAutospacing="0" w:afterAutospacing="0" w:line="240" w:lineRule="auto"/>
        <w:rPr>
          <w:color w:val="auto"/>
          <w:sz w:val="22"/>
          <w:szCs w:val="22"/>
          <w:highlight w:val="none"/>
        </w:rPr>
      </w:pPr>
      <w:r>
        <w:rPr>
          <w:rFonts w:hint="eastAsia"/>
          <w:color w:val="auto"/>
          <w:sz w:val="22"/>
          <w:szCs w:val="22"/>
          <w:highlight w:val="none"/>
        </w:rPr>
        <w:t xml:space="preserve"> </w:t>
      </w:r>
      <w:r/>
    </w:p>
    <w:p>
      <w:pPr>
        <w:pStyle w:val="844"/>
        <w:jc w:val="both"/>
        <w:spacing w:beforeAutospacing="0" w:afterAutospacing="0" w:line="240" w:lineRule="auto"/>
        <w:rPr>
          <w:color w:val="auto"/>
          <w:sz w:val="22"/>
          <w:szCs w:val="22"/>
          <w:highlight w:val="none"/>
        </w:rPr>
      </w:pPr>
      <w:r>
        <w:rPr>
          <w:rFonts w:hint="eastAsia"/>
          <w:color w:val="auto"/>
          <w:sz w:val="28"/>
          <w:szCs w:val="28"/>
          <w:highlight w:val="none"/>
          <w:u w:val="single"/>
        </w:rPr>
        <w:t xml:space="preserve">六、特定资格要求的证明文件（标注页码位置）</w:t>
      </w:r>
      <w:r/>
    </w:p>
    <w:p>
      <w:pPr>
        <w:pStyle w:val="844"/>
        <w:ind w:firstLine="440"/>
        <w:jc w:val="both"/>
        <w:spacing w:beforeAutospacing="0" w:afterAutospacing="0" w:line="240" w:lineRule="auto"/>
        <w:rPr>
          <w:color w:val="auto"/>
          <w:highlight w:val="none"/>
        </w:rPr>
      </w:pPr>
      <w:r>
        <w:rPr>
          <w:rFonts w:hint="eastAsia"/>
          <w:color w:val="auto"/>
          <w:sz w:val="22"/>
          <w:szCs w:val="22"/>
          <w:highlight w:val="none"/>
        </w:rPr>
        <w:t xml:space="preserve">如果本项目申请人的特定资格要求中要求提供的，必须提供</w:t>
      </w:r>
      <w:r>
        <w:rPr>
          <w:rFonts w:hint="eastAsia"/>
          <w:color w:val="auto"/>
          <w:highlight w:val="none"/>
        </w:rPr>
        <w:t xml:space="preserve">。</w:t>
      </w:r>
      <w:r/>
    </w:p>
    <w:p>
      <w:pPr>
        <w:rPr>
          <w:rFonts w:ascii="宋体" w:hAnsi="宋体" w:cs="宋体"/>
          <w:color w:val="auto"/>
          <w:highlight w:val="none"/>
        </w:rPr>
      </w:pPr>
      <w:r>
        <w:rPr>
          <w:rFonts w:hint="eastAsia" w:ascii="宋体" w:hAnsi="宋体" w:cs="宋体"/>
          <w:color w:val="auto"/>
          <w:highlight w:val="none"/>
        </w:rPr>
        <w:br w:type="page" w:clear="all"/>
      </w:r>
      <w:r/>
    </w:p>
    <w:p>
      <w:pPr>
        <w:pStyle w:val="821"/>
        <w:ind w:left="0" w:firstLine="0"/>
        <w:jc w:val="center"/>
        <w:rPr>
          <w:rFonts w:hAnsi="宋体" w:cs="宋体"/>
          <w:color w:val="auto"/>
          <w:highlight w:val="none"/>
        </w:rPr>
      </w:pPr>
      <w:r>
        <w:rPr>
          <w:rFonts w:hint="eastAsia" w:hAnsi="宋体" w:cs="宋体"/>
          <w:color w:val="auto"/>
          <w:highlight w:val="none"/>
        </w:rPr>
        <w:t xml:space="preserve">资格性审查响应对照表</w:t>
      </w:r>
      <w:r/>
    </w:p>
    <w:p>
      <w:pPr>
        <w:rPr>
          <w:color w:val="auto"/>
          <w:highlight w:val="none"/>
        </w:rPr>
      </w:pPr>
      <w:r>
        <w:rPr>
          <w:rFonts w:hint="eastAsia" w:hAnsi="宋体" w:cs="宋体"/>
          <w:color w:val="auto"/>
          <w:highlight w:val="none"/>
        </w:rPr>
        <w:t xml:space="preserve">投标人全称（加盖投标人CA电子公章）</w:t>
      </w:r>
      <w:r/>
    </w:p>
    <w:tbl>
      <w:tblPr>
        <w:tblStyle w:val="849"/>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640"/>
        <w:gridCol w:w="2655"/>
        <w:gridCol w:w="2850"/>
        <w:gridCol w:w="1043"/>
      </w:tblGrid>
      <w:tr>
        <w:trPr>
          <w:jc w:val="center"/>
        </w:trPr>
        <w:tc>
          <w:tcPr>
            <w:tcW w:w="774" w:type="dxa"/>
            <w:textDirection w:val="lrTb"/>
            <w:noWrap w:val="false"/>
          </w:tcPr>
          <w:p>
            <w:pPr>
              <w:pStyle w:val="844"/>
              <w:jc w:val="both"/>
              <w:spacing w:beforeAutospacing="0" w:afterAutospacing="0" w:line="0" w:lineRule="atLeast"/>
              <w:rPr>
                <w:color w:val="auto"/>
                <w:highlight w:val="none"/>
              </w:rPr>
            </w:pPr>
            <w:r>
              <w:rPr>
                <w:rFonts w:hint="eastAsia"/>
                <w:color w:val="auto"/>
                <w:highlight w:val="none"/>
              </w:rPr>
              <w:t xml:space="preserve">序号</w:t>
            </w:r>
            <w:r/>
          </w:p>
        </w:tc>
        <w:tc>
          <w:tcPr>
            <w:tcW w:w="2640" w:type="dxa"/>
            <w:textDirection w:val="lrTb"/>
            <w:noWrap w:val="false"/>
          </w:tcPr>
          <w:p>
            <w:pPr>
              <w:pStyle w:val="844"/>
              <w:jc w:val="both"/>
              <w:spacing w:beforeAutospacing="0" w:afterAutospacing="0" w:line="0" w:lineRule="atLeast"/>
              <w:rPr>
                <w:color w:val="auto"/>
                <w:highlight w:val="none"/>
              </w:rPr>
            </w:pPr>
            <w:r>
              <w:rPr>
                <w:rFonts w:hint="eastAsia"/>
                <w:color w:val="auto"/>
                <w:highlight w:val="none"/>
              </w:rPr>
              <w:t xml:space="preserve">资格性审查响应内容</w:t>
            </w:r>
            <w:r/>
          </w:p>
        </w:tc>
        <w:tc>
          <w:tcPr>
            <w:tcW w:w="2655" w:type="dxa"/>
            <w:textDirection w:val="lrTb"/>
            <w:noWrap w:val="false"/>
          </w:tcPr>
          <w:p>
            <w:pPr>
              <w:pStyle w:val="844"/>
              <w:jc w:val="both"/>
              <w:spacing w:beforeAutospacing="0" w:afterAutospacing="0" w:line="0" w:lineRule="atLeast"/>
              <w:rPr>
                <w:color w:val="auto"/>
                <w:highlight w:val="none"/>
              </w:rPr>
            </w:pPr>
            <w:r>
              <w:rPr>
                <w:rFonts w:hint="eastAsia"/>
                <w:color w:val="auto"/>
                <w:highlight w:val="none"/>
              </w:rPr>
              <w:t xml:space="preserve">是否响应（填是或否）</w:t>
            </w:r>
            <w:r/>
          </w:p>
        </w:tc>
        <w:tc>
          <w:tcPr>
            <w:tcW w:w="2850" w:type="dxa"/>
            <w:textDirection w:val="lrTb"/>
            <w:noWrap w:val="false"/>
          </w:tcPr>
          <w:p>
            <w:pPr>
              <w:pStyle w:val="844"/>
              <w:jc w:val="both"/>
              <w:spacing w:beforeAutospacing="0" w:afterAutospacing="0" w:line="0" w:lineRule="atLeast"/>
              <w:rPr>
                <w:color w:val="auto"/>
                <w:highlight w:val="none"/>
              </w:rPr>
            </w:pPr>
            <w:r>
              <w:rPr>
                <w:rFonts w:hint="eastAsia"/>
                <w:b/>
                <w:bCs/>
                <w:color w:val="auto"/>
                <w:highlight w:val="none"/>
              </w:rPr>
              <w:t xml:space="preserve">投标文件中的页码位置</w:t>
            </w:r>
            <w:r/>
          </w:p>
        </w:tc>
        <w:tc>
          <w:tcPr>
            <w:tcW w:w="1043" w:type="dxa"/>
            <w:textDirection w:val="lrTb"/>
            <w:noWrap w:val="false"/>
          </w:tcPr>
          <w:p>
            <w:pPr>
              <w:pStyle w:val="844"/>
              <w:jc w:val="both"/>
              <w:spacing w:beforeAutospacing="0" w:afterAutospacing="0" w:line="0" w:lineRule="atLeast"/>
              <w:rPr>
                <w:color w:val="auto"/>
                <w:highlight w:val="none"/>
              </w:rPr>
            </w:pPr>
            <w:r>
              <w:rPr>
                <w:rFonts w:hint="eastAsia"/>
                <w:color w:val="auto"/>
                <w:highlight w:val="none"/>
              </w:rPr>
              <w:t xml:space="preserve">备注</w:t>
            </w:r>
            <w:r/>
          </w:p>
        </w:tc>
      </w:tr>
      <w:tr>
        <w:trPr>
          <w:jc w:val="center"/>
        </w:trPr>
        <w:tc>
          <w:tcPr>
            <w:tcW w:w="774"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640"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655"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850"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1043"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r>
      <w:tr>
        <w:trPr>
          <w:jc w:val="center"/>
        </w:trPr>
        <w:tc>
          <w:tcPr>
            <w:tcW w:w="774"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640"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655"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850"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1043"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r>
      <w:tr>
        <w:trPr>
          <w:jc w:val="center"/>
        </w:trPr>
        <w:tc>
          <w:tcPr>
            <w:tcW w:w="774"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640"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655"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850"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1043"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r>
      <w:tr>
        <w:trPr>
          <w:jc w:val="center"/>
        </w:trPr>
        <w:tc>
          <w:tcPr>
            <w:tcW w:w="774"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640"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655"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850"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1043"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r>
      <w:tr>
        <w:trPr>
          <w:jc w:val="center"/>
        </w:trPr>
        <w:tc>
          <w:tcPr>
            <w:tcW w:w="774"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640"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655"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2850"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c>
          <w:tcPr>
            <w:tcW w:w="1043" w:type="dxa"/>
            <w:textDirection w:val="lrTb"/>
            <w:noWrap w:val="false"/>
          </w:tcPr>
          <w:p>
            <w:pPr>
              <w:pStyle w:val="844"/>
              <w:jc w:val="both"/>
              <w:spacing w:beforeAutospacing="0" w:afterAutospacing="0" w:line="0" w:lineRule="atLeast"/>
              <w:rPr>
                <w:color w:val="auto"/>
                <w:highlight w:val="none"/>
              </w:rPr>
            </w:pPr>
            <w:r>
              <w:rPr>
                <w:color w:val="auto"/>
                <w:highlight w:val="none"/>
              </w:rPr>
            </w:r>
            <w:r/>
          </w:p>
        </w:tc>
      </w:tr>
    </w:tbl>
    <w:p>
      <w:pPr>
        <w:pStyle w:val="844"/>
        <w:jc w:val="both"/>
        <w:spacing w:beforeAutospacing="0" w:afterAutospacing="0" w:line="0" w:lineRule="atLeast"/>
        <w:rPr>
          <w:color w:val="auto"/>
          <w:highlight w:val="none"/>
        </w:rPr>
      </w:pPr>
      <w:r>
        <w:rPr>
          <w:color w:val="auto"/>
          <w:highlight w:val="none"/>
        </w:rPr>
      </w:r>
      <w:r/>
    </w:p>
    <w:p>
      <w:pPr>
        <w:pStyle w:val="844"/>
        <w:jc w:val="both"/>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rPr>
          <w:i/>
          <w:color w:val="auto"/>
          <w:sz w:val="32"/>
          <w:szCs w:val="32"/>
          <w:highlight w:val="none"/>
          <w:u w:val="single"/>
        </w:rPr>
      </w:pPr>
      <w:r>
        <w:rPr>
          <w:i/>
          <w:color w:val="auto"/>
          <w:sz w:val="32"/>
          <w:szCs w:val="32"/>
          <w:highlight w:val="none"/>
          <w:u w:val="single"/>
        </w:rPr>
      </w:r>
      <w:r/>
    </w:p>
    <w:p>
      <w:pPr>
        <w:pStyle w:val="844"/>
        <w:spacing w:beforeAutospacing="0" w:afterAutospacing="0"/>
        <w:rPr>
          <w:color w:val="auto"/>
          <w:highlight w:val="none"/>
        </w:rPr>
      </w:pPr>
      <w:r>
        <w:rPr>
          <w:rFonts w:hint="eastAsia"/>
          <w:iCs/>
          <w:color w:val="auto"/>
          <w:sz w:val="32"/>
          <w:szCs w:val="32"/>
          <w:highlight w:val="none"/>
          <w:u w:val="single"/>
        </w:rPr>
        <w:t xml:space="preserve">七、法人授权书</w:t>
      </w:r>
      <w:r/>
    </w:p>
    <w:p>
      <w:pPr>
        <w:pStyle w:val="844"/>
        <w:jc w:val="both"/>
        <w:spacing w:beforeAutospacing="0" w:afterAutospacing="0"/>
        <w:tabs>
          <w:tab w:val="left" w:pos="360" w:leader="none"/>
        </w:tabs>
        <w:rPr>
          <w:color w:val="auto"/>
          <w:highlight w:val="none"/>
        </w:rPr>
      </w:pPr>
      <w:r>
        <w:rPr>
          <w:rFonts w:hint="eastAsia"/>
          <w:color w:val="auto"/>
          <w:highlight w:val="none"/>
        </w:rPr>
        <w:t xml:space="preserve">本授权书声明：____________（投标人名称）授权________________（被授权人的姓名）为我方就JSZC-</w:t>
      </w:r>
      <w:r>
        <w:rPr>
          <w:rFonts w:hint="eastAsia"/>
          <w:color w:val="auto"/>
          <w:highlight w:val="none"/>
          <w:u w:val="single"/>
        </w:rPr>
        <w:t xml:space="preserve">          </w:t>
      </w:r>
      <w:r>
        <w:rPr>
          <w:rFonts w:hint="eastAsia"/>
          <w:color w:val="auto"/>
          <w:highlight w:val="none"/>
        </w:rPr>
        <w:t xml:space="preserve">号项目采购活动的合法代理人，以本单位名义全权处理一切与该项目采购有关的事务。</w:t>
      </w:r>
      <w:r/>
    </w:p>
    <w:p>
      <w:pPr>
        <w:pStyle w:val="844"/>
        <w:jc w:val="both"/>
        <w:spacing w:beforeAutospacing="0" w:afterAutospacing="0"/>
        <w:tabs>
          <w:tab w:val="left" w:pos="360" w:leader="none"/>
        </w:tabs>
        <w:rPr>
          <w:color w:val="auto"/>
          <w:highlight w:val="none"/>
        </w:rPr>
      </w:pPr>
      <w:r>
        <w:rPr>
          <w:rFonts w:hint="eastAsia"/>
          <w:color w:val="auto"/>
          <w:highlight w:val="none"/>
        </w:rPr>
        <w:t xml:space="preserve">本授权书于______年____月____日起生效，特此声明。</w:t>
      </w:r>
      <w:r/>
    </w:p>
    <w:p>
      <w:pPr>
        <w:pStyle w:val="844"/>
        <w:jc w:val="both"/>
        <w:spacing w:beforeAutospacing="0" w:afterAutospacing="0"/>
        <w:tabs>
          <w:tab w:val="left" w:pos="360" w:leader="none"/>
        </w:tabs>
        <w:rPr>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844"/>
        <w:jc w:val="both"/>
        <w:spacing w:beforeAutospacing="0" w:afterAutospacing="0"/>
        <w:tabs>
          <w:tab w:val="left" w:pos="360" w:leader="none"/>
        </w:tabs>
        <w:rPr>
          <w:color w:val="auto"/>
          <w:highlight w:val="none"/>
          <w:u w:val="single"/>
        </w:rPr>
      </w:pPr>
      <w:r>
        <w:rPr>
          <w:rFonts w:hint="eastAsia"/>
          <w:color w:val="auto"/>
          <w:highlight w:val="none"/>
        </w:rPr>
        <w:t xml:space="preserve">被授权人联系电话：（手机）</w:t>
      </w:r>
      <w:r>
        <w:rPr>
          <w:rFonts w:hint="eastAsia"/>
          <w:color w:val="auto"/>
          <w:highlight w:val="none"/>
          <w:u w:val="single"/>
        </w:rPr>
        <w:t xml:space="preserve">                  </w:t>
      </w:r>
      <w:r/>
    </w:p>
    <w:p>
      <w:pPr>
        <w:pStyle w:val="844"/>
        <w:jc w:val="both"/>
        <w:spacing w:beforeAutospacing="0" w:afterAutospacing="0"/>
        <w:tabs>
          <w:tab w:val="left" w:pos="360" w:leader="none"/>
        </w:tabs>
        <w:rPr>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w:t>
      </w:r>
      <w:r/>
    </w:p>
    <w:p>
      <w:pPr>
        <w:pStyle w:val="844"/>
        <w:jc w:val="both"/>
        <w:spacing w:beforeAutospacing="0" w:afterAutospacing="0"/>
        <w:tabs>
          <w:tab w:val="left" w:pos="360" w:leader="none"/>
        </w:tabs>
        <w:rPr>
          <w:color w:val="auto"/>
          <w:highlight w:val="none"/>
        </w:rPr>
      </w:pPr>
      <w:r>
        <w:rPr>
          <w:rFonts w:hint="eastAsia"/>
          <w:color w:val="auto"/>
          <w:highlight w:val="none"/>
        </w:rPr>
        <w:t xml:space="preserve">单位地址：</w:t>
      </w:r>
      <w:r>
        <w:rPr>
          <w:rFonts w:hint="eastAsia"/>
          <w:color w:val="auto"/>
          <w:highlight w:val="none"/>
          <w:u w:val="single"/>
        </w:rPr>
        <w:t xml:space="preserve">                          </w:t>
      </w:r>
      <w:r/>
    </w:p>
    <w:p>
      <w:pPr>
        <w:pStyle w:val="844"/>
        <w:jc w:val="both"/>
        <w:spacing w:beforeAutospacing="0" w:afterAutospacing="0"/>
        <w:tabs>
          <w:tab w:val="left" w:pos="360" w:leader="none"/>
        </w:tabs>
        <w:rPr>
          <w:color w:val="auto"/>
          <w:highlight w:val="none"/>
        </w:rPr>
      </w:pPr>
      <w:r>
        <w:rPr>
          <w:rFonts w:hint="eastAsia"/>
          <w:color w:val="auto"/>
          <w:highlight w:val="none"/>
        </w:rPr>
        <w:t xml:space="preserve">日期：</w:t>
      </w:r>
      <w:r>
        <w:rPr>
          <w:rFonts w:hint="eastAsia"/>
          <w:color w:val="auto"/>
          <w:highlight w:val="none"/>
          <w:u w:val="single"/>
        </w:rPr>
        <w:t xml:space="preserve">                            </w:t>
      </w:r>
      <w:r/>
    </w:p>
    <w:p>
      <w:pPr>
        <w:pStyle w:val="844"/>
        <w:jc w:val="both"/>
        <w:spacing w:beforeAutospacing="0" w:afterAutospacing="0"/>
        <w:rPr>
          <w:color w:val="auto"/>
          <w:highlight w:val="none"/>
        </w:rPr>
      </w:pPr>
      <w:r>
        <w:rPr>
          <w:rFonts w:hint="eastAsia"/>
          <w:color w:val="auto"/>
          <w:highlight w:val="none"/>
        </w:rPr>
        <w:t xml:space="preserve"> </w:t>
      </w:r>
      <w:r/>
    </w:p>
    <w:p>
      <w:pPr>
        <w:pStyle w:val="844"/>
        <w:jc w:val="both"/>
        <w:spacing w:beforeAutospacing="0" w:afterAutospacing="0"/>
        <w:rPr>
          <w:color w:val="auto"/>
          <w:highlight w:val="none"/>
        </w:rPr>
      </w:pPr>
      <w:r>
        <w:rPr>
          <w:rFonts w:hint="eastAsia"/>
          <w:color w:val="auto"/>
          <w:highlight w:val="none"/>
        </w:rPr>
        <w:t xml:space="preserve"> </w:t>
      </w:r>
      <w:r/>
    </w:p>
    <w:p>
      <w:pPr>
        <w:pStyle w:val="844"/>
        <w:jc w:val="both"/>
        <w:spacing w:beforeAutospacing="0" w:afterAutospacing="0" w:line="0" w:lineRule="atLeast"/>
        <w:rPr>
          <w:color w:val="auto"/>
          <w:highlight w:val="none"/>
        </w:rPr>
      </w:pPr>
      <w:r>
        <w:rPr>
          <w:rFonts w:hint="eastAsia"/>
          <w:color w:val="auto"/>
          <w:highlight w:val="none"/>
        </w:rPr>
        <w:t xml:space="preserve"> </w:t>
      </w:r>
      <w:r/>
    </w:p>
    <w:p>
      <w:pPr>
        <w:pStyle w:val="844"/>
        <w:jc w:val="both"/>
        <w:spacing w:beforeAutospacing="0" w:afterAutospacing="0" w:line="0" w:lineRule="atLeast"/>
        <w:rPr>
          <w:color w:val="auto"/>
          <w:highlight w:val="none"/>
        </w:rPr>
      </w:pPr>
      <w:r>
        <w:rPr>
          <w:rFonts w:hint="eastAsia"/>
          <w:color w:val="auto"/>
          <w:highlight w:val="none"/>
        </w:rPr>
        <w:t xml:space="preserve"> </w:t>
      </w:r>
      <w:r/>
    </w:p>
    <w:p>
      <w:pPr>
        <w:pStyle w:val="844"/>
        <w:jc w:val="both"/>
        <w:keepLines/>
        <w:keepNext/>
        <w:spacing w:beforeAutospacing="0" w:afterAutospacing="0" w:line="415" w:lineRule="auto"/>
        <w:rPr>
          <w:b/>
          <w:color w:val="auto"/>
          <w:sz w:val="32"/>
          <w:szCs w:val="32"/>
          <w:highlight w:val="none"/>
        </w:rPr>
      </w:pPr>
      <w:r>
        <w:rPr>
          <w:rFonts w:hint="eastAsia"/>
          <w:b/>
          <w:color w:val="auto"/>
          <w:highlight w:val="none"/>
        </w:rPr>
        <w:br w:type="page" w:clear="all"/>
      </w:r>
      <w:r>
        <w:rPr>
          <w:rFonts w:hint="eastAsia"/>
          <w:bCs/>
          <w:color w:val="auto"/>
          <w:sz w:val="32"/>
          <w:szCs w:val="32"/>
          <w:highlight w:val="none"/>
          <w:u w:val="single"/>
        </w:rPr>
        <w:t xml:space="preserve">八、投标函</w:t>
      </w:r>
      <w:r/>
    </w:p>
    <w:p>
      <w:pPr>
        <w:pStyle w:val="844"/>
        <w:spacing w:beforeAutospacing="0" w:afterAutospacing="0" w:line="0" w:lineRule="atLeast"/>
        <w:rPr>
          <w:rFonts w:hint="eastAsia" w:eastAsia="宋体"/>
          <w:color w:val="auto"/>
          <w:highlight w:val="none"/>
          <w:lang w:eastAsia="zh-CN"/>
        </w:rPr>
      </w:pPr>
      <w:r>
        <w:rPr>
          <w:rFonts w:hint="eastAsia"/>
          <w:color w:val="auto"/>
          <w:highlight w:val="none"/>
        </w:rPr>
        <w:t xml:space="preserve">致：</w:t>
      </w:r>
      <w:r>
        <w:rPr>
          <w:rFonts w:hint="eastAsia"/>
          <w:color w:val="auto"/>
          <w:highlight w:val="none"/>
          <w:u w:val="single"/>
          <w:lang w:eastAsia="zh-CN"/>
        </w:rPr>
        <w:t xml:space="preserve">盐城市公安局大丰分局</w:t>
      </w:r>
      <w:r/>
    </w:p>
    <w:p>
      <w:pPr>
        <w:pStyle w:val="844"/>
        <w:ind w:firstLine="480"/>
        <w:spacing w:beforeAutospacing="0" w:afterAutospacing="0" w:line="0" w:lineRule="atLeast"/>
        <w:rPr>
          <w:color w:val="auto"/>
          <w:highlight w:val="none"/>
        </w:rPr>
      </w:pPr>
      <w:r>
        <w:rPr>
          <w:rFonts w:hint="eastAsia"/>
          <w:color w:val="auto"/>
          <w:highlight w:val="none"/>
        </w:rPr>
        <w:t xml:space="preserve">根据贵方的JSZC-***</w:t>
      </w:r>
      <w:r>
        <w:rPr>
          <w:rFonts w:hint="eastAsia"/>
          <w:color w:val="auto"/>
          <w:highlight w:val="none"/>
          <w:u w:val="single"/>
        </w:rPr>
        <w:t xml:space="preserve">            </w:t>
      </w:r>
      <w:r>
        <w:rPr>
          <w:rFonts w:hint="eastAsia"/>
          <w:color w:val="auto"/>
          <w:highlight w:val="none"/>
        </w:rPr>
        <w:t xml:space="preserve">号招标文件，正式授权下述签字人_________________(姓名)代表我方______________（投标人的名称），全权处理本次项目投标的有关事宜。</w:t>
      </w:r>
      <w:r/>
    </w:p>
    <w:p>
      <w:pPr>
        <w:pStyle w:val="844"/>
        <w:ind w:firstLine="480"/>
        <w:spacing w:beforeAutospacing="0" w:afterAutospacing="0" w:line="0" w:lineRule="atLeast"/>
        <w:rPr>
          <w:color w:val="auto"/>
          <w:highlight w:val="none"/>
        </w:rPr>
      </w:pPr>
      <w:r>
        <w:rPr>
          <w:rFonts w:hint="eastAsia"/>
          <w:color w:val="auto"/>
          <w:highlight w:val="none"/>
        </w:rPr>
        <w:t xml:space="preserve">据此函，__________签字人兹宣布同意如下：</w:t>
      </w:r>
      <w:r/>
    </w:p>
    <w:p>
      <w:pPr>
        <w:pStyle w:val="844"/>
        <w:ind w:firstLine="480"/>
        <w:spacing w:beforeAutospacing="0" w:afterAutospacing="0" w:line="0" w:lineRule="atLeast"/>
        <w:rPr>
          <w:color w:val="auto"/>
          <w:highlight w:val="none"/>
        </w:rPr>
      </w:pPr>
      <w:r>
        <w:rPr>
          <w:rFonts w:hint="eastAsia"/>
          <w:color w:val="auto"/>
          <w:highlight w:val="none"/>
        </w:rPr>
        <w:t xml:space="preserve">1.按招标文件规定的各项要求，向买方提供所需货物（包含与货物相关的服务）。</w:t>
      </w:r>
      <w:r/>
    </w:p>
    <w:p>
      <w:pPr>
        <w:pStyle w:val="844"/>
        <w:ind w:firstLine="480"/>
        <w:spacing w:beforeAutospacing="0" w:afterAutospacing="0" w:line="0" w:lineRule="atLeast"/>
        <w:rPr>
          <w:color w:val="auto"/>
          <w:highlight w:val="none"/>
        </w:rPr>
      </w:pPr>
      <w:r>
        <w:rPr>
          <w:rFonts w:hint="eastAsia"/>
          <w:color w:val="auto"/>
          <w:highlight w:val="none"/>
        </w:rPr>
        <w:t xml:space="preserve">2.我们完全理解贵方不一定将合同授予最低报价的投标人。</w:t>
      </w:r>
      <w:r/>
    </w:p>
    <w:p>
      <w:pPr>
        <w:pStyle w:val="844"/>
        <w:ind w:firstLine="480"/>
        <w:spacing w:beforeAutospacing="0" w:afterAutospacing="0" w:line="0" w:lineRule="atLeast"/>
        <w:rPr>
          <w:color w:val="auto"/>
          <w:highlight w:val="none"/>
        </w:rPr>
      </w:pPr>
      <w:r>
        <w:rPr>
          <w:rFonts w:hint="eastAsia"/>
          <w:color w:val="auto"/>
          <w:highlight w:val="none"/>
        </w:rPr>
        <w:t xml:space="preserve">3.我们已详细审核全部招标文件及其有效补充文件，我们知道必须放弃提出含糊不清或误解问题的权利。</w:t>
      </w:r>
      <w:r/>
    </w:p>
    <w:p>
      <w:pPr>
        <w:pStyle w:val="844"/>
        <w:ind w:firstLine="480"/>
        <w:spacing w:beforeAutospacing="0" w:afterAutospacing="0" w:line="0" w:lineRule="atLeast"/>
        <w:rPr>
          <w:color w:val="auto"/>
          <w:highlight w:val="none"/>
        </w:rPr>
      </w:pPr>
      <w:r>
        <w:rPr>
          <w:rFonts w:hint="eastAsia"/>
          <w:color w:val="auto"/>
          <w:highlight w:val="none"/>
        </w:rPr>
        <w:t xml:space="preserve">4.我们同意从规定的开标日期起遵循本投标文件，并在规定的投标有效期期满之前均具有约束力。</w:t>
      </w:r>
      <w:r/>
    </w:p>
    <w:p>
      <w:pPr>
        <w:pStyle w:val="844"/>
        <w:ind w:firstLine="480"/>
        <w:spacing w:beforeAutospacing="0" w:afterAutospacing="0" w:line="0" w:lineRule="atLeast"/>
        <w:rPr>
          <w:color w:val="auto"/>
          <w:highlight w:val="none"/>
        </w:rPr>
      </w:pPr>
      <w:r>
        <w:rPr>
          <w:rFonts w:hint="eastAsia"/>
          <w:color w:val="auto"/>
          <w:highlight w:val="none"/>
        </w:rPr>
        <w:t xml:space="preserve">5.同意向贵方提供贵方可能另外要求的与投标有关的任何证据或资料，并保证我方已提供和将要提供的文件是真实的、准确的。</w:t>
      </w:r>
      <w:r/>
    </w:p>
    <w:p>
      <w:pPr>
        <w:pStyle w:val="844"/>
        <w:ind w:firstLine="480"/>
        <w:spacing w:beforeAutospacing="0" w:afterAutospacing="0" w:line="0" w:lineRule="atLeast"/>
        <w:rPr>
          <w:color w:val="auto"/>
          <w:highlight w:val="none"/>
        </w:rPr>
      </w:pPr>
      <w:r>
        <w:rPr>
          <w:rFonts w:hint="eastAsia"/>
          <w:color w:val="auto"/>
          <w:highlight w:val="none"/>
        </w:rPr>
        <w:t xml:space="preserve">6.一旦我方中标,我方将根据招标文件的规定，严格履行合同的责任和义务,并保证在招标文件规定的时间完成项目，交付买方验收、使用。</w:t>
      </w:r>
      <w:r/>
    </w:p>
    <w:p>
      <w:pPr>
        <w:pStyle w:val="844"/>
        <w:ind w:firstLine="480"/>
        <w:spacing w:beforeAutospacing="0" w:afterAutospacing="0" w:line="0" w:lineRule="atLeast"/>
        <w:rPr>
          <w:color w:val="auto"/>
          <w:highlight w:val="none"/>
        </w:rPr>
      </w:pPr>
      <w:r>
        <w:rPr>
          <w:rFonts w:hint="eastAsia"/>
          <w:color w:val="auto"/>
          <w:highlight w:val="none"/>
        </w:rPr>
        <w:t xml:space="preserve">7.与本投标有关的正式通讯地址为：</w:t>
      </w:r>
      <w:r/>
    </w:p>
    <w:p>
      <w:pPr>
        <w:pStyle w:val="844"/>
        <w:ind w:firstLine="960"/>
        <w:spacing w:beforeAutospacing="0" w:afterAutospacing="0" w:line="0" w:lineRule="atLeast"/>
        <w:rPr>
          <w:color w:val="auto"/>
          <w:highlight w:val="none"/>
        </w:rPr>
      </w:pPr>
      <w:r>
        <w:rPr>
          <w:rFonts w:hint="eastAsia"/>
          <w:color w:val="auto"/>
          <w:highlight w:val="none"/>
        </w:rPr>
        <w:t xml:space="preserve">地</w:t>
      </w:r>
      <w:r>
        <w:rPr>
          <w:rFonts w:hint="eastAsia" w:ascii="Times New Roman" w:eastAsia="宋体"/>
          <w:color w:val="auto"/>
          <w:highlight w:val="none"/>
          <w:lang w:val="en-US" w:eastAsia="zh-CN"/>
        </w:rPr>
        <w:t xml:space="preserve">        </w:t>
      </w:r>
      <w:r>
        <w:rPr>
          <w:rFonts w:hint="eastAsia"/>
          <w:color w:val="auto"/>
          <w:highlight w:val="none"/>
        </w:rPr>
        <w:t xml:space="preserve">址：</w:t>
      </w:r>
      <w:r/>
    </w:p>
    <w:p>
      <w:pPr>
        <w:pStyle w:val="844"/>
        <w:ind w:firstLine="960"/>
        <w:spacing w:beforeAutospacing="0" w:afterAutospacing="0" w:line="0" w:lineRule="atLeast"/>
        <w:rPr>
          <w:color w:val="auto"/>
          <w:highlight w:val="none"/>
        </w:rPr>
      </w:pPr>
      <w:r>
        <w:rPr>
          <w:rFonts w:hint="eastAsia"/>
          <w:color w:val="auto"/>
          <w:highlight w:val="none"/>
        </w:rPr>
        <w:t xml:space="preserve">邮</w:t>
      </w:r>
      <w:r>
        <w:rPr>
          <w:rFonts w:hint="eastAsia" w:ascii="Times New Roman" w:eastAsia="宋体"/>
          <w:color w:val="auto"/>
          <w:highlight w:val="none"/>
          <w:lang w:val="en-US" w:eastAsia="zh-CN"/>
        </w:rPr>
        <w:t xml:space="preserve">        </w:t>
      </w:r>
      <w:r>
        <w:rPr>
          <w:rFonts w:hint="eastAsia"/>
          <w:color w:val="auto"/>
          <w:highlight w:val="none"/>
        </w:rPr>
        <w:t xml:space="preserve">编：</w:t>
      </w:r>
      <w:r/>
    </w:p>
    <w:p>
      <w:pPr>
        <w:pStyle w:val="844"/>
        <w:ind w:firstLine="960"/>
        <w:spacing w:beforeAutospacing="0" w:afterAutospacing="0" w:line="0" w:lineRule="atLeast"/>
        <w:rPr>
          <w:color w:val="auto"/>
          <w:highlight w:val="none"/>
        </w:rPr>
      </w:pPr>
      <w:r>
        <w:rPr>
          <w:rFonts w:hint="eastAsia"/>
          <w:color w:val="auto"/>
          <w:highlight w:val="none"/>
        </w:rPr>
        <w:t xml:space="preserve">电</w:t>
      </w:r>
      <w:r>
        <w:rPr>
          <w:rFonts w:hint="eastAsia" w:ascii="Times New Roman" w:eastAsia="宋体"/>
          <w:color w:val="auto"/>
          <w:highlight w:val="none"/>
          <w:lang w:val="en-US" w:eastAsia="zh-CN"/>
        </w:rPr>
        <w:t xml:space="preserve">        </w:t>
      </w:r>
      <w:r>
        <w:rPr>
          <w:rFonts w:hint="eastAsia"/>
          <w:color w:val="auto"/>
          <w:highlight w:val="none"/>
        </w:rPr>
        <w:t xml:space="preserve">话：</w:t>
      </w:r>
      <w:r/>
    </w:p>
    <w:p>
      <w:pPr>
        <w:pStyle w:val="844"/>
        <w:ind w:firstLine="960"/>
        <w:spacing w:beforeAutospacing="0" w:afterAutospacing="0" w:line="0" w:lineRule="atLeast"/>
        <w:rPr>
          <w:color w:val="auto"/>
          <w:highlight w:val="none"/>
        </w:rPr>
      </w:pPr>
      <w:r>
        <w:rPr>
          <w:rFonts w:hint="eastAsia"/>
          <w:color w:val="auto"/>
          <w:highlight w:val="none"/>
        </w:rPr>
        <w:t xml:space="preserve">传</w:t>
      </w:r>
      <w:r>
        <w:rPr>
          <w:rFonts w:hint="eastAsia"/>
          <w:color w:val="auto"/>
          <w:highlight w:val="none"/>
          <w:lang w:val="en-US" w:eastAsia="zh-CN"/>
        </w:rPr>
        <w:t xml:space="preserve">        </w:t>
      </w:r>
      <w:r>
        <w:rPr>
          <w:rFonts w:hint="eastAsia"/>
          <w:color w:val="auto"/>
          <w:highlight w:val="none"/>
        </w:rPr>
        <w:t xml:space="preserve">真：</w:t>
      </w:r>
      <w:r/>
    </w:p>
    <w:p>
      <w:pPr>
        <w:pStyle w:val="844"/>
        <w:ind w:firstLine="960"/>
        <w:spacing w:beforeAutospacing="0" w:afterAutospacing="0" w:line="0" w:lineRule="atLeast"/>
        <w:rPr>
          <w:color w:val="auto"/>
          <w:highlight w:val="none"/>
        </w:rPr>
      </w:pPr>
      <w:r>
        <w:rPr>
          <w:rFonts w:hint="eastAsia"/>
          <w:color w:val="auto"/>
          <w:highlight w:val="none"/>
        </w:rPr>
        <w:t xml:space="preserve">投标人开户行：</w:t>
      </w:r>
      <w:r/>
    </w:p>
    <w:p>
      <w:pPr>
        <w:pStyle w:val="844"/>
        <w:ind w:firstLine="960"/>
        <w:spacing w:beforeAutospacing="0" w:afterAutospacing="0" w:line="0" w:lineRule="atLeast"/>
        <w:rPr>
          <w:color w:val="auto"/>
          <w:highlight w:val="none"/>
        </w:rPr>
      </w:pPr>
      <w:r>
        <w:rPr>
          <w:rFonts w:hint="eastAsia"/>
          <w:color w:val="auto"/>
          <w:highlight w:val="none"/>
        </w:rPr>
        <w:t xml:space="preserve">账</w:t>
      </w:r>
      <w:r>
        <w:rPr>
          <w:rFonts w:hint="eastAsia" w:ascii="Times New Roman" w:eastAsia="宋体"/>
          <w:color w:val="auto"/>
          <w:highlight w:val="none"/>
          <w:lang w:val="en-US" w:eastAsia="zh-CN"/>
        </w:rPr>
        <w:t xml:space="preserve">        </w:t>
      </w:r>
      <w:r>
        <w:rPr>
          <w:rFonts w:hint="eastAsia"/>
          <w:color w:val="auto"/>
          <w:highlight w:val="none"/>
        </w:rPr>
        <w:t xml:space="preserve">号： </w:t>
      </w:r>
      <w:r/>
    </w:p>
    <w:p>
      <w:pPr>
        <w:pStyle w:val="844"/>
        <w:ind w:firstLine="960"/>
        <w:spacing w:beforeAutospacing="0" w:afterAutospacing="0" w:line="0" w:lineRule="atLeast"/>
        <w:rPr>
          <w:color w:val="auto"/>
          <w:highlight w:val="none"/>
        </w:rPr>
      </w:pPr>
      <w:r>
        <w:rPr>
          <w:rFonts w:hint="eastAsia"/>
          <w:color w:val="auto"/>
          <w:highlight w:val="none"/>
        </w:rPr>
        <w:t xml:space="preserve">日</w:t>
      </w:r>
      <w:r>
        <w:rPr>
          <w:rFonts w:hint="eastAsia" w:ascii="Times New Roman" w:eastAsia="宋体"/>
          <w:color w:val="auto"/>
          <w:highlight w:val="none"/>
          <w:lang w:val="en-US" w:eastAsia="zh-CN"/>
        </w:rPr>
        <w:t xml:space="preserve">        </w:t>
      </w:r>
      <w:r>
        <w:rPr>
          <w:rFonts w:hint="eastAsia"/>
          <w:color w:val="auto"/>
          <w:highlight w:val="none"/>
        </w:rPr>
        <w:t xml:space="preserve">期：________年____月____日</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color w:val="auto"/>
          <w:highlight w:val="none"/>
        </w:rPr>
      </w:r>
      <w:r/>
    </w:p>
    <w:p>
      <w:pPr>
        <w:pStyle w:val="844"/>
        <w:jc w:val="center"/>
        <w:spacing w:beforeAutospacing="0" w:afterAutospacing="0" w:line="0" w:lineRule="atLeast"/>
        <w:rPr>
          <w:color w:val="auto"/>
          <w:highlight w:val="none"/>
        </w:rPr>
      </w:pPr>
      <w:r>
        <w:rPr>
          <w:color w:val="auto"/>
          <w:highlight w:val="none"/>
        </w:rPr>
      </w:r>
      <w:r/>
    </w:p>
    <w:p>
      <w:pPr>
        <w:pStyle w:val="844"/>
        <w:jc w:val="center"/>
        <w:spacing w:beforeAutospacing="0" w:afterAutospacing="0" w:line="0" w:lineRule="atLeast"/>
        <w:rPr>
          <w:color w:val="auto"/>
          <w:highlight w:val="none"/>
        </w:rPr>
      </w:pPr>
      <w:r>
        <w:rPr>
          <w:color w:val="auto"/>
          <w:highlight w:val="none"/>
        </w:rPr>
      </w:r>
      <w:r/>
    </w:p>
    <w:p>
      <w:pPr>
        <w:pStyle w:val="844"/>
        <w:jc w:val="center"/>
        <w:spacing w:beforeAutospacing="0" w:afterAutospacing="0" w:line="0" w:lineRule="atLeast"/>
        <w:rPr>
          <w:color w:val="auto"/>
          <w:highlight w:val="none"/>
        </w:rPr>
      </w:pPr>
      <w:r>
        <w:rPr>
          <w:color w:val="auto"/>
          <w:highlight w:val="none"/>
        </w:rPr>
      </w:r>
      <w:r/>
    </w:p>
    <w:p>
      <w:pPr>
        <w:pStyle w:val="844"/>
        <w:jc w:val="center"/>
        <w:spacing w:beforeAutospacing="0" w:afterAutospacing="0" w:line="0" w:lineRule="atLeast"/>
        <w:rPr>
          <w:color w:val="auto"/>
          <w:highlight w:val="none"/>
        </w:rPr>
      </w:pPr>
      <w:r>
        <w:rPr>
          <w:color w:val="auto"/>
          <w:highlight w:val="none"/>
        </w:rPr>
      </w:r>
      <w:r/>
    </w:p>
    <w:p>
      <w:pPr>
        <w:pStyle w:val="844"/>
        <w:spacing w:beforeAutospacing="0" w:afterAutospacing="0" w:line="360" w:lineRule="auto"/>
        <w:rPr>
          <w:color w:val="auto"/>
          <w:highlight w:val="none"/>
        </w:rPr>
      </w:pPr>
      <w:r>
        <w:rPr>
          <w:rFonts w:hint="eastAsia"/>
          <w:b/>
          <w:color w:val="auto"/>
          <w:sz w:val="32"/>
          <w:szCs w:val="32"/>
          <w:highlight w:val="none"/>
          <w:u w:val="single"/>
        </w:rPr>
        <w:t xml:space="preserve">九、</w:t>
      </w:r>
      <w:r>
        <w:rPr>
          <w:rFonts w:hint="eastAsia"/>
          <w:b/>
          <w:color w:val="auto"/>
          <w:sz w:val="32"/>
          <w:szCs w:val="32"/>
          <w:highlight w:val="none"/>
          <w:u w:val="single"/>
          <w:lang w:val="en-US" w:eastAsia="zh-CN"/>
        </w:rPr>
        <w:t xml:space="preserve">中小</w:t>
      </w:r>
      <w:r>
        <w:rPr>
          <w:rFonts w:hint="eastAsia"/>
          <w:b/>
          <w:color w:val="auto"/>
          <w:sz w:val="32"/>
          <w:szCs w:val="32"/>
          <w:highlight w:val="none"/>
          <w:u w:val="single"/>
        </w:rPr>
        <w:t xml:space="preserve">企业声明函（货物）</w:t>
      </w:r>
      <w:r/>
    </w:p>
    <w:p>
      <w:pPr>
        <w:ind w:firstLine="480"/>
        <w:jc w:val="both"/>
        <w:spacing w:line="360" w:lineRule="auto"/>
        <w:rPr>
          <w:rFonts w:hint="eastAsia"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本公司（联合体）郑重声明，根据《政府采购促进中小企业发展管理办法》（财库﹝2020﹞46 号）的规定，本公司（联合体）参加盐城市政府采购中心组织的</w:t>
      </w:r>
      <w:r>
        <w:rPr>
          <w:rFonts w:hint="eastAsia" w:ascii="Calibri" w:hAnsi="Calibri" w:eastAsia="宋体" w:cs="Times New Roman"/>
          <w:i/>
          <w:iCs/>
          <w:color w:val="auto"/>
          <w:sz w:val="24"/>
          <w:szCs w:val="24"/>
          <w:highlight w:val="none"/>
          <w:u w:val="single"/>
        </w:rPr>
        <w:t xml:space="preserve">（单位名称）</w:t>
      </w:r>
      <w:r>
        <w:rPr>
          <w:rFonts w:hint="eastAsia" w:ascii="Calibri" w:hAnsi="Calibri" w:eastAsia="宋体" w:cs="Times New Roman"/>
          <w:color w:val="auto"/>
          <w:sz w:val="24"/>
          <w:szCs w:val="20"/>
          <w:highlight w:val="none"/>
        </w:rPr>
        <w:t xml:space="preserve">，</w:t>
      </w:r>
      <w:r>
        <w:rPr>
          <w:rFonts w:hint="eastAsia" w:ascii="Calibri" w:hAnsi="Calibri" w:eastAsia="宋体" w:cs="Times New Roman"/>
          <w:color w:val="auto"/>
          <w:sz w:val="24"/>
          <w:highlight w:val="none"/>
        </w:rPr>
        <w:t xml:space="preserve">采购编号为</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lang w:val="en-US" w:eastAsia="zh-CN"/>
        </w:rPr>
        <w:t xml:space="preserve">的</w:t>
      </w:r>
      <w:r>
        <w:rPr>
          <w:rFonts w:hint="eastAsia" w:ascii="Calibri" w:hAnsi="Calibri" w:eastAsia="宋体" w:cs="Times New Roman"/>
          <w:i/>
          <w:iCs/>
          <w:color w:val="auto"/>
          <w:sz w:val="24"/>
          <w:highlight w:val="none"/>
          <w:u w:val="single"/>
        </w:rPr>
        <w:t xml:space="preserve">（项目名称）</w:t>
      </w:r>
      <w:r>
        <w:rPr>
          <w:rFonts w:hint="eastAsia" w:ascii="Calibri" w:hAnsi="Calibri" w:eastAsia="宋体" w:cs="Times New Roman"/>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0"/>
        </w:numPr>
        <w:ind w:firstLine="480"/>
        <w:jc w:val="both"/>
        <w:spacing w:line="360" w:lineRule="auto"/>
        <w:rPr>
          <w:rFonts w:hint="eastAsia" w:ascii="Calibri" w:hAnsi="Calibri" w:eastAsia="宋体" w:cs="Times New Roman"/>
          <w:color w:val="auto"/>
          <w:sz w:val="24"/>
          <w:highlight w:val="none"/>
        </w:rPr>
      </w:pPr>
      <w:r>
        <w:rPr>
          <w:rFonts w:hint="eastAsia" w:ascii="Calibri" w:hAnsi="Calibri" w:eastAsia="宋体" w:cs="Times New Roman"/>
          <w:i w:val="0"/>
          <w:iCs w:val="0"/>
          <w:color w:val="auto"/>
          <w:sz w:val="24"/>
          <w:highlight w:val="none"/>
          <w:u w:val="none"/>
          <w:lang w:val="en-US" w:eastAsia="zh-CN"/>
        </w:rPr>
        <w:t xml:space="preserve">1.</w:t>
      </w:r>
      <w:r>
        <w:rPr>
          <w:rFonts w:hint="eastAsia" w:ascii="Calibri" w:hAnsi="Calibri" w:eastAsia="宋体" w:cs="Times New Roman"/>
          <w:i/>
          <w:iCs/>
          <w:color w:val="auto"/>
          <w:sz w:val="24"/>
          <w:highlight w:val="none"/>
          <w:u w:val="single"/>
        </w:rPr>
        <w:t xml:space="preserve">（标的名称）</w:t>
      </w:r>
      <w:r>
        <w:rPr>
          <w:rFonts w:hint="eastAsia" w:ascii="Calibri" w:hAnsi="Calibri" w:eastAsia="宋体" w:cs="Times New Roman"/>
          <w:color w:val="auto"/>
          <w:sz w:val="24"/>
          <w:highlight w:val="none"/>
        </w:rPr>
        <w:t xml:space="preserve"> ，属于</w:t>
      </w:r>
      <w:r>
        <w:rPr>
          <w:rFonts w:hint="eastAsia" w:ascii="Calibri" w:hAnsi="Calibri" w:eastAsia="宋体" w:cs="Times New Roman"/>
          <w:i/>
          <w:iCs/>
          <w:color w:val="auto"/>
          <w:sz w:val="24"/>
          <w:highlight w:val="none"/>
          <w:u w:val="single"/>
        </w:rPr>
        <w:t xml:space="preserve">（采购文件中明确的所属行业）</w:t>
      </w:r>
      <w:r>
        <w:rPr>
          <w:rFonts w:hint="eastAsia" w:ascii="Calibri" w:hAnsi="Calibri" w:eastAsia="宋体" w:cs="Times New Roman"/>
          <w:color w:val="auto"/>
          <w:sz w:val="24"/>
          <w:highlight w:val="none"/>
        </w:rPr>
        <w:t xml:space="preserve">；承建（承接）企业为</w:t>
      </w:r>
      <w:r>
        <w:rPr>
          <w:rFonts w:hint="eastAsia" w:ascii="Calibri" w:hAnsi="Calibri" w:eastAsia="宋体" w:cs="Times New Roman"/>
          <w:i/>
          <w:iCs/>
          <w:color w:val="auto"/>
          <w:sz w:val="24"/>
          <w:highlight w:val="none"/>
          <w:u w:val="single"/>
        </w:rPr>
        <w:t xml:space="preserve">（企业名称）</w:t>
      </w:r>
      <w:r>
        <w:rPr>
          <w:rFonts w:hint="eastAsia" w:ascii="Calibri" w:hAnsi="Calibri" w:eastAsia="宋体" w:cs="Times New Roman"/>
          <w:color w:val="auto"/>
          <w:sz w:val="24"/>
          <w:highlight w:val="none"/>
        </w:rPr>
        <w:t xml:space="preserve">，从业人员</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人，营业收入为</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万元，资产总额为</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万元，属于（</w:t>
      </w:r>
      <w:r>
        <w:rPr>
          <w:rFonts w:hint="eastAsia" w:ascii="Calibri" w:hAnsi="Calibri" w:eastAsia="宋体" w:cs="Times New Roman"/>
          <w:i/>
          <w:iCs/>
          <w:color w:val="auto"/>
          <w:sz w:val="24"/>
          <w:highlight w:val="none"/>
          <w:u w:val="single"/>
        </w:rPr>
        <w:t xml:space="preserve">中型企业、小型企业、微型企业</w:t>
      </w:r>
      <w:r>
        <w:rPr>
          <w:rFonts w:hint="eastAsia" w:ascii="Calibri" w:hAnsi="Calibri" w:eastAsia="宋体" w:cs="Times New Roman"/>
          <w:color w:val="auto"/>
          <w:sz w:val="24"/>
          <w:highlight w:val="none"/>
        </w:rPr>
        <w:t xml:space="preserve">）；</w:t>
      </w:r>
      <w:r/>
    </w:p>
    <w:p>
      <w:pPr>
        <w:numPr>
          <w:ilvl w:val="0"/>
          <w:numId w:val="0"/>
        </w:numPr>
        <w:ind w:firstLine="480"/>
        <w:jc w:val="both"/>
        <w:spacing w:line="360" w:lineRule="auto"/>
        <w:rPr>
          <w:rFonts w:hint="eastAsia" w:ascii="Calibri" w:hAnsi="Calibri" w:eastAsia="宋体" w:cs="Times New Roman"/>
          <w:color w:val="auto"/>
          <w:sz w:val="24"/>
          <w:highlight w:val="none"/>
        </w:rPr>
      </w:pPr>
      <w:r>
        <w:rPr>
          <w:rFonts w:hint="eastAsia" w:ascii="Calibri" w:hAnsi="Calibri" w:eastAsia="宋体" w:cs="Times New Roman"/>
          <w:i w:val="0"/>
          <w:iCs w:val="0"/>
          <w:color w:val="auto"/>
          <w:sz w:val="24"/>
          <w:highlight w:val="none"/>
          <w:u w:val="none"/>
          <w:lang w:val="en-US" w:eastAsia="zh-CN"/>
        </w:rPr>
        <w:t xml:space="preserve">2.</w:t>
      </w:r>
      <w:r>
        <w:rPr>
          <w:rFonts w:hint="eastAsia" w:ascii="Calibri" w:hAnsi="Calibri" w:eastAsia="宋体" w:cs="Times New Roman"/>
          <w:i/>
          <w:iCs/>
          <w:color w:val="auto"/>
          <w:sz w:val="24"/>
          <w:highlight w:val="none"/>
          <w:u w:val="single"/>
        </w:rPr>
        <w:t xml:space="preserve">（标的名称）</w:t>
      </w:r>
      <w:r>
        <w:rPr>
          <w:rFonts w:hint="eastAsia" w:ascii="Calibri" w:hAnsi="Calibri" w:eastAsia="宋体" w:cs="Times New Roman"/>
          <w:color w:val="auto"/>
          <w:sz w:val="24"/>
          <w:highlight w:val="none"/>
        </w:rPr>
        <w:t xml:space="preserve"> ，属于</w:t>
      </w:r>
      <w:r>
        <w:rPr>
          <w:rFonts w:hint="eastAsia" w:ascii="Calibri" w:hAnsi="Calibri" w:eastAsia="宋体" w:cs="Times New Roman"/>
          <w:i/>
          <w:iCs/>
          <w:color w:val="auto"/>
          <w:sz w:val="24"/>
          <w:highlight w:val="none"/>
          <w:u w:val="single"/>
        </w:rPr>
        <w:t xml:space="preserve">（采购文件中明确的所属行业）</w:t>
      </w:r>
      <w:r>
        <w:rPr>
          <w:rFonts w:hint="eastAsia" w:ascii="Calibri" w:hAnsi="Calibri" w:eastAsia="宋体" w:cs="Times New Roman"/>
          <w:color w:val="auto"/>
          <w:sz w:val="24"/>
          <w:highlight w:val="none"/>
        </w:rPr>
        <w:t xml:space="preserve">；承建（承接）企业为</w:t>
      </w:r>
      <w:r>
        <w:rPr>
          <w:rFonts w:hint="eastAsia" w:ascii="Calibri" w:hAnsi="Calibri" w:eastAsia="宋体" w:cs="Times New Roman"/>
          <w:i/>
          <w:iCs/>
          <w:color w:val="auto"/>
          <w:sz w:val="24"/>
          <w:highlight w:val="none"/>
          <w:u w:val="single"/>
        </w:rPr>
        <w:t xml:space="preserve">（企业名称）</w:t>
      </w:r>
      <w:r>
        <w:rPr>
          <w:rFonts w:hint="eastAsia" w:ascii="Calibri" w:hAnsi="Calibri" w:eastAsia="宋体" w:cs="Times New Roman"/>
          <w:color w:val="auto"/>
          <w:sz w:val="24"/>
          <w:highlight w:val="none"/>
        </w:rPr>
        <w:t xml:space="preserve">，从业人员</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人，营业收入为</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万元，资产总额为</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万元，属于</w:t>
      </w:r>
      <w:r>
        <w:rPr>
          <w:rFonts w:hint="eastAsia" w:ascii="Calibri" w:hAnsi="Calibri" w:eastAsia="宋体" w:cs="Times New Roman"/>
          <w:i/>
          <w:iCs/>
          <w:color w:val="auto"/>
          <w:sz w:val="24"/>
          <w:highlight w:val="none"/>
          <w:u w:val="single"/>
        </w:rPr>
        <w:t xml:space="preserve">（中型企业、小型企业、微型企业）</w:t>
      </w:r>
      <w:r>
        <w:rPr>
          <w:rFonts w:hint="eastAsia" w:ascii="Calibri" w:hAnsi="Calibri" w:eastAsia="宋体" w:cs="Times New Roman"/>
          <w:color w:val="auto"/>
          <w:sz w:val="24"/>
          <w:highlight w:val="none"/>
        </w:rPr>
        <w:t xml:space="preserve">；</w:t>
      </w:r>
      <w:r/>
    </w:p>
    <w:p>
      <w:pPr>
        <w:numPr>
          <w:ilvl w:val="0"/>
          <w:numId w:val="0"/>
        </w:numPr>
        <w:ind w:firstLine="480"/>
        <w:jc w:val="both"/>
        <w:spacing w:line="360" w:lineRule="auto"/>
        <w:rPr>
          <w:rFonts w:hint="eastAsia"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w:t>
      </w:r>
      <w:r/>
    </w:p>
    <w:p>
      <w:pPr>
        <w:numPr>
          <w:ilvl w:val="0"/>
          <w:numId w:val="0"/>
        </w:numPr>
        <w:ind w:firstLine="480"/>
        <w:jc w:val="both"/>
        <w:spacing w:line="360" w:lineRule="auto"/>
        <w:rPr>
          <w:rFonts w:hint="eastAsia"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360" w:lineRule="auto"/>
        <w:rPr>
          <w:rFonts w:hint="eastAsia"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本企业对上述声明内容的真实性负责。如有虚假，将依法承担相应责任。</w:t>
      </w:r>
      <w:r/>
    </w:p>
    <w:p>
      <w:pPr>
        <w:ind w:right="720"/>
        <w:jc w:val="both"/>
        <w:spacing w:beforeAutospacing="0" w:afterAutospacing="0" w:line="36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right="180" w:firstLine="360"/>
        <w:jc w:val="right"/>
        <w:spacing w:beforeAutospacing="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企业名称（加盖CA电子公章）：</w:t>
      </w:r>
      <w:r/>
    </w:p>
    <w:p>
      <w:pPr>
        <w:ind w:right="480" w:firstLine="5400"/>
        <w:jc w:val="both"/>
        <w:spacing w:beforeAutospacing="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w:t>
      </w:r>
      <w:r/>
    </w:p>
    <w:p>
      <w:pPr>
        <w:ind w:firstLine="240"/>
        <w:jc w:val="both"/>
        <w:spacing w:beforeAutospacing="0" w:afterAutospacing="0" w:line="36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备注1：从业人员、营业收入、资产总额填报上一年度数据，无上一年度数据的新成立企业可不填报。</w:t>
      </w:r>
      <w:r/>
    </w:p>
    <w:p>
      <w:pPr>
        <w:pStyle w:val="844"/>
        <w:ind w:firstLine="480"/>
        <w:jc w:val="both"/>
        <w:spacing w:before="0" w:beforeAutospacing="0" w:after="0" w:afterAutospacing="0" w:line="360" w:lineRule="auto"/>
        <w:rPr>
          <w:color w:val="auto"/>
          <w:highlight w:val="none"/>
        </w:rPr>
      </w:pPr>
      <w:r>
        <w:rPr>
          <w:rFonts w:hint="eastAsia" w:ascii="宋体" w:hAnsi="宋体" w:eastAsia="宋体" w:cs="宋体"/>
          <w:color w:val="auto"/>
          <w:sz w:val="24"/>
          <w:szCs w:val="24"/>
          <w:highlight w:val="none"/>
          <w:lang w:val="en-US" w:eastAsia="zh-CN" w:bidi="ar-SA"/>
        </w:rPr>
        <w:t xml:space="preserve">备注2：供应商如不提供此声明函，价格将不做相应扣除（如项目全面面向中小企业，则资格审查不通过）。</w:t>
      </w:r>
      <w:r/>
    </w:p>
    <w:p>
      <w:pPr>
        <w:pStyle w:val="844"/>
        <w:spacing w:before="0" w:beforeAutospacing="0" w:after="0" w:afterAutospacing="0" w:line="360" w:lineRule="auto"/>
        <w:rPr>
          <w:color w:val="auto"/>
          <w:highlight w:val="none"/>
        </w:rPr>
      </w:pPr>
      <w:r>
        <w:rPr>
          <w:rFonts w:hint="eastAsia"/>
          <w:b/>
          <w:color w:val="auto"/>
          <w:sz w:val="32"/>
          <w:szCs w:val="32"/>
          <w:highlight w:val="none"/>
        </w:rPr>
        <w:br w:type="page" w:clear="all"/>
      </w:r>
      <w:r>
        <w:rPr>
          <w:rFonts w:hint="eastAsia"/>
          <w:b/>
          <w:color w:val="auto"/>
          <w:sz w:val="32"/>
          <w:szCs w:val="32"/>
          <w:highlight w:val="none"/>
        </w:rPr>
        <w:t xml:space="preserve">十、残疾人福利性单位声明函</w:t>
      </w:r>
      <w:r/>
    </w:p>
    <w:p>
      <w:pPr>
        <w:ind w:firstLine="480"/>
        <w:jc w:val="both"/>
        <w:spacing w:beforeAutospacing="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项目采购活动提供本单位制造的货物，或者提供其他残疾人福利性单位制造的货物（不包括使用非残疾人福利性单位注册商标的货物）。</w:t>
      </w:r>
      <w:r/>
    </w:p>
    <w:p>
      <w:pPr>
        <w:ind w:firstLine="480"/>
        <w:jc w:val="both"/>
        <w:spacing w:beforeAutospacing="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本单位对上述声明的真实性负责。如有虚假，将依法承担相应责任。</w:t>
      </w:r>
      <w:r/>
    </w:p>
    <w:p>
      <w:pPr>
        <w:ind w:firstLine="480"/>
        <w:jc w:val="both"/>
        <w:spacing w:beforeAutospacing="0" w:afterAutospacing="0" w:line="36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pStyle w:val="844"/>
        <w:ind w:firstLine="480"/>
        <w:jc w:val="both"/>
        <w:spacing w:before="0" w:beforeAutospacing="0" w:after="0" w:afterAutospacing="0" w:line="360" w:lineRule="auto"/>
        <w:rPr>
          <w:color w:val="auto"/>
          <w:highlight w:val="none"/>
        </w:rPr>
      </w:pPr>
      <w:r>
        <w:rPr>
          <w:rFonts w:hint="eastAsia" w:ascii="宋体" w:hAnsi="宋体" w:eastAsia="宋体" w:cs="宋体"/>
          <w:color w:val="auto"/>
          <w:sz w:val="24"/>
          <w:szCs w:val="24"/>
          <w:highlight w:val="none"/>
          <w:lang w:val="en-US" w:eastAsia="zh-CN" w:bidi="ar-SA"/>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44"/>
        <w:ind w:firstLine="624"/>
        <w:jc w:val="both"/>
        <w:spacing w:beforeAutospacing="0" w:afterAutospacing="0" w:line="0" w:lineRule="atLeast"/>
        <w:rPr>
          <w:color w:val="auto"/>
          <w:highlight w:val="none"/>
        </w:rPr>
      </w:pPr>
      <w:r>
        <w:rPr>
          <w:rFonts w:hint="eastAsia"/>
          <w:color w:val="auto"/>
          <w:highlight w:val="none"/>
        </w:rPr>
        <w:t xml:space="preserve"> </w:t>
      </w:r>
      <w:r/>
    </w:p>
    <w:p>
      <w:pPr>
        <w:pStyle w:val="844"/>
        <w:ind w:right="1560" w:firstLine="624"/>
        <w:jc w:val="center"/>
        <w:spacing w:beforeAutospacing="0" w:afterAutospacing="0" w:line="0" w:lineRule="atLeast"/>
        <w:tabs>
          <w:tab w:val="left" w:pos="4864" w:leader="none"/>
        </w:tabs>
        <w:rPr>
          <w:color w:val="auto"/>
          <w:highlight w:val="none"/>
        </w:rPr>
      </w:pPr>
      <w:r>
        <w:rPr>
          <w:rFonts w:hint="eastAsia"/>
          <w:color w:val="auto"/>
          <w:sz w:val="30"/>
          <w:szCs w:val="30"/>
          <w:highlight w:val="none"/>
        </w:rPr>
        <w:t xml:space="preserve">          </w:t>
      </w:r>
      <w:r>
        <w:rPr>
          <w:rFonts w:hint="eastAsia"/>
          <w:color w:val="auto"/>
          <w:highlight w:val="none"/>
        </w:rPr>
        <w:t xml:space="preserve">供应商全称（加盖CA电子公章）：</w:t>
      </w:r>
      <w:r/>
    </w:p>
    <w:p>
      <w:pPr>
        <w:pStyle w:val="844"/>
        <w:ind w:right="1560" w:firstLine="624"/>
        <w:jc w:val="center"/>
        <w:spacing w:beforeAutospacing="0" w:afterAutospacing="0" w:line="0" w:lineRule="atLeast"/>
        <w:tabs>
          <w:tab w:val="left" w:pos="4864" w:leader="none"/>
        </w:tabs>
        <w:rPr>
          <w:color w:val="auto"/>
          <w:highlight w:val="none"/>
        </w:rPr>
      </w:pPr>
      <w:r>
        <w:rPr>
          <w:rFonts w:hint="eastAsia"/>
          <w:color w:val="auto"/>
          <w:highlight w:val="none"/>
        </w:rPr>
        <w:t xml:space="preserve">                     日  期：</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rFonts w:hint="eastAsia"/>
          <w:color w:val="auto"/>
          <w:highlight w:val="none"/>
        </w:rPr>
        <w:t xml:space="preserve"> </w:t>
      </w:r>
      <w:r/>
    </w:p>
    <w:p>
      <w:pPr>
        <w:pStyle w:val="844"/>
        <w:jc w:val="center"/>
        <w:spacing w:beforeAutospacing="0" w:afterAutospacing="0" w:line="0" w:lineRule="atLeast"/>
        <w:rPr>
          <w:color w:val="auto"/>
          <w:highlight w:val="none"/>
        </w:rPr>
      </w:pPr>
      <w:r>
        <w:rPr>
          <w:color w:val="auto"/>
          <w:highlight w:val="none"/>
        </w:rPr>
      </w:r>
      <w:r/>
    </w:p>
    <w:p>
      <w:pPr>
        <w:pStyle w:val="844"/>
        <w:jc w:val="center"/>
        <w:spacing w:beforeAutospacing="0" w:afterAutospacing="0" w:line="0" w:lineRule="atLeast"/>
        <w:rPr>
          <w:color w:val="auto"/>
          <w:highlight w:val="none"/>
        </w:rPr>
      </w:pPr>
      <w:r>
        <w:rPr>
          <w:color w:val="auto"/>
          <w:highlight w:val="none"/>
        </w:rPr>
      </w:r>
      <w:r/>
    </w:p>
    <w:p>
      <w:pPr>
        <w:pStyle w:val="844"/>
        <w:jc w:val="center"/>
        <w:spacing w:beforeAutospacing="0" w:afterAutospacing="0" w:line="0" w:lineRule="atLeast"/>
        <w:rPr>
          <w:color w:val="auto"/>
          <w:highlight w:val="none"/>
        </w:rPr>
      </w:pPr>
      <w:r>
        <w:rPr>
          <w:color w:val="auto"/>
          <w:highlight w:val="none"/>
        </w:rPr>
      </w:r>
      <w:r/>
    </w:p>
    <w:p>
      <w:pPr>
        <w:pStyle w:val="844"/>
        <w:jc w:val="center"/>
        <w:spacing w:beforeAutospacing="0" w:afterAutospacing="0" w:line="0" w:lineRule="atLeast"/>
        <w:rPr>
          <w:color w:val="auto"/>
          <w:highlight w:val="none"/>
        </w:rPr>
      </w:pPr>
      <w:r>
        <w:rPr>
          <w:color w:val="auto"/>
          <w:highlight w:val="none"/>
        </w:rPr>
      </w:r>
      <w:r/>
    </w:p>
    <w:p>
      <w:pPr>
        <w:pStyle w:val="844"/>
        <w:jc w:val="center"/>
        <w:spacing w:beforeAutospacing="0" w:afterAutospacing="0" w:line="0" w:lineRule="atLeast"/>
        <w:rPr>
          <w:color w:val="auto"/>
          <w:highlight w:val="none"/>
        </w:rPr>
      </w:pPr>
      <w:r>
        <w:rPr>
          <w:color w:val="auto"/>
          <w:highlight w:val="none"/>
        </w:rPr>
      </w:r>
      <w:r/>
    </w:p>
    <w:p>
      <w:pPr>
        <w:pStyle w:val="844"/>
        <w:jc w:val="center"/>
        <w:spacing w:beforeAutospacing="0" w:afterAutospacing="0" w:line="0" w:lineRule="atLeast"/>
        <w:rPr>
          <w:color w:val="auto"/>
          <w:highlight w:val="none"/>
        </w:rPr>
      </w:pPr>
      <w:r>
        <w:rPr>
          <w:color w:val="auto"/>
          <w:highlight w:val="none"/>
        </w:rPr>
      </w:r>
      <w:r/>
    </w:p>
    <w:p>
      <w:pPr>
        <w:pStyle w:val="844"/>
        <w:jc w:val="center"/>
        <w:spacing w:beforeAutospacing="0" w:afterAutospacing="0" w:line="0" w:lineRule="atLeast"/>
        <w:rPr>
          <w:color w:val="auto"/>
          <w:highlight w:val="none"/>
        </w:rPr>
      </w:pPr>
      <w:r>
        <w:rPr>
          <w:color w:val="auto"/>
          <w:highlight w:val="none"/>
        </w:rPr>
      </w:r>
      <w:r/>
    </w:p>
    <w:p>
      <w:pPr>
        <w:pStyle w:val="844"/>
        <w:jc w:val="center"/>
        <w:spacing w:beforeAutospacing="0" w:afterAutospacing="0" w:line="0" w:lineRule="atLeast"/>
        <w:rPr>
          <w:color w:val="auto"/>
          <w:highlight w:val="none"/>
        </w:rPr>
      </w:pPr>
      <w:r>
        <w:rPr>
          <w:color w:val="auto"/>
          <w:highlight w:val="none"/>
        </w:rPr>
      </w:r>
      <w:r/>
    </w:p>
    <w:p>
      <w:pPr>
        <w:pStyle w:val="844"/>
        <w:jc w:val="center"/>
        <w:spacing w:beforeAutospacing="0" w:afterAutospacing="0" w:line="0" w:lineRule="atLeast"/>
        <w:rPr>
          <w:color w:val="auto"/>
          <w:highlight w:val="none"/>
        </w:rPr>
      </w:pPr>
      <w:r>
        <w:rPr>
          <w:color w:val="auto"/>
          <w:highlight w:val="none"/>
        </w:rPr>
      </w:r>
      <w:r/>
    </w:p>
    <w:p>
      <w:pPr>
        <w:pStyle w:val="844"/>
        <w:spacing w:beforeAutospacing="0" w:afterAutospacing="0" w:line="0" w:lineRule="atLeast"/>
        <w:rPr>
          <w:color w:val="auto"/>
          <w:highlight w:val="none"/>
        </w:rPr>
      </w:pPr>
      <w:r>
        <w:rPr>
          <w:rFonts w:hint="eastAsia"/>
          <w:b/>
          <w:color w:val="auto"/>
          <w:sz w:val="32"/>
          <w:szCs w:val="32"/>
          <w:highlight w:val="none"/>
          <w:u w:val="single"/>
        </w:rPr>
        <w:t xml:space="preserve">十一、联合体协议（参考格式）</w:t>
      </w:r>
      <w:r/>
    </w:p>
    <w:p>
      <w:pPr>
        <w:pStyle w:val="844"/>
        <w:jc w:val="both"/>
        <w:spacing w:beforeAutospacing="0" w:afterAutospacing="0" w:line="0" w:lineRule="atLeast"/>
        <w:rPr>
          <w:color w:val="auto"/>
          <w:highlight w:val="none"/>
        </w:rPr>
      </w:pPr>
      <w:r>
        <w:rPr>
          <w:color w:val="auto"/>
          <w:highlight w:val="none"/>
        </w:rPr>
      </w:r>
      <w:r/>
    </w:p>
    <w:p>
      <w:pPr>
        <w:pStyle w:val="844"/>
        <w:jc w:val="both"/>
        <w:spacing w:beforeAutospacing="0" w:afterAutospacing="0" w:line="0" w:lineRule="atLeast"/>
        <w:rPr>
          <w:color w:val="auto"/>
          <w:highlight w:val="none"/>
        </w:rPr>
      </w:pPr>
      <w:r>
        <w:rPr>
          <w:color w:val="auto"/>
          <w:highlight w:val="none"/>
        </w:rPr>
      </w:r>
      <w:r/>
    </w:p>
    <w:p>
      <w:pPr>
        <w:pStyle w:val="844"/>
        <w:ind w:firstLine="480"/>
        <w:jc w:val="both"/>
        <w:spacing w:beforeAutospacing="0" w:afterAutospacing="0" w:line="0" w:lineRule="atLeast"/>
        <w:rPr>
          <w:color w:val="auto"/>
          <w:highlight w:val="none"/>
        </w:rPr>
      </w:pPr>
      <w:r>
        <w:rPr>
          <w:rFonts w:hint="eastAsia"/>
          <w:color w:val="auto"/>
          <w:highlight w:val="none"/>
        </w:rPr>
        <w:t xml:space="preserve">本项目不接受联合体投标。 </w:t>
      </w:r>
      <w:r/>
    </w:p>
    <w:p>
      <w:pPr>
        <w:pStyle w:val="844"/>
        <w:jc w:val="both"/>
        <w:spacing w:beforeAutospacing="0" w:afterAutospacing="0" w:line="0" w:lineRule="atLeast"/>
        <w:rPr>
          <w:color w:val="auto"/>
          <w:highlight w:val="none"/>
        </w:rPr>
      </w:pPr>
      <w:r>
        <w:rPr>
          <w:rFonts w:hint="eastAsia"/>
          <w:color w:val="auto"/>
          <w:highlight w:val="none"/>
        </w:rPr>
        <w:t xml:space="preserve"> </w:t>
      </w:r>
      <w:r/>
    </w:p>
    <w:p>
      <w:pPr>
        <w:pStyle w:val="844"/>
        <w:jc w:val="both"/>
        <w:spacing w:beforeAutospacing="0" w:afterAutospacing="0" w:line="0" w:lineRule="atLeast"/>
        <w:rPr>
          <w:color w:val="auto"/>
          <w:highlight w:val="none"/>
        </w:rPr>
      </w:pPr>
      <w:r>
        <w:rPr>
          <w:rFonts w:hint="eastAsia"/>
          <w:color w:val="auto"/>
          <w:highlight w:val="none"/>
        </w:rPr>
        <w:t xml:space="preserve"> </w:t>
      </w:r>
      <w:r/>
    </w:p>
    <w:p>
      <w:pPr>
        <w:pStyle w:val="844"/>
        <w:jc w:val="both"/>
        <w:spacing w:beforeAutospacing="0" w:afterAutospacing="0" w:line="0" w:lineRule="atLeast"/>
        <w:rPr>
          <w:color w:val="auto"/>
          <w:highlight w:val="none"/>
        </w:rPr>
      </w:pPr>
      <w:r>
        <w:rPr>
          <w:rFonts w:hint="eastAsia"/>
          <w:color w:val="auto"/>
          <w:highlight w:val="none"/>
        </w:rPr>
        <w:t xml:space="preserve"> </w:t>
      </w:r>
      <w:r/>
    </w:p>
    <w:p>
      <w:pPr>
        <w:pStyle w:val="844"/>
        <w:jc w:val="both"/>
        <w:spacing w:beforeAutospacing="0" w:afterAutospacing="0" w:line="0" w:lineRule="atLeast"/>
        <w:rPr>
          <w:color w:val="auto"/>
          <w:highlight w:val="none"/>
        </w:rPr>
      </w:pPr>
      <w:r>
        <w:rPr>
          <w:rFonts w:hint="eastAsia"/>
          <w:color w:val="auto"/>
          <w:highlight w:val="none"/>
        </w:rPr>
        <w:t xml:space="preserve"> </w:t>
      </w:r>
      <w:r/>
    </w:p>
    <w:p>
      <w:pPr>
        <w:pStyle w:val="844"/>
        <w:jc w:val="both"/>
        <w:spacing w:beforeAutospacing="0" w:afterAutospacing="0" w:line="0" w:lineRule="atLeast"/>
        <w:rPr>
          <w:color w:val="auto"/>
          <w:highlight w:val="none"/>
        </w:rPr>
      </w:pPr>
      <w:r>
        <w:rPr>
          <w:rFonts w:hint="eastAsia"/>
          <w:color w:val="auto"/>
          <w:highlight w:val="none"/>
        </w:rPr>
        <w:t xml:space="preserve"> </w:t>
      </w:r>
      <w:r/>
    </w:p>
    <w:p>
      <w:pPr>
        <w:pStyle w:val="844"/>
        <w:jc w:val="both"/>
        <w:spacing w:beforeAutospacing="0" w:afterAutospacing="0" w:line="0" w:lineRule="atLeast"/>
        <w:rPr>
          <w:color w:val="auto"/>
          <w:highlight w:val="none"/>
        </w:rPr>
      </w:pPr>
      <w:r>
        <w:rPr>
          <w:color w:val="auto"/>
          <w:highlight w:val="none"/>
        </w:rPr>
      </w:r>
      <w:r/>
    </w:p>
    <w:p>
      <w:pPr>
        <w:pStyle w:val="844"/>
        <w:jc w:val="both"/>
        <w:spacing w:beforeAutospacing="0" w:afterAutospacing="0" w:line="0" w:lineRule="atLeast"/>
        <w:rPr>
          <w:color w:val="auto"/>
          <w:highlight w:val="none"/>
        </w:rPr>
      </w:pPr>
      <w:r>
        <w:rPr>
          <w:color w:val="auto"/>
          <w:highlight w:val="none"/>
        </w:rPr>
      </w:r>
      <w:r/>
    </w:p>
    <w:p>
      <w:pPr>
        <w:pStyle w:val="844"/>
        <w:jc w:val="both"/>
        <w:spacing w:beforeAutospacing="0" w:afterAutospacing="0" w:line="0" w:lineRule="atLeast"/>
        <w:rPr>
          <w:color w:val="auto"/>
          <w:highlight w:val="none"/>
        </w:rPr>
      </w:pPr>
      <w:r>
        <w:rPr>
          <w:color w:val="auto"/>
          <w:highlight w:val="none"/>
        </w:rPr>
      </w:r>
      <w:r/>
    </w:p>
    <w:p>
      <w:pPr>
        <w:pStyle w:val="844"/>
        <w:jc w:val="both"/>
        <w:spacing w:beforeAutospacing="0" w:afterAutospacing="0" w:line="0" w:lineRule="atLeast"/>
        <w:rPr>
          <w:color w:val="auto"/>
          <w:highlight w:val="none"/>
        </w:rPr>
      </w:pPr>
      <w:r>
        <w:rPr>
          <w:color w:val="auto"/>
          <w:highlight w:val="none"/>
        </w:rPr>
      </w:r>
      <w:r/>
    </w:p>
    <w:p>
      <w:pPr>
        <w:pStyle w:val="844"/>
        <w:jc w:val="both"/>
        <w:spacing w:beforeAutospacing="0" w:afterAutospacing="0" w:line="0" w:lineRule="atLeast"/>
        <w:rPr>
          <w:color w:val="auto"/>
          <w:highlight w:val="none"/>
        </w:rPr>
      </w:pPr>
      <w:r>
        <w:rPr>
          <w:color w:val="auto"/>
          <w:highlight w:val="none"/>
        </w:rPr>
      </w:r>
      <w:r/>
    </w:p>
    <w:p>
      <w:pPr>
        <w:pStyle w:val="844"/>
        <w:jc w:val="both"/>
        <w:spacing w:beforeAutospacing="0" w:afterAutospacing="0" w:line="0" w:lineRule="atLeast"/>
        <w:rPr>
          <w:color w:val="auto"/>
          <w:highlight w:val="none"/>
        </w:rPr>
      </w:pPr>
      <w:r>
        <w:rPr>
          <w:color w:val="auto"/>
          <w:highlight w:val="none"/>
        </w:rPr>
      </w:r>
      <w:r/>
    </w:p>
    <w:p>
      <w:pPr>
        <w:pStyle w:val="844"/>
        <w:jc w:val="both"/>
        <w:spacing w:beforeAutospacing="0" w:afterAutospacing="0" w:line="0" w:lineRule="atLeast"/>
        <w:rPr>
          <w:color w:val="auto"/>
          <w:highlight w:val="none"/>
        </w:rPr>
        <w:sectPr>
          <w:footnotePr/>
          <w:endnotePr/>
          <w:type w:val="nextPage"/>
          <w:pgSz w:w="11906" w:h="16838" w:orient="portrait"/>
          <w:pgMar w:top="1417" w:right="1417" w:bottom="1417" w:left="1417" w:header="851" w:footer="992" w:gutter="0"/>
          <w:cols w:num="1" w:sep="0" w:space="425" w:equalWidth="1"/>
          <w:docGrid w:linePitch="360"/>
        </w:sectPr>
      </w:pPr>
      <w:r>
        <w:rPr>
          <w:color w:val="auto"/>
          <w:highlight w:val="none"/>
        </w:rPr>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十二、</w:t>
      </w:r>
      <w:r>
        <w:rPr>
          <w:rFonts w:hint="eastAsia" w:ascii="宋体" w:hAnsi="宋体" w:cs="宋体"/>
          <w:b/>
          <w:color w:val="auto"/>
          <w:sz w:val="32"/>
          <w:szCs w:val="32"/>
          <w:highlight w:val="none"/>
          <w:u w:val="single"/>
        </w:rPr>
        <w:t xml:space="preserve">投标分项报价表</w:t>
      </w:r>
      <w:r/>
    </w:p>
    <w:tbl>
      <w:tblPr>
        <w:tblStyle w:val="807"/>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07"/>
        <w:gridCol w:w="1658"/>
        <w:gridCol w:w="1507"/>
        <w:gridCol w:w="2163"/>
        <w:gridCol w:w="1243"/>
        <w:gridCol w:w="1527"/>
        <w:gridCol w:w="1158"/>
        <w:gridCol w:w="2109"/>
        <w:gridCol w:w="1916"/>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beforeAutospacing="0" w:afterAutospacing="0" w:line="0" w:lineRule="atLeast"/>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cs="Times New Roman"/>
                <w:color w:val="auto"/>
                <w:sz w:val="24"/>
                <w:szCs w:val="24"/>
                <w:highlight w:val="none"/>
                <w:lang w:val="en-US" w:eastAsia="zh-CN" w:bidi="ar-SA"/>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beforeAutospacing="0" w:afterAutospacing="0" w:line="0" w:lineRule="atLeast"/>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cs="Times New Roman"/>
                <w:color w:val="auto"/>
                <w:sz w:val="24"/>
                <w:szCs w:val="24"/>
                <w:highlight w:val="none"/>
                <w:lang w:val="en-US" w:eastAsia="zh-CN" w:bidi="ar-SA"/>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4324" w:type="pct"/>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pStyle w:val="844"/>
        <w:jc w:val="both"/>
        <w:keepLines w:val="0"/>
        <w:keepNext w:val="0"/>
        <w:pageBreakBefore w:val="0"/>
        <w:spacing w:before="0" w:beforeAutospacing="0" w:after="0" w:afterAutospacing="0" w:line="360" w:lineRule="auto"/>
        <w:widowControl/>
        <w:rPr>
          <w:rFonts w:hint="eastAsia"/>
          <w:b/>
          <w:color w:val="auto"/>
          <w:highlight w:val="none"/>
        </w:rPr>
      </w:pPr>
      <w:r>
        <w:rPr>
          <w:rFonts w:hint="eastAsia"/>
          <w:b/>
          <w:color w:val="auto"/>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44"/>
        <w:ind w:firstLine="723"/>
        <w:jc w:val="both"/>
        <w:keepLines w:val="0"/>
        <w:keepNext w:val="0"/>
        <w:pageBreakBefore w:val="0"/>
        <w:spacing w:before="0" w:beforeAutospacing="0" w:after="0" w:afterAutospacing="0"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2.“投标分项报价表”中“投标总报价”数额应当与“开标一览表”中“投标总报价”数额一致。</w:t>
      </w:r>
      <w:r/>
    </w:p>
    <w:p>
      <w:pPr>
        <w:pStyle w:val="844"/>
        <w:jc w:val="both"/>
        <w:keepLines w:val="0"/>
        <w:keepNext w:val="0"/>
        <w:pageBreakBefore w:val="0"/>
        <w:spacing w:before="0" w:beforeAutospacing="0" w:after="0" w:afterAutospacing="0"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44"/>
        <w:jc w:val="both"/>
        <w:keepLines w:val="0"/>
        <w:keepNext w:val="0"/>
        <w:pageBreakBefore w:val="0"/>
        <w:spacing w:before="0" w:beforeAutospacing="0" w:after="0" w:afterAutospacing="0" w:line="360" w:lineRule="auto"/>
        <w:widowControl/>
        <w:rPr>
          <w:rFonts w:hint="eastAsia" w:ascii="宋体" w:hAnsi="宋体" w:eastAsia="宋体" w:cs="宋体"/>
          <w:b/>
          <w:color w:val="auto"/>
          <w:highlight w:val="none"/>
        </w:rPr>
        <w:sectPr>
          <w:headerReference w:type="default" r:id="rId9"/>
          <w:footerReference w:type="default" r:id="rId12"/>
          <w:footnotePr/>
          <w:endnotePr/>
          <w:type w:val="nextPage"/>
          <w:pgSz w:w="16838" w:h="11906" w:orient="landscape"/>
          <w:pgMar w:top="1080" w:right="1440" w:bottom="1080" w:left="1440" w:header="851" w:footer="992" w:gutter="0"/>
          <w:cols w:num="1" w:sep="0" w:space="720" w:equalWidth="1"/>
          <w:docGrid w:linePitch="360"/>
        </w:sectPr>
      </w:pPr>
      <w:r>
        <w:rPr>
          <w:rFonts w:hint="eastAsia" w:ascii="宋体" w:hAnsi="宋体" w:eastAsia="宋体" w:cs="宋体"/>
          <w:b/>
          <w:color w:val="auto"/>
          <w:highlight w:val="none"/>
        </w:rPr>
        <w:t xml:space="preserve">投标人全称（加盖CA电子公章）：</w:t>
      </w:r>
      <w:r/>
    </w:p>
    <w:p>
      <w:pPr>
        <w:pStyle w:val="844"/>
        <w:numPr>
          <w:ilvl w:val="0"/>
          <w:numId w:val="0"/>
        </w:numPr>
        <w:jc w:val="left"/>
        <w:spacing w:beforeAutospacing="0" w:afterAutospacing="0"/>
        <w:rPr>
          <w:b/>
          <w:color w:val="auto"/>
          <w:sz w:val="32"/>
          <w:szCs w:val="32"/>
          <w:highlight w:val="none"/>
        </w:rPr>
      </w:pPr>
      <w:r>
        <w:rPr>
          <w:rFonts w:hint="eastAsia"/>
          <w:b/>
          <w:color w:val="auto"/>
          <w:sz w:val="32"/>
          <w:szCs w:val="32"/>
          <w:highlight w:val="none"/>
          <w:u w:val="single"/>
          <w:lang w:val="en-US" w:eastAsia="zh-CN"/>
        </w:rPr>
        <w:t xml:space="preserve">十三、</w:t>
      </w:r>
      <w:r>
        <w:rPr>
          <w:rFonts w:hint="eastAsia"/>
          <w:b/>
          <w:color w:val="auto"/>
          <w:sz w:val="32"/>
          <w:szCs w:val="32"/>
          <w:highlight w:val="none"/>
          <w:u w:val="single"/>
        </w:rPr>
        <w:t xml:space="preserve">技术要求响应及偏离表</w:t>
      </w:r>
      <w:r/>
    </w:p>
    <w:p>
      <w:pPr>
        <w:pStyle w:val="844"/>
        <w:jc w:val="both"/>
        <w:spacing w:beforeAutospacing="0" w:afterAutospacing="0"/>
        <w:rPr>
          <w:b/>
          <w:color w:val="auto"/>
          <w:highlight w:val="none"/>
        </w:rPr>
      </w:pPr>
      <w:r>
        <w:rPr>
          <w:rFonts w:hint="eastAsia"/>
          <w:b/>
          <w:color w:val="auto"/>
          <w:highlight w:val="none"/>
        </w:rPr>
        <w:t xml:space="preserve">投标人全称（加盖投标人CA电子公章）</w:t>
      </w:r>
      <w:r/>
    </w:p>
    <w:tbl>
      <w:tblPr>
        <w:tblStyle w:val="807"/>
        <w:tblW w:w="9978"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82"/>
        <w:gridCol w:w="1782"/>
        <w:gridCol w:w="1486"/>
        <w:gridCol w:w="1457"/>
        <w:gridCol w:w="1317"/>
        <w:gridCol w:w="295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原因</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备注（具体响应材料在投标文件中页码、行数等）</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bl>
    <w:p>
      <w:pPr>
        <w:pStyle w:val="844"/>
        <w:jc w:val="both"/>
        <w:spacing w:beforeAutospacing="0" w:afterAutospacing="0"/>
        <w:rPr>
          <w:color w:val="auto"/>
          <w:highlight w:val="none"/>
        </w:rPr>
      </w:pPr>
      <w:r>
        <w:rPr>
          <w:rFonts w:hint="eastAsia"/>
          <w:color w:val="auto"/>
          <w:highlight w:val="none"/>
        </w:rPr>
        <w:t xml:space="preserve">注：行数不够，可自行添加。出现超出或偏离时详细列明。</w:t>
      </w:r>
      <w:r/>
    </w:p>
    <w:p>
      <w:pPr>
        <w:pStyle w:val="844"/>
        <w:jc w:val="center"/>
        <w:spacing w:beforeAutospacing="0" w:afterAutospacing="0"/>
        <w:rPr>
          <w:color w:val="auto"/>
          <w:highlight w:val="none"/>
        </w:rPr>
      </w:pPr>
      <w:r>
        <w:rPr>
          <w:rFonts w:hint="eastAsia"/>
          <w:color w:val="auto"/>
          <w:highlight w:val="none"/>
        </w:rPr>
        <w:t xml:space="preserve"> </w:t>
      </w:r>
      <w:r/>
    </w:p>
    <w:p>
      <w:pPr>
        <w:pStyle w:val="844"/>
        <w:jc w:val="center"/>
        <w:spacing w:beforeAutospacing="0" w:afterAutospacing="0"/>
        <w:rPr>
          <w:color w:val="auto"/>
          <w:highlight w:val="none"/>
        </w:rPr>
      </w:pPr>
      <w:r>
        <w:rPr>
          <w:rFonts w:hint="eastAsia"/>
          <w:color w:val="auto"/>
          <w:highlight w:val="none"/>
        </w:rPr>
        <w:t xml:space="preserve"> </w:t>
      </w:r>
      <w:r/>
    </w:p>
    <w:p>
      <w:pPr>
        <w:pStyle w:val="844"/>
        <w:jc w:val="center"/>
        <w:spacing w:beforeAutospacing="0" w:afterAutospacing="0"/>
        <w:rPr>
          <w:color w:val="auto"/>
          <w:highlight w:val="none"/>
        </w:rPr>
      </w:pPr>
      <w:r>
        <w:rPr>
          <w:rFonts w:hint="eastAsia"/>
          <w:color w:val="auto"/>
          <w:highlight w:val="none"/>
        </w:rPr>
        <w:t xml:space="preserve"> </w:t>
      </w:r>
      <w:r/>
    </w:p>
    <w:p>
      <w:pPr>
        <w:pStyle w:val="844"/>
        <w:jc w:val="center"/>
        <w:spacing w:beforeAutospacing="0" w:afterAutospacing="0"/>
        <w:rPr>
          <w:color w:val="auto"/>
          <w:highlight w:val="none"/>
        </w:rPr>
      </w:pPr>
      <w:r>
        <w:rPr>
          <w:rFonts w:hint="eastAsia"/>
          <w:color w:val="auto"/>
          <w:highlight w:val="none"/>
        </w:rPr>
        <w:t xml:space="preserve"> </w:t>
      </w:r>
      <w:r/>
    </w:p>
    <w:p>
      <w:pPr>
        <w:pStyle w:val="844"/>
        <w:jc w:val="both"/>
        <w:spacing w:beforeAutospacing="0" w:afterAutospacing="0"/>
        <w:rPr>
          <w:color w:val="auto"/>
          <w:highlight w:val="none"/>
        </w:rPr>
      </w:pPr>
      <w:r>
        <w:rPr>
          <w:rFonts w:hint="eastAsia"/>
          <w:color w:val="auto"/>
          <w:highlight w:val="none"/>
        </w:rPr>
        <w:t xml:space="preserve"> </w:t>
      </w:r>
      <w:r/>
    </w:p>
    <w:p>
      <w:pPr>
        <w:pStyle w:val="844"/>
        <w:jc w:val="both"/>
        <w:spacing w:beforeAutospacing="0" w:afterAutospacing="0"/>
        <w:rPr>
          <w:color w:val="auto"/>
          <w:highlight w:val="none"/>
        </w:rPr>
      </w:pPr>
      <w:r>
        <w:rPr>
          <w:rFonts w:hint="eastAsia"/>
          <w:color w:val="auto"/>
          <w:highlight w:val="none"/>
        </w:rPr>
        <w:t xml:space="preserve"> </w:t>
      </w:r>
      <w:r/>
    </w:p>
    <w:p>
      <w:pPr>
        <w:pStyle w:val="844"/>
        <w:jc w:val="both"/>
        <w:spacing w:beforeAutospacing="0" w:afterAutospacing="0"/>
        <w:rPr>
          <w:color w:val="auto"/>
          <w:highlight w:val="none"/>
        </w:rPr>
      </w:pPr>
      <w:r>
        <w:rPr>
          <w:rFonts w:hint="eastAsia"/>
          <w:color w:val="auto"/>
          <w:highlight w:val="none"/>
        </w:rPr>
        <w:t xml:space="preserve"> </w:t>
      </w:r>
      <w:r/>
    </w:p>
    <w:p>
      <w:pPr>
        <w:pStyle w:val="844"/>
        <w:jc w:val="both"/>
        <w:spacing w:beforeAutospacing="0" w:afterAutospacing="0"/>
        <w:rPr>
          <w:color w:val="auto"/>
          <w:highlight w:val="none"/>
        </w:rPr>
      </w:pPr>
      <w:r>
        <w:rPr>
          <w:rFonts w:hint="eastAsia"/>
          <w:color w:val="auto"/>
          <w:highlight w:val="none"/>
        </w:rPr>
        <w:t xml:space="preserve"> </w:t>
      </w:r>
      <w:r/>
    </w:p>
    <w:p>
      <w:pPr>
        <w:pStyle w:val="844"/>
        <w:jc w:val="both"/>
        <w:spacing w:beforeAutospacing="0" w:afterAutospacing="0"/>
        <w:rPr>
          <w:color w:val="auto"/>
          <w:highlight w:val="none"/>
        </w:rPr>
      </w:pPr>
      <w:r>
        <w:rPr>
          <w:color w:val="auto"/>
          <w:highlight w:val="none"/>
        </w:rPr>
      </w:r>
      <w:r/>
    </w:p>
    <w:p>
      <w:pPr>
        <w:pStyle w:val="844"/>
        <w:jc w:val="both"/>
        <w:spacing w:beforeAutospacing="0" w:afterAutospacing="0"/>
        <w:rPr>
          <w:color w:val="auto"/>
          <w:highlight w:val="none"/>
        </w:rPr>
      </w:pPr>
      <w:r>
        <w:rPr>
          <w:color w:val="auto"/>
          <w:highlight w:val="none"/>
        </w:rPr>
      </w:r>
      <w:r/>
    </w:p>
    <w:p>
      <w:pPr>
        <w:pStyle w:val="844"/>
        <w:jc w:val="both"/>
        <w:spacing w:beforeAutospacing="0" w:afterAutospacing="0"/>
        <w:rPr>
          <w:color w:val="auto"/>
          <w:highlight w:val="none"/>
        </w:rPr>
      </w:pPr>
      <w:r>
        <w:rPr>
          <w:color w:val="auto"/>
          <w:highlight w:val="none"/>
        </w:rPr>
      </w:r>
      <w:r/>
    </w:p>
    <w:p>
      <w:pPr>
        <w:pStyle w:val="844"/>
        <w:jc w:val="both"/>
        <w:spacing w:beforeAutospacing="0" w:afterAutospacing="0"/>
        <w:rPr>
          <w:color w:val="auto"/>
          <w:highlight w:val="none"/>
        </w:rPr>
      </w:pPr>
      <w:r>
        <w:rPr>
          <w:color w:val="auto"/>
          <w:highlight w:val="none"/>
        </w:rPr>
      </w:r>
      <w:r/>
    </w:p>
    <w:p>
      <w:pPr>
        <w:pStyle w:val="844"/>
        <w:jc w:val="both"/>
        <w:spacing w:beforeAutospacing="0" w:afterAutospacing="0"/>
        <w:rPr>
          <w:color w:val="auto"/>
          <w:highlight w:val="none"/>
        </w:rPr>
      </w:pPr>
      <w:r>
        <w:rPr>
          <w:color w:val="auto"/>
          <w:highlight w:val="none"/>
        </w:rPr>
      </w:r>
      <w:r/>
    </w:p>
    <w:p>
      <w:pPr>
        <w:pStyle w:val="844"/>
        <w:jc w:val="both"/>
        <w:spacing w:beforeAutospacing="0" w:afterAutospacing="0"/>
        <w:rPr>
          <w:color w:val="auto"/>
          <w:highlight w:val="none"/>
        </w:rPr>
      </w:pPr>
      <w:r>
        <w:rPr>
          <w:color w:val="auto"/>
          <w:highlight w:val="none"/>
        </w:rPr>
      </w:r>
      <w:r/>
    </w:p>
    <w:p>
      <w:pPr>
        <w:pStyle w:val="844"/>
        <w:jc w:val="both"/>
        <w:spacing w:beforeAutospacing="0" w:afterAutospacing="0"/>
        <w:rPr>
          <w:color w:val="auto"/>
          <w:highlight w:val="none"/>
        </w:rPr>
      </w:pPr>
      <w:r>
        <w:rPr>
          <w:color w:val="auto"/>
          <w:highlight w:val="none"/>
        </w:rPr>
      </w:r>
      <w:r/>
    </w:p>
    <w:p>
      <w:pPr>
        <w:pStyle w:val="844"/>
        <w:numPr>
          <w:ilvl w:val="0"/>
          <w:numId w:val="0"/>
        </w:numPr>
        <w:spacing w:beforeAutospacing="0" w:afterAutospacing="0"/>
        <w:rPr>
          <w:b/>
          <w:color w:val="auto"/>
          <w:sz w:val="32"/>
          <w:szCs w:val="32"/>
          <w:highlight w:val="none"/>
          <w:u w:val="single"/>
        </w:rPr>
      </w:pPr>
      <w:r>
        <w:rPr>
          <w:rFonts w:hint="eastAsia"/>
          <w:b/>
          <w:color w:val="auto"/>
          <w:sz w:val="32"/>
          <w:szCs w:val="32"/>
          <w:highlight w:val="none"/>
          <w:u w:val="single"/>
          <w:lang w:val="en-US" w:eastAsia="zh-CN"/>
        </w:rPr>
        <w:t xml:space="preserve">十四、</w:t>
      </w:r>
      <w:r>
        <w:rPr>
          <w:rFonts w:hint="eastAsia"/>
          <w:b/>
          <w:color w:val="auto"/>
          <w:sz w:val="32"/>
          <w:szCs w:val="32"/>
          <w:highlight w:val="none"/>
          <w:u w:val="single"/>
        </w:rPr>
        <w:t xml:space="preserve">商务要求响应及偏离表</w:t>
      </w:r>
      <w:r/>
    </w:p>
    <w:p>
      <w:pPr>
        <w:pStyle w:val="844"/>
        <w:spacing w:beforeAutospacing="0" w:afterAutospacing="0"/>
        <w:rPr>
          <w:b/>
          <w:color w:val="auto"/>
          <w:highlight w:val="none"/>
          <w:u w:val="single"/>
        </w:rPr>
      </w:pPr>
      <w:r>
        <w:rPr>
          <w:rFonts w:hint="eastAsia"/>
          <w:b/>
          <w:color w:val="auto"/>
          <w:highlight w:val="none"/>
          <w:u w:val="single"/>
        </w:rPr>
        <w:t xml:space="preserve">投标人全称（加盖投标人CA电子公章）</w:t>
      </w:r>
      <w:r/>
    </w:p>
    <w:tbl>
      <w:tblPr>
        <w:tblStyle w:val="807"/>
        <w:tblW w:w="9978"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36"/>
        <w:gridCol w:w="1393"/>
        <w:gridCol w:w="1395"/>
        <w:gridCol w:w="1815"/>
        <w:gridCol w:w="1440"/>
        <w:gridCol w:w="2999"/>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原因</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备注（具体响应材料在投标文件中页码、行数等）</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44"/>
              <w:jc w:val="center"/>
              <w:spacing w:beforeAutospacing="0" w:afterAutospacing="0"/>
              <w:rPr>
                <w:color w:val="auto"/>
                <w:highlight w:val="none"/>
              </w:rPr>
            </w:pPr>
            <w:r>
              <w:rPr>
                <w:rFonts w:hint="eastAsia"/>
                <w:color w:val="auto"/>
                <w:highlight w:val="none"/>
              </w:rPr>
              <w:t xml:space="preserve"> </w:t>
            </w:r>
            <w:r/>
          </w:p>
        </w:tc>
      </w:tr>
    </w:tbl>
    <w:p>
      <w:pPr>
        <w:pStyle w:val="844"/>
        <w:jc w:val="both"/>
        <w:spacing w:beforeAutospacing="0" w:afterAutospacing="0"/>
        <w:rPr>
          <w:color w:val="auto"/>
          <w:highlight w:val="none"/>
        </w:rPr>
      </w:pPr>
      <w:r>
        <w:rPr>
          <w:rFonts w:hint="eastAsia"/>
          <w:color w:val="auto"/>
          <w:highlight w:val="none"/>
        </w:rPr>
        <w:t xml:space="preserve">注： 行数不够，可自行添加。出现超出或偏离时详细列明。</w:t>
      </w:r>
      <w:r/>
    </w:p>
    <w:p>
      <w:pPr>
        <w:pStyle w:val="844"/>
        <w:jc w:val="both"/>
        <w:spacing w:beforeAutospacing="0" w:afterAutospacing="0" w:line="480" w:lineRule="auto"/>
        <w:rPr>
          <w:color w:val="auto"/>
          <w:highlight w:val="none"/>
        </w:rPr>
      </w:pPr>
      <w:r>
        <w:rPr>
          <w:rFonts w:hint="eastAsia"/>
          <w:color w:val="auto"/>
          <w:highlight w:val="none"/>
        </w:rPr>
        <w:t xml:space="preserve"> </w:t>
      </w:r>
      <w:r/>
    </w:p>
    <w:p>
      <w:pPr>
        <w:pStyle w:val="844"/>
        <w:jc w:val="both"/>
        <w:spacing w:beforeAutospacing="0" w:afterAutospacing="0" w:line="480" w:lineRule="auto"/>
        <w:rPr>
          <w:color w:val="auto"/>
          <w:highlight w:val="none"/>
        </w:rPr>
      </w:pPr>
      <w:r>
        <w:rPr>
          <w:rFonts w:hint="eastAsia"/>
          <w:color w:val="auto"/>
          <w:highlight w:val="none"/>
        </w:rPr>
        <w:t xml:space="preserve"> </w:t>
      </w:r>
      <w:r/>
    </w:p>
    <w:p>
      <w:pPr>
        <w:pStyle w:val="844"/>
        <w:jc w:val="center"/>
        <w:spacing w:beforeAutospacing="0" w:afterAutospacing="0"/>
        <w:rPr>
          <w:color w:val="auto"/>
          <w:highlight w:val="none"/>
        </w:rPr>
      </w:pPr>
      <w:r>
        <w:rPr>
          <w:rFonts w:hint="eastAsia"/>
          <w:color w:val="auto"/>
          <w:highlight w:val="none"/>
        </w:rPr>
        <w:t xml:space="preserve"> </w:t>
      </w:r>
      <w:r/>
    </w:p>
    <w:p>
      <w:pPr>
        <w:pStyle w:val="844"/>
        <w:jc w:val="both"/>
        <w:spacing w:beforeAutospacing="0" w:afterAutospacing="0"/>
        <w:rPr>
          <w:color w:val="auto"/>
          <w:highlight w:val="none"/>
        </w:rPr>
      </w:pPr>
      <w:r>
        <w:rPr>
          <w:rFonts w:hint="eastAsia"/>
          <w:color w:val="auto"/>
          <w:highlight w:val="none"/>
        </w:rPr>
        <w:t xml:space="preserve"> </w:t>
      </w:r>
      <w:r/>
    </w:p>
    <w:p>
      <w:pPr>
        <w:pStyle w:val="844"/>
        <w:jc w:val="both"/>
        <w:spacing w:beforeAutospacing="0" w:afterAutospacing="0"/>
        <w:rPr>
          <w:color w:val="auto"/>
          <w:highlight w:val="none"/>
        </w:rPr>
      </w:pPr>
      <w:r>
        <w:rPr>
          <w:rFonts w:hint="eastAsia"/>
          <w:color w:val="auto"/>
          <w:highlight w:val="none"/>
        </w:rPr>
        <w:t xml:space="preserve"> </w:t>
      </w:r>
      <w:r/>
    </w:p>
    <w:p>
      <w:pPr>
        <w:pStyle w:val="844"/>
        <w:jc w:val="both"/>
        <w:spacing w:beforeAutospacing="0" w:afterAutospacing="0"/>
        <w:rPr>
          <w:color w:val="auto"/>
          <w:highlight w:val="none"/>
        </w:rPr>
      </w:pPr>
      <w:r>
        <w:rPr>
          <w:color w:val="auto"/>
          <w:highlight w:val="none"/>
        </w:rPr>
      </w:r>
      <w:r/>
    </w:p>
    <w:p>
      <w:pPr>
        <w:pStyle w:val="844"/>
        <w:jc w:val="both"/>
        <w:spacing w:beforeAutospacing="0" w:afterAutospacing="0"/>
        <w:rPr>
          <w:color w:val="auto"/>
          <w:highlight w:val="none"/>
        </w:rPr>
      </w:pPr>
      <w:r>
        <w:rPr>
          <w:color w:val="auto"/>
          <w:highlight w:val="none"/>
        </w:rPr>
      </w:r>
      <w:r/>
    </w:p>
    <w:p>
      <w:pPr>
        <w:pStyle w:val="844"/>
        <w:jc w:val="both"/>
        <w:spacing w:beforeAutospacing="0" w:afterAutospacing="0"/>
        <w:rPr>
          <w:color w:val="auto"/>
          <w:highlight w:val="none"/>
        </w:rPr>
      </w:pPr>
      <w:r>
        <w:rPr>
          <w:color w:val="auto"/>
          <w:highlight w:val="none"/>
        </w:rPr>
      </w:r>
      <w:r/>
    </w:p>
    <w:p>
      <w:pPr>
        <w:pStyle w:val="844"/>
        <w:jc w:val="both"/>
        <w:spacing w:beforeAutospacing="0" w:afterAutospacing="0"/>
        <w:rPr>
          <w:color w:val="auto"/>
          <w:highlight w:val="none"/>
        </w:rPr>
      </w:pPr>
      <w:r>
        <w:rPr>
          <w:color w:val="auto"/>
          <w:highlight w:val="none"/>
        </w:rPr>
      </w:r>
      <w:r/>
    </w:p>
    <w:p>
      <w:pPr>
        <w:pStyle w:val="844"/>
        <w:jc w:val="both"/>
        <w:spacing w:beforeAutospacing="0" w:afterAutospacing="0"/>
        <w:rPr>
          <w:b/>
          <w:i/>
          <w:color w:val="auto"/>
          <w:sz w:val="32"/>
          <w:szCs w:val="32"/>
          <w:highlight w:val="none"/>
          <w:u w:val="single"/>
        </w:rPr>
      </w:pPr>
      <w:r>
        <w:rPr>
          <w:b/>
          <w:i/>
          <w:color w:val="auto"/>
          <w:sz w:val="32"/>
          <w:szCs w:val="32"/>
          <w:highlight w:val="none"/>
          <w:u w:val="single"/>
        </w:rPr>
      </w:r>
      <w:r/>
    </w:p>
    <w:p>
      <w:pPr>
        <w:pStyle w:val="844"/>
        <w:jc w:val="both"/>
        <w:spacing w:beforeAutospacing="0" w:afterAutospacing="0"/>
        <w:rPr>
          <w:b/>
          <w:i/>
          <w:color w:val="auto"/>
          <w:sz w:val="32"/>
          <w:szCs w:val="32"/>
          <w:highlight w:val="none"/>
          <w:u w:val="single"/>
        </w:rPr>
      </w:pPr>
      <w:r>
        <w:rPr>
          <w:b/>
          <w:i/>
          <w:color w:val="auto"/>
          <w:sz w:val="32"/>
          <w:szCs w:val="32"/>
          <w:highlight w:val="none"/>
          <w:u w:val="single"/>
        </w:rPr>
      </w:r>
      <w:r/>
    </w:p>
    <w:p>
      <w:pPr>
        <w:pStyle w:val="844"/>
        <w:jc w:val="both"/>
        <w:spacing w:beforeAutospacing="0" w:afterAutospacing="0"/>
        <w:rPr>
          <w:b/>
          <w:i/>
          <w:color w:val="auto"/>
          <w:sz w:val="32"/>
          <w:szCs w:val="32"/>
          <w:highlight w:val="none"/>
          <w:u w:val="single"/>
        </w:rPr>
      </w:pPr>
      <w:r>
        <w:rPr>
          <w:b/>
          <w:i/>
          <w:color w:val="auto"/>
          <w:sz w:val="32"/>
          <w:szCs w:val="32"/>
          <w:highlight w:val="none"/>
          <w:u w:val="single"/>
        </w:rPr>
      </w:r>
      <w:r/>
    </w:p>
    <w:p>
      <w:pPr>
        <w:pStyle w:val="844"/>
        <w:jc w:val="both"/>
        <w:spacing w:beforeAutospacing="0" w:afterAutospacing="0"/>
        <w:rPr>
          <w:b/>
          <w:iCs/>
          <w:color w:val="auto"/>
          <w:sz w:val="32"/>
          <w:szCs w:val="32"/>
          <w:highlight w:val="none"/>
          <w:u w:val="single"/>
        </w:rPr>
      </w:pPr>
      <w:r>
        <w:rPr>
          <w:b/>
          <w:iCs/>
          <w:color w:val="auto"/>
          <w:sz w:val="32"/>
          <w:szCs w:val="32"/>
          <w:highlight w:val="none"/>
          <w:u w:val="single"/>
        </w:rPr>
      </w:r>
      <w:r/>
    </w:p>
    <w:p>
      <w:pPr>
        <w:pStyle w:val="844"/>
        <w:jc w:val="both"/>
        <w:spacing w:beforeAutospacing="0" w:afterAutospacing="0"/>
        <w:rPr>
          <w:color w:val="auto"/>
          <w:highlight w:val="none"/>
        </w:rPr>
      </w:pPr>
      <w:r>
        <w:rPr>
          <w:rFonts w:hint="eastAsia"/>
          <w:b/>
          <w:iCs/>
          <w:color w:val="auto"/>
          <w:sz w:val="32"/>
          <w:szCs w:val="32"/>
          <w:highlight w:val="none"/>
          <w:u w:val="single"/>
        </w:rPr>
        <w:t xml:space="preserve">十五、开标一览表</w:t>
      </w:r>
      <w:r/>
    </w:p>
    <w:p>
      <w:pPr>
        <w:pStyle w:val="844"/>
        <w:jc w:val="both"/>
        <w:spacing w:beforeAutospacing="0" w:afterAutospacing="0"/>
        <w:rPr>
          <w:color w:val="auto"/>
          <w:highlight w:val="none"/>
        </w:rPr>
      </w:pPr>
      <w:r>
        <w:rPr>
          <w:rFonts w:hint="eastAsia"/>
          <w:color w:val="auto"/>
          <w:highlight w:val="none"/>
        </w:rPr>
        <w:t xml:space="preserve">投标人全称（加盖CA电子签章）：</w:t>
      </w:r>
      <w:r/>
    </w:p>
    <w:p>
      <w:pPr>
        <w:pStyle w:val="844"/>
        <w:jc w:val="both"/>
        <w:spacing w:beforeAutospacing="0" w:afterAutospacing="0"/>
        <w:rPr>
          <w:color w:val="auto"/>
          <w:highlight w:val="none"/>
        </w:rPr>
      </w:pPr>
      <w:r>
        <w:rPr>
          <w:rFonts w:hint="eastAsia"/>
          <w:color w:val="auto"/>
          <w:highlight w:val="none"/>
        </w:rPr>
        <w:t xml:space="preserve">项目名称：</w:t>
      </w:r>
      <w:r/>
    </w:p>
    <w:p>
      <w:pPr>
        <w:pStyle w:val="844"/>
        <w:jc w:val="both"/>
        <w:spacing w:beforeAutospacing="0" w:afterAutospacing="0"/>
        <w:rPr>
          <w:color w:val="auto"/>
          <w:highlight w:val="none"/>
        </w:rPr>
      </w:pPr>
      <w:r>
        <w:rPr>
          <w:rFonts w:hint="eastAsia"/>
          <w:color w:val="auto"/>
          <w:highlight w:val="none"/>
        </w:rPr>
        <w:t xml:space="preserve">项目编号：                </w:t>
      </w:r>
      <w:r/>
    </w:p>
    <w:p>
      <w:pPr>
        <w:pStyle w:val="844"/>
        <w:jc w:val="both"/>
        <w:spacing w:beforeAutospacing="0" w:afterAutospacing="0"/>
        <w:rPr>
          <w:color w:val="auto"/>
          <w:highlight w:val="none"/>
        </w:rPr>
      </w:pPr>
      <w:r>
        <w:rPr>
          <w:rFonts w:hint="eastAsia"/>
          <w:color w:val="auto"/>
          <w:highlight w:val="none"/>
        </w:rPr>
        <w:t xml:space="preserve">分 包 号：</w:t>
      </w:r>
      <w:r/>
    </w:p>
    <w:tbl>
      <w:tblPr>
        <w:tblStyle w:val="807"/>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982"/>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（人民币：元）</w:t>
            </w:r>
            <w:r/>
          </w:p>
        </w:tc>
      </w:tr>
    </w:tbl>
    <w:p>
      <w:pPr>
        <w:pStyle w:val="844"/>
        <w:jc w:val="both"/>
        <w:spacing w:beforeAutospacing="0" w:afterAutospacing="0"/>
        <w:rPr>
          <w:color w:val="auto"/>
          <w:highlight w:val="none"/>
        </w:rPr>
      </w:pPr>
      <w:r>
        <w:rPr>
          <w:rFonts w:hint="eastAsia"/>
          <w:color w:val="auto"/>
          <w:highlight w:val="none"/>
        </w:rPr>
        <w:t xml:space="preserve"> </w:t>
      </w:r>
      <w:r/>
    </w:p>
    <w:p>
      <w:pPr>
        <w:pStyle w:val="844"/>
        <w:jc w:val="both"/>
        <w:spacing w:beforeAutospacing="0" w:afterAutospacing="0"/>
        <w:rPr>
          <w:color w:val="auto"/>
          <w:highlight w:val="none"/>
        </w:rPr>
      </w:pPr>
      <w:r>
        <w:rPr>
          <w:rFonts w:hint="eastAsia"/>
          <w:color w:val="auto"/>
          <w:highlight w:val="none"/>
        </w:rPr>
        <w:t xml:space="preserve">                                              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844"/>
        <w:jc w:val="both"/>
        <w:spacing w:beforeAutospacing="0" w:afterAutospacing="0"/>
        <w:rPr>
          <w:color w:val="auto"/>
          <w:highlight w:val="none"/>
        </w:rPr>
      </w:pPr>
      <w:r>
        <w:rPr>
          <w:rFonts w:hint="eastAsia"/>
          <w:color w:val="auto"/>
          <w:highlight w:val="none"/>
        </w:rPr>
        <w:t xml:space="preserve"> </w:t>
      </w:r>
      <w:r/>
    </w:p>
    <w:p>
      <w:pPr>
        <w:pStyle w:val="844"/>
        <w:jc w:val="center"/>
        <w:spacing w:beforeAutospacing="0" w:afterAutospacing="0"/>
        <w:rPr>
          <w:color w:val="auto"/>
          <w:highlight w:val="none"/>
        </w:rPr>
      </w:pPr>
      <w:r>
        <w:rPr>
          <w:color w:val="auto"/>
          <w:highlight w:val="none"/>
        </w:rPr>
      </w:r>
      <w:r/>
    </w:p>
    <w:p>
      <w:pPr>
        <w:jc w:val="center"/>
        <w:widowControl/>
        <w:rPr>
          <w:rFonts w:ascii="宋体" w:hAnsi="宋体" w:cs="宋体"/>
          <w:color w:val="auto"/>
          <w:highlight w:val="none"/>
        </w:rPr>
      </w:pPr>
      <w:r>
        <w:rPr>
          <w:rFonts w:hint="eastAsia" w:ascii="宋体" w:hAnsi="宋体" w:cs="宋体"/>
          <w:color w:val="auto"/>
          <w:highlight w:val="none"/>
        </w:rPr>
        <w:tab/>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pStyle w:val="844"/>
        <w:jc w:val="both"/>
        <w:spacing w:beforeAutospacing="0" w:afterAutospacing="0"/>
        <w:tabs>
          <w:tab w:val="left" w:pos="2160" w:leader="none"/>
        </w:tabs>
        <w:rPr>
          <w:color w:val="auto"/>
          <w:highlight w:val="none"/>
        </w:rPr>
      </w:pPr>
      <w:r>
        <w:rPr>
          <w:color w:val="auto"/>
          <w:highlight w:val="none"/>
        </w:rPr>
      </w:r>
      <w:r/>
    </w:p>
    <w:p>
      <w:pPr>
        <w:pStyle w:val="844"/>
        <w:jc w:val="both"/>
        <w:spacing w:beforeAutospacing="0" w:afterAutospacing="0"/>
        <w:tabs>
          <w:tab w:val="left" w:pos="2160" w:leader="none"/>
        </w:tabs>
        <w:rPr>
          <w:color w:val="auto"/>
          <w:highlight w:val="none"/>
        </w:rPr>
      </w:pPr>
      <w:r>
        <w:rPr>
          <w:color w:val="auto"/>
          <w:highlight w:val="none"/>
        </w:rPr>
      </w:r>
      <w:r/>
    </w:p>
    <w:p>
      <w:pPr>
        <w:pStyle w:val="844"/>
        <w:jc w:val="both"/>
        <w:spacing w:beforeAutospacing="0" w:afterAutospacing="0"/>
        <w:tabs>
          <w:tab w:val="left" w:pos="2160" w:leader="none"/>
        </w:tabs>
        <w:rPr>
          <w:color w:val="auto"/>
          <w:highlight w:val="none"/>
        </w:rPr>
      </w:pPr>
      <w:r>
        <w:rPr>
          <w:color w:val="auto"/>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pStyle w:val="847"/>
        <w:rPr>
          <w:color w:val="auto"/>
        </w:rPr>
      </w:pPr>
      <w:r>
        <w:rPr>
          <w:color w:val="auto"/>
        </w:rPr>
      </w:r>
      <w:r/>
    </w:p>
    <w:p>
      <w:pPr>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十六、技术方案、服务承诺、培训承诺等</w:t>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ascii="宋体" w:hAnsi="宋体" w:cs="宋体"/>
          <w:color w:val="auto"/>
          <w:sz w:val="24"/>
          <w:highlight w:val="none"/>
        </w:rPr>
      </w:pPr>
      <w:r>
        <w:rPr>
          <w:rFonts w:hint="eastAsia" w:ascii="宋体" w:hAnsi="宋体" w:cs="宋体"/>
          <w:b/>
          <w:bCs/>
          <w:color w:val="auto"/>
          <w:sz w:val="32"/>
          <w:szCs w:val="32"/>
          <w:highlight w:val="none"/>
        </w:rPr>
        <w:t xml:space="preserve">十七、盐城市政府采购事前信用承诺书</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（四）严格遵守即时信息公示规定，及时维护和更新维护和更新盐城市政府采购网中与本单位相关的信息；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（六）自觉接受政府、行业组织、社会公众、新闻舆论的监督；</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（八）本人已认真阅读了上述承诺，并向本单位员工作了宣传教育。</w:t>
      </w:r>
      <w:r/>
    </w:p>
    <w:p>
      <w:pPr>
        <w:ind w:firstLine="480"/>
        <w:jc w:val="left"/>
        <w:spacing w:line="360" w:lineRule="atLeas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tLeas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tLeas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法定代表人签名：               单位名称（盖章）：    </w:t>
      </w:r>
      <w:r/>
    </w:p>
    <w:p>
      <w:pPr>
        <w:ind w:firstLine="720"/>
        <w:jc w:val="left"/>
        <w:spacing w:line="360" w:lineRule="atLeast"/>
        <w:widowControl/>
        <w:rPr>
          <w:rFonts w:ascii="宋体" w:hAnsi="宋体" w:cs="宋体"/>
          <w:color w:val="auto"/>
          <w:sz w:val="24"/>
          <w:highlight w:val="none"/>
        </w:rPr>
      </w:pPr>
      <w:r>
        <w:rPr>
          <w:rFonts w:ascii="宋体" w:hAnsi="宋体" w:cs="宋体"/>
          <w:color w:val="auto"/>
          <w:sz w:val="24"/>
          <w:highlight w:val="none"/>
        </w:rPr>
      </w:r>
      <w:r/>
    </w:p>
    <w:p>
      <w:pPr>
        <w:ind w:firstLine="720"/>
        <w:jc w:val="right"/>
        <w:spacing w:line="360" w:lineRule="atLeast"/>
        <w:widowControl/>
        <w:rPr>
          <w:rFonts w:ascii="宋体" w:hAnsi="宋体" w:cs="宋体"/>
          <w:color w:val="auto"/>
          <w:highlight w:val="none"/>
        </w:rPr>
      </w:pPr>
      <w:r>
        <w:rPr>
          <w:rFonts w:hint="eastAsia" w:ascii="宋体" w:hAnsi="宋体" w:cs="宋体"/>
          <w:color w:val="auto"/>
          <w:sz w:val="24"/>
          <w:highlight w:val="none"/>
        </w:rPr>
        <w:t xml:space="preserve">年  月   日</w:t>
      </w:r>
      <w:r/>
    </w:p>
    <w:p>
      <w:pPr>
        <w:pStyle w:val="844"/>
        <w:jc w:val="both"/>
        <w:spacing w:beforeAutospacing="0" w:afterAutospacing="0"/>
        <w:rPr>
          <w:b/>
          <w:color w:val="auto"/>
          <w:sz w:val="32"/>
          <w:szCs w:val="32"/>
          <w:highlight w:val="none"/>
        </w:rPr>
      </w:pPr>
      <w:r>
        <w:rPr>
          <w:b/>
          <w:color w:val="auto"/>
          <w:sz w:val="32"/>
          <w:szCs w:val="32"/>
          <w:highlight w:val="none"/>
        </w:rPr>
      </w:r>
      <w:r/>
    </w:p>
    <w:p>
      <w:pPr>
        <w:pStyle w:val="844"/>
        <w:jc w:val="center"/>
        <w:spacing w:beforeAutospacing="0" w:afterAutospacing="0"/>
        <w:rPr>
          <w:b/>
          <w:color w:val="auto"/>
          <w:sz w:val="32"/>
          <w:szCs w:val="32"/>
          <w:highlight w:val="none"/>
        </w:rPr>
      </w:pPr>
      <w:r>
        <w:rPr>
          <w:rFonts w:hint="eastAsia"/>
          <w:b/>
          <w:color w:val="auto"/>
          <w:sz w:val="32"/>
          <w:szCs w:val="32"/>
          <w:highlight w:val="none"/>
        </w:rPr>
        <w:t xml:space="preserve">质疑函范本</w:t>
      </w:r>
      <w:r/>
    </w:p>
    <w:p>
      <w:pPr>
        <w:pStyle w:val="844"/>
        <w:jc w:val="both"/>
        <w:spacing w:before="0" w:beforeAutospacing="0" w:after="0" w:afterAutospacing="0" w:line="360" w:lineRule="exact"/>
        <w:rPr>
          <w:color w:val="auto"/>
          <w:highlight w:val="none"/>
        </w:rPr>
      </w:pPr>
      <w:r>
        <w:rPr>
          <w:rFonts w:hint="eastAsia"/>
          <w:color w:val="auto"/>
          <w:highlight w:val="none"/>
        </w:rPr>
        <w:t xml:space="preserve">一、质疑供应商基本信息</w:t>
      </w:r>
      <w:r/>
    </w:p>
    <w:p>
      <w:pPr>
        <w:pStyle w:val="844"/>
        <w:jc w:val="both"/>
        <w:spacing w:before="0" w:beforeAutospacing="0" w:after="0" w:afterAutospacing="0" w:line="360" w:lineRule="exact"/>
        <w:rPr>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rPr>
      </w:pPr>
      <w:r>
        <w:rPr>
          <w:rFonts w:hint="eastAsia"/>
          <w:color w:val="auto"/>
          <w:highlight w:val="none"/>
        </w:rPr>
        <w:t xml:space="preserve">二、质疑项目基本情况</w:t>
      </w:r>
      <w:r/>
    </w:p>
    <w:p>
      <w:pPr>
        <w:pStyle w:val="844"/>
        <w:jc w:val="both"/>
        <w:spacing w:before="0" w:beforeAutospacing="0" w:after="0" w:afterAutospacing="0" w:line="360" w:lineRule="exact"/>
        <w:rPr>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rPr>
      </w:pPr>
      <w:r>
        <w:rPr>
          <w:rFonts w:hint="eastAsia"/>
          <w:color w:val="auto"/>
          <w:highlight w:val="none"/>
        </w:rPr>
        <w:t xml:space="preserve">三、质疑事项具体内容</w:t>
      </w:r>
      <w:r/>
    </w:p>
    <w:p>
      <w:pPr>
        <w:pStyle w:val="844"/>
        <w:jc w:val="both"/>
        <w:spacing w:before="0" w:beforeAutospacing="0" w:after="0" w:afterAutospacing="0" w:line="360" w:lineRule="exact"/>
        <w:rPr>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844"/>
        <w:spacing w:before="0" w:beforeAutospacing="0" w:after="0" w:afterAutospacing="0" w:line="360" w:lineRule="exact"/>
        <w:rPr>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rPr>
      </w:pPr>
      <w:r>
        <w:rPr>
          <w:rFonts w:hint="eastAsia"/>
          <w:color w:val="auto"/>
          <w:highlight w:val="none"/>
        </w:rPr>
        <w:t xml:space="preserve">质疑事项2</w:t>
      </w:r>
      <w:r/>
    </w:p>
    <w:p>
      <w:pPr>
        <w:pStyle w:val="844"/>
        <w:jc w:val="both"/>
        <w:spacing w:before="0" w:beforeAutospacing="0" w:after="0" w:afterAutospacing="0" w:line="360" w:lineRule="exact"/>
        <w:rPr>
          <w:color w:val="auto"/>
          <w:highlight w:val="none"/>
        </w:rPr>
      </w:pPr>
      <w:r>
        <w:rPr>
          <w:rFonts w:hint="eastAsia"/>
          <w:color w:val="auto"/>
          <w:highlight w:val="none"/>
        </w:rPr>
        <w:t xml:space="preserve">……</w:t>
      </w:r>
      <w:r/>
    </w:p>
    <w:p>
      <w:pPr>
        <w:pStyle w:val="844"/>
        <w:jc w:val="both"/>
        <w:spacing w:before="0" w:beforeAutospacing="0" w:after="0" w:afterAutospacing="0" w:line="360" w:lineRule="exact"/>
        <w:rPr>
          <w:color w:val="auto"/>
          <w:highlight w:val="none"/>
        </w:rPr>
      </w:pPr>
      <w:r>
        <w:rPr>
          <w:rFonts w:hint="eastAsia"/>
          <w:color w:val="auto"/>
          <w:highlight w:val="none"/>
        </w:rPr>
        <w:t xml:space="preserve">四、与质疑事项相关的质疑请求</w:t>
      </w:r>
      <w:r/>
    </w:p>
    <w:p>
      <w:pPr>
        <w:pStyle w:val="844"/>
        <w:jc w:val="both"/>
        <w:spacing w:before="0" w:beforeAutospacing="0" w:after="0" w:afterAutospacing="0" w:line="360" w:lineRule="exact"/>
        <w:rPr>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844"/>
        <w:jc w:val="both"/>
        <w:spacing w:before="0" w:beforeAutospacing="0" w:after="0" w:afterAutospacing="0" w:line="360" w:lineRule="exact"/>
        <w:rPr>
          <w:color w:val="auto"/>
          <w:highlight w:val="none"/>
        </w:rPr>
      </w:pPr>
      <w:r>
        <w:rPr>
          <w:rFonts w:hint="eastAsia"/>
          <w:color w:val="auto"/>
          <w:highlight w:val="none"/>
        </w:rPr>
        <w:t xml:space="preserve">签字</w:t>
      </w:r>
      <w:r>
        <w:rPr>
          <w:rFonts w:hint="eastAsia"/>
          <w:color w:val="auto"/>
          <w:highlight w:val="none"/>
          <w:lang w:eastAsia="zh-CN"/>
        </w:rPr>
        <w:t xml:space="preserve">（</w:t>
      </w:r>
      <w:r>
        <w:rPr>
          <w:rFonts w:hint="eastAsia"/>
          <w:color w:val="auto"/>
          <w:highlight w:val="none"/>
        </w:rPr>
        <w:t xml:space="preserve">签章</w:t>
      </w:r>
      <w:r>
        <w:rPr>
          <w:rFonts w:hint="eastAsia"/>
          <w:color w:val="auto"/>
          <w:highlight w:val="none"/>
          <w:lang w:eastAsia="zh-CN"/>
        </w:rPr>
        <w:t xml:space="preserve">）</w:t>
      </w:r>
      <w:r>
        <w:rPr>
          <w:rFonts w:hint="eastAsia"/>
          <w:color w:val="auto"/>
          <w:highlight w:val="none"/>
        </w:rPr>
        <w:t xml:space="preserve">：                 公章：               日期：    </w:t>
      </w:r>
      <w:r/>
    </w:p>
    <w:p>
      <w:pPr>
        <w:pStyle w:val="844"/>
        <w:jc w:val="both"/>
        <w:spacing w:before="0" w:beforeAutospacing="0" w:after="0" w:afterAutospacing="0" w:line="360" w:lineRule="exact"/>
        <w:rPr>
          <w:color w:val="auto"/>
          <w:highlight w:val="none"/>
        </w:rPr>
      </w:pPr>
      <w:r>
        <w:rPr>
          <w:rFonts w:hint="eastAsia"/>
          <w:b/>
          <w:color w:val="auto"/>
          <w:highlight w:val="none"/>
        </w:rPr>
        <w:t xml:space="preserve">质疑函制作说明：</w:t>
      </w:r>
      <w:r/>
    </w:p>
    <w:p>
      <w:pPr>
        <w:pStyle w:val="844"/>
        <w:spacing w:before="0" w:beforeAutospacing="0" w:after="0" w:afterAutospacing="0" w:line="360" w:lineRule="exact"/>
        <w:rPr>
          <w:color w:val="auto"/>
          <w:highlight w:val="none"/>
        </w:rPr>
      </w:pPr>
      <w:r>
        <w:rPr>
          <w:rFonts w:hint="eastAsia"/>
          <w:color w:val="auto"/>
          <w:highlight w:val="none"/>
        </w:rPr>
        <w:t xml:space="preserve">1.供应商提出质疑时，应提交质疑函和必要的证明材料。</w:t>
      </w:r>
      <w:r/>
    </w:p>
    <w:p>
      <w:pPr>
        <w:pStyle w:val="844"/>
        <w:spacing w:before="0" w:beforeAutospacing="0" w:after="0" w:afterAutospacing="0" w:line="360" w:lineRule="exact"/>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4"/>
        <w:spacing w:before="0" w:beforeAutospacing="0" w:after="0" w:afterAutospacing="0" w:line="360" w:lineRule="exact"/>
        <w:rPr>
          <w:color w:val="auto"/>
          <w:highlight w:val="none"/>
        </w:rPr>
      </w:pPr>
      <w:r>
        <w:rPr>
          <w:rFonts w:hint="eastAsia"/>
          <w:color w:val="auto"/>
          <w:highlight w:val="none"/>
        </w:rPr>
        <w:t xml:space="preserve">3.质疑供应商若对项目的某一分包进行质疑，质疑函中应列明具体分包号。</w:t>
      </w:r>
      <w:r/>
    </w:p>
    <w:p>
      <w:pPr>
        <w:pStyle w:val="844"/>
        <w:spacing w:before="0" w:beforeAutospacing="0" w:after="0" w:afterAutospacing="0" w:line="360" w:lineRule="exact"/>
        <w:rPr>
          <w:color w:val="auto"/>
          <w:highlight w:val="none"/>
        </w:rPr>
      </w:pPr>
      <w:r>
        <w:rPr>
          <w:rFonts w:hint="eastAsia"/>
          <w:color w:val="auto"/>
          <w:highlight w:val="none"/>
        </w:rPr>
        <w:t xml:space="preserve">4.质疑函的质疑事项应具体、明确，并有必要的事实依据和法律依据。</w:t>
      </w:r>
      <w:r/>
    </w:p>
    <w:p>
      <w:pPr>
        <w:pStyle w:val="844"/>
        <w:spacing w:before="0" w:beforeAutospacing="0" w:after="0" w:afterAutospacing="0" w:line="360" w:lineRule="exact"/>
        <w:rPr>
          <w:color w:val="auto"/>
          <w:highlight w:val="none"/>
        </w:rPr>
      </w:pPr>
      <w:r>
        <w:rPr>
          <w:rFonts w:hint="eastAsia"/>
          <w:color w:val="auto"/>
          <w:highlight w:val="none"/>
        </w:rPr>
        <w:t xml:space="preserve">5.质疑函的质疑请求应与质疑事项相关。</w:t>
      </w:r>
      <w:r/>
    </w:p>
    <w:p>
      <w:pPr>
        <w:spacing w:line="360" w:lineRule="exact"/>
        <w:rPr>
          <w:rFonts w:hint="default" w:ascii="宋体" w:hAnsi="宋体" w:cs="宋体"/>
          <w:b/>
          <w:bCs/>
          <w:i w:val="0"/>
          <w:iCs w:val="0"/>
          <w:color w:val="000000"/>
          <w:sz w:val="20"/>
          <w:szCs w:val="20"/>
          <w:u w:val="none"/>
          <w:lang w:val="en-US" w:eastAsia="zh-CN" w:bidi="ar"/>
        </w:rPr>
      </w:pPr>
      <w:r>
        <w:rPr>
          <w:rFonts w:hint="eastAsia" w:ascii="宋体" w:hAnsi="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bookmarkEnd w:id="145"/>
      <w:r/>
      <w:bookmarkEnd w:id="146"/>
      <w:r/>
      <w:r/>
    </w:p>
    <w:p>
      <w:pPr>
        <w:jc w:val="left"/>
        <w:rPr>
          <w:rFonts w:ascii="宋体" w:hAnsi="宋体" w:cs="宋体"/>
          <w:color w:val="auto"/>
          <w:highlight w:val="none"/>
        </w:rPr>
      </w:pPr>
      <w:r>
        <w:rPr>
          <w:rFonts w:ascii="宋体" w:hAnsi="宋体" w:cs="宋体"/>
          <w:color w:val="auto"/>
          <w:highlight w:val="none"/>
        </w:rPr>
      </w:r>
      <w:r/>
    </w:p>
    <w:sectPr>
      <w:headerReference w:type="default" r:id="rId10"/>
      <w:footerReference w:type="default" r:id="rId13"/>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Symbol">
    <w:panose1 w:val="05050102010706020507"/>
  </w:font>
  <w:font w:name="Calibri Light">
    <w:panose1 w:val="020F0302020204030204"/>
  </w:font>
  <w:font w:name="华文细黑">
    <w:panose1 w:val="02010600040101010101"/>
  </w:font>
  <w:font w:name="Tahoma">
    <w:panose1 w:val="020B0604030504040204"/>
  </w:font>
  <w:font w:name="Wingdings">
    <w:panose1 w:val="05000000000000000000"/>
  </w:font>
  <w:font w:name="helvetica neue">
    <w:panose1 w:val="020B0503020202020204"/>
  </w:font>
  <w:font w:name="Calibri">
    <w:panose1 w:val="020F0502020204030204"/>
  </w:font>
  <w:font w:name="楷体_GB2312">
    <w:panose1 w:val="02010609060101010101"/>
  </w:font>
  <w:font w:name="Courier New">
    <w:panose1 w:val="02070309020205020404"/>
  </w:font>
  <w:font w:name="Cambria">
    <w:panose1 w:val="02040503050406030204"/>
  </w:font>
  <w:font w:name="仿宋_GB2312">
    <w:panose1 w:val="02010609060101010101"/>
  </w:font>
  <w:font w:name="Impact">
    <w:panose1 w:val="020B0806030902050204"/>
  </w:font>
  <w:font w:name="黑体">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pStyle w:val="81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0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0"/>
  </w:num>
  <w:num w:numId="5">
    <w:abstractNumId w:val="4"/>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5">
    <w:name w:val="Plain Table 1"/>
    <w:basedOn w:val="8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8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8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2"/>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3"/>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8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5 Dark"/>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6 Colorful"/>
    <w:basedOn w:val="8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7 Colorful"/>
    <w:basedOn w:val="8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List Table 1 Light"/>
    <w:basedOn w:val="8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2"/>
    <w:basedOn w:val="8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3"/>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5 Dark"/>
    <w:basedOn w:val="8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7 Colorful"/>
    <w:basedOn w:val="8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4">
    <w:name w:val="Endnote Text Char"/>
    <w:link w:val="828"/>
    <w:uiPriority w:val="99"/>
    <w:rPr>
      <w:sz w:val="20"/>
    </w:rPr>
  </w:style>
  <w:style w:type="paragraph" w:styleId="795">
    <w:name w:val="TOC Heading"/>
    <w:uiPriority w:val="39"/>
    <w:unhideWhenUsed/>
  </w:style>
  <w:style w:type="paragraph" w:styleId="7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7">
    <w:name w:val="Heading 1"/>
    <w:basedOn w:val="796"/>
    <w:next w:val="796"/>
    <w:link w:val="1004"/>
    <w:uiPriority w:val="0"/>
    <w:qFormat/>
    <w:pPr>
      <w:jc w:val="center"/>
      <w:keepLines/>
      <w:keepNext/>
      <w:spacing w:before="340" w:after="330" w:line="576" w:lineRule="auto"/>
      <w:outlineLvl w:val="0"/>
    </w:pPr>
    <w:rPr>
      <w:b/>
      <w:bCs/>
      <w:sz w:val="44"/>
      <w:szCs w:val="44"/>
    </w:rPr>
  </w:style>
  <w:style w:type="paragraph" w:styleId="798">
    <w:name w:val="Heading 2"/>
    <w:basedOn w:val="796"/>
    <w:next w:val="796"/>
    <w:link w:val="1005"/>
    <w:uiPriority w:val="0"/>
    <w:qFormat/>
    <w:pPr>
      <w:keepLines/>
      <w:keepNext/>
      <w:spacing w:before="260" w:after="260" w:line="415" w:lineRule="auto"/>
      <w:outlineLvl w:val="1"/>
    </w:pPr>
    <w:rPr>
      <w:rFonts w:ascii="Arial" w:hAnsi="Arial" w:eastAsia="黑体"/>
      <w:b/>
      <w:bCs/>
      <w:sz w:val="32"/>
      <w:szCs w:val="32"/>
    </w:rPr>
  </w:style>
  <w:style w:type="paragraph" w:styleId="799">
    <w:name w:val="Heading 3"/>
    <w:basedOn w:val="796"/>
    <w:next w:val="796"/>
    <w:link w:val="1006"/>
    <w:uiPriority w:val="99"/>
    <w:qFormat/>
    <w:pPr>
      <w:ind w:firstLine="137"/>
      <w:keepLines/>
      <w:keepNext/>
      <w:spacing w:before="20" w:after="20" w:line="415" w:lineRule="auto"/>
      <w:outlineLvl w:val="2"/>
    </w:pPr>
    <w:rPr>
      <w:rFonts w:hAnsi="黑体" w:eastAsia="黑体"/>
      <w:sz w:val="24"/>
      <w:szCs w:val="20"/>
    </w:rPr>
  </w:style>
  <w:style w:type="paragraph" w:styleId="800">
    <w:name w:val="Heading 4"/>
    <w:basedOn w:val="796"/>
    <w:next w:val="796"/>
    <w:link w:val="1007"/>
    <w:uiPriority w:val="99"/>
    <w:qFormat/>
    <w:pPr>
      <w:keepLines/>
      <w:keepNext/>
      <w:spacing w:before="280" w:after="290" w:line="374" w:lineRule="auto"/>
      <w:outlineLvl w:val="3"/>
    </w:pPr>
    <w:rPr>
      <w:rFonts w:hint="eastAsia" w:ascii="Cambria" w:hAnsi="Cambria"/>
      <w:b/>
      <w:sz w:val="28"/>
      <w:szCs w:val="20"/>
    </w:rPr>
  </w:style>
  <w:style w:type="paragraph" w:styleId="801">
    <w:name w:val="Heading 5"/>
    <w:basedOn w:val="796"/>
    <w:next w:val="796"/>
    <w:link w:val="1008"/>
    <w:uiPriority w:val="0"/>
    <w:qFormat/>
    <w:pPr>
      <w:keepLines/>
      <w:keepNext/>
      <w:spacing w:before="280" w:after="290" w:line="376" w:lineRule="auto"/>
      <w:outlineLvl w:val="4"/>
    </w:pPr>
    <w:rPr>
      <w:b/>
      <w:bCs/>
      <w:sz w:val="28"/>
      <w:szCs w:val="28"/>
    </w:rPr>
  </w:style>
  <w:style w:type="paragraph" w:styleId="802">
    <w:name w:val="Heading 6"/>
    <w:basedOn w:val="796"/>
    <w:next w:val="796"/>
    <w:link w:val="1009"/>
    <w:uiPriority w:val="0"/>
    <w:qFormat/>
    <w:pPr>
      <w:ind w:left="1152" w:hanging="1152"/>
      <w:jc w:val="left"/>
      <w:keepLines/>
      <w:keepNext/>
      <w:spacing w:before="240" w:after="64" w:line="319" w:lineRule="auto"/>
      <w:widowControl/>
      <w:tabs>
        <w:tab w:val="left" w:pos="1440" w:leader="none"/>
      </w:tabs>
      <w:outlineLvl w:val="5"/>
    </w:pPr>
    <w:rPr>
      <w:rFonts w:ascii="Arial" w:hAnsi="Arial" w:eastAsia="黑体"/>
      <w:b/>
      <w:bCs/>
      <w:sz w:val="24"/>
    </w:rPr>
  </w:style>
  <w:style w:type="paragraph" w:styleId="803">
    <w:name w:val="Heading 7"/>
    <w:basedOn w:val="796"/>
    <w:next w:val="796"/>
    <w:link w:val="1010"/>
    <w:uiPriority w:val="0"/>
    <w:qFormat/>
    <w:pPr>
      <w:ind w:left="1296" w:hanging="1296"/>
      <w:jc w:val="left"/>
      <w:keepLines/>
      <w:keepNext/>
      <w:spacing w:before="240" w:after="64" w:line="319" w:lineRule="auto"/>
      <w:widowControl/>
      <w:tabs>
        <w:tab w:val="left" w:pos="2520" w:leader="none"/>
      </w:tabs>
      <w:outlineLvl w:val="6"/>
    </w:pPr>
    <w:rPr>
      <w:b/>
      <w:bCs/>
      <w:sz w:val="24"/>
    </w:rPr>
  </w:style>
  <w:style w:type="paragraph" w:styleId="804">
    <w:name w:val="Heading 8"/>
    <w:basedOn w:val="796"/>
    <w:next w:val="796"/>
    <w:link w:val="1011"/>
    <w:uiPriority w:val="0"/>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805">
    <w:name w:val="Heading 9"/>
    <w:basedOn w:val="796"/>
    <w:next w:val="796"/>
    <w:link w:val="1012"/>
    <w:uiPriority w:val="0"/>
    <w:qFormat/>
    <w:pPr>
      <w:ind w:left="1584" w:hanging="1584"/>
      <w:jc w:val="left"/>
      <w:keepLines/>
      <w:keepNext/>
      <w:spacing w:before="240" w:after="64" w:line="319" w:lineRule="auto"/>
      <w:widowControl/>
      <w:tabs>
        <w:tab w:val="left" w:pos="1584" w:leader="none"/>
      </w:tabs>
      <w:outlineLvl w:val="8"/>
    </w:pPr>
    <w:rPr>
      <w:rFonts w:ascii="Arial" w:hAnsi="Arial" w:eastAsia="黑体"/>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toc 7"/>
    <w:basedOn w:val="796"/>
    <w:next w:val="796"/>
    <w:uiPriority w:val="39"/>
    <w:qFormat/>
    <w:pPr>
      <w:ind w:left="2520"/>
    </w:pPr>
  </w:style>
  <w:style w:type="paragraph" w:styleId="809">
    <w:name w:val="List Number"/>
    <w:basedOn w:val="796"/>
    <w:uiPriority w:val="0"/>
    <w:qFormat/>
    <w:pPr>
      <w:numPr>
        <w:ilvl w:val="0"/>
        <w:numId w:val="1"/>
      </w:numPr>
      <w:ind w:left="454" w:hanging="284"/>
      <w:jc w:val="left"/>
      <w:spacing w:after="156"/>
      <w:widowControl/>
      <w:tabs>
        <w:tab w:val="left" w:pos="454" w:leader="none"/>
        <w:tab w:val="left" w:pos="720" w:leader="none"/>
      </w:tabs>
    </w:pPr>
    <w:rPr>
      <w:sz w:val="24"/>
      <w:szCs w:val="20"/>
    </w:rPr>
  </w:style>
  <w:style w:type="paragraph" w:styleId="810">
    <w:name w:val="Normal Indent"/>
    <w:basedOn w:val="796"/>
    <w:link w:val="1013"/>
    <w:uiPriority w:val="0"/>
    <w:qFormat/>
    <w:pPr>
      <w:ind w:firstLine="420"/>
    </w:pPr>
    <w:rPr>
      <w:b/>
      <w:sz w:val="24"/>
      <w:szCs w:val="20"/>
    </w:rPr>
  </w:style>
  <w:style w:type="paragraph" w:styleId="811">
    <w:name w:val="Caption"/>
    <w:basedOn w:val="796"/>
    <w:next w:val="796"/>
    <w:uiPriority w:val="0"/>
    <w:qFormat/>
    <w:rPr>
      <w:rFonts w:ascii="Cambria" w:hAnsi="Cambria" w:eastAsia="黑体"/>
      <w:sz w:val="20"/>
      <w:szCs w:val="20"/>
    </w:rPr>
  </w:style>
  <w:style w:type="paragraph" w:styleId="812">
    <w:name w:val="Document Map"/>
    <w:basedOn w:val="796"/>
    <w:link w:val="1014"/>
    <w:uiPriority w:val="0"/>
    <w:qFormat/>
    <w:pPr>
      <w:shd w:val="clear" w:color="auto" w:fill="000080"/>
    </w:pPr>
  </w:style>
  <w:style w:type="paragraph" w:styleId="813">
    <w:name w:val="annotation text"/>
    <w:basedOn w:val="796"/>
    <w:link w:val="1015"/>
    <w:uiPriority w:val="99"/>
    <w:unhideWhenUsed/>
    <w:qFormat/>
    <w:pPr>
      <w:jc w:val="left"/>
    </w:pPr>
    <w:rPr>
      <w:szCs w:val="20"/>
    </w:rPr>
  </w:style>
  <w:style w:type="paragraph" w:styleId="814">
    <w:name w:val="Body Text 3"/>
    <w:basedOn w:val="796"/>
    <w:link w:val="1016"/>
    <w:uiPriority w:val="0"/>
    <w:qFormat/>
    <w:rPr>
      <w:rFonts w:ascii="宋体"/>
      <w:sz w:val="24"/>
      <w:szCs w:val="20"/>
    </w:rPr>
  </w:style>
  <w:style w:type="paragraph" w:styleId="815">
    <w:name w:val="Body Text"/>
    <w:basedOn w:val="796"/>
    <w:next w:val="796"/>
    <w:link w:val="1017"/>
    <w:uiPriority w:val="0"/>
    <w:qFormat/>
    <w:pPr>
      <w:spacing w:after="120"/>
    </w:pPr>
  </w:style>
  <w:style w:type="paragraph" w:styleId="816">
    <w:name w:val="Body Text Indent"/>
    <w:basedOn w:val="796"/>
    <w:next w:val="817"/>
    <w:link w:val="1003"/>
    <w:uiPriority w:val="0"/>
    <w:qFormat/>
    <w:pPr>
      <w:ind w:firstLine="420"/>
      <w:spacing w:line="360" w:lineRule="auto"/>
    </w:pPr>
    <w:rPr>
      <w:rFonts w:ascii="宋体"/>
      <w:sz w:val="24"/>
      <w:szCs w:val="20"/>
    </w:rPr>
  </w:style>
  <w:style w:type="paragraph" w:styleId="817">
    <w:name w:val="envelope return"/>
    <w:basedOn w:val="796"/>
    <w:uiPriority w:val="0"/>
    <w:qFormat/>
    <w:rPr>
      <w:rFonts w:ascii="Arial" w:hAnsi="Arial"/>
    </w:rPr>
  </w:style>
  <w:style w:type="paragraph" w:styleId="818">
    <w:name w:val="List Number 3"/>
    <w:basedOn w:val="796"/>
    <w:uiPriority w:val="0"/>
    <w:qFormat/>
    <w:pPr>
      <w:numPr>
        <w:ilvl w:val="0"/>
        <w:numId w:val="2"/>
      </w:numPr>
      <w:tabs>
        <w:tab w:val="left" w:pos="1200" w:leader="none"/>
      </w:tabs>
    </w:pPr>
  </w:style>
  <w:style w:type="paragraph" w:styleId="819">
    <w:name w:val="List 2"/>
    <w:basedOn w:val="796"/>
    <w:uiPriority w:val="0"/>
    <w:qFormat/>
    <w:pPr>
      <w:ind w:left="100" w:hanging="200"/>
    </w:pPr>
    <w:rPr>
      <w:sz w:val="28"/>
    </w:rPr>
  </w:style>
  <w:style w:type="paragraph" w:styleId="820">
    <w:name w:val="Block Text"/>
    <w:basedOn w:val="796"/>
    <w:uiPriority w:val="0"/>
    <w:qFormat/>
    <w:pPr>
      <w:ind w:left="268" w:right="-24" w:firstLine="473"/>
      <w:jc w:val="left"/>
      <w:widowControl/>
    </w:pPr>
    <w:rPr>
      <w:rFonts w:ascii="宋体" w:hAnsi="宋体" w:cs="宋体"/>
      <w:bCs/>
    </w:rPr>
  </w:style>
  <w:style w:type="paragraph" w:styleId="821">
    <w:name w:val="index 4"/>
    <w:basedOn w:val="796"/>
    <w:next w:val="796"/>
    <w:uiPriority w:val="99"/>
    <w:unhideWhenUsed/>
    <w:qFormat/>
    <w:pPr>
      <w:ind w:left="600"/>
      <w:spacing w:before="100" w:beforeAutospacing="1" w:after="100" w:afterAutospacing="1"/>
    </w:pPr>
    <w:rPr>
      <w:rFonts w:ascii="宋体"/>
      <w:b/>
      <w:bCs/>
      <w:position w:val="-10"/>
      <w:sz w:val="24"/>
      <w:szCs w:val="22"/>
    </w:rPr>
  </w:style>
  <w:style w:type="paragraph" w:styleId="822">
    <w:name w:val="toc 5"/>
    <w:basedOn w:val="796"/>
    <w:next w:val="796"/>
    <w:uiPriority w:val="39"/>
    <w:qFormat/>
    <w:pPr>
      <w:ind w:left="1680"/>
    </w:pPr>
  </w:style>
  <w:style w:type="paragraph" w:styleId="823">
    <w:name w:val="toc 3"/>
    <w:basedOn w:val="796"/>
    <w:next w:val="796"/>
    <w:uiPriority w:val="39"/>
    <w:qFormat/>
    <w:pPr>
      <w:ind w:left="840"/>
      <w:jc w:val="left"/>
    </w:pPr>
  </w:style>
  <w:style w:type="paragraph" w:styleId="824">
    <w:name w:val="Plain Text"/>
    <w:basedOn w:val="796"/>
    <w:link w:val="1018"/>
    <w:uiPriority w:val="99"/>
    <w:qFormat/>
    <w:rPr>
      <w:rFonts w:ascii="宋体" w:hAnsi="Courier New"/>
      <w:sz w:val="28"/>
      <w:szCs w:val="20"/>
    </w:rPr>
  </w:style>
  <w:style w:type="paragraph" w:styleId="825">
    <w:name w:val="toc 8"/>
    <w:basedOn w:val="796"/>
    <w:next w:val="796"/>
    <w:uiPriority w:val="39"/>
    <w:qFormat/>
    <w:pPr>
      <w:ind w:left="2940"/>
    </w:pPr>
  </w:style>
  <w:style w:type="paragraph" w:styleId="826">
    <w:name w:val="Date"/>
    <w:basedOn w:val="796"/>
    <w:next w:val="796"/>
    <w:uiPriority w:val="0"/>
    <w:qFormat/>
    <w:pPr>
      <w:ind w:left="100"/>
    </w:pPr>
  </w:style>
  <w:style w:type="paragraph" w:styleId="827">
    <w:name w:val="Body Text Indent 2"/>
    <w:basedOn w:val="796"/>
    <w:link w:val="1019"/>
    <w:uiPriority w:val="0"/>
    <w:qFormat/>
    <w:pPr>
      <w:ind w:firstLine="525"/>
      <w:spacing w:line="420" w:lineRule="exact"/>
    </w:pPr>
    <w:rPr>
      <w:rFonts w:ascii="宋体"/>
      <w:szCs w:val="20"/>
    </w:rPr>
  </w:style>
  <w:style w:type="paragraph" w:styleId="828">
    <w:name w:val="endnote text"/>
    <w:basedOn w:val="796"/>
    <w:link w:val="1001"/>
    <w:uiPriority w:val="99"/>
    <w:semiHidden/>
    <w:unhideWhenUsed/>
    <w:qFormat/>
    <w:rPr>
      <w:sz w:val="20"/>
    </w:rPr>
  </w:style>
  <w:style w:type="paragraph" w:styleId="829">
    <w:name w:val="Balloon Text"/>
    <w:basedOn w:val="796"/>
    <w:link w:val="1020"/>
    <w:uiPriority w:val="99"/>
    <w:unhideWhenUsed/>
    <w:qFormat/>
    <w:rPr>
      <w:sz w:val="18"/>
      <w:szCs w:val="18"/>
    </w:rPr>
  </w:style>
  <w:style w:type="paragraph" w:styleId="830">
    <w:name w:val="Footer"/>
    <w:basedOn w:val="796"/>
    <w:link w:val="1021"/>
    <w:uiPriority w:val="99"/>
    <w:qFormat/>
    <w:pPr>
      <w:jc w:val="left"/>
      <w:tabs>
        <w:tab w:val="center" w:pos="4153" w:leader="none"/>
        <w:tab w:val="right" w:pos="8306" w:leader="none"/>
      </w:tabs>
    </w:pPr>
    <w:rPr>
      <w:sz w:val="18"/>
      <w:szCs w:val="20"/>
    </w:rPr>
  </w:style>
  <w:style w:type="paragraph" w:styleId="831">
    <w:name w:val="Header"/>
    <w:basedOn w:val="796"/>
    <w:link w:val="1022"/>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szCs w:val="20"/>
    </w:rPr>
  </w:style>
  <w:style w:type="paragraph" w:styleId="832">
    <w:name w:val="toc 1"/>
    <w:basedOn w:val="796"/>
    <w:next w:val="796"/>
    <w:uiPriority w:val="39"/>
    <w:qFormat/>
    <w:pPr>
      <w:jc w:val="left"/>
    </w:pPr>
  </w:style>
  <w:style w:type="paragraph" w:styleId="833">
    <w:name w:val="toc 4"/>
    <w:basedOn w:val="796"/>
    <w:next w:val="796"/>
    <w:uiPriority w:val="39"/>
    <w:qFormat/>
    <w:pPr>
      <w:ind w:left="1260"/>
    </w:pPr>
  </w:style>
  <w:style w:type="paragraph" w:styleId="834">
    <w:name w:val="Subtitle"/>
    <w:basedOn w:val="796"/>
    <w:next w:val="796"/>
    <w:link w:val="1023"/>
    <w:uiPriority w:val="11"/>
    <w:qFormat/>
    <w:pPr>
      <w:jc w:val="center"/>
      <w:spacing w:before="240" w:after="60" w:line="312" w:lineRule="auto"/>
      <w:outlineLvl w:val="1"/>
    </w:pPr>
    <w:rPr>
      <w:rFonts w:ascii="Cambria" w:hAnsi="Cambria"/>
      <w:b/>
      <w:bCs/>
      <w:sz w:val="32"/>
      <w:szCs w:val="32"/>
    </w:rPr>
  </w:style>
  <w:style w:type="paragraph" w:styleId="835">
    <w:name w:val="List"/>
    <w:basedOn w:val="796"/>
    <w:uiPriority w:val="0"/>
    <w:qFormat/>
    <w:pPr>
      <w:ind w:left="200" w:hanging="200"/>
    </w:pPr>
    <w:rPr>
      <w:sz w:val="28"/>
    </w:rPr>
  </w:style>
  <w:style w:type="paragraph" w:styleId="836">
    <w:name w:val="footnote text"/>
    <w:basedOn w:val="796"/>
    <w:link w:val="1024"/>
    <w:uiPriority w:val="0"/>
    <w:qFormat/>
    <w:rPr>
      <w:sz w:val="20"/>
      <w:szCs w:val="20"/>
    </w:rPr>
  </w:style>
  <w:style w:type="paragraph" w:styleId="837">
    <w:name w:val="toc 6"/>
    <w:basedOn w:val="796"/>
    <w:next w:val="796"/>
    <w:uiPriority w:val="39"/>
    <w:qFormat/>
    <w:pPr>
      <w:ind w:left="2100"/>
    </w:pPr>
  </w:style>
  <w:style w:type="paragraph" w:styleId="838">
    <w:name w:val="Body Text Indent 3"/>
    <w:basedOn w:val="796"/>
    <w:link w:val="1025"/>
    <w:uiPriority w:val="0"/>
    <w:qFormat/>
    <w:pPr>
      <w:ind w:left="420"/>
      <w:spacing w:after="120"/>
    </w:pPr>
    <w:rPr>
      <w:sz w:val="16"/>
      <w:szCs w:val="16"/>
    </w:rPr>
  </w:style>
  <w:style w:type="paragraph" w:styleId="839">
    <w:name w:val="table of figures"/>
    <w:basedOn w:val="796"/>
    <w:next w:val="796"/>
    <w:uiPriority w:val="0"/>
    <w:qFormat/>
    <w:pPr>
      <w:ind w:hanging="200"/>
    </w:pPr>
  </w:style>
  <w:style w:type="paragraph" w:styleId="840">
    <w:name w:val="toc 2"/>
    <w:basedOn w:val="796"/>
    <w:next w:val="796"/>
    <w:uiPriority w:val="39"/>
    <w:qFormat/>
    <w:pPr>
      <w:ind w:left="420"/>
      <w:jc w:val="left"/>
    </w:pPr>
  </w:style>
  <w:style w:type="paragraph" w:styleId="841">
    <w:name w:val="toc 9"/>
    <w:basedOn w:val="796"/>
    <w:next w:val="796"/>
    <w:uiPriority w:val="39"/>
    <w:qFormat/>
    <w:pPr>
      <w:ind w:left="3360"/>
    </w:pPr>
  </w:style>
  <w:style w:type="paragraph" w:styleId="842">
    <w:name w:val="Body Text 2"/>
    <w:basedOn w:val="796"/>
    <w:link w:val="1026"/>
    <w:uiPriority w:val="0"/>
    <w:qFormat/>
    <w:pPr>
      <w:jc w:val="left"/>
      <w:spacing w:before="50" w:after="156" w:line="400" w:lineRule="exact"/>
      <w:widowControl/>
    </w:pPr>
    <w:rPr>
      <w:rFonts w:ascii="宋体" w:hAnsi="宋体"/>
      <w:color w:val="000000"/>
      <w:sz w:val="24"/>
    </w:rPr>
  </w:style>
  <w:style w:type="paragraph" w:styleId="843">
    <w:name w:val="List Continue 2"/>
    <w:basedOn w:val="796"/>
    <w:uiPriority w:val="0"/>
    <w:qFormat/>
    <w:pPr>
      <w:ind w:left="840"/>
      <w:spacing w:after="120"/>
    </w:pPr>
  </w:style>
  <w:style w:type="paragraph" w:styleId="844">
    <w:name w:val="Normal (Web)"/>
    <w:basedOn w:val="796"/>
    <w:uiPriority w:val="0"/>
    <w:qFormat/>
    <w:pPr>
      <w:jc w:val="left"/>
      <w:spacing w:before="100" w:beforeAutospacing="1" w:after="100" w:afterAutospacing="1"/>
      <w:widowControl/>
    </w:pPr>
    <w:rPr>
      <w:rFonts w:ascii="宋体" w:hAnsi="宋体" w:cs="宋体"/>
      <w:sz w:val="24"/>
    </w:rPr>
  </w:style>
  <w:style w:type="paragraph" w:styleId="845">
    <w:name w:val="Title"/>
    <w:basedOn w:val="796"/>
    <w:link w:val="1027"/>
    <w:uiPriority w:val="0"/>
    <w:qFormat/>
    <w:pPr>
      <w:jc w:val="center"/>
      <w:spacing w:before="240" w:after="60" w:line="420" w:lineRule="atLeast"/>
      <w:outlineLvl w:val="0"/>
    </w:pPr>
    <w:rPr>
      <w:rFonts w:ascii="Arial" w:hAnsi="Arial"/>
      <w:b/>
      <w:sz w:val="32"/>
      <w:szCs w:val="20"/>
    </w:rPr>
  </w:style>
  <w:style w:type="paragraph" w:styleId="846">
    <w:name w:val="annotation subject"/>
    <w:basedOn w:val="813"/>
    <w:next w:val="813"/>
    <w:link w:val="1028"/>
    <w:uiPriority w:val="0"/>
    <w:qFormat/>
    <w:rPr>
      <w:b/>
      <w:bCs/>
      <w:szCs w:val="24"/>
    </w:rPr>
  </w:style>
  <w:style w:type="paragraph" w:styleId="847">
    <w:name w:val="Body Text First Indent"/>
    <w:basedOn w:val="815"/>
    <w:next w:val="796"/>
    <w:uiPriority w:val="99"/>
    <w:unhideWhenUsed/>
    <w:qFormat/>
    <w:pPr>
      <w:ind w:firstLine="420"/>
    </w:pPr>
  </w:style>
  <w:style w:type="paragraph" w:styleId="848">
    <w:name w:val="Body Text First Indent 2"/>
    <w:basedOn w:val="816"/>
    <w:next w:val="810"/>
    <w:uiPriority w:val="0"/>
    <w:qFormat/>
    <w:pPr>
      <w:ind w:left="420"/>
      <w:spacing w:after="120" w:line="240" w:lineRule="auto"/>
    </w:pPr>
    <w:rPr>
      <w:sz w:val="21"/>
    </w:rPr>
  </w:style>
  <w:style w:type="table" w:styleId="849">
    <w:name w:val="Table Grid"/>
    <w:basedOn w:val="807"/>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Strong"/>
    <w:uiPriority w:val="0"/>
    <w:qFormat/>
    <w:rPr>
      <w:b/>
      <w:bCs/>
    </w:rPr>
  </w:style>
  <w:style w:type="character" w:styleId="851">
    <w:name w:val="endnote reference"/>
    <w:basedOn w:val="806"/>
    <w:uiPriority w:val="99"/>
    <w:semiHidden/>
    <w:unhideWhenUsed/>
    <w:qFormat/>
    <w:rPr>
      <w:vertAlign w:val="superscript"/>
    </w:rPr>
  </w:style>
  <w:style w:type="character" w:styleId="852">
    <w:name w:val="page number"/>
    <w:uiPriority w:val="0"/>
    <w:qFormat/>
  </w:style>
  <w:style w:type="character" w:styleId="853">
    <w:name w:val="FollowedHyperlink"/>
    <w:uiPriority w:val="0"/>
    <w:qFormat/>
    <w:rPr>
      <w:color w:val="800080"/>
      <w:u w:val="none"/>
    </w:rPr>
  </w:style>
  <w:style w:type="character" w:styleId="854">
    <w:name w:val="Emphasis"/>
    <w:uiPriority w:val="20"/>
    <w:qFormat/>
    <w:rPr>
      <w:i/>
      <w:iCs/>
    </w:rPr>
  </w:style>
  <w:style w:type="character" w:styleId="855">
    <w:name w:val="Hyperlink"/>
    <w:uiPriority w:val="99"/>
    <w:qFormat/>
    <w:rPr>
      <w:color w:val="0000ff"/>
      <w:u w:val="none"/>
    </w:rPr>
  </w:style>
  <w:style w:type="character" w:styleId="856">
    <w:name w:val="annotation reference"/>
    <w:uiPriority w:val="0"/>
    <w:qFormat/>
    <w:rPr>
      <w:sz w:val="21"/>
      <w:szCs w:val="21"/>
    </w:rPr>
  </w:style>
  <w:style w:type="character" w:styleId="857">
    <w:name w:val="footnote reference"/>
    <w:uiPriority w:val="0"/>
    <w:qFormat/>
    <w:rPr>
      <w:vertAlign w:val="superscript"/>
    </w:rPr>
  </w:style>
  <w:style w:type="paragraph" w:styleId="858"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character" w:styleId="859" w:customStyle="1">
    <w:name w:val="Heading 1 Char"/>
    <w:basedOn w:val="806"/>
    <w:uiPriority w:val="9"/>
    <w:qFormat/>
    <w:rPr>
      <w:rFonts w:ascii="Arial" w:hAnsi="Arial" w:eastAsia="Arial" w:cs="Arial"/>
      <w:sz w:val="40"/>
      <w:szCs w:val="40"/>
    </w:rPr>
  </w:style>
  <w:style w:type="character" w:styleId="860" w:customStyle="1">
    <w:name w:val="Heading 2 Char"/>
    <w:basedOn w:val="806"/>
    <w:uiPriority w:val="9"/>
    <w:qFormat/>
    <w:rPr>
      <w:rFonts w:ascii="Arial" w:hAnsi="Arial" w:eastAsia="Arial" w:cs="Arial"/>
      <w:sz w:val="34"/>
    </w:rPr>
  </w:style>
  <w:style w:type="character" w:styleId="861" w:customStyle="1">
    <w:name w:val="Heading 3 Char"/>
    <w:basedOn w:val="806"/>
    <w:uiPriority w:val="9"/>
    <w:qFormat/>
    <w:rPr>
      <w:rFonts w:ascii="Arial" w:hAnsi="Arial" w:eastAsia="Arial" w:cs="Arial"/>
      <w:sz w:val="30"/>
      <w:szCs w:val="30"/>
    </w:rPr>
  </w:style>
  <w:style w:type="character" w:styleId="862" w:customStyle="1">
    <w:name w:val="Heading 4 Char"/>
    <w:basedOn w:val="806"/>
    <w:uiPriority w:val="9"/>
    <w:qFormat/>
    <w:rPr>
      <w:rFonts w:ascii="Arial" w:hAnsi="Arial" w:eastAsia="Arial" w:cs="Arial"/>
      <w:b/>
      <w:bCs/>
      <w:sz w:val="26"/>
      <w:szCs w:val="26"/>
    </w:rPr>
  </w:style>
  <w:style w:type="character" w:styleId="863" w:customStyle="1">
    <w:name w:val="Heading 5 Char"/>
    <w:basedOn w:val="806"/>
    <w:uiPriority w:val="9"/>
    <w:qFormat/>
    <w:rPr>
      <w:rFonts w:ascii="Arial" w:hAnsi="Arial" w:eastAsia="Arial" w:cs="Arial"/>
      <w:b/>
      <w:bCs/>
      <w:sz w:val="24"/>
      <w:szCs w:val="24"/>
    </w:rPr>
  </w:style>
  <w:style w:type="character" w:styleId="864" w:customStyle="1">
    <w:name w:val="Heading 6 Char"/>
    <w:basedOn w:val="806"/>
    <w:uiPriority w:val="9"/>
    <w:qFormat/>
    <w:rPr>
      <w:rFonts w:ascii="Arial" w:hAnsi="Arial" w:eastAsia="Arial" w:cs="Arial"/>
      <w:b/>
      <w:bCs/>
      <w:sz w:val="22"/>
      <w:szCs w:val="22"/>
    </w:rPr>
  </w:style>
  <w:style w:type="character" w:styleId="865" w:customStyle="1">
    <w:name w:val="Heading 7 Char"/>
    <w:basedOn w:val="806"/>
    <w:uiPriority w:val="9"/>
    <w:qFormat/>
    <w:rPr>
      <w:rFonts w:ascii="Arial" w:hAnsi="Arial" w:eastAsia="Arial" w:cs="Arial"/>
      <w:b/>
      <w:bCs/>
      <w:i/>
      <w:iCs/>
      <w:sz w:val="22"/>
      <w:szCs w:val="22"/>
    </w:rPr>
  </w:style>
  <w:style w:type="character" w:styleId="866" w:customStyle="1">
    <w:name w:val="Heading 8 Char"/>
    <w:basedOn w:val="806"/>
    <w:uiPriority w:val="9"/>
    <w:qFormat/>
    <w:rPr>
      <w:rFonts w:ascii="Arial" w:hAnsi="Arial" w:eastAsia="Arial" w:cs="Arial"/>
      <w:i/>
      <w:iCs/>
      <w:sz w:val="22"/>
      <w:szCs w:val="22"/>
    </w:rPr>
  </w:style>
  <w:style w:type="character" w:styleId="867" w:customStyle="1">
    <w:name w:val="Heading 9 Char"/>
    <w:basedOn w:val="806"/>
    <w:uiPriority w:val="9"/>
    <w:qFormat/>
    <w:rPr>
      <w:rFonts w:ascii="Arial" w:hAnsi="Arial" w:eastAsia="Arial" w:cs="Arial"/>
      <w:i/>
      <w:iCs/>
      <w:sz w:val="21"/>
      <w:szCs w:val="21"/>
    </w:rPr>
  </w:style>
  <w:style w:type="character" w:styleId="868" w:customStyle="1">
    <w:name w:val="Title Char"/>
    <w:basedOn w:val="806"/>
    <w:uiPriority w:val="10"/>
    <w:qFormat/>
    <w:rPr>
      <w:sz w:val="48"/>
      <w:szCs w:val="48"/>
    </w:rPr>
  </w:style>
  <w:style w:type="character" w:styleId="869" w:customStyle="1">
    <w:name w:val="Subtitle Char"/>
    <w:basedOn w:val="806"/>
    <w:uiPriority w:val="11"/>
    <w:qFormat/>
    <w:rPr>
      <w:sz w:val="24"/>
      <w:szCs w:val="24"/>
    </w:rPr>
  </w:style>
  <w:style w:type="character" w:styleId="870" w:customStyle="1">
    <w:name w:val="Quote Char"/>
    <w:uiPriority w:val="29"/>
    <w:qFormat/>
    <w:rPr>
      <w:i/>
    </w:rPr>
  </w:style>
  <w:style w:type="character" w:styleId="871" w:customStyle="1">
    <w:name w:val="Intense Quote Char"/>
    <w:uiPriority w:val="30"/>
    <w:qFormat/>
    <w:rPr>
      <w:i/>
    </w:rPr>
  </w:style>
  <w:style w:type="character" w:styleId="872" w:customStyle="1">
    <w:name w:val="Header Char"/>
    <w:basedOn w:val="806"/>
    <w:uiPriority w:val="99"/>
    <w:qFormat/>
  </w:style>
  <w:style w:type="character" w:styleId="873" w:customStyle="1">
    <w:name w:val="Footer Char"/>
    <w:basedOn w:val="806"/>
    <w:uiPriority w:val="99"/>
    <w:qFormat/>
  </w:style>
  <w:style w:type="character" w:styleId="874" w:customStyle="1">
    <w:name w:val="Caption Char"/>
    <w:uiPriority w:val="99"/>
    <w:qFormat/>
  </w:style>
  <w:style w:type="table" w:styleId="875" w:customStyle="1">
    <w:name w:val="Table Grid Light"/>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无格式表格 11"/>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21"/>
    <w:basedOn w:val="8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31"/>
    <w:basedOn w:val="8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无格式表格 41"/>
    <w:basedOn w:val="8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无格式表格 51"/>
    <w:basedOn w:val="8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网格表 1 浅色1"/>
    <w:basedOn w:val="8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8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8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8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8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8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8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网格表 2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8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8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8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8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80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80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网格表 3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8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8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8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8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80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80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网格表 41"/>
    <w:basedOn w:val="8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8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basedOn w:val="80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basedOn w:val="8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basedOn w:val="80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basedOn w:val="80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basedOn w:val="8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网格表 5 深色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网格表 6 彩色1"/>
    <w:basedOn w:val="8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basedOn w:val="8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8" w:customStyle="1">
    <w:name w:val="Grid Table 6 Colorful - Accent 2"/>
    <w:basedOn w:val="8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9" w:customStyle="1">
    <w:name w:val="Grid Table 6 Colorful - Accent 3"/>
    <w:basedOn w:val="80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0" w:customStyle="1">
    <w:name w:val="Grid Table 6 Colorful - Accent 4"/>
    <w:basedOn w:val="8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1" w:customStyle="1">
    <w:name w:val="Grid Table 6 Colorful - Accent 5"/>
    <w:basedOn w:val="8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6 Colorful - Accent 6"/>
    <w:basedOn w:val="80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网格表 7 彩色1"/>
    <w:basedOn w:val="8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8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8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8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8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8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8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清单表 1 浅色1"/>
    <w:basedOn w:val="80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80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80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80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80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80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80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清单表 21"/>
    <w:basedOn w:val="8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8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basedOn w:val="80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basedOn w:val="8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basedOn w:val="80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basedOn w:val="80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basedOn w:val="8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清单表 3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8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basedOn w:val="8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8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8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8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8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清单表 4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8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basedOn w:val="8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basedOn w:val="8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basedOn w:val="80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basedOn w:val="8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basedOn w:val="8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清单表 5 深色1"/>
    <w:basedOn w:val="8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basedOn w:val="8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80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8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8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8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8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清单表 6 彩色1"/>
    <w:basedOn w:val="80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basedOn w:val="80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7" w:customStyle="1">
    <w:name w:val="List Table 6 Colorful - Accent 2"/>
    <w:basedOn w:val="80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8" w:customStyle="1">
    <w:name w:val="List Table 6 Colorful - Accent 3"/>
    <w:basedOn w:val="80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9" w:customStyle="1">
    <w:name w:val="List Table 6 Colorful - Accent 4"/>
    <w:basedOn w:val="80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0" w:customStyle="1">
    <w:name w:val="List Table 6 Colorful - Accent 5"/>
    <w:basedOn w:val="80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1" w:customStyle="1">
    <w:name w:val="List Table 6 Colorful - Accent 6"/>
    <w:basedOn w:val="80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2" w:customStyle="1">
    <w:name w:val="清单表 7 彩色1"/>
    <w:basedOn w:val="80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80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80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80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80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80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80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Lined - Accent 2"/>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Lined - Accent 3"/>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Lined - Accent 4"/>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basedOn w:val="8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80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Bordered &amp; Lined - Accent 2"/>
    <w:basedOn w:val="80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Bordered &amp; Lined - Accent 3"/>
    <w:basedOn w:val="80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Bordered &amp; Lined - Accent 4"/>
    <w:basedOn w:val="80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basedOn w:val="8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basedOn w:val="8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basedOn w:val="8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8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basedOn w:val="8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6" w:customStyle="1">
    <w:name w:val="Bordered - Accent 3"/>
    <w:basedOn w:val="8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7" w:customStyle="1">
    <w:name w:val="Bordered - Accent 4"/>
    <w:basedOn w:val="8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basedOn w:val="8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basedOn w:val="8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Footnote Text Char"/>
    <w:uiPriority w:val="99"/>
    <w:qFormat/>
    <w:rPr>
      <w:sz w:val="18"/>
    </w:rPr>
  </w:style>
  <w:style w:type="character" w:styleId="1001" w:customStyle="1">
    <w:name w:val="尾注文本 Char"/>
    <w:link w:val="828"/>
    <w:uiPriority w:val="99"/>
    <w:qFormat/>
    <w:rPr>
      <w:sz w:val="20"/>
    </w:rPr>
  </w:style>
  <w:style w:type="paragraph" w:styleId="1002" w:customStyle="1">
    <w:name w:val="TOC 标题1"/>
    <w:uiPriority w:val="39"/>
    <w:unhideWhenUsed/>
    <w:qFormat/>
    <w:rPr>
      <w:rFonts w:ascii="Times New Roman" w:hAnsi="Times New Roman" w:eastAsia="宋体" w:cs="Times New Roman"/>
      <w:lang w:val="en-US" w:eastAsia="zh-CN" w:bidi="ar-SA"/>
    </w:rPr>
  </w:style>
  <w:style w:type="character" w:styleId="1003" w:customStyle="1">
    <w:name w:val="正文文本缩进 Char"/>
    <w:link w:val="816"/>
    <w:uiPriority w:val="0"/>
    <w:qFormat/>
    <w:rPr>
      <w:rFonts w:ascii="宋体"/>
      <w:sz w:val="24"/>
    </w:rPr>
  </w:style>
  <w:style w:type="character" w:styleId="1004" w:customStyle="1">
    <w:name w:val="标题 1 Char"/>
    <w:link w:val="797"/>
    <w:uiPriority w:val="0"/>
    <w:qFormat/>
    <w:rPr>
      <w:b/>
      <w:bCs/>
      <w:sz w:val="44"/>
      <w:szCs w:val="44"/>
    </w:rPr>
  </w:style>
  <w:style w:type="character" w:styleId="1005" w:customStyle="1">
    <w:name w:val="标题 2 Char"/>
    <w:link w:val="798"/>
    <w:uiPriority w:val="0"/>
    <w:qFormat/>
    <w:rPr>
      <w:rFonts w:ascii="Arial" w:hAnsi="Arial" w:eastAsia="黑体"/>
      <w:b/>
      <w:bCs/>
      <w:sz w:val="32"/>
      <w:szCs w:val="32"/>
    </w:rPr>
  </w:style>
  <w:style w:type="character" w:styleId="1006" w:customStyle="1">
    <w:name w:val="标题 3 Char1"/>
    <w:link w:val="799"/>
    <w:uiPriority w:val="99"/>
    <w:unhideWhenUsed/>
    <w:qFormat/>
    <w:rPr>
      <w:rFonts w:hint="default" w:hAnsi="黑体" w:eastAsia="黑体"/>
      <w:sz w:val="24"/>
    </w:rPr>
  </w:style>
  <w:style w:type="character" w:styleId="1007" w:customStyle="1">
    <w:name w:val="标题 4 Char1"/>
    <w:link w:val="800"/>
    <w:uiPriority w:val="99"/>
    <w:unhideWhenUsed/>
    <w:qFormat/>
    <w:rPr>
      <w:rFonts w:hint="eastAsia" w:ascii="Cambria" w:hAnsi="Cambria" w:eastAsia="宋体"/>
      <w:b/>
      <w:sz w:val="28"/>
    </w:rPr>
  </w:style>
  <w:style w:type="character" w:styleId="1008" w:customStyle="1">
    <w:name w:val="标题 5 Char"/>
    <w:link w:val="801"/>
    <w:uiPriority w:val="0"/>
    <w:qFormat/>
    <w:rPr>
      <w:b/>
      <w:bCs/>
      <w:sz w:val="28"/>
      <w:szCs w:val="28"/>
    </w:rPr>
  </w:style>
  <w:style w:type="character" w:styleId="1009" w:customStyle="1">
    <w:name w:val="标题 6 Char"/>
    <w:link w:val="802"/>
    <w:uiPriority w:val="0"/>
    <w:qFormat/>
    <w:rPr>
      <w:rFonts w:ascii="Arial" w:hAnsi="Arial" w:eastAsia="黑体"/>
      <w:b/>
      <w:bCs/>
      <w:sz w:val="24"/>
      <w:szCs w:val="24"/>
    </w:rPr>
  </w:style>
  <w:style w:type="character" w:styleId="1010" w:customStyle="1">
    <w:name w:val="标题 7 Char"/>
    <w:link w:val="803"/>
    <w:uiPriority w:val="0"/>
    <w:qFormat/>
    <w:rPr>
      <w:b/>
      <w:bCs/>
      <w:sz w:val="24"/>
      <w:szCs w:val="24"/>
    </w:rPr>
  </w:style>
  <w:style w:type="character" w:styleId="1011" w:customStyle="1">
    <w:name w:val="标题 8 Char"/>
    <w:link w:val="804"/>
    <w:uiPriority w:val="0"/>
    <w:qFormat/>
    <w:rPr>
      <w:rFonts w:ascii="Arial" w:hAnsi="Arial" w:eastAsia="黑体"/>
      <w:sz w:val="24"/>
      <w:szCs w:val="24"/>
    </w:rPr>
  </w:style>
  <w:style w:type="character" w:styleId="1012" w:customStyle="1">
    <w:name w:val="标题 9 Char"/>
    <w:link w:val="805"/>
    <w:uiPriority w:val="0"/>
    <w:qFormat/>
    <w:rPr>
      <w:rFonts w:ascii="Arial" w:hAnsi="Arial" w:eastAsia="黑体"/>
      <w:sz w:val="21"/>
      <w:szCs w:val="21"/>
    </w:rPr>
  </w:style>
  <w:style w:type="character" w:styleId="1013" w:customStyle="1">
    <w:name w:val="正文缩进 Char"/>
    <w:link w:val="810"/>
    <w:uiPriority w:val="0"/>
    <w:qFormat/>
    <w:rPr>
      <w:b/>
      <w:sz w:val="24"/>
    </w:rPr>
  </w:style>
  <w:style w:type="character" w:styleId="1014" w:customStyle="1">
    <w:name w:val="文档结构图 Char"/>
    <w:link w:val="812"/>
    <w:uiPriority w:val="0"/>
    <w:qFormat/>
    <w:rPr>
      <w:sz w:val="21"/>
      <w:szCs w:val="24"/>
      <w:shd w:val="clear" w:color="auto" w:fill="000080"/>
    </w:rPr>
  </w:style>
  <w:style w:type="character" w:styleId="1015" w:customStyle="1">
    <w:name w:val="批注文字 Char1"/>
    <w:link w:val="813"/>
    <w:uiPriority w:val="99"/>
    <w:semiHidden/>
    <w:qFormat/>
    <w:rPr>
      <w:sz w:val="21"/>
    </w:rPr>
  </w:style>
  <w:style w:type="character" w:styleId="1016" w:customStyle="1">
    <w:name w:val="正文文本 3 Char"/>
    <w:link w:val="814"/>
    <w:uiPriority w:val="0"/>
    <w:qFormat/>
    <w:rPr>
      <w:rFonts w:ascii="宋体"/>
      <w:sz w:val="24"/>
    </w:rPr>
  </w:style>
  <w:style w:type="character" w:styleId="1017" w:customStyle="1">
    <w:name w:val="正文文本 Char"/>
    <w:link w:val="815"/>
    <w:uiPriority w:val="0"/>
    <w:qFormat/>
    <w:rPr>
      <w:sz w:val="21"/>
      <w:szCs w:val="24"/>
    </w:rPr>
  </w:style>
  <w:style w:type="character" w:styleId="1018" w:customStyle="1">
    <w:name w:val="纯文本 Char"/>
    <w:link w:val="824"/>
    <w:uiPriority w:val="99"/>
    <w:qFormat/>
    <w:rPr>
      <w:rFonts w:ascii="宋体" w:hAnsi="Courier New"/>
      <w:sz w:val="28"/>
    </w:rPr>
  </w:style>
  <w:style w:type="character" w:styleId="1019" w:customStyle="1">
    <w:name w:val="正文文本缩进 2 Char"/>
    <w:link w:val="827"/>
    <w:uiPriority w:val="0"/>
    <w:qFormat/>
    <w:rPr>
      <w:rFonts w:ascii="宋体"/>
      <w:sz w:val="21"/>
    </w:rPr>
  </w:style>
  <w:style w:type="character" w:styleId="1020" w:customStyle="1">
    <w:name w:val="批注框文本 Char"/>
    <w:link w:val="829"/>
    <w:uiPriority w:val="99"/>
    <w:semiHidden/>
    <w:qFormat/>
    <w:rPr>
      <w:sz w:val="18"/>
      <w:szCs w:val="18"/>
    </w:rPr>
  </w:style>
  <w:style w:type="character" w:styleId="1021" w:customStyle="1">
    <w:name w:val="页脚 Char1"/>
    <w:link w:val="830"/>
    <w:uiPriority w:val="99"/>
    <w:unhideWhenUsed/>
    <w:qFormat/>
    <w:rPr>
      <w:rFonts w:hint="default" w:eastAsia="宋体"/>
      <w:sz w:val="18"/>
    </w:rPr>
  </w:style>
  <w:style w:type="character" w:styleId="1022" w:customStyle="1">
    <w:name w:val="页眉 Char1"/>
    <w:link w:val="831"/>
    <w:uiPriority w:val="99"/>
    <w:unhideWhenUsed/>
    <w:qFormat/>
    <w:rPr>
      <w:rFonts w:hint="default" w:eastAsia="宋体"/>
      <w:sz w:val="18"/>
      <w:lang w:val="en-US" w:eastAsia="zh-CN"/>
    </w:rPr>
  </w:style>
  <w:style w:type="character" w:styleId="1023" w:customStyle="1">
    <w:name w:val="副标题 Char"/>
    <w:link w:val="834"/>
    <w:uiPriority w:val="11"/>
    <w:qFormat/>
    <w:rPr>
      <w:rFonts w:ascii="Cambria" w:hAnsi="Cambria" w:cs="Times New Roman"/>
      <w:b/>
      <w:bCs/>
      <w:sz w:val="32"/>
      <w:szCs w:val="32"/>
    </w:rPr>
  </w:style>
  <w:style w:type="character" w:styleId="1024" w:customStyle="1">
    <w:name w:val="脚注文本 Char"/>
    <w:link w:val="836"/>
    <w:uiPriority w:val="0"/>
    <w:qFormat/>
  </w:style>
  <w:style w:type="character" w:styleId="1025" w:customStyle="1">
    <w:name w:val="正文文本缩进 3 Char"/>
    <w:link w:val="838"/>
    <w:uiPriority w:val="0"/>
    <w:qFormat/>
    <w:rPr>
      <w:sz w:val="16"/>
      <w:szCs w:val="16"/>
    </w:rPr>
  </w:style>
  <w:style w:type="character" w:styleId="1026" w:customStyle="1">
    <w:name w:val="正文文本 2 Char"/>
    <w:link w:val="842"/>
    <w:uiPriority w:val="0"/>
    <w:qFormat/>
    <w:rPr>
      <w:rFonts w:ascii="宋体" w:hAnsi="宋体"/>
      <w:color w:val="000000"/>
      <w:sz w:val="24"/>
      <w:szCs w:val="24"/>
    </w:rPr>
  </w:style>
  <w:style w:type="character" w:styleId="1027" w:customStyle="1">
    <w:name w:val="标题 Char"/>
    <w:link w:val="845"/>
    <w:uiPriority w:val="0"/>
    <w:qFormat/>
    <w:rPr>
      <w:rFonts w:ascii="Arial" w:hAnsi="Arial"/>
      <w:b/>
      <w:sz w:val="32"/>
    </w:rPr>
  </w:style>
  <w:style w:type="character" w:styleId="1028" w:customStyle="1">
    <w:name w:val="批注主题 Char"/>
    <w:link w:val="846"/>
    <w:uiPriority w:val="0"/>
    <w:qFormat/>
    <w:rPr>
      <w:b/>
      <w:bCs/>
      <w:sz w:val="21"/>
      <w:szCs w:val="24"/>
    </w:rPr>
  </w:style>
  <w:style w:type="paragraph" w:styleId="1029" w:customStyle="1">
    <w:name w:val="一级条标题"/>
    <w:basedOn w:val="1030"/>
    <w:next w:val="10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0" w:customStyle="1">
    <w:name w:val="章标题"/>
    <w:next w:val="79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31" w:customStyle="1">
    <w:name w:val="段"/>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32" w:customStyle="1">
    <w:name w:val="正文 A"/>
    <w:next w:val="1031"/>
    <w:uiPriority w:val="99"/>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1"/>
      <w:szCs w:val="21"/>
      <w:lang w:val="en-US" w:eastAsia="zh-CN" w:bidi="ar-SA"/>
    </w:rPr>
  </w:style>
  <w:style w:type="character" w:styleId="1033" w:customStyle="1">
    <w:name w:val="标题 3 Char"/>
    <w:uiPriority w:val="0"/>
    <w:qFormat/>
    <w:rPr>
      <w:rFonts w:ascii="黑体" w:hAnsi="宋体" w:eastAsia="黑体"/>
      <w:bCs/>
      <w:sz w:val="28"/>
      <w:szCs w:val="28"/>
    </w:rPr>
  </w:style>
  <w:style w:type="character" w:styleId="1034" w:customStyle="1">
    <w:name w:val="font01"/>
    <w:basedOn w:val="806"/>
    <w:uiPriority w:val="0"/>
    <w:qFormat/>
    <w:rPr>
      <w:rFonts w:hint="eastAsia" w:ascii="宋体" w:hAnsi="宋体" w:eastAsia="宋体" w:cs="宋体"/>
      <w:color w:val="000000"/>
      <w:sz w:val="20"/>
      <w:szCs w:val="20"/>
      <w:u w:val="none"/>
    </w:rPr>
  </w:style>
  <w:style w:type="character" w:styleId="1035" w:customStyle="1">
    <w:name w:val="_Style 91"/>
    <w:uiPriority w:val="31"/>
    <w:qFormat/>
    <w:rPr>
      <w:smallCaps/>
      <w:color w:val="c0504d"/>
      <w:u w:val="single"/>
    </w:rPr>
  </w:style>
  <w:style w:type="character" w:styleId="1036" w:customStyle="1">
    <w:name w:val="标题 1 Char_1"/>
    <w:link w:val="1037"/>
    <w:uiPriority w:val="9"/>
    <w:qFormat/>
    <w:rPr>
      <w:b/>
      <w:bCs/>
      <w:sz w:val="44"/>
      <w:szCs w:val="44"/>
    </w:rPr>
  </w:style>
  <w:style w:type="paragraph" w:styleId="1037" w:customStyle="1">
    <w:name w:val="标题 1_1_0"/>
    <w:basedOn w:val="796"/>
    <w:next w:val="796"/>
    <w:link w:val="1036"/>
    <w:uiPriority w:val="9"/>
    <w:qFormat/>
    <w:pPr>
      <w:keepLines/>
      <w:keepNext/>
      <w:spacing w:before="340" w:after="330" w:line="578" w:lineRule="auto"/>
      <w:outlineLvl w:val="0"/>
    </w:pPr>
    <w:rPr>
      <w:b/>
      <w:bCs/>
      <w:sz w:val="44"/>
      <w:szCs w:val="44"/>
    </w:rPr>
  </w:style>
  <w:style w:type="character" w:styleId="1038" w:customStyle="1">
    <w:name w:val="正文文本 (4) + 5.5 pt"/>
    <w:uiPriority w:val="0"/>
    <w:qFormat/>
    <w:rPr>
      <w:b/>
      <w:bCs/>
      <w:spacing w:val="0"/>
      <w:sz w:val="11"/>
      <w:szCs w:val="11"/>
      <w:shd w:val="clear" w:color="auto" w:fill="ffffff"/>
      <w:lang w:eastAsia="en-US"/>
    </w:rPr>
  </w:style>
  <w:style w:type="character" w:styleId="1039" w:customStyle="1">
    <w:name w:val="_Style 95"/>
    <w:uiPriority w:val="21"/>
    <w:qFormat/>
    <w:rPr>
      <w:b/>
      <w:bCs/>
      <w:i/>
      <w:iCs/>
      <w:color w:val="4f81bd"/>
    </w:rPr>
  </w:style>
  <w:style w:type="character" w:styleId="1040" w:customStyle="1">
    <w:name w:val="正文文本 (3)_"/>
    <w:link w:val="1041"/>
    <w:uiPriority w:val="0"/>
    <w:qFormat/>
    <w:rPr>
      <w:sz w:val="11"/>
      <w:szCs w:val="11"/>
      <w:shd w:val="clear" w:color="auto" w:fill="ffffff"/>
    </w:rPr>
  </w:style>
  <w:style w:type="paragraph" w:styleId="1041" w:customStyle="1">
    <w:name w:val="正文文本 (3)"/>
    <w:basedOn w:val="796"/>
    <w:link w:val="1040"/>
    <w:uiPriority w:val="0"/>
    <w:qFormat/>
    <w:pPr>
      <w:spacing w:line="240" w:lineRule="atLeast"/>
      <w:shd w:val="clear" w:color="auto" w:fill="ffffff"/>
    </w:pPr>
    <w:rPr>
      <w:sz w:val="11"/>
      <w:szCs w:val="11"/>
    </w:rPr>
  </w:style>
  <w:style w:type="character" w:styleId="1042" w:customStyle="1">
    <w:name w:val="样式 Char"/>
    <w:link w:val="1043"/>
    <w:uiPriority w:val="0"/>
    <w:qFormat/>
    <w:rPr>
      <w:rFonts w:ascii="宋体" w:hAnsi="宋体" w:cs="宋体"/>
      <w:sz w:val="24"/>
      <w:szCs w:val="24"/>
      <w:lang w:val="en-US" w:eastAsia="zh-CN" w:bidi="ar-SA"/>
    </w:rPr>
  </w:style>
  <w:style w:type="paragraph" w:styleId="1043" w:customStyle="1">
    <w:name w:val="样式"/>
    <w:link w:val="1042"/>
    <w:uiPriority w:val="0"/>
    <w:qFormat/>
    <w:pPr>
      <w:widowControl w:val="off"/>
    </w:pPr>
    <w:rPr>
      <w:rFonts w:ascii="宋体" w:hAnsi="宋体" w:eastAsia="宋体" w:cs="宋体"/>
      <w:sz w:val="24"/>
      <w:szCs w:val="24"/>
      <w:lang w:val="en-US" w:eastAsia="zh-CN" w:bidi="ar-SA"/>
    </w:rPr>
  </w:style>
  <w:style w:type="character" w:styleId="1044" w:customStyle="1">
    <w:name w:val="Char Char7"/>
    <w:uiPriority w:val="0"/>
    <w:qFormat/>
    <w:rPr>
      <w:rFonts w:ascii="Arial" w:hAnsi="Arial" w:eastAsia="黑体"/>
      <w:b/>
      <w:bCs/>
      <w:sz w:val="32"/>
      <w:szCs w:val="32"/>
      <w:lang w:val="en-US" w:eastAsia="zh-CN" w:bidi="ar-SA"/>
    </w:rPr>
  </w:style>
  <w:style w:type="character" w:styleId="1045" w:customStyle="1">
    <w:name w:val="无间隔 Char"/>
    <w:link w:val="1046"/>
    <w:uiPriority w:val="1"/>
    <w:qFormat/>
    <w:rPr>
      <w:sz w:val="21"/>
      <w:szCs w:val="24"/>
      <w:lang w:val="en-US" w:eastAsia="zh-CN" w:bidi="ar-SA"/>
    </w:rPr>
  </w:style>
  <w:style w:type="paragraph" w:styleId="1046">
    <w:name w:val="No Spacing"/>
    <w:link w:val="1045"/>
    <w:uiPriority w:val="1"/>
    <w:qFormat/>
    <w:pPr>
      <w:jc w:val="both"/>
      <w:widowControl w:val="off"/>
    </w:pPr>
    <w:rPr>
      <w:rFonts w:ascii="Times New Roman" w:hAnsi="Times New Roman" w:eastAsia="宋体" w:cs="Times New Roman"/>
      <w:sz w:val="21"/>
      <w:szCs w:val="24"/>
      <w:lang w:val="en-US" w:eastAsia="zh-CN" w:bidi="ar-SA"/>
    </w:rPr>
  </w:style>
  <w:style w:type="character" w:styleId="1047" w:customStyle="1">
    <w:name w:val="页眉 Char"/>
    <w:uiPriority w:val="0"/>
    <w:qFormat/>
    <w:rPr>
      <w:sz w:val="18"/>
    </w:rPr>
  </w:style>
  <w:style w:type="character" w:styleId="1048" w:customStyle="1">
    <w:name w:val="_Style 104"/>
    <w:uiPriority w:val="32"/>
    <w:qFormat/>
    <w:rPr>
      <w:b/>
      <w:bCs/>
      <w:smallCaps/>
      <w:color w:val="c0504d"/>
      <w:spacing w:val="5"/>
      <w:u w:val="single"/>
    </w:rPr>
  </w:style>
  <w:style w:type="character" w:styleId="1049" w:customStyle="1">
    <w:name w:val="font91"/>
    <w:basedOn w:val="806"/>
    <w:uiPriority w:val="0"/>
    <w:qFormat/>
    <w:rPr>
      <w:rFonts w:hint="eastAsia" w:ascii="宋体" w:hAnsi="宋体" w:eastAsia="宋体" w:cs="宋体"/>
      <w:b/>
      <w:bCs/>
      <w:color w:val="000000"/>
      <w:sz w:val="24"/>
      <w:szCs w:val="24"/>
      <w:u w:val="none"/>
    </w:rPr>
  </w:style>
  <w:style w:type="character" w:styleId="1050" w:customStyle="1">
    <w:name w:val="正文文本 (3) + 10 pt"/>
    <w:uiPriority w:val="0"/>
    <w:qFormat/>
    <w:rPr>
      <w:rFonts w:ascii="Times New Roman" w:hAnsi="Times New Roman"/>
      <w:sz w:val="20"/>
      <w:szCs w:val="20"/>
      <w:shd w:val="clear" w:color="auto" w:fill="ffffff"/>
    </w:rPr>
  </w:style>
  <w:style w:type="character" w:styleId="1051" w:customStyle="1">
    <w:name w:val="font31"/>
    <w:basedOn w:val="806"/>
    <w:uiPriority w:val="0"/>
    <w:qFormat/>
    <w:rPr>
      <w:rFonts w:hint="eastAsia" w:ascii="宋体" w:hAnsi="宋体" w:eastAsia="宋体" w:cs="宋体"/>
      <w:b/>
      <w:bCs/>
      <w:color w:val="000000"/>
      <w:sz w:val="20"/>
      <w:szCs w:val="20"/>
      <w:u w:val="none"/>
    </w:rPr>
  </w:style>
  <w:style w:type="character" w:styleId="1052" w:customStyle="1">
    <w:name w:val="font21"/>
    <w:basedOn w:val="806"/>
    <w:uiPriority w:val="0"/>
    <w:qFormat/>
    <w:rPr>
      <w:rFonts w:ascii="Arial" w:hAnsi="Arial" w:cs="Arial"/>
      <w:color w:val="000000"/>
      <w:sz w:val="20"/>
      <w:szCs w:val="20"/>
      <w:u w:val="none"/>
    </w:rPr>
  </w:style>
  <w:style w:type="character" w:styleId="1053" w:customStyle="1">
    <w:name w:val="ca-3"/>
    <w:basedOn w:val="806"/>
    <w:uiPriority w:val="0"/>
    <w:qFormat/>
  </w:style>
  <w:style w:type="character" w:styleId="1054" w:customStyle="1">
    <w:name w:val="明显引用 Char"/>
    <w:link w:val="1055"/>
    <w:uiPriority w:val="30"/>
    <w:qFormat/>
    <w:rPr>
      <w:b/>
      <w:bCs/>
      <w:i/>
      <w:iCs/>
      <w:color w:val="4f81bd"/>
      <w:sz w:val="21"/>
      <w:szCs w:val="24"/>
    </w:rPr>
  </w:style>
  <w:style w:type="paragraph" w:styleId="1055">
    <w:name w:val="Intense Quote"/>
    <w:basedOn w:val="796"/>
    <w:next w:val="796"/>
    <w:link w:val="1054"/>
    <w:uiPriority w:val="30"/>
    <w:qFormat/>
    <w:pPr>
      <w:ind w:left="936" w:right="936"/>
      <w:spacing w:before="200" w:after="280"/>
      <w:pBdr>
        <w:bottom w:val="single" w:color="4F81BD" w:sz="4" w:space="4"/>
      </w:pBdr>
    </w:pPr>
    <w:rPr>
      <w:b/>
      <w:bCs/>
      <w:i/>
      <w:iCs/>
      <w:color w:val="4f81bd"/>
    </w:rPr>
  </w:style>
  <w:style w:type="character" w:styleId="1056" w:customStyle="1">
    <w:name w:val="Char Char"/>
    <w:uiPriority w:val="0"/>
    <w:qFormat/>
    <w:rPr>
      <w:rFonts w:ascii="Arial" w:hAnsi="Arial" w:eastAsia="黑体"/>
      <w:b/>
      <w:bCs/>
      <w:sz w:val="32"/>
      <w:szCs w:val="32"/>
      <w:lang w:val="en-US" w:eastAsia="zh-CN" w:bidi="ar-SA"/>
    </w:rPr>
  </w:style>
  <w:style w:type="character" w:styleId="1057" w:customStyle="1">
    <w:name w:val="引用 Char"/>
    <w:link w:val="1058"/>
    <w:uiPriority w:val="29"/>
    <w:qFormat/>
    <w:rPr>
      <w:i/>
      <w:iCs/>
      <w:color w:val="000000"/>
      <w:sz w:val="21"/>
      <w:szCs w:val="24"/>
    </w:rPr>
  </w:style>
  <w:style w:type="paragraph" w:styleId="1058">
    <w:name w:val="Quote"/>
    <w:basedOn w:val="796"/>
    <w:next w:val="796"/>
    <w:link w:val="1057"/>
    <w:uiPriority w:val="29"/>
    <w:qFormat/>
    <w:rPr>
      <w:i/>
      <w:iCs/>
      <w:color w:val="000000"/>
    </w:rPr>
  </w:style>
  <w:style w:type="character" w:styleId="1059" w:customStyle="1">
    <w:name w:val="批注文字 Char"/>
    <w:uiPriority w:val="0"/>
    <w:qFormat/>
    <w:rPr>
      <w:rFonts w:eastAsia="宋体"/>
      <w:sz w:val="21"/>
      <w:szCs w:val="24"/>
      <w:lang w:val="en-US" w:eastAsia="zh-CN" w:bidi="ar-SA"/>
    </w:rPr>
  </w:style>
  <w:style w:type="character" w:styleId="1060" w:customStyle="1">
    <w:name w:val="_Style 116"/>
    <w:uiPriority w:val="33"/>
    <w:qFormat/>
    <w:rPr>
      <w:b/>
      <w:bCs/>
      <w:smallCaps/>
      <w:spacing w:val="5"/>
    </w:rPr>
  </w:style>
  <w:style w:type="character" w:styleId="1061" w:customStyle="1">
    <w:name w:val="正文文本 (2) + 9 pt1"/>
    <w:uiPriority w:val="0"/>
    <w:qFormat/>
    <w:rPr>
      <w:rFonts w:ascii="Times New Roman" w:hAnsi="Times New Roman" w:cs="Times New Roman"/>
      <w:b/>
      <w:bCs/>
      <w:spacing w:val="-20"/>
      <w:sz w:val="18"/>
      <w:szCs w:val="18"/>
      <w:u w:val="none"/>
      <w:shd w:val="clear" w:color="auto" w:fill="ffffff"/>
      <w:lang w:val="en-US" w:eastAsia="en-US"/>
    </w:rPr>
  </w:style>
  <w:style w:type="character" w:styleId="1062" w:customStyle="1">
    <w:name w:val="标题 4 Char"/>
    <w:uiPriority w:val="0"/>
    <w:qFormat/>
    <w:rPr>
      <w:rFonts w:ascii="Arial" w:hAnsi="Arial" w:eastAsia="黑体"/>
      <w:b/>
      <w:bCs/>
      <w:sz w:val="28"/>
      <w:szCs w:val="28"/>
    </w:rPr>
  </w:style>
  <w:style w:type="character" w:styleId="1063" w:customStyle="1">
    <w:name w:val="font61"/>
    <w:basedOn w:val="806"/>
    <w:uiPriority w:val="0"/>
    <w:qFormat/>
    <w:rPr>
      <w:rFonts w:ascii="Arial" w:hAnsi="Arial" w:cs="Arial"/>
      <w:color w:val="000000"/>
      <w:sz w:val="20"/>
      <w:szCs w:val="20"/>
      <w:u w:val="none"/>
    </w:rPr>
  </w:style>
  <w:style w:type="character" w:styleId="1064" w:customStyle="1">
    <w:name w:val="Char Char8"/>
    <w:uiPriority w:val="0"/>
    <w:qFormat/>
    <w:rPr>
      <w:rFonts w:ascii="Arial" w:hAnsi="Arial" w:eastAsia="黑体"/>
      <w:b/>
      <w:bCs/>
      <w:sz w:val="32"/>
      <w:szCs w:val="32"/>
      <w:lang w:val="en-US" w:eastAsia="zh-CN" w:bidi="ar-SA"/>
    </w:rPr>
  </w:style>
  <w:style w:type="character" w:styleId="1065" w:customStyle="1">
    <w:name w:val="正文文本 (3) + 9 pt"/>
    <w:uiPriority w:val="0"/>
    <w:qFormat/>
    <w:rPr>
      <w:rFonts w:ascii="Times New Roman" w:hAnsi="Times New Roman"/>
      <w:b/>
      <w:bCs/>
      <w:spacing w:val="20"/>
      <w:sz w:val="18"/>
      <w:szCs w:val="18"/>
      <w:shd w:val="clear" w:color="auto" w:fill="ffffff"/>
      <w:lang w:val="en-US" w:eastAsia="en-US"/>
    </w:rPr>
  </w:style>
  <w:style w:type="character" w:styleId="1066" w:customStyle="1">
    <w:name w:val="font51"/>
    <w:basedOn w:val="806"/>
    <w:uiPriority w:val="0"/>
    <w:qFormat/>
    <w:rPr>
      <w:rFonts w:hint="eastAsia" w:ascii="宋体" w:hAnsi="宋体" w:eastAsia="宋体" w:cs="宋体"/>
      <w:b/>
      <w:bCs/>
      <w:color w:val="000000"/>
      <w:sz w:val="20"/>
      <w:szCs w:val="20"/>
      <w:u w:val="none"/>
    </w:rPr>
  </w:style>
  <w:style w:type="character" w:styleId="1067" w:customStyle="1">
    <w:name w:val="Char Char2"/>
    <w:uiPriority w:val="0"/>
    <w:qFormat/>
    <w:rPr>
      <w:rFonts w:eastAsia="宋体"/>
      <w:sz w:val="21"/>
      <w:szCs w:val="24"/>
      <w:lang w:val="en-US" w:eastAsia="zh-CN" w:bidi="ar-SA"/>
    </w:rPr>
  </w:style>
  <w:style w:type="character" w:styleId="1068" w:customStyle="1">
    <w:name w:val="正文文本 (4)_"/>
    <w:link w:val="1069"/>
    <w:uiPriority w:val="0"/>
    <w:qFormat/>
    <w:rPr>
      <w:b/>
      <w:bCs/>
      <w:spacing w:val="20"/>
      <w:sz w:val="18"/>
      <w:szCs w:val="18"/>
      <w:shd w:val="clear" w:color="auto" w:fill="ffffff"/>
      <w:lang w:eastAsia="en-US"/>
    </w:rPr>
  </w:style>
  <w:style w:type="paragraph" w:styleId="1069" w:customStyle="1">
    <w:name w:val="正文文本 (4)"/>
    <w:basedOn w:val="796"/>
    <w:link w:val="1068"/>
    <w:uiPriority w:val="0"/>
    <w:qFormat/>
    <w:pPr>
      <w:jc w:val="center"/>
      <w:spacing w:line="240" w:lineRule="atLeast"/>
      <w:shd w:val="clear" w:color="auto" w:fill="ffffff"/>
    </w:pPr>
    <w:rPr>
      <w:b/>
      <w:bCs/>
      <w:spacing w:val="20"/>
      <w:sz w:val="18"/>
      <w:szCs w:val="18"/>
      <w:lang w:eastAsia="en-US"/>
    </w:rPr>
  </w:style>
  <w:style w:type="character" w:styleId="1070" w:customStyle="1">
    <w:name w:val="Char Char14"/>
    <w:uiPriority w:val="0"/>
    <w:qFormat/>
    <w:rPr>
      <w:rFonts w:ascii="宋体" w:hAnsi="Courier New" w:eastAsia="楷体_GB2312"/>
      <w:sz w:val="28"/>
      <w:lang w:val="en-US" w:eastAsia="zh-CN" w:bidi="ar-SA"/>
    </w:rPr>
  </w:style>
  <w:style w:type="character" w:styleId="1071" w:customStyle="1">
    <w:name w:val="_Style 127"/>
    <w:uiPriority w:val="19"/>
    <w:qFormat/>
    <w:rPr>
      <w:i/>
      <w:iCs/>
      <w:color w:val="808080"/>
    </w:rPr>
  </w:style>
  <w:style w:type="character" w:styleId="1072" w:customStyle="1">
    <w:name w:val="页脚 Char"/>
    <w:uiPriority w:val="0"/>
    <w:qFormat/>
    <w:rPr>
      <w:sz w:val="18"/>
    </w:rPr>
  </w:style>
  <w:style w:type="character" w:styleId="1073" w:customStyle="1">
    <w:name w:val="font161"/>
    <w:uiPriority w:val="0"/>
    <w:qFormat/>
    <w:rPr>
      <w:b/>
      <w:bCs/>
      <w:sz w:val="32"/>
      <w:szCs w:val="32"/>
    </w:rPr>
  </w:style>
  <w:style w:type="character" w:styleId="1074" w:customStyle="1">
    <w:name w:val="正文文本 (2) + 9 pt"/>
    <w:uiPriority w:val="0"/>
    <w:qFormat/>
    <w:rPr>
      <w:rFonts w:ascii="Times New Roman" w:hAnsi="Times New Roman"/>
      <w:b/>
      <w:bCs/>
      <w:spacing w:val="20"/>
      <w:sz w:val="18"/>
      <w:szCs w:val="18"/>
      <w:shd w:val="clear" w:color="auto" w:fill="ffffff"/>
      <w:lang w:val="en-US" w:eastAsia="en-US"/>
    </w:rPr>
  </w:style>
  <w:style w:type="character" w:styleId="1075" w:customStyle="1">
    <w:name w:val="正文文本 (2)_"/>
    <w:link w:val="1076"/>
    <w:uiPriority w:val="0"/>
    <w:qFormat/>
    <w:rPr>
      <w:sz w:val="11"/>
      <w:szCs w:val="11"/>
      <w:shd w:val="clear" w:color="auto" w:fill="ffffff"/>
    </w:rPr>
  </w:style>
  <w:style w:type="paragraph" w:styleId="1076" w:customStyle="1">
    <w:name w:val="正文文本 (2)"/>
    <w:basedOn w:val="796"/>
    <w:link w:val="1075"/>
    <w:uiPriority w:val="0"/>
    <w:qFormat/>
    <w:pPr>
      <w:jc w:val="center"/>
      <w:spacing w:line="308" w:lineRule="exact"/>
      <w:shd w:val="clear" w:color="auto" w:fill="ffffff"/>
    </w:pPr>
    <w:rPr>
      <w:sz w:val="11"/>
      <w:szCs w:val="11"/>
    </w:rPr>
  </w:style>
  <w:style w:type="character" w:styleId="1077" w:customStyle="1">
    <w:name w:val="font71"/>
    <w:basedOn w:val="806"/>
    <w:uiPriority w:val="0"/>
    <w:qFormat/>
    <w:rPr>
      <w:rFonts w:hint="eastAsia" w:ascii="宋体" w:hAnsi="宋体" w:eastAsia="宋体" w:cs="宋体"/>
      <w:color w:val="000000"/>
      <w:sz w:val="24"/>
      <w:szCs w:val="24"/>
      <w:u w:val="none"/>
    </w:rPr>
  </w:style>
  <w:style w:type="paragraph" w:styleId="1078" w:customStyle="1">
    <w:name w:val="Blockquote"/>
    <w:basedOn w:val="796"/>
    <w:uiPriority w:val="0"/>
    <w:qFormat/>
    <w:pPr>
      <w:ind w:left="360" w:right="360"/>
      <w:jc w:val="left"/>
      <w:spacing w:before="100" w:after="100"/>
    </w:pPr>
    <w:rPr>
      <w:sz w:val="24"/>
      <w:szCs w:val="20"/>
    </w:rPr>
  </w:style>
  <w:style w:type="paragraph" w:styleId="1079" w:customStyle="1">
    <w:name w:val="正文2"/>
    <w:basedOn w:val="796"/>
    <w:uiPriority w:val="0"/>
    <w:qFormat/>
    <w:pPr>
      <w:jc w:val="left"/>
      <w:widowControl/>
    </w:pPr>
    <w:rPr>
      <w:sz w:val="24"/>
      <w:szCs w:val="20"/>
    </w:rPr>
  </w:style>
  <w:style w:type="paragraph" w:styleId="1080"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081" w:customStyle="1">
    <w:name w:val="pa-5"/>
    <w:basedOn w:val="796"/>
    <w:uiPriority w:val="0"/>
    <w:qFormat/>
    <w:pPr>
      <w:jc w:val="left"/>
      <w:spacing w:before="100" w:beforeAutospacing="1" w:after="100" w:afterAutospacing="1"/>
      <w:widowControl/>
    </w:pPr>
    <w:rPr>
      <w:rFonts w:ascii="宋体" w:hAnsi="宋体" w:cs="宋体"/>
      <w:sz w:val="24"/>
    </w:rPr>
  </w:style>
  <w:style w:type="paragraph" w:styleId="1082" w:customStyle="1">
    <w:name w:val="Char Char5"/>
    <w:basedOn w:val="812"/>
    <w:uiPriority w:val="0"/>
    <w:qFormat/>
    <w:pPr>
      <w:ind w:left="357"/>
      <w:jc w:val="left"/>
      <w:spacing w:line="436" w:lineRule="exact"/>
      <w:outlineLvl w:val="3"/>
    </w:pPr>
    <w:rPr>
      <w:color w:val="000000"/>
      <w:szCs w:val="20"/>
    </w:rPr>
  </w:style>
  <w:style w:type="paragraph" w:styleId="1083" w:customStyle="1">
    <w:name w:val="样式 标题 3 + (中文) 黑体 小四 非加粗 段前: 7.8 磅 段后: 0 磅 行距: 固定值 20 磅"/>
    <w:basedOn w:val="799"/>
    <w:uiPriority w:val="0"/>
    <w:qFormat/>
    <w:pPr>
      <w:spacing w:before="0" w:after="0" w:line="400" w:lineRule="exact"/>
    </w:pPr>
    <w:rPr>
      <w:rFonts w:cs="宋体"/>
      <w:b/>
      <w:bCs/>
    </w:rPr>
  </w:style>
  <w:style w:type="paragraph" w:styleId="1084" w:customStyle="1">
    <w:name w:val="标题 2 + 黑色 行距: 1.5 倍行距"/>
    <w:basedOn w:val="798"/>
    <w:uiPriority w:val="0"/>
    <w:qFormat/>
    <w:pPr>
      <w:spacing w:line="360" w:lineRule="auto"/>
    </w:pPr>
    <w:rPr>
      <w:rFonts w:eastAsia="宋体" w:cs="宋体"/>
      <w:color w:val="000000"/>
      <w:szCs w:val="20"/>
    </w:rPr>
  </w:style>
  <w:style w:type="paragraph" w:styleId="1085" w:customStyle="1">
    <w:name w:val="6'"/>
    <w:basedOn w:val="796"/>
    <w:uiPriority w:val="0"/>
    <w:qFormat/>
    <w:pPr>
      <w:jc w:val="center"/>
      <w:spacing w:line="320" w:lineRule="exact"/>
    </w:pPr>
    <w:rPr>
      <w:spacing w:val="20"/>
    </w:rPr>
  </w:style>
  <w:style w:type="paragraph" w:styleId="1086">
    <w:name w:val="List Paragraph"/>
    <w:basedOn w:val="796"/>
    <w:uiPriority w:val="0"/>
    <w:qFormat/>
    <w:pPr>
      <w:ind w:firstLine="420"/>
    </w:pPr>
  </w:style>
  <w:style w:type="paragraph" w:styleId="1087" w:customStyle="1">
    <w:name w:val="p1"/>
    <w:basedOn w:val="796"/>
    <w:uiPriority w:val="0"/>
    <w:qFormat/>
    <w:pPr>
      <w:jc w:val="left"/>
      <w:spacing w:line="380" w:lineRule="atLeast"/>
    </w:pPr>
    <w:rPr>
      <w:rFonts w:ascii="helvetica neue" w:hAnsi="helvetica neue" w:eastAsia="helvetica neue"/>
      <w:color w:val="000000"/>
      <w:sz w:val="26"/>
      <w:szCs w:val="26"/>
    </w:rPr>
  </w:style>
  <w:style w:type="paragraph" w:styleId="1088" w:customStyle="1">
    <w:name w:val="p0"/>
    <w:basedOn w:val="796"/>
    <w:uiPriority w:val="0"/>
    <w:qFormat/>
    <w:pPr>
      <w:spacing w:line="360" w:lineRule="atLeast"/>
      <w:widowControl/>
    </w:pPr>
    <w:rPr>
      <w:rFonts w:eastAsia="Times New Roman"/>
      <w:szCs w:val="21"/>
    </w:rPr>
  </w:style>
  <w:style w:type="paragraph" w:styleId="1089" w:customStyle="1">
    <w:name w:val="默认段落字体 Para Char Char Char Char Char Char Char Char Char1 Char Char Char Char Char Char Char"/>
    <w:basedOn w:val="812"/>
    <w:uiPriority w:val="0"/>
    <w:qFormat/>
    <w:rPr>
      <w:rFonts w:ascii="Tahoma" w:hAnsi="Tahoma"/>
      <w:sz w:val="24"/>
    </w:rPr>
  </w:style>
  <w:style w:type="paragraph" w:styleId="1090" w:customStyle="1">
    <w:name w:val="pa-2"/>
    <w:basedOn w:val="796"/>
    <w:uiPriority w:val="0"/>
    <w:qFormat/>
    <w:pPr>
      <w:jc w:val="left"/>
      <w:spacing w:before="100" w:beforeAutospacing="1" w:after="100" w:afterAutospacing="1"/>
      <w:widowControl/>
    </w:pPr>
    <w:rPr>
      <w:rFonts w:ascii="宋体" w:hAnsi="宋体" w:cs="宋体"/>
      <w:sz w:val="24"/>
    </w:rPr>
  </w:style>
  <w:style w:type="paragraph" w:styleId="1091" w:customStyle="1">
    <w:name w:val="样式 标题 2 + Times New Roman 四号 非加粗 段前: 5 磅 段后: 0 磅 行距: 固定值 20..."/>
    <w:basedOn w:val="798"/>
    <w:uiPriority w:val="0"/>
    <w:qFormat/>
    <w:pPr>
      <w:spacing w:before="100" w:after="0" w:line="400" w:lineRule="exact"/>
    </w:pPr>
    <w:rPr>
      <w:rFonts w:ascii="Times New Roman" w:hAnsi="Times New Roman" w:cs="宋体"/>
      <w:b w:val="0"/>
      <w:bCs w:val="0"/>
      <w:sz w:val="28"/>
      <w:szCs w:val="20"/>
    </w:rPr>
  </w:style>
  <w:style w:type="paragraph" w:styleId="1092"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1093" w:customStyle="1">
    <w:name w:val="Char Char2 Char Char"/>
    <w:basedOn w:val="812"/>
    <w:uiPriority w:val="99"/>
    <w:unhideWhenUsed/>
    <w:qFormat/>
    <w:rPr>
      <w:rFonts w:hint="eastAsia" w:ascii="Tahoma" w:hAnsi="Tahoma"/>
      <w:sz w:val="24"/>
    </w:rPr>
  </w:style>
  <w:style w:type="paragraph" w:styleId="1094" w:customStyle="1">
    <w:name w:val="列出段落1"/>
    <w:basedOn w:val="796"/>
    <w:uiPriority w:val="0"/>
    <w:qFormat/>
    <w:pPr>
      <w:ind w:firstLine="420"/>
    </w:pPr>
    <w:rPr>
      <w:rFonts w:ascii="Calibri" w:hAnsi="Calibri"/>
      <w:szCs w:val="22"/>
    </w:rPr>
  </w:style>
  <w:style w:type="paragraph" w:styleId="1095" w:customStyle="1">
    <w:name w:val="样式4"/>
    <w:basedOn w:val="799"/>
    <w:uiPriority w:val="0"/>
    <w:qFormat/>
    <w:rPr>
      <w:rFonts w:eastAsia="Arial"/>
    </w:rPr>
  </w:style>
  <w:style w:type="paragraph" w:styleId="1096" w:customStyle="1">
    <w:name w:val="_Style 153"/>
    <w:basedOn w:val="797"/>
    <w:next w:val="796"/>
    <w:uiPriority w:val="39"/>
    <w:qFormat/>
    <w:pPr>
      <w:spacing w:line="578" w:lineRule="auto"/>
      <w:outlineLvl w:val="9"/>
    </w:pPr>
  </w:style>
  <w:style w:type="paragraph" w:styleId="1097" w:customStyle="1">
    <w:name w:val="1"/>
    <w:basedOn w:val="796"/>
    <w:next w:val="796"/>
    <w:uiPriority w:val="0"/>
    <w:qFormat/>
  </w:style>
  <w:style w:type="paragraph" w:styleId="1098" w:customStyle="1">
    <w:name w:val="样式3"/>
    <w:basedOn w:val="799"/>
    <w:uiPriority w:val="0"/>
    <w:qFormat/>
    <w:rPr>
      <w:rFonts w:eastAsia="Arial"/>
    </w:rPr>
  </w:style>
  <w:style w:type="paragraph" w:styleId="1099" w:customStyle="1">
    <w:name w:val="表格"/>
    <w:basedOn w:val="796"/>
    <w:uiPriority w:val="0"/>
    <w:qFormat/>
    <w:pPr>
      <w:jc w:val="center"/>
    </w:pPr>
    <w:rPr>
      <w:rFonts w:ascii="华文细黑" w:hAnsi="华文细黑"/>
    </w:rPr>
  </w:style>
  <w:style w:type="paragraph" w:styleId="1100" w:customStyle="1">
    <w:name w:val="样式2"/>
    <w:basedOn w:val="799"/>
    <w:uiPriority w:val="0"/>
    <w:qFormat/>
  </w:style>
  <w:style w:type="paragraph" w:styleId="1101" w:customStyle="1">
    <w:name w:val="f1"/>
    <w:basedOn w:val="796"/>
    <w:uiPriority w:val="0"/>
    <w:qFormat/>
    <w:pPr>
      <w:jc w:val="center"/>
      <w:spacing w:before="100" w:beforeAutospacing="1" w:after="100" w:afterAutospacing="1"/>
      <w:widowControl/>
    </w:pPr>
    <w:rPr>
      <w:rFonts w:ascii="Helvetica" w:hAnsi="Helvetica" w:cs="Helvetica"/>
      <w:b/>
      <w:bCs/>
      <w:color w:val="ff8080"/>
      <w:spacing w:val="160"/>
      <w:sz w:val="80"/>
      <w:szCs w:val="80"/>
    </w:rPr>
  </w:style>
  <w:style w:type="paragraph" w:styleId="1102" w:customStyle="1">
    <w:name w:val="正文文本缩进1"/>
    <w:basedOn w:val="796"/>
    <w:uiPriority w:val="0"/>
    <w:qFormat/>
    <w:pPr>
      <w:ind w:firstLine="420"/>
      <w:spacing w:line="360" w:lineRule="auto"/>
    </w:pPr>
    <w:rPr>
      <w:rFonts w:ascii="宋体"/>
      <w:sz w:val="24"/>
    </w:rPr>
  </w:style>
  <w:style w:type="paragraph" w:styleId="1103" w:customStyle="1">
    <w:name w:val="样式 标题 1 + 黑体 三号 非加粗 居中 段前: 6 磅 段后: 6 磅 行距: 固定值 20 磅"/>
    <w:basedOn w:val="797"/>
    <w:uiPriority w:val="0"/>
    <w:qFormat/>
    <w:pPr>
      <w:spacing w:before="120" w:after="120" w:line="400" w:lineRule="exact"/>
    </w:pPr>
    <w:rPr>
      <w:rFonts w:ascii="黑体" w:hAnsi="黑体" w:eastAsia="黑体" w:cs="宋体"/>
      <w:b w:val="0"/>
      <w:bCs w:val="0"/>
      <w:sz w:val="32"/>
      <w:szCs w:val="20"/>
    </w:rPr>
  </w:style>
  <w:style w:type="paragraph" w:styleId="1104" w:customStyle="1">
    <w:name w:val="Char"/>
    <w:basedOn w:val="796"/>
    <w:uiPriority w:val="0"/>
    <w:qFormat/>
  </w:style>
  <w:style w:type="paragraph" w:styleId="1105" w:customStyle="1">
    <w:name w:val="注"/>
    <w:basedOn w:val="796"/>
    <w:uiPriority w:val="0"/>
    <w:qFormat/>
    <w:pPr>
      <w:ind w:left="840" w:hanging="420"/>
      <w:spacing w:line="360" w:lineRule="atLeast"/>
    </w:pPr>
    <w:rPr>
      <w:szCs w:val="20"/>
    </w:rPr>
  </w:style>
  <w:style w:type="paragraph" w:styleId="1106" w:customStyle="1">
    <w:name w:val="Char1"/>
    <w:basedOn w:val="796"/>
    <w:uiPriority w:val="0"/>
    <w:qFormat/>
    <w:pPr>
      <w:tabs>
        <w:tab w:val="left" w:pos="360" w:leader="none"/>
      </w:tabs>
    </w:pPr>
    <w:rPr>
      <w:sz w:val="24"/>
    </w:rPr>
  </w:style>
  <w:style w:type="paragraph" w:styleId="1107" w:customStyle="1">
    <w:name w:val="纯文本1"/>
    <w:basedOn w:val="796"/>
    <w:uiPriority w:val="0"/>
    <w:qFormat/>
    <w:rPr>
      <w:rFonts w:ascii="宋体" w:hAnsi="Courier New" w:eastAsia="楷体_GB2312"/>
      <w:sz w:val="26"/>
    </w:rPr>
  </w:style>
  <w:style w:type="paragraph" w:styleId="1108" w:customStyle="1">
    <w:name w:val="纯文本2"/>
    <w:basedOn w:val="796"/>
    <w:uiPriority w:val="0"/>
    <w:qFormat/>
    <w:rPr>
      <w:rFonts w:ascii="宋体" w:hAnsi="Courier New"/>
      <w:sz w:val="28"/>
    </w:rPr>
  </w:style>
  <w:style w:type="paragraph" w:styleId="1109" w:customStyle="1">
    <w:name w:val="正文段"/>
    <w:basedOn w:val="796"/>
    <w:uiPriority w:val="0"/>
    <w:qFormat/>
    <w:pPr>
      <w:ind w:firstLine="200"/>
      <w:spacing w:after="156"/>
      <w:widowControl/>
    </w:pPr>
    <w:rPr>
      <w:sz w:val="24"/>
      <w:szCs w:val="20"/>
    </w:rPr>
  </w:style>
  <w:style w:type="paragraph" w:styleId="1110" w:customStyle="1">
    <w:name w:val="表内文字"/>
    <w:basedOn w:val="796"/>
    <w:uiPriority w:val="0"/>
    <w:qFormat/>
    <w:pPr>
      <w:jc w:val="center"/>
      <w:spacing w:line="360" w:lineRule="auto"/>
      <w:tabs>
        <w:tab w:val="left" w:pos="1418" w:leader="none"/>
      </w:tabs>
    </w:pPr>
    <w:rPr>
      <w:rFonts w:ascii="仿宋_GB2312" w:eastAsia="仿宋_GB2312"/>
      <w:spacing w:val="-20"/>
      <w:sz w:val="24"/>
    </w:rPr>
  </w:style>
  <w:style w:type="paragraph" w:styleId="1111" w:customStyle="1">
    <w:name w:val="样式 标题 2 + 黑色 行距: 1.5 倍行距"/>
    <w:basedOn w:val="798"/>
    <w:uiPriority w:val="0"/>
    <w:qFormat/>
    <w:pPr>
      <w:spacing w:line="360" w:lineRule="auto"/>
    </w:pPr>
    <w:rPr>
      <w:rFonts w:eastAsia="宋体" w:cs="宋体"/>
      <w:color w:val="000000"/>
    </w:rPr>
  </w:style>
  <w:style w:type="paragraph" w:styleId="1112" w:customStyle="1">
    <w:name w:val="Personal Name"/>
    <w:basedOn w:val="845"/>
    <w:uiPriority w:val="0"/>
    <w:qFormat/>
    <w:rPr>
      <w:rFonts w:ascii="Impact" w:hAnsi="Impact"/>
      <w:b w:val="0"/>
      <w:caps/>
      <w:color w:val="000000"/>
      <w:sz w:val="28"/>
      <w:szCs w:val="28"/>
    </w:rPr>
  </w:style>
  <w:style w:type="paragraph" w:styleId="111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114" w:customStyle="1">
    <w:name w:val="表格文字"/>
    <w:basedOn w:val="796"/>
    <w:uiPriority w:val="0"/>
    <w:qFormat/>
    <w:pPr>
      <w:jc w:val="left"/>
      <w:spacing w:line="420" w:lineRule="atLeast"/>
    </w:pPr>
  </w:style>
  <w:style w:type="paragraph" w:styleId="1115" w:customStyle="1">
    <w:name w:val="默认段落字体 Para Char Char Char Char Char Char Char Char Char1 Char Char Char Char"/>
    <w:basedOn w:val="796"/>
    <w:uiPriority w:val="0"/>
    <w:qFormat/>
    <w:rPr>
      <w:rFonts w:ascii="Tahoma" w:hAnsi="Tahoma"/>
      <w:sz w:val="24"/>
      <w:szCs w:val="20"/>
    </w:rPr>
  </w:style>
  <w:style w:type="paragraph" w:styleId="1116" w:customStyle="1">
    <w:name w:val="_Style 173"/>
    <w:uiPriority w:val="99"/>
    <w:semiHidden/>
    <w:qFormat/>
    <w:rPr>
      <w:rFonts w:ascii="Times New Roman" w:hAnsi="Times New Roman" w:eastAsia="宋体" w:cs="Times New Roman"/>
      <w:sz w:val="21"/>
      <w:szCs w:val="24"/>
      <w:lang w:val="en-US" w:eastAsia="zh-CN" w:bidi="ar-SA"/>
    </w:rPr>
  </w:style>
  <w:style w:type="paragraph" w:styleId="1117" w:customStyle="1">
    <w:name w:val="Char Char Char Char"/>
    <w:basedOn w:val="796"/>
    <w:uiPriority w:val="0"/>
    <w:qFormat/>
    <w:rPr>
      <w:rFonts w:ascii="Tahoma" w:hAnsi="Tahoma" w:cs="仿宋_GB2312"/>
      <w:sz w:val="24"/>
      <w:szCs w:val="28"/>
    </w:rPr>
  </w:style>
  <w:style w:type="paragraph" w:styleId="1118" w:customStyle="1">
    <w:name w:val="样式1"/>
    <w:basedOn w:val="799"/>
    <w:uiPriority w:val="0"/>
    <w:qFormat/>
    <w:rPr>
      <w:rFonts w:eastAsia="Arial"/>
    </w:rPr>
  </w:style>
  <w:style w:type="character" w:styleId="1119" w:customStyle="1">
    <w:name w:val="font11"/>
    <w:basedOn w:val="806"/>
    <w:uiPriority w:val="0"/>
    <w:qFormat/>
    <w:rPr>
      <w:rFonts w:hint="eastAsia" w:ascii="仿宋_GB2312" w:eastAsia="仿宋_GB2312" w:cs="仿宋_GB2312"/>
      <w:color w:val="000000"/>
      <w:sz w:val="20"/>
      <w:szCs w:val="20"/>
      <w:u w:val="none"/>
    </w:rPr>
  </w:style>
  <w:style w:type="character" w:styleId="1120" w:customStyle="1">
    <w:name w:val="font111"/>
    <w:basedOn w:val="806"/>
    <w:uiPriority w:val="0"/>
    <w:qFormat/>
    <w:rPr>
      <w:rFonts w:hint="eastAsia" w:ascii="宋体" w:hAnsi="宋体" w:eastAsia="宋体" w:cs="宋体"/>
      <w:color w:val="000000"/>
      <w:sz w:val="28"/>
      <w:szCs w:val="28"/>
      <w:u w:val="none"/>
    </w:rPr>
  </w:style>
  <w:style w:type="paragraph" w:styleId="1121" w:customStyle="1">
    <w:name w:val="Table Paragraph"/>
    <w:basedOn w:val="796"/>
    <w:uiPriority w:val="1"/>
    <w:qFormat/>
    <w:pPr>
      <w:jc w:val="left"/>
    </w:pPr>
    <w:rPr>
      <w:rFonts w:ascii="Calibri" w:hAnsi="Calibri"/>
      <w:sz w:val="22"/>
      <w:szCs w:val="22"/>
      <w:lang w:eastAsia="en-US"/>
    </w:rPr>
  </w:style>
  <w:style w:type="character" w:styleId="1122" w:customStyle="1">
    <w:name w:val="font81"/>
    <w:basedOn w:val="806"/>
    <w:uiPriority w:val="0"/>
    <w:qFormat/>
    <w:rPr>
      <w:rFonts w:hint="eastAsia" w:ascii="宋体" w:hAnsi="宋体" w:eastAsia="宋体" w:cs="宋体"/>
      <w:color w:val="ff0000"/>
      <w:sz w:val="21"/>
      <w:szCs w:val="21"/>
      <w:u w:val="none"/>
    </w:rPr>
  </w:style>
  <w:style w:type="character" w:styleId="1123" w:customStyle="1">
    <w:name w:val="font101"/>
    <w:basedOn w:val="806"/>
    <w:uiPriority w:val="0"/>
    <w:qFormat/>
    <w:rPr>
      <w:rFonts w:ascii="宋体" w:hAnsi="宋体" w:eastAsia="宋体" w:cs="宋体"/>
      <w:color w:val="000000"/>
      <w:sz w:val="22"/>
      <w:szCs w:val="22"/>
      <w:u w:val="none"/>
      <w:vertAlign w:val="superscript"/>
    </w:rPr>
  </w:style>
  <w:style w:type="character" w:styleId="1124" w:customStyle="1">
    <w:name w:val="font112"/>
    <w:basedOn w:val="806"/>
    <w:uiPriority w:val="0"/>
    <w:qFormat/>
    <w:rPr>
      <w:rFonts w:hint="default" w:ascii="Times New Roman" w:hAnsi="Times New Roman" w:cs="Times New Roman"/>
      <w:color w:val="000000"/>
      <w:sz w:val="22"/>
      <w:szCs w:val="22"/>
      <w:u w:val="none"/>
      <w:vertAlign w:val="superscript"/>
    </w:rPr>
  </w:style>
  <w:style w:type="paragraph" w:styleId="1125" w:customStyle="1">
    <w:name w:val="List Paragraph_b084a2d5-56f1-4235-bcf8-446fcd1809a3"/>
    <w:basedOn w:val="796"/>
    <w:uiPriority w:val="1"/>
    <w:qFormat/>
    <w:pPr>
      <w:ind w:left="960" w:hanging="420"/>
    </w:pPr>
  </w:style>
  <w:style w:type="paragraph" w:styleId="1126" w:customStyle="1">
    <w:name w:val="图例"/>
    <w:basedOn w:val="796"/>
    <w:uiPriority w:val="0"/>
    <w:qFormat/>
    <w:pPr>
      <w:jc w:val="center"/>
      <w:spacing w:before="120" w:after="120" w:line="360" w:lineRule="auto"/>
    </w:pPr>
    <w:rPr>
      <w:rFonts w:eastAsia="仿宋_GB2312"/>
      <w:b/>
      <w:sz w:val="24"/>
      <w:szCs w:val="20"/>
    </w:rPr>
  </w:style>
  <w:style w:type="character" w:styleId="1127" w:customStyle="1">
    <w:name w:val="NormalCharacter"/>
    <w:uiPriority w:val="0"/>
    <w:qFormat/>
    <w:rPr>
      <w:rFonts w:ascii="Times New Roman" w:hAnsi="Times New Roman" w:eastAsia="宋体" w:cs="Times New Roman"/>
      <w:sz w:val="21"/>
      <w:szCs w:val="24"/>
      <w:lang w:val="en-US" w:eastAsia="zh-CN" w:bidi="ar-SA"/>
    </w:rPr>
  </w:style>
  <w:style w:type="paragraph" w:styleId="1128" w:customStyle="1">
    <w:name w:val="文本-纯"/>
    <w:uiPriority w:val="0"/>
    <w:qFormat/>
    <w:rPr>
      <w:rFonts w:ascii="宋体" w:hAnsi="Courier New" w:eastAsia="Times New Roman" w:cs="Courier New"/>
      <w:sz w:val="24"/>
      <w:szCs w:val="21"/>
      <w:lang w:val="en-US" w:eastAsia="zh-CN" w:bidi="ar-SA"/>
    </w:rPr>
  </w:style>
  <w:style w:type="paragraph" w:styleId="1129" w:customStyle="1">
    <w:name w:val="标题 111"/>
    <w:next w:val="796"/>
    <w:uiPriority w:val="9"/>
    <w:qFormat/>
    <w:pPr>
      <w:jc w:val="center"/>
      <w:keepNext/>
      <w:widowControl w:val="off"/>
      <w:outlineLvl w:val="0"/>
    </w:pPr>
    <w:rPr>
      <w:rFonts w:hint="default" w:ascii="楷体_GB2312" w:hAnsi="Times New Roman" w:eastAsia="楷体_GB2312" w:cs="Times New Roman"/>
      <w:sz w:val="28"/>
      <w:szCs w:val="28"/>
      <w:lang w:val="en-US" w:eastAsia="zh-CN" w:bidi="ar-SA"/>
    </w:rPr>
  </w:style>
  <w:style w:type="paragraph" w:styleId="1130"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131" w:customStyle="1">
    <w:name w:val="正文首行缩进 21"/>
    <w:basedOn w:val="1102"/>
    <w:uiPriority w:val="0"/>
    <w:qFormat/>
    <w:pPr>
      <w:ind w:firstLine="420"/>
    </w:pPr>
  </w:style>
  <w:style w:type="paragraph" w:styleId="1132" w:customStyle="1">
    <w:name w:val="Heading 4"/>
    <w:basedOn w:val="796"/>
    <w:next w:val="796"/>
    <w:uiPriority w:val="9"/>
    <w:unhideWhenUsed/>
    <w:qFormat/>
    <w:pPr>
      <w:keepLines/>
      <w:keepNext/>
      <w:spacing w:before="280" w:after="290" w:line="376" w:lineRule="auto"/>
      <w:outlineLvl w:val="3"/>
    </w:pPr>
    <w:rPr>
      <w:rFonts w:ascii="Calibri Light" w:hAnsi="Calibri Light" w:eastAsia="Arial" w:cs="Arial"/>
      <w:b/>
      <w:bCs/>
      <w:sz w:val="28"/>
      <w:szCs w:val="28"/>
    </w:rPr>
  </w:style>
  <w:style w:type="character" w:styleId="1133" w:customStyle="1">
    <w:name w:val="font41"/>
    <w:basedOn w:val="806"/>
    <w:uiPriority w:val="0"/>
    <w:qFormat/>
    <w:rPr>
      <w:rFonts w:hint="default" w:ascii="Symbol" w:hAnsi="Symbol" w:cs="Symbol"/>
      <w:color w:val="000000"/>
      <w:sz w:val="20"/>
      <w:szCs w:val="20"/>
      <w:u w:val="none"/>
    </w:rPr>
  </w:style>
  <w:style w:type="numbering" w:styleId="11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江苏省房屋建筑和市政基础设施工程</dc:title>
  <dc:creator>kikmfga</dc:creator>
  <cp:lastModifiedBy>李杨</cp:lastModifiedBy>
  <cp:revision>178</cp:revision>
  <dcterms:created xsi:type="dcterms:W3CDTF">2022-03-01T00:54:00Z</dcterms:created>
  <dcterms:modified xsi:type="dcterms:W3CDTF">2025-09-26T08:18:18Z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30608C89880B4C78896C00EE3405EC67_13</vt:lpwstr>
  </property>
  <property fmtid="{D5CDD505-2E9C-101B-9397-08002B2CF9AE}" pid="4" name="commondata">
    <vt:lpwstr>eyJoZGlkIjoiNzg5ZjdlMmJjNDc1NTA4OTA2ZmU0YWU3YjZiNmI5MDIifQ==</vt:lpwstr>
  </property>
  <property fmtid="{D5CDD505-2E9C-101B-9397-08002B2CF9AE}" pid="5" name="KSOTemplateDocerSaveRecord">
    <vt:lpwstr>eyJoZGlkIjoiNTU0ZmIwYTQ3NzlmZGUxZmU3Zjk0M2IyZTNmM2IxNjAiLCJ1c2VySWQiOiIxNjgzMDYyNDMxIn0=</vt:lpwstr>
  </property>
</Properties>
</file>