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52"/>
          <w:szCs w:val="20"/>
          <w:highlight w:val="none"/>
        </w:rPr>
      </w:pPr>
      <w:r>
        <w:rPr>
          <w:rFonts w:hint="eastAsia" w:ascii="宋体" w:hAnsi="宋体" w:eastAsia="宋体" w:cs="Times New Roman"/>
          <w:b/>
          <w:bCs/>
          <w:color w:val="000000"/>
          <w:sz w:val="52"/>
          <w:szCs w:val="20"/>
          <w:highlight w:val="none"/>
        </w:rPr>
        <w:t xml:space="preserve">宜 兴 市 政 府 采 购</w:t>
      </w:r>
      <w:r/>
    </w:p>
    <w:p>
      <w:pPr>
        <w:jc w:val="center"/>
        <w:rPr>
          <w:rFonts w:ascii="宋体" w:hAnsi="宋体" w:eastAsia="宋体" w:cs="Times New Roman"/>
          <w:b/>
          <w:bCs/>
          <w:color w:val="000000"/>
          <w:sz w:val="52"/>
          <w:szCs w:val="20"/>
          <w:highlight w:val="none"/>
        </w:rPr>
      </w:pPr>
      <w:r>
        <w:rPr>
          <w:rFonts w:ascii="宋体" w:hAnsi="宋体" w:eastAsia="宋体" w:cs="Times New Roman"/>
          <w:b/>
          <w:bCs/>
          <w:color w:val="000000"/>
          <w:sz w:val="52"/>
          <w:szCs w:val="20"/>
          <w:highlight w:val="none"/>
        </w:rPr>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招</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件</w:t>
      </w:r>
      <w:r/>
    </w:p>
    <w:p>
      <w:pPr>
        <w:jc w:val="center"/>
        <w:rPr>
          <w:rFonts w:hint="eastAsia"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1031"/>
        <w:ind w:firstLine="480"/>
        <w:rPr>
          <w:rFonts w:hint="eastAsia"/>
          <w:color w:val="000000"/>
          <w:highlight w:val="none"/>
        </w:rPr>
      </w:pPr>
      <w:r>
        <w:rPr>
          <w:rFonts w:hint="eastAsia"/>
          <w:color w:val="000000"/>
          <w:highlight w:val="none"/>
        </w:rPr>
      </w:r>
      <w:r/>
    </w:p>
    <w:p>
      <w:pPr>
        <w:pStyle w:val="1031"/>
        <w:ind w:firstLine="480"/>
        <w:rPr>
          <w:rFonts w:hint="eastAsia"/>
          <w:color w:val="000000"/>
          <w:highlight w:val="none"/>
        </w:rPr>
      </w:pPr>
      <w:r>
        <w:rPr>
          <w:rFonts w:hint="eastAsia"/>
          <w:color w:val="000000"/>
          <w:highlight w:val="none"/>
        </w:rPr>
      </w:r>
      <w:r/>
    </w:p>
    <w:p>
      <w:pPr>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宜兴国际旅游度假区龙池嘉园安置小区复审项目</w:t>
      </w:r>
      <w:r/>
    </w:p>
    <w:p>
      <w:pPr>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JSZC-320282-HCCG-G2024-0118</w:t>
      </w:r>
      <w:r>
        <w:rPr>
          <w:rFonts w:hint="eastAsia" w:ascii="宋体" w:hAnsi="宋体" w:cs="宋体"/>
          <w:color w:val="000000"/>
          <w:sz w:val="32"/>
          <w:szCs w:val="32"/>
          <w:highlight w:val="none"/>
        </w:rPr>
        <w:t xml:space="preserve">   </w:t>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宜兴市土地收购储备中心</w:t>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招标代理机构：</w:t>
      </w:r>
      <w:r>
        <w:rPr>
          <w:rFonts w:hint="eastAsia" w:ascii="宋体" w:hAnsi="宋体" w:cs="宋体"/>
          <w:color w:val="000000"/>
          <w:sz w:val="32"/>
          <w:szCs w:val="32"/>
          <w:highlight w:val="none"/>
          <w:lang w:eastAsia="zh-CN"/>
        </w:rPr>
        <w:t xml:space="preserve">江苏鸿成工程项目管理有限公司</w:t>
      </w:r>
      <w:r/>
    </w:p>
    <w:p>
      <w:pPr>
        <w:jc w:val="both"/>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二〇二四年</w:t>
      </w:r>
      <w:r>
        <w:rPr>
          <w:rFonts w:hint="eastAsia" w:ascii="宋体" w:hAnsi="宋体" w:cs="宋体"/>
          <w:color w:val="000000"/>
          <w:sz w:val="32"/>
          <w:szCs w:val="32"/>
          <w:highlight w:val="none"/>
          <w:lang w:val="en-US" w:eastAsia="zh-CN"/>
        </w:rPr>
        <w:t xml:space="preserve">十二</w:t>
      </w:r>
      <w:r>
        <w:rPr>
          <w:rFonts w:hint="eastAsia" w:ascii="宋体" w:hAnsi="宋体" w:cs="宋体"/>
          <w:color w:val="000000"/>
          <w:sz w:val="32"/>
          <w:szCs w:val="32"/>
          <w:highlight w:val="none"/>
        </w:rPr>
        <w:t xml:space="preserve">月</w:t>
      </w:r>
      <w:r/>
    </w:p>
    <w:p>
      <w:pPr>
        <w:rPr>
          <w:rStyle w:val="1034"/>
          <w:rFonts w:hint="eastAsia" w:eastAsia="黑体"/>
          <w:bCs/>
          <w:color w:val="000000"/>
          <w:sz w:val="48"/>
          <w:highlight w:val="none"/>
        </w:rPr>
      </w:pPr>
      <w:r>
        <w:rPr>
          <w:rFonts w:hint="eastAsia"/>
          <w:color w:val="000000"/>
          <w:highlight w:val="none"/>
        </w:rPr>
        <w:t xml:space="preserve">                    </w:t>
      </w:r>
      <w:r/>
    </w:p>
    <w:p>
      <w:pPr>
        <w:rPr>
          <w:rStyle w:val="1034"/>
          <w:rFonts w:hint="eastAsia" w:eastAsia="黑体"/>
          <w:bCs/>
          <w:color w:val="000000"/>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000000"/>
          <w:sz w:val="48"/>
          <w:highlight w:val="none"/>
        </w:rPr>
      </w:r>
      <w:r/>
    </w:p>
    <w:p>
      <w:pPr>
        <w:jc w:val="center"/>
        <w:rPr>
          <w:rStyle w:val="1034"/>
          <w:rFonts w:eastAsia="黑体"/>
          <w:bCs/>
          <w:color w:val="000000"/>
          <w:sz w:val="48"/>
          <w:highlight w:val="none"/>
        </w:rPr>
      </w:pPr>
      <w:r>
        <w:rPr>
          <w:rStyle w:val="1034"/>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25"/>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_Toc2870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_Toc2870 </w:instrText>
      </w:r>
      <w:r>
        <w:rPr>
          <w:color w:val="000000"/>
          <w:sz w:val="32"/>
          <w:szCs w:val="32"/>
          <w:highlight w:val="none"/>
        </w:rPr>
        <w:fldChar w:fldCharType="separate"/>
      </w:r>
      <w:r>
        <w:rPr>
          <w:color w:val="000000"/>
          <w:sz w:val="32"/>
          <w:szCs w:val="32"/>
          <w:highlight w:val="none"/>
        </w:rPr>
        <w:t xml:space="preserve">- 1 -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25"/>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_Toc24238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_Toc24238 </w:instrText>
      </w:r>
      <w:r>
        <w:rPr>
          <w:color w:val="000000"/>
          <w:sz w:val="32"/>
          <w:szCs w:val="32"/>
          <w:highlight w:val="none"/>
        </w:rPr>
        <w:fldChar w:fldCharType="separate"/>
      </w:r>
      <w:r>
        <w:rPr>
          <w:color w:val="000000"/>
          <w:sz w:val="32"/>
          <w:szCs w:val="32"/>
          <w:highlight w:val="none"/>
        </w:rPr>
        <w:t xml:space="preserve">- 4 -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25"/>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_Toc4094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_Toc4094 </w:instrText>
      </w:r>
      <w:r>
        <w:rPr>
          <w:color w:val="000000"/>
          <w:sz w:val="32"/>
          <w:szCs w:val="32"/>
          <w:highlight w:val="none"/>
        </w:rPr>
        <w:fldChar w:fldCharType="separate"/>
      </w:r>
      <w:r>
        <w:rPr>
          <w:color w:val="000000"/>
          <w:sz w:val="32"/>
          <w:szCs w:val="32"/>
          <w:highlight w:val="none"/>
        </w:rPr>
        <w:t xml:space="preserve">- 20 -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25"/>
        <w:spacing w:line="360" w:lineRule="auto"/>
        <w:tabs>
          <w:tab w:val="right" w:pos="9639" w:leader="dot"/>
        </w:tabs>
        <w:rPr>
          <w:rFonts w:eastAsia="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_Toc27472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第四章 评标方法和标准</w:t>
      </w:r>
      <w:r>
        <w:rPr>
          <w:color w:val="000000"/>
          <w:sz w:val="32"/>
          <w:szCs w:val="32"/>
          <w:highlight w:val="none"/>
        </w:rPr>
        <w:tab/>
      </w:r>
      <w:r>
        <w:rPr>
          <w:color w:val="000000"/>
          <w:sz w:val="32"/>
          <w:szCs w:val="32"/>
          <w:highlight w:val="none"/>
        </w:rPr>
        <w:t xml:space="preserve">-</w:t>
      </w:r>
      <w:r>
        <w:rPr>
          <w:rFonts w:hint="eastAsia"/>
          <w:color w:val="000000"/>
          <w:sz w:val="32"/>
          <w:szCs w:val="32"/>
          <w:highlight w:val="none"/>
        </w:rPr>
        <w:t xml:space="preserve">3</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t xml:space="preserve">0</w:t>
      </w:r>
      <w:r>
        <w:rPr>
          <w:color w:val="000000"/>
          <w:sz w:val="32"/>
          <w:szCs w:val="32"/>
          <w:highlight w:val="none"/>
        </w:rPr>
        <w:t xml:space="preserve">-</w:t>
      </w:r>
      <w:r/>
    </w:p>
    <w:p>
      <w:pPr>
        <w:pStyle w:val="1025"/>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_Toc29764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_Toc29764 </w:instrText>
      </w:r>
      <w:r>
        <w:rPr>
          <w:color w:val="000000"/>
          <w:sz w:val="32"/>
          <w:szCs w:val="32"/>
          <w:highlight w:val="none"/>
        </w:rPr>
        <w:fldChar w:fldCharType="separate"/>
      </w:r>
      <w:r>
        <w:rPr>
          <w:color w:val="000000"/>
          <w:sz w:val="32"/>
          <w:szCs w:val="32"/>
          <w:highlight w:val="none"/>
        </w:rPr>
        <w:t xml:space="preserve">- 25 -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25"/>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_Toc3743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_Toc3743 </w:instrText>
      </w:r>
      <w:r>
        <w:rPr>
          <w:color w:val="000000"/>
          <w:sz w:val="32"/>
          <w:szCs w:val="32"/>
          <w:highlight w:val="none"/>
        </w:rPr>
        <w:fldChar w:fldCharType="separate"/>
      </w:r>
      <w:r>
        <w:rPr>
          <w:color w:val="000000"/>
          <w:sz w:val="32"/>
          <w:szCs w:val="32"/>
          <w:highlight w:val="none"/>
        </w:rPr>
        <w:t xml:space="preserve">- 35 -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spacing w:line="360" w:lineRule="auto"/>
        <w:rPr>
          <w:rFonts w:hint="eastAsia" w:ascii="黑体" w:hAnsi="黑体" w:eastAsia="黑体"/>
          <w:color w:val="000000"/>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ab/>
      </w:r>
      <w:bookmarkStart w:id="1" w:name="_Toc2870"/>
      <w:r/>
      <w:r/>
    </w:p>
    <w:p>
      <w:pPr>
        <w:jc w:val="center"/>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0"/>
      <w:r/>
      <w:bookmarkEnd w:id="1"/>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r>
      <w:r/>
    </w:p>
    <w:p>
      <w:pPr>
        <w:ind w:firstLine="480"/>
        <w:spacing w:line="360" w:lineRule="auto"/>
        <w:rPr>
          <w:rFonts w:hint="eastAsia" w:ascii="宋体" w:hAnsi="宋体"/>
          <w:bCs/>
          <w:color w:val="000000"/>
          <w:sz w:val="24"/>
          <w:szCs w:val="24"/>
          <w:highlight w:val="none"/>
        </w:rPr>
      </w:pPr>
      <w:r>
        <w:rPr>
          <w:rFonts w:hint="eastAsia" w:ascii="宋体" w:hAnsi="宋体"/>
          <w:color w:val="000000"/>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000000"/>
          <w:sz w:val="24"/>
          <w:szCs w:val="24"/>
          <w:highlight w:val="none"/>
        </w:rPr>
        <w:t xml:space="preserve">提请遵守下表中的相关事项：</w:t>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vAlign w:val="top"/>
            <w:textDirection w:val="lrTb"/>
            <w:noWrap w:val="false"/>
          </w:tcPr>
          <w:p>
            <w:pPr>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p>
        </w:tc>
        <w:tc>
          <w:tcPr>
            <w:tcW w:w="799"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799"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
          </w:p>
        </w:tc>
        <w:tc>
          <w:tcPr>
            <w:gridSpan w:val="2"/>
            <w:tcW w:w="8052" w:type="dxa"/>
            <w:vAlign w:val="top"/>
            <w:textDirection w:val="lrTb"/>
            <w:noWrap w:val="false"/>
          </w:tcPr>
          <w:p>
            <w:pPr>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宜兴国际旅游度假区龙池嘉园安置小区复审项目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JSZC-320282-HCCG-G2024-0118</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sz w:val="24"/>
                <w:szCs w:val="24"/>
                <w:highlight w:val="none"/>
              </w:rPr>
              <w:t xml:space="preserve">品    目：服务</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是</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bookmarkEnd w:id="5"/>
            <w:r/>
          </w:p>
          <w:p>
            <w:pP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62.05</w:t>
            </w:r>
            <w:r>
              <w:rPr>
                <w:rFonts w:hint="eastAsia" w:ascii="宋体" w:hAnsi="宋体"/>
                <w:bCs/>
                <w:color w:val="000000"/>
                <w:sz w:val="24"/>
                <w:szCs w:val="24"/>
                <w:highlight w:val="none"/>
              </w:rPr>
              <w:t xml:space="preserve">万元</w:t>
            </w:r>
            <w:r/>
          </w:p>
          <w:p>
            <w:pPr>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最高限价：</w:t>
            </w:r>
            <w:r>
              <w:rPr>
                <w:rFonts w:hint="eastAsia" w:ascii="宋体" w:hAnsi="宋体"/>
                <w:bCs/>
                <w:color w:val="000000"/>
                <w:sz w:val="24"/>
                <w:szCs w:val="24"/>
                <w:highlight w:val="none"/>
                <w:lang w:val="en-US" w:eastAsia="zh-CN"/>
              </w:rPr>
              <w:t xml:space="preserve">62.05</w:t>
            </w:r>
            <w:r>
              <w:rPr>
                <w:rFonts w:hint="eastAsia" w:ascii="宋体" w:hAnsi="宋体"/>
                <w:bCs/>
                <w:color w:val="000000"/>
                <w:sz w:val="24"/>
                <w:szCs w:val="24"/>
                <w:highlight w:val="none"/>
              </w:rPr>
              <w:t xml:space="preserve">万元</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本项目标的所属行业：其他未列明行业</w:t>
            </w:r>
            <w:r/>
          </w:p>
          <w:p>
            <w:pPr>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jc w:val="left"/>
              <w:rPr>
                <w:rFonts w:hint="eastAsia" w:eastAsia="宋体"/>
                <w:color w:val="000000"/>
                <w:highlight w:val="none"/>
                <w:lang w:val="zh-CN" w:eastAsia="zh-CN"/>
              </w:rPr>
            </w:pPr>
            <w:r>
              <w:rPr>
                <w:rFonts w:hint="eastAsia" w:ascii="宋体" w:hAnsi="宋体"/>
                <w:bCs/>
                <w:color w:val="000000"/>
                <w:sz w:val="24"/>
                <w:szCs w:val="24"/>
                <w:highlight w:val="none"/>
              </w:rPr>
              <w:t xml:space="preserve">本项目不接受联合体，不接受</w:t>
            </w:r>
            <w:r>
              <w:rPr>
                <w:rFonts w:hint="eastAsia" w:ascii="宋体" w:hAnsi="宋体"/>
                <w:bCs/>
                <w:color w:val="000000"/>
                <w:sz w:val="24"/>
                <w:szCs w:val="24"/>
                <w:highlight w:val="none"/>
                <w:lang w:val="en-US" w:eastAsia="zh-CN"/>
              </w:rPr>
              <w:t xml:space="preserve">中标后</w:t>
            </w:r>
            <w:r>
              <w:rPr>
                <w:rFonts w:hint="eastAsia" w:ascii="宋体" w:hAnsi="宋体"/>
                <w:bCs/>
                <w:color w:val="000000"/>
                <w:sz w:val="24"/>
                <w:szCs w:val="24"/>
                <w:highlight w:val="none"/>
              </w:rPr>
              <w:t xml:space="preserve">分包</w:t>
            </w:r>
            <w:r>
              <w:rPr>
                <w:rFonts w:hint="eastAsia" w:ascii="宋体" w:hAnsi="宋体"/>
                <w:bCs/>
                <w:color w:val="000000"/>
                <w:sz w:val="24"/>
                <w:szCs w:val="24"/>
                <w:highlight w:val="none"/>
                <w:lang w:eastAsia="zh-CN"/>
              </w:rPr>
              <w:t xml:space="preserve">。</w:t>
            </w:r>
            <w:r/>
          </w:p>
        </w:tc>
      </w:tr>
      <w:tr>
        <w:trPr>
          <w:jc w:val="center"/>
          <w:trHeight w:val="1556"/>
        </w:trPr>
        <w:tc>
          <w:tcPr>
            <w:tcW w:w="729" w:type="dxa"/>
            <w:vAlign w:val="center"/>
            <w:textDirection w:val="lrTb"/>
            <w:noWrap w:val="false"/>
          </w:tcPr>
          <w:p>
            <w:pPr>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p>
        </w:tc>
        <w:tc>
          <w:tcPr>
            <w:tcW w:w="799" w:type="dxa"/>
            <w:vAlign w:val="center"/>
            <w:textDirection w:val="lrTb"/>
            <w:noWrap w:val="false"/>
          </w:tcPr>
          <w:p>
            <w:pPr>
              <w:pStyle w:val="1044"/>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p>
          <w:p>
            <w:pPr>
              <w:pStyle w:val="1044"/>
              <w:jc w:val="center"/>
              <w:spacing w:line="276" w:lineRule="auto"/>
              <w:rPr>
                <w:rFonts w:hint="eastAsia"/>
                <w:b/>
                <w:bCs/>
                <w:color w:val="000000"/>
                <w:highlight w:val="none"/>
                <w:lang w:val="zh-CN"/>
              </w:rPr>
            </w:pPr>
            <w:r>
              <w:rPr>
                <w:rFonts w:hint="eastAsia"/>
                <w:b/>
                <w:bCs/>
                <w:color w:val="000000"/>
                <w:highlight w:val="none"/>
                <w:lang w:val="zh-CN"/>
              </w:rPr>
              <w:t xml:space="preserve">格</w:t>
            </w:r>
            <w:r/>
          </w:p>
          <w:p>
            <w:pPr>
              <w:pStyle w:val="1044"/>
              <w:jc w:val="center"/>
              <w:spacing w:line="276" w:lineRule="auto"/>
              <w:rPr>
                <w:rFonts w:hint="eastAsia"/>
                <w:b/>
                <w:bCs/>
                <w:color w:val="000000"/>
                <w:highlight w:val="none"/>
                <w:lang w:val="zh-CN"/>
              </w:rPr>
            </w:pPr>
            <w:r>
              <w:rPr>
                <w:rFonts w:hint="eastAsia"/>
                <w:b/>
                <w:bCs/>
                <w:color w:val="000000"/>
                <w:highlight w:val="none"/>
                <w:lang w:val="zh-CN"/>
              </w:rPr>
              <w:t xml:space="preserve">审</w:t>
            </w:r>
            <w:r/>
          </w:p>
          <w:p>
            <w:pPr>
              <w:pStyle w:val="1044"/>
              <w:jc w:val="center"/>
              <w:spacing w:line="276" w:lineRule="auto"/>
              <w:rPr>
                <w:color w:val="000000"/>
                <w:highlight w:val="none"/>
              </w:rPr>
            </w:pPr>
            <w:r>
              <w:rPr>
                <w:rFonts w:hint="eastAsia"/>
                <w:b/>
                <w:bCs/>
                <w:color w:val="000000"/>
                <w:highlight w:val="none"/>
                <w:lang w:val="zh-CN"/>
              </w:rPr>
              <w:t xml:space="preserve">查</w:t>
            </w:r>
            <w:bookmarkEnd w:id="7"/>
            <w:r/>
            <w:r/>
          </w:p>
        </w:tc>
        <w:tc>
          <w:tcPr>
            <w:gridSpan w:val="2"/>
            <w:tcW w:w="8052" w:type="dxa"/>
            <w:vAlign w:val="top"/>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000000"/>
                <w:sz w:val="24"/>
                <w:szCs w:val="24"/>
                <w:highlight w:val="none"/>
                <w:lang w:eastAsia="zh-CN"/>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eastAsia="宋体" w:cs="宋体"/>
                <w:bCs/>
                <w:color w:val="000000"/>
                <w:sz w:val="24"/>
                <w:szCs w:val="24"/>
                <w:highlight w:val="none"/>
              </w:rPr>
              <w:t xml:space="preserve">落实政府采购政策需满足的资格要求：本项目专门面向中小企业采购</w:t>
            </w:r>
            <w:r>
              <w:rPr>
                <w:rFonts w:hint="eastAsia" w:ascii="宋体" w:hAnsi="宋体" w:cs="宋体"/>
                <w:bCs/>
                <w:color w:val="000000"/>
                <w:sz w:val="24"/>
                <w:szCs w:val="24"/>
                <w:highlight w:val="none"/>
                <w:lang w:eastAsia="zh-CN"/>
              </w:rPr>
              <w:t xml:space="preserve">；</w:t>
            </w:r>
            <w:bookmarkStart w:id="323" w:name="_GoBack"/>
            <w:r/>
            <w:bookmarkEnd w:id="323"/>
            <w:r/>
            <w:r/>
          </w:p>
          <w:p>
            <w:pPr>
              <w:numPr>
                <w:ilvl w:val="0"/>
                <w:numId w:val="2"/>
              </w:numPr>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本项目的特定资格要求：</w:t>
            </w:r>
            <w:r>
              <w:rPr>
                <w:rFonts w:hint="eastAsia" w:ascii="宋体" w:hAnsi="宋体"/>
                <w:bCs/>
                <w:color w:val="000000"/>
                <w:sz w:val="24"/>
                <w:szCs w:val="21"/>
                <w:highlight w:val="none"/>
              </w:rPr>
              <w:t xml:space="preserve">无。</w:t>
            </w:r>
            <w:bookmarkEnd w:id="6"/>
            <w:r/>
          </w:p>
        </w:tc>
      </w:tr>
      <w:tr>
        <w:trPr>
          <w:jc w:val="center"/>
          <w:trHeight w:val="590"/>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79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招标文件</w:t>
            </w:r>
            <w:r/>
          </w:p>
        </w:tc>
        <w:tc>
          <w:tcPr>
            <w:gridSpan w:val="2"/>
            <w:tcW w:w="8052" w:type="dxa"/>
            <w:vAlign w:val="top"/>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799"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投标文件</w:t>
            </w:r>
            <w:r/>
          </w:p>
        </w:tc>
        <w:tc>
          <w:tcPr>
            <w:gridSpan w:val="2"/>
            <w:tcW w:w="8052" w:type="dxa"/>
            <w:vAlign w:val="top"/>
            <w:textDirection w:val="lrTb"/>
            <w:noWrap w:val="false"/>
          </w:tcPr>
          <w:p>
            <w:pPr>
              <w:rPr>
                <w:rFonts w:ascii="宋体" w:hAnsi="宋体" w:cs="宋体"/>
                <w:bCs/>
                <w:color w:val="000000"/>
                <w:sz w:val="24"/>
                <w:szCs w:val="21"/>
                <w:highlight w:val="none"/>
              </w:rPr>
            </w:pPr>
            <w:r/>
            <w:bookmarkStart w:id="8"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8"/>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tc>
      </w:tr>
      <w:tr>
        <w:trPr>
          <w:jc w:val="center"/>
          <w:trHeight w:val="60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799" w:type="dxa"/>
            <w:vAlign w:val="center"/>
            <w:textDirection w:val="lrTb"/>
            <w:noWrap w:val="false"/>
          </w:tcPr>
          <w:p>
            <w:pPr>
              <w:pStyle w:val="1044"/>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799" w:type="dxa"/>
            <w:vAlign w:val="center"/>
            <w:textDirection w:val="lrTb"/>
            <w:noWrap w:val="false"/>
          </w:tcPr>
          <w:p>
            <w:pPr>
              <w:pStyle w:val="1044"/>
              <w:jc w:val="center"/>
              <w:rPr>
                <w:b/>
                <w:bCs/>
                <w:color w:val="000000"/>
                <w:szCs w:val="22"/>
                <w:highlight w:val="none"/>
                <w:lang w:val="zh-CN"/>
              </w:rPr>
            </w:pPr>
            <w:r>
              <w:rPr>
                <w:rFonts w:hint="eastAsia"/>
                <w:b/>
                <w:bCs/>
                <w:color w:val="000000"/>
                <w:szCs w:val="22"/>
                <w:highlight w:val="none"/>
                <w:lang w:val="zh-CN"/>
              </w:rPr>
              <w:t xml:space="preserve">其他</w:t>
            </w:r>
            <w:r/>
          </w:p>
          <w:p>
            <w:pPr>
              <w:pStyle w:val="1044"/>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799"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000000"/>
                <w:sz w:val="24"/>
                <w:szCs w:val="21"/>
                <w:highlight w:val="none"/>
              </w:rPr>
            </w:pPr>
            <w:r/>
            <w:bookmarkStart w:id="9"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p>
          <w:p>
            <w:pPr>
              <w:numPr>
                <w:ilvl w:val="0"/>
                <w:numId w:val="3"/>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0"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采购活动时间：</w:t>
            </w:r>
            <w:r/>
          </w:p>
          <w:p>
            <w:pPr>
              <w:rPr>
                <w:rFonts w:hint="default" w:ascii="宋体" w:hAnsi="宋体" w:cs="宋体"/>
                <w:bCs/>
                <w:color w:val="000000"/>
                <w:sz w:val="24"/>
                <w:szCs w:val="21"/>
                <w:highlight w:val="none"/>
                <w:lang w:val="en-US" w:eastAsia="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w:t>
            </w:r>
            <w:r>
              <w:rPr>
                <w:rFonts w:hint="eastAsia" w:ascii="宋体" w:hAnsi="宋体" w:cs="宋体"/>
                <w:bCs/>
                <w:color w:val="000000"/>
                <w:sz w:val="24"/>
                <w:szCs w:val="21"/>
                <w:highlight w:val="none"/>
                <w:lang w:val="en-US" w:eastAsia="zh-CN"/>
              </w:rPr>
              <w:t xml:space="preserve">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hint="eastAsia" w:ascii="宋体" w:hAnsi="宋体"/>
                <w:bCs/>
                <w:color w:val="000000"/>
                <w:sz w:val="24"/>
                <w:szCs w:val="24"/>
                <w:highlight w:val="none"/>
              </w:rPr>
            </w:pPr>
            <w:r/>
            <w:bookmarkStart w:id="11" w:name="OLE_LINK84"/>
            <w:r>
              <w:rPr>
                <w:rFonts w:hint="eastAsia" w:ascii="宋体" w:hAnsi="宋体"/>
                <w:bCs/>
                <w:color w:val="000000"/>
                <w:sz w:val="24"/>
                <w:szCs w:val="24"/>
                <w:highlight w:val="none"/>
              </w:rPr>
              <w:t xml:space="preserve">8</w:t>
            </w:r>
            <w:r/>
          </w:p>
        </w:tc>
        <w:tc>
          <w:tcPr>
            <w:tcW w:w="799" w:type="dxa"/>
            <w:vAlign w:val="center"/>
            <w:vMerge w:val="restart"/>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联系方式</w:t>
            </w:r>
            <w:r/>
          </w:p>
        </w:tc>
        <w:tc>
          <w:tcPr>
            <w:tcW w:w="177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宜兴市土地收购储备中心</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杨先生</w:t>
            </w:r>
            <w:r/>
          </w:p>
          <w:p>
            <w:pPr>
              <w:jc w:val="left"/>
              <w:rPr>
                <w:rFonts w:hint="default" w:ascii="宋体" w:hAnsi="宋体" w:eastAsia="宋体"/>
                <w:bCs/>
                <w:color w:val="000000"/>
                <w:sz w:val="24"/>
                <w:szCs w:val="24"/>
                <w:highlight w:val="none"/>
                <w:lang w:val="en-US" w:eastAsia="zh-CN"/>
              </w:rPr>
            </w:pPr>
            <w:r>
              <w:rPr>
                <w:rFonts w:hint="eastAsia"/>
                <w:color w:val="000000"/>
                <w:sz w:val="24"/>
                <w:szCs w:val="24"/>
                <w:highlight w:val="none"/>
              </w:rPr>
              <w:t xml:space="preserve">联</w:t>
            </w:r>
            <w:r>
              <w:rPr>
                <w:rFonts w:hint="eastAsia" w:ascii="宋体" w:hAnsi="宋体"/>
                <w:bCs/>
                <w:color w:val="000000"/>
                <w:sz w:val="24"/>
                <w:szCs w:val="24"/>
                <w:highlight w:val="none"/>
              </w:rPr>
              <w:t xml:space="preserve">系电话：</w:t>
            </w:r>
            <w:r>
              <w:rPr>
                <w:rFonts w:hint="eastAsia" w:ascii="宋体" w:hAnsi="宋体"/>
                <w:bCs/>
                <w:color w:val="000000"/>
                <w:sz w:val="24"/>
                <w:szCs w:val="24"/>
                <w:highlight w:val="none"/>
                <w:lang w:val="en-US" w:eastAsia="zh-CN"/>
              </w:rPr>
              <w:t xml:space="preserve">0510-87669905</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联系地址：</w:t>
            </w:r>
            <w:r>
              <w:rPr>
                <w:rFonts w:hint="eastAsia" w:ascii="宋体" w:hAnsi="宋体"/>
                <w:bCs/>
                <w:sz w:val="24"/>
                <w:szCs w:val="24"/>
                <w:highlight w:val="none"/>
              </w:rPr>
              <w:t xml:space="preserve">宜兴市解放东路191号</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江苏鸿成工程项目管理有限公司</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eastAsia="zh-CN"/>
              </w:rPr>
              <w:t xml:space="preserve">袁先生</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lang w:eastAsia="zh-CN"/>
              </w:rPr>
              <w:t xml:space="preserve">1</w:t>
            </w:r>
            <w:r>
              <w:rPr>
                <w:rFonts w:hint="eastAsia" w:ascii="宋体" w:hAnsi="宋体" w:cs="宋体"/>
                <w:bCs/>
                <w:color w:val="000000"/>
                <w:sz w:val="24"/>
                <w:szCs w:val="24"/>
                <w:highlight w:val="none"/>
                <w:lang w:val="en-US" w:eastAsia="zh-CN"/>
              </w:rPr>
              <w:t xml:space="preserve">3306154212</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w:t>
            </w:r>
            <w:r>
              <w:rPr>
                <w:rFonts w:hint="eastAsia" w:ascii="宋体" w:hAnsi="宋体" w:eastAsia="宋体"/>
                <w:bCs/>
                <w:color w:val="auto"/>
                <w:sz w:val="24"/>
                <w:szCs w:val="24"/>
                <w:highlight w:val="none"/>
              </w:rPr>
              <w:t xml:space="preserve">宜兴市杏园路</w:t>
            </w:r>
            <w:r>
              <w:rPr>
                <w:rFonts w:ascii="宋体" w:hAnsi="宋体" w:eastAsia="宋体"/>
                <w:bCs/>
                <w:color w:val="auto"/>
                <w:sz w:val="24"/>
                <w:szCs w:val="24"/>
                <w:highlight w:val="none"/>
              </w:rPr>
              <w:t xml:space="preserve">108号科创商务中心5号楼</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tc>
      </w:tr>
      <w:tr>
        <w:trPr>
          <w:jc w:val="center"/>
          <w:trHeight w:val="60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2"/>
            <w:bookmarkEnd w:id="11"/>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2" w:name="_Toc24238"/>
      <w:r/>
      <w:bookmarkStart w:id="13" w:name="OLE_LINK38"/>
      <w:r>
        <w:rPr>
          <w:rFonts w:hint="eastAsia" w:ascii="黑体" w:hAnsi="黑体" w:eastAsia="黑体"/>
          <w:color w:val="000000"/>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4"/>
      <w:r>
        <w:rPr>
          <w:rFonts w:hint="eastAsia" w:ascii="宋体" w:hAnsi="宋体"/>
          <w:bCs/>
          <w:color w:val="000000"/>
          <w:sz w:val="24"/>
          <w:szCs w:val="24"/>
          <w:highlight w:val="none"/>
        </w:rPr>
        <w:t xml:space="preserve">；</w:t>
      </w:r>
      <w:bookmarkStart w:id="15"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6"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17" w:name="_Hlk151624258"/>
      <w:r/>
      <w:bookmarkStart w:id="18" w:name="_Hlk151624234"/>
      <w:r>
        <w:rPr>
          <w:rFonts w:hint="eastAsia" w:ascii="宋体" w:hAnsi="宋体"/>
          <w:bCs/>
          <w:color w:val="000000"/>
          <w:sz w:val="24"/>
          <w:szCs w:val="24"/>
          <w:highlight w:val="none"/>
          <w:lang w:val="zh-CN"/>
        </w:rPr>
        <w:t xml:space="preserve">3、政府采购政策</w:t>
      </w:r>
      <w:bookmarkEnd w:id="17"/>
      <w:bookmarkEnd w:id="18"/>
      <w:r/>
    </w:p>
    <w:p>
      <w:pPr>
        <w:ind w:firstLine="480"/>
        <w:spacing w:line="360" w:lineRule="auto"/>
        <w:rPr>
          <w:rFonts w:hint="eastAsia" w:ascii="宋体" w:hAnsi="宋体" w:eastAsia="宋体" w:cs="Times New Roman"/>
          <w:bCs/>
          <w:color w:val="000000"/>
          <w:sz w:val="24"/>
          <w:szCs w:val="24"/>
          <w:highlight w:val="none"/>
          <w:lang w:val="zh-CN"/>
        </w:rPr>
      </w:pPr>
      <w:r/>
      <w:bookmarkStart w:id="19" w:name="_Hlk151625314"/>
      <w:r>
        <w:rPr>
          <w:rFonts w:hint="eastAsia" w:ascii="宋体" w:hAnsi="宋体" w:eastAsia="宋体" w:cs="Times New Roman"/>
          <w:bCs/>
          <w:color w:val="000000"/>
          <w:sz w:val="24"/>
          <w:szCs w:val="24"/>
          <w:highlight w:val="none"/>
          <w:lang w:val="zh-CN"/>
        </w:rPr>
        <w:t xml:space="preserve">3.1 </w:t>
      </w:r>
      <w:bookmarkEnd w:id="19"/>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3.2政府采购支持中小企业发展</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w:t>
      </w:r>
      <w:bookmarkStart w:id="21" w:name="_Hlk101132181"/>
      <w:r>
        <w:rPr>
          <w:rFonts w:hint="eastAsia" w:ascii="宋体" w:hAnsi="宋体" w:eastAsia="宋体" w:cs="Times New Roman"/>
          <w:bCs/>
          <w:color w:val="000000"/>
          <w:sz w:val="24"/>
          <w:szCs w:val="24"/>
          <w:highlight w:val="none"/>
          <w:lang w:val="zh-CN"/>
        </w:rPr>
        <w:t xml:space="preserve">联合协议或者分包意向协议约定小微企业的合同份额占到合同总金额30%及以上的</w:t>
      </w:r>
      <w:bookmarkEnd w:id="21"/>
      <w:r>
        <w:rPr>
          <w:rFonts w:hint="eastAsia" w:ascii="宋体" w:hAnsi="宋体" w:eastAsia="宋体" w:cs="Times New Roman"/>
          <w:bCs/>
          <w:color w:val="000000"/>
          <w:sz w:val="24"/>
          <w:szCs w:val="24"/>
          <w:highlight w:val="none"/>
          <w:lang w:val="zh-CN"/>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2"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23"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23"/>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22"/>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4" w:name="_Hlk159419640"/>
      <w:r>
        <w:rPr>
          <w:rFonts w:hint="eastAsia" w:ascii="宋体" w:hAnsi="宋体" w:eastAsia="宋体" w:cs="Times New Roman"/>
          <w:bCs/>
          <w:color w:val="000000"/>
          <w:sz w:val="24"/>
          <w:szCs w:val="24"/>
          <w:highlight w:val="none"/>
          <w:lang w:val="zh-CN"/>
        </w:rPr>
        <w:t xml:space="preserve">若投标人提供的货物</w:t>
      </w:r>
      <w:bookmarkEnd w:id="24"/>
      <w:r>
        <w:rPr>
          <w:rFonts w:hint="eastAsia" w:ascii="宋体" w:hAnsi="宋体" w:eastAsia="宋体" w:cs="Times New Roman"/>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鼓励</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numPr>
          <w:ilvl w:val="0"/>
          <w:numId w:val="4"/>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4.2 采购代理与服务费用由成交供应商支付，代理费用按国家计委计价格[2002]1980号《招标代理服务收费管理暂行办法》所规定的收费标准（服务招标）收取，收费按差额定率累进法。</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4.3 领取中标通知书时成交供应商应向采购代理机构一次性付清。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5"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5"/>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6" w:name="OLE_LINK253"/>
      <w:r>
        <w:rPr>
          <w:rFonts w:hint="eastAsia" w:ascii="宋体" w:hAnsi="宋体"/>
          <w:bCs/>
          <w:color w:val="000000"/>
          <w:sz w:val="24"/>
          <w:szCs w:val="24"/>
          <w:highlight w:val="none"/>
        </w:rPr>
        <w:t xml:space="preserve">采购人或者</w:t>
      </w:r>
      <w:bookmarkEnd w:id="26"/>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7" w:name="OLE_LINK21"/>
      <w:r>
        <w:rPr>
          <w:rFonts w:hint="eastAsia" w:ascii="宋体" w:hAnsi="宋体"/>
          <w:bCs/>
          <w:color w:val="000000"/>
          <w:sz w:val="24"/>
          <w:szCs w:val="24"/>
          <w:highlight w:val="none"/>
        </w:rPr>
        <w:t xml:space="preserve">第四章 评标方法和标准</w:t>
      </w:r>
      <w:bookmarkEnd w:id="27"/>
      <w:r>
        <w:rPr>
          <w:rFonts w:hint="eastAsia" w:ascii="宋体" w:hAnsi="宋体"/>
          <w:bCs/>
          <w:color w:val="000000"/>
          <w:sz w:val="24"/>
          <w:szCs w:val="24"/>
          <w:highlight w:val="none"/>
        </w:rPr>
        <w:t xml:space="preserve">”由</w:t>
      </w:r>
      <w:bookmarkStart w:id="28" w:name="OLE_LINK13"/>
      <w:r>
        <w:rPr>
          <w:rFonts w:hint="eastAsia" w:ascii="宋体" w:hAnsi="宋体"/>
          <w:bCs/>
          <w:color w:val="000000"/>
          <w:sz w:val="24"/>
          <w:szCs w:val="24"/>
          <w:highlight w:val="none"/>
        </w:rPr>
        <w:t xml:space="preserve">采购人负责解释</w:t>
      </w:r>
      <w:bookmarkEnd w:id="28"/>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29"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29"/>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30" w:name="_Hlk151557699"/>
      <w:r>
        <w:rPr>
          <w:rFonts w:hint="eastAsia" w:ascii="宋体" w:hAnsi="宋体"/>
          <w:b/>
          <w:color w:val="000000"/>
          <w:sz w:val="24"/>
          <w:szCs w:val="24"/>
          <w:highlight w:val="none"/>
        </w:rPr>
        <w:t xml:space="preserve">9、</w:t>
      </w:r>
      <w:bookmarkStart w:id="31" w:name="OLE_LINK62"/>
      <w:r>
        <w:rPr>
          <w:rFonts w:hint="eastAsia" w:ascii="宋体" w:hAnsi="宋体"/>
          <w:b/>
          <w:color w:val="000000"/>
          <w:sz w:val="24"/>
          <w:szCs w:val="24"/>
          <w:highlight w:val="none"/>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2" w:name="OLE_LINK20"/>
      <w:r/>
      <w:bookmarkStart w:id="33"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bookmarkStart w:id="34" w:name="_Hlk151555273"/>
      <w:r/>
      <w:bookmarkStart w:id="35" w:name="_Hlk151448723"/>
      <w:r>
        <w:rPr>
          <w:rFonts w:hint="eastAsia" w:ascii="宋体" w:hAnsi="宋体"/>
          <w:bCs/>
          <w:color w:val="000000"/>
          <w:sz w:val="24"/>
          <w:szCs w:val="24"/>
          <w:highlight w:val="none"/>
        </w:rPr>
        <w:t xml:space="preserve">资格</w:t>
      </w:r>
      <w:bookmarkEnd w:id="32"/>
      <w:r>
        <w:rPr>
          <w:rFonts w:hint="eastAsia" w:ascii="宋体" w:hAnsi="宋体"/>
          <w:bCs/>
          <w:color w:val="000000"/>
          <w:sz w:val="24"/>
          <w:szCs w:val="24"/>
          <w:highlight w:val="none"/>
        </w:rPr>
        <w:t xml:space="preserve">条件</w:t>
      </w:r>
      <w:bookmarkEnd w:id="34"/>
      <w:r/>
      <w:bookmarkStart w:id="36"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①资格声明函：</w:t>
      </w:r>
      <w:bookmarkStart w:id="37" w:name="_Hlk151448601"/>
      <w:r>
        <w:rPr>
          <w:rFonts w:hint="eastAsia" w:ascii="宋体" w:hAnsi="宋体"/>
          <w:bCs/>
          <w:color w:val="000000"/>
          <w:sz w:val="24"/>
          <w:szCs w:val="24"/>
          <w:highlight w:val="none"/>
          <w:lang w:val="zh-CN"/>
        </w:rPr>
        <w:t xml:space="preserve">提供《关于资格的声明函》；</w:t>
      </w:r>
      <w:bookmarkEnd w:id="37"/>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②被授权代表身份证明1</w:t>
      </w:r>
      <w:bookmarkStart w:id="38" w:name="_Hlk163378222"/>
      <w:r>
        <w:rPr>
          <w:rFonts w:hint="eastAsia" w:ascii="宋体" w:hAnsi="宋体"/>
          <w:bCs/>
          <w:color w:val="000000"/>
          <w:sz w:val="24"/>
          <w:szCs w:val="24"/>
          <w:highlight w:val="none"/>
          <w:lang w:val="zh-CN"/>
        </w:rPr>
        <w:t xml:space="preserve">（授权委托书）</w:t>
      </w:r>
      <w:bookmarkEnd w:id="38"/>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③被授权代表身份证明2（社保）：</w:t>
      </w:r>
      <w:bookmarkStart w:id="39" w:name="_Hlk155260749"/>
      <w:r>
        <w:rPr>
          <w:rFonts w:hint="eastAsia" w:ascii="宋体" w:hAnsi="宋体"/>
          <w:bCs/>
          <w:color w:val="000000"/>
          <w:sz w:val="24"/>
          <w:szCs w:val="24"/>
          <w:highlight w:val="none"/>
          <w:lang w:val="zh-CN"/>
        </w:rPr>
        <w:t xml:space="preserve">提供投标人为本项目被授权代表缴纳的近六个月内任意一个月份的社保证明</w:t>
      </w:r>
      <w:bookmarkEnd w:id="39"/>
      <w:r>
        <w:rPr>
          <w:rFonts w:hint="eastAsia" w:ascii="宋体" w:hAnsi="宋体"/>
          <w:bCs/>
          <w:color w:val="000000"/>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⑧无不良信用记录：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40" w:name="_Hlk139976635"/>
      <w:r>
        <w:rPr>
          <w:rFonts w:hint="eastAsia" w:ascii="宋体" w:hAnsi="宋体"/>
          <w:bCs/>
          <w:color w:val="000000"/>
          <w:sz w:val="24"/>
          <w:szCs w:val="24"/>
          <w:highlight w:val="none"/>
          <w:lang w:val="zh-CN"/>
        </w:rPr>
        <w:t xml:space="preserve">人提供的资格声明函中作出的无不良信用记录承诺为准</w:t>
      </w:r>
      <w:bookmarkEnd w:id="40"/>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bookmarkStart w:id="41" w:name="_Hlk151448642"/>
      <w:r>
        <w:rPr>
          <w:rFonts w:hint="eastAsia" w:ascii="宋体" w:hAnsi="宋体" w:eastAsia="宋体" w:cs="宋体"/>
          <w:bCs/>
          <w:color w:val="000000"/>
          <w:sz w:val="24"/>
          <w:szCs w:val="24"/>
          <w:highlight w:val="none"/>
          <w:lang w:val="zh-CN"/>
        </w:rPr>
        <w:t xml:space="preserve">⑨</w:t>
      </w:r>
      <w:r>
        <w:rPr>
          <w:rFonts w:hint="eastAsia" w:ascii="宋体" w:hAnsi="宋体" w:cs="宋体"/>
          <w:bCs/>
          <w:color w:val="000000"/>
          <w:sz w:val="24"/>
          <w:szCs w:val="24"/>
          <w:highlight w:val="none"/>
        </w:rPr>
        <w:t xml:space="preserve">特定资格要求</w:t>
      </w:r>
      <w:r>
        <w:rPr>
          <w:rFonts w:hint="eastAsia" w:ascii="宋体" w:hAnsi="宋体"/>
          <w:bCs/>
          <w:color w:val="000000"/>
          <w:sz w:val="24"/>
          <w:szCs w:val="24"/>
          <w:highlight w:val="none"/>
          <w:lang w:val="zh-CN"/>
        </w:rPr>
        <w:t xml:space="preserve">：无。</w:t>
      </w:r>
      <w:bookmarkEnd w:id="41"/>
      <w:r/>
    </w:p>
    <w:p>
      <w:pPr>
        <w:ind w:firstLine="480"/>
        <w:jc w:val="left"/>
        <w:spacing w:line="360" w:lineRule="auto"/>
        <w:tabs>
          <w:tab w:val="left" w:pos="0" w:leader="none"/>
          <w:tab w:val="left" w:pos="255" w:leader="none"/>
        </w:tabs>
        <w:rPr>
          <w:rFonts w:ascii="宋体" w:hAnsi="宋体"/>
          <w:bCs/>
          <w:color w:val="000000"/>
          <w:sz w:val="24"/>
          <w:szCs w:val="24"/>
          <w:highlight w:val="none"/>
        </w:rPr>
      </w:pPr>
      <w:r/>
      <w:bookmarkStart w:id="42" w:name="OLE_LINK114"/>
      <w:r>
        <w:rPr>
          <w:rFonts w:hint="eastAsia" w:ascii="宋体" w:hAnsi="宋体"/>
          <w:bCs/>
          <w:color w:val="000000"/>
          <w:sz w:val="24"/>
          <w:szCs w:val="24"/>
          <w:highlight w:val="none"/>
        </w:rPr>
        <w:t xml:space="preserve">注：投标人具备履行合同所必需的设备和专业技术能力在资格声明函中作出承诺；</w:t>
      </w:r>
      <w:bookmarkStart w:id="43"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5"/>
      <w:bookmarkEnd w:id="36"/>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bookmarkStart w:id="44" w:name="_Hlk151555369"/>
      <w:r>
        <w:rPr>
          <w:rFonts w:hint="eastAsia" w:ascii="宋体" w:hAnsi="宋体"/>
          <w:bCs/>
          <w:color w:val="000000"/>
          <w:sz w:val="24"/>
          <w:szCs w:val="24"/>
          <w:highlight w:val="none"/>
        </w:rPr>
        <w:t xml:space="preserve">符合条件</w:t>
      </w:r>
      <w:bookmarkEnd w:id="31"/>
      <w:bookmarkEnd w:id="33"/>
      <w:bookmarkEnd w:id="42"/>
      <w:bookmarkEnd w:id="44"/>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45"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bookmarkEnd w:id="45"/>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②明细报价表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ascii="宋体" w:hAnsi="宋体"/>
          <w:bCs/>
          <w:color w:val="000000"/>
          <w:sz w:val="24"/>
          <w:szCs w:val="24"/>
          <w:highlight w:val="none"/>
        </w:rPr>
        <w:t xml:space="preserve">项目技术要求偏离表</w:t>
      </w:r>
      <w:r/>
    </w:p>
    <w:p>
      <w:pPr>
        <w:pStyle w:val="1030"/>
        <w:ind w:left="400"/>
        <w:spacing w:before="0" w:beforeAutospacing="0" w:after="0" w:afterAutospacing="0" w:line="360" w:lineRule="auto"/>
        <w:tabs>
          <w:tab w:val="left" w:pos="0" w:leader="none"/>
          <w:tab w:val="left" w:pos="255" w:leader="none"/>
        </w:tabs>
        <w:rPr>
          <w:rFonts w:hint="eastAsia" w:ascii="宋体" w:hAnsi="宋体" w:eastAsia="宋体" w:cs="Times New Roman"/>
          <w:color w:val="000000"/>
          <w:sz w:val="24"/>
          <w:szCs w:val="24"/>
          <w:highlight w:val="none"/>
          <w:lang w:val="zh-CN"/>
        </w:rPr>
      </w:pPr>
      <w:r>
        <w:rPr>
          <w:rFonts w:hint="eastAsia" w:ascii="宋体" w:hAnsi="宋体" w:cs="宋体"/>
          <w:color w:val="000000"/>
          <w:szCs w:val="24"/>
          <w:highlight w:val="none"/>
        </w:rPr>
        <w:t xml:space="preserve">④</w:t>
      </w:r>
      <w:r>
        <w:rPr>
          <w:rFonts w:hint="eastAsia" w:ascii="宋体" w:hAnsi="宋体" w:eastAsia="宋体" w:cs="Times New Roman"/>
          <w:color w:val="000000"/>
          <w:sz w:val="24"/>
          <w:szCs w:val="24"/>
          <w:highlight w:val="none"/>
          <w:lang w:val="zh-CN"/>
        </w:rPr>
        <w:t xml:space="preserve">项目人员配置清单</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⑤服务内容详细说明（格式自拟）</w:t>
      </w:r>
      <w:r/>
    </w:p>
    <w:p>
      <w:pPr>
        <w:ind w:left="482"/>
        <w:jc w:val="left"/>
        <w:spacing w:line="360" w:lineRule="auto"/>
        <w:rPr>
          <w:rFonts w:hint="eastAsia" w:ascii="宋体" w:hAnsi="宋体"/>
          <w:sz w:val="24"/>
          <w:szCs w:val="21"/>
          <w:highlight w:val="none"/>
          <w:lang w:val="zh-CN"/>
        </w:rPr>
      </w:pPr>
      <w:r>
        <w:rPr>
          <w:rFonts w:hint="eastAsia" w:ascii="宋体" w:hAnsi="宋体" w:eastAsia="宋体" w:cs="宋体"/>
          <w:sz w:val="24"/>
          <w:szCs w:val="21"/>
          <w:highlight w:val="none"/>
          <w:lang w:val="zh-CN"/>
        </w:rPr>
        <w:t xml:space="preserve">⑥招标文件第三章“项目技术要求和有关说明”中要求提供的相关证明材料（如有自行添加）</w:t>
      </w:r>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价格折扣文件</w:t>
      </w:r>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其他相关材料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000000"/>
          <w:sz w:val="24"/>
          <w:szCs w:val="24"/>
          <w:highlight w:val="none"/>
        </w:rPr>
        <w:t xml:space="preserve">不需要缴纳社会保障资金</w:t>
      </w:r>
      <w:bookmarkEnd w:id="46"/>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0"/>
      <w:r/>
    </w:p>
    <w:p>
      <w:pPr>
        <w:ind w:firstLine="480"/>
        <w:jc w:val="left"/>
        <w:spacing w:line="360" w:lineRule="auto"/>
        <w:rPr>
          <w:rFonts w:ascii="宋体" w:hAnsi="宋体"/>
          <w:bCs/>
          <w:color w:val="000000"/>
          <w:sz w:val="24"/>
          <w:szCs w:val="24"/>
          <w:highlight w:val="none"/>
        </w:rPr>
      </w:pPr>
      <w:r/>
      <w:bookmarkStart w:id="47" w:name="OLE_LINK219"/>
      <w:r>
        <w:rPr>
          <w:rFonts w:hint="eastAsia" w:ascii="宋体" w:hAnsi="宋体"/>
          <w:bCs/>
          <w:color w:val="000000"/>
          <w:sz w:val="24"/>
          <w:szCs w:val="24"/>
          <w:highlight w:val="none"/>
        </w:rPr>
        <w:t xml:space="preserve">10、</w:t>
      </w:r>
      <w:bookmarkStart w:id="48" w:name="_Toc19624"/>
      <w:r/>
      <w:bookmarkStart w:id="49" w:name="_Toc23231"/>
      <w:r/>
      <w:bookmarkStart w:id="50" w:name="_Toc515647770"/>
      <w:r/>
      <w:bookmarkStart w:id="51" w:name="_Toc2248"/>
      <w:r/>
      <w:bookmarkStart w:id="52" w:name="_Toc520356155"/>
      <w:r>
        <w:rPr>
          <w:rFonts w:hint="eastAsia" w:ascii="宋体" w:hAnsi="宋体"/>
          <w:bCs/>
          <w:color w:val="000000"/>
          <w:sz w:val="24"/>
          <w:szCs w:val="24"/>
          <w:highlight w:val="none"/>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3" w:name="OLE_LINK204"/>
      <w:r>
        <w:rPr>
          <w:rFonts w:hint="eastAsia" w:ascii="宋体" w:hAnsi="宋体"/>
          <w:bCs/>
          <w:color w:val="000000"/>
          <w:sz w:val="24"/>
          <w:szCs w:val="24"/>
          <w:highlight w:val="none"/>
          <w:lang w:val="zh-CN"/>
        </w:rPr>
        <w:t xml:space="preserve">。</w:t>
      </w:r>
      <w:bookmarkEnd w:id="53"/>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7"/>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54"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55"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56"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6"/>
      <w:r/>
      <w:bookmarkEnd w:id="55"/>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7"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58"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59" w:name="_Hlk151449127"/>
      <w:r/>
      <w:bookmarkStart w:id="60"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000000"/>
          <w:sz w:val="24"/>
          <w:szCs w:val="24"/>
          <w:highlight w:val="none"/>
        </w:rPr>
        <w:t xml:space="preserve">。</w:t>
      </w:r>
      <w:bookmarkEnd w:id="58"/>
      <w:r/>
      <w:bookmarkEnd w:id="61"/>
      <w:r/>
      <w:bookmarkEnd w:id="54"/>
      <w:bookmarkEnd w:id="60"/>
      <w:r/>
    </w:p>
    <w:p>
      <w:pPr>
        <w:ind w:firstLine="480"/>
        <w:jc w:val="left"/>
        <w:spacing w:line="360" w:lineRule="auto"/>
        <w:rPr>
          <w:rFonts w:ascii="宋体" w:hAnsi="宋体"/>
          <w:bCs/>
          <w:color w:val="000000"/>
          <w:sz w:val="24"/>
          <w:szCs w:val="24"/>
          <w:highlight w:val="none"/>
        </w:rPr>
      </w:pPr>
      <w:r/>
      <w:bookmarkStart w:id="62"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3" w:name="OLE_LINK227"/>
      <w:r>
        <w:rPr>
          <w:rFonts w:hint="eastAsia" w:ascii="宋体" w:hAnsi="宋体"/>
          <w:bCs/>
          <w:color w:val="000000"/>
          <w:sz w:val="24"/>
          <w:szCs w:val="28"/>
          <w:highlight w:val="none"/>
        </w:rPr>
        <w:t xml:space="preserve">如</w:t>
      </w:r>
      <w:bookmarkStart w:id="64" w:name="OLE_LINK45"/>
      <w:r>
        <w:rPr>
          <w:rFonts w:hint="eastAsia" w:ascii="宋体" w:hAnsi="宋体"/>
          <w:bCs/>
          <w:color w:val="000000"/>
          <w:sz w:val="24"/>
          <w:szCs w:val="28"/>
          <w:highlight w:val="none"/>
        </w:rPr>
        <w:t xml:space="preserve">采购人、</w:t>
      </w:r>
      <w:bookmarkEnd w:id="64"/>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5" w:name="OLE_LINK260"/>
      <w:r>
        <w:rPr>
          <w:rFonts w:hint="eastAsia" w:ascii="宋体" w:hAnsi="宋体"/>
          <w:bCs/>
          <w:color w:val="000000"/>
          <w:sz w:val="24"/>
          <w:szCs w:val="24"/>
          <w:highlight w:val="none"/>
        </w:rPr>
        <w:t xml:space="preserve">补充、修改或者撤回</w:t>
      </w:r>
      <w:bookmarkEnd w:id="6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6" w:name="OLE_LINK228"/>
      <w:r>
        <w:rPr>
          <w:rFonts w:hint="eastAsia" w:ascii="宋体" w:hAnsi="宋体"/>
          <w:bCs/>
          <w:color w:val="000000"/>
          <w:sz w:val="24"/>
          <w:szCs w:val="24"/>
          <w:highlight w:val="none"/>
        </w:rPr>
        <w:t xml:space="preserve">在投标截止时间之后，</w:t>
      </w:r>
      <w:bookmarkStart w:id="67" w:name="_Hlk128404679"/>
      <w:r>
        <w:rPr>
          <w:rFonts w:hint="eastAsia" w:ascii="宋体" w:hAnsi="宋体"/>
          <w:bCs/>
          <w:color w:val="000000"/>
          <w:sz w:val="24"/>
          <w:szCs w:val="24"/>
          <w:highlight w:val="none"/>
        </w:rPr>
        <w:t xml:space="preserve">采购人、采购代理机构、评标委员会不接受</w:t>
      </w:r>
      <w:bookmarkEnd w:id="67"/>
      <w:r>
        <w:rPr>
          <w:rFonts w:hint="eastAsia" w:ascii="宋体" w:hAnsi="宋体"/>
          <w:bCs/>
          <w:color w:val="000000"/>
          <w:sz w:val="24"/>
          <w:szCs w:val="24"/>
          <w:highlight w:val="none"/>
        </w:rPr>
        <w:t xml:space="preserve">投标人主动对其投标文件做任何</w:t>
      </w:r>
      <w:bookmarkStart w:id="68" w:name="OLE_LINK54"/>
      <w:r>
        <w:rPr>
          <w:rFonts w:hint="eastAsia" w:ascii="宋体" w:hAnsi="宋体"/>
          <w:bCs/>
          <w:color w:val="000000"/>
          <w:sz w:val="24"/>
          <w:szCs w:val="24"/>
          <w:highlight w:val="none"/>
        </w:rPr>
        <w:t xml:space="preserve">补充、</w:t>
      </w:r>
      <w:bookmarkEnd w:id="68"/>
      <w:r>
        <w:rPr>
          <w:rFonts w:hint="eastAsia" w:ascii="宋体" w:hAnsi="宋体"/>
          <w:bCs/>
          <w:color w:val="000000"/>
          <w:sz w:val="24"/>
          <w:szCs w:val="24"/>
          <w:highlight w:val="none"/>
        </w:rPr>
        <w:t xml:space="preserve">修改</w:t>
      </w:r>
      <w:bookmarkEnd w:id="66"/>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6"/>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6"/>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69" w:name="OLE_LINK137"/>
      <w:r>
        <w:rPr>
          <w:rFonts w:hint="eastAsia" w:ascii="宋体" w:hAnsi="宋体" w:cs="宋体"/>
          <w:bCs/>
          <w:color w:val="000000"/>
          <w:sz w:val="24"/>
          <w:szCs w:val="24"/>
          <w:highlight w:val="none"/>
          <w:lang w:val="zh-CN"/>
        </w:rPr>
        <w:t xml:space="preserve">（含虚假承诺）</w:t>
      </w:r>
      <w:bookmarkEnd w:id="69"/>
      <w:r>
        <w:rPr>
          <w:rFonts w:hint="eastAsia" w:ascii="宋体" w:hAnsi="宋体" w:cs="宋体"/>
          <w:bCs/>
          <w:color w:val="000000"/>
          <w:sz w:val="24"/>
          <w:szCs w:val="24"/>
          <w:highlight w:val="none"/>
          <w:lang w:val="zh-CN"/>
        </w:rPr>
        <w:t xml:space="preserve">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70"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70"/>
      <w:r>
        <w:rPr>
          <w:rFonts w:hint="eastAsia" w:ascii="宋体" w:hAnsi="宋体" w:cs="宋体"/>
          <w:bCs/>
          <w:color w:val="000000"/>
          <w:sz w:val="24"/>
          <w:szCs w:val="24"/>
          <w:highlight w:val="none"/>
          <w:lang w:val="zh-CN"/>
        </w:rPr>
        <w:t xml:space="preserve">；</w:t>
      </w:r>
      <w:r/>
    </w:p>
    <w:p>
      <w:pPr>
        <w:numPr>
          <w:ilvl w:val="0"/>
          <w:numId w:val="6"/>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lang w:val="zh-CN"/>
        </w:rPr>
        <w:t xml:space="preserve">法律、法规和招标文件规定的其他无效情形。</w:t>
      </w:r>
      <w:r/>
    </w:p>
    <w:p>
      <w:pPr>
        <w:numPr>
          <w:ilvl w:val="0"/>
          <w:numId w:val="8"/>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ind w:firstLine="480"/>
        <w:jc w:val="left"/>
        <w:spacing w:line="360" w:lineRule="auto"/>
        <w:rPr>
          <w:rFonts w:ascii="宋体" w:hAnsi="宋体"/>
          <w:bCs/>
          <w:color w:val="000000"/>
          <w:sz w:val="24"/>
          <w:szCs w:val="24"/>
          <w:highlight w:val="none"/>
        </w:rPr>
      </w:pPr>
      <w:r/>
      <w:bookmarkStart w:id="71" w:name="_Hlk151449361"/>
      <w:r/>
      <w:bookmarkStart w:id="72" w:name="OLE_LINK96"/>
      <w:r>
        <w:rPr>
          <w:rFonts w:hint="eastAsia" w:ascii="宋体" w:hAnsi="宋体"/>
          <w:bCs/>
          <w:color w:val="000000"/>
          <w:sz w:val="24"/>
          <w:szCs w:val="24"/>
          <w:highlight w:val="none"/>
        </w:rPr>
        <w:t xml:space="preserve">19、</w:t>
      </w:r>
      <w:bookmarkStart w:id="73" w:name="_Hlk151562826"/>
      <w:r>
        <w:rPr>
          <w:rFonts w:hint="eastAsia" w:ascii="宋体" w:hAnsi="宋体"/>
          <w:bCs/>
          <w:color w:val="000000"/>
          <w:sz w:val="24"/>
          <w:szCs w:val="24"/>
          <w:highlight w:val="none"/>
        </w:rPr>
        <w:t xml:space="preserve">联合体、中标后分包（如有）</w:t>
      </w:r>
      <w:bookmarkEnd w:id="71"/>
      <w:bookmarkEnd w:id="73"/>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72"/>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74"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5" w:name="OLE_LINK199"/>
      <w:r>
        <w:rPr>
          <w:rFonts w:hint="eastAsia" w:ascii="宋体" w:hAnsi="宋体"/>
          <w:bCs/>
          <w:color w:val="000000"/>
          <w:sz w:val="24"/>
          <w:szCs w:val="24"/>
          <w:highlight w:val="none"/>
          <w:lang w:val="zh-CN"/>
        </w:rPr>
        <w:t xml:space="preserve">订联合体协议书</w:t>
      </w:r>
      <w:bookmarkEnd w:id="75"/>
      <w:r>
        <w:rPr>
          <w:rFonts w:hint="eastAsia" w:ascii="宋体" w:hAnsi="宋体"/>
          <w:bCs/>
          <w:color w:val="000000"/>
          <w:sz w:val="24"/>
          <w:szCs w:val="24"/>
          <w:highlight w:val="none"/>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7"/>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80"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81"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81"/>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82" w:name="_Hlk151562848"/>
      <w:r>
        <w:rPr>
          <w:rFonts w:hint="eastAsia" w:ascii="宋体" w:hAnsi="宋体"/>
          <w:bCs/>
          <w:color w:val="000000"/>
          <w:sz w:val="24"/>
          <w:szCs w:val="24"/>
          <w:highlight w:val="none"/>
          <w:lang w:val="zh-CN"/>
        </w:rPr>
        <w:t xml:space="preserve">在“苏采云开标大厅”开标，相关注意事项详见投标邀请函。</w:t>
      </w:r>
      <w:bookmarkEnd w:id="82"/>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83" w:name="_Hlk151562868"/>
      <w:r>
        <w:rPr>
          <w:rFonts w:hint="eastAsia" w:ascii="宋体" w:hAnsi="宋体"/>
          <w:bCs/>
          <w:color w:val="000000"/>
          <w:sz w:val="24"/>
          <w:szCs w:val="24"/>
          <w:highlight w:val="none"/>
          <w:lang w:val="zh-CN"/>
        </w:rPr>
        <w:t xml:space="preserve">开标</w:t>
      </w:r>
      <w:bookmarkStart w:id="84"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000000"/>
          <w:sz w:val="24"/>
          <w:szCs w:val="24"/>
          <w:highlight w:val="none"/>
          <w:lang w:val="zh-CN"/>
        </w:rPr>
        <w:t xml:space="preserve">投标人未参加开标的，视同认可开标结果。</w:t>
      </w:r>
      <w:bookmarkEnd w:id="83"/>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85" w:name="OLE_LINK131"/>
      <w:r/>
      <w:bookmarkStart w:id="86"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6"/>
      <w:r/>
      <w:bookmarkEnd w:id="87"/>
      <w:r>
        <w:rPr>
          <w:rFonts w:hint="eastAsia" w:ascii="宋体" w:hAnsi="宋体"/>
          <w:bCs/>
          <w:color w:val="000000"/>
          <w:sz w:val="24"/>
          <w:szCs w:val="24"/>
          <w:highlight w:val="none"/>
          <w:lang w:val="zh-CN"/>
        </w:rPr>
        <w:t xml:space="preserve">。</w:t>
      </w:r>
      <w:bookmarkEnd w:id="80"/>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88" w:name="OLE_LINK257"/>
      <w:r/>
      <w:bookmarkStart w:id="89" w:name="OLE_LINK261"/>
      <w:r>
        <w:rPr>
          <w:rFonts w:hint="eastAsia" w:ascii="宋体" w:hAnsi="宋体" w:cs="宋体"/>
          <w:bCs/>
          <w:color w:val="000000"/>
          <w:sz w:val="24"/>
          <w:szCs w:val="24"/>
          <w:highlight w:val="none"/>
        </w:rPr>
        <w:t xml:space="preserve">21.2.1 </w:t>
      </w:r>
      <w:bookmarkEnd w:id="88"/>
      <w:r/>
      <w:bookmarkStart w:id="90"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90"/>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89"/>
      <w:r/>
      <w:bookmarkStart w:id="91"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92"/>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93"/>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4"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4"/>
      <w:r/>
      <w:bookmarkStart w:id="95"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5"/>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96"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6"/>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7"/>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8" w:name="_Hlk128408333"/>
      <w:r>
        <w:rPr>
          <w:rFonts w:hint="eastAsia" w:ascii="宋体" w:hAnsi="宋体"/>
          <w:bCs/>
          <w:color w:val="000000"/>
          <w:sz w:val="24"/>
          <w:szCs w:val="24"/>
          <w:highlight w:val="none"/>
          <w:lang w:val="zh-CN"/>
        </w:rPr>
        <w:t xml:space="preserve">并作为中标候选人排序，</w:t>
      </w:r>
      <w:bookmarkStart w:id="99"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99"/>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8"/>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00" w:name="OLE_LINK201"/>
      <w:r>
        <w:rPr>
          <w:rFonts w:hint="eastAsia" w:ascii="宋体" w:hAnsi="宋体" w:cs="宋体"/>
          <w:bCs/>
          <w:color w:val="000000"/>
          <w:sz w:val="24"/>
          <w:szCs w:val="24"/>
          <w:highlight w:val="none"/>
        </w:rPr>
        <w:t xml:space="preserve">（</w:t>
      </w:r>
      <w:bookmarkStart w:id="101" w:name="OLE_LINK202"/>
      <w:r>
        <w:rPr>
          <w:rFonts w:hint="eastAsia" w:ascii="宋体" w:hAnsi="宋体" w:cs="宋体"/>
          <w:bCs/>
          <w:color w:val="000000"/>
          <w:sz w:val="24"/>
          <w:szCs w:val="24"/>
          <w:highlight w:val="none"/>
        </w:rPr>
        <w:t xml:space="preserve">22.5.2</w:t>
      </w:r>
      <w:bookmarkEnd w:id="101"/>
      <w:r>
        <w:rPr>
          <w:rFonts w:hint="eastAsia" w:ascii="宋体" w:hAnsi="宋体" w:cs="宋体"/>
          <w:bCs/>
          <w:color w:val="000000"/>
          <w:sz w:val="24"/>
          <w:szCs w:val="24"/>
          <w:highlight w:val="none"/>
        </w:rPr>
        <w:t xml:space="preserve">）</w:t>
      </w:r>
      <w:bookmarkEnd w:id="100"/>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02"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02"/>
      <w:r/>
      <w:bookmarkStart w:id="103" w:name="OLE_LINK135"/>
      <w:r/>
      <w:bookmarkEnd w:id="103"/>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4"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en-US" w:eastAsia="zh-CN"/>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5"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000000"/>
          <w:sz w:val="24"/>
          <w:szCs w:val="24"/>
          <w:highlight w:val="none"/>
          <w:lang w:val="zh-CN"/>
        </w:rPr>
        <w:t xml:space="preserve">。</w:t>
      </w:r>
      <w:bookmarkEnd w:id="105"/>
      <w:r/>
      <w:bookmarkEnd w:id="106"/>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7"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lang w:val="en-US" w:eastAsia="zh-CN"/>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08"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09"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09"/>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10"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11"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8"/>
      <w:r/>
      <w:bookmarkEnd w:id="11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ascii="黑体" w:hAnsi="黑体" w:eastAsia="黑体"/>
          <w:color w:val="000000"/>
          <w:sz w:val="28"/>
          <w:highlight w:val="none"/>
        </w:rPr>
      </w:pPr>
      <w:r>
        <w:rPr>
          <w:rFonts w:ascii="黑体" w:hAnsi="黑体" w:eastAsia="黑体"/>
          <w:color w:val="000000"/>
          <w:sz w:val="28"/>
          <w:highlight w:val="none"/>
        </w:rPr>
        <w:br w:type="page" w:clear="all"/>
      </w:r>
      <w:bookmarkEnd w:id="104"/>
      <w:r/>
      <w:bookmarkStart w:id="113" w:name="_Toc23355"/>
      <w:r>
        <w:rPr>
          <w:rFonts w:hint="eastAsia" w:ascii="黑体" w:hAnsi="黑体" w:eastAsia="黑体"/>
          <w:color w:val="000000"/>
          <w:sz w:val="28"/>
          <w:highlight w:val="none"/>
        </w:rPr>
        <w:t xml:space="preserve">第三章 项目技术要求和有关说明</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本项目为宜兴市土地收购储备中心</w:t>
      </w:r>
      <w:r>
        <w:rPr>
          <w:rFonts w:hint="eastAsia" w:ascii="宋体" w:hAnsi="宋体"/>
          <w:sz w:val="24"/>
          <w:szCs w:val="24"/>
          <w:highlight w:val="none"/>
          <w:lang w:val="en-US" w:eastAsia="zh-CN"/>
        </w:rPr>
        <w:t xml:space="preserve">为宜兴国际旅游度假区龙池嘉园安置小区、配套三通一平、其他非征地拆迁类等项目的复审</w:t>
      </w:r>
      <w:r>
        <w:rPr>
          <w:rFonts w:hint="eastAsia" w:ascii="宋体" w:hAnsi="宋体"/>
          <w:sz w:val="24"/>
          <w:szCs w:val="24"/>
          <w:highlight w:val="none"/>
        </w:rPr>
        <w:t xml:space="preserve">，具体要求如下：</w:t>
      </w:r>
      <w:r/>
    </w:p>
    <w:p>
      <w:pPr>
        <w:ind w:firstLine="480"/>
        <w:spacing w:line="36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一、工作内容</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龙池嘉园安置小区、配套、三通一平、其他非征地拆迁类等项目的复审</w:t>
      </w:r>
      <w:r/>
    </w:p>
    <w:p>
      <w:pPr>
        <w:ind w:firstLine="480"/>
        <w:spacing w:line="36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二、技术要求</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1、本项目所有人员一人一岗，不得兼职。投标人</w:t>
      </w:r>
      <w:r>
        <w:rPr>
          <w:rFonts w:hint="eastAsia" w:ascii="宋体" w:hAnsi="宋体"/>
          <w:sz w:val="24"/>
          <w:szCs w:val="24"/>
          <w:highlight w:val="none"/>
        </w:rPr>
        <w:t xml:space="preserve">须提供相关证明材料</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如在办理中提供相关材料</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复印件并加盖单位公章放入</w:t>
      </w:r>
      <w:r>
        <w:rPr>
          <w:rFonts w:hint="eastAsia" w:ascii="宋体" w:hAnsi="宋体"/>
          <w:sz w:val="24"/>
          <w:szCs w:val="24"/>
          <w:highlight w:val="none"/>
          <w:lang w:val="en-US" w:eastAsia="zh-CN"/>
        </w:rPr>
        <w:t xml:space="preserve">投标</w:t>
      </w:r>
      <w:r>
        <w:rPr>
          <w:rFonts w:hint="eastAsia" w:ascii="宋体" w:hAnsi="宋体"/>
          <w:sz w:val="24"/>
          <w:szCs w:val="24"/>
          <w:highlight w:val="none"/>
          <w:lang w:eastAsia="zh-CN"/>
        </w:rPr>
        <w:t xml:space="preserve">文件</w:t>
      </w:r>
      <w:r>
        <w:rPr>
          <w:rFonts w:hint="eastAsia" w:ascii="宋体" w:hAnsi="宋体"/>
          <w:sz w:val="24"/>
          <w:szCs w:val="24"/>
          <w:highlight w:val="none"/>
          <w:lang w:val="en-US" w:eastAsia="zh-CN"/>
        </w:rPr>
        <w:t xml:space="preserve">。</w:t>
      </w:r>
      <w:r>
        <w:rPr>
          <w:rFonts w:hint="eastAsia" w:ascii="宋体" w:hAnsi="宋体"/>
          <w:b/>
          <w:bCs/>
          <w:sz w:val="24"/>
          <w:szCs w:val="24"/>
          <w:highlight w:val="none"/>
          <w:lang w:val="en-US" w:eastAsia="zh-CN"/>
        </w:rPr>
        <w:t xml:space="preserve">投标人</w:t>
      </w:r>
      <w:r>
        <w:rPr>
          <w:rFonts w:hint="eastAsia" w:ascii="宋体" w:hAnsi="宋体"/>
          <w:b/>
          <w:bCs/>
          <w:sz w:val="24"/>
          <w:szCs w:val="24"/>
          <w:highlight w:val="none"/>
        </w:rPr>
        <w:t xml:space="preserve">须提供相关证明材料</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如在办理中提供相关材料</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复印件并加盖单位公章放入</w:t>
      </w:r>
      <w:r>
        <w:rPr>
          <w:rFonts w:hint="eastAsia" w:ascii="宋体" w:hAnsi="宋体"/>
          <w:b/>
          <w:bCs/>
          <w:sz w:val="24"/>
          <w:szCs w:val="24"/>
          <w:highlight w:val="none"/>
          <w:lang w:val="en-US" w:eastAsia="zh-CN"/>
        </w:rPr>
        <w:t xml:space="preserve">投标</w:t>
      </w:r>
      <w:r>
        <w:rPr>
          <w:rFonts w:hint="eastAsia" w:ascii="宋体" w:hAnsi="宋体"/>
          <w:b/>
          <w:bCs/>
          <w:sz w:val="24"/>
          <w:szCs w:val="24"/>
          <w:highlight w:val="none"/>
          <w:lang w:eastAsia="zh-CN"/>
        </w:rPr>
        <w:t xml:space="preserve">文件</w:t>
      </w:r>
      <w:r>
        <w:rPr>
          <w:rFonts w:hint="eastAsia" w:ascii="宋体" w:hAnsi="宋体"/>
          <w:b/>
          <w:bCs/>
          <w:sz w:val="24"/>
          <w:szCs w:val="24"/>
          <w:highlight w:val="none"/>
          <w:lang w:val="en-US" w:eastAsia="zh-CN"/>
        </w:rPr>
        <w:t xml:space="preserve">。</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须具有健全的内部管理机制，没有发生过严重的违规、违纪和违法事件，未被有关部门列入过黑名单。</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本项目</w:t>
      </w:r>
      <w:r>
        <w:rPr>
          <w:rFonts w:hint="eastAsia" w:ascii="宋体" w:hAnsi="宋体"/>
          <w:sz w:val="24"/>
          <w:szCs w:val="24"/>
          <w:highlight w:val="none"/>
          <w:lang w:val="en-US" w:eastAsia="zh-CN"/>
        </w:rPr>
        <w:t xml:space="preserve">复审的预算费用，按《宜兴市政府投资建设项目抽复审工作实施细则》（宜政发〔2019〕197号）计算</w:t>
      </w:r>
      <w:r>
        <w:rPr>
          <w:rFonts w:hint="eastAsia" w:ascii="宋体" w:hAnsi="宋体"/>
          <w:sz w:val="24"/>
          <w:szCs w:val="24"/>
          <w:highlight w:val="none"/>
        </w:rPr>
        <w:t xml:space="preserve">，凡参加投标的单位均被认为同意该服务费费率。</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4、凡已参与过龙池嘉园安置小区、配套三通一平、其他非征地拆迁类等相关项目或参与部分项目的初审单位，本次复审应予回避。</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5、宜兴市审计局负责管理本次复审相关事宜，中标单位驻宜兴市审计局开展工作。</w:t>
      </w:r>
      <w:r/>
    </w:p>
    <w:p>
      <w:pPr>
        <w:ind w:firstLine="482"/>
        <w:jc w:val="left"/>
        <w:spacing w:line="360" w:lineRule="auto"/>
        <w:rPr>
          <w:rFonts w:hint="default"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三、成果要求</w:t>
      </w:r>
      <w:r/>
    </w:p>
    <w:p>
      <w:pPr>
        <w:ind w:firstLine="480"/>
        <w:jc w:val="left"/>
        <w:spacing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提供复审报告。</w:t>
      </w:r>
      <w:r/>
    </w:p>
    <w:p>
      <w:pPr>
        <w:ind w:firstLine="480"/>
        <w:spacing w:line="360" w:lineRule="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四</w:t>
      </w:r>
      <w:r>
        <w:rPr>
          <w:rFonts w:hint="eastAsia" w:ascii="宋体" w:hAnsi="宋体" w:eastAsia="宋体" w:cs="Times New Roman"/>
          <w:b/>
          <w:bCs w:val="0"/>
          <w:color w:val="auto"/>
          <w:sz w:val="24"/>
          <w:szCs w:val="24"/>
          <w:highlight w:val="none"/>
          <w:lang w:val="en-US" w:eastAsia="zh-CN"/>
        </w:rPr>
        <w:t xml:space="preserve">、商务要求</w:t>
      </w:r>
      <w:r/>
    </w:p>
    <w:p>
      <w:pPr>
        <w:numPr>
          <w:ilvl w:val="0"/>
          <w:numId w:val="0"/>
        </w:numPr>
        <w:ind w:firstLine="482"/>
        <w:spacing w:line="360" w:lineRule="auto"/>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1、服务期限：自合同签订之日起100天。</w:t>
      </w:r>
      <w:r/>
    </w:p>
    <w:p>
      <w:pPr>
        <w:numPr>
          <w:ilvl w:val="0"/>
          <w:numId w:val="0"/>
        </w:numPr>
        <w:ind w:firstLine="482"/>
        <w:spacing w:line="360" w:lineRule="auto"/>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2、服务地点：宜兴市土地收购储备中心指定地点。</w:t>
      </w:r>
      <w:r/>
    </w:p>
    <w:p>
      <w:pPr>
        <w:numPr>
          <w:ilvl w:val="0"/>
          <w:numId w:val="0"/>
        </w:numPr>
        <w:ind w:firstLine="482"/>
        <w:spacing w:line="360" w:lineRule="auto"/>
        <w:rPr>
          <w:rFonts w:hint="eastAsia" w:ascii="宋体" w:hAnsi="宋体" w:eastAsia="宋体"/>
          <w:b w:val="0"/>
          <w:bCs/>
          <w:color w:val="auto"/>
          <w:sz w:val="24"/>
          <w:szCs w:val="24"/>
          <w:highlight w:val="none"/>
          <w:lang w:val="en-US" w:eastAsia="zh-CN"/>
        </w:rPr>
      </w:pPr>
      <w:r>
        <w:rPr>
          <w:rFonts w:hint="eastAsia" w:ascii="宋体" w:hAnsi="宋体" w:eastAsia="宋体"/>
          <w:b w:val="0"/>
          <w:bCs/>
          <w:color w:val="auto"/>
          <w:sz w:val="24"/>
          <w:szCs w:val="24"/>
          <w:highlight w:val="none"/>
          <w:lang w:val="en-US" w:eastAsia="zh-CN"/>
        </w:rPr>
        <w:t xml:space="preserve">3、验收标准：采购人根据国家有关规定、招标文件以及合同约定的内容。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b w:val="0"/>
          <w:bCs/>
          <w:color w:val="auto"/>
          <w:sz w:val="24"/>
          <w:szCs w:val="24"/>
          <w:highlight w:val="none"/>
          <w:lang w:val="en-US" w:eastAsia="zh-CN"/>
        </w:rPr>
        <w:t xml:space="preserve">    4、付款步骤：</w:t>
      </w:r>
      <w:r>
        <w:rPr>
          <w:rFonts w:hint="eastAsia" w:ascii="宋体" w:hAnsi="宋体" w:eastAsia="宋体"/>
          <w:b w:val="0"/>
          <w:bCs/>
          <w:color w:val="auto"/>
          <w:sz w:val="24"/>
          <w:szCs w:val="24"/>
          <w:highlight w:val="none"/>
          <w:lang w:val="en-US" w:eastAsia="zh-CN"/>
        </w:rPr>
      </w:r>
      <w:r>
        <w:rPr>
          <w:rFonts w:ascii="SimSun" w:hAnsi="SimSun" w:eastAsia="SimSun" w:cs="SimSun"/>
          <w:color w:val="000000"/>
          <w:sz w:val="24"/>
        </w:rPr>
        <w:t xml:space="preserve">提交复审报告且经采购人确认后支付合同价的70%，余款第二年付清。</w:t>
      </w:r>
      <w:r/>
      <w:r>
        <w:rPr>
          <w:rFonts w:hint="eastAsia" w:ascii="宋体" w:hAnsi="宋体" w:eastAsia="宋体"/>
          <w:b w:val="0"/>
          <w:bCs/>
          <w:color w:val="auto"/>
          <w:sz w:val="24"/>
          <w:szCs w:val="24"/>
          <w:highlight w:val="none"/>
          <w:lang w:val="en-US" w:eastAsia="zh-CN"/>
        </w:rPr>
      </w:r>
      <w:r/>
      <w:r/>
      <w:r>
        <w:rPr>
          <w:sz w:val="21"/>
        </w:rPr>
      </w:r>
    </w:p>
    <w:p>
      <w:pPr>
        <w:ind w:firstLine="480"/>
        <w:spacing w:line="360" w:lineRule="auto"/>
        <w:rPr>
          <w:rFonts w:hint="default"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五</w:t>
      </w:r>
      <w:r>
        <w:rPr>
          <w:rFonts w:hint="eastAsia" w:ascii="宋体" w:hAnsi="宋体" w:eastAsia="宋体" w:cs="Times New Roman"/>
          <w:b/>
          <w:bCs w:val="0"/>
          <w:color w:val="auto"/>
          <w:sz w:val="24"/>
          <w:szCs w:val="24"/>
          <w:highlight w:val="none"/>
          <w:lang w:val="en-US" w:eastAsia="zh-CN"/>
        </w:rPr>
        <w:t xml:space="preserve">、有关说明</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本章有关服务与商务条款的要求为基准要求，如供应商不能完全符合此基准要求，可高于此基准要求进行报价，采购人将不接受低于该基准要求（负偏离）的报价，供应商需对此基准要求作实质性响应。</w:t>
      </w:r>
      <w:r/>
    </w:p>
    <w:p>
      <w:pPr>
        <w:ind w:firstLine="560"/>
        <w:jc w:val="center"/>
        <w:spacing w:line="360" w:lineRule="auto"/>
        <w:rPr>
          <w:rFonts w:ascii="黑体" w:hAnsi="黑体" w:eastAsia="黑体"/>
          <w:bCs/>
          <w:color w:val="000000"/>
          <w:sz w:val="28"/>
          <w:highlight w:val="none"/>
        </w:rPr>
        <w:outlineLvl w:val="0"/>
      </w:pPr>
      <w:r>
        <w:rPr>
          <w:rFonts w:hint="eastAsia" w:ascii="宋体" w:hAnsi="宋体"/>
          <w:sz w:val="24"/>
          <w:szCs w:val="24"/>
          <w:highlight w:val="none"/>
          <w:lang w:val="en-US" w:eastAsia="zh-CN"/>
        </w:rPr>
        <w:br w:type="page" w:clear="all"/>
      </w: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r/>
    </w:p>
    <w:p>
      <w:pPr>
        <w:jc w:val="left"/>
        <w:spacing w:line="360" w:lineRule="auto"/>
        <w:rPr>
          <w:rFonts w:ascii="宋体" w:hAnsi="宋体"/>
          <w:color w:val="000000"/>
          <w:szCs w:val="21"/>
          <w:highlight w:val="none"/>
        </w:rPr>
      </w:pPr>
      <w:r>
        <w:rPr>
          <w:rFonts w:ascii="宋体" w:hAnsi="宋体"/>
          <w:color w:val="000000"/>
          <w:szCs w:val="21"/>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一、评分项目（总分100分）</w:t>
      </w:r>
      <w:r/>
    </w:p>
    <w:tbl>
      <w:tblPr>
        <w:tblStyle w:val="8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技术商务部分</w:t>
            </w:r>
            <w:r/>
          </w:p>
        </w:tc>
        <w:tc>
          <w:tcPr>
            <w:tcW w:w="5755" w:type="dxa"/>
            <w:vAlign w:val="center"/>
            <w:textDirection w:val="lrTb"/>
            <w:noWrap w:val="false"/>
          </w:tcPr>
          <w:p>
            <w:pPr>
              <w:jc w:val="center"/>
              <w:rPr>
                <w:rFonts w:ascii="宋体" w:cs="宋体"/>
                <w:color w:val="auto"/>
                <w:sz w:val="24"/>
                <w:szCs w:val="24"/>
                <w:highlight w:val="none"/>
              </w:rPr>
            </w:pPr>
            <w:r>
              <w:rPr>
                <w:rFonts w:hint="eastAsia" w:ascii="宋体" w:hAnsi="宋体"/>
                <w:sz w:val="24"/>
                <w:szCs w:val="24"/>
                <w:highlight w:val="none"/>
              </w:rPr>
              <w:t xml:space="preserve">90分</w:t>
            </w:r>
            <w:r/>
          </w:p>
        </w:tc>
      </w:tr>
      <w:tr>
        <w:trPr>
          <w:jc w:val="center"/>
          <w:trHeight w:val="629"/>
        </w:trPr>
        <w:tc>
          <w:tcPr>
            <w:tcW w:w="1785" w:type="dxa"/>
            <w:vAlign w:val="center"/>
            <w:textDirection w:val="lrTb"/>
            <w:noWrap w:val="false"/>
          </w:tcPr>
          <w:p>
            <w:pPr>
              <w:jc w:val="center"/>
              <w:rPr>
                <w:rFonts w:asci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5755" w:type="dxa"/>
            <w:vAlign w:val="center"/>
            <w:textDirection w:val="lrTb"/>
            <w:noWrap w:val="false"/>
          </w:tcPr>
          <w:p>
            <w:pPr>
              <w:jc w:val="center"/>
              <w:rPr>
                <w:rFonts w:ascii="宋体" w:cs="宋体"/>
                <w:color w:val="auto"/>
                <w:sz w:val="24"/>
                <w:szCs w:val="24"/>
                <w:highlight w:val="none"/>
              </w:rPr>
            </w:pPr>
            <w:r>
              <w:rPr>
                <w:rFonts w:hint="eastAsia" w:ascii="宋体" w:hAnsi="宋体"/>
                <w:sz w:val="24"/>
                <w:szCs w:val="24"/>
                <w:highlight w:val="none"/>
              </w:rPr>
              <w:t xml:space="preserve">10分</w:t>
            </w:r>
            <w:r/>
          </w:p>
        </w:tc>
      </w:tr>
    </w:tbl>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二、评审内容：</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1、技术商务部分</w:t>
      </w:r>
      <w:r/>
    </w:p>
    <w:tbl>
      <w:tblPr>
        <w:tblStyle w:val="830"/>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635"/>
        <w:gridCol w:w="1211"/>
        <w:gridCol w:w="703"/>
        <w:gridCol w:w="6635"/>
      </w:tblGrid>
      <w:tr>
        <w:trPr>
          <w:jc w:val="center"/>
          <w:trHeight w:val="840"/>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3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right w:val="single" w:color="auto" w:sz="4" w:space="0"/>
            </w:tcBorders>
            <w:tcW w:w="60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349"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293"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jc w:val="center"/>
          <w:trHeight w:val="868"/>
        </w:trPr>
        <w:tc>
          <w:tcPr>
            <w:tcBorders>
              <w:top w:val="single" w:color="auto" w:sz="4" w:space="0"/>
              <w:left w:val="single" w:color="auto" w:sz="4" w:space="0"/>
              <w:right w:val="single" w:color="auto" w:sz="4" w:space="0"/>
            </w:tcBorders>
            <w:tcW w:w="440"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技术评审因素</w:t>
            </w: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right w:val="single" w:color="auto" w:sz="4" w:space="0"/>
            </w:tcBorders>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szCs w:val="21"/>
              </w:rPr>
              <w:t xml:space="preserve">1</w:t>
            </w:r>
            <w:r/>
          </w:p>
        </w:tc>
        <w:tc>
          <w:tcPr>
            <w:tcBorders>
              <w:top w:val="single" w:color="auto" w:sz="4" w:space="0"/>
              <w:left w:val="single" w:color="auto" w:sz="4" w:space="0"/>
              <w:right w:val="single" w:color="auto" w:sz="4" w:space="0"/>
            </w:tcBorders>
            <w:tcW w:w="1211"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ascii="宋体" w:hAnsi="宋体"/>
                <w:szCs w:val="21"/>
              </w:rPr>
              <w:t xml:space="preserve">服务内容</w:t>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ascii="宋体" w:hAnsi="宋体"/>
                <w:szCs w:val="21"/>
              </w:rPr>
              <w:t xml:space="preserve">42</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numPr>
                <w:ilvl w:val="0"/>
                <w:numId w:val="13"/>
              </w:numPr>
              <w:jc w:val="left"/>
              <w:rPr>
                <w:rFonts w:hint="eastAsia" w:ascii="宋体" w:hAnsi="宋体" w:cs="宋体"/>
                <w:szCs w:val="21"/>
              </w:rPr>
            </w:pPr>
            <w:r>
              <w:rPr>
                <w:rFonts w:hint="eastAsia" w:ascii="宋体" w:hAnsi="宋体" w:cs="宋体"/>
                <w:szCs w:val="21"/>
              </w:rPr>
              <w:t xml:space="preserve">服务方案的内容及范围</w:t>
            </w:r>
            <w:r>
              <w:rPr>
                <w:rFonts w:hint="eastAsia" w:ascii="宋体" w:hAnsi="宋体" w:cs="宋体"/>
                <w:szCs w:val="21"/>
              </w:rPr>
              <w:t xml:space="preserve">：结算审核方案完整、可行的，得6分；较完整、较可行的，得</w:t>
            </w:r>
            <w:r>
              <w:rPr>
                <w:rFonts w:ascii="宋体" w:hAnsi="宋体" w:cs="宋体"/>
                <w:szCs w:val="21"/>
              </w:rPr>
              <w:t xml:space="preserve">4</w:t>
            </w:r>
            <w:r>
              <w:rPr>
                <w:rFonts w:hint="eastAsia" w:ascii="宋体" w:hAnsi="宋体" w:cs="宋体"/>
                <w:szCs w:val="21"/>
              </w:rPr>
              <w:t xml:space="preserve">分；一般的得2分；其余情况不得分。 </w:t>
            </w:r>
            <w:r>
              <w:rPr>
                <w:rFonts w:ascii="宋体" w:hAnsi="宋体" w:cs="宋体"/>
                <w:szCs w:val="21"/>
              </w:rPr>
              <w:t xml:space="preserve">                                        </w:t>
            </w:r>
            <w:r>
              <w:rPr>
                <w:rFonts w:hint="eastAsia" w:ascii="宋体" w:hAnsi="宋体" w:cs="宋体"/>
                <w:szCs w:val="21"/>
              </w:rPr>
              <w:t xml:space="preserve">（2）</w:t>
            </w:r>
            <w:r>
              <w:rPr>
                <w:rFonts w:hint="eastAsia" w:ascii="宋体" w:hAnsi="宋体" w:cs="宋体"/>
                <w:szCs w:val="21"/>
              </w:rPr>
              <w:t xml:space="preserve">质量控制措施及手段</w:t>
            </w:r>
            <w:r>
              <w:rPr>
                <w:rFonts w:hint="eastAsia" w:ascii="宋体" w:hAnsi="宋体" w:cs="宋体"/>
                <w:szCs w:val="21"/>
              </w:rPr>
              <w:t xml:space="preserve">：</w:t>
            </w:r>
            <w:r>
              <w:rPr>
                <w:rFonts w:hint="eastAsia" w:ascii="宋体" w:hAnsi="宋体" w:cs="宋体"/>
                <w:szCs w:val="21"/>
              </w:rPr>
              <w:t xml:space="preserve">服务方案中质量控制措施和手段合理、可靠的，得</w:t>
            </w:r>
            <w:r>
              <w:rPr>
                <w:rFonts w:ascii="宋体" w:hAnsi="宋体" w:cs="宋体"/>
                <w:szCs w:val="21"/>
              </w:rPr>
              <w:t xml:space="preserve">6</w:t>
            </w:r>
            <w:r>
              <w:rPr>
                <w:rFonts w:hint="eastAsia" w:ascii="宋体" w:hAnsi="宋体" w:cs="宋体"/>
                <w:szCs w:val="21"/>
              </w:rPr>
              <w:t xml:space="preserve">分；基本</w:t>
            </w:r>
            <w:r>
              <w:rPr>
                <w:rFonts w:hint="eastAsia" w:ascii="宋体" w:hAnsi="宋体" w:cs="宋体"/>
                <w:szCs w:val="21"/>
              </w:rPr>
              <w:t xml:space="preserve">合理、可靠的，得</w:t>
            </w:r>
            <w:r>
              <w:rPr>
                <w:rFonts w:ascii="宋体" w:hAnsi="宋体" w:cs="宋体"/>
                <w:szCs w:val="21"/>
              </w:rPr>
              <w:t xml:space="preserve">4</w:t>
            </w:r>
            <w:r>
              <w:rPr>
                <w:rFonts w:hint="eastAsia" w:ascii="宋体" w:hAnsi="宋体" w:cs="宋体"/>
                <w:szCs w:val="21"/>
              </w:rPr>
              <w:t xml:space="preserve">分；一般的得2分；其余情况不得分。 </w:t>
            </w:r>
            <w:r>
              <w:rPr>
                <w:rFonts w:ascii="宋体" w:hAnsi="宋体" w:cs="宋体"/>
                <w:szCs w:val="21"/>
              </w:rPr>
              <w:t xml:space="preserve">                                         </w:t>
            </w:r>
            <w:r/>
          </w:p>
          <w:p>
            <w:pPr>
              <w:numPr>
                <w:ilvl w:val="0"/>
                <w:numId w:val="0"/>
              </w:numPr>
              <w:jc w:val="lef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重点、难点分析及应对措施</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①、服务方案中的重点、难点分析合理的，得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基本</w:t>
            </w:r>
            <w:r>
              <w:rPr>
                <w:rFonts w:hint="eastAsia" w:ascii="宋体" w:hAnsi="宋体" w:cs="宋体"/>
                <w:szCs w:val="21"/>
              </w:rPr>
              <w:t xml:space="preserve">合理的，得</w:t>
            </w:r>
            <w:r>
              <w:rPr>
                <w:rFonts w:ascii="宋体" w:hAnsi="宋体" w:cs="宋体"/>
                <w:szCs w:val="21"/>
              </w:rPr>
              <w:t xml:space="preserve">4</w:t>
            </w:r>
            <w:r>
              <w:rPr>
                <w:rFonts w:hint="eastAsia" w:ascii="宋体" w:hAnsi="宋体" w:cs="宋体"/>
                <w:szCs w:val="21"/>
              </w:rPr>
              <w:t xml:space="preserve">分；一般的得2分；其余情况不得分。</w:t>
            </w:r>
            <w:r>
              <w:rPr>
                <w:rFonts w:hint="eastAsia" w:ascii="宋体" w:hAnsi="宋体" w:cs="宋体"/>
                <w:szCs w:val="21"/>
              </w:rPr>
              <w:t xml:space="preserve">②、针对重点及难点措施合理、可靠的，得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基本</w:t>
            </w:r>
            <w:r>
              <w:rPr>
                <w:rFonts w:hint="eastAsia" w:ascii="宋体" w:hAnsi="宋体" w:cs="宋体"/>
                <w:szCs w:val="21"/>
              </w:rPr>
              <w:t xml:space="preserve">合理、可靠的，得</w:t>
            </w:r>
            <w:r>
              <w:rPr>
                <w:rFonts w:ascii="宋体" w:hAnsi="宋体" w:cs="宋体"/>
                <w:szCs w:val="21"/>
              </w:rPr>
              <w:t xml:space="preserve">4</w:t>
            </w:r>
            <w:r>
              <w:rPr>
                <w:rFonts w:hint="eastAsia" w:ascii="宋体" w:hAnsi="宋体" w:cs="宋体"/>
                <w:szCs w:val="21"/>
              </w:rPr>
              <w:t xml:space="preserve">分；一般的得2分；其余情况不得分。</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（4）专业咨询人员廉洁要求及承诺： </w:t>
            </w:r>
            <w:r>
              <w:rPr>
                <w:rFonts w:ascii="宋体" w:hAnsi="宋体" w:cs="宋体"/>
                <w:szCs w:val="21"/>
              </w:rPr>
              <w:t xml:space="preserve">                                     </w:t>
            </w:r>
            <w:r>
              <w:rPr>
                <w:rFonts w:hint="eastAsia" w:ascii="宋体" w:hAnsi="宋体" w:cs="宋体"/>
                <w:szCs w:val="21"/>
              </w:rPr>
              <w:t xml:space="preserve">专业咨询人员廉洁要求合理、可行的，得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基本</w:t>
            </w:r>
            <w:r>
              <w:rPr>
                <w:rFonts w:hint="eastAsia" w:ascii="宋体" w:hAnsi="宋体" w:cs="宋体"/>
                <w:szCs w:val="21"/>
              </w:rPr>
              <w:t xml:space="preserve">合理、可行的，得</w:t>
            </w:r>
            <w:r>
              <w:rPr>
                <w:rFonts w:ascii="宋体" w:hAnsi="宋体" w:cs="宋体"/>
                <w:szCs w:val="21"/>
              </w:rPr>
              <w:t xml:space="preserve">4</w:t>
            </w:r>
            <w:r>
              <w:rPr>
                <w:rFonts w:hint="eastAsia" w:ascii="宋体" w:hAnsi="宋体" w:cs="宋体"/>
                <w:szCs w:val="21"/>
              </w:rPr>
              <w:t xml:space="preserve">分；一般的得2分；其余情况不得分。</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5</w:t>
            </w:r>
            <w:r>
              <w:rPr>
                <w:rFonts w:ascii="宋体" w:hAnsi="宋体" w:cs="宋体"/>
                <w:szCs w:val="21"/>
              </w:rPr>
              <w:t xml:space="preserve">）</w:t>
            </w:r>
            <w:r>
              <w:rPr>
                <w:rFonts w:hint="eastAsia" w:ascii="宋体" w:hAnsi="宋体" w:cs="宋体"/>
                <w:spacing w:val="-8"/>
                <w:szCs w:val="21"/>
              </w:rPr>
              <w:t xml:space="preserve">合理化建议、</w:t>
            </w:r>
            <w:r>
              <w:rPr>
                <w:rFonts w:hint="eastAsia" w:ascii="宋体" w:hAnsi="宋体" w:cs="宋体"/>
                <w:szCs w:val="21"/>
              </w:rPr>
              <w:t xml:space="preserve">增值服务</w:t>
            </w:r>
            <w:r>
              <w:rPr>
                <w:rFonts w:hint="eastAsia" w:ascii="宋体" w:hAnsi="宋体" w:cs="宋体"/>
                <w:spacing w:val="-8"/>
                <w:szCs w:val="21"/>
              </w:rPr>
              <w:t xml:space="preserve">及服务承诺： </w:t>
            </w:r>
            <w:r>
              <w:rPr>
                <w:rFonts w:ascii="宋体" w:hAnsi="宋体" w:cs="宋体"/>
                <w:spacing w:val="-8"/>
                <w:szCs w:val="21"/>
              </w:rPr>
              <w:t xml:space="preserve">                              </w:t>
            </w:r>
            <w:r>
              <w:rPr>
                <w:rFonts w:hint="eastAsia" w:ascii="宋体" w:hAnsi="宋体" w:cs="宋体"/>
                <w:szCs w:val="21"/>
              </w:rPr>
              <w:t xml:space="preserve">针对本项目提出的</w:t>
            </w:r>
            <w:r>
              <w:rPr>
                <w:rFonts w:hint="eastAsia" w:ascii="宋体" w:hAnsi="宋体" w:cs="宋体"/>
                <w:spacing w:val="-8"/>
                <w:szCs w:val="21"/>
              </w:rPr>
              <w:t xml:space="preserve">合理化建议、</w:t>
            </w:r>
            <w:r>
              <w:rPr>
                <w:rFonts w:hint="eastAsia" w:ascii="宋体" w:hAnsi="宋体" w:cs="宋体"/>
                <w:szCs w:val="21"/>
              </w:rPr>
              <w:t xml:space="preserve">增值服务</w:t>
            </w:r>
            <w:r>
              <w:rPr>
                <w:rFonts w:hint="eastAsia" w:ascii="宋体" w:hAnsi="宋体" w:cs="宋体"/>
                <w:spacing w:val="-8"/>
                <w:szCs w:val="21"/>
              </w:rPr>
              <w:t xml:space="preserve">及服务承诺</w:t>
            </w:r>
            <w:r>
              <w:rPr>
                <w:rFonts w:hint="eastAsia" w:ascii="宋体" w:hAnsi="宋体" w:cs="宋体"/>
                <w:szCs w:val="21"/>
              </w:rPr>
              <w:t xml:space="preserve">切实可行的，得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基本</w:t>
            </w:r>
            <w:r>
              <w:rPr>
                <w:rFonts w:hint="eastAsia" w:ascii="宋体" w:hAnsi="宋体" w:cs="宋体"/>
                <w:szCs w:val="21"/>
              </w:rPr>
              <w:t xml:space="preserve">可行的，得</w:t>
            </w:r>
            <w:r>
              <w:rPr>
                <w:rFonts w:ascii="宋体" w:hAnsi="宋体" w:cs="宋体"/>
                <w:szCs w:val="21"/>
              </w:rPr>
              <w:t xml:space="preserve">4</w:t>
            </w:r>
            <w:r>
              <w:rPr>
                <w:rFonts w:hint="eastAsia" w:ascii="宋体" w:hAnsi="宋体" w:cs="宋体"/>
                <w:szCs w:val="21"/>
              </w:rPr>
              <w:t xml:space="preserve">分；一般的得2分；其余情况不得分。</w:t>
            </w:r>
            <w:r/>
          </w:p>
          <w:p>
            <w:pPr>
              <w:ind w:left="2310" w:hanging="2310"/>
              <w:jc w:val="left"/>
              <w:rPr>
                <w:rFonts w:ascii="宋体" w:hAnsi="宋体"/>
                <w:szCs w:val="21"/>
              </w:rPr>
            </w:pPr>
            <w:r>
              <w:rPr>
                <w:rFonts w:hint="eastAsia" w:ascii="宋体" w:hAnsi="宋体" w:cs="宋体"/>
                <w:szCs w:val="21"/>
              </w:rPr>
              <w:t xml:space="preserve">（6）</w:t>
            </w:r>
            <w:r>
              <w:rPr>
                <w:rFonts w:hint="eastAsia" w:ascii="宋体" w:hAnsi="宋体"/>
                <w:szCs w:val="21"/>
              </w:rPr>
              <w:t xml:space="preserve">企业内部管理制度：人事管理制度、财务管</w:t>
            </w:r>
            <w:r/>
          </w:p>
          <w:p>
            <w:pPr>
              <w:jc w:val="left"/>
              <w:rPr>
                <w:rFonts w:hint="eastAsia" w:ascii="宋体" w:hAnsi="宋体" w:eastAsia="宋体" w:cs="宋体"/>
                <w:color w:val="auto"/>
                <w:sz w:val="24"/>
                <w:szCs w:val="24"/>
                <w:highlight w:val="none"/>
              </w:rPr>
            </w:pPr>
            <w:r>
              <w:rPr>
                <w:rFonts w:hint="eastAsia" w:ascii="宋体" w:hAnsi="宋体"/>
                <w:szCs w:val="21"/>
              </w:rPr>
              <w:t xml:space="preserve">理制度、档案管理制度、考勤制度，</w:t>
            </w:r>
            <w:r>
              <w:rPr>
                <w:rFonts w:hint="eastAsia" w:ascii="宋体" w:hAnsi="宋体" w:cs="宋体"/>
                <w:szCs w:val="21"/>
              </w:rPr>
              <w:t xml:space="preserve">制度合理、可行得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基本</w:t>
            </w:r>
            <w:r>
              <w:rPr>
                <w:rFonts w:hint="eastAsia" w:ascii="宋体" w:hAnsi="宋体" w:cs="宋体"/>
                <w:szCs w:val="21"/>
              </w:rPr>
              <w:t xml:space="preserve">可行的，得</w:t>
            </w:r>
            <w:r>
              <w:rPr>
                <w:rFonts w:ascii="宋体" w:hAnsi="宋体" w:cs="宋体"/>
                <w:szCs w:val="21"/>
              </w:rPr>
              <w:t xml:space="preserve">4</w:t>
            </w:r>
            <w:r>
              <w:rPr>
                <w:rFonts w:hint="eastAsia" w:ascii="宋体" w:hAnsi="宋体" w:cs="宋体"/>
                <w:szCs w:val="21"/>
              </w:rPr>
              <w:t xml:space="preserve">分；一般的得2分；其余情况不得分。</w:t>
            </w:r>
            <w:r/>
          </w:p>
        </w:tc>
      </w:tr>
      <w:tr>
        <w:trPr>
          <w:jc w:val="center"/>
          <w:trHeight w:val="1390"/>
        </w:trPr>
        <w:tc>
          <w:tcPr>
            <w:tcBorders>
              <w:left w:val="single" w:color="auto" w:sz="4" w:space="0"/>
              <w:right w:val="single" w:color="auto" w:sz="4" w:space="0"/>
            </w:tcBorders>
            <w:tcW w:w="440"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635"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ascii="宋体" w:hAnsi="宋体"/>
                <w:szCs w:val="21"/>
              </w:rPr>
              <w:t xml:space="preserve">2</w:t>
            </w:r>
            <w:r/>
          </w:p>
        </w:tc>
        <w:tc>
          <w:tcPr>
            <w:tcBorders>
              <w:left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lang w:val="en-US" w:eastAsia="zh-CN" w:bidi="ar"/>
              </w:rPr>
              <w:t xml:space="preserve">项目主审</w:t>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lang w:bidi="ar"/>
              </w:rPr>
              <w:t xml:space="preserve">根据投标人为本项目配备的项目负责人情况酌情评分，得0-</w:t>
            </w:r>
            <w:r>
              <w:rPr>
                <w:lang w:bidi="ar"/>
              </w:rPr>
              <w:t xml:space="preserve">8</w:t>
            </w:r>
            <w:r>
              <w:rPr>
                <w:rFonts w:hint="eastAsia"/>
                <w:lang w:bidi="ar"/>
              </w:rPr>
              <w:t xml:space="preserve">分。本项目配备的项目负责人：（1）</w:t>
            </w:r>
            <w:r>
              <w:rPr>
                <w:rFonts w:hint="eastAsia"/>
              </w:rPr>
              <w:t xml:space="preserve">具有一级注册造价工程师（土建专业）（旧版为国家注册造价工程师）</w:t>
            </w:r>
            <w:r>
              <w:rPr>
                <w:rFonts w:hint="eastAsia"/>
                <w:lang w:bidi="ar"/>
              </w:rPr>
              <w:t xml:space="preserve">执业资格的得</w:t>
            </w:r>
            <w:r>
              <w:rPr>
                <w:lang w:bidi="ar"/>
              </w:rPr>
              <w:t xml:space="preserve">2</w:t>
            </w:r>
            <w:r>
              <w:rPr>
                <w:rFonts w:hint="eastAsia"/>
                <w:lang w:bidi="ar"/>
              </w:rPr>
              <w:t xml:space="preserve">分；（2）具有一级建造师（房屋建筑）（或国家注册监理工程师（房屋建筑工程））执业资格的得</w:t>
            </w:r>
            <w:r>
              <w:rPr>
                <w:lang w:bidi="ar"/>
              </w:rPr>
              <w:t xml:space="preserve">2</w:t>
            </w:r>
            <w:r>
              <w:rPr>
                <w:rFonts w:hint="eastAsia"/>
                <w:lang w:bidi="ar"/>
              </w:rPr>
              <w:t xml:space="preserve">分；（3）具有高级工程师职称的得</w:t>
            </w:r>
            <w:r>
              <w:rPr>
                <w:lang w:bidi="ar"/>
              </w:rPr>
              <w:t xml:space="preserve">2</w:t>
            </w:r>
            <w:r>
              <w:rPr>
                <w:rFonts w:hint="eastAsia"/>
                <w:lang w:bidi="ar"/>
              </w:rPr>
              <w:t xml:space="preserve">分；（4）工作年限超过20年的得</w:t>
            </w:r>
            <w:r>
              <w:rPr>
                <w:lang w:bidi="ar"/>
              </w:rPr>
              <w:t xml:space="preserve">2</w:t>
            </w:r>
            <w:r>
              <w:rPr>
                <w:rFonts w:hint="eastAsia"/>
                <w:lang w:bidi="ar"/>
              </w:rPr>
              <w:t xml:space="preserve">分,10年的得1分，提供相关专业毕业证书</w:t>
            </w:r>
            <w:r>
              <w:rPr>
                <w:rFonts w:hint="eastAsia"/>
                <w:color w:val="ff0000"/>
              </w:rPr>
              <w:t xml:space="preserve">（以毕业证书时间为准）</w:t>
            </w:r>
            <w:r>
              <w:rPr>
                <w:rFonts w:hint="eastAsia"/>
                <w:lang w:bidi="ar"/>
              </w:rPr>
              <w:t xml:space="preserve">。最高得</w:t>
            </w:r>
            <w:r>
              <w:rPr>
                <w:lang w:bidi="ar"/>
              </w:rPr>
              <w:t xml:space="preserve">8</w:t>
            </w:r>
            <w:r>
              <w:rPr>
                <w:rFonts w:hint="eastAsia"/>
                <w:lang w:bidi="ar"/>
              </w:rPr>
              <w:t xml:space="preserve">分。注：造价工程师需提供执业资格证书、注册证书，一级建造师（房屋建筑）（或国家注册监理工程师（房屋建筑工程））需提供</w:t>
            </w:r>
            <w:r>
              <w:rPr>
                <w:rFonts w:hint="eastAsia"/>
              </w:rPr>
              <w:t xml:space="preserve">注册</w:t>
            </w:r>
            <w:r>
              <w:rPr>
                <w:rFonts w:hint="eastAsia"/>
                <w:lang w:bidi="ar"/>
              </w:rPr>
              <w:t xml:space="preserve">执业资格证书；高级工程师需提供职称证书，需提供近3个月社保。以上材料需提供证书复印件加盖公章，未提供不得分。</w:t>
            </w:r>
            <w:r/>
          </w:p>
        </w:tc>
      </w:tr>
      <w:tr>
        <w:trPr>
          <w:jc w:val="center"/>
          <w:trHeight w:val="1006"/>
        </w:trPr>
        <w:tc>
          <w:tcPr>
            <w:tcBorders>
              <w:left w:val="single" w:color="auto" w:sz="4" w:space="0"/>
              <w:right w:val="single" w:color="auto" w:sz="4" w:space="0"/>
            </w:tcBorders>
            <w:tcW w:w="440"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63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ascii="宋体" w:hAnsi="宋体"/>
                <w:szCs w:val="21"/>
              </w:rPr>
              <w:t xml:space="preserve">3</w:t>
            </w:r>
            <w:r/>
          </w:p>
        </w:tc>
        <w:tc>
          <w:tcPr>
            <w:tcBorders>
              <w:left w:val="single" w:color="auto" w:sz="4" w:space="0"/>
              <w:right w:val="single" w:color="auto" w:sz="4" w:space="0"/>
            </w:tcBorders>
            <w:tcW w:w="1211"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lang w:val="en-US" w:eastAsia="zh-CN" w:bidi="ar"/>
              </w:rPr>
              <w:t xml:space="preserve">项目助审</w:t>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szCs w:val="21"/>
              </w:rPr>
              <w:t xml:space="preserve">1</w:t>
            </w:r>
            <w:r>
              <w:rPr>
                <w:rFonts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拟投入</w:t>
            </w:r>
            <w:r>
              <w:rPr>
                <w:rFonts w:hint="eastAsia"/>
              </w:rPr>
              <w:t xml:space="preserve">一级注册造价工程师</w:t>
            </w:r>
            <w:r>
              <w:rPr>
                <w:rFonts w:hint="eastAsia" w:ascii="宋体" w:hAnsi="宋体"/>
                <w:szCs w:val="21"/>
              </w:rPr>
              <w:t xml:space="preserve">人数（不含项目负责人），有1人得</w:t>
            </w:r>
            <w:r>
              <w:rPr>
                <w:rFonts w:ascii="宋体" w:hAnsi="宋体"/>
                <w:szCs w:val="21"/>
              </w:rPr>
              <w:t xml:space="preserve">1</w:t>
            </w:r>
            <w:r>
              <w:rPr>
                <w:rFonts w:hint="eastAsia" w:ascii="宋体" w:hAnsi="宋体"/>
                <w:szCs w:val="21"/>
              </w:rPr>
              <w:t xml:space="preserve">分，最高</w:t>
            </w:r>
            <w:r>
              <w:rPr>
                <w:rFonts w:ascii="宋体" w:hAnsi="宋体"/>
                <w:szCs w:val="21"/>
              </w:rPr>
              <w:t xml:space="preserve">8</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拟投入</w:t>
            </w:r>
            <w:r>
              <w:rPr>
                <w:rFonts w:hint="eastAsia"/>
              </w:rPr>
              <w:t xml:space="preserve">一级注册造价工程师</w:t>
            </w:r>
            <w:r>
              <w:rPr>
                <w:rFonts w:hint="eastAsia" w:ascii="宋体" w:hAnsi="宋体"/>
                <w:szCs w:val="21"/>
              </w:rPr>
              <w:t xml:space="preserve">程师专业：</w:t>
            </w:r>
            <w:r/>
          </w:p>
          <w:p>
            <w:pPr>
              <w:spacing w:line="360" w:lineRule="auto"/>
              <w:rPr>
                <w:rFonts w:hint="eastAsia" w:ascii="宋体" w:hAnsi="宋体"/>
                <w:szCs w:val="21"/>
              </w:rPr>
            </w:pPr>
            <w:r>
              <w:rPr>
                <w:rFonts w:hint="eastAsia" w:ascii="宋体" w:hAnsi="宋体"/>
                <w:szCs w:val="21"/>
              </w:rPr>
              <w:t xml:space="preserve">具有土建、安装专业各有2人次得基本分</w:t>
            </w:r>
            <w:r>
              <w:rPr>
                <w:rFonts w:ascii="宋体" w:hAnsi="宋体"/>
                <w:szCs w:val="21"/>
              </w:rPr>
              <w:t xml:space="preserve">4</w:t>
            </w:r>
            <w:r>
              <w:rPr>
                <w:rFonts w:hint="eastAsia" w:ascii="宋体" w:hAnsi="宋体"/>
                <w:szCs w:val="21"/>
              </w:rPr>
              <w:t xml:space="preserve">分，否则不得分；在此基础上，上述专业（土建、安装专业）每增加1人次得</w:t>
            </w:r>
            <w:r>
              <w:rPr>
                <w:rFonts w:ascii="宋体" w:hAnsi="宋体"/>
                <w:szCs w:val="21"/>
              </w:rPr>
              <w:t xml:space="preserve">1</w:t>
            </w:r>
            <w:r>
              <w:rPr>
                <w:rFonts w:hint="eastAsia" w:ascii="宋体" w:hAnsi="宋体"/>
                <w:szCs w:val="21"/>
              </w:rPr>
              <w:t xml:space="preserve">分。本项满分</w:t>
            </w:r>
            <w:r>
              <w:rPr>
                <w:rFonts w:ascii="宋体" w:hAnsi="宋体"/>
                <w:szCs w:val="21"/>
              </w:rPr>
              <w:t xml:space="preserve">10</w:t>
            </w:r>
            <w:r>
              <w:rPr>
                <w:rFonts w:hint="eastAsia" w:ascii="宋体" w:hAnsi="宋体"/>
                <w:szCs w:val="21"/>
              </w:rPr>
              <w:t xml:space="preserve">分。</w:t>
            </w:r>
            <w:r/>
          </w:p>
          <w:p>
            <w:pPr>
              <w:spacing w:line="360" w:lineRule="auto"/>
              <w:rPr>
                <w:rFonts w:hint="eastAsia" w:ascii="宋体" w:hAnsi="宋体" w:eastAsia="宋体" w:cs="宋体"/>
                <w:color w:val="auto"/>
                <w:sz w:val="24"/>
                <w:szCs w:val="24"/>
                <w:highlight w:val="none"/>
              </w:rPr>
            </w:pPr>
            <w:r>
              <w:rPr>
                <w:rFonts w:hint="eastAsia"/>
                <w:lang w:bidi="ar"/>
              </w:rPr>
              <w:t xml:space="preserve">（以在</w:t>
            </w:r>
            <w:r>
              <w:rPr>
                <w:rFonts w:hint="eastAsia"/>
                <w:color w:val="ff0000"/>
                <w:lang w:bidi="ar"/>
              </w:rPr>
              <w:t xml:space="preserve">全国工程造价咨询管理系统内企业注册的专职人员</w:t>
            </w:r>
            <w:r>
              <w:rPr>
                <w:rFonts w:hint="eastAsia"/>
                <w:lang w:bidi="ar"/>
              </w:rPr>
              <w:t xml:space="preserve">为准</w:t>
            </w:r>
            <w:r>
              <w:rPr>
                <w:rFonts w:hint="eastAsia"/>
                <w:lang w:eastAsia="zh-CN" w:bidi="ar"/>
              </w:rPr>
              <w:t xml:space="preserve">）</w:t>
            </w:r>
            <w:r>
              <w:rPr>
                <w:rFonts w:hint="eastAsia"/>
                <w:lang w:bidi="ar"/>
              </w:rPr>
              <w:t xml:space="preserve">，提供造价工程师执业资格证书、注册证书及近3个月社保，</w:t>
            </w:r>
            <w:r>
              <w:rPr>
                <w:rFonts w:hint="eastAsia" w:ascii="宋体" w:hAnsi="宋体"/>
                <w:szCs w:val="21"/>
              </w:rPr>
              <w:t xml:space="preserve">退休返聘人员无社保证明提供劳动合同扫描件，</w:t>
            </w:r>
            <w:r>
              <w:rPr>
                <w:rFonts w:hint="eastAsia"/>
                <w:lang w:bidi="ar"/>
              </w:rPr>
              <w:t xml:space="preserve">以上材料需提供证书复印件加盖公章，未提供不得分</w:t>
            </w:r>
            <w:r>
              <w:rPr>
                <w:rFonts w:hint="eastAsia" w:ascii="宋体" w:hAnsi="宋体"/>
                <w:szCs w:val="21"/>
              </w:rPr>
              <w:t xml:space="preserve">）。</w:t>
            </w:r>
            <w:r/>
          </w:p>
        </w:tc>
      </w:tr>
      <w:tr>
        <w:trPr>
          <w:jc w:val="center"/>
          <w:trHeight w:val="738"/>
        </w:trPr>
        <w:tc>
          <w:tcPr>
            <w:tcBorders>
              <w:left w:val="single" w:color="auto" w:sz="4" w:space="0"/>
              <w:right w:val="single" w:color="auto" w:sz="4" w:space="0"/>
            </w:tcBorders>
            <w:tcW w:w="440"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63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szCs w:val="21"/>
              </w:rPr>
              <w:t xml:space="preserve">4</w:t>
            </w:r>
            <w:r/>
          </w:p>
        </w:tc>
        <w:tc>
          <w:tcPr>
            <w:tcBorders>
              <w:left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lang w:bidi="ar"/>
              </w:rPr>
              <w:t xml:space="preserve">高级工程师</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jc w:val="left"/>
              <w:spacing w:line="360" w:lineRule="exact"/>
              <w:rPr>
                <w:rFonts w:hint="eastAsia" w:ascii="宋体" w:hAnsi="宋体" w:eastAsia="宋体" w:cs="宋体"/>
                <w:color w:val="auto"/>
                <w:sz w:val="24"/>
                <w:szCs w:val="24"/>
                <w:highlight w:val="none"/>
                <w:lang w:val="en-US" w:eastAsia="zh-CN"/>
              </w:rPr>
            </w:pPr>
            <w:r>
              <w:rPr>
                <w:rFonts w:hint="eastAsia"/>
                <w:lang w:bidi="ar"/>
              </w:rPr>
              <w:t xml:space="preserve">企业具有高级工程师</w:t>
            </w:r>
            <w:r>
              <w:rPr>
                <w:lang w:bidi="ar"/>
              </w:rPr>
              <w:t xml:space="preserve">6</w:t>
            </w:r>
            <w:r>
              <w:rPr>
                <w:rFonts w:hint="eastAsia"/>
                <w:lang w:bidi="ar"/>
              </w:rPr>
              <w:t xml:space="preserve">人得基本分5分，</w:t>
            </w:r>
            <w:r>
              <w:rPr>
                <w:lang w:bidi="ar"/>
              </w:rPr>
              <w:t xml:space="preserve">6</w:t>
            </w:r>
            <w:r>
              <w:rPr>
                <w:rFonts w:hint="eastAsia"/>
                <w:lang w:bidi="ar"/>
              </w:rPr>
              <w:t xml:space="preserve">人以上每增加一人得1分，最高得</w:t>
            </w:r>
            <w:r>
              <w:rPr>
                <w:lang w:bidi="ar"/>
              </w:rPr>
              <w:t xml:space="preserve">7</w:t>
            </w:r>
            <w:r>
              <w:rPr>
                <w:rFonts w:hint="eastAsia"/>
                <w:lang w:bidi="ar"/>
              </w:rPr>
              <w:t xml:space="preserve">分（人员须提供近3个月社保及职称证书，以上材料需提供证书复印件加盖公章，未提供不得分）</w:t>
            </w:r>
            <w:r/>
          </w:p>
        </w:tc>
      </w:tr>
      <w:tr>
        <w:trPr>
          <w:jc w:val="center"/>
          <w:trHeight w:val="738"/>
        </w:trPr>
        <w:tc>
          <w:tcPr>
            <w:tcBorders>
              <w:left w:val="single" w:color="auto" w:sz="4" w:space="0"/>
              <w:right w:val="single" w:color="auto" w:sz="4" w:space="0"/>
            </w:tcBorders>
            <w:tcW w:w="440"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63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szCs w:val="21"/>
              </w:rPr>
              <w:t xml:space="preserve">5</w:t>
            </w:r>
            <w:r/>
          </w:p>
        </w:tc>
        <w:tc>
          <w:tcPr>
            <w:tcBorders>
              <w:left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lang w:bidi="ar"/>
              </w:rPr>
              <w:t xml:space="preserve">信用评价</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jc w:val="left"/>
              <w:spacing w:line="360" w:lineRule="exact"/>
              <w:rPr>
                <w:rFonts w:hint="eastAsia" w:ascii="宋体" w:hAnsi="宋体" w:eastAsia="宋体" w:cs="宋体"/>
                <w:color w:val="auto"/>
                <w:sz w:val="24"/>
                <w:szCs w:val="24"/>
                <w:highlight w:val="none"/>
                <w:lang w:val="en-US" w:eastAsia="zh-CN"/>
              </w:rPr>
            </w:pPr>
            <w:r>
              <w:rPr>
                <w:rFonts w:hint="eastAsia"/>
                <w:lang w:bidi="ar"/>
              </w:rPr>
              <w:t xml:space="preserve">具有有效期内的省级工程造价管理协会颁发的信用等级证书：省级AAAAA级得5分； 省级AAAA级得3分；省级AAA级得1分，其他不得分。</w:t>
            </w:r>
            <w:r>
              <w:rPr>
                <w:rFonts w:hint="eastAsia"/>
                <w:lang w:bidi="ar"/>
              </w:rPr>
              <w:t xml:space="preserve">（提供相关证明材料）</w:t>
            </w:r>
            <w:r/>
          </w:p>
        </w:tc>
      </w:tr>
      <w:tr>
        <w:trPr>
          <w:jc w:val="center"/>
          <w:trHeight w:val="738"/>
        </w:trPr>
        <w:tc>
          <w:tcPr>
            <w:tcBorders>
              <w:top w:val="single" w:color="auto" w:sz="4" w:space="0"/>
              <w:left w:val="single" w:color="auto" w:sz="4" w:space="0"/>
              <w:right w:val="single" w:color="auto" w:sz="4" w:space="0"/>
            </w:tcBorders>
            <w:tcW w:w="440" w:type="pct"/>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商务评审因素</w:t>
            </w:r>
            <w:r/>
          </w:p>
        </w:tc>
        <w:tc>
          <w:tcPr>
            <w:tcBorders>
              <w:left w:val="single" w:color="auto" w:sz="4" w:space="0"/>
              <w:right w:val="single" w:color="auto" w:sz="4" w:space="0"/>
            </w:tcBorders>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lang w:bidi="ar"/>
              </w:rPr>
              <w:t xml:space="preserve">1</w:t>
            </w:r>
            <w:r/>
          </w:p>
        </w:tc>
        <w:tc>
          <w:tcPr>
            <w:tcBorders>
              <w:left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lang w:bidi="ar"/>
              </w:rPr>
              <w:t xml:space="preserve">体系认证</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lang w:bidi="ar"/>
              </w:rPr>
              <w:t xml:space="preserve">3</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spacing w:line="400" w:lineRule="exact"/>
              <w:rPr>
                <w:rFonts w:hint="eastAsia"/>
                <w:lang w:bidi="ar"/>
              </w:rPr>
            </w:pPr>
            <w:r>
              <w:rPr>
                <w:rFonts w:hint="eastAsia"/>
                <w:lang w:bidi="ar"/>
              </w:rPr>
              <w:t xml:space="preserve">投标人具备有效期内且认证范围涵盖工程造价咨询服务的质量管理体系认证、职业健康安全管理体系认证、环境管理体系认证的,有1个得1分,最多得3分。</w:t>
            </w:r>
            <w:r/>
          </w:p>
          <w:p>
            <w:pPr>
              <w:spacing w:line="400" w:lineRule="exact"/>
              <w:rPr>
                <w:rFonts w:hint="eastAsia" w:ascii="宋体" w:hAnsi="宋体" w:eastAsia="宋体" w:cs="宋体"/>
                <w:color w:val="auto"/>
                <w:sz w:val="24"/>
                <w:szCs w:val="24"/>
                <w:highlight w:val="none"/>
                <w:lang w:val="en-US" w:eastAsia="zh-CN"/>
              </w:rPr>
            </w:pPr>
            <w:r>
              <w:rPr>
                <w:rFonts w:hint="eastAsia"/>
                <w:lang w:bidi="ar"/>
              </w:rPr>
              <w:t xml:space="preserve">（提供证书复印件或扫描件并加盖公章,未按要求提供不得分）</w:t>
            </w:r>
            <w:r/>
          </w:p>
        </w:tc>
      </w:tr>
      <w:tr>
        <w:trPr>
          <w:jc w:val="center"/>
          <w:trHeight w:val="738"/>
        </w:trPr>
        <w:tc>
          <w:tcPr>
            <w:tcBorders>
              <w:left w:val="single" w:color="auto" w:sz="4" w:space="0"/>
              <w:right w:val="single" w:color="auto" w:sz="4" w:space="0"/>
            </w:tcBorders>
            <w:tcW w:w="440"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lang w:bidi="ar"/>
              </w:rPr>
              <w:t xml:space="preserve">2</w:t>
            </w:r>
            <w:r/>
          </w:p>
        </w:tc>
        <w:tc>
          <w:tcPr>
            <w:tcBorders>
              <w:left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lang w:bidi="ar"/>
              </w:rPr>
              <w:t xml:space="preserve">企业荣誉</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lang w:bidi="ar"/>
              </w:rPr>
              <w:t xml:space="preserve">3</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spacing w:line="400" w:lineRule="exact"/>
              <w:rPr>
                <w:rFonts w:hint="eastAsia"/>
                <w:lang w:bidi="ar"/>
              </w:rPr>
            </w:pPr>
            <w:r>
              <w:rPr>
                <w:rFonts w:hint="eastAsia"/>
                <w:lang w:bidi="ar"/>
              </w:rPr>
              <w:t xml:space="preserve">2020年至今（以发文日期或证书颁发日期为准）被</w:t>
            </w:r>
            <w:r>
              <w:rPr>
                <w:rFonts w:hint="eastAsia"/>
              </w:rPr>
              <w:t xml:space="preserve">县级</w:t>
            </w:r>
            <w:r>
              <w:rPr>
                <w:rFonts w:hint="eastAsia"/>
                <w:lang w:bidi="ar"/>
              </w:rPr>
              <w:t xml:space="preserve">及以上行业主管部门评为先进集体的，有1次得</w:t>
            </w:r>
            <w:r>
              <w:rPr>
                <w:lang w:bidi="ar"/>
              </w:rPr>
              <w:t xml:space="preserve">1</w:t>
            </w:r>
            <w:r>
              <w:rPr>
                <w:rFonts w:hint="eastAsia"/>
                <w:lang w:bidi="ar"/>
              </w:rPr>
              <w:t xml:space="preserve">分，，最多得</w:t>
            </w:r>
            <w:r>
              <w:rPr>
                <w:lang w:bidi="ar"/>
              </w:rPr>
              <w:t xml:space="preserve">3</w:t>
            </w:r>
            <w:r>
              <w:rPr>
                <w:rFonts w:hint="eastAsia"/>
                <w:lang w:bidi="ar"/>
              </w:rPr>
              <w:t xml:space="preserve">分。</w:t>
            </w:r>
            <w:r/>
          </w:p>
          <w:p>
            <w:pPr>
              <w:spacing w:line="400" w:lineRule="exact"/>
              <w:rPr>
                <w:rFonts w:hint="eastAsia" w:ascii="宋体" w:hAnsi="宋体" w:eastAsia="宋体" w:cs="宋体"/>
                <w:color w:val="auto"/>
                <w:sz w:val="24"/>
                <w:szCs w:val="24"/>
                <w:highlight w:val="none"/>
                <w:lang w:val="en-US" w:eastAsia="zh-CN"/>
              </w:rPr>
            </w:pPr>
            <w:r>
              <w:rPr>
                <w:rFonts w:hint="eastAsia"/>
                <w:lang w:bidi="ar"/>
              </w:rPr>
              <w:t xml:space="preserve">（提供相关证明材料加盖公章，未提供的不得分）</w:t>
            </w:r>
            <w:r/>
          </w:p>
        </w:tc>
      </w:tr>
      <w:tr>
        <w:trPr>
          <w:jc w:val="center"/>
          <w:trHeight w:val="738"/>
        </w:trPr>
        <w:tc>
          <w:tcPr>
            <w:tcBorders>
              <w:left w:val="single" w:color="auto" w:sz="4" w:space="0"/>
              <w:right w:val="single" w:color="auto" w:sz="4" w:space="0"/>
            </w:tcBorders>
            <w:tcW w:w="440" w:type="pct"/>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6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lang w:bidi="ar"/>
              </w:rPr>
              <w:t xml:space="preserve">3</w:t>
            </w:r>
            <w:r/>
          </w:p>
        </w:tc>
        <w:tc>
          <w:tcPr>
            <w:tcBorders>
              <w:left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lang w:bidi="ar"/>
              </w:rPr>
              <w:t xml:space="preserve">类似业绩</w:t>
            </w:r>
            <w:r/>
          </w:p>
        </w:tc>
        <w:tc>
          <w:tcPr>
            <w:tcBorders>
              <w:top w:val="single" w:color="auto" w:sz="4" w:space="0"/>
              <w:left w:val="single" w:color="auto" w:sz="4" w:space="0"/>
              <w:right w:val="single" w:color="auto" w:sz="4" w:space="0"/>
            </w:tcBorders>
            <w:tcW w:w="70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lang w:bidi="ar"/>
              </w:rPr>
              <w:t xml:space="preserve">4</w:t>
            </w:r>
            <w:r/>
          </w:p>
        </w:tc>
        <w:tc>
          <w:tcPr>
            <w:tcBorders>
              <w:top w:val="single" w:color="auto" w:sz="4" w:space="0"/>
              <w:left w:val="single" w:color="auto" w:sz="4" w:space="0"/>
              <w:bottom w:val="single" w:color="auto" w:sz="4" w:space="0"/>
              <w:right w:val="single" w:color="auto" w:sz="4" w:space="0"/>
            </w:tcBorders>
            <w:tcW w:w="6633" w:type="dxa"/>
            <w:vAlign w:val="center"/>
            <w:textDirection w:val="lrTb"/>
            <w:noWrap w:val="false"/>
          </w:tcPr>
          <w:p>
            <w:pPr>
              <w:spacing w:line="400" w:lineRule="exact"/>
              <w:rPr>
                <w:rFonts w:hint="eastAsia"/>
                <w:lang w:bidi="ar"/>
              </w:rPr>
            </w:pPr>
            <w:r>
              <w:rPr>
                <w:rFonts w:hint="eastAsia"/>
                <w:lang w:bidi="ar"/>
              </w:rPr>
              <w:t xml:space="preserve">自2020年1月1日以来，投标人承担过结算审核项目的，有一个得</w:t>
            </w:r>
            <w:r>
              <w:rPr>
                <w:lang w:bidi="ar"/>
              </w:rPr>
              <w:t xml:space="preserve">1</w:t>
            </w:r>
            <w:r>
              <w:rPr>
                <w:rFonts w:hint="eastAsia"/>
                <w:lang w:bidi="ar"/>
              </w:rPr>
              <w:t xml:space="preserve">分，本项最多得</w:t>
            </w:r>
            <w:r>
              <w:rPr>
                <w:lang w:bidi="ar"/>
              </w:rPr>
              <w:t xml:space="preserve">4</w:t>
            </w:r>
            <w:r>
              <w:rPr>
                <w:rFonts w:hint="eastAsia"/>
                <w:lang w:bidi="ar"/>
              </w:rPr>
              <w:t xml:space="preserve">分，以出具报告时间为准；（以上材料需提供合同、咨询报告复印件加盖公章，未提供不得分）</w:t>
            </w:r>
            <w:r/>
          </w:p>
          <w:p>
            <w:pPr>
              <w:spacing w:line="400" w:lineRule="exact"/>
              <w:rPr>
                <w:rFonts w:hint="eastAsia" w:ascii="宋体" w:hAnsi="宋体" w:eastAsia="宋体" w:cs="宋体"/>
                <w:color w:val="auto"/>
                <w:sz w:val="24"/>
                <w:szCs w:val="24"/>
                <w:highlight w:val="none"/>
                <w:lang w:val="en-US" w:eastAsia="zh-CN"/>
              </w:rPr>
            </w:pPr>
            <w:r>
              <w:rPr>
                <w:rFonts w:hint="eastAsia"/>
                <w:lang w:bidi="ar"/>
              </w:rPr>
              <w:t xml:space="preserve">注：投标人提供的同一份业绩不可重复得分。</w:t>
            </w:r>
            <w:r/>
          </w:p>
        </w:tc>
      </w:tr>
    </w:tbl>
    <w:p>
      <w:pPr>
        <w:pStyle w:val="834"/>
        <w:ind w:left="0" w:firstLine="0"/>
        <w:rPr>
          <w:rFonts w:hint="eastAsia"/>
          <w:color w:val="auto"/>
          <w:highlight w:val="none"/>
        </w:rPr>
      </w:pPr>
      <w:r>
        <w:rPr>
          <w:rFonts w:hint="eastAsia"/>
          <w:color w:val="auto"/>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2、价格部分</w:t>
      </w:r>
      <w:r/>
    </w:p>
    <w:tbl>
      <w:tblPr>
        <w:tblStyle w:val="8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88"/>
        <w:gridCol w:w="1020"/>
        <w:gridCol w:w="6292"/>
      </w:tblGrid>
      <w:tr>
        <w:trPr>
          <w:cantSplit/>
          <w:jc w:val="center"/>
          <w:trHeight w:val="88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right w:val="single" w:color="auto" w:sz="4" w:space="0"/>
            </w:tcBorders>
            <w:tcW w:w="10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right w:val="single" w:color="auto" w:sz="4" w:space="0"/>
            </w:tcBorders>
            <w:tcW w:w="792" w:type="dxa"/>
            <w:vAlign w:val="center"/>
            <w:textDirection w:val="lrTb"/>
            <w:noWrap w:val="false"/>
          </w:tcPr>
          <w:p>
            <w:pPr>
              <w:jc w:val="center"/>
              <w:rPr>
                <w:rFonts w:ascii="宋体" w:hAnsi="宋体"/>
                <w:color w:val="auto"/>
                <w:sz w:val="24"/>
                <w:szCs w:val="24"/>
                <w:highlight w:val="none"/>
              </w:rPr>
            </w:pPr>
            <w:r>
              <w:rPr>
                <w:rFonts w:hint="eastAsia" w:ascii="宋体" w:hAnsi="宋体"/>
                <w:szCs w:val="21"/>
                <w:highlight w:val="none"/>
              </w:rPr>
              <w:t xml:space="preserve">1</w:t>
            </w:r>
            <w:r/>
          </w:p>
        </w:tc>
        <w:tc>
          <w:tcPr>
            <w:tcBorders>
              <w:top w:val="single" w:color="auto" w:sz="4" w:space="0"/>
              <w:left w:val="single" w:color="auto" w:sz="4" w:space="0"/>
              <w:right w:val="single" w:color="auto" w:sz="4" w:space="0"/>
            </w:tcBorders>
            <w:tcW w:w="1588" w:type="dxa"/>
            <w:vAlign w:val="center"/>
            <w:textDirection w:val="lrTb"/>
            <w:noWrap w:val="false"/>
          </w:tcPr>
          <w:p>
            <w:pPr>
              <w:jc w:val="center"/>
              <w:rPr>
                <w:rFonts w:ascii="宋体" w:hAnsi="宋体"/>
                <w:color w:val="auto"/>
                <w:sz w:val="24"/>
                <w:szCs w:val="24"/>
                <w:highlight w:val="none"/>
              </w:rPr>
            </w:pPr>
            <w:r>
              <w:rPr>
                <w:rFonts w:hint="eastAsia" w:ascii="宋体" w:hAnsi="宋体"/>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rPr>
                <w:rFonts w:hint="default" w:ascii="宋体" w:hAnsi="宋体" w:eastAsia="宋体"/>
                <w:color w:val="auto"/>
                <w:sz w:val="24"/>
                <w:szCs w:val="24"/>
                <w:highlight w:val="none"/>
                <w:lang w:val="en-US" w:eastAsia="zh-CN"/>
              </w:rPr>
            </w:pPr>
            <w:r>
              <w:rPr>
                <w:rFonts w:hint="eastAsia" w:ascii="宋体" w:hAnsi="宋体"/>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292" w:type="dxa"/>
            <w:vAlign w:val="center"/>
            <w:textDirection w:val="lrTb"/>
            <w:noWrap w:val="false"/>
          </w:tcPr>
          <w:p>
            <w:pPr>
              <w:jc w:val="left"/>
              <w:spacing w:line="360" w:lineRule="auto"/>
              <w:rPr>
                <w:rFonts w:hint="default" w:ascii="宋体" w:hAnsi="宋体" w:eastAsia="宋体"/>
                <w:color w:val="auto"/>
                <w:sz w:val="24"/>
                <w:szCs w:val="24"/>
                <w:highlight w:val="none"/>
                <w:lang w:val="en-US" w:eastAsia="zh-CN"/>
              </w:rPr>
            </w:pPr>
            <w:r>
              <w:rPr>
                <w:rFonts w:hint="eastAsia" w:ascii="宋体" w:hAnsi="宋体" w:eastAsia="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文件要求且投标价格最低的报价为评标基准价，其价格分为满分。其他报价人的价格分统一按照下列公式计算：投标报价得分=（评标基准价/投标报价）×</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分。（以四舍五入法，保留两位小数）</w:t>
            </w:r>
            <w:r/>
          </w:p>
        </w:tc>
      </w:tr>
    </w:tbl>
    <w:p>
      <w:pPr>
        <w:ind w:left="720"/>
        <w:rPr>
          <w:rFonts w:ascii="宋体" w:hAnsi="宋体" w:cs="宋体"/>
          <w:b/>
          <w:bCs/>
          <w:color w:val="auto"/>
          <w:sz w:val="24"/>
          <w:szCs w:val="24"/>
          <w:highlight w:val="none"/>
        </w:rPr>
      </w:pPr>
      <w:r>
        <w:rPr>
          <w:rFonts w:ascii="宋体" w:hAnsi="宋体" w:cs="宋体"/>
          <w:b/>
          <w:bCs/>
          <w:color w:val="auto"/>
          <w:sz w:val="24"/>
          <w:szCs w:val="24"/>
          <w:highlight w:val="none"/>
        </w:rPr>
      </w:r>
      <w:r/>
    </w:p>
    <w:p>
      <w:pPr>
        <w:ind w:left="720"/>
        <w:rPr>
          <w:rFonts w:ascii="宋体" w:hAnsi="宋体" w:cs="宋体"/>
          <w:color w:val="auto"/>
          <w:sz w:val="24"/>
          <w:szCs w:val="24"/>
          <w:highlight w:val="none"/>
        </w:rPr>
      </w:pPr>
      <w:r>
        <w:rPr>
          <w:rFonts w:hint="eastAsia" w:ascii="宋体" w:hAnsi="宋体" w:cs="宋体"/>
          <w:b/>
          <w:bCs/>
          <w:color w:val="auto"/>
          <w:sz w:val="24"/>
          <w:szCs w:val="24"/>
          <w:highlight w:val="none"/>
        </w:rPr>
        <w:t xml:space="preserve">备注：</w:t>
      </w:r>
      <w:r>
        <w:rPr>
          <w:rFonts w:hint="eastAsia" w:ascii="宋体" w:hAnsi="宋体" w:cs="宋体"/>
          <w:b/>
          <w:bCs/>
          <w:color w:val="auto"/>
          <w:sz w:val="24"/>
          <w:szCs w:val="24"/>
          <w:highlight w:val="none"/>
          <w:lang w:val="en-US" w:eastAsia="zh-CN"/>
        </w:rPr>
        <w:t xml:space="preserve">1、</w:t>
      </w:r>
      <w:r>
        <w:rPr>
          <w:rFonts w:hint="eastAsia" w:ascii="宋体" w:hAnsi="宋体" w:cs="宋体"/>
          <w:color w:val="auto"/>
          <w:sz w:val="24"/>
          <w:szCs w:val="24"/>
          <w:highlight w:val="none"/>
        </w:rPr>
        <w:t xml:space="preserve">评分过程中如出现小数点后三位，采用四舍五入法，最终保留两位小数；</w:t>
      </w:r>
      <w:r/>
    </w:p>
    <w:p>
      <w:pPr>
        <w:pStyle w:val="864"/>
        <w:numPr>
          <w:ilvl w:val="0"/>
          <w:numId w:val="0"/>
        </w:numPr>
        <w:keepLines w:val="0"/>
        <w:keepNext w:val="0"/>
        <w:pageBreakBefore w:val="0"/>
        <w:widowControl w:val="off"/>
        <w:rPr>
          <w:rFonts w:ascii="宋体" w:hAnsi="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投标文件中必须提供以上相关证明材料复印件，否则不予加分。</w:t>
      </w:r>
      <w:r/>
    </w:p>
    <w:p>
      <w:pPr>
        <w:rPr>
          <w:rFonts w:hint="eastAsia"/>
          <w:color w:val="000000"/>
          <w:highlight w:val="none"/>
        </w:rPr>
      </w:pPr>
      <w:r>
        <w:rPr>
          <w:rFonts w:hint="eastAsia"/>
          <w:color w:val="000000"/>
          <w:highlight w:val="none"/>
        </w:rPr>
      </w:r>
      <w:bookmarkEnd w:id="113"/>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41"/>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1041"/>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1041"/>
        <w:ind w:firstLine="0"/>
        <w:rPr>
          <w:rFonts w:hint="eastAsia" w:hAnsi="宋体" w:cs="宋体"/>
          <w:color w:val="000000"/>
          <w:szCs w:val="24"/>
          <w:highlight w:val="none"/>
        </w:rPr>
      </w:pPr>
      <w:r>
        <w:rPr>
          <w:rFonts w:hint="eastAsia" w:hAnsi="宋体" w:cs="宋体"/>
          <w:color w:val="000000"/>
          <w:szCs w:val="24"/>
          <w:highlight w:val="none"/>
        </w:rPr>
      </w:r>
      <w:r/>
    </w:p>
    <w:p>
      <w:pPr>
        <w:pStyle w:val="1041"/>
        <w:ind w:firstLine="0"/>
        <w:rPr>
          <w:rFonts w:hint="eastAsia" w:hAnsi="宋体" w:cs="宋体"/>
          <w:color w:val="000000"/>
          <w:szCs w:val="24"/>
          <w:highlight w:val="none"/>
        </w:rPr>
      </w:pPr>
      <w:r>
        <w:rPr>
          <w:rFonts w:hint="eastAsia" w:hAnsi="宋体" w:cs="宋体"/>
          <w:color w:val="000000"/>
          <w:szCs w:val="24"/>
          <w:highlight w:val="none"/>
        </w:rPr>
      </w:r>
      <w:r/>
    </w:p>
    <w:p>
      <w:pPr>
        <w:pStyle w:val="1041"/>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p>
    <w:p>
      <w:pPr>
        <w:pStyle w:val="1041"/>
        <w:ind w:firstLine="0"/>
        <w:rPr>
          <w:rFonts w:hint="eastAsia" w:hAnsi="宋体" w:cs="宋体"/>
          <w:color w:val="000000"/>
          <w:szCs w:val="24"/>
          <w:highlight w:val="none"/>
        </w:rPr>
      </w:pPr>
      <w:r>
        <w:rPr>
          <w:rFonts w:hint="eastAsia" w:hAnsi="宋体" w:cs="宋体"/>
          <w:color w:val="000000"/>
          <w:szCs w:val="24"/>
          <w:highlight w:val="none"/>
        </w:rPr>
      </w:r>
      <w:r/>
    </w:p>
    <w:p>
      <w:pPr>
        <w:pStyle w:val="1041"/>
        <w:ind w:firstLine="0"/>
        <w:rPr>
          <w:rFonts w:hint="eastAsia" w:hAnsi="宋体" w:cs="宋体"/>
          <w:color w:val="000000"/>
          <w:szCs w:val="24"/>
          <w:highlight w:val="none"/>
        </w:rPr>
      </w:pPr>
      <w:r>
        <w:rPr>
          <w:rFonts w:hint="eastAsia" w:hAnsi="宋体" w:cs="宋体"/>
          <w:color w:val="000000"/>
          <w:szCs w:val="24"/>
          <w:highlight w:val="none"/>
        </w:rPr>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42"/>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2"/>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宜兴市土地收购储备中心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宜兴国际旅游度假区龙池嘉园安置小区复审项目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宜兴市土地收购储备中心</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宜兴市土地收购储备中心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14" w:name="_Toc15367"/>
      <w:r/>
      <w:bookmarkStart w:id="115" w:name="_Toc19273"/>
      <w:r/>
      <w:bookmarkStart w:id="116" w:name="_Toc28855"/>
      <w:r/>
      <w:bookmarkStart w:id="117" w:name="_Toc20421"/>
      <w:r/>
      <w:bookmarkStart w:id="118" w:name="_Toc22967"/>
      <w:r/>
      <w:bookmarkStart w:id="119" w:name="_Toc27444"/>
      <w:r/>
      <w:bookmarkStart w:id="120" w:name="_Toc3743"/>
      <w:r/>
      <w:bookmarkStart w:id="121" w:name="_Toc24602"/>
      <w:r>
        <w:rPr>
          <w:rFonts w:hint="eastAsia" w:ascii="宋体" w:hAnsi="宋体" w:eastAsia="宋体" w:cs="宋体"/>
          <w:b/>
          <w:color w:val="000000"/>
          <w:sz w:val="24"/>
          <w:szCs w:val="24"/>
          <w:highlight w:val="none"/>
        </w:rPr>
        <w:t xml:space="preserve">1.1 合同组成部分</w:t>
      </w:r>
      <w:bookmarkEnd w:id="114"/>
      <w:r/>
      <w:bookmarkEnd w:id="115"/>
      <w:r/>
      <w:bookmarkEnd w:id="116"/>
      <w:r/>
      <w:bookmarkEnd w:id="117"/>
      <w:r/>
      <w:bookmarkEnd w:id="11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22" w:name="_Toc2918"/>
      <w:r/>
      <w:bookmarkStart w:id="123" w:name="_Toc6773"/>
      <w:r/>
      <w:bookmarkStart w:id="124" w:name="_Toc6311"/>
      <w:r/>
      <w:bookmarkStart w:id="125" w:name="_Toc22185"/>
      <w:r/>
      <w:bookmarkStart w:id="126" w:name="_Toc18585"/>
      <w:r>
        <w:rPr>
          <w:rFonts w:hint="eastAsia" w:ascii="宋体" w:hAnsi="宋体" w:eastAsia="宋体" w:cs="宋体"/>
          <w:b/>
          <w:color w:val="000000"/>
          <w:sz w:val="24"/>
          <w:szCs w:val="24"/>
          <w:highlight w:val="none"/>
        </w:rPr>
        <w:t xml:space="preserve">1.2 标的</w:t>
      </w:r>
      <w:bookmarkEnd w:id="122"/>
      <w:r/>
      <w:bookmarkEnd w:id="123"/>
      <w:r/>
      <w:bookmarkEnd w:id="124"/>
      <w:r/>
      <w:bookmarkEnd w:id="125"/>
      <w:r/>
      <w:bookmarkEnd w:id="126"/>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27" w:name="_Toc21124"/>
      <w:r/>
      <w:bookmarkStart w:id="128" w:name="_Toc13918"/>
      <w:r/>
      <w:bookmarkStart w:id="129" w:name="_Toc5635"/>
      <w:r/>
      <w:bookmarkStart w:id="130" w:name="_Toc4929"/>
      <w:r/>
      <w:bookmarkStart w:id="131" w:name="_Toc1386"/>
      <w:r>
        <w:rPr>
          <w:rFonts w:hint="eastAsia" w:ascii="宋体" w:hAnsi="宋体" w:eastAsia="宋体" w:cs="宋体"/>
          <w:b/>
          <w:color w:val="000000"/>
          <w:sz w:val="24"/>
          <w:szCs w:val="24"/>
          <w:highlight w:val="none"/>
        </w:rPr>
        <w:t xml:space="preserve">1.3 价款</w:t>
      </w:r>
      <w:bookmarkEnd w:id="127"/>
      <w:r/>
      <w:bookmarkEnd w:id="128"/>
      <w:r/>
      <w:bookmarkEnd w:id="129"/>
      <w:r/>
      <w:bookmarkEnd w:id="130"/>
      <w:r/>
      <w:bookmarkEnd w:id="131"/>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2"/>
        <w:spacing w:line="560" w:lineRule="exact"/>
        <w:rPr>
          <w:rFonts w:ascii="宋体" w:hAnsi="宋体" w:eastAsia="宋体" w:cs="宋体"/>
          <w:b/>
          <w:color w:val="000000"/>
          <w:sz w:val="24"/>
          <w:szCs w:val="24"/>
          <w:highlight w:val="none"/>
        </w:rPr>
      </w:pPr>
      <w:r/>
      <w:bookmarkStart w:id="132" w:name="_Toc26916"/>
      <w:r/>
      <w:bookmarkStart w:id="133" w:name="_Toc3654"/>
      <w:r/>
      <w:bookmarkStart w:id="134" w:name="_Toc14993"/>
      <w:r/>
      <w:bookmarkStart w:id="135" w:name="_Toc30158"/>
      <w:r/>
      <w:bookmarkStart w:id="136" w:name="_Toc30506"/>
      <w:r>
        <w:rPr>
          <w:rFonts w:hint="eastAsia" w:ascii="宋体" w:hAnsi="宋体" w:eastAsia="宋体" w:cs="宋体"/>
          <w:b/>
          <w:color w:val="000000"/>
          <w:sz w:val="24"/>
          <w:szCs w:val="24"/>
          <w:highlight w:val="none"/>
        </w:rPr>
        <w:t xml:space="preserve">1.4 付款方式和发票开具方式</w:t>
      </w:r>
      <w:bookmarkEnd w:id="132"/>
      <w:r/>
      <w:bookmarkEnd w:id="133"/>
      <w:r/>
      <w:bookmarkEnd w:id="134"/>
      <w:r/>
      <w:bookmarkEnd w:id="135"/>
      <w:r/>
      <w:bookmarkEnd w:id="13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37" w:name="_Toc31421"/>
      <w:r/>
      <w:bookmarkStart w:id="138" w:name="_Toc8772"/>
      <w:r/>
      <w:bookmarkStart w:id="139" w:name="_Toc3625"/>
      <w:r/>
      <w:bookmarkStart w:id="140" w:name="_Toc4760"/>
      <w:r/>
      <w:bookmarkStart w:id="141" w:name="_Toc11108"/>
      <w:r>
        <w:rPr>
          <w:rFonts w:hint="eastAsia" w:ascii="宋体" w:hAnsi="宋体" w:eastAsia="宋体" w:cs="宋体"/>
          <w:b/>
          <w:color w:val="000000"/>
          <w:sz w:val="24"/>
          <w:szCs w:val="24"/>
          <w:highlight w:val="none"/>
        </w:rPr>
        <w:t xml:space="preserve">1.5 履行期限、地点和方式</w:t>
      </w:r>
      <w:bookmarkEnd w:id="137"/>
      <w:r/>
      <w:bookmarkEnd w:id="138"/>
      <w:r/>
      <w:bookmarkEnd w:id="139"/>
      <w:r/>
      <w:bookmarkEnd w:id="140"/>
      <w:r/>
      <w:bookmarkEnd w:id="141"/>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42" w:name="_Toc8586"/>
      <w:r/>
      <w:bookmarkStart w:id="143" w:name="_Toc3079"/>
      <w:r/>
      <w:bookmarkStart w:id="144" w:name="_Toc24662"/>
      <w:r/>
      <w:bookmarkStart w:id="145" w:name="_Toc5698"/>
      <w:r/>
      <w:bookmarkStart w:id="146" w:name="_Toc2375"/>
      <w:r>
        <w:rPr>
          <w:rFonts w:hint="eastAsia" w:ascii="宋体" w:hAnsi="宋体" w:eastAsia="宋体" w:cs="宋体"/>
          <w:b/>
          <w:color w:val="000000"/>
          <w:sz w:val="24"/>
          <w:szCs w:val="24"/>
          <w:highlight w:val="none"/>
        </w:rPr>
        <w:t xml:space="preserve">1.6 违约责任</w:t>
      </w:r>
      <w:bookmarkEnd w:id="142"/>
      <w:r/>
      <w:bookmarkEnd w:id="143"/>
      <w:r/>
      <w:bookmarkEnd w:id="144"/>
      <w:r/>
      <w:bookmarkEnd w:id="145"/>
      <w:r/>
      <w:bookmarkEnd w:id="146"/>
      <w:r/>
      <w:r/>
    </w:p>
    <w:p>
      <w:pPr>
        <w:ind w:firstLine="480"/>
        <w:spacing w:line="560" w:lineRule="exact"/>
        <w:rPr>
          <w:rFonts w:ascii="宋体" w:hAnsi="宋体" w:eastAsia="宋体" w:cs="宋体"/>
          <w:sz w:val="24"/>
          <w:szCs w:val="24"/>
          <w:highlight w:val="none"/>
        </w:rPr>
      </w:pPr>
      <w:r/>
      <w:bookmarkStart w:id="147" w:name="_Toc26807"/>
      <w:r/>
      <w:bookmarkStart w:id="148" w:name="_Toc18683"/>
      <w:r/>
      <w:bookmarkStart w:id="149" w:name="_Toc30329"/>
      <w:r/>
      <w:bookmarkStart w:id="150" w:name="_Toc32454"/>
      <w:r/>
      <w:bookmarkStart w:id="151" w:name="_Toc9497"/>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147"/>
      <w:r/>
      <w:bookmarkEnd w:id="148"/>
      <w:r/>
      <w:bookmarkEnd w:id="149"/>
      <w:r/>
      <w:bookmarkEnd w:id="150"/>
      <w:r/>
      <w:bookmarkEnd w:id="151"/>
      <w:r/>
      <w:r/>
    </w:p>
    <w:p>
      <w:pPr>
        <w:ind w:firstLine="480"/>
        <w:spacing w:line="560" w:lineRule="exact"/>
        <w:rPr>
          <w:rFonts w:hint="eastAsia" w:ascii="宋体" w:hAnsi="宋体" w:eastAsia="宋体" w:cs="宋体"/>
          <w:sz w:val="24"/>
          <w:szCs w:val="24"/>
          <w:highlight w:val="none"/>
        </w:rPr>
      </w:pPr>
      <w:r/>
      <w:bookmarkStart w:id="152" w:name="_Toc12273"/>
      <w:r/>
      <w:bookmarkStart w:id="153" w:name="_Toc16417"/>
      <w:r/>
      <w:bookmarkStart w:id="154" w:name="_Toc23784"/>
      <w:r/>
      <w:bookmarkStart w:id="155" w:name="_Toc26227"/>
      <w:r/>
      <w:bookmarkStart w:id="156" w:name="_Toc1582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rPr>
        <w:t xml:space="preserve">②</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②向甲方所在地（宜兴）人民法院起诉。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152"/>
      <w:r/>
      <w:bookmarkEnd w:id="153"/>
      <w:r/>
      <w:bookmarkEnd w:id="154"/>
      <w:r/>
      <w:bookmarkEnd w:id="155"/>
      <w:r/>
      <w:bookmarkEnd w:id="156"/>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1049"/>
        <w:rPr>
          <w:highlight w:val="none"/>
        </w:rPr>
      </w:pPr>
      <w:r>
        <w:rPr>
          <w:highlight w:val="none"/>
        </w:rPr>
      </w:r>
      <w:r/>
    </w:p>
    <w:p>
      <w:pPr>
        <w:ind w:firstLine="1265"/>
        <w:spacing w:line="560" w:lineRule="exact"/>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bookmarkStart w:id="157" w:name="_Toc331685783"/>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57"/>
      <w:r/>
      <w:r/>
    </w:p>
    <w:p>
      <w:pPr>
        <w:ind w:firstLine="482"/>
        <w:spacing w:line="560" w:lineRule="exact"/>
        <w:rPr>
          <w:rFonts w:ascii="宋体" w:hAnsi="宋体" w:eastAsia="宋体" w:cs="宋体"/>
          <w:b/>
          <w:color w:val="000000"/>
          <w:sz w:val="24"/>
          <w:szCs w:val="24"/>
          <w:highlight w:val="none"/>
        </w:rPr>
      </w:pPr>
      <w:r/>
      <w:bookmarkStart w:id="158" w:name="_Ref467379101"/>
      <w:r/>
      <w:bookmarkStart w:id="159" w:name="_Ref467379225"/>
      <w:r/>
      <w:bookmarkStart w:id="160" w:name="_Toc5228"/>
      <w:r/>
      <w:bookmarkStart w:id="161" w:name="_Toc279701240"/>
      <w:r/>
      <w:bookmarkStart w:id="162" w:name="_Toc14021"/>
      <w:r/>
      <w:bookmarkStart w:id="163" w:name="_Toc259093669"/>
      <w:r/>
      <w:bookmarkStart w:id="164" w:name="_Ref467379205"/>
      <w:r/>
      <w:bookmarkStart w:id="165" w:name="_Ref467379195"/>
      <w:r/>
      <w:bookmarkStart w:id="166" w:name="_Ref467378499"/>
      <w:r/>
      <w:bookmarkStart w:id="167" w:name="_Ref467378463"/>
      <w:r/>
      <w:bookmarkStart w:id="168" w:name="_Ref467379109"/>
      <w:r/>
      <w:bookmarkStart w:id="169" w:name="_Toc487900349"/>
      <w:r/>
      <w:bookmarkStart w:id="170" w:name="_Toc25079"/>
      <w:r/>
      <w:bookmarkStart w:id="171" w:name="_Toc31297"/>
      <w:r/>
      <w:bookmarkStart w:id="172" w:name="_Ref467379214"/>
      <w:r/>
      <w:bookmarkStart w:id="173" w:name="_Ref467379094"/>
      <w:r/>
      <w:bookmarkStart w:id="174" w:name="_Ref467378404"/>
      <w:r/>
      <w:bookmarkStart w:id="175" w:name="_Toc19680"/>
      <w:r>
        <w:rPr>
          <w:rFonts w:hint="eastAsia" w:ascii="宋体" w:hAnsi="宋体" w:eastAsia="宋体" w:cs="宋体"/>
          <w:b/>
          <w:color w:val="000000"/>
          <w:sz w:val="24"/>
          <w:szCs w:val="24"/>
          <w:highlight w:val="none"/>
        </w:rPr>
        <w:t xml:space="preserve">2.1 定义</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76" w:name="_Ref467378840"/>
      <w:r>
        <w:rPr>
          <w:rFonts w:hint="eastAsia" w:ascii="宋体" w:hAnsi="宋体" w:eastAsia="宋体" w:cs="宋体"/>
          <w:color w:val="000000"/>
          <w:sz w:val="24"/>
          <w:szCs w:val="24"/>
          <w:highlight w:val="none"/>
        </w:rPr>
        <w:t xml:space="preserve">2.1.4 “甲方”系指与中标供应商签署合同的采购人</w:t>
      </w:r>
      <w:bookmarkEnd w:id="176"/>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77" w:name="_Ref467379400"/>
      <w:r>
        <w:rPr>
          <w:rFonts w:hint="eastAsia" w:ascii="宋体" w:hAnsi="宋体" w:eastAsia="宋体" w:cs="宋体"/>
          <w:color w:val="000000"/>
          <w:sz w:val="24"/>
          <w:szCs w:val="24"/>
          <w:highlight w:val="none"/>
        </w:rPr>
        <w:t xml:space="preserve">2.1.5 “乙方”系指根据合同约定提供服务的中标供应商</w:t>
      </w:r>
      <w:bookmarkEnd w:id="177"/>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78" w:name="_Ref467379436"/>
      <w:r>
        <w:rPr>
          <w:rFonts w:hint="eastAsia" w:ascii="宋体" w:hAnsi="宋体" w:eastAsia="宋体" w:cs="宋体"/>
          <w:color w:val="000000"/>
          <w:sz w:val="24"/>
          <w:szCs w:val="24"/>
          <w:highlight w:val="none"/>
        </w:rPr>
        <w:t xml:space="preserve">2.1.6 “现场”系指合同约定提供服务的地点。</w:t>
      </w:r>
      <w:bookmarkEnd w:id="178"/>
      <w:r/>
      <w:r/>
    </w:p>
    <w:p>
      <w:pPr>
        <w:ind w:firstLine="482"/>
        <w:spacing w:line="560" w:lineRule="exact"/>
        <w:rPr>
          <w:rFonts w:ascii="宋体" w:hAnsi="宋体" w:eastAsia="宋体" w:cs="宋体"/>
          <w:b/>
          <w:color w:val="000000"/>
          <w:sz w:val="24"/>
          <w:szCs w:val="24"/>
          <w:highlight w:val="none"/>
        </w:rPr>
      </w:pPr>
      <w:r/>
      <w:bookmarkStart w:id="179" w:name="_Toc259093670"/>
      <w:r/>
      <w:bookmarkStart w:id="180" w:name="_Toc3769"/>
      <w:r/>
      <w:bookmarkStart w:id="181" w:name="_Toc16752"/>
      <w:r/>
      <w:bookmarkStart w:id="182" w:name="_Toc23289"/>
      <w:r/>
      <w:bookmarkStart w:id="183" w:name="_Toc279701241"/>
      <w:r/>
      <w:bookmarkStart w:id="184" w:name="_Toc31402"/>
      <w:r/>
      <w:bookmarkStart w:id="185" w:name="_Toc487900350"/>
      <w:r/>
      <w:bookmarkStart w:id="186" w:name="_Toc19539"/>
      <w:r>
        <w:rPr>
          <w:rFonts w:hint="eastAsia" w:ascii="宋体" w:hAnsi="宋体" w:eastAsia="宋体" w:cs="宋体"/>
          <w:b/>
          <w:color w:val="000000"/>
          <w:sz w:val="24"/>
          <w:szCs w:val="24"/>
          <w:highlight w:val="none"/>
        </w:rPr>
        <w:t xml:space="preserve">2.2 技术规范</w:t>
      </w:r>
      <w:bookmarkEnd w:id="179"/>
      <w:r/>
      <w:bookmarkEnd w:id="180"/>
      <w:r/>
      <w:bookmarkEnd w:id="181"/>
      <w:r/>
      <w:bookmarkEnd w:id="182"/>
      <w:r/>
      <w:bookmarkEnd w:id="183"/>
      <w:r/>
      <w:bookmarkEnd w:id="184"/>
      <w:r/>
      <w:bookmarkEnd w:id="185"/>
      <w:r/>
      <w:bookmarkEnd w:id="18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87" w:name="_Toc487900351"/>
      <w:r/>
      <w:bookmarkStart w:id="188" w:name="_Toc12412"/>
      <w:r/>
      <w:bookmarkStart w:id="189" w:name="_Toc4133"/>
      <w:r/>
      <w:bookmarkStart w:id="190" w:name="_Toc9161"/>
      <w:r/>
      <w:bookmarkStart w:id="191" w:name="_Toc259093671"/>
      <w:r/>
      <w:bookmarkStart w:id="192" w:name="_Toc13673"/>
      <w:r/>
      <w:bookmarkStart w:id="193" w:name="_Toc279701242"/>
      <w:r/>
      <w:bookmarkStart w:id="194" w:name="_Toc27945"/>
      <w:r>
        <w:rPr>
          <w:rFonts w:hint="eastAsia" w:ascii="宋体" w:hAnsi="宋体" w:eastAsia="宋体" w:cs="宋体"/>
          <w:b/>
          <w:color w:val="000000"/>
          <w:sz w:val="24"/>
          <w:szCs w:val="24"/>
          <w:highlight w:val="none"/>
        </w:rPr>
        <w:t xml:space="preserve">2.3 知识产权</w:t>
      </w:r>
      <w:bookmarkEnd w:id="187"/>
      <w:r/>
      <w:bookmarkEnd w:id="188"/>
      <w:r/>
      <w:bookmarkEnd w:id="189"/>
      <w:r/>
      <w:bookmarkEnd w:id="190"/>
      <w:r/>
      <w:bookmarkEnd w:id="191"/>
      <w:r/>
      <w:bookmarkEnd w:id="192"/>
      <w:r/>
      <w:bookmarkEnd w:id="193"/>
      <w:r/>
      <w:bookmarkEnd w:id="19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195" w:name="_Ref467379657"/>
      <w:r>
        <w:rPr>
          <w:rFonts w:hint="eastAsia" w:ascii="宋体" w:hAnsi="宋体" w:eastAsia="宋体" w:cs="宋体"/>
          <w:color w:val="000000"/>
          <w:sz w:val="24"/>
          <w:szCs w:val="24"/>
          <w:highlight w:val="none"/>
        </w:rPr>
        <w:t xml:space="preserve">2.4.1</w:t>
      </w:r>
      <w:bookmarkEnd w:id="195"/>
      <w:r/>
      <w:bookmarkStart w:id="196" w:name="_Toc186431854"/>
      <w:r/>
      <w:bookmarkStart w:id="197" w:name="_Toc259093676"/>
      <w:r/>
      <w:bookmarkStart w:id="198" w:name="_Ref467379793"/>
      <w:r/>
      <w:bookmarkStart w:id="199" w:name="_Ref467379807"/>
      <w:r/>
      <w:bookmarkStart w:id="200" w:name="_Toc487900357"/>
      <w:r/>
      <w:bookmarkStart w:id="201" w:name="_Toc279701247"/>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196"/>
      <w:r/>
      <w:bookmarkStart w:id="202" w:name="_Toc186431855"/>
      <w:r>
        <w:rPr>
          <w:rFonts w:hint="eastAsia" w:ascii="宋体" w:hAnsi="宋体" w:eastAsia="宋体" w:cs="宋体"/>
          <w:color w:val="000000"/>
          <w:sz w:val="24"/>
          <w:szCs w:val="24"/>
          <w:highlight w:val="none"/>
        </w:rPr>
        <w:t xml:space="preserve">。</w:t>
      </w:r>
      <w:bookmarkEnd w:id="197"/>
      <w:bookmarkEnd w:id="198"/>
      <w:bookmarkEnd w:id="199"/>
      <w:bookmarkEnd w:id="200"/>
      <w:bookmarkEnd w:id="201"/>
      <w:bookmarkEnd w:id="202"/>
      <w:r/>
    </w:p>
    <w:p>
      <w:pPr>
        <w:ind w:firstLine="482"/>
        <w:spacing w:line="560" w:lineRule="exact"/>
        <w:rPr>
          <w:rFonts w:ascii="宋体" w:hAnsi="宋体" w:eastAsia="宋体" w:cs="宋体"/>
          <w:b/>
          <w:color w:val="000000"/>
          <w:sz w:val="24"/>
          <w:szCs w:val="24"/>
          <w:highlight w:val="none"/>
        </w:rPr>
      </w:pPr>
      <w:r/>
      <w:bookmarkStart w:id="203" w:name="_Ref467379923"/>
      <w:r/>
      <w:bookmarkStart w:id="204" w:name="_Toc487900358"/>
      <w:r/>
      <w:bookmarkStart w:id="205" w:name="_Ref467379852"/>
      <w:r/>
      <w:bookmarkStart w:id="206" w:name="_Ref467379863"/>
      <w:r/>
      <w:bookmarkStart w:id="207" w:name="_Toc279701248"/>
      <w:r/>
      <w:bookmarkStart w:id="208" w:name="_Toc259093677"/>
      <w:r/>
      <w:bookmarkStart w:id="209" w:name="_Toc13467"/>
      <w:r/>
      <w:bookmarkStart w:id="210" w:name="_Toc13154"/>
      <w:r/>
      <w:bookmarkStart w:id="211" w:name="_Toc30507"/>
      <w:r/>
      <w:bookmarkStart w:id="212" w:name="_Toc18990"/>
      <w:r/>
      <w:bookmarkStart w:id="213" w:name="_Toc16163"/>
      <w:r>
        <w:rPr>
          <w:rFonts w:hint="eastAsia" w:ascii="宋体" w:hAnsi="宋体" w:eastAsia="宋体" w:cs="宋体"/>
          <w:b/>
          <w:color w:val="000000"/>
          <w:sz w:val="24"/>
          <w:szCs w:val="24"/>
          <w:highlight w:val="none"/>
        </w:rPr>
        <w:t xml:space="preserve">2.5 技术资料</w:t>
      </w:r>
      <w:bookmarkEnd w:id="203"/>
      <w:r/>
      <w:bookmarkEnd w:id="204"/>
      <w:r/>
      <w:bookmarkEnd w:id="205"/>
      <w:r/>
      <w:bookmarkEnd w:id="206"/>
      <w:r/>
      <w:bookmarkEnd w:id="207"/>
      <w:r/>
      <w:bookmarkEnd w:id="208"/>
      <w:r>
        <w:rPr>
          <w:rFonts w:hint="eastAsia" w:ascii="宋体" w:hAnsi="宋体" w:eastAsia="宋体" w:cs="宋体"/>
          <w:b/>
          <w:color w:val="000000"/>
          <w:sz w:val="24"/>
          <w:szCs w:val="24"/>
          <w:highlight w:val="none"/>
        </w:rPr>
        <w:t xml:space="preserve">和保密义务</w:t>
      </w:r>
      <w:bookmarkEnd w:id="209"/>
      <w:r/>
      <w:bookmarkEnd w:id="210"/>
      <w:r/>
      <w:bookmarkEnd w:id="211"/>
      <w:r/>
      <w:bookmarkEnd w:id="212"/>
      <w:r/>
      <w:bookmarkEnd w:id="21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14" w:name="_Toc19069"/>
      <w:r/>
      <w:bookmarkStart w:id="215" w:name="_Toc487900362"/>
      <w:r/>
      <w:bookmarkStart w:id="216" w:name="_Toc259093681"/>
      <w:r/>
      <w:bookmarkStart w:id="217" w:name="_Toc279701252"/>
      <w:r>
        <w:rPr>
          <w:rFonts w:hint="eastAsia" w:ascii="宋体" w:hAnsi="宋体" w:eastAsia="宋体" w:cs="宋体"/>
          <w:b/>
          <w:color w:val="000000"/>
          <w:sz w:val="24"/>
          <w:szCs w:val="24"/>
          <w:highlight w:val="none"/>
        </w:rPr>
        <w:t xml:space="preserve">2.6 质量保证</w:t>
      </w:r>
      <w:bookmarkEnd w:id="21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18" w:name="_Toc22267"/>
      <w:r>
        <w:rPr>
          <w:rFonts w:hint="eastAsia" w:ascii="宋体" w:hAnsi="宋体" w:eastAsia="宋体" w:cs="宋体"/>
          <w:b/>
          <w:color w:val="000000"/>
          <w:sz w:val="24"/>
          <w:szCs w:val="24"/>
          <w:highlight w:val="none"/>
        </w:rPr>
        <w:t xml:space="preserve">2.7 延迟</w:t>
      </w:r>
      <w:bookmarkEnd w:id="215"/>
      <w:r/>
      <w:bookmarkEnd w:id="216"/>
      <w:r/>
      <w:bookmarkEnd w:id="217"/>
      <w:r>
        <w:rPr>
          <w:rFonts w:hint="eastAsia" w:ascii="宋体" w:hAnsi="宋体" w:eastAsia="宋体" w:cs="宋体"/>
          <w:b/>
          <w:color w:val="000000"/>
          <w:sz w:val="24"/>
          <w:szCs w:val="24"/>
          <w:highlight w:val="none"/>
        </w:rPr>
        <w:t xml:space="preserve">履行</w:t>
      </w:r>
      <w:bookmarkEnd w:id="21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19" w:name="_Toc10611"/>
      <w:r/>
      <w:bookmarkStart w:id="220" w:name="_Toc259093683"/>
      <w:r/>
      <w:bookmarkStart w:id="221" w:name="_Ref467378121"/>
      <w:r/>
      <w:bookmarkStart w:id="222" w:name="_Toc279701254"/>
      <w:r/>
      <w:bookmarkStart w:id="223" w:name="_Toc487900364"/>
      <w:r>
        <w:rPr>
          <w:rFonts w:hint="eastAsia" w:ascii="宋体" w:hAnsi="宋体" w:eastAsia="宋体" w:cs="宋体"/>
          <w:b/>
          <w:color w:val="000000"/>
          <w:sz w:val="24"/>
          <w:szCs w:val="24"/>
          <w:highlight w:val="none"/>
        </w:rPr>
        <w:t xml:space="preserve">2.8 合同变更</w:t>
      </w:r>
      <w:bookmarkEnd w:id="21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24" w:name="_Toc259093688"/>
      <w:r/>
      <w:bookmarkStart w:id="225" w:name="_Toc487900369"/>
      <w:r/>
      <w:bookmarkStart w:id="226" w:name="_Toc279701259"/>
      <w:r/>
      <w:r/>
    </w:p>
    <w:p>
      <w:pPr>
        <w:ind w:firstLine="482"/>
        <w:spacing w:line="560" w:lineRule="exact"/>
        <w:rPr>
          <w:rFonts w:ascii="宋体" w:hAnsi="宋体" w:eastAsia="宋体" w:cs="宋体"/>
          <w:b/>
          <w:color w:val="000000"/>
          <w:sz w:val="24"/>
          <w:szCs w:val="24"/>
          <w:highlight w:val="none"/>
        </w:rPr>
      </w:pPr>
      <w:r/>
      <w:bookmarkStart w:id="227" w:name="_Toc10663"/>
      <w:r/>
      <w:bookmarkStart w:id="228" w:name="_Toc23368"/>
      <w:r/>
      <w:bookmarkStart w:id="229" w:name="_Toc26689"/>
      <w:r/>
      <w:bookmarkStart w:id="230" w:name="_Toc21830"/>
      <w:r/>
      <w:bookmarkStart w:id="231" w:name="_Toc42"/>
      <w:r>
        <w:rPr>
          <w:rFonts w:hint="eastAsia" w:ascii="宋体" w:hAnsi="宋体" w:eastAsia="宋体" w:cs="宋体"/>
          <w:b/>
          <w:color w:val="000000"/>
          <w:sz w:val="24"/>
          <w:szCs w:val="24"/>
          <w:highlight w:val="none"/>
        </w:rPr>
        <w:t xml:space="preserve">2.9 合同转让</w:t>
      </w:r>
      <w:bookmarkEnd w:id="224"/>
      <w:r/>
      <w:bookmarkEnd w:id="225"/>
      <w:r/>
      <w:bookmarkEnd w:id="226"/>
      <w:r>
        <w:rPr>
          <w:rFonts w:hint="eastAsia" w:ascii="宋体" w:hAnsi="宋体" w:eastAsia="宋体" w:cs="宋体"/>
          <w:b/>
          <w:color w:val="000000"/>
          <w:sz w:val="24"/>
          <w:szCs w:val="24"/>
          <w:highlight w:val="none"/>
        </w:rPr>
        <w:t xml:space="preserve">和分包</w:t>
      </w:r>
      <w:bookmarkEnd w:id="227"/>
      <w:r/>
      <w:bookmarkEnd w:id="228"/>
      <w:r/>
      <w:bookmarkEnd w:id="229"/>
      <w:r/>
      <w:bookmarkEnd w:id="230"/>
      <w:r/>
      <w:bookmarkEnd w:id="23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合同的权利义务依法不得转让，如招标文件“第一章 投标邀请函”中甲方接受中标后分包，</w:t>
      </w:r>
      <w:r>
        <w:rPr>
          <w:rFonts w:hint="eastAsia" w:ascii="宋体" w:hAnsi="宋体" w:eastAsia="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32" w:name="_Toc32494"/>
      <w:r/>
      <w:bookmarkStart w:id="233" w:name="_Toc26633"/>
      <w:r/>
      <w:bookmarkStart w:id="234" w:name="_Toc25571"/>
      <w:r/>
      <w:bookmarkStart w:id="235" w:name="_Toc14371"/>
      <w:r/>
      <w:bookmarkStart w:id="236" w:name="_Toc4720"/>
      <w:r>
        <w:rPr>
          <w:rFonts w:hint="eastAsia" w:ascii="宋体" w:hAnsi="宋体" w:eastAsia="宋体" w:cs="宋体"/>
          <w:b/>
          <w:color w:val="000000"/>
          <w:sz w:val="24"/>
          <w:szCs w:val="24"/>
          <w:highlight w:val="none"/>
        </w:rPr>
        <w:t xml:space="preserve">2.10 不可抗力</w:t>
      </w:r>
      <w:bookmarkEnd w:id="232"/>
      <w:r/>
      <w:bookmarkEnd w:id="233"/>
      <w:r/>
      <w:bookmarkEnd w:id="234"/>
      <w:r/>
      <w:bookmarkEnd w:id="235"/>
      <w:r/>
      <w:bookmarkEnd w:id="23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w:t>
      </w:r>
      <w:r>
        <w:rPr>
          <w:rFonts w:hint="eastAsia" w:ascii="宋体" w:hAnsi="宋体" w:eastAsia="宋体" w:cs="宋体"/>
          <w:color w:val="000000"/>
          <w:sz w:val="24"/>
          <w:szCs w:val="20"/>
          <w:highlight w:val="none"/>
        </w:rPr>
        <w:t xml:space="preserve">双方当事人应在约定时间内以书面形式变更合同</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2.10.5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37" w:name="_Toc279701255"/>
      <w:r/>
      <w:bookmarkStart w:id="238" w:name="_Toc24465"/>
      <w:r/>
      <w:bookmarkStart w:id="239" w:name="_Toc259093684"/>
      <w:r/>
      <w:bookmarkStart w:id="240" w:name="_Toc14115"/>
      <w:r/>
      <w:bookmarkStart w:id="241" w:name="_Toc25783"/>
      <w:r/>
      <w:bookmarkStart w:id="242" w:name="_Toc23854"/>
      <w:r/>
      <w:bookmarkStart w:id="243" w:name="_Toc3638"/>
      <w:r/>
      <w:bookmarkStart w:id="244" w:name="_Toc487900365"/>
      <w:r>
        <w:rPr>
          <w:rFonts w:hint="eastAsia" w:ascii="宋体" w:hAnsi="宋体" w:eastAsia="宋体" w:cs="宋体"/>
          <w:b/>
          <w:color w:val="000000"/>
          <w:sz w:val="24"/>
          <w:szCs w:val="24"/>
          <w:highlight w:val="none"/>
        </w:rPr>
        <w:t xml:space="preserve">2.11 税费</w:t>
      </w:r>
      <w:bookmarkEnd w:id="237"/>
      <w:r/>
      <w:bookmarkEnd w:id="238"/>
      <w:r/>
      <w:bookmarkEnd w:id="239"/>
      <w:r/>
      <w:bookmarkEnd w:id="240"/>
      <w:r/>
      <w:bookmarkEnd w:id="241"/>
      <w:r/>
      <w:bookmarkEnd w:id="242"/>
      <w:r/>
      <w:bookmarkEnd w:id="243"/>
      <w:r/>
      <w:bookmarkEnd w:id="24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45" w:name="_Toc7315"/>
      <w:r/>
      <w:bookmarkStart w:id="246" w:name="_Toc14814"/>
      <w:r/>
      <w:bookmarkStart w:id="247" w:name="_Toc487900368"/>
      <w:r/>
      <w:bookmarkStart w:id="248" w:name="_Toc26883"/>
      <w:r/>
      <w:bookmarkStart w:id="249" w:name="_Toc259093687"/>
      <w:r/>
      <w:bookmarkStart w:id="250" w:name="_Toc25525"/>
      <w:r/>
      <w:bookmarkStart w:id="251" w:name="_Toc279701258"/>
      <w:r/>
      <w:bookmarkStart w:id="252" w:name="_Toc30105"/>
      <w:r>
        <w:rPr>
          <w:rFonts w:hint="eastAsia" w:ascii="宋体" w:hAnsi="宋体" w:eastAsia="宋体" w:cs="宋体"/>
          <w:b/>
          <w:color w:val="000000"/>
          <w:sz w:val="24"/>
          <w:szCs w:val="24"/>
          <w:highlight w:val="none"/>
        </w:rPr>
        <w:t xml:space="preserve">2.12 乙方破产</w:t>
      </w:r>
      <w:bookmarkEnd w:id="245"/>
      <w:r/>
      <w:bookmarkEnd w:id="246"/>
      <w:r/>
      <w:bookmarkEnd w:id="247"/>
      <w:r/>
      <w:bookmarkEnd w:id="248"/>
      <w:r/>
      <w:bookmarkEnd w:id="249"/>
      <w:r/>
      <w:bookmarkEnd w:id="250"/>
      <w:r/>
      <w:bookmarkEnd w:id="251"/>
      <w:r/>
      <w:bookmarkEnd w:id="25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53" w:name="_Toc2016"/>
      <w:r/>
      <w:bookmarkStart w:id="254" w:name="_Toc23323"/>
      <w:r/>
      <w:bookmarkStart w:id="255" w:name="_Toc1123"/>
      <w:r>
        <w:rPr>
          <w:rFonts w:hint="eastAsia" w:ascii="宋体" w:hAnsi="宋体" w:eastAsia="宋体" w:cs="宋体"/>
          <w:b/>
          <w:color w:val="000000"/>
          <w:sz w:val="24"/>
          <w:szCs w:val="24"/>
          <w:highlight w:val="none"/>
        </w:rPr>
        <w:t xml:space="preserve">2.13 合同中止、终止</w:t>
      </w:r>
      <w:bookmarkEnd w:id="253"/>
      <w:r/>
      <w:bookmarkEnd w:id="254"/>
      <w:r/>
      <w:bookmarkEnd w:id="25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56" w:name="_Toc17363"/>
      <w:r/>
      <w:bookmarkStart w:id="257" w:name="_Toc14525"/>
      <w:r/>
      <w:bookmarkStart w:id="258" w:name="_Toc1969"/>
      <w:r>
        <w:rPr>
          <w:rFonts w:hint="eastAsia" w:ascii="宋体" w:hAnsi="宋体" w:eastAsia="宋体" w:cs="宋体"/>
          <w:b/>
          <w:color w:val="000000"/>
          <w:sz w:val="24"/>
          <w:szCs w:val="24"/>
          <w:highlight w:val="none"/>
        </w:rPr>
        <w:t xml:space="preserve">2.14 检验和验收</w:t>
      </w:r>
      <w:bookmarkEnd w:id="256"/>
      <w:r/>
      <w:bookmarkEnd w:id="257"/>
      <w:r/>
      <w:bookmarkEnd w:id="258"/>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0"/>
      <w:bookmarkEnd w:id="221"/>
      <w:bookmarkEnd w:id="222"/>
      <w:bookmarkEnd w:id="223"/>
      <w:r/>
    </w:p>
    <w:p>
      <w:pPr>
        <w:ind w:firstLine="482"/>
        <w:spacing w:line="560" w:lineRule="exact"/>
        <w:rPr>
          <w:rFonts w:ascii="宋体" w:hAnsi="宋体" w:eastAsia="宋体" w:cs="宋体"/>
          <w:b/>
          <w:color w:val="000000"/>
          <w:sz w:val="24"/>
          <w:szCs w:val="24"/>
          <w:highlight w:val="none"/>
        </w:rPr>
      </w:pPr>
      <w:r/>
      <w:bookmarkStart w:id="259" w:name="_Toc487900371"/>
      <w:r/>
      <w:bookmarkStart w:id="260" w:name="_Toc279701261"/>
      <w:r/>
      <w:bookmarkStart w:id="261" w:name="_Toc259093690"/>
      <w:r/>
      <w:bookmarkStart w:id="262" w:name="_Toc25198"/>
      <w:r/>
      <w:bookmarkStart w:id="263" w:name="_Toc9808"/>
      <w:r/>
      <w:bookmarkStart w:id="264" w:name="_Toc12666"/>
      <w:r/>
      <w:bookmarkStart w:id="265" w:name="_Toc31892"/>
      <w:r/>
      <w:bookmarkStart w:id="266" w:name="_Toc2308"/>
      <w:r>
        <w:rPr>
          <w:rFonts w:hint="eastAsia" w:ascii="宋体" w:hAnsi="宋体" w:eastAsia="宋体" w:cs="宋体"/>
          <w:b/>
          <w:color w:val="000000"/>
          <w:sz w:val="24"/>
          <w:szCs w:val="24"/>
          <w:highlight w:val="none"/>
        </w:rPr>
        <w:t xml:space="preserve">2.15 通知</w:t>
      </w:r>
      <w:bookmarkEnd w:id="259"/>
      <w:r/>
      <w:bookmarkEnd w:id="260"/>
      <w:r/>
      <w:bookmarkEnd w:id="261"/>
      <w:r>
        <w:rPr>
          <w:rFonts w:hint="eastAsia" w:ascii="宋体" w:hAnsi="宋体" w:eastAsia="宋体" w:cs="宋体"/>
          <w:b/>
          <w:color w:val="000000"/>
          <w:sz w:val="24"/>
          <w:szCs w:val="24"/>
          <w:highlight w:val="none"/>
        </w:rPr>
        <w:t xml:space="preserve">和送达</w:t>
      </w:r>
      <w:bookmarkEnd w:id="262"/>
      <w:r/>
      <w:bookmarkEnd w:id="263"/>
      <w:r/>
      <w:bookmarkEnd w:id="264"/>
      <w:r/>
      <w:bookmarkEnd w:id="265"/>
      <w:r/>
      <w:bookmarkEnd w:id="266"/>
      <w:r/>
      <w:r/>
    </w:p>
    <w:p>
      <w:pPr>
        <w:ind w:firstLine="480"/>
        <w:spacing w:line="560" w:lineRule="exact"/>
        <w:rPr>
          <w:rFonts w:ascii="宋体" w:hAnsi="宋体" w:eastAsia="宋体" w:cs="宋体"/>
          <w:color w:val="000000"/>
          <w:sz w:val="24"/>
          <w:szCs w:val="24"/>
          <w:highlight w:val="none"/>
        </w:rPr>
      </w:pPr>
      <w:r/>
      <w:bookmarkStart w:id="267" w:name="_Toc29220"/>
      <w:r/>
      <w:bookmarkStart w:id="268" w:name="_Toc7073"/>
      <w:r/>
      <w:bookmarkStart w:id="269" w:name="_Toc487900372"/>
      <w:r/>
      <w:bookmarkStart w:id="270" w:name="_Toc279701262"/>
      <w:r/>
      <w:bookmarkStart w:id="271" w:name="_Toc259093691"/>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67"/>
      <w:r/>
      <w:bookmarkEnd w:id="268"/>
      <w:r/>
      <w:r/>
    </w:p>
    <w:p>
      <w:pPr>
        <w:ind w:firstLine="480"/>
        <w:spacing w:line="560" w:lineRule="exact"/>
        <w:rPr>
          <w:rFonts w:ascii="宋体" w:hAnsi="宋体" w:eastAsia="宋体" w:cs="宋体"/>
          <w:color w:val="000000"/>
          <w:sz w:val="24"/>
          <w:szCs w:val="24"/>
          <w:highlight w:val="none"/>
        </w:rPr>
      </w:pPr>
      <w:r/>
      <w:bookmarkStart w:id="272" w:name="_Toc27674"/>
      <w:r/>
      <w:bookmarkStart w:id="273" w:name="_Toc18401"/>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2"/>
      <w:r/>
      <w:bookmarkEnd w:id="273"/>
      <w:r/>
      <w:bookmarkEnd w:id="269"/>
      <w:bookmarkEnd w:id="270"/>
      <w:bookmarkEnd w:id="271"/>
      <w:r/>
    </w:p>
    <w:p>
      <w:pPr>
        <w:ind w:firstLine="482"/>
        <w:spacing w:line="560" w:lineRule="exact"/>
        <w:rPr>
          <w:rFonts w:ascii="宋体" w:hAnsi="宋体" w:eastAsia="宋体" w:cs="宋体"/>
          <w:b/>
          <w:color w:val="000000"/>
          <w:sz w:val="24"/>
          <w:szCs w:val="24"/>
          <w:highlight w:val="none"/>
        </w:rPr>
      </w:pPr>
      <w:r/>
      <w:bookmarkStart w:id="274" w:name="_Toc20808"/>
      <w:r/>
      <w:bookmarkStart w:id="275" w:name="_Toc487900373"/>
      <w:r/>
      <w:bookmarkStart w:id="276" w:name="_Toc259093692"/>
      <w:r/>
      <w:bookmarkStart w:id="277" w:name="_Toc12254"/>
      <w:r/>
      <w:bookmarkStart w:id="278" w:name="_Toc28906"/>
      <w:r/>
      <w:bookmarkStart w:id="279" w:name="_Toc279701263"/>
      <w:r/>
      <w:bookmarkStart w:id="280" w:name="_Toc27644"/>
      <w:r/>
      <w:bookmarkStart w:id="281" w:name="_Toc5063"/>
      <w:r>
        <w:rPr>
          <w:rFonts w:hint="eastAsia" w:ascii="宋体" w:hAnsi="宋体" w:eastAsia="宋体" w:cs="宋体"/>
          <w:b/>
          <w:color w:val="000000"/>
          <w:sz w:val="24"/>
          <w:szCs w:val="24"/>
          <w:highlight w:val="none"/>
        </w:rPr>
        <w:t xml:space="preserve">2.16 合同使用的文字和适用的法律</w:t>
      </w:r>
      <w:bookmarkEnd w:id="274"/>
      <w:r/>
      <w:bookmarkEnd w:id="275"/>
      <w:r/>
      <w:bookmarkEnd w:id="276"/>
      <w:r/>
      <w:bookmarkEnd w:id="277"/>
      <w:r/>
      <w:bookmarkEnd w:id="278"/>
      <w:r/>
      <w:bookmarkEnd w:id="279"/>
      <w:r/>
      <w:bookmarkEnd w:id="280"/>
      <w:r/>
      <w:bookmarkEnd w:id="28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 xml:space="preserve">第六章 投标文件（格式）</w:t>
      </w:r>
      <w:bookmarkEnd w:id="119"/>
      <w:r/>
      <w:bookmarkEnd w:id="120"/>
      <w:r/>
      <w:r/>
    </w:p>
    <w:p>
      <w:pPr>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jc w:val="center"/>
        <w:rPr>
          <w:rFonts w:hint="eastAsia" w:ascii="宋体" w:hAnsi="宋体"/>
          <w:b/>
          <w:color w:val="000000"/>
          <w:sz w:val="120"/>
          <w:szCs w:val="120"/>
          <w:highlight w:val="none"/>
        </w:rPr>
      </w:pPr>
      <w:r/>
      <w:bookmarkStart w:id="282" w:name="_Toc29240"/>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282"/>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83" w:name="_Toc10010"/>
      <w:r/>
      <w:bookmarkStart w:id="284" w:name="_Toc24371"/>
      <w:r>
        <w:rPr>
          <w:rFonts w:hint="eastAsia" w:ascii="宋体" w:hAnsi="宋体"/>
          <w:b/>
          <w:color w:val="000000"/>
          <w:sz w:val="36"/>
          <w:szCs w:val="36"/>
          <w:highlight w:val="none"/>
        </w:rPr>
        <w:t xml:space="preserve">项目名称：</w:t>
      </w:r>
      <w:bookmarkEnd w:id="283"/>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85" w:name="_Toc2400"/>
      <w:r>
        <w:rPr>
          <w:rFonts w:hint="eastAsia" w:ascii="宋体" w:hAnsi="宋体"/>
          <w:b/>
          <w:color w:val="000000"/>
          <w:sz w:val="36"/>
          <w:szCs w:val="36"/>
          <w:highlight w:val="none"/>
        </w:rPr>
        <w:t xml:space="preserve">项目编号：</w:t>
      </w:r>
      <w:bookmarkEnd w:id="285"/>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84"/>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21"/>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hint="eastAsia" w:ascii="宋体" w:hAnsi="宋体" w:eastAsia="黑体" w:cs="宋体"/>
          <w:color w:val="000000"/>
          <w:sz w:val="24"/>
          <w:szCs w:val="24"/>
          <w:highlight w:val="none"/>
        </w:rPr>
      </w:pPr>
      <w:r/>
      <w:bookmarkStart w:id="286" w:name="_Toc32423"/>
      <w:r/>
      <w:bookmarkEnd w:id="286"/>
      <w:r>
        <w:rPr>
          <w:rFonts w:hint="eastAsia" w:ascii="黑体" w:hAnsi="黑体" w:eastAsia="黑体" w:cs="宋体"/>
          <w:color w:val="000000"/>
          <w:sz w:val="28"/>
          <w:szCs w:val="28"/>
          <w:highlight w:val="none"/>
        </w:rPr>
        <w:t xml:space="preserve">开标一览表</w:t>
      </w:r>
      <w:r/>
    </w:p>
    <w:p>
      <w:pPr>
        <w:ind w:firstLine="480"/>
        <w:jc w:val="left"/>
        <w:spacing w:line="480" w:lineRule="auto"/>
        <w:rPr>
          <w:rFonts w:ascii="宋体" w:hAnsi="宋体"/>
          <w:bCs/>
          <w:color w:val="000000"/>
          <w:sz w:val="24"/>
          <w:szCs w:val="24"/>
          <w:highlight w:val="none"/>
        </w:rPr>
      </w:pPr>
      <w:r/>
      <w:bookmarkStart w:id="287" w:name="_Hlk151563492"/>
      <w:r>
        <w:rPr>
          <w:rFonts w:hint="eastAsia" w:ascii="宋体" w:hAnsi="宋体"/>
          <w:bCs/>
          <w:color w:val="000000"/>
          <w:sz w:val="24"/>
          <w:szCs w:val="24"/>
          <w:highlight w:val="none"/>
        </w:rPr>
        <w:t xml:space="preserve">投标人全称（CA公章）： </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宜兴国际旅游度假区龙池嘉园安置小区复审项目</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JSZC-320282-HCCG-G2024-0118</w:t>
      </w:r>
      <w:bookmarkEnd w:id="287"/>
      <w:r/>
    </w:p>
    <w:p>
      <w:pPr>
        <w:ind w:left="1"/>
        <w:jc w:val="righ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left="1"/>
        <w:jc w:val="right"/>
        <w:rPr>
          <w:rFonts w:ascii="宋体" w:hAnsi="宋体" w:cs="宋体"/>
          <w:color w:val="000000"/>
          <w:sz w:val="24"/>
          <w:szCs w:val="24"/>
          <w:highlight w:val="none"/>
        </w:rPr>
      </w:pPr>
      <w:r>
        <w:rPr>
          <w:rFonts w:ascii="宋体" w:hAnsi="宋体" w:cs="宋体"/>
          <w:color w:val="000000"/>
          <w:sz w:val="24"/>
          <w:szCs w:val="24"/>
          <w:highlight w:val="none"/>
        </w:rPr>
        <w:t xml:space="preserve"> </w:t>
      </w:r>
      <w:r/>
    </w:p>
    <w:tbl>
      <w:tblPr>
        <w:tblStyle w:val="830"/>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44"/>
        <w:gridCol w:w="2747"/>
        <w:gridCol w:w="4128"/>
      </w:tblGrid>
      <w:tr>
        <w:trPr>
          <w:trHeight w:val="926"/>
        </w:trPr>
        <w:tc>
          <w:tcPr>
            <w:tcW w:w="2844" w:type="dxa"/>
            <w:vAlign w:val="center"/>
            <w:textDirection w:val="lrTb"/>
            <w:noWrap w:val="false"/>
          </w:tcPr>
          <w:p>
            <w:pPr>
              <w:pStyle w:val="849"/>
              <w:jc w:val="center"/>
              <w:widowControl/>
              <w:rPr>
                <w:highlight w:val="none"/>
              </w:rPr>
            </w:pPr>
            <w:r>
              <w:rPr>
                <w:rFonts w:ascii="Segoe UI" w:hAnsi="Segoe UI" w:eastAsia="Segoe UI" w:cs="Segoe UI"/>
                <w:color w:val="000000"/>
                <w:sz w:val="27"/>
                <w:szCs w:val="27"/>
                <w:highlight w:val="none"/>
              </w:rPr>
              <w:t xml:space="preserve">项目名称</w:t>
            </w:r>
            <w:r/>
          </w:p>
        </w:tc>
        <w:tc>
          <w:tcPr>
            <w:tcW w:w="2747" w:type="dxa"/>
            <w:vAlign w:val="center"/>
            <w:textDirection w:val="lrTb"/>
            <w:noWrap w:val="false"/>
          </w:tcPr>
          <w:p>
            <w:pPr>
              <w:pStyle w:val="849"/>
              <w:jc w:val="center"/>
              <w:widowControl/>
              <w:rPr>
                <w:highlight w:val="none"/>
              </w:rPr>
            </w:pPr>
            <w:r>
              <w:rPr>
                <w:rFonts w:ascii="Segoe UI" w:hAnsi="Segoe UI" w:eastAsia="Segoe UI" w:cs="Segoe UI"/>
                <w:color w:val="000000"/>
                <w:sz w:val="27"/>
                <w:szCs w:val="27"/>
                <w:highlight w:val="none"/>
              </w:rPr>
              <w:t xml:space="preserve">项目内容</w:t>
            </w:r>
            <w:r/>
          </w:p>
        </w:tc>
        <w:tc>
          <w:tcPr>
            <w:tcW w:w="4128" w:type="dxa"/>
            <w:vAlign w:val="center"/>
            <w:textDirection w:val="lrTb"/>
            <w:noWrap w:val="false"/>
          </w:tcPr>
          <w:p>
            <w:pPr>
              <w:pStyle w:val="849"/>
              <w:jc w:val="center"/>
              <w:widowControl/>
              <w:rPr>
                <w:highlight w:val="none"/>
              </w:rPr>
            </w:pPr>
            <w:r>
              <w:rPr>
                <w:rFonts w:ascii="Segoe UI" w:hAnsi="Segoe UI" w:eastAsia="Segoe UI" w:cs="Segoe UI"/>
                <w:color w:val="000000"/>
                <w:sz w:val="27"/>
                <w:szCs w:val="27"/>
                <w:highlight w:val="none"/>
              </w:rPr>
              <w:t xml:space="preserve">总价（小写）</w:t>
            </w:r>
            <w:r/>
          </w:p>
        </w:tc>
      </w:tr>
      <w:tr>
        <w:trPr>
          <w:trHeight w:val="926"/>
        </w:trPr>
        <w:tc>
          <w:tcPr>
            <w:tcW w:w="2844" w:type="dxa"/>
            <w:vAlign w:val="center"/>
            <w:textDirection w:val="lrTb"/>
            <w:noWrap w:val="false"/>
          </w:tcPr>
          <w:p>
            <w:pPr>
              <w:pStyle w:val="849"/>
              <w:jc w:val="center"/>
              <w:widowControl/>
              <w:rPr>
                <w:highlight w:val="none"/>
              </w:rPr>
            </w:pPr>
            <w:r>
              <w:rPr>
                <w:rFonts w:hint="eastAsia" w:ascii="宋体" w:hAnsi="宋体"/>
                <w:bCs/>
                <w:color w:val="000000"/>
                <w:sz w:val="24"/>
                <w:szCs w:val="24"/>
                <w:highlight w:val="none"/>
                <w:lang w:eastAsia="zh-CN"/>
              </w:rPr>
              <w:t xml:space="preserve">宜兴国际旅游度假区龙池嘉园安置小区复审项目</w:t>
            </w:r>
            <w:r/>
          </w:p>
        </w:tc>
        <w:tc>
          <w:tcPr>
            <w:tcW w:w="2747" w:type="dxa"/>
            <w:vAlign w:val="center"/>
            <w:textDirection w:val="lrTb"/>
            <w:noWrap w:val="false"/>
          </w:tcPr>
          <w:p>
            <w:pPr>
              <w:pStyle w:val="849"/>
              <w:jc w:val="center"/>
              <w:widowControl/>
              <w:rPr>
                <w:rFonts w:hint="eastAsia" w:eastAsia="宋体"/>
                <w:highlight w:val="none"/>
                <w:lang w:eastAsia="zh-CN"/>
              </w:rPr>
            </w:pPr>
            <w:r>
              <w:rPr>
                <w:rFonts w:ascii="Segoe UI" w:hAnsi="Segoe UI" w:eastAsia="Segoe UI" w:cs="Segoe UI"/>
                <w:color w:val="000000"/>
                <w:sz w:val="27"/>
                <w:szCs w:val="27"/>
                <w:highlight w:val="none"/>
              </w:rPr>
              <w:t xml:space="preserve">详见</w:t>
            </w:r>
            <w:r>
              <w:rPr>
                <w:rFonts w:hint="eastAsia" w:ascii="Segoe UI" w:hAnsi="Segoe UI" w:eastAsia="宋体" w:cs="Segoe UI"/>
                <w:color w:val="000000"/>
                <w:sz w:val="27"/>
                <w:szCs w:val="27"/>
                <w:highlight w:val="none"/>
                <w:lang w:eastAsia="zh-CN"/>
              </w:rPr>
              <w:t xml:space="preserve">投标文件</w:t>
            </w:r>
            <w:r/>
          </w:p>
        </w:tc>
        <w:tc>
          <w:tcPr>
            <w:tcW w:w="4128" w:type="dxa"/>
            <w:vAlign w:val="center"/>
            <w:textDirection w:val="lrTb"/>
            <w:noWrap w:val="false"/>
          </w:tcPr>
          <w:p>
            <w:pPr>
              <w:pStyle w:val="849"/>
              <w:jc w:val="center"/>
              <w:widowControl/>
              <w:rPr>
                <w:highlight w:val="none"/>
              </w:rPr>
            </w:pPr>
            <w:r>
              <w:rPr>
                <w:rFonts w:ascii="Segoe UI" w:hAnsi="Segoe UI" w:eastAsia="Segoe UI" w:cs="Segoe UI"/>
                <w:color w:val="000000"/>
                <w:sz w:val="27"/>
                <w:szCs w:val="27"/>
                <w:highlight w:val="none"/>
              </w:rPr>
              <w:t xml:space="preserve">元</w:t>
            </w:r>
            <w:r/>
          </w:p>
        </w:tc>
      </w:tr>
      <w:tr>
        <w:trPr>
          <w:trHeight w:val="995"/>
        </w:trPr>
        <w:tc>
          <w:tcPr>
            <w:tcW w:w="2844" w:type="dxa"/>
            <w:vAlign w:val="center"/>
            <w:textDirection w:val="lrTb"/>
            <w:noWrap w:val="false"/>
          </w:tcPr>
          <w:p>
            <w:pPr>
              <w:pStyle w:val="849"/>
              <w:widowControl/>
              <w:rPr>
                <w:highlight w:val="none"/>
              </w:rPr>
            </w:pPr>
            <w:r>
              <w:rPr>
                <w:rFonts w:ascii="Segoe UI" w:hAnsi="Segoe UI" w:eastAsia="Segoe UI" w:cs="Segoe UI"/>
                <w:color w:val="000000"/>
                <w:sz w:val="27"/>
                <w:szCs w:val="27"/>
                <w:highlight w:val="none"/>
              </w:rPr>
              <w:t xml:space="preserve">总价（大写）：</w:t>
            </w:r>
            <w:r/>
          </w:p>
        </w:tc>
        <w:tc>
          <w:tcPr>
            <w:gridSpan w:val="2"/>
            <w:tcW w:w="6875" w:type="dxa"/>
            <w:vAlign w:val="center"/>
            <w:textDirection w:val="lrTb"/>
            <w:noWrap w:val="false"/>
          </w:tcPr>
          <w:p>
            <w:pPr>
              <w:pStyle w:val="849"/>
              <w:widowControl/>
              <w:rPr>
                <w:highlight w:val="none"/>
              </w:rPr>
            </w:pPr>
            <w:r>
              <w:rPr>
                <w:rFonts w:ascii="Segoe UI" w:hAnsi="Segoe UI" w:eastAsia="Segoe UI" w:cs="Segoe UI"/>
                <w:color w:val="000000"/>
                <w:sz w:val="27"/>
                <w:szCs w:val="27"/>
                <w:highlight w:val="none"/>
              </w:rPr>
              <w:t xml:space="preserve">金额大写 </w:t>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5460" w:hanging="5460"/>
        <w:jc w:val="left"/>
        <w:spacing w:line="360" w:lineRule="auto"/>
        <w:rPr>
          <w:rFonts w:hint="eastAsia" w:ascii="宋体" w:hAnsi="宋体"/>
          <w:bCs/>
          <w:sz w:val="24"/>
          <w:highlight w:val="none"/>
          <w:lang w:val="zh-CN"/>
        </w:rPr>
      </w:pPr>
      <w:r>
        <w:rPr>
          <w:rFonts w:hint="eastAsia" w:ascii="宋体" w:hAnsi="宋体"/>
          <w:bCs/>
          <w:sz w:val="24"/>
          <w:highlight w:val="none"/>
        </w:rPr>
        <w:t xml:space="preserve">注：</w:t>
      </w:r>
      <w:r/>
    </w:p>
    <w:p>
      <w:pPr>
        <w:pStyle w:val="849"/>
        <w:spacing w:before="0" w:beforeAutospacing="0" w:after="0" w:afterAutospacing="0"/>
        <w:widowControl/>
        <w:rPr>
          <w:highlight w:val="none"/>
        </w:rPr>
      </w:pPr>
      <w:r>
        <w:rPr>
          <w:rFonts w:hint="eastAsia"/>
          <w:highlight w:val="none"/>
        </w:rPr>
        <w:t xml:space="preserve">1、报价包括完成项目的所有费用。采购人不再支付报价以外的任何费用。</w:t>
      </w:r>
      <w:r/>
    </w:p>
    <w:p>
      <w:pPr>
        <w:pStyle w:val="849"/>
        <w:spacing w:before="0" w:beforeAutospacing="0" w:after="0" w:afterAutospacing="0"/>
        <w:widowControl/>
        <w:rPr>
          <w:highlight w:val="none"/>
        </w:rPr>
      </w:pPr>
      <w:r>
        <w:rPr>
          <w:highlight w:val="none"/>
        </w:rPr>
        <w:t xml:space="preserve">2、报价以总价为准，大小写不一致以大写为准</w:t>
      </w:r>
      <w:r>
        <w:rPr>
          <w:rFonts w:hint="eastAsia"/>
          <w:highlight w:val="none"/>
        </w:rPr>
        <w:t xml:space="preserve">。</w:t>
      </w:r>
      <w:r/>
    </w:p>
    <w:p>
      <w:pPr>
        <w:jc w:val="center"/>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hint="eastAsia" w:ascii="宋体" w:hAnsi="宋体" w:cs="宋体"/>
          <w:bCs/>
          <w:color w:val="000000"/>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highlight w:val="none"/>
        </w:rPr>
      </w:r>
      <w:r/>
    </w:p>
    <w:p>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黑体" w:eastAsia="黑体"/>
          <w:bCs/>
          <w:color w:val="000000"/>
          <w:sz w:val="32"/>
          <w:highlight w:val="none"/>
        </w:rPr>
      </w:pPr>
      <w:r/>
      <w:bookmarkStart w:id="288" w:name="报价方关于资格的声明函（格式）"/>
      <w:r/>
      <w:bookmarkEnd w:id="288"/>
      <w:r/>
      <w:bookmarkStart w:id="289" w:name="_Toc24943"/>
      <w:r>
        <w:rPr>
          <w:rFonts w:hint="eastAsia" w:ascii="黑体" w:eastAsia="黑体"/>
          <w:bCs/>
          <w:color w:val="000000"/>
          <w:sz w:val="28"/>
          <w:szCs w:val="28"/>
          <w:highlight w:val="none"/>
        </w:rPr>
        <w:t xml:space="preserve">关于资格的声明函</w:t>
      </w:r>
      <w:bookmarkEnd w:id="289"/>
      <w:r/>
      <w:r/>
    </w:p>
    <w:p>
      <w:pPr>
        <w:jc w:val="center"/>
        <w:spacing w:line="480" w:lineRule="auto"/>
        <w:rPr>
          <w:rFonts w:ascii="宋体"/>
          <w:bCs/>
          <w:color w:val="000000"/>
          <w:sz w:val="24"/>
          <w:szCs w:val="24"/>
          <w:highlight w:val="none"/>
        </w:rPr>
      </w:pPr>
      <w:r/>
      <w:bookmarkStart w:id="290" w:name="OLE_LINK80"/>
      <w:r/>
      <w:r/>
    </w:p>
    <w:p>
      <w:pPr>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宜兴市土地收购储备中心</w:t>
      </w:r>
      <w:r>
        <w:rPr>
          <w:rFonts w:hint="eastAsia" w:ascii="宋体" w:hAnsi="宋体"/>
          <w:bCs/>
          <w:color w:val="000000"/>
          <w:sz w:val="24"/>
          <w:szCs w:val="24"/>
          <w:highlight w:val="none"/>
        </w:rPr>
        <w:t xml:space="preserve">：</w:t>
      </w:r>
      <w:bookmarkEnd w:id="290"/>
      <w:r/>
      <w:r/>
    </w:p>
    <w:p>
      <w:pPr>
        <w:ind w:firstLine="480"/>
        <w:jc w:val="left"/>
        <w:spacing w:line="480" w:lineRule="auto"/>
        <w:rPr>
          <w:rFonts w:ascii="宋体"/>
          <w:bCs/>
          <w:color w:val="000000"/>
          <w:sz w:val="24"/>
          <w:szCs w:val="24"/>
          <w:highlight w:val="none"/>
        </w:rPr>
      </w:pPr>
      <w:r/>
      <w:bookmarkStart w:id="291" w:name="OLE_LINK243"/>
      <w:r>
        <w:rPr>
          <w:rFonts w:hint="eastAsia" w:ascii="宋体" w:hAnsi="宋体"/>
          <w:bCs/>
          <w:color w:val="000000"/>
          <w:sz w:val="24"/>
          <w:szCs w:val="24"/>
          <w:highlight w:val="none"/>
        </w:rPr>
        <w:t xml:space="preserve">我公司参加贵单位本项目（项目编号：</w:t>
      </w:r>
      <w:r>
        <w:rPr>
          <w:rFonts w:hint="eastAsia" w:ascii="宋体" w:hAnsi="宋体"/>
          <w:bCs/>
          <w:color w:val="000000"/>
          <w:sz w:val="24"/>
          <w:szCs w:val="24"/>
          <w:highlight w:val="none"/>
          <w:lang w:eastAsia="zh-CN"/>
        </w:rPr>
        <w:t xml:space="preserve">JSZC-320282-HCCG-G2024-0118</w:t>
      </w:r>
      <w:r>
        <w:rPr>
          <w:rFonts w:hint="eastAsia" w:ascii="宋体" w:hAnsi="宋体"/>
          <w:bCs/>
          <w:color w:val="000000"/>
          <w:sz w:val="24"/>
          <w:szCs w:val="24"/>
          <w:highlight w:val="none"/>
        </w:rPr>
        <w:t xml:space="preserve"> ）政府采购活动前三年内在经营活动中没有重大违法记录；</w:t>
      </w:r>
      <w:r>
        <w:rPr>
          <w:rFonts w:ascii="宋体" w:hAnsi="宋体" w:cs="宋体"/>
          <w:color w:val="000000"/>
          <w:sz w:val="24"/>
          <w:szCs w:val="24"/>
          <w:highlight w:val="none"/>
          <w:lang w:bidi="ar"/>
        </w:rPr>
        <w:t xml:space="preserve">同时，投标时不存在</w:t>
      </w:r>
      <w:bookmarkStart w:id="292" w:name="OLE_LINK242"/>
      <w:r>
        <w:rPr>
          <w:rFonts w:hint="eastAsia" w:ascii="宋体" w:hAnsi="宋体" w:cs="宋体"/>
          <w:color w:val="000000"/>
          <w:sz w:val="24"/>
          <w:szCs w:val="24"/>
          <w:highlight w:val="none"/>
          <w:lang w:bidi="ar"/>
        </w:rPr>
        <w:t xml:space="preserve">有效期限</w:t>
      </w:r>
      <w:bookmarkEnd w:id="292"/>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291"/>
      <w:r>
        <w:rPr>
          <w:rFonts w:hint="eastAsia" w:ascii="宋体" w:hAnsi="宋体"/>
          <w:bCs/>
          <w:color w:val="000000"/>
          <w:sz w:val="24"/>
          <w:szCs w:val="24"/>
          <w:highlight w:val="none"/>
        </w:rPr>
        <w:t xml:space="preserve">我公司（单位）愿针对本次项目进行投标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spacing w:line="480" w:lineRule="auto"/>
        <w:rPr>
          <w:rFonts w:ascii="宋体"/>
          <w:bCs/>
          <w:color w:val="000000"/>
          <w:sz w:val="24"/>
          <w:szCs w:val="24"/>
          <w:highlight w:val="none"/>
        </w:rPr>
      </w:pPr>
      <w:r>
        <w:rPr>
          <w:rFonts w:ascii="宋体"/>
          <w:bCs/>
          <w:color w:val="000000"/>
          <w:sz w:val="24"/>
          <w:szCs w:val="24"/>
          <w:highlight w:val="none"/>
        </w:rPr>
      </w:r>
      <w:r/>
    </w:p>
    <w:p>
      <w:pPr>
        <w:jc w:val="left"/>
        <w:rPr>
          <w:rFonts w:ascii="宋体" w:hAnsi="宋体"/>
          <w:bCs/>
          <w:color w:val="000000"/>
          <w:sz w:val="24"/>
          <w:szCs w:val="24"/>
          <w:highlight w:val="none"/>
        </w:rPr>
      </w:pPr>
      <w:r>
        <w:rPr>
          <w:rFonts w:ascii="宋体" w:hAnsi="宋体"/>
          <w:bCs/>
          <w:color w:val="000000"/>
          <w:sz w:val="24"/>
          <w:szCs w:val="24"/>
          <w:highlight w:val="none"/>
        </w:rPr>
        <w:t xml:space="preserve">                                     </w:t>
      </w:r>
      <w:bookmarkStart w:id="293" w:name="OLE_LINK81"/>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right"/>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3"/>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3"/>
                      <w:r/>
                    </w:p>
                  </w:txbxContent>
                </v:textbox>
              </v:shape>
            </w:pict>
          </mc:Fallback>
        </mc:AlternateConten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294" w:name="OLE_LINK152"/>
      <w:r/>
      <w:bookmarkStart w:id="295" w:name="OLE_LINK36"/>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294"/>
      <w:bookmarkEnd w:id="295"/>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p>
    <w:p>
      <w:pPr>
        <w:ind w:left="42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8"/>
          <w:highlight w:val="none"/>
        </w:rPr>
        <w:t xml:space="preserve">                                   </w:t>
      </w:r>
      <w:r/>
    </w:p>
    <w:p>
      <w:pPr>
        <w:ind w:left="420"/>
        <w:spacing w:line="360" w:lineRule="auto"/>
        <w:tabs>
          <w:tab w:val="left" w:pos="255" w:leader="none"/>
        </w:tabs>
        <w:rPr>
          <w:rFonts w:ascii="宋体" w:hAnsi="宋体"/>
          <w:color w:val="000000"/>
          <w:sz w:val="24"/>
          <w:szCs w:val="21"/>
          <w:highlight w:val="none"/>
          <w:lang w:val="zh-CN"/>
        </w:rPr>
      </w:pPr>
      <w:r/>
      <w:bookmarkStart w:id="296" w:name="OLE_LINK186"/>
      <w:r>
        <w:rPr>
          <w:rFonts w:hint="eastAsia" w:ascii="宋体" w:hAnsi="宋体"/>
          <w:bCs/>
          <w:color w:val="000000"/>
          <w:sz w:val="24"/>
          <w:highlight w:val="none"/>
          <w:lang w:val="zh-CN"/>
        </w:rPr>
        <w:t xml:space="preserve">宜兴市土地收购储备中心、</w:t>
      </w:r>
      <w:bookmarkEnd w:id="296"/>
      <w:r>
        <w:rPr>
          <w:rFonts w:hint="eastAsia" w:ascii="宋体" w:hAnsi="宋体"/>
          <w:bCs/>
          <w:color w:val="000000"/>
          <w:sz w:val="24"/>
          <w:highlight w:val="none"/>
          <w:lang w:val="zh-CN"/>
        </w:rPr>
        <w:t xml:space="preserve">江苏鸿成工程项目管理有限公司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297"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297"/>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JSZC-320282-HCCG-G2024-0118</w:t>
      </w:r>
      <w:r>
        <w:rPr>
          <w:rFonts w:hint="eastAsia" w:ascii="宋体" w:hAnsi="宋体"/>
          <w:bCs/>
          <w:color w:val="000000"/>
          <w:sz w:val="24"/>
          <w:szCs w:val="24"/>
          <w:highlight w:val="none"/>
        </w:rPr>
        <w:t xml:space="preserve">  ）</w:t>
      </w:r>
      <w:r>
        <w:rPr>
          <w:rFonts w:hint="eastAsia" w:ascii="宋体" w:hAnsi="宋体"/>
          <w:color w:val="000000"/>
          <w:sz w:val="24"/>
          <w:szCs w:val="21"/>
          <w:highlight w:val="none"/>
          <w:lang w:val="zh-CN"/>
        </w:rPr>
        <w:t xml:space="preserve">的投标</w:t>
      </w:r>
      <w:bookmarkStart w:id="298" w:name="_Hlk135833699"/>
      <w:r/>
      <w:bookmarkStart w:id="299" w:name="_Hlk144474232"/>
      <w:r/>
      <w:bookmarkStart w:id="300"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35"/>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35"/>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35"/>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3、被授权代表身份证明2（社保）：</w:t>
      </w:r>
      <w:bookmarkStart w:id="301" w:name="_Hlk151362709"/>
      <w:r>
        <w:rPr>
          <w:rFonts w:hint="eastAsia" w:ascii="宋体" w:hAnsi="宋体"/>
          <w:color w:val="000000"/>
          <w:sz w:val="24"/>
          <w:szCs w:val="21"/>
          <w:highlight w:val="none"/>
          <w:lang w:val="zh-CN"/>
        </w:rPr>
        <w:t xml:space="preserve">详见第二章投标人须知相关要求</w:t>
      </w:r>
      <w:bookmarkEnd w:id="301"/>
      <w:r/>
    </w:p>
    <w:p>
      <w:pPr>
        <w:jc w:val="left"/>
        <w:rPr>
          <w:color w:val="000000"/>
          <w:sz w:val="24"/>
          <w:szCs w:val="24"/>
          <w:highlight w:val="none"/>
        </w:rPr>
      </w:pPr>
      <w:r>
        <w:rPr>
          <w:color w:val="000000"/>
          <w:sz w:val="24"/>
          <w:szCs w:val="24"/>
          <w:highlight w:val="none"/>
        </w:rPr>
      </w:r>
      <w:bookmarkEnd w:id="298"/>
      <w:bookmarkEnd w:id="299"/>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4、具有独立承担民事责任的能力：</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7、有依法缴纳社会保障资金的良好记录：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8、无不良信用记录：</w:t>
      </w:r>
      <w:r>
        <w:rPr>
          <w:rFonts w:hint="eastAsia" w:ascii="宋体" w:hAnsi="宋体"/>
          <w:color w:val="000000"/>
          <w:sz w:val="24"/>
          <w:szCs w:val="21"/>
          <w:highlight w:val="none"/>
          <w:lang w:val="zh-CN"/>
        </w:rPr>
        <w:t xml:space="preserve">详见第二章投标人须知相关要求</w:t>
      </w:r>
      <w:r/>
    </w:p>
    <w:p>
      <w:pPr>
        <w:ind w:firstLine="480"/>
        <w:spacing w:line="360" w:lineRule="auto"/>
        <w:rPr>
          <w:rFonts w:hint="eastAsia"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 </w:t>
      </w:r>
      <w:bookmarkEnd w:id="300"/>
      <w:r/>
    </w:p>
    <w:p>
      <w:pPr>
        <w:ind w:firstLine="480"/>
        <w:jc w:val="left"/>
        <w:spacing w:line="360" w:lineRule="auto"/>
        <w:tabs>
          <w:tab w:val="left" w:pos="255" w:leader="none"/>
        </w:tabs>
        <w:rPr>
          <w:rFonts w:ascii="黑体" w:hAnsi="宋体" w:eastAsia="黑体"/>
          <w:bCs/>
          <w:color w:val="000000"/>
          <w:sz w:val="24"/>
          <w:szCs w:val="24"/>
          <w:highlight w:val="none"/>
        </w:rPr>
      </w:pPr>
      <w:r/>
      <w:bookmarkStart w:id="302"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、中小企业声明</w:t>
      </w:r>
      <w:r/>
    </w:p>
    <w:p>
      <w:pPr>
        <w:rPr>
          <w:rFonts w:ascii="黑体" w:eastAsia="黑体"/>
          <w:bCs/>
          <w:color w:val="000000"/>
          <w:sz w:val="24"/>
          <w:szCs w:val="24"/>
          <w:highlight w:val="none"/>
        </w:rPr>
      </w:pPr>
      <w:r>
        <w:rPr>
          <w:rFonts w:ascii="黑体" w:eastAsia="黑体"/>
          <w:bCs/>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bookmarkStart w:id="303" w:name="_Hlk151451145"/>
      <w:r/>
      <w:bookmarkEnd w:id="303"/>
      <w:r/>
    </w:p>
    <w:p>
      <w:pPr>
        <w:ind w:firstLine="480"/>
        <w:jc w:val="left"/>
        <w:rPr>
          <w:rFonts w:ascii="黑体" w:hAnsi="宋体" w:eastAsia="黑体"/>
          <w:bCs/>
          <w:color w:val="000000"/>
          <w:sz w:val="24"/>
          <w:szCs w:val="24"/>
          <w:highlight w:val="none"/>
        </w:rPr>
      </w:pPr>
      <w:r/>
      <w:bookmarkStart w:id="304" w:name="_Hlk151458994"/>
      <w:r>
        <w:rPr>
          <w:rFonts w:hint="eastAsia" w:ascii="黑体" w:hAnsi="宋体" w:eastAsia="黑体"/>
          <w:bCs/>
          <w:color w:val="000000"/>
          <w:sz w:val="24"/>
          <w:szCs w:val="24"/>
          <w:highlight w:val="none"/>
          <w:lang w:val="en-US" w:eastAsia="zh-CN"/>
        </w:rPr>
        <w:t xml:space="preserve">10</w:t>
      </w:r>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4"/>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2"/>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致宜兴市土地收购储备中心、江苏鸿成工程项目管理有限公司：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（项目编号：JSZC-320282-HCCG-G2024-0118）</w:t>
      </w:r>
      <w:r>
        <w:rPr>
          <w:rFonts w:hint="eastAsia" w:ascii="宋体" w:hAnsi="宋体"/>
          <w:bCs/>
          <w:color w:val="000000"/>
          <w:sz w:val="24"/>
          <w:highlight w:val="none"/>
          <w:lang w:val="zh-CN"/>
        </w:rPr>
        <w:t xml:space="preserve">招标文件，经仔细阅读和研究，我方决定参加投标。</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05" w:name="_Hlk131935611"/>
      <w:r>
        <w:rPr>
          <w:rFonts w:hint="eastAsia" w:ascii="宋体" w:hAnsi="宋体"/>
          <w:bCs/>
          <w:color w:val="000000"/>
          <w:sz w:val="24"/>
          <w:highlight w:val="none"/>
          <w:lang w:val="zh-CN"/>
        </w:rPr>
        <w:t xml:space="preserve">《项目技术要求偏离表》</w:t>
      </w:r>
      <w:bookmarkEnd w:id="305"/>
      <w:r>
        <w:rPr>
          <w:rFonts w:hint="eastAsia" w:ascii="宋体" w:hAnsi="宋体"/>
          <w:bCs/>
          <w:color w:val="000000"/>
          <w:sz w:val="24"/>
          <w:highlight w:val="none"/>
          <w:lang w:val="zh-CN"/>
        </w:rPr>
        <w:t xml:space="preserve">。</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4"/>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4"/>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0"/>
        </w:numPr>
        <w:ind w:left="0"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eastAsia="zh-CN" w:bidi="ar-SA"/>
        </w:rPr>
        <w:t xml:space="preserve">1</w:t>
      </w:r>
      <w:r>
        <w:rPr>
          <w:rFonts w:hint="eastAsia" w:ascii="宋体" w:hAnsi="宋体"/>
          <w:bCs/>
          <w:color w:val="000000"/>
          <w:sz w:val="24"/>
          <w:highlight w:val="none"/>
          <w:lang w:val="en-US" w:eastAsia="zh-CN" w:bidi="ar-SA"/>
        </w:rPr>
        <w:t xml:space="preserve">2</w:t>
      </w:r>
      <w:r>
        <w:rPr>
          <w:rFonts w:ascii="宋体" w:hAnsi="宋体"/>
          <w:bCs/>
          <w:color w:val="000000"/>
          <w:sz w:val="24"/>
          <w:highlight w:val="none"/>
          <w:lang w:val="zh-CN" w:eastAsia="zh-CN" w:bidi="ar-SA"/>
        </w:rPr>
        <w:t xml:space="preserve">．</w:t>
      </w:r>
      <w:r>
        <w:rPr>
          <w:rFonts w:hint="eastAsia" w:ascii="宋体" w:hAnsi="宋体"/>
          <w:bCs/>
          <w:color w:val="000000"/>
          <w:sz w:val="24"/>
          <w:highlight w:val="none"/>
          <w:lang w:val="zh-CN"/>
        </w:rPr>
        <w:t xml:space="preserve">与本投标有关的一切正式往来函电，请联系：</w:t>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p>
    <w:p>
      <w:pPr>
        <w:ind w:firstLine="480"/>
        <w:jc w:val="left"/>
        <w:rPr>
          <w:rFonts w:ascii="黑体" w:hAnsi="宋体" w:eastAsia="黑体"/>
          <w:bCs/>
          <w:color w:val="000000"/>
          <w:sz w:val="24"/>
          <w:szCs w:val="24"/>
          <w:highlight w:val="none"/>
        </w:rPr>
      </w:pPr>
      <w:r/>
      <w:bookmarkStart w:id="306" w:name="_Hlk151456575"/>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、明细报价表（格式）：</w:t>
      </w:r>
      <w:r/>
    </w:p>
    <w:p>
      <w:pPr>
        <w:jc w:val="center"/>
        <w:rPr>
          <w:rFonts w:hint="eastAsia" w:ascii="黑体" w:hAnsi="黑体" w:eastAsia="黑体"/>
          <w:color w:val="000000"/>
          <w:sz w:val="28"/>
          <w:szCs w:val="28"/>
          <w:highlight w:val="none"/>
        </w:rPr>
      </w:pPr>
      <w:r/>
      <w:bookmarkStart w:id="307" w:name="OLE_LINK3"/>
      <w:r>
        <w:rPr>
          <w:rFonts w:hint="eastAsia" w:ascii="黑体" w:hAnsi="黑体" w:eastAsia="黑体"/>
          <w:color w:val="000000"/>
          <w:sz w:val="28"/>
          <w:szCs w:val="28"/>
          <w:highlight w:val="none"/>
        </w:rPr>
        <w:t xml:space="preserve">明细报价表</w:t>
      </w:r>
      <w:bookmarkEnd w:id="307"/>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bCs/>
          <w:color w:val="000000"/>
          <w:sz w:val="24"/>
          <w:szCs w:val="24"/>
          <w:highlight w:val="none"/>
          <w:lang w:eastAsia="zh-CN"/>
        </w:rPr>
        <w:t xml:space="preserve">宜兴国际旅游度假区龙池嘉园安置小区复审项目</w:t>
      </w:r>
      <w:r>
        <w:rPr>
          <w:rFonts w:hint="eastAsia" w:ascii="宋体" w:hAnsi="宋体"/>
          <w:color w:val="000000"/>
          <w:sz w:val="24"/>
          <w:szCs w:val="24"/>
          <w:highlight w:val="none"/>
        </w:rPr>
        <w:t xml:space="preserve">                                     </w:t>
      </w:r>
      <w:r/>
    </w:p>
    <w:p>
      <w:pPr>
        <w:jc w:val="left"/>
        <w:rPr>
          <w:rFonts w:hint="eastAsia" w:ascii="黑体" w:hAnsi="黑体" w:eastAsia="宋体"/>
          <w:color w:val="000000"/>
          <w:sz w:val="28"/>
          <w:szCs w:val="28"/>
          <w:highlight w:val="none"/>
          <w:lang w:eastAsia="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JSZC-320282-HCCG-G2024-0118</w:t>
      </w:r>
      <w:r/>
    </w:p>
    <w:p>
      <w:pPr>
        <w:spacing w:line="360" w:lineRule="auto"/>
        <w:rPr>
          <w:rFonts w:hint="eastAsia" w:ascii="宋体" w:hAnsi="宋体"/>
          <w:bCs/>
          <w:color w:val="000000"/>
          <w:sz w:val="24"/>
          <w:highlight w:val="none"/>
        </w:rPr>
      </w:pPr>
      <w:r/>
      <w:bookmarkStart w:id="308" w:name="_Toc14859"/>
      <w:r>
        <w:rPr>
          <w:rFonts w:hint="eastAsia" w:ascii="宋体" w:hAnsi="宋体"/>
          <w:bCs/>
          <w:color w:val="000000"/>
          <w:sz w:val="24"/>
          <w:highlight w:val="none"/>
        </w:rPr>
        <w:t xml:space="preserve">                               </w:t>
      </w:r>
      <w:bookmarkEnd w:id="308"/>
      <w:r/>
      <w:r/>
    </w:p>
    <w:tbl>
      <w:tblPr>
        <w:tblStyle w:val="830"/>
        <w:tblW w:w="98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序号</w:t>
            </w:r>
            <w:r/>
          </w:p>
        </w:tc>
        <w:tc>
          <w:tcPr>
            <w:tcW w:w="30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服务名称</w:t>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数量</w:t>
            </w:r>
            <w:r/>
          </w:p>
        </w:tc>
        <w:tc>
          <w:tcPr>
            <w:tcW w:w="1989"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单价</w:t>
            </w:r>
            <w:r/>
          </w:p>
          <w:p>
            <w:pPr>
              <w:jc w:val="center"/>
              <w:rPr>
                <w:rFonts w:hint="eastAsia" w:ascii="宋体" w:hAnsi="宋体"/>
                <w:color w:val="000000"/>
                <w:szCs w:val="21"/>
                <w:highlight w:val="none"/>
              </w:rPr>
            </w:pPr>
            <w:r>
              <w:rPr>
                <w:rFonts w:hint="eastAsia" w:ascii="宋体" w:hAnsi="宋体"/>
                <w:color w:val="000000"/>
                <w:szCs w:val="21"/>
                <w:highlight w:val="none"/>
              </w:rPr>
              <w:t xml:space="preserve">(元)</w:t>
            </w:r>
            <w:r/>
          </w:p>
        </w:tc>
        <w:tc>
          <w:tcPr>
            <w:tcW w:w="1989"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合计报价</w:t>
            </w:r>
            <w:r/>
          </w:p>
          <w:p>
            <w:pPr>
              <w:jc w:val="center"/>
              <w:rPr>
                <w:rFonts w:hint="eastAsia" w:ascii="宋体" w:hAnsi="宋体"/>
                <w:color w:val="000000"/>
                <w:szCs w:val="21"/>
                <w:highlight w:val="none"/>
              </w:rPr>
            </w:pPr>
            <w:r>
              <w:rPr>
                <w:rFonts w:hint="eastAsia" w:ascii="宋体" w:hAnsi="宋体"/>
                <w:color w:val="000000"/>
                <w:szCs w:val="21"/>
                <w:highlight w:val="none"/>
              </w:rPr>
              <w:t xml:space="preserve">(元)</w:t>
            </w:r>
            <w:r/>
          </w:p>
        </w:tc>
      </w:tr>
      <w:tr>
        <w:trPr>
          <w:jc w:val="center"/>
          <w:trHeight w:val="755"/>
        </w:trPr>
        <w:tc>
          <w:tcPr>
            <w:tcW w:w="828" w:type="dxa"/>
            <w:vAlign w:val="center"/>
            <w:textDirection w:val="lrTb"/>
            <w:noWrap w:val="false"/>
          </w:tcPr>
          <w:p>
            <w:pPr>
              <w:ind w:left="-111" w:firstLine="54"/>
              <w:jc w:val="center"/>
              <w:rPr>
                <w:rFonts w:hint="eastAsia" w:ascii="宋体" w:hAnsi="宋体"/>
                <w:color w:val="000000"/>
                <w:szCs w:val="21"/>
                <w:highlight w:val="none"/>
              </w:rPr>
            </w:pPr>
            <w:r>
              <w:rPr>
                <w:rFonts w:hint="eastAsia" w:ascii="宋体" w:hAnsi="宋体"/>
                <w:color w:val="000000"/>
                <w:szCs w:val="21"/>
                <w:highlight w:val="none"/>
              </w:rPr>
            </w:r>
            <w:r/>
          </w:p>
        </w:tc>
        <w:tc>
          <w:tcPr>
            <w:tcW w:w="30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000000"/>
                <w:szCs w:val="21"/>
                <w:highlight w:val="none"/>
              </w:rPr>
            </w:pPr>
            <w:r>
              <w:rPr>
                <w:rFonts w:hint="eastAsia" w:ascii="宋体" w:hAnsi="宋体"/>
                <w:color w:val="000000"/>
                <w:szCs w:val="21"/>
                <w:highlight w:val="none"/>
              </w:rPr>
            </w:r>
            <w:r/>
          </w:p>
        </w:tc>
        <w:tc>
          <w:tcPr>
            <w:tcW w:w="30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000000"/>
                <w:szCs w:val="21"/>
                <w:highlight w:val="none"/>
              </w:rPr>
            </w:pPr>
            <w:r>
              <w:rPr>
                <w:rFonts w:hint="eastAsia" w:ascii="宋体" w:hAnsi="宋体"/>
                <w:color w:val="000000"/>
                <w:szCs w:val="21"/>
                <w:highlight w:val="none"/>
              </w:rPr>
            </w:r>
            <w:r/>
          </w:p>
        </w:tc>
        <w:tc>
          <w:tcPr>
            <w:tcW w:w="30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000000"/>
                <w:szCs w:val="21"/>
                <w:highlight w:val="none"/>
              </w:rPr>
            </w:pPr>
            <w:r>
              <w:rPr>
                <w:rFonts w:hint="eastAsia" w:ascii="宋体" w:hAnsi="宋体"/>
                <w:color w:val="000000"/>
                <w:szCs w:val="21"/>
                <w:highlight w:val="none"/>
              </w:rPr>
            </w:r>
            <w:r/>
          </w:p>
        </w:tc>
        <w:tc>
          <w:tcPr>
            <w:tcW w:w="30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Height w:val="755"/>
        </w:trPr>
        <w:tc>
          <w:tcPr>
            <w:tcW w:w="828" w:type="dxa"/>
            <w:vAlign w:val="center"/>
            <w:textDirection w:val="lrTb"/>
            <w:noWrap w:val="false"/>
          </w:tcPr>
          <w:p>
            <w:pPr>
              <w:ind w:left="-111" w:firstLine="54"/>
              <w:jc w:val="center"/>
              <w:rPr>
                <w:rFonts w:hint="eastAsia" w:ascii="宋体" w:hAnsi="宋体"/>
                <w:color w:val="000000"/>
                <w:szCs w:val="21"/>
                <w:highlight w:val="none"/>
              </w:rPr>
            </w:pPr>
            <w:r>
              <w:rPr>
                <w:rFonts w:hint="eastAsia" w:ascii="宋体" w:hAnsi="宋体"/>
                <w:color w:val="000000"/>
                <w:szCs w:val="21"/>
                <w:highlight w:val="none"/>
              </w:rPr>
            </w:r>
            <w:r/>
          </w:p>
        </w:tc>
        <w:tc>
          <w:tcPr>
            <w:tcW w:w="30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c>
          <w:tcPr>
            <w:tcW w:w="198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jc w:val="center"/>
          <w:trHeight w:val="755"/>
        </w:trPr>
        <w:tc>
          <w:tcPr>
            <w:gridSpan w:val="2"/>
            <w:tcW w:w="3888" w:type="dxa"/>
            <w:vAlign w:val="center"/>
            <w:textDirection w:val="lrTb"/>
            <w:noWrap w:val="false"/>
          </w:tcPr>
          <w:p>
            <w:pPr>
              <w:jc w:val="center"/>
              <w:rPr>
                <w:rFonts w:hint="eastAsia" w:ascii="宋体" w:hAnsi="宋体"/>
                <w:b/>
                <w:bCs/>
                <w:color w:val="000000"/>
                <w:szCs w:val="21"/>
                <w:highlight w:val="none"/>
              </w:rPr>
            </w:pPr>
            <w:r>
              <w:rPr>
                <w:rFonts w:hint="eastAsia" w:ascii="宋体" w:hAnsi="宋体"/>
                <w:b/>
                <w:bCs/>
                <w:color w:val="000000"/>
                <w:szCs w:val="21"/>
                <w:highlight w:val="none"/>
              </w:rPr>
              <w:t xml:space="preserve">合计总价</w:t>
            </w:r>
            <w:r>
              <w:rPr>
                <w:rFonts w:hint="eastAsia" w:ascii="宋体" w:hAnsi="宋体"/>
                <w:color w:val="000000"/>
                <w:szCs w:val="21"/>
                <w:highlight w:val="none"/>
              </w:rPr>
              <w:t xml:space="preserve">(元)</w:t>
            </w:r>
            <w:r/>
          </w:p>
        </w:tc>
        <w:tc>
          <w:tcPr>
            <w:gridSpan w:val="3"/>
            <w:tcW w:w="5967" w:type="dxa"/>
            <w:vAlign w:val="center"/>
            <w:textDirection w:val="lrTb"/>
            <w:noWrap w:val="false"/>
          </w:tcPr>
          <w:p>
            <w:pPr>
              <w:jc w:val="left"/>
              <w:rPr>
                <w:rFonts w:hint="eastAsia" w:ascii="宋体" w:hAnsi="宋体"/>
                <w:color w:val="000000"/>
                <w:szCs w:val="21"/>
                <w:highlight w:val="none"/>
              </w:rPr>
            </w:pPr>
            <w:r>
              <w:rPr>
                <w:rFonts w:hint="eastAsia" w:ascii="宋体" w:hAnsi="宋体"/>
                <w:color w:val="000000"/>
                <w:szCs w:val="21"/>
                <w:highlight w:val="none"/>
              </w:rPr>
            </w:r>
            <w:r/>
          </w:p>
        </w:tc>
      </w:tr>
    </w:tbl>
    <w:p>
      <w:pPr>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ind w:firstLine="7440"/>
        <w:spacing w:line="360" w:lineRule="auto"/>
        <w:rPr>
          <w:rFonts w:hint="eastAsia" w:ascii="宋体" w:hAnsi="宋体"/>
          <w:bCs/>
          <w:color w:val="000000"/>
          <w:szCs w:val="21"/>
          <w:highlight w:val="none"/>
        </w:rPr>
      </w:pPr>
      <w:r>
        <w:rPr>
          <w:rFonts w:hint="eastAsia" w:ascii="宋体" w:hAnsi="宋体"/>
          <w:bCs/>
          <w:color w:val="000000"/>
          <w:sz w:val="24"/>
          <w:highlight w:val="none"/>
        </w:rPr>
        <w:t xml:space="preserve">投标人（电子签章）：</w:t>
      </w:r>
      <w:r/>
    </w:p>
    <w:p>
      <w:pPr>
        <w:spacing w:line="360" w:lineRule="auto"/>
        <w:rPr>
          <w:rFonts w:ascii="宋体" w:hAnsi="宋体"/>
          <w:bCs/>
          <w:color w:val="000000"/>
          <w:szCs w:val="21"/>
          <w:highlight w:val="none"/>
        </w:rPr>
      </w:pPr>
      <w:r>
        <w:rPr>
          <w:rFonts w:hint="eastAsia" w:ascii="宋体" w:hAnsi="宋体"/>
          <w:bCs/>
          <w:color w:val="000000"/>
          <w:szCs w:val="21"/>
          <w:highlight w:val="none"/>
        </w:rPr>
        <w:t xml:space="preserve">注： </w:t>
      </w:r>
      <w:r/>
    </w:p>
    <w:p>
      <w:pPr>
        <w:ind w:firstLine="420"/>
        <w:spacing w:line="360" w:lineRule="auto"/>
        <w:rPr>
          <w:rFonts w:ascii="宋体" w:hAnsi="宋体"/>
          <w:bCs/>
          <w:szCs w:val="21"/>
          <w:highlight w:val="none"/>
        </w:rPr>
      </w:pPr>
      <w:r>
        <w:rPr>
          <w:rFonts w:hint="eastAsia" w:ascii="宋体" w:hAnsi="宋体"/>
          <w:bCs/>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09" w:name="_Hlk160008571"/>
      <w:r/>
      <w:bookmarkStart w:id="310" w:name="_Hlk160009870"/>
      <w:r>
        <w:rPr>
          <w:rFonts w:hint="eastAsia" w:ascii="宋体" w:hAnsi="宋体"/>
          <w:bCs/>
          <w:szCs w:val="21"/>
          <w:highlight w:val="none"/>
        </w:rPr>
        <w:t xml:space="preserve">；</w:t>
      </w:r>
      <w:bookmarkEnd w:id="309"/>
      <w:r>
        <w:rPr>
          <w:rFonts w:hint="eastAsia" w:ascii="宋体" w:hAnsi="宋体"/>
          <w:bCs/>
          <w:szCs w:val="21"/>
          <w:highlight w:val="none"/>
        </w:rPr>
        <w:t xml:space="preserve">如本表单价计算的结果与总价不一致，以单价为准修正总价。</w:t>
      </w:r>
      <w:bookmarkEnd w:id="310"/>
      <w:r/>
      <w:r/>
    </w:p>
    <w:p>
      <w:pPr>
        <w:ind w:firstLine="421"/>
        <w:jc w:val="left"/>
        <w:spacing w:line="360" w:lineRule="auto"/>
        <w:rPr>
          <w:rFonts w:ascii="宋体" w:hAnsi="宋体"/>
          <w:bCs/>
          <w:color w:val="000000"/>
          <w:szCs w:val="21"/>
          <w:highlight w:val="none"/>
        </w:rPr>
      </w:pPr>
      <w:r>
        <w:rPr>
          <w:rFonts w:ascii="宋体" w:hAnsi="宋体"/>
          <w:bCs/>
          <w:color w:val="000000"/>
          <w:szCs w:val="21"/>
          <w:highlight w:val="none"/>
        </w:rPr>
      </w:r>
      <w:r/>
    </w:p>
    <w:p>
      <w:pPr>
        <w:ind w:firstLine="421"/>
        <w:spacing w:line="360" w:lineRule="auto"/>
        <w:rPr>
          <w:rFonts w:ascii="宋体" w:hAnsi="宋体"/>
          <w:bCs/>
          <w:color w:val="000000"/>
          <w:szCs w:val="21"/>
          <w:highlight w:val="none"/>
        </w:rPr>
      </w:pPr>
      <w:r>
        <w:rPr>
          <w:rFonts w:ascii="宋体" w:hAnsi="宋体"/>
          <w:bCs/>
          <w:color w:val="000000"/>
          <w:szCs w:val="21"/>
          <w:highlight w:val="none"/>
        </w:rPr>
      </w:r>
      <w:r/>
    </w:p>
    <w:p>
      <w:pPr>
        <w:ind w:firstLine="420"/>
        <w:spacing w:line="360" w:lineRule="auto"/>
        <w:rPr>
          <w:rFonts w:ascii="宋体" w:hAnsi="宋体"/>
          <w:bCs/>
          <w:szCs w:val="21"/>
          <w:highlight w:val="none"/>
        </w:rPr>
      </w:pPr>
      <w:r>
        <w:rPr>
          <w:rFonts w:ascii="宋体" w:hAnsi="宋体"/>
          <w:bCs/>
          <w:color w:val="000000"/>
          <w:szCs w:val="21"/>
          <w:highlight w:val="none"/>
        </w:rPr>
        <w:br w:type="page" w:clear="all"/>
      </w:r>
      <w:r/>
    </w:p>
    <w:p>
      <w:pPr>
        <w:spacing w:line="360" w:lineRule="auto"/>
        <w:rPr>
          <w:rFonts w:ascii="黑体" w:hAnsi="宋体" w:eastAsia="黑体"/>
          <w:bCs/>
          <w:color w:val="000000"/>
          <w:sz w:val="24"/>
          <w:szCs w:val="24"/>
          <w:highlight w:val="none"/>
          <w:lang w:val="zh-CN"/>
        </w:rPr>
      </w:pP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11" w:name="_Hlk160091427"/>
      <w:r>
        <w:rPr>
          <w:rFonts w:hint="eastAsia" w:ascii="黑体" w:hAnsi="黑体" w:eastAsia="黑体"/>
          <w:color w:val="000000"/>
          <w:sz w:val="28"/>
          <w:szCs w:val="21"/>
          <w:highlight w:val="none"/>
          <w:lang w:val="zh-CN"/>
        </w:rPr>
        <w:t xml:space="preserve">项目技术要求偏离表</w:t>
      </w:r>
      <w:bookmarkEnd w:id="311"/>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宜兴国际旅游度假区龙池嘉园安置小区复审项目</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JSZC-320282-HCCG-G2024-0118</w:t>
      </w:r>
      <w:r>
        <w:rPr>
          <w:rFonts w:hint="eastAsia" w:ascii="宋体" w:hAnsi="宋体"/>
          <w:color w:val="000000"/>
          <w:sz w:val="24"/>
          <w:szCs w:val="24"/>
          <w:highlight w:val="none"/>
        </w:rPr>
        <w:t xml:space="preserve"> </w:t>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p>
    <w:p>
      <w:pPr>
        <w:ind w:left="420" w:firstLine="420"/>
        <w:jc w:val="left"/>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（2）招标文件第三章“项目技术要求和有关说明”中若有要求提供相关证明材料的必须提供，</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47"/>
        <w:ind w:firstLine="480"/>
        <w:rPr>
          <w:rFonts w:hint="eastAsia" w:ascii="黑体" w:hAnsi="宋体" w:eastAsia="黑体"/>
          <w:bCs/>
          <w:color w:val="000000"/>
          <w:sz w:val="24"/>
          <w:szCs w:val="24"/>
          <w:highlight w:val="none"/>
        </w:rPr>
      </w:pPr>
      <w:r>
        <w:rPr>
          <w:rFonts w:ascii="宋体" w:hAnsi="宋体"/>
          <w:bCs/>
          <w:color w:val="000000"/>
          <w:szCs w:val="21"/>
          <w:highlight w:val="none"/>
        </w:rPr>
        <w:br w:type="page" w:clear="all"/>
      </w:r>
      <w:r>
        <w:rPr>
          <w:rFonts w:hint="eastAsia" w:ascii="黑体" w:hAnsi="宋体" w:eastAsia="黑体" w:cs="Times New Roman"/>
          <w:bCs/>
          <w:color w:val="000000"/>
          <w:sz w:val="24"/>
          <w:szCs w:val="24"/>
          <w:highlight w:val="none"/>
          <w:lang w:val="en-US" w:eastAsia="zh-CN" w:bidi="ar-SA"/>
        </w:rPr>
        <w:t xml:space="preserve">4、</w:t>
      </w:r>
      <w:r>
        <w:rPr>
          <w:rFonts w:hint="eastAsia" w:ascii="黑体" w:hAnsi="宋体" w:eastAsia="黑体" w:cs="Times New Roman"/>
          <w:bCs/>
          <w:color w:val="000000"/>
          <w:sz w:val="24"/>
          <w:szCs w:val="24"/>
          <w:highlight w:val="none"/>
          <w:lang w:val="zh-CN" w:eastAsia="zh-CN" w:bidi="ar-SA"/>
        </w:rPr>
        <w:t xml:space="preserve">项</w:t>
      </w:r>
      <w:r>
        <w:rPr>
          <w:rFonts w:hint="eastAsia" w:ascii="黑体" w:hAnsi="宋体" w:eastAsia="黑体"/>
          <w:bCs/>
          <w:color w:val="000000"/>
          <w:sz w:val="24"/>
          <w:szCs w:val="24"/>
          <w:highlight w:val="none"/>
          <w:lang w:val="zh-CN"/>
        </w:rPr>
        <w:t xml:space="preserve">目人员配置清单（格式）</w:t>
      </w:r>
      <w:r>
        <w:rPr>
          <w:rFonts w:hint="eastAsia" w:ascii="黑体" w:hAnsi="宋体" w:eastAsia="黑体"/>
          <w:bCs/>
          <w:color w:val="000000"/>
          <w:sz w:val="24"/>
          <w:szCs w:val="24"/>
          <w:highlight w:val="none"/>
        </w:rPr>
        <w:t xml:space="preserve">:</w:t>
      </w:r>
      <w:r/>
    </w:p>
    <w:p>
      <w:pPr>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宜兴国际旅游度假区龙池嘉园安置小区复审项目</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JSZC-320282-HCCG-G2024-0118</w:t>
      </w:r>
      <w:r>
        <w:rPr>
          <w:rFonts w:hint="eastAsia" w:ascii="宋体" w:hAnsi="宋体"/>
          <w:color w:val="000000"/>
          <w:sz w:val="24"/>
          <w:szCs w:val="24"/>
          <w:highlight w:val="none"/>
        </w:rPr>
        <w:t xml:space="preserve"> </w:t>
      </w:r>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序号</w:t>
            </w:r>
            <w:r/>
          </w:p>
        </w:tc>
        <w:tc>
          <w:tcPr>
            <w:tcW w:w="1130"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4</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5</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6</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7</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8</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9</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10</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30"/>
        </w:trPr>
        <w:tc>
          <w:tcPr>
            <w:tcW w:w="535" w:type="dxa"/>
            <w:vAlign w:val="center"/>
            <w:textDirection w:val="lrTb"/>
            <w:noWrap w:val="false"/>
          </w:tcPr>
          <w:p>
            <w:pPr>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rPr>
                <w:rFonts w:hint="eastAsia"/>
                <w:color w:val="000000"/>
                <w:sz w:val="24"/>
                <w:highlight w:val="none"/>
              </w:rPr>
              <w:t xml:space="preserve">…</w:t>
            </w:r>
            <w:r/>
          </w:p>
        </w:tc>
        <w:tc>
          <w:tcPr>
            <w:tcW w:w="1130"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r>
    </w:tbl>
    <w:p>
      <w:pPr>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rPr>
          <w:rFonts w:hint="eastAsia"/>
          <w:color w:val="000000"/>
          <w:highlight w:val="none"/>
        </w:rPr>
      </w:pPr>
      <w:r>
        <w:rPr>
          <w:rFonts w:hint="eastAsia" w:ascii="宋体" w:hAnsi="宋体"/>
          <w:color w:val="000000"/>
          <w:highlight w:val="none"/>
        </w:rPr>
        <w:t xml:space="preserve">注：1. 表格不够可自行延长。</w:t>
      </w:r>
      <w:r/>
    </w:p>
    <w:p>
      <w:pPr>
        <w:ind w:firstLine="368"/>
        <w:rPr>
          <w:rFonts w:hint="eastAsia"/>
          <w:color w:val="000000"/>
          <w:highlight w:val="none"/>
        </w:rPr>
      </w:pPr>
      <w:r>
        <w:rPr>
          <w:rFonts w:hint="eastAsia" w:ascii="宋体" w:hAnsi="宋体"/>
          <w:color w:val="000000"/>
          <w:highlight w:val="none"/>
        </w:rPr>
        <w:t xml:space="preserve">2.上表内容须按招标文件要求提供经社保部门确认的社保缴纳名单原件扫描件（标注各人员所处位置）和相关证书原件扫描件作为填列证明材料，证明材料请附在本表之后。</w:t>
      </w:r>
      <w:r/>
    </w:p>
    <w:p>
      <w:pPr>
        <w:ind w:firstLine="420"/>
        <w:rPr>
          <w:color w:val="000000"/>
          <w:highlight w:val="none"/>
        </w:rPr>
      </w:pPr>
      <w:r>
        <w:rPr>
          <w:rFonts w:hint="eastAsia" w:ascii="宋体" w:hAnsi="宋体"/>
          <w:color w:val="000000"/>
          <w:highlight w:val="none"/>
        </w:rPr>
        <w:t xml:space="preserve">3.上述</w:t>
      </w:r>
      <w:r>
        <w:rPr>
          <w:rFonts w:hint="eastAsia"/>
          <w:color w:val="000000"/>
          <w:highlight w:val="none"/>
        </w:rPr>
        <w:t xml:space="preserve">人员如在项目执行过程中需要更换，须经采购人同意。擅自更换或不到位属违约行为。</w:t>
      </w:r>
      <w:r/>
    </w:p>
    <w:p>
      <w:pPr>
        <w:pStyle w:val="1047"/>
        <w:rPr>
          <w:color w:val="000000"/>
          <w:highlight w:val="none"/>
        </w:rPr>
      </w:pPr>
      <w:r>
        <w:rPr>
          <w:color w:val="000000"/>
          <w:highlight w:val="none"/>
        </w:rPr>
      </w:r>
      <w:r/>
    </w:p>
    <w:p>
      <w:pPr>
        <w:pStyle w:val="1048"/>
        <w:rPr>
          <w:color w:val="000000"/>
          <w:highlight w:val="none"/>
        </w:rPr>
      </w:pPr>
      <w:r>
        <w:rPr>
          <w:color w:val="000000"/>
          <w:highlight w:val="none"/>
        </w:rPr>
      </w:r>
      <w:r/>
    </w:p>
    <w:p>
      <w:pPr>
        <w:jc w:val="right"/>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48"/>
        <w:jc w:val="right"/>
        <w:rPr>
          <w:color w:val="000000"/>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47"/>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5</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spacing w:line="360" w:lineRule="auto"/>
        <w:rPr>
          <w:rFonts w:ascii="宋体" w:hAnsi="宋体"/>
          <w:bCs/>
          <w:color w:val="000000"/>
          <w:szCs w:val="21"/>
          <w:highlight w:val="none"/>
        </w:rPr>
      </w:pPr>
      <w:r>
        <w:rPr>
          <w:rFonts w:ascii="宋体" w:hAnsi="宋体"/>
          <w:bCs/>
          <w:color w:val="000000"/>
          <w:szCs w:val="21"/>
          <w:highlight w:val="none"/>
        </w:rPr>
      </w:r>
      <w:r/>
    </w:p>
    <w:p>
      <w:pPr>
        <w:ind w:firstLine="480"/>
        <w:keepLines w:val="0"/>
        <w:keepNext w:val="0"/>
        <w:pageBreakBefore w:val="0"/>
        <w:spacing w:line="580" w:lineRule="exact"/>
        <w:widowControl w:val="off"/>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580" w:lineRule="exact"/>
        <w:widowControl w:val="off"/>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ind w:firstLine="480"/>
        <w:keepLines w:val="0"/>
        <w:keepNext w:val="0"/>
        <w:pageBreakBefore w:val="0"/>
        <w:spacing w:line="580" w:lineRule="exact"/>
        <w:widowControl w:val="off"/>
        <w:rPr>
          <w:rFonts w:hint="eastAsia" w:ascii="宋体" w:hAnsi="Times New Roman" w:eastAsia="宋体" w:cs="Times New Roman"/>
          <w:bCs/>
          <w:color w:val="000000"/>
          <w:sz w:val="24"/>
          <w:szCs w:val="24"/>
          <w:highlight w:val="none"/>
        </w:rPr>
      </w:pPr>
      <w:r>
        <w:rPr>
          <w:rFonts w:hint="eastAsia" w:ascii="宋体" w:hAnsi="宋体" w:cs="宋体"/>
          <w:sz w:val="24"/>
          <w:szCs w:val="21"/>
          <w:highlight w:val="none"/>
          <w:lang w:val="en-US" w:eastAsia="zh-CN"/>
        </w:rPr>
        <w:t xml:space="preserve">6、</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宋体" w:hAnsi="Times New Roman" w:eastAsia="宋体" w:cs="Times New Roman"/>
          <w:bCs/>
          <w:color w:val="000000"/>
          <w:sz w:val="24"/>
          <w:szCs w:val="24"/>
          <w:highlight w:val="none"/>
        </w:rPr>
        <w:sectPr>
          <w:footerReference w:type="default" r:id="rId16"/>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Times New Roman" w:eastAsia="宋体" w:cs="Times New Roman"/>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12" w:name="OLE_LINK173"/>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13" w:name="_Hlk151451525"/>
      <w:r>
        <w:rPr>
          <w:rFonts w:hint="eastAsia" w:ascii="黑体" w:hAnsi="宋体" w:eastAsia="黑体"/>
          <w:bCs/>
          <w:color w:val="000000"/>
          <w:sz w:val="28"/>
          <w:szCs w:val="28"/>
          <w:highlight w:val="none"/>
        </w:rPr>
        <w:t xml:space="preserve">企业报价折扣证明</w:t>
      </w:r>
      <w:bookmarkEnd w:id="306"/>
      <w:r/>
    </w:p>
    <w:tbl>
      <w:tblPr>
        <w:tblStyle w:val="8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30"/>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序号</w:t>
            </w:r>
            <w:r/>
          </w:p>
        </w:tc>
        <w:tc>
          <w:tcPr>
            <w:tcW w:w="1451" w:type="dxa"/>
            <w:vAlign w:val="center"/>
            <w:textDirection w:val="lrTb"/>
            <w:noWrap w:val="false"/>
          </w:tcPr>
          <w:p>
            <w:pPr>
              <w:pStyle w:val="1030"/>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企业性质</w:t>
            </w:r>
            <w:r/>
          </w:p>
        </w:tc>
        <w:tc>
          <w:tcPr>
            <w:tcW w:w="2454" w:type="dxa"/>
            <w:vAlign w:val="center"/>
            <w:textDirection w:val="lrTb"/>
            <w:noWrap w:val="false"/>
          </w:tcPr>
          <w:p>
            <w:pPr>
              <w:pStyle w:val="1030"/>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服务承接商类别</w:t>
            </w:r>
            <w:r/>
          </w:p>
        </w:tc>
        <w:tc>
          <w:tcPr>
            <w:tcW w:w="4276" w:type="dxa"/>
            <w:vAlign w:val="center"/>
            <w:textDirection w:val="lrTb"/>
            <w:noWrap w:val="false"/>
          </w:tcPr>
          <w:p>
            <w:pPr>
              <w:pStyle w:val="1030"/>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须提交的证明材料</w:t>
            </w:r>
            <w:r/>
          </w:p>
        </w:tc>
      </w:tr>
      <w:tr>
        <w:trPr>
          <w:jc w:val="center"/>
          <w:trHeight w:val="660"/>
        </w:trPr>
        <w:tc>
          <w:tcPr>
            <w:tcW w:w="812" w:type="dxa"/>
            <w:vAlign w:val="center"/>
            <w:textDirection w:val="lrTb"/>
            <w:noWrap w:val="false"/>
          </w:tcPr>
          <w:p>
            <w:pPr>
              <w:pStyle w:val="1030"/>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p>
        </w:tc>
        <w:tc>
          <w:tcPr>
            <w:tcW w:w="1451" w:type="dxa"/>
            <w:vAlign w:val="center"/>
            <w:textDirection w:val="lrTb"/>
            <w:noWrap w:val="false"/>
          </w:tcPr>
          <w:p>
            <w:pPr>
              <w:pStyle w:val="103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小微型企业</w:t>
            </w:r>
            <w:r/>
          </w:p>
        </w:tc>
        <w:tc>
          <w:tcPr>
            <w:tcW w:w="2454" w:type="dxa"/>
            <w:vAlign w:val="center"/>
            <w:textDirection w:val="lrTb"/>
            <w:noWrap w:val="false"/>
          </w:tcPr>
          <w:p>
            <w:pPr>
              <w:pStyle w:val="103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服务的承接商为</w:t>
            </w:r>
            <w:r/>
          </w:p>
          <w:p>
            <w:pPr>
              <w:pStyle w:val="103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小微企业</w:t>
            </w:r>
            <w:r/>
          </w:p>
        </w:tc>
        <w:tc>
          <w:tcPr>
            <w:tcW w:w="4276" w:type="dxa"/>
            <w:vAlign w:val="center"/>
            <w:textDirection w:val="lrTb"/>
            <w:noWrap w:val="false"/>
          </w:tcPr>
          <w:p>
            <w:pPr>
              <w:pStyle w:val="1030"/>
              <w:ind w:left="0" w:right="0"/>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1030"/>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p>
        </w:tc>
        <w:tc>
          <w:tcPr>
            <w:tcW w:w="1451" w:type="dxa"/>
            <w:vAlign w:val="center"/>
            <w:textDirection w:val="lrTb"/>
            <w:noWrap w:val="false"/>
          </w:tcPr>
          <w:p>
            <w:pPr>
              <w:pStyle w:val="103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残疾人福利性单位</w:t>
            </w:r>
            <w:r/>
          </w:p>
        </w:tc>
        <w:tc>
          <w:tcPr>
            <w:tcW w:w="2454" w:type="dxa"/>
            <w:vAlign w:val="center"/>
            <w:textDirection w:val="lrTb"/>
            <w:noWrap w:val="false"/>
          </w:tcPr>
          <w:p>
            <w:pPr>
              <w:pStyle w:val="103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服务的承接商为</w:t>
            </w:r>
            <w:r/>
          </w:p>
          <w:p>
            <w:pPr>
              <w:pStyle w:val="103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残疾人福利性单位</w:t>
            </w:r>
            <w:r/>
          </w:p>
        </w:tc>
        <w:tc>
          <w:tcPr>
            <w:tcW w:w="4276" w:type="dxa"/>
            <w:vAlign w:val="center"/>
            <w:textDirection w:val="lrTb"/>
            <w:noWrap w:val="false"/>
          </w:tcPr>
          <w:p>
            <w:pPr>
              <w:pStyle w:val="1030"/>
              <w:ind w:left="0" w:right="0"/>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1030"/>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w:t>
            </w:r>
            <w:r/>
          </w:p>
        </w:tc>
        <w:tc>
          <w:tcPr>
            <w:tcW w:w="1451" w:type="dxa"/>
            <w:vAlign w:val="center"/>
            <w:textDirection w:val="lrTb"/>
            <w:noWrap w:val="false"/>
          </w:tcPr>
          <w:p>
            <w:pPr>
              <w:pStyle w:val="103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监狱</w:t>
            </w:r>
            <w:r/>
          </w:p>
          <w:p>
            <w:pPr>
              <w:pStyle w:val="103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企业</w:t>
            </w:r>
            <w:r/>
          </w:p>
        </w:tc>
        <w:tc>
          <w:tcPr>
            <w:tcW w:w="2454" w:type="dxa"/>
            <w:vAlign w:val="center"/>
            <w:textDirection w:val="lrTb"/>
            <w:noWrap w:val="false"/>
          </w:tcPr>
          <w:p>
            <w:pPr>
              <w:pStyle w:val="1030"/>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服务的承接商为</w:t>
            </w:r>
            <w:r/>
          </w:p>
          <w:p>
            <w:pPr>
              <w:pStyle w:val="1030"/>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监狱企业</w:t>
            </w:r>
            <w:r/>
          </w:p>
        </w:tc>
        <w:tc>
          <w:tcPr>
            <w:tcW w:w="4276" w:type="dxa"/>
            <w:vAlign w:val="center"/>
            <w:textDirection w:val="lrTb"/>
            <w:noWrap w:val="false"/>
          </w:tcPr>
          <w:p>
            <w:pPr>
              <w:pStyle w:val="1030"/>
              <w:ind w:left="0" w:right="0"/>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bookmarkStart w:id="314" w:name="OLE_LINK264"/>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1、投标人根据招标文件要求提供相关证明材料（如有），以提供的有效证明材料为准 。</w:t>
      </w:r>
      <w:bookmarkEnd w:id="314"/>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、如本项目给予报价扣除优惠，须提供相关证明材料，否则不享受报价扣除优惠。</w:t>
      </w:r>
      <w:r/>
    </w:p>
    <w:p>
      <w:pPr>
        <w:ind w:firstLine="480"/>
        <w:jc w:val="left"/>
        <w:spacing w:line="240" w:lineRule="atLeas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13"/>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15" w:name="OLE_LINK35"/>
      <w:r/>
      <w:bookmarkStart w:id="316" w:name="OLE_LINK25"/>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ind w:firstLine="480"/>
        <w:jc w:val="left"/>
        <w:rPr>
          <w:rFonts w:ascii="宋体" w:hAnsi="宋体"/>
          <w:bCs/>
          <w:color w:val="000000"/>
          <w:sz w:val="24"/>
          <w:highlight w:val="none"/>
          <w:lang w:val="zh-CN"/>
        </w:rPr>
      </w:pPr>
      <w:r>
        <w:rPr>
          <w:rFonts w:ascii="宋体" w:hAnsi="宋体"/>
          <w:bCs/>
          <w:color w:val="000000"/>
          <w:sz w:val="24"/>
          <w:highlight w:val="none"/>
          <w:lang w:val="zh-CN"/>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1"/>
          <w:highlight w:val="none"/>
        </w:rPr>
      </w:pPr>
      <w:r>
        <w:rPr>
          <w:rFonts w:hint="eastAsia" w:ascii="宋体" w:hAnsi="宋体"/>
          <w:color w:val="000000"/>
          <w:sz w:val="24"/>
          <w:szCs w:val="21"/>
          <w:highlight w:val="none"/>
        </w:rPr>
        <w:t xml:space="preserve">注：</w:t>
      </w:r>
      <w:r/>
    </w:p>
    <w:p>
      <w:pPr>
        <w:ind w:firstLine="421"/>
        <w:jc w:val="left"/>
        <w:spacing w:line="360" w:lineRule="auto"/>
        <w:rPr>
          <w:rFonts w:ascii="宋体" w:hAnsi="宋体"/>
          <w:bCs/>
          <w:color w:val="000000"/>
          <w:szCs w:val="21"/>
          <w:highlight w:val="none"/>
        </w:rPr>
      </w:pPr>
      <w:r/>
      <w:bookmarkStart w:id="317" w:name="_Hlk131935698"/>
      <w:r>
        <w:rPr>
          <w:rFonts w:hint="eastAsia" w:ascii="宋体" w:hAnsi="宋体"/>
          <w:bCs/>
          <w:color w:val="000000"/>
          <w:szCs w:val="21"/>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bookmarkEnd w:id="317"/>
      <w:r/>
      <w:bookmarkEnd w:id="315"/>
      <w:bookmarkEnd w:id="316"/>
      <w:r/>
    </w:p>
    <w:p>
      <w:pPr>
        <w:ind w:firstLine="480"/>
        <w:jc w:val="left"/>
        <w:rPr>
          <w:rFonts w:ascii="黑体" w:hAnsi="宋体" w:eastAsia="黑体"/>
          <w:bCs/>
          <w:color w:val="000000"/>
          <w:sz w:val="24"/>
          <w:szCs w:val="24"/>
          <w:highlight w:val="none"/>
        </w:rPr>
      </w:pPr>
      <w:r/>
      <w:bookmarkStart w:id="318" w:name="OLE_LINK150"/>
      <w:r>
        <w:rPr>
          <w:rFonts w:ascii="宋体" w:hAnsi="宋体"/>
          <w:color w:val="000000"/>
          <w:sz w:val="24"/>
          <w:szCs w:val="21"/>
          <w:highlight w:val="none"/>
        </w:rPr>
        <w:br w:type="page" w:clear="all"/>
      </w:r>
      <w:bookmarkStart w:id="319"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20" w:name="OLE_LINK64"/>
      <w:r/>
      <w:bookmarkStart w:id="321" w:name="OLE_LINK33"/>
      <w:r>
        <w:rPr>
          <w:rFonts w:hint="eastAsia" w:ascii="黑体" w:eastAsia="黑体"/>
          <w:bCs/>
          <w:color w:val="000000"/>
          <w:sz w:val="28"/>
          <w:szCs w:val="28"/>
          <w:highlight w:val="none"/>
        </w:rPr>
        <w:t xml:space="preserve">残疾人福利性单位</w:t>
      </w:r>
      <w:bookmarkEnd w:id="320"/>
      <w:r>
        <w:rPr>
          <w:rFonts w:hint="eastAsia" w:ascii="黑体" w:eastAsia="黑体"/>
          <w:bCs/>
          <w:color w:val="000000"/>
          <w:sz w:val="28"/>
          <w:szCs w:val="28"/>
          <w:highlight w:val="none"/>
        </w:rPr>
        <w:t xml:space="preserve">声明函</w:t>
      </w:r>
      <w:bookmarkEnd w:id="319"/>
      <w:r/>
      <w:bookmarkEnd w:id="321"/>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18"/>
      <w:r/>
    </w:p>
    <w:p>
      <w:pPr>
        <w:spacing w:after="156"/>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22" w:name="_Hlk151456734"/>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12"/>
      <w:r/>
      <w:bookmarkEnd w:id="322"/>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JSZC-320282-HCCG-G2024-0118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1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9"/>
  </w:num>
  <w:num w:numId="8">
    <w:abstractNumId w:val="13"/>
  </w:num>
  <w:num w:numId="9">
    <w:abstractNumId w:val="6"/>
  </w:num>
  <w:num w:numId="10">
    <w:abstractNumId w:val="0"/>
  </w:num>
  <w:num w:numId="11">
    <w:abstractNumId w:val="10"/>
  </w:num>
  <w:num w:numId="12">
    <w:abstractNumId w:val="12"/>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link w:val="1037"/>
    <w:uiPriority w:val="0"/>
    <w:qFormat/>
    <w:pPr>
      <w:jc w:val="both"/>
      <w:widowControl w:val="off"/>
    </w:pPr>
    <w:rPr>
      <w:rFonts w:hint="default" w:ascii="Times New Roman" w:hAnsi="Times New Roman" w:eastAsia="宋体" w:cs="Times New Roman"/>
      <w:sz w:val="21"/>
      <w:lang w:val="en-US" w:eastAsia="zh-CN" w:bidi="ar-SA"/>
    </w:rPr>
  </w:style>
  <w:style w:type="paragraph" w:styleId="820">
    <w:name w:val="Heading 1"/>
    <w:basedOn w:val="819"/>
    <w:next w:val="819"/>
    <w:link w:val="855"/>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link w:val="856"/>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57"/>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58"/>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859"/>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60"/>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62"/>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63"/>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basedOn w:val="819"/>
    <w:next w:val="819"/>
    <w:uiPriority w:val="39"/>
    <w:unhideWhenUsed/>
    <w:qFormat/>
    <w:pPr>
      <w:ind w:left="1701" w:right="0" w:firstLine="0"/>
      <w:spacing w:after="57"/>
    </w:pPr>
  </w:style>
  <w:style w:type="paragraph" w:styleId="832">
    <w:name w:val="Caption"/>
    <w:basedOn w:val="819"/>
    <w:next w:val="819"/>
    <w:uiPriority w:val="35"/>
    <w:semiHidden/>
    <w:unhideWhenUsed/>
    <w:qFormat/>
    <w:pPr>
      <w:spacing w:line="276" w:lineRule="auto"/>
    </w:pPr>
    <w:rPr>
      <w:b/>
      <w:bCs/>
      <w:color w:val="4f81bd" w:themeColor="accent1"/>
      <w:sz w:val="18"/>
      <w:szCs w:val="18"/>
    </w:rPr>
  </w:style>
  <w:style w:type="paragraph" w:styleId="833">
    <w:name w:val="annotation text"/>
    <w:basedOn w:val="819"/>
    <w:uiPriority w:val="99"/>
    <w:semiHidden/>
    <w:unhideWhenUsed/>
    <w:qFormat/>
    <w:pPr>
      <w:jc w:val="left"/>
    </w:pPr>
  </w:style>
  <w:style w:type="paragraph" w:styleId="834">
    <w:name w:val="index 4"/>
    <w:basedOn w:val="819"/>
    <w:next w:val="819"/>
    <w:uiPriority w:val="99"/>
    <w:qFormat/>
    <w:pPr>
      <w:ind w:left="960" w:hanging="240"/>
      <w:jc w:val="left"/>
      <w:spacing w:line="360" w:lineRule="auto"/>
    </w:pPr>
    <w:rPr>
      <w:sz w:val="20"/>
    </w:rPr>
  </w:style>
  <w:style w:type="paragraph" w:styleId="835">
    <w:name w:val="toc 5"/>
    <w:basedOn w:val="819"/>
    <w:next w:val="819"/>
    <w:uiPriority w:val="39"/>
    <w:unhideWhenUsed/>
    <w:qFormat/>
    <w:pPr>
      <w:ind w:left="1134" w:right="0" w:firstLine="0"/>
      <w:spacing w:after="57"/>
    </w:pPr>
  </w:style>
  <w:style w:type="paragraph" w:styleId="836">
    <w:name w:val="toc 3"/>
    <w:basedOn w:val="819"/>
    <w:next w:val="819"/>
    <w:uiPriority w:val="39"/>
    <w:unhideWhenUsed/>
    <w:qFormat/>
    <w:pPr>
      <w:ind w:left="567" w:right="0" w:firstLine="0"/>
      <w:spacing w:after="57"/>
    </w:pPr>
  </w:style>
  <w:style w:type="paragraph" w:styleId="837">
    <w:name w:val="toc 8"/>
    <w:basedOn w:val="819"/>
    <w:next w:val="819"/>
    <w:uiPriority w:val="39"/>
    <w:unhideWhenUsed/>
    <w:qFormat/>
    <w:pPr>
      <w:ind w:left="1984" w:right="0" w:firstLine="0"/>
      <w:spacing w:after="57"/>
    </w:pPr>
  </w:style>
  <w:style w:type="paragraph" w:styleId="838">
    <w:name w:val="endnote text"/>
    <w:basedOn w:val="819"/>
    <w:link w:val="1001"/>
    <w:uiPriority w:val="99"/>
    <w:semiHidden/>
    <w:unhideWhenUsed/>
    <w:pPr>
      <w:spacing w:after="0" w:line="240" w:lineRule="auto"/>
    </w:pPr>
    <w:rPr>
      <w:sz w:val="20"/>
    </w:rPr>
  </w:style>
  <w:style w:type="paragraph" w:styleId="839">
    <w:name w:val="Footer"/>
    <w:basedOn w:val="819"/>
    <w:link w:val="874"/>
    <w:uiPriority w:val="99"/>
    <w:unhideWhenUsed/>
    <w:qFormat/>
    <w:pPr>
      <w:spacing w:after="0" w:line="240" w:lineRule="auto"/>
      <w:tabs>
        <w:tab w:val="center" w:pos="7143" w:leader="none"/>
        <w:tab w:val="right" w:pos="14287" w:leader="none"/>
      </w:tabs>
    </w:pPr>
  </w:style>
  <w:style w:type="paragraph" w:styleId="840">
    <w:name w:val="Header"/>
    <w:basedOn w:val="819"/>
    <w:link w:val="872"/>
    <w:uiPriority w:val="99"/>
    <w:unhideWhenUsed/>
    <w:qFormat/>
    <w:pPr>
      <w:spacing w:after="0" w:line="240" w:lineRule="auto"/>
      <w:tabs>
        <w:tab w:val="center" w:pos="7143" w:leader="none"/>
        <w:tab w:val="right" w:pos="14287" w:leader="none"/>
      </w:tabs>
    </w:pPr>
  </w:style>
  <w:style w:type="paragraph" w:styleId="841">
    <w:name w:val="toc 1"/>
    <w:basedOn w:val="819"/>
    <w:next w:val="819"/>
    <w:uiPriority w:val="39"/>
    <w:unhideWhenUsed/>
    <w:qFormat/>
    <w:pPr>
      <w:ind w:left="0" w:right="0" w:firstLine="0"/>
      <w:spacing w:after="57"/>
    </w:pPr>
  </w:style>
  <w:style w:type="paragraph" w:styleId="842">
    <w:name w:val="toc 4"/>
    <w:basedOn w:val="819"/>
    <w:next w:val="819"/>
    <w:uiPriority w:val="39"/>
    <w:unhideWhenUsed/>
    <w:qFormat/>
    <w:pPr>
      <w:ind w:left="850" w:right="0" w:firstLine="0"/>
      <w:spacing w:after="57"/>
    </w:pPr>
  </w:style>
  <w:style w:type="paragraph" w:styleId="843">
    <w:name w:val="Subtitle"/>
    <w:basedOn w:val="819"/>
    <w:next w:val="819"/>
    <w:link w:val="867"/>
    <w:uiPriority w:val="11"/>
    <w:qFormat/>
    <w:pPr>
      <w:spacing w:before="200" w:after="200"/>
    </w:pPr>
    <w:rPr>
      <w:sz w:val="24"/>
      <w:szCs w:val="24"/>
    </w:rPr>
  </w:style>
  <w:style w:type="paragraph" w:styleId="844">
    <w:name w:val="footnote text"/>
    <w:basedOn w:val="819"/>
    <w:link w:val="1000"/>
    <w:uiPriority w:val="99"/>
    <w:semiHidden/>
    <w:unhideWhenUsed/>
    <w:qFormat/>
    <w:pPr>
      <w:spacing w:after="40" w:line="240" w:lineRule="auto"/>
    </w:pPr>
    <w:rPr>
      <w:sz w:val="18"/>
    </w:rPr>
  </w:style>
  <w:style w:type="paragraph" w:styleId="845">
    <w:name w:val="toc 6"/>
    <w:basedOn w:val="819"/>
    <w:next w:val="819"/>
    <w:uiPriority w:val="39"/>
    <w:unhideWhenUsed/>
    <w:qFormat/>
    <w:pPr>
      <w:ind w:left="1417" w:right="0" w:firstLine="0"/>
      <w:spacing w:after="57"/>
    </w:pPr>
  </w:style>
  <w:style w:type="paragraph" w:styleId="846">
    <w:name w:val="table of figures"/>
    <w:basedOn w:val="819"/>
    <w:next w:val="819"/>
    <w:uiPriority w:val="99"/>
    <w:unhideWhenUsed/>
    <w:qFormat/>
    <w:pPr>
      <w:spacing w:after="0" w:afterAutospacing="0"/>
    </w:pPr>
  </w:style>
  <w:style w:type="paragraph" w:styleId="847">
    <w:name w:val="toc 2"/>
    <w:basedOn w:val="819"/>
    <w:next w:val="819"/>
    <w:uiPriority w:val="39"/>
    <w:unhideWhenUsed/>
    <w:qFormat/>
    <w:pPr>
      <w:ind w:left="283" w:right="0" w:firstLine="0"/>
      <w:spacing w:after="57"/>
    </w:pPr>
  </w:style>
  <w:style w:type="paragraph" w:styleId="848">
    <w:name w:val="toc 9"/>
    <w:basedOn w:val="819"/>
    <w:next w:val="819"/>
    <w:uiPriority w:val="39"/>
    <w:unhideWhenUsed/>
    <w:qFormat/>
    <w:pPr>
      <w:ind w:left="2268" w:right="0" w:firstLine="0"/>
      <w:spacing w:after="57"/>
    </w:pPr>
  </w:style>
  <w:style w:type="paragraph" w:styleId="849">
    <w:name w:val="Normal (Web)"/>
    <w:basedOn w:val="819"/>
    <w:uiPriority w:val="99"/>
    <w:unhideWhenUsed/>
    <w:qFormat/>
    <w:pPr>
      <w:jc w:val="left"/>
      <w:spacing w:before="100" w:beforeAutospacing="1" w:after="100" w:afterAutospacing="1"/>
    </w:pPr>
    <w:rPr>
      <w:rFonts w:ascii="Times New Roman" w:hAnsi="Times New Roman"/>
      <w:sz w:val="24"/>
    </w:rPr>
  </w:style>
  <w:style w:type="paragraph" w:styleId="850">
    <w:name w:val="Title"/>
    <w:basedOn w:val="819"/>
    <w:next w:val="819"/>
    <w:link w:val="866"/>
    <w:uiPriority w:val="10"/>
    <w:qFormat/>
    <w:pPr>
      <w:contextualSpacing/>
      <w:spacing w:before="300" w:after="200"/>
    </w:pPr>
    <w:rPr>
      <w:sz w:val="48"/>
      <w:szCs w:val="48"/>
    </w:rPr>
  </w:style>
  <w:style w:type="table" w:styleId="8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rPr>
  </w:style>
  <w:style w:type="character" w:styleId="854">
    <w:name w:val="footnote reference"/>
    <w:uiPriority w:val="99"/>
    <w:unhideWhenUsed/>
    <w:qFormat/>
    <w:rPr>
      <w:vertAlign w:val="superscript"/>
    </w:rPr>
  </w:style>
  <w:style w:type="character" w:styleId="855" w:customStyle="1">
    <w:name w:val="Heading 1 Char"/>
    <w:link w:val="820"/>
    <w:uiPriority w:val="9"/>
    <w:qFormat/>
    <w:rPr>
      <w:rFonts w:ascii="Arial" w:hAnsi="Arial" w:eastAsia="Arial" w:cs="Arial"/>
      <w:sz w:val="40"/>
      <w:szCs w:val="40"/>
    </w:rPr>
  </w:style>
  <w:style w:type="character" w:styleId="856" w:customStyle="1">
    <w:name w:val="Heading 2 Char"/>
    <w:link w:val="821"/>
    <w:uiPriority w:val="9"/>
    <w:qFormat/>
    <w:rPr>
      <w:rFonts w:ascii="Arial" w:hAnsi="Arial" w:eastAsia="Arial" w:cs="Arial"/>
      <w:sz w:val="34"/>
    </w:rPr>
  </w:style>
  <w:style w:type="character" w:styleId="857" w:customStyle="1">
    <w:name w:val="Heading 3 Char"/>
    <w:link w:val="822"/>
    <w:uiPriority w:val="9"/>
    <w:qFormat/>
    <w:rPr>
      <w:rFonts w:ascii="Arial" w:hAnsi="Arial" w:eastAsia="Arial" w:cs="Arial"/>
      <w:sz w:val="30"/>
      <w:szCs w:val="30"/>
    </w:rPr>
  </w:style>
  <w:style w:type="character" w:styleId="858" w:customStyle="1">
    <w:name w:val="Heading 4 Char"/>
    <w:link w:val="823"/>
    <w:uiPriority w:val="9"/>
    <w:qFormat/>
    <w:rPr>
      <w:rFonts w:ascii="Arial" w:hAnsi="Arial" w:eastAsia="Arial" w:cs="Arial"/>
      <w:b/>
      <w:bCs/>
      <w:sz w:val="26"/>
      <w:szCs w:val="26"/>
    </w:rPr>
  </w:style>
  <w:style w:type="character" w:styleId="859" w:customStyle="1">
    <w:name w:val="Heading 5 Char"/>
    <w:link w:val="824"/>
    <w:uiPriority w:val="9"/>
    <w:qFormat/>
    <w:rPr>
      <w:rFonts w:ascii="Arial" w:hAnsi="Arial" w:eastAsia="Arial" w:cs="Arial"/>
      <w:b/>
      <w:bCs/>
      <w:sz w:val="24"/>
      <w:szCs w:val="24"/>
    </w:rPr>
  </w:style>
  <w:style w:type="character" w:styleId="860" w:customStyle="1">
    <w:name w:val="Heading 6 Char"/>
    <w:link w:val="825"/>
    <w:uiPriority w:val="9"/>
    <w:qFormat/>
    <w:rPr>
      <w:rFonts w:ascii="Arial" w:hAnsi="Arial" w:eastAsia="Arial" w:cs="Arial"/>
      <w:b/>
      <w:bCs/>
      <w:sz w:val="22"/>
      <w:szCs w:val="22"/>
    </w:rPr>
  </w:style>
  <w:style w:type="character" w:styleId="861" w:customStyle="1">
    <w:name w:val="Heading 7 Char"/>
    <w:link w:val="826"/>
    <w:uiPriority w:val="9"/>
    <w:qFormat/>
    <w:rPr>
      <w:rFonts w:ascii="Arial" w:hAnsi="Arial" w:eastAsia="Arial" w:cs="Arial"/>
      <w:b/>
      <w:bCs/>
      <w:i/>
      <w:iCs/>
      <w:sz w:val="22"/>
      <w:szCs w:val="22"/>
    </w:rPr>
  </w:style>
  <w:style w:type="character" w:styleId="862" w:customStyle="1">
    <w:name w:val="Heading 8 Char"/>
    <w:link w:val="827"/>
    <w:uiPriority w:val="9"/>
    <w:qFormat/>
    <w:rPr>
      <w:rFonts w:ascii="Arial" w:hAnsi="Arial" w:eastAsia="Arial" w:cs="Arial"/>
      <w:i/>
      <w:iCs/>
      <w:sz w:val="22"/>
      <w:szCs w:val="22"/>
    </w:rPr>
  </w:style>
  <w:style w:type="character" w:styleId="863" w:customStyle="1">
    <w:name w:val="Heading 9 Char"/>
    <w:link w:val="828"/>
    <w:uiPriority w:val="9"/>
    <w:qFormat/>
    <w:rPr>
      <w:rFonts w:ascii="Arial" w:hAnsi="Arial" w:eastAsia="Arial" w:cs="Arial"/>
      <w:i/>
      <w:iCs/>
      <w:sz w:val="21"/>
      <w:szCs w:val="21"/>
    </w:rPr>
  </w:style>
  <w:style w:type="paragraph" w:styleId="864">
    <w:name w:val="List Paragraph"/>
    <w:basedOn w:val="819"/>
    <w:uiPriority w:val="34"/>
    <w:qFormat/>
    <w:pPr>
      <w:contextualSpacing/>
      <w:ind w:left="720"/>
    </w:p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link w:val="850"/>
    <w:uiPriority w:val="10"/>
    <w:qFormat/>
    <w:rPr>
      <w:sz w:val="48"/>
      <w:szCs w:val="48"/>
    </w:rPr>
  </w:style>
  <w:style w:type="character" w:styleId="867" w:customStyle="1">
    <w:name w:val="Subtitle Char"/>
    <w:link w:val="843"/>
    <w:uiPriority w:val="11"/>
    <w:qFormat/>
    <w:rPr>
      <w:sz w:val="24"/>
      <w:szCs w:val="24"/>
    </w:rPr>
  </w:style>
  <w:style w:type="paragraph" w:styleId="868">
    <w:name w:val="Quote"/>
    <w:basedOn w:val="819"/>
    <w:next w:val="819"/>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19"/>
    <w:next w:val="819"/>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link w:val="840"/>
    <w:uiPriority w:val="99"/>
    <w:qFormat/>
  </w:style>
  <w:style w:type="character" w:styleId="873" w:customStyle="1">
    <w:name w:val="Footer Char"/>
    <w:link w:val="839"/>
    <w:uiPriority w:val="99"/>
    <w:qFormat/>
  </w:style>
  <w:style w:type="character" w:styleId="874" w:customStyle="1">
    <w:name w:val="Caption Char"/>
    <w:link w:val="839"/>
    <w:uiPriority w:val="99"/>
    <w:qFormat/>
  </w:style>
  <w:style w:type="table" w:styleId="8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6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44"/>
    <w:uiPriority w:val="99"/>
    <w:rPr>
      <w:sz w:val="18"/>
    </w:rPr>
  </w:style>
  <w:style w:type="character" w:styleId="1001" w:customStyle="1">
    <w:name w:val="Endnote Text Char"/>
    <w:link w:val="838"/>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标题 11"/>
    <w:basedOn w:val="819"/>
    <w:next w:val="819"/>
    <w:link w:val="1015"/>
    <w:uiPriority w:val="0"/>
    <w:qFormat/>
    <w:pPr>
      <w:keepLines/>
      <w:keepNext/>
      <w:spacing w:before="340" w:beforeAutospacing="0" w:after="330" w:afterAutospacing="0" w:line="576" w:lineRule="auto"/>
      <w:outlineLvl w:val="0"/>
    </w:pPr>
    <w:rPr>
      <w:b/>
      <w:sz w:val="44"/>
    </w:rPr>
  </w:style>
  <w:style w:type="paragraph" w:styleId="1004" w:customStyle="1">
    <w:name w:val="标题 21"/>
    <w:basedOn w:val="819"/>
    <w:next w:val="819"/>
    <w:uiPriority w:val="0"/>
    <w:qFormat/>
    <w:pPr>
      <w:keepLines/>
      <w:keepNext/>
      <w:spacing w:before="260" w:beforeAutospacing="0" w:after="260" w:afterAutospacing="0" w:line="413" w:lineRule="auto"/>
      <w:outlineLvl w:val="1"/>
    </w:pPr>
    <w:rPr>
      <w:rFonts w:ascii="Arial" w:hAnsi="Arial" w:eastAsia="黑体"/>
      <w:b/>
      <w:sz w:val="32"/>
    </w:rPr>
  </w:style>
  <w:style w:type="paragraph" w:styleId="1005" w:customStyle="1">
    <w:name w:val="标题 31"/>
    <w:basedOn w:val="819"/>
    <w:next w:val="819"/>
    <w:uiPriority w:val="0"/>
    <w:qFormat/>
    <w:pPr>
      <w:keepLines/>
      <w:keepNext/>
      <w:spacing w:before="260" w:beforeAutospacing="0" w:after="260" w:afterAutospacing="0" w:line="413" w:lineRule="auto"/>
      <w:outlineLvl w:val="2"/>
    </w:pPr>
    <w:rPr>
      <w:b/>
      <w:sz w:val="32"/>
    </w:rPr>
  </w:style>
  <w:style w:type="paragraph" w:styleId="1006" w:customStyle="1">
    <w:name w:val="标题 41"/>
    <w:basedOn w:val="819"/>
    <w:next w:val="819"/>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07" w:customStyle="1">
    <w:name w:val="标题 51"/>
    <w:basedOn w:val="819"/>
    <w:next w:val="819"/>
    <w:uiPriority w:val="0"/>
    <w:qFormat/>
    <w:pPr>
      <w:keepLines/>
      <w:keepNext/>
      <w:spacing w:before="280" w:beforeAutospacing="0" w:after="290" w:afterAutospacing="0" w:line="372" w:lineRule="auto"/>
      <w:outlineLvl w:val="4"/>
    </w:pPr>
    <w:rPr>
      <w:b/>
      <w:sz w:val="28"/>
    </w:rPr>
  </w:style>
  <w:style w:type="paragraph" w:styleId="1008" w:customStyle="1">
    <w:name w:val="标题 61"/>
    <w:basedOn w:val="819"/>
    <w:next w:val="819"/>
    <w:uiPriority w:val="0"/>
    <w:qFormat/>
    <w:pPr>
      <w:keepLines/>
      <w:keepNext/>
      <w:spacing w:before="240" w:beforeAutospacing="0" w:after="64" w:afterAutospacing="0" w:line="317" w:lineRule="auto"/>
      <w:outlineLvl w:val="5"/>
    </w:pPr>
    <w:rPr>
      <w:rFonts w:ascii="Arial" w:hAnsi="Arial" w:eastAsia="黑体"/>
      <w:b/>
      <w:sz w:val="24"/>
    </w:rPr>
  </w:style>
  <w:style w:type="paragraph" w:styleId="1009" w:customStyle="1">
    <w:name w:val="标题 71"/>
    <w:basedOn w:val="819"/>
    <w:next w:val="819"/>
    <w:uiPriority w:val="0"/>
    <w:qFormat/>
    <w:pPr>
      <w:keepLines/>
      <w:keepNext/>
      <w:spacing w:before="240" w:beforeAutospacing="0" w:after="64" w:afterAutospacing="0" w:line="317" w:lineRule="auto"/>
      <w:outlineLvl w:val="6"/>
    </w:pPr>
    <w:rPr>
      <w:b/>
      <w:sz w:val="24"/>
    </w:rPr>
  </w:style>
  <w:style w:type="paragraph" w:styleId="1010" w:customStyle="1">
    <w:name w:val="标题 81"/>
    <w:basedOn w:val="819"/>
    <w:next w:val="819"/>
    <w:uiPriority w:val="0"/>
    <w:qFormat/>
    <w:pPr>
      <w:keepLines/>
      <w:keepNext/>
      <w:spacing w:before="240" w:beforeAutospacing="0" w:after="64" w:afterAutospacing="0" w:line="317" w:lineRule="auto"/>
      <w:outlineLvl w:val="7"/>
    </w:pPr>
    <w:rPr>
      <w:rFonts w:ascii="Arial" w:hAnsi="Arial" w:eastAsia="黑体"/>
      <w:sz w:val="24"/>
    </w:rPr>
  </w:style>
  <w:style w:type="paragraph" w:styleId="1011" w:customStyle="1">
    <w:name w:val="标题 91"/>
    <w:basedOn w:val="819"/>
    <w:next w:val="819"/>
    <w:uiPriority w:val="0"/>
    <w:qFormat/>
    <w:pPr>
      <w:keepLines/>
      <w:keepNext/>
      <w:spacing w:before="240" w:beforeAutospacing="0" w:after="64" w:afterAutospacing="0" w:line="317" w:lineRule="auto"/>
      <w:outlineLvl w:val="8"/>
    </w:pPr>
    <w:rPr>
      <w:rFonts w:ascii="Arial" w:hAnsi="Arial" w:eastAsia="黑体"/>
      <w:sz w:val="21"/>
    </w:rPr>
  </w:style>
  <w:style w:type="character" w:styleId="1012" w:customStyle="1">
    <w:name w:val="默认段落字体1"/>
    <w:link w:val="819"/>
    <w:uiPriority w:val="0"/>
    <w:qFormat/>
  </w:style>
  <w:style w:type="table" w:styleId="1013" w:customStyle="1">
    <w:name w:val="普通表格1"/>
    <w:uiPriority w:val="0"/>
    <w:semiHidden/>
    <w:qFormat/>
    <w:tblPr/>
  </w:style>
  <w:style w:type="paragraph" w:styleId="1014" w:customStyle="1">
    <w:name w:val="列表项目符号 21"/>
    <w:basedOn w:val="819"/>
    <w:uiPriority w:val="0"/>
    <w:qFormat/>
    <w:pPr>
      <w:numPr>
        <w:ilvl w:val="0"/>
        <w:numId w:val="1"/>
      </w:numPr>
    </w:pPr>
  </w:style>
  <w:style w:type="character" w:styleId="1015" w:customStyle="1">
    <w:name w:val="标题 1 Char"/>
    <w:link w:val="1003"/>
    <w:uiPriority w:val="0"/>
    <w:qFormat/>
    <w:rPr>
      <w:b/>
      <w:sz w:val="44"/>
    </w:rPr>
  </w:style>
  <w:style w:type="paragraph" w:styleId="1016" w:customStyle="1">
    <w:name w:val="批注文字1"/>
    <w:basedOn w:val="819"/>
    <w:uiPriority w:val="0"/>
    <w:qFormat/>
    <w:pPr>
      <w:jc w:val="left"/>
    </w:pPr>
  </w:style>
  <w:style w:type="paragraph" w:styleId="1017" w:customStyle="1">
    <w:name w:val="正文文本12"/>
    <w:basedOn w:val="819"/>
    <w:next w:val="1018"/>
    <w:uiPriority w:val="0"/>
    <w:qFormat/>
    <w:rPr>
      <w:rFonts w:cs="Times New Roman"/>
      <w:sz w:val="20"/>
      <w:szCs w:val="20"/>
    </w:rPr>
  </w:style>
  <w:style w:type="paragraph" w:styleId="1018" w:customStyle="1">
    <w:name w:val="正文首行缩进1"/>
    <w:basedOn w:val="1017"/>
    <w:uiPriority w:val="0"/>
    <w:unhideWhenUsed/>
    <w:qFormat/>
    <w:pPr>
      <w:ind w:firstLine="420"/>
    </w:pPr>
  </w:style>
  <w:style w:type="paragraph" w:styleId="1019" w:customStyle="1">
    <w:name w:val="正文文本缩进1"/>
    <w:basedOn w:val="819"/>
    <w:uiPriority w:val="0"/>
    <w:qFormat/>
    <w:pPr>
      <w:ind w:left="420" w:firstLine="1124"/>
      <w:spacing w:after="120" w:line="360" w:lineRule="auto"/>
    </w:pPr>
    <w:rPr>
      <w:rFonts w:ascii="Calibri" w:hAnsi="Calibri"/>
      <w:sz w:val="24"/>
      <w:szCs w:val="24"/>
    </w:rPr>
  </w:style>
  <w:style w:type="paragraph" w:styleId="1020" w:customStyle="1">
    <w:name w:val="纯文本11"/>
    <w:basedOn w:val="819"/>
    <w:link w:val="1021"/>
    <w:uiPriority w:val="0"/>
    <w:qFormat/>
    <w:rPr>
      <w:rFonts w:ascii="宋体" w:hAnsi="Courier New"/>
    </w:rPr>
  </w:style>
  <w:style w:type="character" w:styleId="1021" w:customStyle="1">
    <w:name w:val="纯文本 Char"/>
    <w:link w:val="1020"/>
    <w:uiPriority w:val="0"/>
    <w:qFormat/>
    <w:rPr>
      <w:rFonts w:ascii="宋体" w:hAnsi="Courier New"/>
      <w:sz w:val="21"/>
    </w:rPr>
  </w:style>
  <w:style w:type="paragraph" w:styleId="1022" w:customStyle="1">
    <w:name w:val="批注框文本1"/>
    <w:basedOn w:val="819"/>
    <w:uiPriority w:val="0"/>
    <w:semiHidden/>
    <w:qFormat/>
    <w:rPr>
      <w:sz w:val="18"/>
      <w:szCs w:val="18"/>
    </w:rPr>
  </w:style>
  <w:style w:type="paragraph" w:styleId="1023" w:customStyle="1">
    <w:name w:val="页脚1"/>
    <w:basedOn w:val="819"/>
    <w:uiPriority w:val="0"/>
    <w:qFormat/>
    <w:pPr>
      <w:jc w:val="left"/>
      <w:tabs>
        <w:tab w:val="center" w:pos="4153" w:leader="none"/>
        <w:tab w:val="right" w:pos="8306" w:leader="none"/>
      </w:tabs>
    </w:pPr>
    <w:rPr>
      <w:sz w:val="18"/>
    </w:rPr>
  </w:style>
  <w:style w:type="paragraph" w:styleId="1024" w:customStyle="1">
    <w:name w:val="页眉1"/>
    <w:basedOn w:val="819"/>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25" w:customStyle="1">
    <w:name w:val="目录 11"/>
    <w:basedOn w:val="819"/>
    <w:next w:val="819"/>
    <w:uiPriority w:val="0"/>
    <w:qFormat/>
  </w:style>
  <w:style w:type="paragraph" w:styleId="1026" w:customStyle="1">
    <w:name w:val="正文文本缩进 31"/>
    <w:basedOn w:val="819"/>
    <w:uiPriority w:val="0"/>
    <w:qFormat/>
    <w:pPr>
      <w:ind w:left="420"/>
      <w:jc w:val="left"/>
      <w:spacing w:after="120"/>
      <w:widowControl/>
    </w:pPr>
    <w:rPr>
      <w:sz w:val="16"/>
      <w:szCs w:val="16"/>
    </w:rPr>
  </w:style>
  <w:style w:type="paragraph" w:styleId="1027" w:customStyle="1">
    <w:name w:val="目录 21"/>
    <w:basedOn w:val="819"/>
    <w:next w:val="819"/>
    <w:uiPriority w:val="0"/>
    <w:qFormat/>
    <w:pPr>
      <w:ind w:left="420"/>
    </w:pPr>
  </w:style>
  <w:style w:type="paragraph" w:styleId="1028" w:customStyle="1">
    <w:name w:val="正文文本 21"/>
    <w:basedOn w:val="819"/>
    <w:link w:val="1029"/>
    <w:uiPriority w:val="0"/>
    <w:qFormat/>
    <w:pPr>
      <w:spacing w:after="120" w:line="480" w:lineRule="auto"/>
    </w:pPr>
    <w:rPr>
      <w:rFonts w:cs="Times New Roman"/>
      <w:sz w:val="20"/>
      <w:szCs w:val="20"/>
    </w:rPr>
  </w:style>
  <w:style w:type="character" w:styleId="1029" w:customStyle="1">
    <w:name w:val="正文文本 2 Char"/>
    <w:link w:val="1028"/>
    <w:uiPriority w:val="0"/>
    <w:qFormat/>
  </w:style>
  <w:style w:type="paragraph" w:styleId="1030" w:customStyle="1">
    <w:name w:val="普通(网站)1"/>
    <w:basedOn w:val="819"/>
    <w:uiPriority w:val="0"/>
    <w:qFormat/>
    <w:pPr>
      <w:ind w:left="0" w:right="0"/>
      <w:jc w:val="left"/>
      <w:spacing w:before="100" w:beforeAutospacing="1" w:after="100" w:afterAutospacing="1"/>
    </w:pPr>
    <w:rPr>
      <w:sz w:val="24"/>
      <w:lang w:val="en-US" w:eastAsia="zh-CN" w:bidi="ar"/>
    </w:rPr>
  </w:style>
  <w:style w:type="paragraph" w:styleId="1031" w:customStyle="1">
    <w:name w:val="正文首行缩进 21"/>
    <w:basedOn w:val="1019"/>
    <w:uiPriority w:val="0"/>
    <w:qFormat/>
    <w:pPr>
      <w:ind w:firstLine="420"/>
      <w:spacing w:line="240" w:lineRule="auto"/>
    </w:pPr>
  </w:style>
  <w:style w:type="table" w:styleId="1032" w:customStyle="1">
    <w:name w:val="网格型1"/>
    <w:basedOn w:val="1013"/>
    <w:uiPriority w:val="0"/>
    <w:qFormat/>
    <w:pPr>
      <w:jc w:val="both"/>
      <w:widowControl w:val="off"/>
    </w:pPr>
    <w:tblPr/>
  </w:style>
  <w:style w:type="character" w:styleId="1033" w:customStyle="1">
    <w:name w:val="页码1"/>
    <w:link w:val="819"/>
    <w:uiPriority w:val="0"/>
    <w:qFormat/>
  </w:style>
  <w:style w:type="character" w:styleId="1034" w:customStyle="1">
    <w:name w:val="已访问的超链接1"/>
    <w:link w:val="819"/>
    <w:uiPriority w:val="0"/>
    <w:qFormat/>
    <w:rPr>
      <w:color w:val="000000"/>
      <w:u w:val="none"/>
    </w:rPr>
  </w:style>
  <w:style w:type="paragraph" w:styleId="1035" w:customStyle="1">
    <w:name w:val="正文文本11"/>
    <w:basedOn w:val="819"/>
    <w:next w:val="819"/>
    <w:uiPriority w:val="0"/>
    <w:qFormat/>
    <w:rPr>
      <w:sz w:val="20"/>
    </w:rPr>
  </w:style>
  <w:style w:type="character" w:styleId="1036" w:customStyle="1">
    <w:name w:val="font01"/>
    <w:link w:val="819"/>
    <w:uiPriority w:val="0"/>
    <w:qFormat/>
    <w:rPr>
      <w:rFonts w:ascii="Calibri" w:hAnsi="Calibri" w:cs="Calibri"/>
      <w:color w:val="000000"/>
      <w:sz w:val="20"/>
      <w:szCs w:val="20"/>
      <w:u w:val="none"/>
    </w:rPr>
  </w:style>
  <w:style w:type="character" w:styleId="1037" w:customStyle="1">
    <w:name w:val="font51"/>
    <w:link w:val="819"/>
    <w:uiPriority w:val="0"/>
    <w:qFormat/>
    <w:rPr>
      <w:rFonts w:hint="eastAsia" w:ascii="宋体" w:hAnsi="宋体" w:eastAsia="宋体" w:cs="宋体"/>
      <w:color w:val="000000"/>
      <w:sz w:val="20"/>
      <w:szCs w:val="20"/>
      <w:u w:val="none"/>
    </w:rPr>
  </w:style>
  <w:style w:type="paragraph" w:styleId="1038"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3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Default Paragraph Font Para Char"/>
    <w:basedOn w:val="819"/>
    <w:uiPriority w:val="0"/>
    <w:qFormat/>
    <w:pPr>
      <w:jc w:val="left"/>
      <w:spacing w:after="160" w:line="240" w:lineRule="exact"/>
      <w:widowControl/>
    </w:pPr>
  </w:style>
  <w:style w:type="paragraph" w:styleId="1041" w:customStyle="1">
    <w:name w:val="正文缩进1"/>
    <w:basedOn w:val="819"/>
    <w:uiPriority w:val="0"/>
    <w:qFormat/>
    <w:pPr>
      <w:ind w:firstLine="420"/>
      <w:jc w:val="left"/>
    </w:pPr>
    <w:rPr>
      <w:rFonts w:ascii="宋体" w:hAnsi="Calibri" w:eastAsia="宋体" w:cs="Times New Roman"/>
      <w:sz w:val="24"/>
      <w:szCs w:val="22"/>
    </w:rPr>
  </w:style>
  <w:style w:type="paragraph" w:styleId="1042" w:customStyle="1">
    <w:name w:val="索引 11"/>
    <w:basedOn w:val="819"/>
    <w:next w:val="819"/>
    <w:uiPriority w:val="0"/>
    <w:qFormat/>
    <w:pPr>
      <w:spacing w:line="360" w:lineRule="auto"/>
    </w:pPr>
    <w:rPr>
      <w:rFonts w:ascii="仿宋_GB2312" w:eastAsia="仿宋_GB2312"/>
      <w:sz w:val="24"/>
      <w:szCs w:val="20"/>
    </w:rPr>
  </w:style>
  <w:style w:type="paragraph" w:styleId="1043" w:customStyle="1">
    <w:name w:val="列出段落"/>
    <w:basedOn w:val="819"/>
    <w:uiPriority w:val="0"/>
    <w:qFormat/>
    <w:pPr>
      <w:ind w:firstLine="420"/>
    </w:pPr>
    <w:rPr>
      <w:sz w:val="21"/>
    </w:rPr>
  </w:style>
  <w:style w:type="paragraph" w:styleId="1044" w:customStyle="1">
    <w:name w:val="普通文字"/>
    <w:basedOn w:val="819"/>
    <w:next w:val="819"/>
    <w:uiPriority w:val="0"/>
    <w:qFormat/>
    <w:rPr>
      <w:rFonts w:ascii="宋体"/>
      <w:sz w:val="24"/>
    </w:rPr>
  </w:style>
  <w:style w:type="paragraph" w:styleId="1045" w:customStyle="1">
    <w:name w:val="纯文本1"/>
    <w:basedOn w:val="819"/>
    <w:uiPriority w:val="0"/>
    <w:qFormat/>
    <w:rPr>
      <w:rFonts w:ascii="宋体" w:hAnsi="Courier New" w:eastAsia="宋体" w:cs="Times New Roman"/>
      <w:szCs w:val="22"/>
    </w:rPr>
  </w:style>
  <w:style w:type="paragraph" w:styleId="1046" w:customStyle="1">
    <w:name w:val="列出段落1"/>
    <w:basedOn w:val="819"/>
    <w:uiPriority w:val="99"/>
    <w:qFormat/>
    <w:pPr>
      <w:spacing w:line="400" w:lineRule="exact"/>
      <w:tabs>
        <w:tab w:val="left" w:pos="680" w:leader="none"/>
      </w:tabs>
    </w:pPr>
    <w:rPr>
      <w:rFonts w:ascii="宋体" w:hAnsi="宋体"/>
      <w:spacing w:val="-2"/>
      <w:sz w:val="24"/>
    </w:rPr>
  </w:style>
  <w:style w:type="paragraph" w:styleId="1047" w:customStyle="1">
    <w:name w:val="正文文本1"/>
    <w:basedOn w:val="819"/>
    <w:uiPriority w:val="0"/>
    <w:qFormat/>
    <w:rPr>
      <w:rFonts w:cs="Times New Roman"/>
      <w:sz w:val="20"/>
      <w:szCs w:val="20"/>
    </w:rPr>
  </w:style>
  <w:style w:type="paragraph" w:styleId="1048" w:customStyle="1">
    <w:name w:val="正文文本首行缩进"/>
    <w:basedOn w:val="1047"/>
    <w:uiPriority w:val="0"/>
    <w:qFormat/>
    <w:pPr>
      <w:ind w:firstLine="420"/>
      <w:spacing w:after="120"/>
      <w:tabs>
        <w:tab w:val="left" w:pos="2020" w:leader="none"/>
        <w:tab w:val="center" w:pos="4535" w:leader="none"/>
      </w:tabs>
    </w:pPr>
    <w:rPr>
      <w:rFonts w:ascii="Times New Roman"/>
      <w:sz w:val="21"/>
    </w:rPr>
  </w:style>
  <w:style w:type="paragraph" w:styleId="1049" w:customStyle="1">
    <w:name w:val="Fließtext"/>
    <w:basedOn w:val="819"/>
    <w:uiPriority w:val="0"/>
    <w:qFormat/>
    <w:rPr>
      <w:rFonts w:ascii="Calibri" w:hAnsi="Calibri" w:eastAsia="宋体" w:cs="Times New Roman"/>
      <w:szCs w:val="20"/>
    </w:rPr>
  </w:style>
  <w:style w:type="numbering" w:styleId="9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10</cp:revision>
  <dcterms:created xsi:type="dcterms:W3CDTF">2015-06-30T10:07:00Z</dcterms:created>
  <dcterms:modified xsi:type="dcterms:W3CDTF">2024-12-03T08:44:01Z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00847FE5CD534DF4A0A7857A77AF6830_12</vt:lpwstr>
  </property>
</Properties>
</file>