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72"/>
          <w:szCs w:val="20"/>
        </w:rPr>
      </w:pPr>
      <w:r/>
      <w:bookmarkStart w:id="0" w:name="_Toc371025703"/>
      <w:r/>
      <w:r/>
    </w:p>
    <w:p>
      <w:pPr>
        <w:jc w:val="center"/>
        <w:rPr>
          <w:b/>
          <w:sz w:val="72"/>
          <w:szCs w:val="20"/>
        </w:rPr>
      </w:pPr>
      <w:r>
        <w:rPr>
          <w:b/>
          <w:sz w:val="72"/>
          <w:szCs w:val="20"/>
        </w:rPr>
      </w:r>
      <w:r/>
    </w:p>
    <w:p>
      <w:pPr>
        <w:jc w:val="center"/>
        <w:rPr>
          <w:b/>
          <w:sz w:val="72"/>
          <w:szCs w:val="20"/>
        </w:rPr>
      </w:pPr>
      <w:r>
        <w:rPr>
          <w:b/>
          <w:sz w:val="72"/>
          <w:szCs w:val="20"/>
        </w:rPr>
        <w:t xml:space="preserve">苏州市吴中区政府采购</w:t>
      </w:r>
      <w:r/>
    </w:p>
    <w:p>
      <w:pPr>
        <w:jc w:val="center"/>
        <w:rPr>
          <w:b/>
          <w:sz w:val="72"/>
          <w:szCs w:val="20"/>
        </w:rPr>
      </w:pPr>
      <w:r>
        <w:rPr>
          <w:b/>
          <w:sz w:val="72"/>
          <w:szCs w:val="20"/>
        </w:rPr>
        <w:t xml:space="preserve">招标文件</w:t>
      </w:r>
      <w:r/>
    </w:p>
    <w:p>
      <w:pPr>
        <w:jc w:val="center"/>
        <w:spacing w:line="360" w:lineRule="auto"/>
        <w:rPr>
          <w:b/>
          <w:szCs w:val="21"/>
        </w:rPr>
      </w:pPr>
      <w:r>
        <w:rPr>
          <w:b/>
          <w:szCs w:val="21"/>
        </w:rPr>
      </w:r>
      <w:r/>
    </w:p>
    <w:p>
      <w:pPr>
        <w:jc w:val="center"/>
        <w:spacing w:line="360" w:lineRule="auto"/>
        <w:rPr>
          <w:b/>
          <w:szCs w:val="21"/>
        </w:rPr>
      </w:pPr>
      <w:r>
        <w:rPr>
          <w:b/>
          <w:szCs w:val="21"/>
        </w:rPr>
      </w:r>
      <w:r/>
    </w:p>
    <w:p>
      <w:pPr>
        <w:jc w:val="center"/>
        <w:spacing w:line="360" w:lineRule="auto"/>
        <w:rPr>
          <w:b/>
          <w:szCs w:val="21"/>
        </w:rPr>
      </w:pPr>
      <w:r>
        <w:rPr>
          <w:b/>
          <w:szCs w:val="21"/>
        </w:rPr>
      </w:r>
      <w:r/>
    </w:p>
    <w:p>
      <w:pPr>
        <w:spacing w:line="360" w:lineRule="auto"/>
        <w:rPr>
          <w:b/>
          <w:bCs/>
          <w:sz w:val="32"/>
        </w:rPr>
      </w:pPr>
      <w:r>
        <w:rPr>
          <w:b/>
          <w:bCs/>
          <w:sz w:val="32"/>
        </w:rPr>
        <w:t xml:space="preserve">招标编号：JSZC-320506-ZHXM-G2024-0007号</w:t>
      </w:r>
      <w:r/>
    </w:p>
    <w:p>
      <w:pPr>
        <w:spacing w:line="360" w:lineRule="auto"/>
        <w:rPr>
          <w:b/>
          <w:bCs/>
          <w:sz w:val="32"/>
        </w:rPr>
      </w:pPr>
      <w:r>
        <w:rPr>
          <w:b/>
          <w:bCs/>
          <w:sz w:val="32"/>
        </w:rPr>
        <w:t xml:space="preserve">招标项目：2025-2026中心城区绿化养护项目</w:t>
      </w:r>
      <w:r/>
    </w:p>
    <w:p>
      <w:pPr>
        <w:spacing w:line="360" w:lineRule="auto"/>
        <w:rPr>
          <w:b/>
          <w:bCs/>
          <w:sz w:val="32"/>
        </w:rPr>
      </w:pPr>
      <w:r>
        <w:rPr>
          <w:b/>
          <w:bCs/>
          <w:sz w:val="32"/>
        </w:rPr>
        <w:t xml:space="preserve">项目类别：服务类</w:t>
      </w:r>
      <w:r/>
    </w:p>
    <w:p>
      <w:pPr>
        <w:ind w:left="1606" w:hanging="1606"/>
        <w:spacing w:line="360" w:lineRule="auto"/>
        <w:rPr>
          <w:b/>
          <w:bCs/>
          <w:sz w:val="32"/>
        </w:rPr>
      </w:pPr>
      <w:r>
        <w:rPr>
          <w:b/>
          <w:bCs/>
          <w:sz w:val="32"/>
        </w:rPr>
        <w:t xml:space="preserve">招标单位：苏州市吴中区中心城区建设管理中心</w:t>
      </w:r>
      <w:r/>
    </w:p>
    <w:p>
      <w:pPr>
        <w:ind w:firstLine="787"/>
        <w:spacing w:line="360" w:lineRule="auto"/>
        <w:rPr>
          <w:b/>
          <w:bCs/>
          <w:sz w:val="32"/>
        </w:rPr>
      </w:pPr>
      <w:r>
        <w:rPr>
          <w:b/>
          <w:bCs/>
          <w:sz w:val="32"/>
        </w:rPr>
      </w:r>
      <w:r/>
    </w:p>
    <w:p>
      <w:pPr>
        <w:ind w:firstLine="661"/>
        <w:spacing w:line="360" w:lineRule="auto"/>
        <w:rPr>
          <w:szCs w:val="21"/>
        </w:rPr>
      </w:pPr>
      <w:r>
        <w:rPr>
          <w:szCs w:val="21"/>
        </w:rPr>
      </w:r>
      <w:r/>
    </w:p>
    <w:p>
      <w:pPr>
        <w:jc w:val="left"/>
        <w:spacing w:line="360" w:lineRule="auto"/>
        <w:rPr>
          <w:szCs w:val="21"/>
        </w:rPr>
      </w:pPr>
      <w:r>
        <w:rPr>
          <w:szCs w:val="21"/>
        </w:rPr>
      </w:r>
      <w:r/>
    </w:p>
    <w:p>
      <w:pPr>
        <w:jc w:val="left"/>
        <w:spacing w:line="360" w:lineRule="auto"/>
        <w:rPr>
          <w:szCs w:val="21"/>
        </w:rPr>
      </w:pPr>
      <w:r>
        <w:rPr>
          <w:szCs w:val="21"/>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r>
      <w:r/>
    </w:p>
    <w:p>
      <w:pPr>
        <w:jc w:val="center"/>
        <w:spacing w:line="360" w:lineRule="auto"/>
        <w:rPr>
          <w:b/>
          <w:sz w:val="32"/>
        </w:rPr>
      </w:pPr>
      <w:r>
        <w:rPr>
          <w:b/>
          <w:sz w:val="32"/>
        </w:rPr>
        <w:t xml:space="preserve">苏州中海工程项目管理有限公司</w:t>
      </w:r>
      <w:r/>
    </w:p>
    <w:p>
      <w:pPr>
        <w:jc w:val="center"/>
        <w:spacing w:line="360" w:lineRule="auto"/>
        <w:rPr>
          <w:b/>
          <w:sz w:val="32"/>
        </w:rPr>
      </w:pPr>
      <w:r>
        <w:rPr>
          <w:b/>
          <w:sz w:val="32"/>
        </w:rPr>
        <w:t xml:space="preserve">二〇二四年十</w:t>
      </w:r>
      <w:r>
        <w:rPr>
          <w:rFonts w:hint="eastAsia"/>
          <w:b/>
          <w:sz w:val="32"/>
        </w:rPr>
        <w:t xml:space="preserve">二</w:t>
      </w:r>
      <w:r>
        <w:rPr>
          <w:b/>
          <w:sz w:val="32"/>
        </w:rPr>
        <w:t xml:space="preserve">月</w:t>
      </w:r>
      <w:r/>
    </w:p>
    <w:p>
      <w:pPr>
        <w:jc w:val="center"/>
        <w:spacing w:line="360" w:lineRule="auto"/>
        <w:rPr>
          <w:b/>
          <w:sz w:val="36"/>
          <w:szCs w:val="36"/>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pPr>
      <w:r>
        <w:rPr>
          <w:b/>
          <w:sz w:val="36"/>
          <w:szCs w:val="36"/>
        </w:rPr>
      </w:r>
      <w:r/>
    </w:p>
    <w:p>
      <w:pPr>
        <w:jc w:val="center"/>
        <w:spacing w:line="360" w:lineRule="auto"/>
        <w:rPr>
          <w:b/>
          <w:sz w:val="36"/>
          <w:szCs w:val="36"/>
        </w:rPr>
      </w:pPr>
      <w:r>
        <w:rPr>
          <w:b/>
          <w:sz w:val="36"/>
          <w:szCs w:val="36"/>
        </w:rPr>
        <w:t xml:space="preserve">前附表</w:t>
      </w:r>
      <w:r/>
    </w:p>
    <w:p>
      <w:r/>
      <w:r/>
    </w:p>
    <w:tbl>
      <w:tblPr>
        <w:tblStyle w:val="767"/>
        <w:tblW w:w="1003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06"/>
        <w:gridCol w:w="7454"/>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JSZC-320506-ZHXM-G2024-0007</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lang w:val="zh-CN"/>
              </w:rPr>
              <w:suppressLineNumbers w:val="0"/>
            </w:pPr>
            <w:r>
              <w:rPr>
                <w:sz w:val="24"/>
                <w:szCs w:val="24"/>
              </w:rPr>
              <w:t xml:space="preserve">2025-2026中心城区绿化养护项目</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tabs>
                <w:tab w:val="left" w:pos="252" w:leader="none"/>
              </w:tabs>
              <w:rPr>
                <w:sz w:val="24"/>
                <w:szCs w:val="24"/>
              </w:rPr>
              <w:suppressLineNumbers w:val="0"/>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采购代理机构</w:t>
            </w:r>
            <w:r/>
          </w:p>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lang w:val="zh-CN"/>
              </w:rPr>
              <w:suppressLineNumbers w:val="0"/>
            </w:pPr>
            <w:r>
              <w:rPr>
                <w:sz w:val="24"/>
                <w:szCs w:val="24"/>
                <w:lang w:val="zh-CN"/>
              </w:rPr>
              <w:t xml:space="preserve">名称：苏州中海工程项目管理有限公司</w:t>
            </w:r>
            <w:r/>
          </w:p>
          <w:p>
            <w:pPr>
              <w:ind w:left="0" w:right="0"/>
              <w:jc w:val="left"/>
              <w:keepLines w:val="0"/>
              <w:keepNext w:val="0"/>
              <w:spacing w:before="0" w:beforeAutospacing="0" w:after="0" w:afterAutospacing="0" w:line="360" w:lineRule="auto"/>
              <w:rPr>
                <w:sz w:val="24"/>
                <w:szCs w:val="24"/>
                <w:lang w:val="zh-CN"/>
              </w:rPr>
              <w:suppressLineNumbers w:val="0"/>
            </w:pPr>
            <w:r>
              <w:rPr>
                <w:sz w:val="24"/>
                <w:szCs w:val="24"/>
                <w:lang w:val="zh-CN"/>
              </w:rPr>
              <w:t xml:space="preserve">地址：苏州市吴中区吴中大道70号南-吴中供水公司新大楼6楼</w:t>
            </w:r>
            <w:r/>
          </w:p>
          <w:p>
            <w:pPr>
              <w:ind w:left="0" w:right="0"/>
              <w:jc w:val="left"/>
              <w:keepLines w:val="0"/>
              <w:keepNext w:val="0"/>
              <w:spacing w:before="0" w:beforeAutospacing="0" w:after="0" w:afterAutospacing="0" w:line="360" w:lineRule="auto"/>
              <w:rPr>
                <w:sz w:val="24"/>
                <w:szCs w:val="24"/>
                <w:lang w:val="zh-CN"/>
              </w:rPr>
              <w:suppressLineNumbers w:val="0"/>
            </w:pPr>
            <w:r>
              <w:rPr>
                <w:sz w:val="24"/>
                <w:szCs w:val="24"/>
                <w:lang w:val="zh-CN"/>
              </w:rPr>
              <w:t xml:space="preserve">联系人：王新东</w:t>
            </w:r>
            <w:r/>
          </w:p>
          <w:p>
            <w:pPr>
              <w:ind w:left="0" w:right="0"/>
              <w:jc w:val="left"/>
              <w:keepLines w:val="0"/>
              <w:keepNext w:val="0"/>
              <w:spacing w:before="0" w:beforeAutospacing="0" w:after="0" w:afterAutospacing="0" w:line="360" w:lineRule="auto"/>
              <w:rPr>
                <w:sz w:val="24"/>
                <w:szCs w:val="24"/>
              </w:rPr>
              <w:suppressLineNumbers w:val="0"/>
            </w:pPr>
            <w:r>
              <w:rPr>
                <w:sz w:val="24"/>
                <w:szCs w:val="24"/>
                <w:lang w:val="zh-CN"/>
              </w:rPr>
              <w:t xml:space="preserve">联系电话：</w:t>
            </w:r>
            <w:r>
              <w:rPr>
                <w:sz w:val="24"/>
                <w:szCs w:val="24"/>
              </w:rPr>
              <w:t xml:space="preserve">0512-67087921</w:t>
            </w:r>
            <w:r/>
          </w:p>
        </w:tc>
      </w:tr>
      <w:tr>
        <w:trPr>
          <w:jc w:val="center"/>
          <w:trHeight w:val="6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名称：苏州市吴中区中心城区建设管理中心</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地址：苏州市吴中区吴中东路145号</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联系人：华懿</w:t>
            </w:r>
            <w:r/>
          </w:p>
          <w:p>
            <w:pPr>
              <w:ind w:left="0" w:right="0"/>
              <w:jc w:val="left"/>
              <w:keepLines w:val="0"/>
              <w:keepNext w:val="0"/>
              <w:spacing w:before="0" w:beforeAutospacing="0" w:after="0" w:afterAutospacing="0" w:line="360" w:lineRule="auto"/>
              <w:rPr>
                <w:sz w:val="24"/>
                <w:szCs w:val="24"/>
                <w14:ligatures w14:val="none"/>
              </w:rPr>
              <w:suppressLineNumbers w:val="0"/>
            </w:pPr>
            <w:r>
              <w:rPr>
                <w:sz w:val="24"/>
                <w:szCs w:val="24"/>
              </w:rPr>
              <w:t xml:space="preserve">联</w:t>
            </w:r>
            <w:r>
              <w:rPr>
                <w:sz w:val="24"/>
                <w:szCs w:val="24"/>
              </w:rPr>
              <w:t xml:space="preserve">系电话：</w:t>
            </w:r>
            <w:bookmarkStart w:id="1" w:name="_Toc35393807"/>
            <w:r>
              <w:rPr>
                <w:sz w:val="24"/>
                <w:szCs w:val="24"/>
              </w:rPr>
              <w:t xml:space="preserve">0512-65988055</w:t>
            </w:r>
            <w:r>
              <w:rPr>
                <w:sz w:val="24"/>
                <w:szCs w:val="24"/>
              </w:rP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详见招标文件第二章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本项目不收取投标保证金</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九十天（日历日）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获取招标文件</w:t>
            </w:r>
            <w:r/>
          </w:p>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自公告发布之日起5个工作日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投标文件网上</w:t>
            </w:r>
            <w:r/>
          </w:p>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2024年12月30日</w:t>
            </w:r>
            <w:r>
              <w:rPr>
                <w:sz w:val="24"/>
                <w:szCs w:val="24"/>
                <w:u w:val="single"/>
              </w:rPr>
              <w:t xml:space="preserve">09点30分</w:t>
            </w:r>
            <w:r>
              <w:rPr>
                <w:sz w:val="24"/>
                <w:szCs w:val="24"/>
              </w:rPr>
              <w:t xml:space="preserve">（北京时间） </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投标文件必须在截止时间前完成提交（上传），逾期提交（上传）的投标文件恕不接受。</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开标时间</w:t>
            </w:r>
            <w:r/>
          </w:p>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2024年12月30日</w:t>
            </w:r>
            <w:r>
              <w:rPr>
                <w:sz w:val="24"/>
                <w:szCs w:val="24"/>
                <w:u w:val="single"/>
              </w:rPr>
              <w:t xml:space="preserve">09点30分</w:t>
            </w:r>
            <w:r>
              <w:rPr>
                <w:sz w:val="24"/>
                <w:szCs w:val="24"/>
              </w:rPr>
              <w:t xml:space="preserve">（北京时间）</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“苏采云”系统（网址：http://jszfcg.jsczt.cn/）</w:t>
            </w:r>
            <w:r/>
          </w:p>
          <w:p>
            <w:pPr>
              <w:ind w:left="0" w:right="0"/>
              <w:jc w:val="left"/>
              <w:keepLines w:val="0"/>
              <w:keepNext w:val="0"/>
              <w:spacing w:before="0" w:beforeAutospacing="0" w:after="0" w:afterAutospacing="0" w:line="360" w:lineRule="auto"/>
              <w:rPr>
                <w:sz w:val="24"/>
                <w:szCs w:val="24"/>
              </w:rPr>
              <w:suppressLineNumbers w:val="0"/>
            </w:pPr>
            <w:r>
              <w:rPr>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评标时间</w:t>
            </w:r>
            <w:r/>
          </w:p>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2024年12月30日09点30分（北京时间）</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苏州市姑苏区平泷路251号城市生活广场西楼五楼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本项目采用电子投标文件，投标人按照招标文件要求制作上传电子投标文件，投标人无需提供纸质投标文件。</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人民币</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详见合同主要条款</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pStyle w:val="1061"/>
              <w:ind w:left="0" w:right="0" w:firstLine="0"/>
              <w:keepLines w:val="0"/>
              <w:keepNext w:val="0"/>
              <w:spacing w:before="0" w:beforeAutospacing="0" w:after="0" w:afterAutospacing="0" w:line="360" w:lineRule="auto"/>
              <w:rPr>
                <w:rFonts w:ascii="Times New Roman" w:hAnsi="Times New Roman" w:cs="Times New Roman"/>
                <w:sz w:val="24"/>
                <w:szCs w:val="24"/>
                <w:lang w:eastAsia="zh-CN"/>
              </w:rPr>
              <w:suppressLineNumbers w:val="0"/>
            </w:pPr>
            <w:r>
              <w:rPr>
                <w:rFonts w:ascii="Times New Roman" w:hAnsi="Times New Roman" w:cs="Times New Roman"/>
                <w:sz w:val="24"/>
                <w:szCs w:val="24"/>
                <w:lang w:eastAsia="zh-CN"/>
              </w:rPr>
              <w:t xml:space="preserve">确定出中标人后，采购代理机构在法定时间内向中标人发出中标通知书。中标通知书将成为合同的组成部分。</w:t>
            </w:r>
            <w:r/>
          </w:p>
          <w:p>
            <w:pPr>
              <w:pStyle w:val="1061"/>
              <w:ind w:left="0" w:right="0" w:firstLine="0"/>
              <w:keepLines w:val="0"/>
              <w:keepNext w:val="0"/>
              <w:spacing w:before="0" w:beforeAutospacing="0" w:after="0" w:afterAutospacing="0" w:line="360" w:lineRule="auto"/>
              <w:rPr>
                <w:rFonts w:ascii="Times New Roman" w:hAnsi="Times New Roman" w:cs="Times New Roman"/>
                <w:sz w:val="24"/>
                <w:szCs w:val="24"/>
                <w:lang w:eastAsia="zh-CN"/>
              </w:rPr>
              <w:suppressLineNumbers w:val="0"/>
            </w:pPr>
            <w:r>
              <w:rPr>
                <w:rFonts w:ascii="Times New Roman" w:hAnsi="Times New Roman" w:cs="Times New Roman"/>
                <w:b/>
                <w:sz w:val="24"/>
                <w:szCs w:val="24"/>
                <w:lang w:eastAsia="zh-CN"/>
              </w:rPr>
              <w:t xml:space="preserve">请中标人在中标结果公告届满之日起30日内,使用CA证书登录“苏采云”系统及时下载中标通知书。</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出现下列情形之一的，为废标： </w:t>
            </w:r>
            <w:r/>
          </w:p>
          <w:p>
            <w:pPr>
              <w:numPr>
                <w:ilvl w:val="0"/>
                <w:numId w:val="6"/>
              </w:num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符合专业条件的投标人或者对招标文件作实质响应的投标人不足三家的；</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（二）出现影响采购公正的违法、违规行为的； </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（三）投标人的报价均超过了采购预算，采购人不能支付的； </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（四）因重大变故，采购任务取消的。</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6"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54" w:type="dxa"/>
            <w:vAlign w:val="center"/>
            <w:textDirection w:val="lrTb"/>
            <w:noWrap w:val="false"/>
          </w:tcPr>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投标文件属下列情况之一的，在资格性、符合性检查时按照无效投标处理：</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（一）未按照招标文件规定要求签署、盖章的；</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（二）不具备招标文件中规定资格要求的；</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（三）报价超过招标文件中规定的预算金额或者最高限价的；</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（四）投标文件含有采购人不能接受的附加条件的；</w:t>
            </w:r>
            <w:r/>
          </w:p>
          <w:p>
            <w:pPr>
              <w:ind w:left="0" w:right="0"/>
              <w:jc w:val="left"/>
              <w:keepLines w:val="0"/>
              <w:keepNext w:val="0"/>
              <w:spacing w:before="0" w:beforeAutospacing="0" w:after="0" w:afterAutospacing="0" w:line="360" w:lineRule="auto"/>
              <w:tabs>
                <w:tab w:val="left" w:pos="420" w:leader="none"/>
              </w:tabs>
              <w:rPr>
                <w:sz w:val="24"/>
                <w:szCs w:val="24"/>
              </w:rPr>
              <w:suppressLineNumbers w:val="0"/>
            </w:pPr>
            <w:r>
              <w:rPr>
                <w:sz w:val="24"/>
                <w:szCs w:val="24"/>
              </w:rPr>
              <w:t xml:space="preserve">（五）法律、法规和招标文件规定的其他无效情形。</w:t>
            </w:r>
            <w:r/>
          </w:p>
        </w:tc>
      </w:tr>
    </w:tbl>
    <w:p>
      <w:pPr>
        <w:pStyle w:val="991"/>
        <w:ind w:firstLine="0"/>
        <w:jc w:val="center"/>
        <w:spacing w:line="360" w:lineRule="auto"/>
        <w:rPr>
          <w:rFonts w:eastAsia="宋体"/>
          <w:b/>
          <w:sz w:val="52"/>
          <w:lang w:eastAsia="zh-CN"/>
        </w:rPr>
      </w:pPr>
      <w:r>
        <w:rPr>
          <w:rFonts w:eastAsia="宋体"/>
          <w:b/>
          <w:sz w:val="52"/>
          <w:lang w:eastAsia="zh-CN"/>
        </w:rPr>
      </w:r>
      <w:r/>
    </w:p>
    <w:p>
      <w:pPr>
        <w:pStyle w:val="991"/>
        <w:ind w:firstLine="0"/>
        <w:jc w:val="center"/>
        <w:spacing w:line="360" w:lineRule="auto"/>
        <w:rPr>
          <w:rFonts w:eastAsia="宋体"/>
          <w:b/>
          <w:sz w:val="52"/>
          <w:lang w:eastAsia="zh-CN"/>
        </w:rPr>
        <w:sectPr>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宋体"/>
          <w:b/>
          <w:sz w:val="52"/>
          <w:lang w:eastAsia="zh-CN"/>
        </w:rPr>
      </w:r>
      <w:r/>
    </w:p>
    <w:p>
      <w:pPr>
        <w:jc w:val="center"/>
        <w:tabs>
          <w:tab w:val="left" w:pos="315" w:leader="none"/>
          <w:tab w:val="center" w:pos="4153" w:leader="none"/>
        </w:tabs>
        <w:rPr>
          <w:rFonts w:eastAsia="黑体"/>
          <w:b/>
          <w:sz w:val="52"/>
          <w:szCs w:val="52"/>
        </w:rPr>
      </w:pPr>
      <w:r>
        <w:rPr>
          <w:rFonts w:eastAsia="黑体"/>
          <w:b/>
          <w:sz w:val="52"/>
          <w:szCs w:val="52"/>
        </w:rPr>
      </w:r>
      <w:r/>
    </w:p>
    <w:p>
      <w:pPr>
        <w:jc w:val="center"/>
        <w:tabs>
          <w:tab w:val="left" w:pos="315" w:leader="none"/>
          <w:tab w:val="center" w:pos="4153" w:leader="none"/>
        </w:tabs>
        <w:rPr>
          <w:b/>
          <w:sz w:val="52"/>
          <w:szCs w:val="52"/>
        </w:rPr>
      </w:pPr>
      <w:r>
        <w:rPr>
          <w:b/>
          <w:sz w:val="52"/>
          <w:szCs w:val="52"/>
        </w:rPr>
        <w:t xml:space="preserve">目    录</w:t>
      </w:r>
      <w:r/>
    </w:p>
    <w:p>
      <w:pPr>
        <w:jc w:val="center"/>
        <w:tabs>
          <w:tab w:val="left" w:pos="315" w:leader="none"/>
          <w:tab w:val="center" w:pos="4153" w:leader="none"/>
        </w:tabs>
        <w:rPr>
          <w:b/>
          <w:sz w:val="52"/>
          <w:szCs w:val="52"/>
        </w:rPr>
      </w:pPr>
      <w:r>
        <w:rPr>
          <w:b/>
          <w:sz w:val="52"/>
          <w:szCs w:val="52"/>
        </w:rPr>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第一章  </w:t>
      </w:r>
      <w:bookmarkStart w:id="2" w:name="_Hlk156918814"/>
      <w:r>
        <w:rPr>
          <w:rFonts w:ascii="Times New Roman" w:hAnsi="Times New Roman" w:eastAsia="宋体" w:cs="Times New Roman"/>
          <w:color w:val="000000"/>
          <w:sz w:val="28"/>
          <w:szCs w:val="28"/>
          <w:lang w:eastAsia="zh-CN"/>
        </w:rPr>
        <w:t xml:space="preserve">投标邀请函</w:t>
      </w:r>
      <w:bookmarkEnd w:id="2"/>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第二章  投标人须知</w:t>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第三章  投标文件格式</w:t>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第四章  招标书</w:t>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第五章  合同文本</w:t>
      </w:r>
      <w:r/>
    </w:p>
    <w:p>
      <w:pPr>
        <w:pStyle w:val="1012"/>
        <w:ind w:firstLine="720"/>
        <w:spacing w:after="312" w:line="480" w:lineRule="auto"/>
        <w:tabs>
          <w:tab w:val="right" w:pos="8302" w:leader="dot"/>
        </w:tabs>
        <w:rPr>
          <w:rFonts w:ascii="Times New Roman" w:hAnsi="Times New Roman" w:eastAsia="宋体" w:cs="Times New Roman"/>
          <w:color w:val="000000"/>
          <w:sz w:val="28"/>
          <w:szCs w:val="28"/>
          <w:lang w:eastAsia="zh-CN"/>
        </w:rPr>
      </w:pPr>
      <w:r>
        <w:rPr>
          <w:rFonts w:ascii="Times New Roman" w:hAnsi="Times New Roman" w:eastAsia="宋体" w:cs="Times New Roman"/>
          <w:color w:val="000000"/>
          <w:sz w:val="28"/>
          <w:szCs w:val="28"/>
          <w:lang w:eastAsia="zh-CN"/>
        </w:rPr>
        <w:t xml:space="preserve">第六章  评标办法及评分标准</w:t>
      </w:r>
      <w:r/>
    </w:p>
    <w:p>
      <w:pPr>
        <w:jc w:val="center"/>
        <w:spacing w:after="156" w:line="360" w:lineRule="auto"/>
        <w:rPr>
          <w:b/>
          <w:bCs/>
          <w:caps/>
          <w:sz w:val="36"/>
          <w:szCs w:val="36"/>
        </w:rPr>
      </w:pPr>
      <w:r>
        <w:rPr>
          <w:b/>
          <w:bCs/>
          <w:caps/>
          <w:sz w:val="36"/>
          <w:szCs w:val="36"/>
        </w:rPr>
      </w:r>
      <w:r/>
    </w:p>
    <w:p>
      <w:pPr>
        <w:jc w:val="center"/>
        <w:spacing w:after="156" w:line="360" w:lineRule="auto"/>
        <w:rPr>
          <w:b/>
          <w:bCs/>
          <w:caps/>
          <w:sz w:val="36"/>
          <w:szCs w:val="36"/>
        </w:rPr>
      </w:pPr>
      <w:r>
        <w:rPr>
          <w:b/>
          <w:bCs/>
          <w:caps/>
          <w:sz w:val="36"/>
          <w:szCs w:val="36"/>
        </w:rPr>
      </w:r>
      <w:r/>
    </w:p>
    <w:p>
      <w:pPr>
        <w:jc w:val="center"/>
        <w:spacing w:after="156" w:line="360" w:lineRule="auto"/>
        <w:rPr>
          <w:b/>
          <w:bCs/>
          <w:caps/>
          <w:sz w:val="36"/>
          <w:szCs w:val="36"/>
        </w:rPr>
      </w:pPr>
      <w:r>
        <w:rPr>
          <w:b/>
          <w:bCs/>
          <w:caps/>
          <w:sz w:val="36"/>
          <w:szCs w:val="36"/>
        </w:rPr>
      </w:r>
      <w:r/>
    </w:p>
    <w:p>
      <w:pPr>
        <w:jc w:val="center"/>
        <w:spacing w:after="156" w:line="360" w:lineRule="auto"/>
        <w:rPr>
          <w:b/>
          <w:bCs/>
          <w:caps/>
          <w:sz w:val="36"/>
          <w:szCs w:val="36"/>
        </w:rPr>
        <w:sectPr>
          <w:footerReference w:type="default" r:id="rId14"/>
          <w:footnotePr/>
          <w:endnotePr/>
          <w:type w:val="nextPage"/>
          <w:pgSz w:w="11906" w:h="16838" w:orient="portrait"/>
          <w:pgMar w:top="1440" w:right="1800" w:bottom="1440" w:left="1800" w:header="851" w:footer="992" w:gutter="0"/>
          <w:pgNumType w:start="1"/>
          <w:cols w:num="1" w:sep="0" w:space="720" w:equalWidth="1"/>
          <w:docGrid w:linePitch="360"/>
        </w:sectPr>
      </w:pPr>
      <w:r>
        <w:rPr>
          <w:b/>
          <w:bCs/>
          <w:caps/>
          <w:sz w:val="36"/>
          <w:szCs w:val="36"/>
        </w:rPr>
      </w:r>
      <w:r/>
    </w:p>
    <w:p>
      <w:pPr>
        <w:jc w:val="center"/>
        <w:spacing w:after="156" w:line="360" w:lineRule="auto"/>
        <w:rPr>
          <w:sz w:val="36"/>
          <w:szCs w:val="36"/>
        </w:rPr>
      </w:pPr>
      <w:r>
        <w:rPr>
          <w:b/>
          <w:bCs/>
          <w:caps/>
          <w:sz w:val="36"/>
          <w:szCs w:val="36"/>
        </w:rPr>
        <w:t xml:space="preserve">第一章</w:t>
      </w:r>
      <w:bookmarkEnd w:id="0"/>
      <w:r>
        <w:rPr>
          <w:b/>
          <w:bCs/>
          <w:sz w:val="36"/>
          <w:szCs w:val="36"/>
        </w:rPr>
        <w:t xml:space="preserve">投标邀请函</w:t>
      </w:r>
      <w:r/>
    </w:p>
    <w:p>
      <w:pPr>
        <w:ind w:firstLine="422"/>
        <w:spacing w:line="360" w:lineRule="auto"/>
        <w:rPr>
          <w:b/>
          <w:sz w:val="24"/>
          <w:szCs w:val="24"/>
        </w:rPr>
      </w:pPr>
      <w:r>
        <w:rPr>
          <w:b/>
          <w:sz w:val="24"/>
          <w:szCs w:val="24"/>
        </w:rPr>
        <w:t xml:space="preserve">项目概况：</w:t>
      </w:r>
      <w:r>
        <w:rPr>
          <w:b/>
          <w:sz w:val="24"/>
          <w:szCs w:val="24"/>
          <w:u w:val="single"/>
        </w:rPr>
        <w:t xml:space="preserve">2025-2026中心城区绿化养护</w:t>
      </w:r>
      <w:r>
        <w:rPr>
          <w:b/>
          <w:sz w:val="24"/>
          <w:szCs w:val="24"/>
        </w:rPr>
        <w:t xml:space="preserve">招标项目的潜在投标人应在</w:t>
      </w:r>
      <w:r>
        <w:rPr>
          <w:b/>
          <w:sz w:val="24"/>
          <w:szCs w:val="24"/>
          <w:u w:val="single"/>
        </w:rPr>
        <w:t xml:space="preserve"> （苏州市政府采购网） </w:t>
      </w:r>
      <w:r>
        <w:rPr>
          <w:b/>
          <w:sz w:val="24"/>
          <w:szCs w:val="24"/>
        </w:rPr>
        <w:t xml:space="preserve">获取招标文件，并于</w:t>
      </w:r>
      <w:r>
        <w:rPr>
          <w:b/>
          <w:sz w:val="24"/>
          <w:szCs w:val="24"/>
          <w:u w:val="single"/>
        </w:rPr>
        <w:t xml:space="preserve">2024年12月30日09点30分（北京时间）</w:t>
      </w:r>
      <w:r>
        <w:rPr>
          <w:b/>
          <w:sz w:val="24"/>
          <w:szCs w:val="24"/>
        </w:rPr>
        <w:t xml:space="preserve">前递交投标文件。</w:t>
      </w:r>
      <w:r/>
    </w:p>
    <w:p>
      <w:pPr>
        <w:jc w:val="left"/>
        <w:spacing w:line="360" w:lineRule="auto"/>
        <w:rPr>
          <w:b/>
          <w:bCs/>
          <w:sz w:val="24"/>
          <w:szCs w:val="24"/>
        </w:rPr>
      </w:pPr>
      <w:r>
        <w:rPr>
          <w:b/>
          <w:bCs/>
          <w:sz w:val="24"/>
          <w:szCs w:val="24"/>
        </w:rPr>
        <w:t xml:space="preserve">一、项目基本情况:</w:t>
      </w:r>
      <w:r/>
    </w:p>
    <w:p>
      <w:pPr>
        <w:ind w:firstLine="420"/>
        <w:jc w:val="left"/>
        <w:spacing w:line="360" w:lineRule="auto"/>
        <w:rPr>
          <w:sz w:val="24"/>
          <w:szCs w:val="24"/>
        </w:rPr>
      </w:pPr>
      <w:r>
        <w:rPr>
          <w:sz w:val="24"/>
          <w:szCs w:val="24"/>
        </w:rPr>
        <w:t xml:space="preserve">项目编号：JSZC-320506-ZHXM-G2024-0007号</w:t>
      </w:r>
      <w:r/>
    </w:p>
    <w:p>
      <w:pPr>
        <w:ind w:firstLine="420"/>
        <w:spacing w:line="360" w:lineRule="auto"/>
        <w:rPr>
          <w:sz w:val="24"/>
          <w:szCs w:val="24"/>
        </w:rPr>
        <w:outlineLvl w:val="0"/>
      </w:pPr>
      <w:r>
        <w:rPr>
          <w:sz w:val="24"/>
          <w:szCs w:val="24"/>
        </w:rPr>
        <w:t xml:space="preserve">项目名称：2025-2026中心城区绿化养护项目</w:t>
      </w:r>
      <w:r/>
    </w:p>
    <w:p>
      <w:pPr>
        <w:jc w:val="left"/>
        <w:spacing w:line="360" w:lineRule="auto"/>
        <w:rPr>
          <w:b/>
          <w:bCs/>
          <w:sz w:val="24"/>
          <w:szCs w:val="24"/>
          <w:highlight w:val="yellow"/>
        </w:rPr>
      </w:pPr>
      <w:r>
        <w:rPr>
          <w:rFonts w:hint="eastAsia"/>
          <w:b/>
          <w:bCs/>
          <w:sz w:val="24"/>
          <w:szCs w:val="24"/>
        </w:rPr>
        <w:t xml:space="preserve">二、</w:t>
      </w:r>
      <w:r>
        <w:rPr>
          <w:b/>
          <w:bCs/>
          <w:sz w:val="24"/>
          <w:szCs w:val="24"/>
        </w:rPr>
        <w:t xml:space="preserve">预算金额</w:t>
      </w:r>
      <w:r>
        <w:rPr>
          <w:b/>
          <w:sz w:val="24"/>
          <w:szCs w:val="24"/>
        </w:rPr>
        <w:t xml:space="preserve">：</w:t>
      </w:r>
      <w:r>
        <w:rPr>
          <w:sz w:val="24"/>
        </w:rPr>
        <w:t xml:space="preserve">人民币叁仟贰佰玖拾万零肆仟伍佰捌拾肆元柒角叁分（￥32904584.73元 ）。</w:t>
      </w:r>
      <w:r/>
    </w:p>
    <w:tbl>
      <w:tblPr>
        <w:tblStyle w:val="767"/>
        <w:tblW w:w="5000" w:type="pct"/>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33"/>
        <w:gridCol w:w="3550"/>
        <w:gridCol w:w="1548"/>
        <w:gridCol w:w="2391"/>
      </w:tblGrid>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标段号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标段范围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养护期</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firstLine="24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预算金额（元）</w:t>
            </w:r>
            <w:r/>
          </w:p>
        </w:tc>
      </w:tr>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一标段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长桥街道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szCs w:val="24"/>
                <w:highlight w:val="none"/>
                <w:lang w:val="en-US" w:eastAsia="zh-CN"/>
              </w:rPr>
              <w:suppressLineNumbers w:val="0"/>
            </w:pPr>
            <w:r>
              <w:rPr>
                <w:sz w:val="24"/>
                <w:szCs w:val="24"/>
                <w:highlight w:val="none"/>
              </w:rPr>
              <w:t xml:space="preserve">1361</w:t>
            </w:r>
            <w:r>
              <w:rPr>
                <w:rFonts w:hint="eastAsia"/>
                <w:sz w:val="24"/>
                <w:szCs w:val="24"/>
                <w:highlight w:val="none"/>
                <w:lang w:val="en-US" w:eastAsia="zh-CN"/>
              </w:rPr>
              <w:t xml:space="preserve">8255</w:t>
            </w:r>
            <w:r>
              <w:rPr>
                <w:sz w:val="24"/>
                <w:szCs w:val="24"/>
                <w:highlight w:val="none"/>
              </w:rPr>
              <w:t xml:space="preserve">.</w:t>
            </w:r>
            <w:r>
              <w:rPr>
                <w:rFonts w:hint="eastAsia"/>
                <w:sz w:val="24"/>
                <w:szCs w:val="24"/>
                <w:highlight w:val="none"/>
                <w:lang w:val="en-US" w:eastAsia="zh-CN"/>
              </w:rPr>
              <w:t xml:space="preserve">38</w:t>
            </w:r>
            <w:r/>
          </w:p>
        </w:tc>
      </w:tr>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二标段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城南街道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highlight w:val="none"/>
              </w:rPr>
              <w:suppressLineNumbers w:val="0"/>
            </w:pPr>
            <w:r>
              <w:rPr>
                <w:sz w:val="24"/>
                <w:szCs w:val="24"/>
                <w:highlight w:val="none"/>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szCs w:val="24"/>
                <w:highlight w:val="none"/>
                <w:lang w:val="en-US" w:eastAsia="zh-CN"/>
              </w:rPr>
              <w:suppressLineNumbers w:val="0"/>
            </w:pPr>
            <w:r>
              <w:rPr>
                <w:rFonts w:hint="eastAsia"/>
                <w:sz w:val="24"/>
                <w:szCs w:val="24"/>
                <w:highlight w:val="none"/>
                <w:lang w:val="en-US" w:eastAsia="zh-CN"/>
              </w:rPr>
              <w:t xml:space="preserve">19286329.35</w:t>
            </w:r>
            <w:r/>
          </w:p>
        </w:tc>
      </w:tr>
    </w:tbl>
    <w:p>
      <w:pPr>
        <w:jc w:val="left"/>
        <w:spacing w:line="360" w:lineRule="auto"/>
        <w:rPr>
          <w:sz w:val="24"/>
        </w:rPr>
      </w:pPr>
      <w:r>
        <w:rPr>
          <w:rFonts w:hint="eastAsia"/>
          <w:sz w:val="24"/>
        </w:rPr>
        <w:t xml:space="preserve">三、</w:t>
      </w:r>
      <w:r>
        <w:rPr>
          <w:b/>
          <w:bCs/>
          <w:sz w:val="24"/>
          <w:szCs w:val="24"/>
        </w:rPr>
        <w:t xml:space="preserve">采购需求</w:t>
      </w:r>
      <w:r>
        <w:rPr>
          <w:sz w:val="24"/>
        </w:rPr>
        <w:t xml:space="preserve">：</w:t>
      </w:r>
      <w:r>
        <w:rPr>
          <w:bCs/>
          <w:sz w:val="24"/>
          <w:szCs w:val="24"/>
          <w:shd w:val="clear" w:color="auto" w:fill="ffffff"/>
        </w:rPr>
        <w:t xml:space="preserve">根据建管中心工作安排，对中心城区长桥街道、城南街道市政绿化进行养护。主要内容：长桥街道、城南街道范围内市政绿化的移植、补种及养护。绿化养护等级：一级养护，成活率100%。（</w:t>
      </w:r>
      <w:r>
        <w:rPr>
          <w:bCs/>
          <w:sz w:val="24"/>
          <w:szCs w:val="24"/>
          <w:shd w:val="clear" w:color="auto" w:fill="ffffff"/>
        </w:rPr>
        <w:t xml:space="preserve">详见</w:t>
      </w:r>
      <w:r>
        <w:rPr>
          <w:bCs/>
          <w:sz w:val="24"/>
          <w:szCs w:val="24"/>
          <w:shd w:val="clear" w:color="auto" w:fill="ffffff"/>
        </w:rPr>
        <w:t xml:space="preserve">招标</w:t>
      </w:r>
      <w:r>
        <w:rPr>
          <w:bCs/>
          <w:sz w:val="24"/>
          <w:szCs w:val="24"/>
          <w:shd w:val="clear" w:color="auto" w:fill="ffffff"/>
        </w:rPr>
        <w:t xml:space="preserve">文件</w:t>
      </w:r>
      <w:r>
        <w:rPr>
          <w:bCs/>
          <w:sz w:val="24"/>
          <w:szCs w:val="24"/>
          <w:shd w:val="clear" w:color="auto" w:fill="ffffff"/>
        </w:rPr>
        <w:t xml:space="preserve">）</w:t>
      </w:r>
      <w:r/>
    </w:p>
    <w:p>
      <w:pPr>
        <w:spacing w:line="360" w:lineRule="auto"/>
        <w:rPr>
          <w:rFonts w:hint="eastAsia"/>
          <w:sz w:val="24"/>
          <w:lang w:val="en-US" w:eastAsia="zh-CN"/>
        </w:rPr>
      </w:pPr>
      <w:r>
        <w:rPr>
          <w:sz w:val="24"/>
        </w:rPr>
        <w:t xml:space="preserve">合同履行期限：</w:t>
      </w:r>
      <w:r>
        <w:rPr>
          <w:rFonts w:hint="eastAsia"/>
          <w:sz w:val="24"/>
          <w:lang w:val="en-US" w:eastAsia="zh-CN"/>
        </w:rPr>
        <w:t xml:space="preserve">24个月(具体服务期限根据项目情况以合同签订时间为准)</w:t>
      </w:r>
      <w:r/>
    </w:p>
    <w:p>
      <w:pPr>
        <w:spacing w:line="360" w:lineRule="auto"/>
        <w:rPr>
          <w:sz w:val="24"/>
        </w:rPr>
      </w:pPr>
      <w:r>
        <w:rPr>
          <w:sz w:val="24"/>
        </w:rPr>
        <w:t xml:space="preserve">本项目不接受联合体投标。</w:t>
      </w:r>
      <w:r/>
    </w:p>
    <w:p>
      <w:pPr>
        <w:spacing w:line="360" w:lineRule="auto"/>
        <w:rPr>
          <w:b/>
          <w:sz w:val="24"/>
          <w:szCs w:val="24"/>
        </w:rPr>
      </w:pPr>
      <w:r>
        <w:rPr>
          <w:b/>
          <w:sz w:val="24"/>
          <w:szCs w:val="24"/>
        </w:rPr>
        <w:t xml:space="preserve">四、申请人的资格要求：</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1.满足《中华人民共和国政府采购法》第二十二条规定:</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（1）具有独立承担民事责任的能力；</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（2）具有良好的商业信誉和健全的财务会计制度；</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（3）具有履行合同所必须的设备和专业技术能力；</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（4）有依法缴纳税收和社会保障资金的良好记录；</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（5）参加政府采购活动前三年内,在经营活动中没有重大违法记录；</w:t>
      </w:r>
      <w:r/>
    </w:p>
    <w:p>
      <w:pPr>
        <w:pStyle w:val="1021"/>
        <w:ind w:firstLine="420"/>
        <w:jc w:val="both"/>
        <w:spacing w:before="0" w:beforeAutospacing="0" w:after="0" w:afterAutospacing="0" w:line="360" w:lineRule="auto"/>
        <w:widowControl/>
        <w:rPr>
          <w:rFonts w:ascii="Times New Roman" w:hAnsi="Times New Roman"/>
        </w:rPr>
      </w:pPr>
      <w:r>
        <w:rPr>
          <w:rFonts w:ascii="Times New Roman" w:hAnsi="Times New Roman"/>
          <w:bCs/>
          <w:szCs w:val="24"/>
        </w:rPr>
        <w:t xml:space="preserve">（6）符合法律、行政法规规定的其他条件；</w:t>
      </w:r>
      <w:r>
        <w:rPr>
          <w:rFonts w:ascii="Times New Roman" w:hAnsi="Times New Roman"/>
          <w:bCs/>
          <w:szCs w:val="24"/>
        </w:rPr>
      </w:r>
    </w:p>
    <w:p>
      <w:pPr>
        <w:pStyle w:val="1021"/>
        <w:ind w:firstLine="420"/>
        <w:jc w:val="both"/>
        <w:spacing w:before="0" w:beforeAutospacing="0" w:after="0" w:afterAutospacing="0" w:line="360" w:lineRule="auto"/>
        <w:widowControl/>
        <w:rPr>
          <w:rFonts w:ascii="Times New Roman" w:hAnsi="Times New Roman"/>
        </w:rPr>
      </w:pPr>
      <w:r>
        <w:rPr>
          <w:rFonts w:ascii="Times New Roman" w:hAnsi="Times New Roman"/>
          <w:bCs/>
          <w:szCs w:val="24"/>
        </w:rPr>
        <w:t xml:space="preserve">2.</w:t>
      </w:r>
      <w:r>
        <w:rPr>
          <w:bCs/>
          <w:sz w:val="24"/>
          <w:szCs w:val="24"/>
        </w:rPr>
        <w:t xml:space="preserve">落实政府采购政策需满足的资格要求：</w:t>
      </w:r>
      <w:r>
        <w:rPr>
          <w:rFonts w:hint="eastAsia"/>
          <w:bCs/>
          <w:sz w:val="24"/>
          <w:szCs w:val="24"/>
          <w:lang w:val="en-US" w:eastAsia="zh-CN"/>
        </w:rPr>
        <w:t xml:space="preserve">无</w:t>
      </w:r>
      <w:r>
        <w:rPr>
          <w:bCs/>
          <w:sz w:val="24"/>
          <w:szCs w:val="24"/>
        </w:rPr>
        <w:t xml:space="preserve">。</w:t>
      </w:r>
      <w:r>
        <w:rPr>
          <w:rFonts w:ascii="Times New Roman" w:hAnsi="Times New Roman"/>
          <w:bCs/>
          <w:szCs w:val="24"/>
        </w:rPr>
      </w:r>
      <w:r/>
    </w:p>
    <w:p>
      <w:pPr>
        <w:ind w:firstLine="420"/>
        <w:spacing w:line="360" w:lineRule="auto"/>
        <w:rPr>
          <w:bCs/>
          <w:sz w:val="24"/>
          <w:szCs w:val="24"/>
        </w:rPr>
      </w:pPr>
      <w:r>
        <w:rPr>
          <w:bCs/>
          <w:sz w:val="24"/>
          <w:szCs w:val="24"/>
        </w:rPr>
        <w:t xml:space="preserve">3.本项目的特定资格要求：</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（1）未被“信用中国”网站（WWW.creditchina.gov.cn）或“中国政府采购网”网站（www.ccgp.gov.cn）列入失信被执行人、重大税收违法案件当事人名单、政府采购严重失信行。</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（2）本项目不接受联合体投标。</w:t>
      </w:r>
      <w:r/>
    </w:p>
    <w:p>
      <w:pPr>
        <w:pStyle w:val="1021"/>
        <w:ind w:firstLine="420"/>
        <w:jc w:val="both"/>
        <w:spacing w:before="0" w:beforeAutospacing="0" w:after="0" w:afterAutospacing="0" w:line="360" w:lineRule="auto"/>
        <w:widowControl/>
        <w:rPr>
          <w:rFonts w:ascii="Times New Roman" w:hAnsi="Times New Roman"/>
          <w:bCs/>
          <w:szCs w:val="24"/>
        </w:rPr>
      </w:pPr>
      <w:r>
        <w:rPr>
          <w:rFonts w:ascii="Times New Roman" w:hAnsi="Times New Roman"/>
          <w:bCs/>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21"/>
        <w:jc w:val="both"/>
        <w:spacing w:before="0" w:beforeAutospacing="0" w:after="0" w:afterAutospacing="0" w:line="360" w:lineRule="auto"/>
        <w:widowControl/>
        <w:rPr>
          <w:rFonts w:ascii="Times New Roman" w:hAnsi="Times New Roman"/>
          <w:b/>
          <w:szCs w:val="24"/>
        </w:rPr>
      </w:pPr>
      <w:r>
        <w:rPr>
          <w:rFonts w:ascii="Times New Roman" w:hAnsi="Times New Roman"/>
          <w:b/>
          <w:szCs w:val="24"/>
        </w:rPr>
        <w:t xml:space="preserve">四、报名及采购文件获取信息：</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1.时间：自公告发布之日起5个工作日</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2.地点：苏州市政府采购网自行下载</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3.方式：</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（1）CA证书办理</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ascii="Times New Roman" w:hAnsi="Times New Roman"/>
          <w:b/>
          <w:bCs/>
          <w:szCs w:val="24"/>
          <w:shd w:val="clear" w:color="auto" w:fill="ffffff"/>
        </w:rPr>
        <w:t xml:space="preserve">“苏采云”系统目前仅支持“苏采云”系统下的政务CA证书，江苏省内各地区办理的“苏采云”系统下的政务CA证书全省通用。</w:t>
      </w:r>
      <w:r>
        <w:rPr>
          <w:rFonts w:ascii="Times New Roman" w:hAnsi="Times New Roman"/>
          <w:szCs w:val="24"/>
          <w:shd w:val="clear" w:color="auto" w:fill="ffffff"/>
        </w:rPr>
        <w:t xml:space="preserve">苏州现场办理地址：苏州市姑苏区平泷路251号政务服务中心4楼公共交易中心窗口，咨询电话：0512-69820834。</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（2）参与采购活动</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（3）电子投标准备</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供应商在“苏采云”系统中操作成功参与项目后，必须在“已参与项目”界面中下载电子招标文件（后缀名为“.kedt”）并导入政府采购客户端工具后方可进行投标文件制作和提交（</w:t>
      </w:r>
      <w:r>
        <w:rPr>
          <w:rFonts w:ascii="Times New Roman" w:hAnsi="Times New Roman"/>
          <w:b/>
          <w:bCs/>
          <w:szCs w:val="24"/>
          <w:shd w:val="clear" w:color="auto" w:fill="ffffff"/>
        </w:rPr>
        <w:t xml:space="preserve">具体详见《苏采云系统供应商操作手册》，网址链接https://czju.suzhou.gov.cn/zfcg/html/content/20231220161910031.shtml</w:t>
      </w:r>
      <w:r>
        <w:rPr>
          <w:rFonts w:ascii="Times New Roman" w:hAnsi="Times New Roman"/>
          <w:szCs w:val="24"/>
          <w:shd w:val="clear" w:color="auto" w:fill="ffffff"/>
        </w:rPr>
        <w:t xml:space="preserve">）。</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在系统操作过程中如有疑问，请按以下方式联系：</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注册咨询：18261002950；</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CA技术咨询电话：400-608-6099；</w:t>
      </w:r>
      <w:r/>
    </w:p>
    <w:p>
      <w:pPr>
        <w:pStyle w:val="1021"/>
        <w:ind w:firstLine="560"/>
        <w:spacing w:before="0" w:beforeAutospacing="0" w:after="0" w:afterAutospacing="0" w:line="360" w:lineRule="auto"/>
        <w:shd w:val="clear" w:color="auto" w:fill="ffffff"/>
        <w:widowControl/>
        <w:rPr>
          <w:rFonts w:ascii="Times New Roman" w:hAnsi="Times New Roman"/>
          <w:szCs w:val="24"/>
        </w:rPr>
      </w:pPr>
      <w:r>
        <w:rPr>
          <w:rFonts w:ascii="Times New Roman" w:hAnsi="Times New Roman"/>
          <w:szCs w:val="24"/>
          <w:shd w:val="clear" w:color="auto" w:fill="ffffff"/>
        </w:rPr>
        <w:t xml:space="preserve">签章使用问题：025-83633811、025-83633812、15380932027、15371015030；</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系统使用指导与咨询：联系电话：18261002950；QQ：3048755361、1315179389、895706745。</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4.售价：免费</w:t>
      </w:r>
      <w:r/>
    </w:p>
    <w:p>
      <w:pPr>
        <w:pStyle w:val="1021"/>
        <w:jc w:val="both"/>
        <w:spacing w:before="0" w:beforeAutospacing="0" w:after="0" w:afterAutospacing="0" w:line="360" w:lineRule="auto"/>
        <w:widowControl/>
        <w:rPr>
          <w:rFonts w:ascii="Times New Roman" w:hAnsi="Times New Roman"/>
          <w:b/>
          <w:szCs w:val="24"/>
        </w:rPr>
      </w:pPr>
      <w:r>
        <w:rPr>
          <w:rFonts w:ascii="Times New Roman" w:hAnsi="Times New Roman"/>
          <w:b/>
          <w:szCs w:val="24"/>
        </w:rPr>
        <w:t xml:space="preserve">五、提交投标文件截止时间、开标时间和地点</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1.提交投标文件截止时间：2024年12月30日09点30分（北京时间）；</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2.开标时间：2024年12月30日09点30分（北京时间）；</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3.开标地点：“苏采云”系统（网址：http://jszfcg.jsczt.cn/）</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请供应商确保电脑、系统及其他设备（视频输入输出设备等）无误，且开标直至项目结束始终保持系统在线状态。</w:t>
      </w:r>
      <w:r/>
    </w:p>
    <w:p>
      <w:pPr>
        <w:pStyle w:val="1021"/>
        <w:jc w:val="both"/>
        <w:spacing w:before="0" w:beforeAutospacing="0" w:after="0" w:afterAutospacing="0" w:line="360" w:lineRule="auto"/>
        <w:widowControl/>
        <w:rPr>
          <w:rFonts w:ascii="Times New Roman" w:hAnsi="Times New Roman"/>
          <w:b/>
          <w:szCs w:val="24"/>
        </w:rPr>
      </w:pPr>
      <w:r>
        <w:rPr>
          <w:rFonts w:ascii="Times New Roman" w:hAnsi="Times New Roman"/>
          <w:b/>
          <w:szCs w:val="24"/>
        </w:rPr>
        <w:t xml:space="preserve">六、公告期限</w:t>
      </w:r>
      <w:r/>
    </w:p>
    <w:p>
      <w:pPr>
        <w:pStyle w:val="1021"/>
        <w:ind w:firstLine="560"/>
        <w:spacing w:before="0" w:beforeAutospacing="0" w:after="0" w:afterAutospacing="0" w:line="360" w:lineRule="auto"/>
        <w:shd w:val="clear" w:color="auto" w:fill="ffffff"/>
        <w:widowControl/>
        <w:rPr>
          <w:rFonts w:ascii="Times New Roman" w:hAnsi="Times New Roman"/>
          <w:szCs w:val="24"/>
          <w:shd w:val="clear" w:color="auto" w:fill="ffffff"/>
        </w:rPr>
      </w:pPr>
      <w:r>
        <w:rPr>
          <w:rFonts w:ascii="Times New Roman" w:hAnsi="Times New Roman"/>
          <w:szCs w:val="24"/>
          <w:shd w:val="clear" w:color="auto" w:fill="ffffff"/>
        </w:rPr>
        <w:t xml:space="preserve">自本公告发布之日起 5个工作日。</w:t>
      </w:r>
      <w:r/>
    </w:p>
    <w:p>
      <w:pPr>
        <w:pStyle w:val="1021"/>
        <w:jc w:val="both"/>
        <w:spacing w:before="0" w:beforeAutospacing="0" w:after="0" w:afterAutospacing="0" w:line="360" w:lineRule="auto"/>
        <w:widowControl/>
        <w:rPr>
          <w:rFonts w:ascii="Times New Roman" w:hAnsi="Times New Roman"/>
          <w:b/>
          <w:szCs w:val="24"/>
        </w:rPr>
      </w:pPr>
      <w:r>
        <w:rPr>
          <w:rFonts w:ascii="Times New Roman" w:hAnsi="Times New Roman"/>
          <w:b/>
          <w:szCs w:val="24"/>
        </w:rPr>
        <w:t xml:space="preserve">七、其他补充事宜</w:t>
      </w:r>
      <w:r/>
    </w:p>
    <w:p>
      <w:pPr>
        <w:jc w:val="left"/>
        <w:spacing w:line="360" w:lineRule="auto"/>
        <w:widowControl/>
        <w:rPr>
          <w:sz w:val="24"/>
          <w:szCs w:val="24"/>
          <w:shd w:val="clear" w:color="auto" w:fill="ffffff"/>
          <w14:ligatures w14:val="none"/>
        </w:rPr>
      </w:pPr>
      <w:r/>
      <w:bookmarkStart w:id="3" w:name="_Toc35393626"/>
      <w:r>
        <w:rPr>
          <w:sz w:val="24"/>
          <w:szCs w:val="24"/>
          <w:shd w:val="clear" w:color="auto" w:fill="ffffff"/>
        </w:rPr>
        <w:fldChar w:fldCharType="begin"/>
      </w:r>
      <w:r>
        <w:rPr>
          <w:sz w:val="24"/>
          <w:szCs w:val="24"/>
          <w:shd w:val="clear" w:color="auto" w:fill="ffffff"/>
        </w:rPr>
        <w:instrText xml:space="preserve"> HYPERLINK "https://czju.suzhou.gov.cn/zfcg/html/project/516a87a08a4d4ab08e339d7a32872822.shtml" </w:instrText>
      </w:r>
      <w:r>
        <w:rPr>
          <w:sz w:val="24"/>
          <w:szCs w:val="24"/>
          <w:shd w:val="clear" w:color="auto" w:fill="ffffff"/>
        </w:rPr>
        <w:fldChar w:fldCharType="separate"/>
        <w:t xml:space="preserve">    </w:t>
      </w:r>
      <w:r>
        <w:rPr>
          <w:sz w:val="24"/>
          <w:szCs w:val="24"/>
          <w:shd w:val="clear" w:color="auto" w:fill="ffffff"/>
        </w:rPr>
        <w:t xml:space="preserve">1.本次采购的有关信息在以下网站上发布： </w:t>
      </w:r>
      <w:r>
        <w:rPr>
          <w:sz w:val="24"/>
          <w:szCs w:val="24"/>
          <w:shd w:val="clear" w:color="auto" w:fill="ffffff"/>
        </w:rPr>
        <w:t xml:space="preserve">中国</w:t>
      </w:r>
      <w:r>
        <w:rPr>
          <w:sz w:val="24"/>
          <w:szCs w:val="24"/>
          <w:shd w:val="clear" w:color="auto" w:fill="ffffff"/>
        </w:rPr>
        <w:t xml:space="preserve">政府</w:t>
      </w:r>
      <w:r>
        <w:rPr>
          <w:sz w:val="24"/>
          <w:szCs w:val="24"/>
          <w:shd w:val="clear" w:color="auto" w:fill="ffffff"/>
        </w:rPr>
        <w:t xml:space="preserve">采购网、</w:t>
      </w:r>
      <w:r>
        <w:rPr>
          <w:sz w:val="24"/>
          <w:szCs w:val="24"/>
          <w:shd w:val="clear" w:color="auto" w:fill="ffffff"/>
        </w:rPr>
        <w:t xml:space="preserve">江苏政府采购网、苏州市政府采购网；</w:t>
      </w:r>
      <w:r>
        <w:rPr>
          <w:sz w:val="24"/>
          <w:szCs w:val="24"/>
          <w:shd w:val="clear" w:color="auto" w:fill="ffffff"/>
        </w:rPr>
      </w:r>
    </w:p>
    <w:p>
      <w:pPr>
        <w:jc w:val="left"/>
        <w:spacing w:line="360" w:lineRule="auto"/>
        <w:widowControl/>
        <w:rPr>
          <w:sz w:val="24"/>
          <w:szCs w:val="24"/>
          <w:shd w:val="clear" w:color="auto" w:fill="ffffff"/>
          <w14:ligatures w14:val="none"/>
        </w:rPr>
      </w:pPr>
      <w:r>
        <w:rPr>
          <w:sz w:val="24"/>
          <w:szCs w:val="24"/>
          <w:shd w:val="clear" w:color="auto" w:fill="ffffff"/>
        </w:rPr>
        <w:t xml:space="preserve">    2.有关该采购项目的澄清、修正及中标等信息亦在以上网站发布，请随时关注。</w:t>
      </w:r>
      <w:r>
        <w:rPr>
          <w:sz w:val="24"/>
          <w:szCs w:val="24"/>
          <w:shd w:val="clear" w:color="auto" w:fill="ffffff"/>
        </w:rPr>
      </w:r>
    </w:p>
    <w:p>
      <w:pPr>
        <w:jc w:val="left"/>
        <w:spacing w:line="360" w:lineRule="auto"/>
        <w:widowControl/>
        <w:rPr>
          <w:sz w:val="24"/>
          <w:szCs w:val="24"/>
          <w:shd w:val="clear" w:color="auto" w:fill="ffffff"/>
          <w14:ligatures w14:val="none"/>
        </w:rPr>
      </w:pPr>
      <w:r>
        <w:rPr>
          <w:sz w:val="24"/>
          <w:szCs w:val="24"/>
          <w:shd w:val="clear" w:color="auto" w:fill="ffffff"/>
        </w:rPr>
        <w:fldChar w:fldCharType="end"/>
      </w:r>
      <w:r>
        <w:rPr>
          <w:sz w:val="24"/>
          <w:szCs w:val="24"/>
          <w:shd w:val="clear" w:color="auto" w:fill="ffffff"/>
        </w:rPr>
        <w:fldChar w:fldCharType="begin"/>
      </w:r>
      <w:r>
        <w:rPr>
          <w:sz w:val="24"/>
          <w:szCs w:val="24"/>
          <w:shd w:val="clear" w:color="auto" w:fill="ffffff"/>
        </w:rPr>
        <w:instrText xml:space="preserve"> HYPERLINK "https://czju.suzhou.gov.cn/zfcg/html/project/516a87a08a4d4ab08e339d7a32872822.shtml" </w:instrText>
      </w:r>
      <w:r>
        <w:rPr>
          <w:sz w:val="24"/>
          <w:szCs w:val="24"/>
          <w:shd w:val="clear" w:color="auto" w:fill="ffffff"/>
        </w:rPr>
        <w:fldChar w:fldCharType="separate"/>
      </w:r>
      <w:r>
        <w:rPr>
          <w:sz w:val="24"/>
          <w:szCs w:val="24"/>
          <w:shd w:val="clear" w:color="auto" w:fill="ffffff"/>
        </w:rPr>
        <w:fldChar w:fldCharType="end"/>
      </w:r>
      <w:bookmarkEnd w:id="3"/>
      <w:r>
        <w:rPr>
          <w:sz w:val="24"/>
          <w:szCs w:val="24"/>
          <w:shd w:val="clear" w:color="auto" w:fill="ffffff"/>
        </w:rPr>
      </w:r>
      <w:bookmarkStart w:id="4" w:name="_Toc35393796"/>
      <w:r>
        <w:rPr>
          <w:sz w:val="24"/>
          <w:szCs w:val="24"/>
          <w:shd w:val="clear" w:color="auto" w:fill="ffffff"/>
        </w:rPr>
        <w:fldChar w:fldCharType="begin"/>
      </w:r>
      <w:r>
        <w:rPr>
          <w:sz w:val="24"/>
          <w:szCs w:val="24"/>
          <w:shd w:val="clear" w:color="auto" w:fill="ffffff"/>
        </w:rPr>
        <w:instrText xml:space="preserve"> HYPERLINK "https://czju.suzhou.gov.cn/zfcg/html/project/516a87a08a4d4ab08e339d7a32872822.shtml" </w:instrText>
      </w:r>
      <w:r>
        <w:rPr>
          <w:sz w:val="24"/>
          <w:szCs w:val="24"/>
          <w:shd w:val="clear" w:color="auto" w:fill="ffffff"/>
        </w:rPr>
        <w:fldChar w:fldCharType="end"/>
      </w:r>
      <w:bookmarkEnd w:id="4"/>
      <w:r>
        <w:rPr>
          <w:sz w:val="24"/>
          <w:szCs w:val="24"/>
          <w:shd w:val="clear" w:color="auto" w:fill="ffffff"/>
        </w:rPr>
      </w:r>
      <w:bookmarkStart w:id="5" w:name="_Toc35393627"/>
      <w:r>
        <w:rPr>
          <w:sz w:val="24"/>
          <w:szCs w:val="24"/>
          <w:shd w:val="clear" w:color="auto" w:fill="ffffff"/>
        </w:rPr>
        <w:fldChar w:fldCharType="begin"/>
      </w:r>
      <w:r>
        <w:rPr>
          <w:sz w:val="24"/>
          <w:szCs w:val="24"/>
          <w:shd w:val="clear" w:color="auto" w:fill="ffffff"/>
        </w:rPr>
        <w:instrText xml:space="preserve"> HYPERLINK "https://czju.suzhou.gov.cn/zfcg/html/project/516a87a08a4d4ab08e339d7a32872822.shtml" </w:instrText>
      </w:r>
      <w:r>
        <w:rPr>
          <w:sz w:val="24"/>
          <w:szCs w:val="24"/>
          <w:shd w:val="clear" w:color="auto" w:fill="ffffff"/>
        </w:rPr>
        <w:fldChar w:fldCharType="separate"/>
        <w:t xml:space="preserve">    </w:t>
      </w:r>
      <w:r>
        <w:rPr>
          <w:sz w:val="24"/>
          <w:szCs w:val="24"/>
          <w:shd w:val="clear" w:color="auto" w:fill="ffffff"/>
        </w:rPr>
        <w:t xml:space="preserve">3.本项目获取招标文件截止日期之后仍可以下载招标文件，但截止日期之后下载的招标文件，视为非有效方式且不作为供应商权益受到损害的证明材料和依据。</w:t>
      </w:r>
      <w:bookmarkEnd w:id="5"/>
      <w:r>
        <w:rPr>
          <w:sz w:val="24"/>
          <w:szCs w:val="24"/>
          <w:shd w:val="clear" w:color="auto" w:fill="ffffff"/>
        </w:rPr>
        <w:fldChar w:fldCharType="end"/>
      </w:r>
      <w:r>
        <w:rPr>
          <w:sz w:val="24"/>
          <w:szCs w:val="24"/>
          <w:shd w:val="clear" w:color="auto" w:fill="ffffff"/>
        </w:rPr>
      </w:r>
    </w:p>
    <w:p>
      <w:pPr>
        <w:jc w:val="left"/>
        <w:spacing w:line="360" w:lineRule="auto"/>
        <w:widowControl/>
        <w:rPr>
          <w:sz w:val="24"/>
          <w:szCs w:val="24"/>
          <w14:ligatures w14:val="none"/>
        </w:rPr>
      </w:pPr>
      <w:r>
        <w:rPr>
          <w:sz w:val="24"/>
          <w:szCs w:val="24"/>
          <w:shd w:val="clear" w:color="auto" w:fill="ffffff"/>
        </w:rPr>
        <w:t xml:space="preserve">   4</w:t>
      </w:r>
      <w:r>
        <w:rPr>
          <w:sz w:val="24"/>
          <w:szCs w:val="24"/>
          <w:shd w:val="clear" w:color="auto" w:fill="ffffff"/>
        </w:rPr>
        <w:t xml:space="preserve">.</w:t>
      </w:r>
      <w:r>
        <w:rPr>
          <w:sz w:val="24"/>
          <w:szCs w:val="24"/>
          <w:shd w:val="clear" w:color="auto" w:fill="ffffff"/>
        </w:rPr>
        <w:t xml:space="preserve">政府</w:t>
      </w:r>
      <w:r>
        <w:rPr>
          <w:sz w:val="24"/>
          <w:szCs w:val="24"/>
          <w:shd w:val="clear" w:color="auto" w:fill="ffffff"/>
        </w:rPr>
        <w:t xml:space="preserve">采购</w:t>
      </w:r>
      <w:r>
        <w:rPr>
          <w:sz w:val="24"/>
          <w:szCs w:val="24"/>
          <w:shd w:val="clear" w:color="auto" w:fill="ffffff"/>
        </w:rPr>
        <w:t xml:space="preserve">监督</w:t>
      </w:r>
      <w:r>
        <w:rPr>
          <w:sz w:val="24"/>
          <w:szCs w:val="24"/>
          <w:shd w:val="clear" w:color="auto" w:fill="ffffff"/>
        </w:rPr>
        <w:t xml:space="preserve">电话：0512-65283947。</w:t>
      </w:r>
      <w:r>
        <w:rPr>
          <w:sz w:val="24"/>
          <w:szCs w:val="24"/>
          <w:shd w:val="clear" w:color="auto" w:fill="ffffff"/>
        </w:rPr>
      </w:r>
      <w:r>
        <w:rPr>
          <w:sz w:val="24"/>
          <w:szCs w:val="24"/>
          <w:shd w:val="clear" w:color="auto" w:fill="ffffff"/>
        </w:rPr>
      </w:r>
    </w:p>
    <w:p>
      <w:pPr>
        <w:jc w:val="left"/>
        <w:spacing w:line="360" w:lineRule="auto"/>
        <w:rPr>
          <w:sz w:val="24"/>
          <w:szCs w:val="24"/>
        </w:rPr>
      </w:pPr>
      <w:r>
        <w:rPr>
          <w:b/>
          <w:sz w:val="24"/>
          <w:szCs w:val="24"/>
        </w:rPr>
        <w:t xml:space="preserve">八、对本次招标提出询问，请按以下方式联系：</w:t>
      </w:r>
      <w:r/>
    </w:p>
    <w:p>
      <w:pPr>
        <w:jc w:val="left"/>
        <w:spacing w:line="360" w:lineRule="auto"/>
        <w:rPr>
          <w:sz w:val="24"/>
          <w:szCs w:val="24"/>
        </w:rPr>
      </w:pPr>
      <w:r>
        <w:rPr>
          <w:sz w:val="24"/>
          <w:szCs w:val="24"/>
        </w:rPr>
        <w:t xml:space="preserve">1.采购人信息</w:t>
      </w:r>
      <w:r/>
    </w:p>
    <w:p>
      <w:pPr>
        <w:jc w:val="left"/>
        <w:spacing w:line="360" w:lineRule="auto"/>
        <w:widowControl/>
        <w:rPr>
          <w:sz w:val="24"/>
          <w:szCs w:val="24"/>
        </w:rPr>
      </w:pPr>
      <w:r>
        <w:rPr>
          <w:sz w:val="24"/>
          <w:szCs w:val="24"/>
        </w:rPr>
        <w:t xml:space="preserve">名    称：苏州市吴中区中心城区建设管理中心</w:t>
      </w:r>
      <w:r/>
    </w:p>
    <w:p>
      <w:pPr>
        <w:jc w:val="left"/>
        <w:spacing w:line="360" w:lineRule="auto"/>
        <w:widowControl/>
        <w:rPr>
          <w:sz w:val="24"/>
          <w:szCs w:val="24"/>
        </w:rPr>
      </w:pPr>
      <w:r>
        <w:rPr>
          <w:sz w:val="24"/>
          <w:szCs w:val="24"/>
        </w:rPr>
        <w:t xml:space="preserve">地    址：苏州市吴中区吴中东路145号</w:t>
      </w:r>
      <w:r/>
    </w:p>
    <w:p>
      <w:pPr>
        <w:jc w:val="left"/>
        <w:spacing w:line="360" w:lineRule="auto"/>
        <w:widowControl/>
        <w:rPr>
          <w:sz w:val="24"/>
          <w:szCs w:val="24"/>
        </w:rPr>
      </w:pPr>
      <w:r>
        <w:rPr>
          <w:sz w:val="24"/>
          <w:szCs w:val="24"/>
        </w:rPr>
        <w:t xml:space="preserve">联 系 人：华懿</w:t>
      </w:r>
      <w:r/>
    </w:p>
    <w:p>
      <w:pPr>
        <w:spacing w:line="360" w:lineRule="auto"/>
        <w:widowControl/>
        <w:rPr>
          <w:sz w:val="24"/>
          <w:szCs w:val="24"/>
        </w:rPr>
      </w:pPr>
      <w:r>
        <w:rPr>
          <w:sz w:val="24"/>
          <w:szCs w:val="24"/>
        </w:rPr>
      </w:r>
      <w:r>
        <w:rPr>
          <w:sz w:val="24"/>
          <w:szCs w:val="24"/>
        </w:rPr>
        <w:t xml:space="preserve">联系方</w:t>
      </w:r>
      <w:r>
        <w:rPr>
          <w:sz w:val="24"/>
          <w:szCs w:val="24"/>
        </w:rPr>
        <w:t xml:space="preserve">式</w:t>
      </w:r>
      <w:r>
        <w:rPr>
          <w:sz w:val="24"/>
          <w:szCs w:val="24"/>
        </w:rPr>
        <w:t xml:space="preserve">：</w:t>
      </w:r>
      <w:r>
        <w:rPr>
          <w:sz w:val="24"/>
          <w:szCs w:val="24"/>
        </w:rPr>
        <w:t xml:space="preserve">0512-65988055</w:t>
      </w:r>
      <w:r/>
    </w:p>
    <w:p>
      <w:pPr>
        <w:jc w:val="left"/>
        <w:spacing w:line="360" w:lineRule="auto"/>
        <w:widowControl/>
        <w:rPr>
          <w:sz w:val="24"/>
          <w:szCs w:val="24"/>
        </w:rPr>
      </w:pPr>
      <w:r>
        <w:rPr>
          <w:sz w:val="24"/>
          <w:szCs w:val="24"/>
        </w:rPr>
        <w:t xml:space="preserve">2.采购代理机构信息</w:t>
      </w:r>
      <w:r/>
    </w:p>
    <w:p>
      <w:pPr>
        <w:jc w:val="left"/>
        <w:spacing w:line="360" w:lineRule="auto"/>
        <w:widowControl/>
        <w:rPr>
          <w:sz w:val="24"/>
          <w:szCs w:val="24"/>
        </w:rPr>
      </w:pPr>
      <w:r>
        <w:rPr>
          <w:sz w:val="24"/>
          <w:szCs w:val="24"/>
        </w:rPr>
        <w:t xml:space="preserve">名称：苏州中海工程项目管理有限公司 </w:t>
      </w:r>
      <w:r/>
    </w:p>
    <w:p>
      <w:pPr>
        <w:jc w:val="left"/>
        <w:spacing w:line="360" w:lineRule="auto"/>
        <w:widowControl/>
        <w:rPr>
          <w:sz w:val="24"/>
          <w:szCs w:val="24"/>
        </w:rPr>
      </w:pPr>
      <w:r>
        <w:rPr>
          <w:sz w:val="24"/>
          <w:szCs w:val="24"/>
        </w:rPr>
        <w:t xml:space="preserve">地址：苏州市吴中区吴中大道70号南-吴中供水公司新大楼6楼</w:t>
      </w:r>
      <w:r/>
    </w:p>
    <w:p>
      <w:pPr>
        <w:spacing w:line="360" w:lineRule="auto"/>
        <w:widowControl/>
        <w:rPr>
          <w:sz w:val="24"/>
          <w:szCs w:val="24"/>
        </w:rPr>
      </w:pPr>
      <w:r>
        <w:rPr>
          <w:sz w:val="24"/>
          <w:szCs w:val="24"/>
        </w:rPr>
        <w:t xml:space="preserve">联系方式：0512-67087921     </w:t>
      </w:r>
      <w:r/>
    </w:p>
    <w:p>
      <w:pPr>
        <w:spacing w:line="360" w:lineRule="auto"/>
        <w:widowControl/>
        <w:rPr>
          <w:sz w:val="24"/>
          <w:szCs w:val="24"/>
        </w:rPr>
      </w:pPr>
      <w:r>
        <w:rPr>
          <w:sz w:val="24"/>
          <w:szCs w:val="24"/>
        </w:rPr>
        <w:t xml:space="preserve">联 系 人：王新东</w:t>
      </w:r>
      <w:r/>
    </w:p>
    <w:p>
      <w:pPr>
        <w:ind w:firstLine="422"/>
        <w:spacing w:line="360" w:lineRule="auto"/>
        <w:rPr>
          <w:b/>
          <w:sz w:val="24"/>
          <w:szCs w:val="24"/>
        </w:rPr>
      </w:pPr>
      <w:r>
        <w:rPr>
          <w:b/>
          <w:sz w:val="24"/>
          <w:szCs w:val="24"/>
        </w:rPr>
      </w:r>
      <w:r/>
    </w:p>
    <w:p>
      <w:pPr>
        <w:rPr>
          <w:sz w:val="24"/>
          <w:szCs w:val="24"/>
        </w:rPr>
      </w:pPr>
      <w:r>
        <w:rPr>
          <w:sz w:val="24"/>
          <w:szCs w:val="24"/>
        </w:rPr>
      </w:r>
      <w:r/>
    </w:p>
    <w:p>
      <w:pPr>
        <w:jc w:val="left"/>
        <w:widowControl/>
        <w:rPr>
          <w:b/>
          <w:bCs/>
          <w:sz w:val="36"/>
          <w:szCs w:val="36"/>
        </w:rPr>
      </w:pPr>
      <w:r>
        <w:rPr>
          <w:b/>
          <w:bCs/>
          <w:sz w:val="36"/>
          <w:szCs w:val="36"/>
        </w:rPr>
        <w:br w:type="page" w:clear="all"/>
      </w:r>
      <w:r/>
    </w:p>
    <w:p>
      <w:pPr>
        <w:jc w:val="center"/>
        <w:spacing w:line="360" w:lineRule="auto"/>
        <w:rPr>
          <w:b/>
          <w:bCs/>
          <w:sz w:val="36"/>
          <w:szCs w:val="36"/>
        </w:rPr>
      </w:pPr>
      <w:r>
        <w:rPr>
          <w:b/>
          <w:bCs/>
          <w:sz w:val="36"/>
          <w:szCs w:val="36"/>
        </w:rPr>
        <w:t xml:space="preserve">第二章</w:t>
      </w:r>
      <w:r>
        <w:rPr>
          <w:b/>
          <w:bCs/>
          <w:caps/>
          <w:sz w:val="36"/>
          <w:szCs w:val="36"/>
        </w:rPr>
        <w:t xml:space="preserve"> 投标人须知</w:t>
      </w:r>
      <w:r/>
    </w:p>
    <w:p>
      <w:pPr>
        <w:pStyle w:val="991"/>
        <w:ind w:firstLine="422"/>
        <w:spacing w:line="360" w:lineRule="auto"/>
        <w:rPr>
          <w:rFonts w:eastAsia="宋体"/>
          <w:b/>
          <w:szCs w:val="24"/>
          <w:lang w:eastAsia="zh-CN"/>
        </w:rPr>
      </w:pPr>
      <w:r/>
      <w:bookmarkStart w:id="6" w:name="_Toc13437"/>
      <w:r/>
      <w:bookmarkStart w:id="7" w:name="_Toc20132"/>
      <w:r>
        <w:rPr>
          <w:rFonts w:eastAsia="宋体"/>
          <w:b/>
          <w:szCs w:val="24"/>
          <w:lang w:eastAsia="zh-CN"/>
        </w:rPr>
        <w:t xml:space="preserve">一、说明和释义</w:t>
      </w:r>
      <w:bookmarkEnd w:id="6"/>
      <w:r/>
      <w:bookmarkEnd w:id="7"/>
      <w:r/>
      <w:r/>
    </w:p>
    <w:p>
      <w:pPr>
        <w:pStyle w:val="991"/>
        <w:ind w:firstLine="422"/>
        <w:spacing w:line="360" w:lineRule="auto"/>
        <w:rPr>
          <w:rFonts w:eastAsia="宋体"/>
          <w:b/>
          <w:szCs w:val="24"/>
          <w:lang w:eastAsia="zh-CN"/>
        </w:rPr>
      </w:pPr>
      <w:r/>
      <w:bookmarkStart w:id="8" w:name="_Toc9408"/>
      <w:r>
        <w:rPr>
          <w:rFonts w:eastAsia="宋体"/>
          <w:b/>
          <w:szCs w:val="24"/>
          <w:lang w:eastAsia="zh-CN"/>
        </w:rPr>
        <w:t xml:space="preserve">1.说明</w:t>
      </w:r>
      <w:bookmarkEnd w:id="8"/>
      <w:r/>
      <w:r/>
    </w:p>
    <w:p>
      <w:pPr>
        <w:pStyle w:val="991"/>
        <w:spacing w:line="360" w:lineRule="auto"/>
        <w:rPr>
          <w:rFonts w:eastAsia="宋体"/>
          <w:szCs w:val="24"/>
          <w:lang w:eastAsia="zh-CN"/>
        </w:rPr>
      </w:pPr>
      <w:r>
        <w:rPr>
          <w:rFonts w:eastAsia="宋体"/>
          <w:szCs w:val="24"/>
          <w:lang w:eastAsia="zh-CN"/>
        </w:rPr>
        <w:t xml:space="preserve">1.1本招标文件仅适用苏州中海工程项目管理有限公司组织的招标活动。</w:t>
      </w:r>
      <w:r/>
    </w:p>
    <w:p>
      <w:pPr>
        <w:pStyle w:val="991"/>
        <w:spacing w:line="360" w:lineRule="auto"/>
        <w:rPr>
          <w:rFonts w:eastAsia="宋体"/>
          <w:szCs w:val="24"/>
          <w:lang w:eastAsia="zh-CN"/>
        </w:rPr>
      </w:pPr>
      <w:r>
        <w:rPr>
          <w:rFonts w:eastAsia="宋体"/>
          <w:szCs w:val="24"/>
          <w:lang w:eastAsia="zh-CN"/>
        </w:rPr>
        <w:t xml:space="preserve">1.2本次招标活动及因本次招标产生的合同受中国法律制约和保护。</w:t>
      </w:r>
      <w:r/>
    </w:p>
    <w:p>
      <w:pPr>
        <w:pStyle w:val="991"/>
        <w:spacing w:line="360" w:lineRule="auto"/>
        <w:rPr>
          <w:rFonts w:eastAsia="宋体"/>
          <w:szCs w:val="24"/>
          <w:lang w:eastAsia="zh-CN"/>
        </w:rPr>
      </w:pPr>
      <w:r>
        <w:rPr>
          <w:rFonts w:eastAsia="宋体"/>
          <w:szCs w:val="24"/>
          <w:lang w:eastAsia="zh-CN"/>
        </w:rPr>
        <w:t xml:space="preserve">1.3本招标文件的解释权属苏州中海工程项目管理有限公司。</w:t>
      </w:r>
      <w:r/>
    </w:p>
    <w:p>
      <w:pPr>
        <w:pStyle w:val="991"/>
        <w:ind w:firstLine="422"/>
        <w:spacing w:line="360" w:lineRule="auto"/>
        <w:rPr>
          <w:rFonts w:eastAsia="宋体"/>
          <w:b/>
          <w:szCs w:val="24"/>
          <w:lang w:eastAsia="zh-CN"/>
        </w:rPr>
      </w:pPr>
      <w:r/>
      <w:bookmarkStart w:id="9" w:name="_Toc27555"/>
      <w:r>
        <w:rPr>
          <w:rFonts w:eastAsia="宋体"/>
          <w:b/>
          <w:szCs w:val="24"/>
          <w:lang w:eastAsia="zh-CN"/>
        </w:rPr>
        <w:t xml:space="preserve">2.词语释义</w:t>
      </w:r>
      <w:bookmarkEnd w:id="9"/>
      <w:r/>
      <w:r/>
    </w:p>
    <w:p>
      <w:pPr>
        <w:pStyle w:val="991"/>
        <w:spacing w:line="360" w:lineRule="auto"/>
        <w:rPr>
          <w:rFonts w:eastAsia="宋体"/>
          <w:szCs w:val="24"/>
          <w:lang w:eastAsia="zh-CN"/>
        </w:rPr>
      </w:pPr>
      <w:r>
        <w:rPr>
          <w:rFonts w:eastAsia="宋体"/>
          <w:szCs w:val="24"/>
          <w:lang w:eastAsia="zh-CN"/>
        </w:rPr>
        <w:t xml:space="preserve">2.1 采购人：指依法进行政府采购的国家机关、事业单位、团体组织。</w:t>
      </w:r>
      <w:r/>
    </w:p>
    <w:p>
      <w:pPr>
        <w:pStyle w:val="991"/>
        <w:spacing w:line="360" w:lineRule="auto"/>
        <w:rPr>
          <w:rFonts w:eastAsia="宋体"/>
          <w:szCs w:val="24"/>
          <w:lang w:eastAsia="zh-CN"/>
        </w:rPr>
      </w:pPr>
      <w:r>
        <w:rPr>
          <w:rFonts w:eastAsia="宋体"/>
          <w:szCs w:val="24"/>
          <w:lang w:eastAsia="zh-CN"/>
        </w:rPr>
        <w:t xml:space="preserve">2.2采购代理机构：指依法接受采购人委托，从事货物、工程和服务等政府采购业务的采购代理机构。本项目的采购代理机构是苏州中海工程项目管理有限公司。</w:t>
      </w:r>
      <w:r/>
    </w:p>
    <w:p>
      <w:pPr>
        <w:pStyle w:val="991"/>
        <w:spacing w:line="360" w:lineRule="auto"/>
        <w:rPr>
          <w:rFonts w:eastAsia="宋体"/>
          <w:szCs w:val="24"/>
          <w:lang w:eastAsia="zh-CN"/>
        </w:rPr>
      </w:pPr>
      <w:r>
        <w:rPr>
          <w:rFonts w:eastAsia="宋体"/>
          <w:szCs w:val="24"/>
          <w:lang w:eastAsia="zh-CN"/>
        </w:rPr>
        <w:t xml:space="preserve">2.3 投标人：指投标招标、参加投标竞争的法人、其他组织或自然人。</w:t>
      </w:r>
      <w:r/>
    </w:p>
    <w:p>
      <w:pPr>
        <w:pStyle w:val="991"/>
        <w:spacing w:line="360" w:lineRule="auto"/>
        <w:rPr>
          <w:rFonts w:eastAsia="宋体"/>
          <w:szCs w:val="24"/>
          <w:lang w:eastAsia="zh-CN"/>
        </w:rPr>
      </w:pPr>
      <w:r>
        <w:rPr>
          <w:rFonts w:eastAsia="宋体"/>
          <w:szCs w:val="24"/>
          <w:lang w:eastAsia="zh-CN"/>
        </w:rPr>
        <w:t xml:space="preserve">2.4 投标：投标人根据采购人或采购代理机构发布的招标文件，编制投标文件并按规定投标的行为。</w:t>
      </w:r>
      <w:r/>
    </w:p>
    <w:p>
      <w:pPr>
        <w:pStyle w:val="991"/>
        <w:spacing w:line="360" w:lineRule="auto"/>
        <w:rPr>
          <w:rFonts w:eastAsia="宋体"/>
          <w:szCs w:val="24"/>
          <w:lang w:eastAsia="zh-CN"/>
        </w:rPr>
      </w:pPr>
      <w:r>
        <w:rPr>
          <w:rFonts w:eastAsia="宋体"/>
          <w:szCs w:val="24"/>
          <w:lang w:eastAsia="zh-CN"/>
        </w:rPr>
        <w:t xml:space="preserve">2.5合同：采供双方根据招标文件和中标的投标文件及中标通知书规定的内容签署的以书面形式所达成的协议，包括所有的附件、附录和构成协议的所有文件。</w:t>
      </w:r>
      <w:r/>
    </w:p>
    <w:p>
      <w:pPr>
        <w:pStyle w:val="991"/>
        <w:spacing w:line="360" w:lineRule="auto"/>
        <w:rPr>
          <w:rFonts w:eastAsia="宋体"/>
          <w:szCs w:val="24"/>
          <w:lang w:eastAsia="zh-CN"/>
        </w:rPr>
      </w:pPr>
      <w:r>
        <w:rPr>
          <w:rFonts w:eastAsia="宋体"/>
          <w:szCs w:val="24"/>
          <w:lang w:eastAsia="zh-CN"/>
        </w:rPr>
        <w:t xml:space="preserve">2.6甲方（采购人）：指招标文件中载明的，依法进行政府采购的国家机关、事业单位、团体组织。</w:t>
      </w:r>
      <w:r/>
    </w:p>
    <w:p>
      <w:pPr>
        <w:pStyle w:val="991"/>
        <w:spacing w:line="360" w:lineRule="auto"/>
        <w:rPr>
          <w:rFonts w:eastAsia="宋体"/>
          <w:szCs w:val="24"/>
          <w:lang w:eastAsia="zh-CN"/>
        </w:rPr>
      </w:pPr>
      <w:r>
        <w:rPr>
          <w:rFonts w:eastAsia="宋体"/>
          <w:szCs w:val="24"/>
          <w:lang w:eastAsia="zh-CN"/>
        </w:rPr>
        <w:t xml:space="preserve">2.7乙方（供应商）：合同中规定的向采购人提供货物和服务的法人或其他组织和自然人。</w:t>
      </w:r>
      <w:r/>
    </w:p>
    <w:p>
      <w:pPr>
        <w:pStyle w:val="991"/>
        <w:spacing w:line="360" w:lineRule="auto"/>
        <w:rPr>
          <w:rFonts w:eastAsia="宋体"/>
          <w:szCs w:val="24"/>
          <w:lang w:eastAsia="zh-CN"/>
        </w:rPr>
      </w:pPr>
      <w:r>
        <w:rPr>
          <w:rFonts w:eastAsia="宋体"/>
          <w:szCs w:val="24"/>
          <w:lang w:eastAsia="zh-CN"/>
        </w:rPr>
        <w:t xml:space="preserve">2.8天：日历日。</w:t>
      </w:r>
      <w:r/>
    </w:p>
    <w:p>
      <w:pPr>
        <w:pStyle w:val="991"/>
        <w:spacing w:line="360" w:lineRule="auto"/>
        <w:rPr>
          <w:rFonts w:eastAsia="宋体"/>
          <w:szCs w:val="24"/>
          <w:lang w:eastAsia="zh-CN"/>
        </w:rPr>
      </w:pPr>
      <w:r>
        <w:rPr>
          <w:rFonts w:eastAsia="宋体"/>
          <w:szCs w:val="24"/>
          <w:lang w:eastAsia="zh-CN"/>
        </w:rPr>
        <w:t xml:space="preserve">2.9时间：除特别说明，均指北京时间。</w:t>
      </w:r>
      <w:r/>
    </w:p>
    <w:p>
      <w:pPr>
        <w:ind w:firstLine="420"/>
        <w:spacing w:line="360" w:lineRule="auto"/>
        <w:rPr>
          <w:sz w:val="24"/>
          <w:szCs w:val="24"/>
        </w:rPr>
      </w:pPr>
      <w:r>
        <w:rPr>
          <w:sz w:val="24"/>
          <w:szCs w:val="24"/>
        </w:rPr>
        <w:t xml:space="preserve">2.10知识产权:指专利权、商标权、著作权等无形财产专有权的统称。</w:t>
      </w:r>
      <w:r/>
    </w:p>
    <w:p>
      <w:pPr>
        <w:ind w:firstLine="420"/>
        <w:spacing w:line="360" w:lineRule="auto"/>
        <w:rPr>
          <w:sz w:val="24"/>
          <w:szCs w:val="24"/>
        </w:rPr>
      </w:pPr>
      <w:r>
        <w:rPr>
          <w:sz w:val="24"/>
          <w:szCs w:val="24"/>
        </w:rPr>
        <w:t xml:space="preserve">2.11交货地点:合同中明确约定的乙方提交的货物和服务最终到达地点。</w:t>
      </w:r>
      <w:r/>
    </w:p>
    <w:p>
      <w:pPr>
        <w:ind w:firstLine="420"/>
        <w:spacing w:line="360" w:lineRule="auto"/>
        <w:rPr>
          <w:sz w:val="24"/>
          <w:szCs w:val="24"/>
        </w:rPr>
      </w:pPr>
      <w:r>
        <w:rPr>
          <w:sz w:val="24"/>
          <w:szCs w:val="24"/>
        </w:rPr>
        <w:t xml:space="preserve">2.12合同价款:根据合同规定,乙方在正确地履行合同义务后甲方应支付乙方的价款。</w:t>
      </w:r>
      <w:r/>
    </w:p>
    <w:p>
      <w:pPr>
        <w:ind w:firstLine="420"/>
        <w:spacing w:line="360" w:lineRule="auto"/>
        <w:rPr>
          <w:sz w:val="24"/>
          <w:szCs w:val="24"/>
        </w:rPr>
      </w:pPr>
      <w:r>
        <w:rPr>
          <w:sz w:val="24"/>
          <w:szCs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pStyle w:val="991"/>
        <w:spacing w:line="360" w:lineRule="auto"/>
        <w:rPr>
          <w:rFonts w:eastAsia="宋体"/>
          <w:szCs w:val="24"/>
          <w:lang w:eastAsia="zh-CN"/>
        </w:rPr>
      </w:pPr>
      <w:r>
        <w:rPr>
          <w:rFonts w:eastAsia="宋体"/>
          <w:szCs w:val="24"/>
          <w:lang w:eastAsia="zh-CN"/>
        </w:rPr>
        <w:t xml:space="preserve">2.14不可抗力：不能预见、不能避免并且不能克服的客观情况。</w:t>
      </w:r>
      <w:r/>
    </w:p>
    <w:p>
      <w:pPr>
        <w:ind w:firstLine="420"/>
        <w:spacing w:line="360" w:lineRule="auto"/>
        <w:rPr>
          <w:sz w:val="24"/>
          <w:szCs w:val="24"/>
        </w:rPr>
      </w:pPr>
      <w:r>
        <w:rPr>
          <w:sz w:val="24"/>
          <w:szCs w:val="24"/>
        </w:rPr>
        <w:t xml:space="preserve">2.15实质性投标：满足有关本次采购标的、数量、质量、价款或者报酬、履行期限、履行地点和方式、违约责任和解决争议方法等要求。</w:t>
      </w:r>
      <w:r/>
    </w:p>
    <w:p>
      <w:pPr>
        <w:ind w:firstLine="420"/>
        <w:spacing w:line="360" w:lineRule="auto"/>
        <w:rPr>
          <w:sz w:val="24"/>
          <w:szCs w:val="24"/>
        </w:rPr>
      </w:pPr>
      <w:r>
        <w:rPr>
          <w:sz w:val="24"/>
          <w:szCs w:val="24"/>
        </w:rPr>
        <w:t xml:space="preserve">2.16进口产品：指通过中国海关报关验放进入中国境内且产自境外的产品。</w:t>
      </w:r>
      <w:r/>
    </w:p>
    <w:p>
      <w:pPr>
        <w:pStyle w:val="991"/>
        <w:spacing w:line="360" w:lineRule="auto"/>
        <w:rPr>
          <w:rFonts w:eastAsia="宋体"/>
          <w:szCs w:val="24"/>
          <w:lang w:eastAsia="zh-CN"/>
        </w:rPr>
      </w:pPr>
      <w:r>
        <w:rPr>
          <w:rFonts w:eastAsia="宋体"/>
          <w:szCs w:val="24"/>
          <w:lang w:eastAsia="zh-CN"/>
        </w:rPr>
        <w:t xml:space="preserve">2.17书面形式：指书面文字、合同书、信件和传真等可以有形地表现所载内容的形式。</w:t>
      </w:r>
      <w:bookmarkStart w:id="10" w:name="_Toc14976"/>
      <w:r/>
      <w:bookmarkStart w:id="11" w:name="_Toc13350"/>
      <w:r/>
      <w:r/>
    </w:p>
    <w:p>
      <w:pPr>
        <w:pStyle w:val="991"/>
        <w:ind w:firstLine="422"/>
        <w:spacing w:line="360" w:lineRule="auto"/>
        <w:rPr>
          <w:rFonts w:eastAsia="宋体"/>
          <w:szCs w:val="24"/>
          <w:lang w:eastAsia="zh-CN"/>
        </w:rPr>
      </w:pPr>
      <w:r>
        <w:rPr>
          <w:rFonts w:eastAsia="宋体"/>
          <w:b/>
          <w:szCs w:val="24"/>
          <w:lang w:eastAsia="zh-CN"/>
        </w:rPr>
        <w:t xml:space="preserve">二、投标人</w:t>
      </w:r>
      <w:bookmarkEnd w:id="10"/>
      <w:r/>
      <w:bookmarkEnd w:id="11"/>
      <w:r/>
      <w:r/>
    </w:p>
    <w:p>
      <w:pPr>
        <w:pStyle w:val="991"/>
        <w:ind w:firstLine="422"/>
        <w:spacing w:line="360" w:lineRule="auto"/>
        <w:rPr>
          <w:rFonts w:eastAsia="宋体"/>
          <w:b/>
          <w:szCs w:val="24"/>
          <w:lang w:eastAsia="zh-CN"/>
        </w:rPr>
      </w:pPr>
      <w:r>
        <w:rPr>
          <w:rFonts w:eastAsia="宋体"/>
          <w:b/>
          <w:szCs w:val="24"/>
          <w:lang w:eastAsia="zh-CN"/>
        </w:rPr>
        <w:t xml:space="preserve">3.合格投标人的资格条件：</w:t>
      </w:r>
      <w:r/>
    </w:p>
    <w:p>
      <w:pPr>
        <w:ind w:firstLine="420"/>
        <w:spacing w:line="360" w:lineRule="auto"/>
        <w:rPr>
          <w:sz w:val="24"/>
          <w:szCs w:val="24"/>
        </w:rPr>
      </w:pPr>
      <w:r>
        <w:rPr>
          <w:sz w:val="24"/>
          <w:szCs w:val="24"/>
        </w:rPr>
        <w:t xml:space="preserve">3.1满足《中华人民共和国政府采购法》第二十二条规定，投标人应当具备下列条件：</w:t>
      </w:r>
      <w:r/>
    </w:p>
    <w:p>
      <w:pPr>
        <w:ind w:firstLine="420"/>
        <w:spacing w:line="360" w:lineRule="auto"/>
        <w:rPr>
          <w:sz w:val="24"/>
          <w:szCs w:val="24"/>
        </w:rPr>
      </w:pPr>
      <w:r>
        <w:rPr>
          <w:sz w:val="24"/>
          <w:szCs w:val="24"/>
        </w:rPr>
        <w:t xml:space="preserve">（1）具有独立承担民事责任的能力；</w:t>
      </w:r>
      <w:r/>
    </w:p>
    <w:p>
      <w:pPr>
        <w:ind w:firstLine="420"/>
        <w:spacing w:line="360" w:lineRule="auto"/>
        <w:rPr>
          <w:sz w:val="24"/>
          <w:szCs w:val="24"/>
        </w:rPr>
      </w:pPr>
      <w:r>
        <w:rPr>
          <w:sz w:val="24"/>
          <w:szCs w:val="24"/>
        </w:rPr>
        <w:t xml:space="preserve">（2）具有良好的商业信誉和健全的财务会计制度；</w:t>
      </w:r>
      <w:r/>
    </w:p>
    <w:p>
      <w:pPr>
        <w:ind w:firstLine="420"/>
        <w:spacing w:line="360" w:lineRule="auto"/>
        <w:rPr>
          <w:sz w:val="24"/>
          <w:szCs w:val="24"/>
        </w:rPr>
      </w:pPr>
      <w:r>
        <w:rPr>
          <w:sz w:val="24"/>
          <w:szCs w:val="24"/>
        </w:rPr>
        <w:t xml:space="preserve">（3）具有履行合同所必需的设备和专业技术能力；</w:t>
      </w:r>
      <w:r/>
    </w:p>
    <w:p>
      <w:pPr>
        <w:ind w:firstLine="420"/>
        <w:spacing w:line="360" w:lineRule="auto"/>
        <w:rPr>
          <w:sz w:val="24"/>
          <w:szCs w:val="24"/>
        </w:rPr>
      </w:pPr>
      <w:r>
        <w:rPr>
          <w:sz w:val="24"/>
          <w:szCs w:val="24"/>
        </w:rPr>
        <w:t xml:space="preserve">（4）有依法缴纳税收和社会保障资金的良好记录；</w:t>
      </w:r>
      <w:r/>
    </w:p>
    <w:p>
      <w:pPr>
        <w:ind w:firstLine="420"/>
        <w:spacing w:line="360" w:lineRule="auto"/>
        <w:rPr>
          <w:sz w:val="24"/>
          <w:szCs w:val="24"/>
        </w:rPr>
      </w:pPr>
      <w:r>
        <w:rPr>
          <w:sz w:val="24"/>
          <w:szCs w:val="24"/>
        </w:rPr>
        <w:t xml:space="preserve">（5）参加政府采购活动前三年内，在经营活动中没有重大违法记录；</w:t>
      </w:r>
      <w:r/>
    </w:p>
    <w:p>
      <w:pPr>
        <w:ind w:firstLine="420"/>
        <w:spacing w:line="360" w:lineRule="auto"/>
        <w:rPr>
          <w:sz w:val="24"/>
          <w:szCs w:val="24"/>
        </w:rPr>
      </w:pPr>
      <w:r>
        <w:rPr>
          <w:sz w:val="24"/>
          <w:szCs w:val="24"/>
        </w:rPr>
        <w:t xml:space="preserve">（6）法律、行政法规规定的其他条件。</w:t>
      </w:r>
      <w:r/>
    </w:p>
    <w:p>
      <w:pPr>
        <w:ind w:firstLine="420"/>
        <w:spacing w:line="360" w:lineRule="auto"/>
        <w:rPr>
          <w:sz w:val="24"/>
          <w:szCs w:val="24"/>
        </w:rPr>
      </w:pPr>
      <w:r>
        <w:rPr>
          <w:sz w:val="24"/>
          <w:szCs w:val="24"/>
        </w:rPr>
        <w:t xml:space="preserve">3.2落实政府采购政策需满足的资格要求：见第一章</w:t>
      </w:r>
      <w:r/>
    </w:p>
    <w:p>
      <w:pPr>
        <w:ind w:firstLine="420"/>
        <w:spacing w:line="360" w:lineRule="auto"/>
        <w:rPr>
          <w:sz w:val="24"/>
          <w:szCs w:val="24"/>
        </w:rPr>
      </w:pPr>
      <w:r>
        <w:rPr>
          <w:sz w:val="24"/>
          <w:szCs w:val="24"/>
        </w:rPr>
        <w:t xml:space="preserve">3.3本项目的特定资格要求：见第一章</w:t>
      </w:r>
      <w:r/>
    </w:p>
    <w:p>
      <w:pPr>
        <w:ind w:firstLine="422"/>
        <w:spacing w:line="360" w:lineRule="auto"/>
        <w:rPr>
          <w:b/>
          <w:bCs/>
          <w:sz w:val="24"/>
          <w:szCs w:val="24"/>
        </w:rPr>
      </w:pPr>
      <w:r>
        <w:rPr>
          <w:b/>
          <w:bCs/>
          <w:sz w:val="24"/>
          <w:szCs w:val="24"/>
        </w:rPr>
        <w:t xml:space="preserve">4.投标人代表</w:t>
      </w:r>
      <w:r/>
    </w:p>
    <w:p>
      <w:pPr>
        <w:ind w:firstLine="420"/>
        <w:spacing w:line="360" w:lineRule="auto"/>
        <w:rPr>
          <w:sz w:val="24"/>
          <w:szCs w:val="24"/>
        </w:rPr>
      </w:pPr>
      <w:r>
        <w:rPr>
          <w:sz w:val="24"/>
          <w:szCs w:val="24"/>
        </w:rPr>
        <w:t xml:space="preserve">4.1指授权全权代表投标人参加投标活动并签署投标文件的人，如果投标人代表不是法人代表，须持有《法定代表人授权委托书》（详见统一格式）。</w:t>
      </w:r>
      <w:r/>
    </w:p>
    <w:p>
      <w:pPr>
        <w:pStyle w:val="991"/>
        <w:ind w:firstLine="422"/>
        <w:spacing w:line="360" w:lineRule="auto"/>
        <w:rPr>
          <w:rFonts w:eastAsia="宋体"/>
          <w:b/>
          <w:bCs/>
          <w:szCs w:val="24"/>
          <w:lang w:eastAsia="zh-CN"/>
        </w:rPr>
      </w:pPr>
      <w:r>
        <w:rPr>
          <w:rFonts w:eastAsia="宋体"/>
          <w:b/>
          <w:bCs/>
          <w:szCs w:val="24"/>
          <w:lang w:eastAsia="zh-CN"/>
        </w:rPr>
        <w:t xml:space="preserve">5.投标费用</w:t>
      </w:r>
      <w:r/>
    </w:p>
    <w:p>
      <w:pPr>
        <w:pStyle w:val="991"/>
        <w:spacing w:line="360" w:lineRule="auto"/>
        <w:rPr>
          <w:rFonts w:eastAsia="宋体"/>
          <w:szCs w:val="24"/>
          <w:lang w:eastAsia="zh-CN"/>
        </w:rPr>
      </w:pPr>
      <w:r>
        <w:rPr>
          <w:rFonts w:eastAsia="宋体"/>
          <w:szCs w:val="24"/>
          <w:lang w:eastAsia="zh-CN"/>
        </w:rPr>
        <w:t xml:space="preserve">5.1无论投标过程中的做法和结果如何，投标人自行承担所有与参加投标有关的全部费用。</w:t>
      </w:r>
      <w:r/>
    </w:p>
    <w:p>
      <w:pPr>
        <w:pStyle w:val="991"/>
        <w:spacing w:line="360" w:lineRule="auto"/>
        <w:rPr>
          <w:rFonts w:eastAsia="宋体"/>
          <w:szCs w:val="24"/>
          <w:lang w:eastAsia="zh-CN"/>
        </w:rPr>
      </w:pPr>
      <w:r>
        <w:rPr>
          <w:rFonts w:eastAsia="宋体"/>
          <w:szCs w:val="24"/>
          <w:lang w:eastAsia="zh-CN"/>
        </w:rPr>
        <w:t xml:space="preserve">5.2本次招标活动采购人和采购代理机构不收取标书工本费。</w:t>
      </w:r>
      <w:r/>
    </w:p>
    <w:p>
      <w:pPr>
        <w:pStyle w:val="991"/>
        <w:ind w:firstLine="422"/>
        <w:spacing w:line="360" w:lineRule="auto"/>
        <w:rPr>
          <w:rFonts w:eastAsia="宋体"/>
          <w:b/>
          <w:szCs w:val="24"/>
          <w:lang w:eastAsia="zh-CN"/>
        </w:rPr>
      </w:pPr>
      <w:r>
        <w:rPr>
          <w:rFonts w:eastAsia="宋体"/>
          <w:b/>
          <w:szCs w:val="24"/>
          <w:lang w:eastAsia="zh-CN"/>
        </w:rPr>
        <w:t xml:space="preserve">6.联合投标及转包、分包</w:t>
      </w:r>
      <w:r/>
    </w:p>
    <w:p>
      <w:pPr>
        <w:pStyle w:val="991"/>
        <w:spacing w:line="360" w:lineRule="auto"/>
        <w:rPr>
          <w:rFonts w:eastAsia="宋体"/>
          <w:szCs w:val="24"/>
          <w:lang w:eastAsia="zh-CN"/>
        </w:rPr>
      </w:pPr>
      <w:r>
        <w:rPr>
          <w:rFonts w:eastAsia="宋体"/>
          <w:szCs w:val="24"/>
          <w:lang w:eastAsia="zh-CN"/>
        </w:rPr>
        <w:t xml:space="preserve">6.1本项目不接受联合体投标。</w:t>
      </w:r>
      <w:r/>
    </w:p>
    <w:p>
      <w:pPr>
        <w:pStyle w:val="991"/>
        <w:spacing w:line="360" w:lineRule="auto"/>
        <w:rPr>
          <w:rFonts w:eastAsia="宋体"/>
          <w:szCs w:val="24"/>
          <w:lang w:eastAsia="zh-CN"/>
        </w:rPr>
      </w:pPr>
      <w:r>
        <w:rPr>
          <w:rFonts w:eastAsia="宋体"/>
          <w:szCs w:val="24"/>
          <w:lang w:eastAsia="zh-CN"/>
        </w:rPr>
        <w:t xml:space="preserve">6.2本项目不接受转包、分包。</w:t>
      </w:r>
      <w:bookmarkStart w:id="12" w:name="_Toc31958"/>
      <w:r/>
      <w:bookmarkStart w:id="13" w:name="_Toc5764"/>
      <w:r/>
      <w:r/>
    </w:p>
    <w:p>
      <w:pPr>
        <w:pStyle w:val="991"/>
        <w:spacing w:line="360" w:lineRule="auto"/>
        <w:rPr>
          <w:rFonts w:eastAsia="宋体"/>
          <w:szCs w:val="24"/>
          <w:lang w:eastAsia="zh-CN"/>
        </w:rPr>
      </w:pPr>
      <w:r>
        <w:rPr>
          <w:rFonts w:eastAsia="宋体"/>
          <w:szCs w:val="24"/>
          <w:lang w:eastAsia="zh-CN"/>
        </w:rPr>
        <w:t xml:space="preserve">6.3本项目不接受进口产品。</w:t>
      </w:r>
      <w:r/>
    </w:p>
    <w:p>
      <w:pPr>
        <w:pStyle w:val="991"/>
        <w:ind w:firstLine="422"/>
        <w:spacing w:line="360" w:lineRule="auto"/>
        <w:rPr>
          <w:rFonts w:eastAsia="宋体"/>
          <w:b/>
          <w:szCs w:val="24"/>
          <w:lang w:eastAsia="zh-CN"/>
        </w:rPr>
      </w:pPr>
      <w:r>
        <w:rPr>
          <w:rFonts w:eastAsia="宋体"/>
          <w:b/>
          <w:szCs w:val="24"/>
          <w:lang w:eastAsia="zh-CN"/>
        </w:rPr>
        <w:t xml:space="preserve">三、招标文件的说明</w:t>
      </w:r>
      <w:bookmarkEnd w:id="12"/>
      <w:r/>
      <w:bookmarkEnd w:id="13"/>
      <w:r/>
      <w:r/>
    </w:p>
    <w:p>
      <w:pPr>
        <w:pStyle w:val="991"/>
        <w:ind w:firstLine="422"/>
        <w:spacing w:line="360" w:lineRule="auto"/>
        <w:rPr>
          <w:rFonts w:eastAsia="宋体"/>
          <w:b/>
          <w:szCs w:val="24"/>
          <w:lang w:eastAsia="zh-CN"/>
        </w:rPr>
      </w:pPr>
      <w:r>
        <w:rPr>
          <w:rFonts w:eastAsia="宋体"/>
          <w:b/>
          <w:szCs w:val="24"/>
          <w:lang w:eastAsia="zh-CN"/>
        </w:rPr>
        <w:t xml:space="preserve">7.招标文件</w:t>
      </w:r>
      <w:r/>
    </w:p>
    <w:p>
      <w:pPr>
        <w:pStyle w:val="991"/>
        <w:spacing w:line="360" w:lineRule="auto"/>
        <w:rPr>
          <w:rFonts w:eastAsia="宋体"/>
          <w:szCs w:val="24"/>
          <w:lang w:eastAsia="zh-CN"/>
        </w:rPr>
      </w:pPr>
      <w:r>
        <w:rPr>
          <w:rFonts w:eastAsia="宋体"/>
          <w:szCs w:val="24"/>
          <w:lang w:eastAsia="zh-CN"/>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91"/>
        <w:spacing w:line="360" w:lineRule="auto"/>
        <w:rPr>
          <w:rFonts w:eastAsia="宋体"/>
          <w:szCs w:val="24"/>
          <w:lang w:eastAsia="zh-CN"/>
        </w:rPr>
      </w:pPr>
      <w:r>
        <w:rPr>
          <w:rFonts w:eastAsia="宋体"/>
          <w:szCs w:val="24"/>
          <w:lang w:eastAsia="zh-CN"/>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firstLine="422"/>
        <w:spacing w:line="360" w:lineRule="auto"/>
        <w:rPr>
          <w:b/>
          <w:sz w:val="24"/>
          <w:szCs w:val="24"/>
        </w:rPr>
      </w:pPr>
      <w:r>
        <w:rPr>
          <w:b/>
          <w:sz w:val="24"/>
          <w:szCs w:val="24"/>
        </w:rPr>
        <w:t xml:space="preserve">8.招标文件的澄清和修改</w:t>
      </w:r>
      <w:r/>
    </w:p>
    <w:p>
      <w:pPr>
        <w:pStyle w:val="991"/>
        <w:spacing w:line="360" w:lineRule="auto"/>
        <w:rPr>
          <w:rFonts w:eastAsia="宋体"/>
          <w:szCs w:val="24"/>
          <w:lang w:eastAsia="zh-CN"/>
        </w:rPr>
      </w:pPr>
      <w:r>
        <w:rPr>
          <w:rFonts w:eastAsia="宋体"/>
          <w:szCs w:val="24"/>
          <w:lang w:eastAsia="zh-CN"/>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91"/>
        <w:spacing w:line="360" w:lineRule="auto"/>
        <w:rPr>
          <w:rFonts w:eastAsia="宋体"/>
          <w:szCs w:val="24"/>
          <w:lang w:eastAsia="zh-CN"/>
        </w:rPr>
      </w:pPr>
      <w:r>
        <w:rPr>
          <w:rFonts w:eastAsia="宋体"/>
          <w:szCs w:val="24"/>
          <w:lang w:eastAsia="zh-CN"/>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91"/>
        <w:spacing w:line="360" w:lineRule="auto"/>
        <w:rPr>
          <w:rFonts w:eastAsia="宋体"/>
          <w:szCs w:val="24"/>
          <w:lang w:eastAsia="zh-CN"/>
        </w:rPr>
      </w:pPr>
      <w:r>
        <w:rPr>
          <w:rFonts w:eastAsia="宋体"/>
          <w:szCs w:val="24"/>
          <w:lang w:eastAsia="zh-CN"/>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91"/>
        <w:spacing w:line="360" w:lineRule="auto"/>
        <w:rPr>
          <w:rFonts w:eastAsia="宋体"/>
          <w:szCs w:val="24"/>
          <w:lang w:eastAsia="zh-CN"/>
        </w:rPr>
      </w:pPr>
      <w:r>
        <w:rPr>
          <w:rFonts w:eastAsia="宋体"/>
          <w:szCs w:val="24"/>
          <w:lang w:eastAsia="zh-CN"/>
        </w:rPr>
        <w:t xml:space="preserve">8.4招标文件的澄清、修改、补充等内容均以苏州市政府采购网上发布的内容为准。</w:t>
      </w:r>
      <w:r/>
    </w:p>
    <w:p>
      <w:pPr>
        <w:ind w:firstLine="422"/>
        <w:spacing w:line="360" w:lineRule="auto"/>
        <w:rPr>
          <w:b/>
          <w:sz w:val="24"/>
          <w:szCs w:val="24"/>
        </w:rPr>
      </w:pPr>
      <w:r>
        <w:rPr>
          <w:b/>
          <w:sz w:val="24"/>
          <w:szCs w:val="24"/>
        </w:rPr>
        <w:t xml:space="preserve">9.勘察现场（不涉及此条的忽略）</w:t>
      </w:r>
      <w:r/>
    </w:p>
    <w:p>
      <w:pPr>
        <w:ind w:firstLine="420"/>
        <w:spacing w:line="360" w:lineRule="auto"/>
        <w:rPr>
          <w:sz w:val="24"/>
          <w:szCs w:val="24"/>
        </w:rPr>
      </w:pPr>
      <w:r>
        <w:rPr>
          <w:sz w:val="24"/>
          <w:szCs w:val="24"/>
        </w:rPr>
        <w:t xml:space="preserve">9.1根据自身投标需要，投标人可对有关现场和周围环境进行勘察，以获取编制投标文件和签署合同所需的信息。勘察现场所发生的费用由投标人自己承担。</w:t>
      </w:r>
      <w:r/>
    </w:p>
    <w:p>
      <w:pPr>
        <w:ind w:firstLine="420"/>
        <w:spacing w:line="360" w:lineRule="auto"/>
        <w:rPr>
          <w:sz w:val="24"/>
          <w:szCs w:val="24"/>
        </w:rPr>
      </w:pPr>
      <w:r>
        <w:rPr>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sz w:val="24"/>
          <w:szCs w:val="24"/>
        </w:rPr>
      </w:pPr>
      <w:r>
        <w:rPr>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20"/>
        <w:spacing w:line="360" w:lineRule="auto"/>
        <w:rPr>
          <w:sz w:val="24"/>
          <w:szCs w:val="24"/>
        </w:rPr>
      </w:pPr>
      <w:r>
        <w:rPr>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2"/>
        <w:spacing w:line="360" w:lineRule="auto"/>
        <w:rPr>
          <w:b/>
          <w:sz w:val="24"/>
          <w:szCs w:val="24"/>
        </w:rPr>
      </w:pPr>
      <w:r>
        <w:rPr>
          <w:b/>
          <w:sz w:val="24"/>
          <w:szCs w:val="24"/>
        </w:rPr>
        <w:t xml:space="preserve">10.投标质疑</w:t>
      </w:r>
      <w:r/>
    </w:p>
    <w:p>
      <w:pPr>
        <w:pStyle w:val="991"/>
        <w:spacing w:line="360" w:lineRule="auto"/>
        <w:rPr>
          <w:rFonts w:eastAsia="宋体"/>
          <w:szCs w:val="24"/>
          <w:lang w:eastAsia="zh-CN"/>
        </w:rPr>
      </w:pPr>
      <w:r/>
      <w:bookmarkStart w:id="14" w:name="_Toc19463"/>
      <w:r/>
      <w:bookmarkStart w:id="15" w:name="_Toc16745"/>
      <w:r>
        <w:rPr>
          <w:rFonts w:eastAsia="宋体"/>
          <w:szCs w:val="24"/>
          <w:lang w:eastAsia="zh-CN"/>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91"/>
        <w:spacing w:line="360" w:lineRule="auto"/>
        <w:rPr>
          <w:rFonts w:eastAsia="宋体"/>
          <w:szCs w:val="24"/>
          <w:lang w:eastAsia="zh-CN"/>
        </w:rPr>
      </w:pPr>
      <w:r>
        <w:rPr>
          <w:rFonts w:eastAsia="宋体"/>
          <w:szCs w:val="24"/>
          <w:lang w:eastAsia="zh-CN"/>
        </w:rPr>
        <w:t xml:space="preserve">10.2本次招标文件要求供应商在法定质疑期内一次性提出针对同一采购程序环节的质疑，否则不予受理。</w:t>
      </w:r>
      <w:r/>
    </w:p>
    <w:p>
      <w:pPr>
        <w:pStyle w:val="991"/>
        <w:spacing w:line="360" w:lineRule="auto"/>
        <w:rPr>
          <w:rFonts w:eastAsia="宋体"/>
          <w:szCs w:val="24"/>
          <w:lang w:eastAsia="zh-CN"/>
        </w:rPr>
      </w:pPr>
      <w:r>
        <w:rPr>
          <w:rFonts w:eastAsia="宋体"/>
          <w:szCs w:val="24"/>
          <w:lang w:eastAsia="zh-CN"/>
        </w:rPr>
        <w:t xml:space="preserve">10.3供应商提出质疑应当提交质疑函和必要的证明材料，质疑函应当包括下列内容：</w:t>
      </w:r>
      <w:r/>
    </w:p>
    <w:p>
      <w:pPr>
        <w:pStyle w:val="991"/>
        <w:spacing w:line="360" w:lineRule="auto"/>
        <w:rPr>
          <w:rFonts w:eastAsia="宋体"/>
          <w:szCs w:val="24"/>
          <w:lang w:eastAsia="zh-CN"/>
        </w:rPr>
      </w:pPr>
      <w:r>
        <w:rPr>
          <w:rFonts w:eastAsia="宋体"/>
          <w:szCs w:val="24"/>
          <w:lang w:eastAsia="zh-CN"/>
        </w:rPr>
        <w:t xml:space="preserve">（1）供应商的姓名或者名称（以提供的营业执照副本复印件为准）、地址、邮编、联系人及联系电话；</w:t>
      </w:r>
      <w:r/>
    </w:p>
    <w:p>
      <w:pPr>
        <w:pStyle w:val="991"/>
        <w:spacing w:line="360" w:lineRule="auto"/>
        <w:rPr>
          <w:rFonts w:eastAsia="宋体"/>
          <w:szCs w:val="24"/>
          <w:lang w:eastAsia="zh-CN"/>
        </w:rPr>
      </w:pPr>
      <w:r>
        <w:rPr>
          <w:rFonts w:eastAsia="宋体"/>
          <w:szCs w:val="24"/>
          <w:lang w:eastAsia="zh-CN"/>
        </w:rPr>
        <w:t xml:space="preserve">（2）质疑项目的名称、编号；</w:t>
      </w:r>
      <w:r/>
    </w:p>
    <w:p>
      <w:pPr>
        <w:pStyle w:val="991"/>
        <w:spacing w:line="360" w:lineRule="auto"/>
        <w:rPr>
          <w:rFonts w:eastAsia="宋体"/>
          <w:szCs w:val="24"/>
          <w:lang w:eastAsia="zh-CN"/>
        </w:rPr>
      </w:pPr>
      <w:r>
        <w:rPr>
          <w:rFonts w:eastAsia="宋体"/>
          <w:szCs w:val="24"/>
          <w:lang w:eastAsia="zh-CN"/>
        </w:rPr>
        <w:t xml:space="preserve">（3）具体、明确的质疑事项和与质疑事项相关的请求；</w:t>
      </w:r>
      <w:r/>
    </w:p>
    <w:p>
      <w:pPr>
        <w:pStyle w:val="991"/>
        <w:spacing w:line="360" w:lineRule="auto"/>
        <w:rPr>
          <w:rFonts w:eastAsia="宋体"/>
          <w:szCs w:val="24"/>
          <w:lang w:eastAsia="zh-CN"/>
        </w:rPr>
      </w:pPr>
      <w:r>
        <w:rPr>
          <w:rFonts w:eastAsia="宋体"/>
          <w:szCs w:val="24"/>
          <w:lang w:eastAsia="zh-CN"/>
        </w:rPr>
        <w:t xml:space="preserve">（4）事实依据；</w:t>
      </w:r>
      <w:r/>
    </w:p>
    <w:p>
      <w:pPr>
        <w:pStyle w:val="991"/>
        <w:spacing w:line="360" w:lineRule="auto"/>
        <w:rPr>
          <w:rFonts w:eastAsia="宋体"/>
          <w:szCs w:val="24"/>
          <w:lang w:eastAsia="zh-CN"/>
        </w:rPr>
      </w:pPr>
      <w:r>
        <w:rPr>
          <w:rFonts w:eastAsia="宋体"/>
          <w:szCs w:val="24"/>
          <w:lang w:eastAsia="zh-CN"/>
        </w:rPr>
        <w:t xml:space="preserve">（5）必要的法律依据；</w:t>
      </w:r>
      <w:r/>
    </w:p>
    <w:p>
      <w:pPr>
        <w:pStyle w:val="991"/>
        <w:spacing w:line="360" w:lineRule="auto"/>
        <w:rPr>
          <w:rFonts w:eastAsia="宋体"/>
          <w:szCs w:val="24"/>
          <w:lang w:eastAsia="zh-CN"/>
        </w:rPr>
      </w:pPr>
      <w:r>
        <w:rPr>
          <w:rFonts w:eastAsia="宋体"/>
          <w:szCs w:val="24"/>
          <w:lang w:eastAsia="zh-CN"/>
        </w:rPr>
        <w:t xml:space="preserve">（6）提出质疑的日期。</w:t>
      </w:r>
      <w:r/>
    </w:p>
    <w:p>
      <w:pPr>
        <w:pStyle w:val="991"/>
        <w:spacing w:line="360" w:lineRule="auto"/>
        <w:rPr>
          <w:rFonts w:eastAsia="宋体"/>
          <w:szCs w:val="24"/>
          <w:lang w:eastAsia="zh-CN"/>
        </w:rPr>
      </w:pPr>
      <w:r>
        <w:rPr>
          <w:rFonts w:eastAsia="宋体"/>
          <w:szCs w:val="24"/>
          <w:lang w:eastAsia="zh-CN"/>
        </w:rPr>
        <w:t xml:space="preserve">供应商为自然人的，应当由本人签字；供应商为法人或者其他组织的，应当由法定代表人、主要负责人，或者其授权代表签字或者盖章，并加盖公章。供应商委托代理进行质疑的，其</w:t>
      </w:r>
      <w:r>
        <w:rPr>
          <w:rFonts w:eastAsia="宋体"/>
          <w:b/>
          <w:szCs w:val="24"/>
          <w:lang w:eastAsia="zh-CN"/>
        </w:rPr>
        <w:t xml:space="preserve">授权委托书</w:t>
      </w:r>
      <w:r>
        <w:rPr>
          <w:rFonts w:eastAsia="宋体"/>
          <w:szCs w:val="24"/>
          <w:lang w:eastAsia="zh-CN"/>
        </w:rPr>
        <w:t xml:space="preserve">上应当载明代理人的姓名或者名称、代理事项、具体权限、期限和相关事项。</w:t>
      </w:r>
      <w:r/>
    </w:p>
    <w:p>
      <w:pPr>
        <w:pStyle w:val="991"/>
        <w:ind w:firstLine="422"/>
        <w:spacing w:line="360" w:lineRule="auto"/>
        <w:rPr>
          <w:rFonts w:eastAsia="宋体"/>
          <w:b/>
          <w:szCs w:val="24"/>
        </w:rPr>
      </w:pPr>
      <w:r>
        <w:rPr>
          <w:rFonts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eastAsia="宋体"/>
          <w:szCs w:val="24"/>
        </w:rPr>
        <w:t xml:space="preserve">。</w:t>
      </w:r>
      <w:r/>
    </w:p>
    <w:p>
      <w:pPr>
        <w:pStyle w:val="991"/>
        <w:spacing w:line="360" w:lineRule="auto"/>
        <w:rPr>
          <w:rFonts w:eastAsia="宋体"/>
          <w:b/>
          <w:szCs w:val="24"/>
          <w:lang w:eastAsia="zh-CN"/>
        </w:rPr>
      </w:pPr>
      <w:r>
        <w:rPr>
          <w:rFonts w:eastAsia="宋体"/>
          <w:szCs w:val="24"/>
          <w:lang w:eastAsia="zh-CN"/>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eastAsia="宋体"/>
          <w:b/>
          <w:szCs w:val="24"/>
          <w:lang w:eastAsia="zh-CN"/>
        </w:rPr>
        <w:t xml:space="preserve">《投标供应商确认函》</w:t>
      </w:r>
      <w:r>
        <w:rPr>
          <w:rFonts w:eastAsia="宋体"/>
          <w:szCs w:val="24"/>
          <w:lang w:eastAsia="zh-CN"/>
        </w:rPr>
        <w:t xml:space="preserve">）与质疑函一起递交，否则不予受理。</w:t>
      </w:r>
      <w:r/>
    </w:p>
    <w:p>
      <w:pPr>
        <w:pStyle w:val="991"/>
        <w:spacing w:line="360" w:lineRule="auto"/>
        <w:rPr>
          <w:rFonts w:eastAsia="宋体"/>
          <w:szCs w:val="24"/>
          <w:lang w:eastAsia="zh-CN"/>
        </w:rPr>
      </w:pPr>
      <w:r>
        <w:rPr>
          <w:rFonts w:eastAsia="宋体"/>
          <w:szCs w:val="24"/>
          <w:lang w:eastAsia="zh-CN"/>
        </w:rPr>
        <w:t xml:space="preserve">10.5接收质疑函的方式：书面形式（当场送达或邮寄方式）。</w:t>
      </w:r>
      <w:r/>
    </w:p>
    <w:p>
      <w:pPr>
        <w:pStyle w:val="991"/>
        <w:spacing w:line="360" w:lineRule="auto"/>
        <w:rPr>
          <w:rFonts w:eastAsia="宋体"/>
          <w:szCs w:val="24"/>
          <w:lang w:eastAsia="zh-CN"/>
        </w:rPr>
      </w:pPr>
      <w:r>
        <w:rPr>
          <w:rFonts w:eastAsia="宋体"/>
          <w:szCs w:val="24"/>
          <w:lang w:eastAsia="zh-CN"/>
        </w:rPr>
        <w:t xml:space="preserve">质疑联系人：王新东</w:t>
      </w:r>
      <w:r>
        <w:rPr>
          <w:rFonts w:eastAsia="宋体"/>
          <w:szCs w:val="24"/>
          <w:lang w:eastAsia="zh-CN"/>
        </w:rPr>
        <w:tab/>
      </w:r>
      <w:r/>
    </w:p>
    <w:p>
      <w:pPr>
        <w:pStyle w:val="991"/>
        <w:spacing w:line="360" w:lineRule="auto"/>
        <w:rPr>
          <w:rFonts w:eastAsia="宋体"/>
          <w:szCs w:val="24"/>
          <w:lang w:eastAsia="zh-CN"/>
        </w:rPr>
      </w:pPr>
      <w:r>
        <w:rPr>
          <w:rFonts w:eastAsia="宋体"/>
          <w:szCs w:val="24"/>
          <w:lang w:eastAsia="zh-CN"/>
        </w:rPr>
        <w:t xml:space="preserve">联系电话：</w:t>
      </w:r>
      <w:r>
        <w:rPr>
          <w:rFonts w:eastAsia="宋体"/>
          <w:color w:val="333333"/>
          <w:lang w:eastAsia="zh-CN"/>
        </w:rPr>
        <w:t xml:space="preserve">0512-67087921</w:t>
      </w:r>
      <w:r/>
    </w:p>
    <w:p>
      <w:pPr>
        <w:pStyle w:val="991"/>
        <w:spacing w:line="360" w:lineRule="auto"/>
        <w:rPr>
          <w:rFonts w:eastAsia="宋体"/>
          <w:szCs w:val="24"/>
          <w:lang w:eastAsia="zh-CN"/>
        </w:rPr>
      </w:pPr>
      <w:r>
        <w:rPr>
          <w:rFonts w:eastAsia="宋体"/>
          <w:szCs w:val="24"/>
          <w:lang w:eastAsia="zh-CN"/>
        </w:rPr>
        <w:t xml:space="preserve">现场递交地址: 苏州市吴中区吴中大道70号-吴中供水公司新大楼6楼</w:t>
      </w:r>
      <w:r/>
    </w:p>
    <w:p>
      <w:pPr>
        <w:pStyle w:val="991"/>
        <w:spacing w:line="360" w:lineRule="auto"/>
        <w:rPr>
          <w:rFonts w:eastAsia="宋体"/>
          <w:szCs w:val="24"/>
          <w:lang w:eastAsia="zh-CN"/>
        </w:rPr>
      </w:pPr>
      <w:r>
        <w:rPr>
          <w:rFonts w:eastAsia="宋体"/>
          <w:szCs w:val="24"/>
          <w:lang w:eastAsia="zh-CN"/>
        </w:rPr>
        <w:t xml:space="preserve">邮寄收取地址: 苏州市吴中区吴中大道70号-吴中供水公司新大楼6楼</w:t>
      </w:r>
      <w:r/>
    </w:p>
    <w:p>
      <w:pPr>
        <w:pStyle w:val="991"/>
        <w:ind w:firstLine="422"/>
        <w:spacing w:line="360" w:lineRule="auto"/>
        <w:rPr>
          <w:rFonts w:eastAsia="宋体"/>
          <w:b/>
          <w:szCs w:val="24"/>
          <w:lang w:eastAsia="zh-CN"/>
        </w:rPr>
      </w:pPr>
      <w:r>
        <w:rPr>
          <w:rFonts w:eastAsia="宋体"/>
          <w:b/>
          <w:szCs w:val="24"/>
          <w:lang w:eastAsia="zh-CN"/>
        </w:rPr>
        <w:t xml:space="preserve">四、投标文件说明</w:t>
      </w:r>
      <w:bookmarkEnd w:id="14"/>
      <w:r/>
      <w:bookmarkEnd w:id="15"/>
      <w:r/>
      <w:r/>
    </w:p>
    <w:p>
      <w:pPr>
        <w:pStyle w:val="991"/>
        <w:ind w:firstLine="422"/>
        <w:spacing w:line="360" w:lineRule="auto"/>
        <w:rPr>
          <w:rFonts w:eastAsia="宋体"/>
          <w:b/>
          <w:szCs w:val="24"/>
          <w:lang w:eastAsia="zh-CN"/>
        </w:rPr>
      </w:pPr>
      <w:r>
        <w:rPr>
          <w:rFonts w:eastAsia="宋体"/>
          <w:b/>
          <w:szCs w:val="24"/>
          <w:lang w:eastAsia="zh-CN"/>
        </w:rPr>
        <w:t xml:space="preserve">11.提示与要求</w:t>
      </w:r>
      <w:r/>
    </w:p>
    <w:p>
      <w:pPr>
        <w:pStyle w:val="991"/>
        <w:spacing w:line="360" w:lineRule="auto"/>
        <w:rPr>
          <w:rFonts w:eastAsia="宋体"/>
          <w:szCs w:val="24"/>
          <w:lang w:eastAsia="zh-CN"/>
        </w:rPr>
      </w:pPr>
      <w:r>
        <w:rPr>
          <w:rFonts w:eastAsia="宋体"/>
          <w:szCs w:val="24"/>
          <w:lang w:eastAsia="zh-CN"/>
        </w:rPr>
        <w:t xml:space="preserve">11.1投标人应仔细阅读招标文件的所有内容，应当按照招标文件的要求编制投标文件，并保证所提供全部资料的真实性，以使其投标对招标文件作出实质性投标，否则，其投标可能被拒绝。</w:t>
      </w:r>
      <w:r/>
    </w:p>
    <w:p>
      <w:pPr>
        <w:pStyle w:val="991"/>
        <w:spacing w:line="360" w:lineRule="auto"/>
        <w:rPr>
          <w:rFonts w:eastAsia="宋体"/>
          <w:szCs w:val="24"/>
          <w:lang w:eastAsia="zh-CN"/>
        </w:rPr>
      </w:pPr>
      <w:r>
        <w:rPr>
          <w:rFonts w:eastAsia="宋体"/>
          <w:szCs w:val="24"/>
          <w:lang w:eastAsia="zh-CN"/>
        </w:rPr>
        <w:t xml:space="preserve">11.2无论是否递交投标文件，投标人都应将招标文件及以后的所有通知、文件等视为保密文件。</w:t>
      </w:r>
      <w:r/>
    </w:p>
    <w:p>
      <w:pPr>
        <w:pStyle w:val="991"/>
        <w:ind w:firstLine="422"/>
        <w:spacing w:line="360" w:lineRule="auto"/>
        <w:rPr>
          <w:rFonts w:eastAsia="宋体"/>
          <w:szCs w:val="24"/>
          <w:lang w:eastAsia="zh-CN"/>
        </w:rPr>
      </w:pPr>
      <w:r>
        <w:rPr>
          <w:rFonts w:eastAsia="宋体"/>
          <w:b/>
          <w:szCs w:val="24"/>
          <w:lang w:eastAsia="zh-CN"/>
        </w:rPr>
        <w:t xml:space="preserve">12.投标文件计量单位和使用文字</w:t>
      </w:r>
      <w:r/>
    </w:p>
    <w:p>
      <w:pPr>
        <w:pStyle w:val="991"/>
        <w:spacing w:line="360" w:lineRule="auto"/>
        <w:rPr>
          <w:rFonts w:eastAsia="宋体"/>
          <w:szCs w:val="24"/>
          <w:lang w:eastAsia="zh-CN"/>
        </w:rPr>
      </w:pPr>
      <w:r>
        <w:rPr>
          <w:rFonts w:eastAsia="宋体"/>
          <w:szCs w:val="24"/>
          <w:lang w:eastAsia="zh-CN"/>
        </w:rPr>
        <w:t xml:space="preserve">12.1投标文件中所使用的计量单位，除招标文件中有特殊要求外，均应使用中华人民共和国法定计量单位。</w:t>
      </w:r>
      <w:r/>
    </w:p>
    <w:p>
      <w:pPr>
        <w:pStyle w:val="991"/>
        <w:spacing w:line="360" w:lineRule="auto"/>
        <w:rPr>
          <w:rFonts w:eastAsia="宋体"/>
          <w:szCs w:val="24"/>
          <w:lang w:eastAsia="zh-CN"/>
        </w:rPr>
      </w:pPr>
      <w:r>
        <w:rPr>
          <w:rFonts w:eastAsia="宋体"/>
          <w:szCs w:val="24"/>
          <w:lang w:eastAsia="zh-CN"/>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firstLine="422"/>
        <w:spacing w:line="360" w:lineRule="auto"/>
        <w:rPr>
          <w:b/>
          <w:sz w:val="24"/>
          <w:szCs w:val="24"/>
        </w:rPr>
      </w:pPr>
      <w:r>
        <w:rPr>
          <w:b/>
          <w:sz w:val="24"/>
          <w:szCs w:val="24"/>
        </w:rPr>
        <w:t xml:space="preserve">13. 知识产权</w:t>
      </w:r>
      <w:r/>
    </w:p>
    <w:p>
      <w:pPr>
        <w:ind w:firstLine="420"/>
        <w:spacing w:line="360" w:lineRule="auto"/>
        <w:rPr>
          <w:sz w:val="24"/>
          <w:szCs w:val="24"/>
        </w:rPr>
      </w:pPr>
      <w:r>
        <w:rPr>
          <w:sz w:val="24"/>
          <w:szCs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tabs>
          <w:tab w:val="left" w:pos="567" w:leader="none"/>
        </w:tabs>
        <w:rPr>
          <w:b/>
          <w:sz w:val="24"/>
          <w:szCs w:val="24"/>
        </w:rPr>
      </w:pPr>
      <w:r>
        <w:rPr>
          <w:b/>
          <w:sz w:val="24"/>
          <w:szCs w:val="24"/>
        </w:rPr>
        <w:t xml:space="preserve">14.投标文件的组成</w:t>
      </w:r>
      <w:r/>
    </w:p>
    <w:p>
      <w:pPr>
        <w:ind w:firstLine="422"/>
        <w:spacing w:line="360" w:lineRule="auto"/>
        <w:rPr>
          <w:b/>
          <w:sz w:val="24"/>
          <w:szCs w:val="24"/>
        </w:rPr>
      </w:pPr>
      <w:r>
        <w:rPr>
          <w:b/>
          <w:sz w:val="24"/>
          <w:szCs w:val="24"/>
        </w:rPr>
        <w:t xml:space="preserve">14.1投标文件</w:t>
      </w:r>
      <w:r/>
    </w:p>
    <w:p>
      <w:pPr>
        <w:ind w:firstLine="422"/>
        <w:spacing w:line="360" w:lineRule="auto"/>
        <w:rPr>
          <w:b/>
          <w:sz w:val="24"/>
          <w:szCs w:val="24"/>
        </w:rPr>
      </w:pPr>
      <w:r>
        <w:rPr>
          <w:b/>
          <w:sz w:val="24"/>
          <w:szCs w:val="24"/>
        </w:rPr>
        <w:t xml:space="preserve">14.1.1封面</w:t>
      </w:r>
      <w:r/>
    </w:p>
    <w:p>
      <w:pPr>
        <w:ind w:firstLine="422"/>
        <w:spacing w:line="360" w:lineRule="auto"/>
        <w:rPr>
          <w:sz w:val="24"/>
          <w:szCs w:val="24"/>
        </w:rPr>
      </w:pPr>
      <w:r>
        <w:rPr>
          <w:b/>
          <w:sz w:val="24"/>
          <w:szCs w:val="24"/>
        </w:rPr>
        <w:t xml:space="preserve">14.1.2开标一览表</w:t>
      </w:r>
      <w:r/>
    </w:p>
    <w:p>
      <w:pPr>
        <w:ind w:firstLine="422"/>
        <w:spacing w:line="360" w:lineRule="auto"/>
        <w:rPr>
          <w:b/>
          <w:sz w:val="24"/>
          <w:szCs w:val="24"/>
        </w:rPr>
      </w:pPr>
      <w:r>
        <w:rPr>
          <w:b/>
          <w:sz w:val="24"/>
          <w:szCs w:val="24"/>
        </w:rPr>
        <w:t xml:space="preserve">14.1.3公开分项报价</w:t>
      </w:r>
      <w:r/>
    </w:p>
    <w:p>
      <w:pPr>
        <w:ind w:firstLine="422"/>
        <w:spacing w:line="360" w:lineRule="auto"/>
        <w:rPr>
          <w:b/>
          <w:sz w:val="24"/>
          <w:szCs w:val="24"/>
        </w:rPr>
      </w:pPr>
      <w:r>
        <w:rPr>
          <w:b/>
          <w:sz w:val="24"/>
          <w:szCs w:val="24"/>
        </w:rPr>
        <w:t xml:space="preserve">14.1.4资格审查文件</w:t>
      </w:r>
      <w:r/>
    </w:p>
    <w:p>
      <w:pPr>
        <w:pStyle w:val="991"/>
        <w:spacing w:line="360" w:lineRule="auto"/>
        <w:rPr>
          <w:rFonts w:eastAsia="宋体"/>
          <w:szCs w:val="24"/>
          <w:lang w:eastAsia="zh-CN"/>
        </w:rPr>
      </w:pPr>
      <w:r>
        <w:rPr>
          <w:rFonts w:eastAsia="宋体"/>
          <w:szCs w:val="24"/>
          <w:lang w:eastAsia="zh-CN"/>
        </w:rPr>
        <w:t xml:space="preserve">14.1.4.1关于资格文件的声明函（格式见第三章）；</w:t>
      </w:r>
      <w:r/>
    </w:p>
    <w:p>
      <w:pPr>
        <w:pStyle w:val="991"/>
        <w:spacing w:line="360" w:lineRule="auto"/>
        <w:rPr>
          <w:rFonts w:eastAsia="宋体"/>
          <w:szCs w:val="24"/>
          <w:lang w:eastAsia="zh-CN"/>
        </w:rPr>
      </w:pPr>
      <w:r>
        <w:rPr>
          <w:rFonts w:eastAsia="宋体"/>
          <w:szCs w:val="24"/>
          <w:lang w:eastAsia="zh-CN"/>
        </w:rPr>
        <w:t xml:space="preserve">14.1.4.2投标人基本情况表（格式见第三章）；</w:t>
      </w:r>
      <w:r/>
    </w:p>
    <w:p>
      <w:pPr>
        <w:pStyle w:val="991"/>
        <w:spacing w:line="360" w:lineRule="auto"/>
        <w:rPr>
          <w:rFonts w:eastAsia="宋体"/>
          <w:szCs w:val="24"/>
          <w:lang w:eastAsia="zh-CN"/>
        </w:rPr>
      </w:pPr>
      <w:r>
        <w:rPr>
          <w:rFonts w:eastAsia="宋体"/>
          <w:szCs w:val="24"/>
          <w:lang w:eastAsia="zh-CN"/>
        </w:rPr>
        <w:t xml:space="preserve">14.1.4.3投标人法定代表人身份证复印件；</w:t>
      </w:r>
      <w:r/>
    </w:p>
    <w:p>
      <w:pPr>
        <w:pStyle w:val="991"/>
        <w:spacing w:line="360" w:lineRule="auto"/>
        <w:rPr>
          <w:rFonts w:eastAsia="宋体"/>
          <w:szCs w:val="24"/>
          <w:lang w:eastAsia="zh-CN"/>
        </w:rPr>
      </w:pPr>
      <w:r>
        <w:rPr>
          <w:rFonts w:eastAsia="宋体"/>
          <w:szCs w:val="24"/>
          <w:lang w:eastAsia="zh-CN"/>
        </w:rPr>
        <w:t xml:space="preserve">14.1.4.4法定代表人授权委托书（如有授权，格式见第三章）；</w:t>
      </w:r>
      <w:r/>
    </w:p>
    <w:p>
      <w:pPr>
        <w:ind w:firstLine="420"/>
        <w:spacing w:line="360" w:lineRule="auto"/>
        <w:rPr>
          <w:bCs/>
          <w:sz w:val="24"/>
          <w:szCs w:val="24"/>
        </w:rPr>
      </w:pPr>
      <w:r>
        <w:rPr>
          <w:bCs/>
          <w:sz w:val="24"/>
          <w:szCs w:val="24"/>
        </w:rPr>
        <w:t xml:space="preserve">14.1.4.5投标人授权代理人身份证复印件（如有授权）；</w:t>
      </w:r>
      <w:r/>
    </w:p>
    <w:p>
      <w:pPr>
        <w:ind w:firstLine="420"/>
        <w:spacing w:line="360" w:lineRule="auto"/>
        <w:rPr>
          <w:bCs/>
          <w:sz w:val="24"/>
          <w:szCs w:val="24"/>
        </w:rPr>
      </w:pPr>
      <w:r>
        <w:rPr>
          <w:bCs/>
          <w:sz w:val="24"/>
          <w:szCs w:val="24"/>
        </w:rPr>
        <w:t xml:space="preserve">14.1.4.6合格投标人资格证明材料：</w:t>
      </w:r>
      <w:r/>
    </w:p>
    <w:p>
      <w:pPr>
        <w:ind w:firstLine="420"/>
        <w:spacing w:line="360" w:lineRule="auto"/>
        <w:rPr>
          <w:bCs/>
          <w:sz w:val="24"/>
          <w:szCs w:val="24"/>
        </w:rPr>
      </w:pPr>
      <w:r>
        <w:rPr>
          <w:bCs/>
          <w:sz w:val="24"/>
          <w:szCs w:val="24"/>
        </w:rPr>
        <w:t xml:space="preserve">（1）具有独立承担民事责任的能力证明。包括法人或者其他组织的营业执照等证明文件，自然人的身份证明；</w:t>
      </w:r>
      <w:r/>
    </w:p>
    <w:p>
      <w:pPr>
        <w:ind w:firstLine="420"/>
        <w:spacing w:line="360" w:lineRule="auto"/>
        <w:rPr>
          <w:bCs/>
          <w:sz w:val="24"/>
          <w:szCs w:val="24"/>
        </w:rPr>
      </w:pPr>
      <w:r>
        <w:rPr>
          <w:bCs/>
          <w:sz w:val="24"/>
          <w:szCs w:val="24"/>
        </w:rPr>
        <w:t xml:space="preserve">（2）具有良好的商业信誉和健全的财务会计制度证明（法人应提供最近一期经会计师事务所审计的财务报告，其他组织、自然人及成立未满一年的法人应提供银行出具的资信证明）；</w:t>
      </w:r>
      <w:r/>
    </w:p>
    <w:p>
      <w:pPr>
        <w:ind w:firstLine="420"/>
        <w:spacing w:line="360" w:lineRule="auto"/>
        <w:rPr>
          <w:bCs/>
          <w:sz w:val="24"/>
          <w:szCs w:val="24"/>
        </w:rPr>
      </w:pPr>
      <w:r>
        <w:rPr>
          <w:bCs/>
          <w:sz w:val="24"/>
          <w:szCs w:val="24"/>
        </w:rPr>
        <w:t xml:space="preserve">（3）具备履行合同所必需的设备和专业技术能力的证明材料或承诺；</w:t>
      </w:r>
      <w:r/>
    </w:p>
    <w:p>
      <w:pPr>
        <w:ind w:firstLine="420"/>
        <w:spacing w:line="360" w:lineRule="auto"/>
        <w:rPr>
          <w:bCs/>
          <w:sz w:val="24"/>
          <w:szCs w:val="24"/>
        </w:rPr>
      </w:pPr>
      <w:r>
        <w:rPr>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bCs/>
          <w:sz w:val="24"/>
          <w:szCs w:val="24"/>
        </w:rPr>
      </w:pPr>
      <w:r>
        <w:rPr>
          <w:bCs/>
          <w:sz w:val="24"/>
          <w:szCs w:val="24"/>
        </w:rPr>
        <w:t xml:space="preserve">（5）参加政府采购活动前三年内在经营活动中没有重大违法记录的书面声明函。</w:t>
      </w:r>
      <w:r/>
    </w:p>
    <w:p>
      <w:pPr>
        <w:ind w:firstLine="420"/>
        <w:spacing w:line="360" w:lineRule="auto"/>
        <w:rPr>
          <w:bCs/>
          <w:sz w:val="24"/>
          <w:szCs w:val="24"/>
        </w:rPr>
      </w:pPr>
      <w:r>
        <w:rPr>
          <w:bCs/>
          <w:sz w:val="24"/>
          <w:szCs w:val="24"/>
        </w:rPr>
        <w:t xml:space="preserve">（6）本项目的特定资格要求证明文件。（如有）</w:t>
      </w:r>
      <w:r/>
    </w:p>
    <w:p>
      <w:pPr>
        <w:ind w:firstLine="420"/>
        <w:spacing w:line="360" w:lineRule="auto"/>
        <w:rPr>
          <w:sz w:val="24"/>
          <w:szCs w:val="24"/>
        </w:rPr>
      </w:pPr>
      <w:r>
        <w:rPr>
          <w:sz w:val="24"/>
          <w:szCs w:val="24"/>
        </w:rPr>
        <w:t xml:space="preserve">14.1.4.7其它有关资格证明文件：</w:t>
      </w:r>
      <w:r/>
    </w:p>
    <w:p>
      <w:pPr>
        <w:ind w:firstLine="422"/>
        <w:spacing w:line="360" w:lineRule="auto"/>
        <w:rPr>
          <w:b/>
          <w:sz w:val="24"/>
          <w:szCs w:val="24"/>
        </w:rPr>
      </w:pPr>
      <w:r>
        <w:rPr>
          <w:b/>
          <w:sz w:val="24"/>
          <w:szCs w:val="24"/>
        </w:rPr>
        <w:t xml:space="preserve">14.1.5符合性审查文件</w:t>
      </w:r>
      <w:r/>
    </w:p>
    <w:p>
      <w:pPr>
        <w:pStyle w:val="991"/>
        <w:spacing w:line="360" w:lineRule="auto"/>
        <w:rPr>
          <w:rFonts w:eastAsia="宋体"/>
          <w:szCs w:val="24"/>
          <w:lang w:eastAsia="zh-CN"/>
        </w:rPr>
      </w:pPr>
      <w:r>
        <w:rPr>
          <w:rFonts w:eastAsia="宋体"/>
          <w:szCs w:val="24"/>
          <w:lang w:eastAsia="zh-CN"/>
        </w:rPr>
        <w:t xml:space="preserve">14.1.5.1投标函（格式见第三章）；</w:t>
      </w:r>
      <w:r/>
    </w:p>
    <w:p>
      <w:pPr>
        <w:ind w:firstLine="408"/>
        <w:spacing w:line="360" w:lineRule="auto"/>
        <w:rPr>
          <w:sz w:val="24"/>
          <w:szCs w:val="24"/>
        </w:rPr>
      </w:pPr>
      <w:r>
        <w:rPr>
          <w:sz w:val="24"/>
          <w:szCs w:val="24"/>
        </w:rPr>
        <w:t xml:space="preserve">14.1.5.2偏离表（格式见第三章）；</w:t>
      </w:r>
      <w:r/>
    </w:p>
    <w:p>
      <w:pPr>
        <w:ind w:firstLine="408"/>
        <w:spacing w:line="360" w:lineRule="auto"/>
        <w:rPr>
          <w:sz w:val="24"/>
          <w:szCs w:val="24"/>
        </w:rPr>
      </w:pPr>
      <w:r>
        <w:rPr>
          <w:sz w:val="24"/>
          <w:szCs w:val="24"/>
        </w:rPr>
        <w:t xml:space="preserve">14.1.5.3项目服务人员配置表（格式见第三章）；</w:t>
      </w:r>
      <w:r/>
    </w:p>
    <w:p>
      <w:pPr>
        <w:ind w:firstLine="408"/>
        <w:spacing w:line="360" w:lineRule="auto"/>
        <w:rPr>
          <w:b/>
          <w:sz w:val="24"/>
          <w:szCs w:val="24"/>
        </w:rPr>
      </w:pPr>
      <w:r>
        <w:rPr>
          <w:sz w:val="24"/>
          <w:szCs w:val="24"/>
        </w:rPr>
        <w:t xml:space="preserve">14.1.5.4其他有关符合性证明的文件；</w:t>
      </w:r>
      <w:r/>
    </w:p>
    <w:p>
      <w:pPr>
        <w:ind w:firstLine="408"/>
        <w:spacing w:line="360" w:lineRule="auto"/>
        <w:rPr>
          <w:b/>
          <w:sz w:val="24"/>
          <w:szCs w:val="24"/>
        </w:rPr>
      </w:pPr>
      <w:r>
        <w:rPr>
          <w:b/>
          <w:sz w:val="24"/>
          <w:szCs w:val="24"/>
        </w:rPr>
        <w:t xml:space="preserve">14.1.6综合评审文件</w:t>
      </w:r>
      <w:r/>
    </w:p>
    <w:p>
      <w:pPr>
        <w:ind w:firstLine="408"/>
        <w:spacing w:line="360" w:lineRule="auto"/>
        <w:rPr>
          <w:b/>
          <w:bCs/>
          <w:sz w:val="24"/>
          <w:szCs w:val="24"/>
          <w:lang w:val="zh-CN"/>
        </w:rPr>
      </w:pPr>
      <w:r>
        <w:rPr>
          <w:sz w:val="24"/>
          <w:szCs w:val="24"/>
          <w:lang w:val="zh-CN"/>
        </w:rPr>
        <w:t xml:space="preserve">14.1.6.1方案比较；</w:t>
      </w:r>
      <w:r/>
    </w:p>
    <w:p>
      <w:pPr>
        <w:ind w:firstLine="408"/>
        <w:spacing w:line="360" w:lineRule="auto"/>
        <w:rPr>
          <w:b/>
          <w:bCs/>
          <w:sz w:val="24"/>
          <w:szCs w:val="24"/>
          <w:lang w:val="zh-CN"/>
        </w:rPr>
      </w:pPr>
      <w:r>
        <w:rPr>
          <w:sz w:val="24"/>
          <w:szCs w:val="24"/>
          <w:lang w:val="zh-CN"/>
        </w:rPr>
        <w:t xml:space="preserve">14.1.6.2项目团队人员配备；</w:t>
      </w:r>
      <w:r/>
    </w:p>
    <w:p>
      <w:pPr>
        <w:ind w:firstLine="408"/>
        <w:spacing w:line="360" w:lineRule="auto"/>
        <w:rPr>
          <w:b/>
          <w:bCs/>
          <w:sz w:val="24"/>
          <w:szCs w:val="24"/>
          <w:lang w:val="zh-CN"/>
        </w:rPr>
      </w:pPr>
      <w:r>
        <w:rPr>
          <w:sz w:val="24"/>
          <w:szCs w:val="24"/>
          <w:lang w:val="zh-CN"/>
        </w:rPr>
        <w:t xml:space="preserve">14.1.6.3投标单位综合实力；</w:t>
      </w:r>
      <w:r/>
    </w:p>
    <w:p>
      <w:pPr>
        <w:ind w:firstLine="420"/>
        <w:spacing w:line="360" w:lineRule="auto"/>
        <w:rPr>
          <w:sz w:val="24"/>
          <w:szCs w:val="24"/>
        </w:rPr>
      </w:pPr>
      <w:r>
        <w:rPr>
          <w:sz w:val="24"/>
          <w:szCs w:val="24"/>
        </w:rPr>
        <w:t xml:space="preserve">14.1.7《中小企业声明函》或《残疾人福利性单位声明函》或由省级以上监狱管理局、戒毒管理局（含新疆生产建设兵团）出具的属于监狱企业的证明文件（如有）；</w:t>
      </w:r>
      <w:r/>
    </w:p>
    <w:p>
      <w:pPr>
        <w:ind w:firstLine="408"/>
        <w:spacing w:line="360" w:lineRule="auto"/>
        <w:rPr>
          <w:sz w:val="24"/>
          <w:szCs w:val="24"/>
          <w:lang w:val="zh-CN"/>
        </w:rPr>
      </w:pPr>
      <w:r>
        <w:rPr>
          <w:sz w:val="24"/>
          <w:szCs w:val="24"/>
        </w:rPr>
        <w:t xml:space="preserve">14.1.8对属于《节能产品政府采购品目清单》政府强制采购产品的，需提供该产品有效期内的认证等相关证明材料（如有）；</w:t>
      </w:r>
      <w:r/>
    </w:p>
    <w:p>
      <w:pPr>
        <w:ind w:firstLine="408"/>
        <w:spacing w:line="360" w:lineRule="auto"/>
        <w:rPr>
          <w:sz w:val="24"/>
          <w:szCs w:val="24"/>
        </w:rPr>
      </w:pPr>
      <w:r>
        <w:rPr>
          <w:sz w:val="24"/>
          <w:szCs w:val="24"/>
        </w:rPr>
        <w:t xml:space="preserve">14.1.9其他可以证明投标人资质、服务质量的证书、文件等相关资料。</w:t>
      </w:r>
      <w:r/>
    </w:p>
    <w:p>
      <w:pPr>
        <w:pStyle w:val="1061"/>
        <w:ind w:firstLine="430"/>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 xml:space="preserve">注：（1）以上14.1.4.1-14.1.4.7为资格审查要求提供的材料，是作为对供应商资格审查、质疑身份认定的依据，投标人必须提供并加盖电子公章。否则，投标文件将被认定为不符合资格审查要求。</w:t>
      </w:r>
      <w:r/>
    </w:p>
    <w:p>
      <w:pPr>
        <w:pStyle w:val="1061"/>
        <w:ind w:firstLine="430"/>
        <w:spacing w:line="360" w:lineRule="auto"/>
        <w:rPr>
          <w:rFonts w:ascii="Times New Roman" w:hAnsi="Times New Roman" w:cs="Times New Roman"/>
          <w:b/>
          <w:bCs/>
          <w:sz w:val="24"/>
          <w:szCs w:val="24"/>
          <w:lang w:eastAsia="zh-CN"/>
        </w:rPr>
      </w:pPr>
      <w:r>
        <w:rPr>
          <w:rFonts w:ascii="Times New Roman" w:hAnsi="Times New Roman" w:cs="Times New Roman"/>
          <w:b/>
          <w:bCs/>
          <w:sz w:val="24"/>
          <w:szCs w:val="24"/>
          <w:lang w:eastAsia="zh-CN"/>
        </w:rPr>
        <w:t xml:space="preserve">（2）以上14.1.5.1-14.1.5.4为符合性审查须提供的资料，投标人必须提供并加盖电子公章。否则，投标文件将被认定为未实质性响应。</w:t>
      </w:r>
      <w:r/>
    </w:p>
    <w:p>
      <w:pPr>
        <w:pStyle w:val="1061"/>
        <w:ind w:firstLine="430"/>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（3）“14.1.4-14.1.9”中不得出现投标总报价。</w:t>
      </w:r>
      <w:r>
        <w:rPr>
          <w:rFonts w:ascii="Times New Roman" w:hAnsi="Times New Roman" w:cs="Times New Roman"/>
          <w:sz w:val="24"/>
          <w:szCs w:val="24"/>
          <w:lang w:eastAsia="zh-CN"/>
        </w:rPr>
        <w:t xml:space="preserve">投标人所提交的资料的完整与否，将直接影响投标人的评分。</w:t>
      </w:r>
      <w:r/>
    </w:p>
    <w:p>
      <w:pPr>
        <w:pStyle w:val="1061"/>
        <w:ind w:firstLine="430"/>
        <w:spacing w:line="360" w:lineRule="auto"/>
        <w:rPr>
          <w:rFonts w:ascii="Times New Roman" w:hAnsi="Times New Roman" w:cs="Times New Roman"/>
          <w:b/>
          <w:bCs/>
          <w:sz w:val="24"/>
          <w:szCs w:val="24"/>
          <w:lang w:eastAsia="zh-CN"/>
        </w:rPr>
      </w:pPr>
      <w:r>
        <w:rPr>
          <w:rFonts w:ascii="Times New Roman" w:hAnsi="Times New Roman" w:cs="Times New Roman"/>
          <w:b/>
          <w:sz w:val="24"/>
          <w:szCs w:val="24"/>
          <w:lang w:eastAsia="zh-CN"/>
        </w:rPr>
        <w:t xml:space="preserve">（4）制作电子投标文件时必须与投标文件制作软件目录一一对应，将相关资料上传至相应模块。</w:t>
      </w:r>
      <w:r/>
    </w:p>
    <w:p>
      <w:pPr>
        <w:pStyle w:val="1061"/>
        <w:ind w:firstLine="430"/>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b/>
          <w:sz w:val="24"/>
          <w:szCs w:val="24"/>
        </w:rPr>
      </w:pPr>
      <w:r>
        <w:rPr>
          <w:b/>
          <w:sz w:val="24"/>
          <w:szCs w:val="24"/>
        </w:rPr>
        <w:t xml:space="preserve">15.投标文件编制要求</w:t>
      </w:r>
      <w:r/>
    </w:p>
    <w:p>
      <w:pPr>
        <w:ind w:firstLine="422"/>
        <w:spacing w:line="360" w:lineRule="auto"/>
        <w:rPr>
          <w:b/>
          <w:sz w:val="24"/>
          <w:szCs w:val="24"/>
        </w:rPr>
      </w:pPr>
      <w:r>
        <w:rPr>
          <w:b/>
          <w:sz w:val="24"/>
          <w:szCs w:val="24"/>
        </w:rPr>
        <w:t xml:space="preserve">15.1投标文件按统一格式、顺序编写。</w:t>
      </w:r>
      <w:r/>
    </w:p>
    <w:p>
      <w:pPr>
        <w:ind w:firstLine="420"/>
        <w:spacing w:line="360" w:lineRule="auto"/>
        <w:rPr>
          <w:sz w:val="24"/>
          <w:szCs w:val="24"/>
        </w:rPr>
      </w:pPr>
      <w:r>
        <w:rPr>
          <w:sz w:val="24"/>
          <w:szCs w:val="24"/>
        </w:rPr>
        <w:t xml:space="preserve">15.2《开标一览表》为在开标仪式上唱标的内容，要求按格式填写，统一规范，不得自行增减内容。</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16.投标报价（编制）要求的说明</w:t>
      </w:r>
      <w:r/>
    </w:p>
    <w:p>
      <w:pPr>
        <w:ind w:firstLine="420"/>
        <w:spacing w:line="360" w:lineRule="auto"/>
        <w:rPr>
          <w:sz w:val="24"/>
          <w:szCs w:val="24"/>
        </w:rPr>
      </w:pPr>
      <w:r>
        <w:rPr>
          <w:sz w:val="24"/>
          <w:szCs w:val="24"/>
        </w:rPr>
        <w:t xml:space="preserve">16.1除非合同中另有规定，投标人对《开标一览表》中的报价</w:t>
      </w:r>
      <w:r>
        <w:rPr>
          <w:sz w:val="24"/>
          <w:szCs w:val="24"/>
          <w:lang w:val="zh-CN"/>
        </w:rPr>
        <w:t xml:space="preserve">应综合考量</w:t>
      </w:r>
      <w:r>
        <w:rPr>
          <w:sz w:val="24"/>
          <w:szCs w:val="24"/>
        </w:rPr>
        <w:t xml:space="preserve">完成本次服务项目所需的服务成本、经营成本、法定税费和管理企业的利润、保险、</w:t>
      </w:r>
      <w:r>
        <w:rPr>
          <w:sz w:val="24"/>
          <w:szCs w:val="24"/>
        </w:rPr>
        <w:t xml:space="preserve">中标</w:t>
      </w:r>
      <w:r>
        <w:rPr>
          <w:sz w:val="24"/>
          <w:szCs w:val="24"/>
        </w:rPr>
        <w:t xml:space="preserve">服务费</w:t>
      </w:r>
      <w:r>
        <w:rPr>
          <w:sz w:val="24"/>
          <w:szCs w:val="24"/>
        </w:rPr>
        <w:t xml:space="preserve">及合同包含的所有风险、责任等各项应有费用。</w:t>
      </w:r>
      <w:r>
        <w:rPr>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sz w:val="24"/>
          <w:szCs w:val="24"/>
        </w:rPr>
        <w:t xml:space="preserve">。</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16.2投标人应按《公开分项报价》要求的内容填写，并由其法定代表人或授权代理人签署。</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16.3投标人应对招标文件内所要采购的全部内容进行报价，只投其中部分内容者，其标书将被拒绝（如为多标段项目，则上述提到的全部内容是指所投标段对应采购的全部内容）。</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16.4一项投标内容只允许一个报价，招标人不接受任何有选择性的投标报价。</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16.5投标文件报价采用人民币表示，除非合同的特殊条款另有规定。</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16.6最低的报价或最</w:t>
      </w:r>
      <w:r>
        <w:rPr>
          <w:rFonts w:ascii="Times New Roman" w:hAnsi="Times New Roman" w:cs="Times New Roman"/>
          <w:sz w:val="24"/>
          <w:szCs w:val="24"/>
          <w:lang w:val="en-US" w:eastAsia="zh-CN"/>
        </w:rPr>
        <w:t xml:space="preserve">高</w:t>
      </w:r>
      <w:r>
        <w:rPr>
          <w:rFonts w:ascii="Times New Roman" w:hAnsi="Times New Roman" w:cs="Times New Roman"/>
          <w:sz w:val="24"/>
          <w:szCs w:val="24"/>
          <w:lang w:eastAsia="zh-CN"/>
        </w:rPr>
        <w:t xml:space="preserve">的</w:t>
      </w:r>
      <w:r>
        <w:rPr>
          <w:rFonts w:ascii="Times New Roman" w:hAnsi="Times New Roman" w:cs="Times New Roman"/>
          <w:sz w:val="24"/>
          <w:szCs w:val="24"/>
          <w:lang w:val="en-US" w:eastAsia="zh-CN"/>
        </w:rPr>
        <w:t xml:space="preserve">优惠</w:t>
      </w:r>
      <w:r>
        <w:rPr>
          <w:rFonts w:ascii="Times New Roman" w:hAnsi="Times New Roman" w:cs="Times New Roman"/>
          <w:sz w:val="24"/>
          <w:szCs w:val="24"/>
          <w:lang w:eastAsia="zh-CN"/>
        </w:rPr>
        <w:t xml:space="preserve">率不能作为中标的保证。</w:t>
      </w:r>
      <w:r/>
    </w:p>
    <w:p>
      <w:pPr>
        <w:pStyle w:val="1061"/>
        <w:ind w:firstLine="422"/>
        <w:spacing w:line="360" w:lineRule="auto"/>
        <w:rPr>
          <w:rFonts w:ascii="Times New Roman" w:hAnsi="Times New Roman" w:cs="Times New Roman"/>
          <w:b/>
          <w:sz w:val="24"/>
          <w:szCs w:val="24"/>
          <w:lang w:val="en-US" w:eastAsia="zh-CN"/>
        </w:rPr>
      </w:pPr>
      <w:r>
        <w:rPr>
          <w:rFonts w:ascii="Times New Roman" w:hAnsi="Times New Roman" w:cs="Times New Roman"/>
          <w:b/>
          <w:sz w:val="24"/>
          <w:szCs w:val="24"/>
          <w:lang w:eastAsia="zh-CN"/>
        </w:rPr>
        <w:t xml:space="preserve">17.投标保证金：</w:t>
      </w:r>
      <w:r>
        <w:rPr>
          <w:rFonts w:ascii="Times New Roman" w:hAnsi="Times New Roman" w:cs="Times New Roman"/>
          <w:b/>
          <w:sz w:val="24"/>
          <w:szCs w:val="24"/>
          <w:lang w:val="en-US" w:eastAsia="zh-CN"/>
        </w:rPr>
        <w:t xml:space="preserve">本项目不收取投标保证金。</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18.投标文件的有效期</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18.1自提交投标文件截止之日起90天内，投标文件中承诺的投标有效期应当不少于招标文件中载明的投标有效期。</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18.2在特殊情况下，采购人、采购代理机构可与投标人协商延长投标书的有效期。这种要求和答复都应以书面形式进行。同意延长有效期的投标人不能修改投标文件。</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19.投标文件的制作、签署、上传</w:t>
      </w:r>
      <w:r/>
    </w:p>
    <w:p>
      <w:pPr>
        <w:pStyle w:val="1061"/>
        <w:ind w:firstLine="428"/>
        <w:spacing w:line="360" w:lineRule="auto"/>
        <w:rPr>
          <w:rFonts w:ascii="Times New Roman" w:hAnsi="Times New Roman" w:cs="Times New Roman"/>
          <w:b/>
          <w:sz w:val="24"/>
          <w:szCs w:val="24"/>
          <w:lang w:val="en-US" w:eastAsia="zh-CN"/>
        </w:rPr>
      </w:pPr>
      <w:r>
        <w:rPr>
          <w:rFonts w:ascii="Times New Roman" w:hAnsi="Times New Roman" w:cs="Times New Roman"/>
          <w:sz w:val="24"/>
          <w:szCs w:val="24"/>
          <w:lang w:eastAsia="zh-CN"/>
        </w:rPr>
        <w:t xml:space="preserve">19.1本项目采用电子招投标形式，请供应商按照</w:t>
      </w:r>
      <w:r>
        <w:rPr>
          <w:rFonts w:ascii="Times New Roman" w:hAnsi="Times New Roman" w:cs="Times New Roman"/>
          <w:b/>
          <w:sz w:val="24"/>
          <w:szCs w:val="24"/>
          <w:lang w:eastAsia="zh-CN"/>
        </w:rPr>
        <w:t xml:space="preserve">《苏采云系统供应商操作手册》</w:t>
      </w:r>
      <w:r>
        <w:rPr>
          <w:rFonts w:ascii="Times New Roman" w:hAnsi="Times New Roman" w:cs="Times New Roman"/>
          <w:sz w:val="24"/>
          <w:szCs w:val="24"/>
          <w:lang w:eastAsia="zh-CN"/>
        </w:rPr>
        <w:t xml:space="preserve">进行制作、上传电子投标文件。</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19.2制作电子投标文件时，应按照招标文件要求加盖投标人电子公章。</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19.3</w:t>
      </w:r>
      <w:r>
        <w:rPr>
          <w:rFonts w:ascii="Times New Roman" w:hAnsi="Times New Roman" w:cs="Times New Roman"/>
          <w:b/>
          <w:sz w:val="24"/>
          <w:szCs w:val="24"/>
          <w:lang w:eastAsia="zh-CN"/>
        </w:rPr>
        <w:t xml:space="preserve">电子投标文件制作完成后请于投标文件网上提交截止时间前成功上传至“苏采云”系统，否则视为放弃参加该采购项目。</w:t>
      </w:r>
      <w:bookmarkStart w:id="16" w:name="_Toc31150"/>
      <w:r/>
      <w:bookmarkStart w:id="17" w:name="_Toc25608"/>
      <w:r>
        <w:rPr>
          <w:rFonts w:ascii="Times New Roman" w:hAnsi="Times New Roman" w:cs="Times New Roman"/>
          <w:sz w:val="24"/>
          <w:szCs w:val="24"/>
          <w:lang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bookmarkEnd w:id="17"/>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五、投标文件的递交、补充、修改和撤回</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20.投标文件的递交</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20.1投标人应当在在投标截止时间前制作并上传电子投标文件。</w:t>
      </w:r>
      <w:r/>
    </w:p>
    <w:p>
      <w:pPr>
        <w:pStyle w:val="991"/>
        <w:spacing w:line="360" w:lineRule="auto"/>
        <w:rPr>
          <w:rFonts w:eastAsia="宋体"/>
          <w:b/>
          <w:szCs w:val="24"/>
          <w:lang w:eastAsia="zh-CN"/>
        </w:rPr>
      </w:pPr>
      <w:r>
        <w:rPr>
          <w:rFonts w:eastAsia="宋体"/>
          <w:szCs w:val="24"/>
          <w:lang w:eastAsia="zh-CN"/>
        </w:rPr>
        <w:t xml:space="preserve">20.2投标人通过</w:t>
      </w:r>
      <w:r>
        <w:rPr>
          <w:rFonts w:eastAsia="宋体"/>
          <w:b/>
          <w:szCs w:val="24"/>
          <w:lang w:eastAsia="zh-CN"/>
        </w:rPr>
        <w:t xml:space="preserve">“苏采云”系统不见面开标大厅在线参与开标活动。（具体操作详见《苏采云系统供应商操作手册》，网址链接https://czju.suzhou.gov.cn/zfcg/html/content/20231220161910031.shtml）</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21.投标截止时间</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21.1投标人应当在招标文件要求投标文件网上提交截止时间前，将投标文件完成提交（上传）。逾期提交（上传）的投标文件，采购人和采购代理机构拒绝接收。</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21.3在投标截止时间止</w:t>
      </w:r>
      <w:r>
        <w:rPr>
          <w:rFonts w:ascii="Times New Roman" w:hAnsi="Times New Roman" w:cs="Times New Roman"/>
          <w:sz w:val="24"/>
          <w:szCs w:val="24"/>
          <w:lang w:eastAsia="zh-CN"/>
        </w:rPr>
        <w:t xml:space="preserve">每标段</w:t>
      </w:r>
      <w:r>
        <w:rPr>
          <w:rFonts w:ascii="Times New Roman" w:hAnsi="Times New Roman" w:cs="Times New Roman"/>
          <w:sz w:val="24"/>
          <w:szCs w:val="24"/>
          <w:lang w:eastAsia="zh-CN"/>
        </w:rPr>
        <w:t xml:space="preserve">成功解密的投标文件少于三份，采购代理机构有权宣布本次招标失败。</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22.投标文件的补充、修改和撤回</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22.2投标人在投标文件网上提交截止时间前，可以撤回其电子投标文件，具体操作方法见《苏采云系统供应商操作手册》。</w:t>
      </w:r>
      <w:bookmarkStart w:id="18" w:name="_Toc22837"/>
      <w:r/>
      <w:bookmarkStart w:id="19" w:name="_Toc29371"/>
      <w:r>
        <w:rPr>
          <w:rFonts w:ascii="Times New Roman" w:hAnsi="Times New Roman" w:cs="Times New Roman"/>
          <w:sz w:val="24"/>
          <w:szCs w:val="24"/>
          <w:lang w:eastAsia="zh-CN"/>
        </w:rPr>
        <w:t xml:space="preserve">投标人撤回电子投标文件，则认为其不再参与本项目投标活动。在投标截止时间至招标文件中规定的投标有效期满之间的这段时间内，投标人不得撤回其投标。</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六、开标和评标</w:t>
      </w:r>
      <w:bookmarkEnd w:id="18"/>
      <w:r/>
      <w:bookmarkEnd w:id="19"/>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23.开标</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23.1开标由采购代理机构</w:t>
      </w:r>
      <w:r>
        <w:rPr>
          <w:rFonts w:ascii="Times New Roman" w:hAnsi="Times New Roman" w:cs="Times New Roman"/>
          <w:sz w:val="24"/>
          <w:szCs w:val="24"/>
          <w:lang w:val="en-US" w:eastAsia="zh-CN"/>
        </w:rPr>
        <w:t xml:space="preserve">在线</w:t>
      </w:r>
      <w:r>
        <w:rPr>
          <w:rFonts w:ascii="Times New Roman" w:hAnsi="Times New Roman" w:cs="Times New Roman"/>
          <w:sz w:val="24"/>
          <w:szCs w:val="24"/>
          <w:lang w:eastAsia="zh-CN"/>
        </w:rPr>
        <w:t xml:space="preserve">主持，邀请投标人</w:t>
      </w:r>
      <w:r>
        <w:rPr>
          <w:rFonts w:ascii="Times New Roman" w:hAnsi="Times New Roman" w:cs="Times New Roman"/>
          <w:sz w:val="24"/>
          <w:szCs w:val="24"/>
          <w:lang w:val="en-US" w:eastAsia="zh-CN"/>
        </w:rPr>
        <w:t xml:space="preserve">在线</w:t>
      </w:r>
      <w:r>
        <w:rPr>
          <w:rFonts w:ascii="Times New Roman" w:hAnsi="Times New Roman" w:cs="Times New Roman"/>
          <w:sz w:val="24"/>
          <w:szCs w:val="24"/>
          <w:lang w:eastAsia="zh-CN"/>
        </w:rPr>
        <w:t xml:space="preserve">参加。投标人应当按照《苏采云系统供应商操作手册》规定，</w:t>
      </w:r>
      <w:r>
        <w:rPr>
          <w:rFonts w:ascii="Times New Roman" w:hAnsi="Times New Roman" w:cs="Times New Roman"/>
          <w:b/>
          <w:sz w:val="24"/>
          <w:szCs w:val="24"/>
          <w:lang w:eastAsia="zh-CN"/>
        </w:rPr>
        <w:t xml:space="preserve">参加开标活动和在“苏采云”系统规定的时间内对投标文件进行解密</w:t>
      </w:r>
      <w:r>
        <w:rPr>
          <w:rFonts w:ascii="Times New Roman" w:hAnsi="Times New Roman" w:cs="Times New Roman"/>
          <w:sz w:val="24"/>
          <w:szCs w:val="24"/>
          <w:lang w:eastAsia="zh-CN"/>
        </w:rPr>
        <w:t xml:space="preserve">。评标委员会成员不得参加开标活动。</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23.2开标时，由采购代理机构</w:t>
      </w:r>
      <w:r>
        <w:rPr>
          <w:rFonts w:ascii="Times New Roman" w:hAnsi="Times New Roman" w:cs="Times New Roman"/>
          <w:sz w:val="24"/>
          <w:szCs w:val="24"/>
          <w:lang w:val="en-US" w:eastAsia="zh-CN"/>
        </w:rPr>
        <w:t xml:space="preserve">通过“苏采云”系统在线</w:t>
      </w:r>
      <w:r>
        <w:rPr>
          <w:rFonts w:ascii="Times New Roman" w:hAnsi="Times New Roman" w:cs="Times New Roman"/>
          <w:sz w:val="24"/>
          <w:szCs w:val="24"/>
          <w:lang w:eastAsia="zh-CN"/>
        </w:rPr>
        <w:t xml:space="preserve">宣布投标人名称、投标价格和招标文件规定的需要宣布的其他内容。</w:t>
      </w:r>
      <w:r>
        <w:rPr>
          <w:rFonts w:ascii="Times New Roman" w:hAnsi="Times New Roman" w:cs="Times New Roman"/>
          <w:sz w:val="24"/>
          <w:szCs w:val="24"/>
          <w:lang w:val="en-US" w:eastAsia="zh-CN"/>
        </w:rPr>
        <w:t xml:space="preserve">投标人在不见面开标系统中确认投标价格，如</w:t>
      </w:r>
      <w:r>
        <w:rPr>
          <w:rFonts w:ascii="Times New Roman" w:hAnsi="Times New Roman" w:cs="Times New Roman"/>
          <w:sz w:val="24"/>
          <w:szCs w:val="24"/>
          <w:lang w:eastAsia="zh-CN"/>
        </w:rPr>
        <w:t xml:space="preserve">投标人未</w:t>
      </w:r>
      <w:r>
        <w:rPr>
          <w:rFonts w:ascii="Times New Roman" w:hAnsi="Times New Roman" w:cs="Times New Roman"/>
          <w:sz w:val="24"/>
          <w:szCs w:val="24"/>
          <w:lang w:val="en-US" w:eastAsia="zh-CN"/>
        </w:rPr>
        <w:t xml:space="preserve">在线</w:t>
      </w:r>
      <w:r>
        <w:rPr>
          <w:rFonts w:ascii="Times New Roman" w:hAnsi="Times New Roman" w:cs="Times New Roman"/>
          <w:sz w:val="24"/>
          <w:szCs w:val="24"/>
          <w:lang w:eastAsia="zh-CN"/>
        </w:rPr>
        <w:t xml:space="preserve">参加开标</w:t>
      </w:r>
      <w:r>
        <w:rPr>
          <w:rFonts w:ascii="Times New Roman" w:hAnsi="Times New Roman" w:cs="Times New Roman"/>
          <w:sz w:val="24"/>
          <w:szCs w:val="24"/>
          <w:lang w:val="en-US" w:eastAsia="zh-CN"/>
        </w:rPr>
        <w:t xml:space="preserve">或未在规定时间内确认价格</w:t>
      </w:r>
      <w:r>
        <w:rPr>
          <w:rFonts w:ascii="Times New Roman" w:hAnsi="Times New Roman" w:cs="Times New Roman"/>
          <w:sz w:val="24"/>
          <w:szCs w:val="24"/>
          <w:lang w:eastAsia="zh-CN"/>
        </w:rPr>
        <w:t xml:space="preserve">的，视同认可开标结果。</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23.3资格审查</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23.3.1公开招标采购项目开标结束后，采购人应当依法对投标人的资格进行审查，未通过资格审查的视为无效投标。</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23.3.2.1查询时间：投标文件递交截止时间。</w:t>
      </w:r>
      <w:r/>
    </w:p>
    <w:p>
      <w:pPr>
        <w:pStyle w:val="1061"/>
        <w:ind w:firstLine="420"/>
        <w:spacing w:line="360" w:lineRule="auto"/>
        <w:rPr>
          <w:rFonts w:ascii="Times New Roman" w:hAnsi="Times New Roman" w:cs="Times New Roman"/>
          <w:b/>
          <w:sz w:val="24"/>
          <w:szCs w:val="24"/>
          <w:lang w:eastAsia="zh-CN"/>
        </w:rPr>
      </w:pPr>
      <w:r>
        <w:rPr>
          <w:rFonts w:ascii="Times New Roman" w:hAnsi="Times New Roman" w:cs="Times New Roman"/>
          <w:sz w:val="24"/>
          <w:szCs w:val="24"/>
          <w:lang w:eastAsia="zh-CN"/>
        </w:rPr>
        <w:t xml:space="preserve">23.3.2.2查询渠道</w:t>
      </w:r>
      <w:r>
        <w:rPr>
          <w:rFonts w:ascii="Times New Roman" w:hAnsi="Times New Roman" w:cs="Times New Roman"/>
          <w:b/>
          <w:sz w:val="24"/>
          <w:szCs w:val="24"/>
          <w:lang w:eastAsia="zh-CN"/>
        </w:rPr>
        <w:t xml:space="preserve">：</w:t>
      </w:r>
      <w:r>
        <w:rPr>
          <w:rFonts w:ascii="Times New Roman" w:hAnsi="Times New Roman" w:cs="Times New Roman"/>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24.评标委员会</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24.1评标委员会负责具体评标事务，并独立履行下列职责：</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24.1.1审查、评价投标文件是否符合招标文件的商务、技术等实质性要求；</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24.1.2要求投标人对投标文件有关事项作出澄清或者说明；</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24.1.3对投标文件进行比较和评价；</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24.1.4确定中标候选人名单，以及根据采购人委托直接确定中标人；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24.1.5向采购人、采购代理机构或者有关部门报告评标中发现的违法行为。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24.2评标委员会成员应当履行下列义务：</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24.2.1遵纪守法，客观、公正、廉洁地履行职责；</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24.2.2按照招标文件规定的评标办法和评标标准进行评标，对评审意见承担个人责任；</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24.2.3对评标过程和结果，以及投标人的商业秘密保密；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24.2.4评标委员会根据全体评标成员签字的原始评标记录和评标结果编写评标报告。评标报告应当包括以下内容： </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（一）招标公告刊登的媒体名称、开标日期和地点；</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（二）投标人名单和评标委员会成员名单；</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（三）评标方法和标准；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（四）开标记录和评标情况及说明，包括无效投标人名单及原因；</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（五）评标结果，确定的中标候选人名单或者经采购人委托直接确定的中标人；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（六）其他需要说明的情况，包括评标过程中投标人根据评标委员会要求进行的澄清、说明或者补正，评标委员会成员的更换等。</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24.2.5配合相关部门的投诉处理工作；</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24.2.6配合采购人和采购代理机构答复投标人提出的质疑。</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25.评标内容的保密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25.1公开开标后，直到宣布授予中标合同为止，凡属于审查、澄清、评价和比较投标的所有资料，有关授予合同的信息都不应向投标人或与评标无关的其他人泄露。</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25.2在投标文件的审查、澄清、评价和比较以及授予合同的过程中，投标人对采购人、采购代理机构和评标委员会成员施加影响的任何行为，都将取消其中标资格。</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26.对投标文件初审</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26.1评标委员会应当对符合资格的投标人的投标文件进行符合性审查，以确定其是否满足招标文件的实质性要求。</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投标文件有下列情况之一者评标委员会有权将其拒绝：</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26.1.1投标人的投标文件未按照本须知规定制作的；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26.1.2未按本须知规定提交资格文件；</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26.1.3与招标文件有重大偏离；</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26.1.4投标人拒绝修正错误；</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26.1.5投标人的报价是选择性的；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26.1.6投标人的报价只投了部分内容；</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26.1.7投标人的投标文件出现了评标委员会认为不应当雷同的情况；</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26.1.8其他被评委会认定无效的情况。</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26.3投标文件报价出现前后不一致的，除招标文件另有规定外，按照下列规定修正：</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（一）投标文件中开标一览表（报价表）内容与投标文件中相应内容不一致的，以开标一览表（报价表）为准；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（二）大写金额和小写金额不一致的，以大写金额为准；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（三）单价金额小数点或者百分比有明显错位的，以开标一览表的总价为准，并修改单价；</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（四）总价金额与按单价汇总金额不一致的，以单价金额计算结果为准。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27.投标的澄清</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27.1对于投标文件中含义不明确、同类问题表述不一致或者有明显文字和计算错误的内容，评标委员会应当以书面形式要求投标人作出必要的澄清、说明或者补正。</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27.2投标人的澄清、说明或者补正应当采用书面形式，并加盖</w:t>
      </w:r>
      <w:r>
        <w:rPr>
          <w:rFonts w:ascii="Times New Roman" w:hAnsi="Times New Roman" w:cs="Times New Roman"/>
          <w:sz w:val="24"/>
          <w:szCs w:val="24"/>
          <w:lang w:val="en-US" w:eastAsia="zh-CN"/>
        </w:rPr>
        <w:t xml:space="preserve">其单位电子</w:t>
      </w:r>
      <w:r>
        <w:rPr>
          <w:rFonts w:ascii="Times New Roman" w:hAnsi="Times New Roman" w:cs="Times New Roman"/>
          <w:sz w:val="24"/>
          <w:szCs w:val="24"/>
          <w:lang w:eastAsia="zh-CN"/>
        </w:rPr>
        <w:t xml:space="preserve">公章。投标人的澄清、说明或者补正不得超出投标文件的范围或者改变投标文件的实质性内容。</w:t>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cs="Times New Roman"/>
          <w:sz w:val="24"/>
          <w:szCs w:val="24"/>
          <w:lang w:eastAsia="zh-CN"/>
        </w:rPr>
        <w:t xml:space="preserve">(</w:t>
      </w:r>
      <w:r>
        <w:rPr>
          <w:rFonts w:ascii="Times New Roman" w:hAnsi="Times New Roman" w:cs="Times New Roman"/>
          <w:b/>
          <w:sz w:val="24"/>
          <w:szCs w:val="24"/>
          <w:lang w:eastAsia="zh-CN"/>
        </w:rPr>
        <w:t xml:space="preserve">此处规定时间的计算以系统中的倒计时间为准，</w:t>
      </w:r>
      <w:r>
        <w:rPr>
          <w:rFonts w:ascii="Times New Roman" w:hAnsi="Times New Roman" w:cs="Times New Roman"/>
          <w:sz w:val="24"/>
          <w:szCs w:val="24"/>
          <w:lang w:eastAsia="zh-CN"/>
        </w:rPr>
        <w:t xml:space="preserve">供应商应随时保持系统在线，如因供应商自身原因未在规定时间内提交澄清确认资料的，导致的不利后果由供应商自行承担。</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28.投标无效</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28.1投标人存在下列情况之一的，投标无效:</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w:t>
      </w:r>
      <w:r>
        <w:rPr>
          <w:rFonts w:ascii="Times New Roman" w:hAnsi="Times New Roman" w:cs="Times New Roman"/>
          <w:sz w:val="24"/>
          <w:szCs w:val="24"/>
          <w:lang w:val="en-US" w:eastAsia="zh-CN"/>
        </w:rPr>
        <w:t xml:space="preserve">一</w:t>
      </w:r>
      <w:r>
        <w:rPr>
          <w:rFonts w:ascii="Times New Roman" w:hAnsi="Times New Roman" w:cs="Times New Roman"/>
          <w:sz w:val="24"/>
          <w:szCs w:val="24"/>
          <w:lang w:eastAsia="zh-CN"/>
        </w:rPr>
        <w:t xml:space="preserve">）投标文件未按招标文件要求签署、盖章、</w:t>
      </w:r>
      <w:r>
        <w:rPr>
          <w:rFonts w:ascii="Times New Roman" w:hAnsi="Times New Roman" w:cs="Times New Roman"/>
          <w:b/>
          <w:sz w:val="24"/>
          <w:szCs w:val="24"/>
          <w:lang w:eastAsia="zh-CN"/>
        </w:rPr>
        <w:t xml:space="preserve">未明确标段的</w:t>
      </w:r>
      <w:r>
        <w:rPr>
          <w:rFonts w:ascii="Times New Roman" w:hAnsi="Times New Roman" w:cs="Times New Roman"/>
          <w:sz w:val="24"/>
          <w:szCs w:val="24"/>
          <w:lang w:eastAsia="zh-CN"/>
        </w:rPr>
        <w:t xml:space="preserve">；</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w:t>
      </w:r>
      <w:r>
        <w:rPr>
          <w:rFonts w:ascii="Times New Roman" w:hAnsi="Times New Roman" w:cs="Times New Roman"/>
          <w:sz w:val="24"/>
          <w:szCs w:val="24"/>
          <w:lang w:val="en-US" w:eastAsia="zh-CN"/>
        </w:rPr>
        <w:t xml:space="preserve">二</w:t>
      </w:r>
      <w:r>
        <w:rPr>
          <w:rFonts w:ascii="Times New Roman" w:hAnsi="Times New Roman" w:cs="Times New Roman"/>
          <w:sz w:val="24"/>
          <w:szCs w:val="24"/>
          <w:lang w:eastAsia="zh-CN"/>
        </w:rPr>
        <w:t xml:space="preserve">）不具备招标文件中规定的资格要求的；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w:t>
      </w:r>
      <w:r>
        <w:rPr>
          <w:rFonts w:ascii="Times New Roman" w:hAnsi="Times New Roman" w:cs="Times New Roman"/>
          <w:sz w:val="24"/>
          <w:szCs w:val="24"/>
          <w:lang w:val="en-US" w:eastAsia="zh-CN"/>
        </w:rPr>
        <w:t xml:space="preserve">三</w:t>
      </w:r>
      <w:r>
        <w:rPr>
          <w:rFonts w:ascii="Times New Roman" w:hAnsi="Times New Roman" w:cs="Times New Roman"/>
          <w:sz w:val="24"/>
          <w:szCs w:val="24"/>
          <w:lang w:eastAsia="zh-CN"/>
        </w:rPr>
        <w:t xml:space="preserve">）报价超过招标文件中规定的预算金额或者最高限价的；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w:t>
      </w:r>
      <w:r>
        <w:rPr>
          <w:rFonts w:ascii="Times New Roman" w:hAnsi="Times New Roman" w:cs="Times New Roman"/>
          <w:sz w:val="24"/>
          <w:szCs w:val="24"/>
          <w:lang w:val="en-US" w:eastAsia="zh-CN"/>
        </w:rPr>
        <w:t xml:space="preserve">四</w:t>
      </w:r>
      <w:r>
        <w:rPr>
          <w:rFonts w:ascii="Times New Roman" w:hAnsi="Times New Roman" w:cs="Times New Roman"/>
          <w:sz w:val="24"/>
          <w:szCs w:val="24"/>
          <w:lang w:eastAsia="zh-CN"/>
        </w:rPr>
        <w:t xml:space="preserve">）投标文件含有采购人不能接受的附加条件的；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（五）法律、法规和招标文件规定的其他无效情形。</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28.2投标人应当遵循公平竞争的原则，不得恶意串通，不得妨碍其他投标人的竞争行为，不得损害采购人或者其他投标人的合法权益。</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在评标过程中发现投标人有上述情形的，评标委员会应当认定其投标无效，并书面报告本级财政部门。</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28.3有下列情形之一的，视为投标人串通投标，其投标无效：</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（一）不同投标人的投标文件由同一单位或者个人编制；</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（二）不同投标人委托同一单位或者个人办理投标事宜；</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（三）不同投标人的投标文件载明的项目管理成员或者联系人员为同一人；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（四）不同投标人的投标文件异常一致或者投标报价呈规律性差异；</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（五）不同投标人的投标文件相互混装。</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29.废标</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29.1在招标过程中，出现下列情况之一的，应予废标：</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29.1.1符合专业条件的供应商或者对招标文件中每个标段作实质投标的供应商不足</w:t>
      </w:r>
      <w:r>
        <w:rPr>
          <w:rFonts w:ascii="Times New Roman" w:hAnsi="Times New Roman" w:cs="Times New Roman"/>
          <w:sz w:val="24"/>
          <w:szCs w:val="24"/>
          <w:lang w:val="en-US" w:eastAsia="zh-CN"/>
        </w:rPr>
        <w:t xml:space="preserve">三</w:t>
      </w:r>
      <w:r>
        <w:rPr>
          <w:rFonts w:ascii="Times New Roman" w:hAnsi="Times New Roman" w:cs="Times New Roman"/>
          <w:sz w:val="24"/>
          <w:szCs w:val="24"/>
          <w:lang w:eastAsia="zh-CN"/>
        </w:rPr>
        <w:t xml:space="preserve">家的；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29.1.2出现影响采购公正的违法、违规行为的；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29.1.3投标人的报价均超过了采购预算，采购人不能支付的；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28.1.4因重大变故，采购任务取消的；</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29.2废标后，采购人和采购代理机构将把废标的理由通知所有投标人。</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30.投标文件的评价和比较</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30.1采用综合评分法的，评标结果按各标段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30.2最低的投标报价或最高的折扣比例是中标的重要条件，但不是唯一条件。</w:t>
      </w:r>
      <w:bookmarkStart w:id="20" w:name="_Toc19501"/>
      <w:r/>
      <w:bookmarkStart w:id="21" w:name="_Toc18442"/>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七、授予合同</w:t>
      </w:r>
      <w:bookmarkEnd w:id="20"/>
      <w:r/>
      <w:bookmarkEnd w:id="21"/>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31.中标单位的确认</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31.1评标委员会根据投标人资格审查情况，对投标文件进行评价和比较，按照评标办法和标准进行评标，并按采购人的委托向采购人推荐中标人。</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32.合同授予标准</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采购人将把合同授予其投标文件在实质上响应投标招标文件要求且按本须知规定评选出的投标人。确定为中标的投标人必须具有实施本合同的能力和资源。</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33.中标通知书</w:t>
      </w:r>
      <w:r/>
    </w:p>
    <w:p>
      <w:pPr>
        <w:pStyle w:val="1061"/>
        <w:ind w:firstLine="420"/>
        <w:spacing w:line="360" w:lineRule="auto"/>
        <w:rPr>
          <w:rFonts w:ascii="Times New Roman" w:hAnsi="Times New Roman" w:cs="Times New Roman"/>
          <w:b/>
          <w:sz w:val="24"/>
          <w:szCs w:val="24"/>
          <w:lang w:eastAsia="zh-CN"/>
        </w:rPr>
      </w:pPr>
      <w:r>
        <w:rPr>
          <w:rFonts w:ascii="Times New Roman" w:hAnsi="Times New Roman" w:cs="Times New Roman"/>
          <w:sz w:val="24"/>
          <w:szCs w:val="24"/>
          <w:lang w:eastAsia="zh-CN"/>
        </w:rPr>
        <w:t xml:space="preserve">33.1确定出中标人后，采购代理机构在法定时间内向中标人发出中标通知书。</w:t>
      </w:r>
      <w:r>
        <w:rPr>
          <w:rFonts w:ascii="Times New Roman" w:hAnsi="Times New Roman" w:cs="Times New Roman"/>
          <w:b/>
          <w:sz w:val="24"/>
          <w:szCs w:val="24"/>
          <w:lang w:eastAsia="zh-CN"/>
        </w:rPr>
        <w:t xml:space="preserve">请中标人在中标结果公告届满之日起30日内,使用CA证书登录“苏采云”系统及时下载中标通知书。</w:t>
      </w:r>
      <w:r>
        <w:rPr>
          <w:rFonts w:ascii="Times New Roman" w:hAnsi="Times New Roman" w:cs="Times New Roman"/>
          <w:sz w:val="24"/>
          <w:szCs w:val="24"/>
          <w:lang w:eastAsia="zh-CN"/>
        </w:rPr>
        <w:t xml:space="preserve">因系统存储空间有限，自中标结果公告届满之日起30日后，“苏采云”系统不再保证提供下载中标通知书服务,因未及时下载而造成的不利后果由中标人自行承担。</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33.2中标通知书将成为合同的组成部分，对采购人和中标人具有同等法律效力。</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34.3中标通知书发出后，采购人不得违法改变中标结果，中标人无正当理由不得放弃中标。</w:t>
      </w: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34.合同的签订</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061"/>
        <w:ind w:firstLine="420"/>
        <w:spacing w:line="360" w:lineRule="auto"/>
        <w:rPr>
          <w:rFonts w:ascii="Times New Roman" w:hAnsi="Times New Roman" w:cs="Times New Roman"/>
          <w:sz w:val="24"/>
          <w:szCs w:val="24"/>
          <w:lang w:val="en-US" w:eastAsia="zh-CN"/>
        </w:rPr>
      </w:pPr>
      <w:r>
        <w:rPr>
          <w:rFonts w:ascii="Times New Roman" w:hAnsi="Times New Roman" w:cs="Times New Roman"/>
          <w:sz w:val="24"/>
          <w:szCs w:val="24"/>
          <w:lang w:eastAsia="zh-CN"/>
        </w:rPr>
        <w:t xml:space="preserve">34.2 </w:t>
      </w:r>
      <w:r>
        <w:rPr>
          <w:rFonts w:ascii="Times New Roman" w:hAnsi="Times New Roman" w:cs="Times New Roman"/>
          <w:sz w:val="24"/>
          <w:szCs w:val="24"/>
          <w:lang w:val="en-US" w:eastAsia="zh-CN"/>
        </w:rPr>
        <w:t xml:space="preserve">采购人与中标人所签订的合同不得对招标文件确定的事项和中标人投标文件作实质性修改，采购人不得向中标人提出任何不合理的要求作为签订合同的条件。</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34.3招标文件、中标人的投标文件及招标过程中有关澄清、承诺文件均应作为合同附件。</w:t>
      </w:r>
      <w:r/>
    </w:p>
    <w:p>
      <w:pPr>
        <w:pStyle w:val="1061"/>
        <w:ind w:firstLine="420"/>
        <w:spacing w:line="360" w:lineRule="auto"/>
        <w:rPr>
          <w:rFonts w:ascii="Times New Roman" w:hAnsi="Times New Roman" w:cs="Times New Roman"/>
          <w:b/>
          <w:sz w:val="24"/>
          <w:szCs w:val="24"/>
          <w:lang w:eastAsia="zh-CN"/>
        </w:rPr>
      </w:pPr>
      <w:r>
        <w:rPr>
          <w:rFonts w:ascii="Times New Roman" w:hAnsi="Times New Roman" w:cs="Times New Roman"/>
          <w:sz w:val="24"/>
          <w:szCs w:val="24"/>
          <w:lang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pStyle w:val="1061"/>
        <w:ind w:firstLine="42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2" w:name="_Toc21029"/>
      <w:r/>
      <w:bookmarkStart w:id="23" w:name="_Toc8186"/>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八、其他事项</w:t>
      </w:r>
      <w:bookmarkEnd w:id="22"/>
      <w:r/>
      <w:bookmarkEnd w:id="23"/>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35.代理服务费：</w:t>
      </w:r>
      <w:r/>
    </w:p>
    <w:p>
      <w:pPr>
        <w:pStyle w:val="1061"/>
        <w:ind w:firstLine="420"/>
        <w:spacing w:line="360" w:lineRule="auto"/>
        <w:rPr>
          <w:rFonts w:ascii="Times New Roman" w:hAnsi="Times New Roman" w:cs="Times New Roman"/>
          <w:sz w:val="24"/>
          <w:szCs w:val="24"/>
          <w:lang w:eastAsia="zh-CN"/>
          <w14:ligatures w14:val="none"/>
        </w:rPr>
        <w:pBdr>
          <w:top w:val="none" w:color="000000" w:sz="4" w:space="0"/>
          <w:left w:val="none" w:color="000000" w:sz="4" w:space="0"/>
          <w:bottom w:val="none" w:color="000000" w:sz="4" w:space="0"/>
          <w:right w:val="none" w:color="000000" w:sz="4" w:space="0"/>
        </w:pBdr>
      </w:pPr>
      <w:r>
        <w:rPr>
          <w:rFonts w:ascii="Times New Roman" w:hAnsi="Times New Roman" w:cs="Times New Roman"/>
          <w:sz w:val="24"/>
          <w:szCs w:val="24"/>
          <w:lang w:val="en-US" w:eastAsia="zh-CN"/>
        </w:rPr>
        <w:t xml:space="preserve">收费标准：按照每标段预算金额的如下比例进行计算：即100万元以内1.5%、100～500万元以内1.1%、500~1000万元以内0.8%，</w:t>
      </w:r>
      <w:r>
        <w:rPr>
          <w:rFonts w:ascii="Times New Roman" w:hAnsi="Times New Roman" w:cs="Times New Roman"/>
          <w:sz w:val="24"/>
          <w:szCs w:val="24"/>
          <w:lang w:val="en-US" w:eastAsia="zh-CN"/>
        </w:rPr>
        <w:t xml:space="preserve">1000万元~5000万元以内</w:t>
      </w:r>
      <w:r>
        <w:rPr>
          <w:rFonts w:ascii="Times New Roman" w:hAnsi="Times New Roman" w:cs="Times New Roman"/>
          <w:sz w:val="24"/>
          <w:szCs w:val="24"/>
          <w:lang w:val="en-US" w:eastAsia="zh-CN"/>
        </w:rPr>
        <w:t xml:space="preserve">0.5%，</w:t>
      </w:r>
      <w:r>
        <w:rPr>
          <w:rFonts w:ascii="Times New Roman" w:hAnsi="Times New Roman" w:cs="Times New Roman"/>
          <w:sz w:val="24"/>
          <w:szCs w:val="24"/>
          <w:lang w:val="en-US" w:eastAsia="zh-CN"/>
        </w:rPr>
        <w:t xml:space="preserve">差额定率累进法计算并支付成交服务费。</w:t>
      </w:r>
      <w:r>
        <w:rPr>
          <w:rFonts w:ascii="Times New Roman" w:hAnsi="Times New Roman" w:cs="Times New Roman"/>
          <w:sz w:val="24"/>
          <w:szCs w:val="24"/>
          <w:lang w:val="en-US" w:eastAsia="zh-CN"/>
        </w:rPr>
        <w:t xml:space="preserve">本项目一标段收取服务费</w:t>
      </w:r>
      <w:r>
        <w:rPr>
          <w:rFonts w:ascii="Times New Roman" w:hAnsi="Times New Roman" w:cs="Times New Roman"/>
          <w:sz w:val="24"/>
          <w:szCs w:val="24"/>
          <w:lang w:val="en-US" w:eastAsia="zh-CN"/>
        </w:rPr>
        <w:t xml:space="preserve">117091.28</w:t>
      </w:r>
      <w:r>
        <w:rPr>
          <w:rFonts w:ascii="Times New Roman" w:hAnsi="Times New Roman" w:cs="Times New Roman"/>
          <w:sz w:val="24"/>
          <w:szCs w:val="24"/>
          <w:lang w:val="en-US" w:eastAsia="zh-CN"/>
        </w:rPr>
        <w:t xml:space="preserve">元，二标段收取服务费</w:t>
      </w:r>
      <w:r>
        <w:rPr>
          <w:rFonts w:ascii="Times New Roman" w:hAnsi="Times New Roman" w:cs="Times New Roman"/>
          <w:sz w:val="24"/>
          <w:szCs w:val="24"/>
          <w:lang w:val="en-US" w:eastAsia="zh-CN"/>
        </w:rPr>
        <w:t xml:space="preserve">145431.66</w:t>
      </w:r>
      <w:r>
        <w:rPr>
          <w:rFonts w:ascii="Times New Roman" w:hAnsi="Times New Roman" w:cs="Times New Roman"/>
          <w:sz w:val="24"/>
          <w:szCs w:val="24"/>
          <w:lang w:val="en-US" w:eastAsia="zh-CN"/>
        </w:rPr>
        <w:t xml:space="preserve">元。</w:t>
      </w:r>
      <w:r>
        <w:rPr>
          <w:rFonts w:ascii="Times New Roman" w:hAnsi="Times New Roman" w:cs="Times New Roman"/>
          <w:sz w:val="24"/>
          <w:szCs w:val="24"/>
          <w:lang w:eastAsia="zh-CN"/>
        </w:rPr>
      </w:r>
      <w:r>
        <w:rPr>
          <w:rFonts w:ascii="Times New Roman" w:hAnsi="Times New Roman" w:cs="Times New Roman"/>
          <w:sz w:val="24"/>
          <w:szCs w:val="24"/>
          <w:lang w:val="en-US" w:eastAsia="zh-CN"/>
        </w:rPr>
      </w:r>
      <w:r>
        <w:rPr>
          <w:rFonts w:ascii="Times New Roman" w:hAnsi="Times New Roman" w:cs="Times New Roman"/>
          <w:sz w:val="24"/>
          <w:szCs w:val="24"/>
          <w:lang w:eastAsia="zh-CN"/>
        </w:rPr>
      </w:r>
      <w:r>
        <w:rPr>
          <w:rFonts w:ascii="Times New Roman" w:hAnsi="Times New Roman" w:cs="Times New Roman"/>
          <w:sz w:val="24"/>
          <w:szCs w:val="24"/>
          <w:lang w:eastAsia="zh-CN"/>
        </w:rPr>
      </w:r>
      <w:r>
        <w:rPr>
          <w:rFonts w:ascii="Times New Roman" w:hAnsi="Times New Roman" w:cs="Times New Roman"/>
          <w:sz w:val="24"/>
          <w:szCs w:val="24"/>
          <w:lang w:eastAsia="zh-CN"/>
          <w14:ligatures w14:val="none"/>
        </w:rPr>
      </w:r>
    </w:p>
    <w:p>
      <w:pPr>
        <w:pStyle w:val="1061"/>
        <w:ind w:firstLine="422"/>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36.有关监督部门将对招投标全过程进行监督。</w:t>
      </w:r>
      <w:r/>
    </w:p>
    <w:p>
      <w:pPr>
        <w:pStyle w:val="1061"/>
        <w:ind w:firstLine="422"/>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37.未尽事宜：</w:t>
      </w:r>
      <w:r>
        <w:rPr>
          <w:rFonts w:ascii="Times New Roman" w:hAnsi="Times New Roman" w:cs="Times New Roman"/>
          <w:sz w:val="24"/>
          <w:szCs w:val="24"/>
          <w:lang w:eastAsia="zh-CN"/>
        </w:rPr>
        <w:t xml:space="preserve">按《中华人民共和国政府采购法》及其他有关的法律法规的规定执行。</w:t>
      </w:r>
      <w:r/>
    </w:p>
    <w:p>
      <w:pPr>
        <w:pStyle w:val="1021"/>
        <w:spacing w:before="75" w:beforeAutospacing="0" w:after="75" w:afterAutospacing="0"/>
        <w:widowControl/>
        <w:rPr>
          <w:rFonts w:ascii="Times New Roman" w:hAnsi="Times New Roman"/>
          <w:b/>
          <w:bCs/>
          <w:caps/>
          <w:sz w:val="36"/>
          <w:szCs w:val="36"/>
        </w:rPr>
      </w:pPr>
      <w:r>
        <w:rPr>
          <w:rFonts w:ascii="Times New Roman" w:hAnsi="Times New Roman"/>
          <w:b/>
          <w:bCs/>
          <w:caps/>
          <w:sz w:val="36"/>
          <w:szCs w:val="36"/>
        </w:rPr>
      </w:r>
      <w:r/>
    </w:p>
    <w:p>
      <w:pPr>
        <w:pStyle w:val="1002"/>
        <w:ind w:left="99"/>
        <w:spacing w:line="360" w:lineRule="auto"/>
        <w:rPr>
          <w:rFonts w:ascii="Times New Roman" w:hAnsi="Times New Roman"/>
        </w:rPr>
      </w:pPr>
      <w:r>
        <w:rPr>
          <w:rFonts w:ascii="Times New Roman" w:hAnsi="Times New Roman" w:eastAsia="宋体"/>
          <w:b/>
          <w:bCs/>
          <w:sz w:val="21"/>
          <w:szCs w:val="21"/>
        </w:rPr>
        <w:br w:type="page" w:clear="all"/>
      </w:r>
      <w:r/>
    </w:p>
    <w:p>
      <w:pPr>
        <w:pStyle w:val="969"/>
        <w:ind w:firstLine="990"/>
        <w:rPr>
          <w:rFonts w:ascii="Times New Roman" w:hAnsi="Times New Roman"/>
          <w:sz w:val="44"/>
          <w:szCs w:val="44"/>
          <w:lang w:eastAsia="zh-CN"/>
        </w:rPr>
      </w:pPr>
      <w:r>
        <w:rPr>
          <w:rFonts w:ascii="Times New Roman" w:hAnsi="Times New Roman"/>
          <w:sz w:val="44"/>
          <w:szCs w:val="44"/>
          <w:lang w:eastAsia="zh-CN"/>
        </w:rPr>
        <w:t xml:space="preserve">第三章  投标文件格式</w:t>
      </w:r>
      <w:r/>
    </w:p>
    <w:p>
      <w:pPr>
        <w:pStyle w:val="991"/>
        <w:ind w:firstLine="0"/>
        <w:spacing w:line="360" w:lineRule="auto"/>
        <w:rPr>
          <w:rFonts w:eastAsia="宋体"/>
          <w:b/>
          <w:sz w:val="21"/>
          <w:szCs w:val="21"/>
          <w:lang w:eastAsia="zh-CN"/>
        </w:rPr>
      </w:pPr>
      <w:r>
        <w:rPr>
          <w:rFonts w:eastAsia="宋体"/>
          <w:b/>
          <w:sz w:val="21"/>
          <w:szCs w:val="21"/>
          <w:lang w:eastAsia="zh-CN"/>
        </w:rPr>
        <w:t xml:space="preserve">说明：</w:t>
      </w:r>
      <w:r/>
    </w:p>
    <w:p>
      <w:pPr>
        <w:pStyle w:val="991"/>
        <w:ind w:firstLine="422"/>
        <w:spacing w:line="360" w:lineRule="auto"/>
        <w:rPr>
          <w:rFonts w:eastAsia="宋体"/>
          <w:b/>
          <w:sz w:val="21"/>
          <w:szCs w:val="21"/>
          <w:lang w:eastAsia="zh-CN"/>
        </w:rPr>
      </w:pPr>
      <w:r>
        <w:rPr>
          <w:rFonts w:eastAsia="宋体"/>
          <w:b/>
          <w:sz w:val="21"/>
          <w:szCs w:val="21"/>
          <w:lang w:eastAsia="zh-CN"/>
        </w:rPr>
        <w:t xml:space="preserve">对本章所有的投标书格式 ，投标方可根据自身情况进行补充和修改，但补充和修改不得造成与本格式内容有实质性的违背。</w:t>
      </w:r>
      <w:r/>
    </w:p>
    <w:p>
      <w:pPr>
        <w:spacing w:line="360" w:lineRule="auto"/>
        <w:rPr>
          <w:sz w:val="24"/>
          <w:szCs w:val="24"/>
        </w:rPr>
      </w:pPr>
      <w:r>
        <w:rPr>
          <w:b/>
          <w:bCs/>
          <w:szCs w:val="21"/>
          <w:lang w:val="zh-CN"/>
        </w:rPr>
        <w:br w:type="page" w:clear="all"/>
      </w:r>
      <w:r>
        <w:rPr>
          <w:b/>
          <w:bCs/>
          <w:sz w:val="24"/>
          <w:szCs w:val="24"/>
          <w:lang w:val="zh-CN"/>
        </w:rPr>
        <w:t xml:space="preserve">格式1、投标函</w:t>
      </w:r>
      <w:r/>
    </w:p>
    <w:p>
      <w:pPr>
        <w:jc w:val="center"/>
        <w:spacing w:line="360" w:lineRule="auto"/>
        <w:rPr>
          <w:b/>
          <w:sz w:val="24"/>
          <w:szCs w:val="24"/>
        </w:rPr>
      </w:pPr>
      <w:r>
        <w:rPr>
          <w:b/>
          <w:sz w:val="24"/>
          <w:szCs w:val="24"/>
          <w:lang w:val="zh-CN"/>
        </w:rPr>
        <w:t xml:space="preserve">投标函</w:t>
      </w:r>
      <w:r/>
    </w:p>
    <w:p>
      <w:pPr>
        <w:pStyle w:val="777"/>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苏州中海工程项目管理有限公司 ：</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    我们收到贵公司 号招标文件，经仔细阅读和研究，我们决定参加投标。</w:t>
      </w:r>
      <w:r/>
    </w:p>
    <w:p>
      <w:pPr>
        <w:pStyle w:val="1094"/>
        <w:numPr>
          <w:ilvl w:val="0"/>
          <w:numId w:val="8"/>
        </w:numPr>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我们愿意按照招标文件的一切要求，完成该项目的全部内容。</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2、如果我们的投标书被接受，我们将严格履行招标文件中规定的每一项要求，按期、按质、按量履行合同的义务。</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3、我们已详细审查全部招标文件，包括补充文件(如果有的话)，无任何异议。</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4、我们同意按招标文件中的规定，本投标书的有效期限为开标后</w:t>
      </w:r>
      <w:r>
        <w:rPr>
          <w:rFonts w:hint="default" w:ascii="Times New Roman" w:hAnsi="Times New Roman" w:eastAsia="宋体"/>
          <w:color w:val="000000"/>
          <w:sz w:val="24"/>
          <w:szCs w:val="24"/>
          <w:u w:val="single"/>
        </w:rPr>
        <w:t xml:space="preserve">90</w:t>
      </w:r>
      <w:r>
        <w:rPr>
          <w:rFonts w:hint="default" w:ascii="Times New Roman" w:hAnsi="Times New Roman" w:eastAsia="宋体"/>
          <w:color w:val="000000"/>
          <w:sz w:val="24"/>
          <w:szCs w:val="24"/>
        </w:rPr>
        <w:t xml:space="preserve">天。</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5、我们愿意提供采购单位在招标文件中要求的所有资料。</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6、我们认为你们有权决定中标者，还认为你们有权接受或拒绝所有的投标者。</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7、我们愿意遵守招标公告及招标文件中所列的收费标准。</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8、我们承诺该项投标在开标后的全过程中保持有效，不作任何更改和变动。</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9、如果我方中标，我方愿意按招标文件的规定支付中标服务费。</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10、我们承诺我公司符合招标文件投标人须知中“合格投标人的一般条件、特殊条件”的要求，若与真实情况不符，本公司愿意承担由此而产生的一切后果。</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11、综合说明：</w:t>
      </w:r>
      <w:r/>
    </w:p>
    <w:p>
      <w:pPr>
        <w:pStyle w:val="1094"/>
        <w:ind w:firstLine="420"/>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（1）伴随服务及配合措施；</w:t>
      </w:r>
      <w:r/>
    </w:p>
    <w:p>
      <w:pPr>
        <w:pStyle w:val="1094"/>
        <w:ind w:firstLine="420"/>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（2）要求甲方提供的配合；</w:t>
      </w:r>
      <w:r/>
    </w:p>
    <w:p>
      <w:pPr>
        <w:pStyle w:val="1094"/>
        <w:ind w:firstLine="420"/>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（3）对招标文件有不同意见的偏离说明；</w:t>
      </w:r>
      <w:r/>
    </w:p>
    <w:p>
      <w:pPr>
        <w:pStyle w:val="1094"/>
        <w:ind w:firstLine="420"/>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（4）其它说明。</w:t>
      </w:r>
      <w:r/>
    </w:p>
    <w:p>
      <w:pPr>
        <w:pStyle w:val="1094"/>
        <w:spacing w:line="360" w:lineRule="auto"/>
        <w:rPr>
          <w:rFonts w:hint="default" w:ascii="Times New Roman" w:hAnsi="Times New Roman" w:eastAsia="宋体"/>
          <w:color w:val="000000"/>
          <w:sz w:val="24"/>
          <w:szCs w:val="24"/>
        </w:rPr>
      </w:pPr>
      <w:r>
        <w:rPr>
          <w:rFonts w:hint="default" w:ascii="Times New Roman" w:hAnsi="Times New Roman" w:eastAsia="宋体"/>
          <w:color w:val="000000"/>
          <w:sz w:val="24"/>
          <w:szCs w:val="24"/>
        </w:rPr>
        <w:t xml:space="preserve">所有有关标书的函电，请按下列地址联系：</w:t>
      </w:r>
      <w:r/>
    </w:p>
    <w:p>
      <w:pPr>
        <w:pStyle w:val="777"/>
        <w:ind w:firstLine="420"/>
        <w:spacing w:line="360" w:lineRule="auto"/>
        <w:rPr>
          <w:rFonts w:hint="default"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lang w:eastAsia="zh-CN"/>
        </w:rPr>
        <w:t xml:space="preserve">单    位： 联 系 人：</w:t>
      </w:r>
      <w:r/>
    </w:p>
    <w:p>
      <w:pPr>
        <w:pStyle w:val="777"/>
        <w:ind w:firstLine="420"/>
        <w:spacing w:line="360" w:lineRule="auto"/>
        <w:rPr>
          <w:rFonts w:hint="default"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lang w:eastAsia="zh-CN"/>
        </w:rPr>
        <w:t xml:space="preserve">地    址： 邮政编码：</w:t>
      </w:r>
      <w:r/>
    </w:p>
    <w:p>
      <w:pPr>
        <w:pStyle w:val="777"/>
        <w:ind w:firstLine="420"/>
        <w:spacing w:line="360" w:lineRule="auto"/>
        <w:rPr>
          <w:rFonts w:hint="default"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lang w:eastAsia="zh-CN"/>
        </w:rPr>
        <w:t xml:space="preserve">联系电话： 传    真：</w:t>
      </w:r>
      <w:r/>
    </w:p>
    <w:p>
      <w:pPr>
        <w:pStyle w:val="777"/>
        <w:ind w:firstLine="425"/>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投标人：（签章）</w:t>
      </w:r>
      <w:r/>
    </w:p>
    <w:p>
      <w:pPr>
        <w:pStyle w:val="777"/>
        <w:ind w:firstLine="425"/>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单位法定代表人或授权委托人：（签字或签章）    年     月     日</w:t>
      </w:r>
      <w:r/>
    </w:p>
    <w:p>
      <w:pPr>
        <w:jc w:val="left"/>
        <w:widowControl/>
        <w:rPr>
          <w:b/>
          <w:sz w:val="24"/>
          <w:szCs w:val="24"/>
          <w:lang w:val="zh-CN"/>
        </w:rPr>
      </w:pPr>
      <w:r>
        <w:rPr>
          <w:b/>
          <w:sz w:val="24"/>
          <w:szCs w:val="24"/>
          <w:lang w:val="zh-CN"/>
        </w:rPr>
        <w:br w:type="page" w:clear="all"/>
      </w:r>
      <w:r/>
    </w:p>
    <w:p>
      <w:pPr>
        <w:jc w:val="left"/>
        <w:spacing w:line="360" w:lineRule="auto"/>
        <w:rPr>
          <w:b/>
          <w:sz w:val="24"/>
          <w:szCs w:val="24"/>
          <w:lang w:val="zh-CN"/>
        </w:rPr>
      </w:pPr>
      <w:r>
        <w:rPr>
          <w:b/>
          <w:sz w:val="24"/>
          <w:szCs w:val="24"/>
          <w:lang w:val="zh-CN"/>
        </w:rPr>
      </w:r>
      <w:r/>
    </w:p>
    <w:p>
      <w:pPr>
        <w:jc w:val="left"/>
        <w:spacing w:line="360" w:lineRule="auto"/>
        <w:rPr>
          <w:b/>
          <w:sz w:val="24"/>
          <w:szCs w:val="24"/>
          <w:lang w:val="zh-CN"/>
        </w:rPr>
      </w:pPr>
      <w:r>
        <w:rPr>
          <w:b/>
          <w:sz w:val="24"/>
          <w:szCs w:val="24"/>
          <w:lang w:val="zh-CN"/>
        </w:rPr>
        <w:t xml:space="preserve">格式</w:t>
      </w:r>
      <w:r>
        <w:rPr>
          <w:b/>
          <w:sz w:val="24"/>
          <w:szCs w:val="24"/>
        </w:rPr>
        <w:t xml:space="preserve">2、法人授权书</w:t>
      </w:r>
      <w:r/>
    </w:p>
    <w:p>
      <w:pPr>
        <w:jc w:val="center"/>
        <w:spacing w:line="360" w:lineRule="auto"/>
        <w:rPr>
          <w:b/>
          <w:sz w:val="24"/>
          <w:szCs w:val="24"/>
          <w:lang w:val="zh-CN"/>
        </w:rPr>
      </w:pPr>
      <w:r>
        <w:rPr>
          <w:b/>
          <w:sz w:val="24"/>
          <w:szCs w:val="24"/>
          <w:lang w:val="zh-CN"/>
        </w:rPr>
        <w:t xml:space="preserve">法人授权委托书</w:t>
      </w:r>
      <w:r/>
    </w:p>
    <w:p>
      <w:pPr>
        <w:pStyle w:val="991"/>
        <w:jc w:val="center"/>
        <w:spacing w:line="360" w:lineRule="auto"/>
        <w:rPr>
          <w:rFonts w:eastAsia="宋体"/>
          <w:szCs w:val="24"/>
          <w:lang w:eastAsia="zh-CN"/>
        </w:rPr>
      </w:pPr>
      <w:r>
        <w:rPr>
          <w:rFonts w:eastAsia="宋体"/>
          <w:szCs w:val="24"/>
          <w:lang w:eastAsia="zh-CN"/>
        </w:rPr>
      </w:r>
      <w:r/>
    </w:p>
    <w:p>
      <w:pPr>
        <w:ind w:firstLine="420"/>
        <w:spacing w:line="360" w:lineRule="auto"/>
        <w:rPr>
          <w:sz w:val="24"/>
          <w:szCs w:val="24"/>
        </w:rPr>
      </w:pPr>
      <w:r>
        <w:rPr>
          <w:sz w:val="24"/>
          <w:szCs w:val="24"/>
          <w:lang w:val="zh-CN"/>
        </w:rPr>
        <w:t xml:space="preserve">本授权委托书声明：  我 （姓名）系（投标人名称）的法定代表人，现授权委托（姓名）为我公司代理人，以本公司的名义参加苏州中海工程项目管理有限公司组织实施的编号为号公开招标的招投标活动。代理人在开标、评标、合同谈判过程中所签署的一切文件和处理与这有关的一切事务，我均予以承认。</w:t>
      </w:r>
      <w:r/>
    </w:p>
    <w:p>
      <w:pPr>
        <w:ind w:firstLine="420"/>
        <w:spacing w:line="360" w:lineRule="auto"/>
        <w:rPr>
          <w:sz w:val="24"/>
          <w:szCs w:val="24"/>
        </w:rPr>
      </w:pPr>
      <w:r>
        <w:rPr>
          <w:sz w:val="24"/>
          <w:szCs w:val="24"/>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sz w:val="24"/>
          <w:szCs w:val="24"/>
        </w:rPr>
      </w:pPr>
      <w:r>
        <w:rPr>
          <w:sz w:val="24"/>
          <w:szCs w:val="24"/>
          <w:lang w:val="zh-CN"/>
        </w:rPr>
        <w:t xml:space="preserve">代理人无转委托权。特此委托。</w:t>
      </w:r>
      <w:r/>
    </w:p>
    <w:p>
      <w:pPr>
        <w:pStyle w:val="991"/>
        <w:spacing w:line="360" w:lineRule="auto"/>
        <w:rPr>
          <w:rFonts w:eastAsia="宋体"/>
          <w:szCs w:val="24"/>
          <w:lang w:eastAsia="zh-CN"/>
        </w:rPr>
      </w:pPr>
      <w:r>
        <w:rPr>
          <w:rFonts w:eastAsia="宋体"/>
          <w:szCs w:val="24"/>
          <w:lang w:eastAsia="zh-CN"/>
        </w:rPr>
      </w:r>
      <w:r/>
    </w:p>
    <w:p>
      <w:pPr>
        <w:pStyle w:val="991"/>
        <w:spacing w:line="360" w:lineRule="auto"/>
        <w:rPr>
          <w:rFonts w:eastAsia="宋体"/>
          <w:szCs w:val="24"/>
          <w:lang w:eastAsia="zh-CN"/>
        </w:rPr>
      </w:pPr>
      <w:r>
        <w:rPr>
          <w:rFonts w:eastAsia="宋体"/>
          <w:szCs w:val="24"/>
          <w:lang w:eastAsia="zh-CN"/>
        </w:rPr>
        <w:t xml:space="preserve">投标人：（公章）</w:t>
      </w:r>
      <w:r/>
    </w:p>
    <w:p>
      <w:pPr>
        <w:pStyle w:val="991"/>
        <w:spacing w:line="360" w:lineRule="auto"/>
        <w:rPr>
          <w:rFonts w:eastAsia="宋体"/>
          <w:szCs w:val="24"/>
          <w:lang w:eastAsia="zh-CN"/>
        </w:rPr>
      </w:pPr>
      <w:r>
        <w:rPr>
          <w:rFonts w:eastAsia="宋体"/>
          <w:szCs w:val="24"/>
          <w:lang w:eastAsia="zh-CN"/>
        </w:rPr>
        <w:t xml:space="preserve">法定代表人：（签字或签章）</w:t>
      </w:r>
      <w:r/>
    </w:p>
    <w:p>
      <w:pPr>
        <w:pStyle w:val="991"/>
        <w:spacing w:line="360" w:lineRule="auto"/>
        <w:rPr>
          <w:rFonts w:eastAsia="宋体"/>
          <w:szCs w:val="24"/>
          <w:lang w:eastAsia="zh-CN"/>
        </w:rPr>
      </w:pPr>
      <w:r>
        <w:rPr>
          <w:rFonts w:eastAsia="宋体"/>
          <w:szCs w:val="24"/>
          <w:lang w:eastAsia="zh-CN"/>
        </w:rPr>
        <w:t xml:space="preserve">授权委托人：（签字或签章）</w:t>
      </w:r>
      <w:r/>
    </w:p>
    <w:p>
      <w:pPr>
        <w:pStyle w:val="991"/>
        <w:spacing w:line="360" w:lineRule="auto"/>
        <w:rPr>
          <w:rFonts w:eastAsia="宋体"/>
          <w:szCs w:val="24"/>
          <w:lang w:eastAsia="zh-CN"/>
        </w:rPr>
      </w:pPr>
      <w:r>
        <w:rPr>
          <w:rFonts w:eastAsia="宋体"/>
          <w:szCs w:val="24"/>
          <w:lang w:eastAsia="zh-CN"/>
        </w:rPr>
      </w:r>
      <w:r/>
    </w:p>
    <w:p>
      <w:pPr>
        <w:pStyle w:val="991"/>
        <w:spacing w:line="360" w:lineRule="auto"/>
        <w:rPr>
          <w:rFonts w:eastAsia="宋体"/>
          <w:szCs w:val="24"/>
          <w:lang w:eastAsia="zh-CN"/>
        </w:rPr>
      </w:pPr>
      <w:r>
        <w:rPr>
          <w:rFonts w:eastAsia="宋体"/>
          <w:szCs w:val="24"/>
          <w:lang w:eastAsia="zh-CN"/>
        </w:rPr>
      </w:r>
      <w:r/>
    </w:p>
    <w:p>
      <w:pPr>
        <w:pStyle w:val="991"/>
        <w:jc w:val="right"/>
        <w:spacing w:line="360" w:lineRule="auto"/>
        <w:rPr>
          <w:rFonts w:eastAsia="宋体"/>
          <w:szCs w:val="24"/>
          <w:lang w:eastAsia="zh-CN"/>
        </w:rPr>
      </w:pPr>
      <w:r>
        <w:rPr>
          <w:rFonts w:eastAsia="宋体"/>
          <w:szCs w:val="24"/>
          <w:lang w:eastAsia="zh-CN"/>
        </w:rPr>
      </w:r>
      <w:r/>
    </w:p>
    <w:p>
      <w:pPr>
        <w:pStyle w:val="991"/>
        <w:jc w:val="center"/>
        <w:spacing w:line="360" w:lineRule="auto"/>
        <w:rPr>
          <w:rFonts w:eastAsia="宋体"/>
          <w:szCs w:val="24"/>
          <w:lang w:eastAsia="zh-CN"/>
        </w:rPr>
      </w:pPr>
      <w:r>
        <w:rPr>
          <w:rFonts w:eastAsia="宋体"/>
          <w:szCs w:val="24"/>
          <w:lang w:eastAsia="zh-CN"/>
        </w:rPr>
        <w:t xml:space="preserve">                                       年    月    日</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lang w:val="zh-CN"/>
        </w:rPr>
      </w:pPr>
      <w:r>
        <w:rPr>
          <w:sz w:val="24"/>
          <w:szCs w:val="24"/>
        </w:rPr>
        <w:br w:type="page" w:clear="all"/>
      </w:r>
      <w:r>
        <w:rPr>
          <w:b/>
          <w:bCs/>
          <w:sz w:val="24"/>
          <w:szCs w:val="24"/>
          <w:lang w:val="zh-CN"/>
        </w:rPr>
        <w:t xml:space="preserve">格式</w:t>
      </w:r>
      <w:r>
        <w:rPr>
          <w:b/>
          <w:bCs/>
          <w:sz w:val="24"/>
          <w:szCs w:val="24"/>
        </w:rPr>
        <w:t xml:space="preserve">3</w:t>
      </w:r>
      <w:r>
        <w:rPr>
          <w:b/>
          <w:bCs/>
          <w:sz w:val="24"/>
          <w:szCs w:val="24"/>
          <w:lang w:val="zh-CN"/>
        </w:rPr>
        <w:t xml:space="preserve">、开标一览表</w:t>
      </w:r>
      <w:r/>
    </w:p>
    <w:p>
      <w:pPr>
        <w:pStyle w:val="1080"/>
        <w:jc w:val="center"/>
        <w:rPr>
          <w:rFonts w:ascii="Times New Roman" w:hAnsi="Times New Roman" w:cs="Times New Roman"/>
          <w:szCs w:val="24"/>
          <w:lang w:eastAsia="zh-CN"/>
        </w:rPr>
      </w:pPr>
      <w:r>
        <w:rPr>
          <w:rFonts w:ascii="Times New Roman" w:hAnsi="Times New Roman" w:cs="Times New Roman"/>
          <w:szCs w:val="24"/>
          <w:lang w:eastAsia="zh-CN"/>
        </w:rPr>
      </w:r>
      <w:r/>
    </w:p>
    <w:p>
      <w:pPr>
        <w:pStyle w:val="1080"/>
        <w:jc w:val="center"/>
        <w:rPr>
          <w:rFonts w:ascii="Times New Roman" w:hAnsi="Times New Roman" w:cs="Times New Roman"/>
          <w:b/>
          <w:bCs/>
          <w:szCs w:val="24"/>
          <w:lang w:eastAsia="zh-CN"/>
        </w:rPr>
      </w:pPr>
      <w:r>
        <w:rPr>
          <w:rFonts w:ascii="Times New Roman" w:hAnsi="Times New Roman" w:cs="Times New Roman"/>
          <w:b/>
          <w:bCs/>
          <w:szCs w:val="24"/>
          <w:lang w:eastAsia="zh-CN"/>
        </w:rPr>
        <w:t xml:space="preserve">开标一览表（标段    ）</w:t>
      </w:r>
      <w:r/>
    </w:p>
    <w:p>
      <w:pPr>
        <w:pStyle w:val="1080"/>
        <w:jc w:val="center"/>
        <w:rPr>
          <w:rFonts w:ascii="Times New Roman" w:hAnsi="Times New Roman" w:cs="Times New Roman"/>
          <w:b/>
          <w:bCs/>
          <w:szCs w:val="24"/>
          <w:lang w:eastAsia="zh-CN"/>
        </w:rPr>
      </w:pPr>
      <w:r>
        <w:rPr>
          <w:rFonts w:ascii="Times New Roman" w:hAnsi="Times New Roman" w:cs="Times New Roman"/>
          <w:b/>
          <w:bCs/>
          <w:szCs w:val="24"/>
          <w:lang w:eastAsia="zh-CN"/>
        </w:rPr>
      </w:r>
      <w:r/>
    </w:p>
    <w:p>
      <w:pPr>
        <w:pStyle w:val="991"/>
        <w:ind w:firstLine="0"/>
        <w:jc w:val="both"/>
        <w:spacing w:line="360" w:lineRule="auto"/>
        <w:tabs>
          <w:tab w:val="left" w:pos="7020" w:leader="none"/>
        </w:tabs>
        <w:rPr>
          <w:rFonts w:eastAsia="宋体"/>
          <w:bCs/>
          <w:szCs w:val="24"/>
          <w:lang w:eastAsia="zh-CN"/>
        </w:rPr>
      </w:pPr>
      <w:r>
        <w:rPr>
          <w:rFonts w:eastAsia="宋体"/>
          <w:bCs/>
          <w:szCs w:val="24"/>
          <w:lang w:eastAsia="zh-CN"/>
        </w:rPr>
        <w:t xml:space="preserve">招标编号：</w:t>
      </w:r>
      <w:r/>
    </w:p>
    <w:tbl>
      <w:tblPr>
        <w:tblStyle w:val="767"/>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0"/>
        <w:gridCol w:w="2760"/>
        <w:gridCol w:w="2370"/>
        <w:gridCol w:w="2015"/>
      </w:tblGrid>
      <w:tr>
        <w:trPr>
          <w:jc w:val="center"/>
          <w:trHeight w:val="823"/>
        </w:trPr>
        <w:tc>
          <w:tcPr>
            <w:tcW w:w="2250" w:type="dxa"/>
            <w:vAlign w:val="center"/>
            <w:textDirection w:val="lrTb"/>
            <w:noWrap w:val="false"/>
          </w:tcPr>
          <w:p>
            <w:pPr>
              <w:ind w:left="0" w:right="0"/>
              <w:jc w:val="center"/>
              <w:keepLines w:val="0"/>
              <w:keepNext w:val="0"/>
              <w:spacing w:before="0" w:beforeAutospacing="0" w:after="0" w:afterAutospacing="0"/>
              <w:widowControl/>
              <w:rPr>
                <w:sz w:val="24"/>
                <w:szCs w:val="24"/>
              </w:rPr>
              <w:suppressLineNumbers w:val="0"/>
            </w:pPr>
            <w:r>
              <w:rPr>
                <w:sz w:val="24"/>
                <w:szCs w:val="24"/>
              </w:rPr>
              <w:t xml:space="preserve">项目名称</w:t>
            </w:r>
            <w:r/>
          </w:p>
        </w:tc>
        <w:tc>
          <w:tcPr>
            <w:tcW w:w="2760" w:type="dxa"/>
            <w:vAlign w:val="center"/>
            <w:textDirection w:val="lrTb"/>
            <w:noWrap w:val="false"/>
          </w:tcPr>
          <w:p>
            <w:pPr>
              <w:ind w:left="0" w:right="0"/>
              <w:jc w:val="center"/>
              <w:keepLines w:val="0"/>
              <w:keepNext w:val="0"/>
              <w:spacing w:before="120" w:beforeAutospacing="0" w:after="120" w:afterAutospacing="0"/>
              <w:rPr>
                <w:sz w:val="24"/>
                <w:szCs w:val="24"/>
              </w:rPr>
              <w:suppressLineNumbers w:val="0"/>
            </w:pPr>
            <w:r>
              <w:rPr>
                <w:bCs/>
                <w:sz w:val="24"/>
                <w:szCs w:val="24"/>
              </w:rPr>
              <w:t xml:space="preserve">投标总价（元）</w:t>
            </w:r>
            <w:r/>
          </w:p>
        </w:tc>
        <w:tc>
          <w:tcPr>
            <w:tcW w:w="2370" w:type="dxa"/>
            <w:vAlign w:val="center"/>
            <w:textDirection w:val="lrTb"/>
            <w:noWrap w:val="false"/>
          </w:tcPr>
          <w:p>
            <w:pPr>
              <w:ind w:left="0" w:right="0"/>
              <w:jc w:val="center"/>
              <w:keepLines w:val="0"/>
              <w:keepNext w:val="0"/>
              <w:spacing w:before="0" w:beforeAutospacing="0" w:after="0" w:afterAutospacing="0"/>
              <w:rPr>
                <w:sz w:val="24"/>
                <w:szCs w:val="24"/>
              </w:rPr>
              <w:suppressLineNumbers w:val="0"/>
            </w:pPr>
            <w:r>
              <w:rPr>
                <w:sz w:val="24"/>
                <w:szCs w:val="24"/>
              </w:rPr>
              <w:t xml:space="preserve">服务期限</w:t>
            </w:r>
            <w:r/>
          </w:p>
        </w:tc>
        <w:tc>
          <w:tcPr>
            <w:tcW w:w="2015" w:type="dxa"/>
            <w:textDirection w:val="lrTb"/>
            <w:noWrap w:val="false"/>
          </w:tcPr>
          <w:p>
            <w:pPr>
              <w:ind w:left="0" w:right="0"/>
              <w:jc w:val="center"/>
              <w:keepLines w:val="0"/>
              <w:keepNext w:val="0"/>
              <w:spacing w:before="0" w:beforeAutospacing="0" w:after="0" w:afterAutospacing="0"/>
              <w:rPr>
                <w:sz w:val="24"/>
                <w:szCs w:val="24"/>
              </w:rPr>
              <w:suppressLineNumbers w:val="0"/>
            </w:pPr>
            <w:r>
              <w:rPr>
                <w:sz w:val="24"/>
                <w:szCs w:val="24"/>
              </w:rPr>
            </w:r>
            <w:r/>
          </w:p>
          <w:p>
            <w:pPr>
              <w:ind w:left="0" w:right="0"/>
              <w:jc w:val="center"/>
              <w:keepLines w:val="0"/>
              <w:keepNext w:val="0"/>
              <w:spacing w:before="0" w:beforeAutospacing="0" w:after="0" w:afterAutospacing="0"/>
              <w:rPr>
                <w:sz w:val="24"/>
                <w:szCs w:val="24"/>
              </w:rPr>
              <w:suppressLineNumbers w:val="0"/>
            </w:pPr>
            <w:r>
              <w:rPr>
                <w:sz w:val="24"/>
                <w:szCs w:val="24"/>
              </w:rPr>
              <w:t xml:space="preserve">标段号</w:t>
            </w:r>
            <w:r/>
          </w:p>
        </w:tc>
      </w:tr>
      <w:tr>
        <w:trPr>
          <w:jc w:val="center"/>
          <w:trHeight w:val="692"/>
        </w:trPr>
        <w:tc>
          <w:tcPr>
            <w:tcW w:w="2250" w:type="dxa"/>
            <w:vAlign w:val="center"/>
            <w:textDirection w:val="lrTb"/>
            <w:noWrap w:val="false"/>
          </w:tcPr>
          <w:p>
            <w:pPr>
              <w:ind w:left="0" w:right="0"/>
              <w:jc w:val="center"/>
              <w:keepLines w:val="0"/>
              <w:keepNext w:val="0"/>
              <w:spacing w:before="0" w:beforeAutospacing="0" w:after="0" w:afterAutospacing="0"/>
              <w:widowControl/>
              <w:rPr>
                <w:sz w:val="24"/>
                <w:szCs w:val="24"/>
                <w:u w:val="single"/>
              </w:rPr>
              <w:suppressLineNumbers w:val="0"/>
            </w:pPr>
            <w:r>
              <w:rPr>
                <w:sz w:val="24"/>
                <w:szCs w:val="24"/>
              </w:rPr>
              <w:t xml:space="preserve">2025-2026中心城区绿化养护项目</w:t>
            </w:r>
            <w:r/>
          </w:p>
        </w:tc>
        <w:tc>
          <w:tcPr>
            <w:tcW w:w="2760" w:type="dxa"/>
            <w:vAlign w:val="center"/>
            <w:textDirection w:val="lrTb"/>
            <w:noWrap w:val="false"/>
          </w:tcPr>
          <w:p>
            <w:pPr>
              <w:ind w:left="0" w:right="0"/>
              <w:jc w:val="center"/>
              <w:keepLines w:val="0"/>
              <w:keepNext w:val="0"/>
              <w:spacing w:before="120" w:beforeAutospacing="0" w:after="120" w:afterAutospacing="0"/>
              <w:rPr>
                <w:sz w:val="24"/>
                <w:szCs w:val="24"/>
              </w:rPr>
              <w:suppressLineNumbers w:val="0"/>
            </w:pPr>
            <w:r>
              <w:rPr>
                <w:sz w:val="24"/>
                <w:szCs w:val="24"/>
              </w:rPr>
            </w:r>
            <w:r/>
          </w:p>
        </w:tc>
        <w:tc>
          <w:tcPr>
            <w:tcW w:w="237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t xml:space="preserve">   </w:t>
            </w:r>
            <w:r/>
          </w:p>
        </w:tc>
        <w:tc>
          <w:tcPr>
            <w:tcW w:w="2015"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692"/>
        </w:trPr>
        <w:tc>
          <w:tcPr>
            <w:gridSpan w:val="3"/>
            <w:tcW w:w="7380" w:type="dxa"/>
            <w:vAlign w:val="center"/>
            <w:textDirection w:val="lrTb"/>
            <w:noWrap w:val="false"/>
          </w:tcPr>
          <w:p>
            <w:pPr>
              <w:pStyle w:val="1064"/>
              <w:ind w:left="0" w:right="0"/>
              <w:keepLines w:val="0"/>
              <w:keepNext w:val="0"/>
              <w:spacing w:before="0" w:beforeAutospacing="0" w:after="0" w:afterAutospacing="0" w:line="360" w:lineRule="auto"/>
              <w:rPr>
                <w:rFonts w:ascii="Times New Roman" w:hAnsi="Times New Roman" w:cs="Times New Roman"/>
                <w:sz w:val="24"/>
                <w:szCs w:val="24"/>
                <w:lang w:eastAsia="zh-CN"/>
              </w:rPr>
              <w:suppressLineNumbers w:val="0"/>
            </w:pPr>
            <w:r>
              <w:rPr>
                <w:rFonts w:ascii="Times New Roman" w:hAnsi="Times New Roman" w:cs="Times New Roman"/>
                <w:sz w:val="24"/>
                <w:szCs w:val="24"/>
                <w:lang w:val="zh-CN" w:eastAsia="zh-CN"/>
              </w:rPr>
              <w:t xml:space="preserve">投标总价（人民币大写）：￥：</w:t>
            </w:r>
            <w:r/>
          </w:p>
        </w:tc>
        <w:tc>
          <w:tcPr>
            <w:tcW w:w="2015" w:type="dxa"/>
            <w:textDirection w:val="lrTb"/>
            <w:noWrap w:val="false"/>
          </w:tcPr>
          <w:p>
            <w:pPr>
              <w:pStyle w:val="1064"/>
              <w:ind w:left="0" w:right="0"/>
              <w:keepLines w:val="0"/>
              <w:keepNext w:val="0"/>
              <w:spacing w:before="0" w:beforeAutospacing="0" w:after="0" w:afterAutospacing="0" w:line="360" w:lineRule="auto"/>
              <w:rPr>
                <w:rFonts w:ascii="Times New Roman" w:hAnsi="Times New Roman" w:cs="Times New Roman"/>
                <w:sz w:val="24"/>
                <w:szCs w:val="24"/>
                <w:lang w:val="zh-CN" w:eastAsia="zh-CN"/>
              </w:rPr>
              <w:suppressLineNumbers w:val="0"/>
            </w:pPr>
            <w:r>
              <w:rPr>
                <w:rFonts w:ascii="Times New Roman" w:hAnsi="Times New Roman" w:cs="Times New Roman"/>
                <w:sz w:val="24"/>
                <w:szCs w:val="24"/>
                <w:lang w:val="zh-CN" w:eastAsia="zh-CN"/>
              </w:rPr>
            </w:r>
            <w:r/>
          </w:p>
        </w:tc>
      </w:tr>
    </w:tbl>
    <w:p>
      <w:pPr>
        <w:ind w:firstLine="480"/>
        <w:spacing w:line="360" w:lineRule="auto"/>
        <w:rPr>
          <w:sz w:val="24"/>
          <w:szCs w:val="24"/>
          <w:lang w:val="zh-CN"/>
        </w:rPr>
      </w:pPr>
      <w:r>
        <w:rPr>
          <w:sz w:val="24"/>
          <w:szCs w:val="24"/>
          <w:lang w:val="zh-CN"/>
        </w:rPr>
      </w:r>
      <w:r/>
    </w:p>
    <w:p>
      <w:pPr>
        <w:ind w:firstLine="480"/>
        <w:spacing w:line="360" w:lineRule="auto"/>
        <w:rPr>
          <w:sz w:val="24"/>
          <w:szCs w:val="24"/>
          <w:lang w:val="zh-CN"/>
        </w:rPr>
      </w:pPr>
      <w:r>
        <w:rPr>
          <w:sz w:val="24"/>
          <w:szCs w:val="24"/>
          <w:lang w:val="zh-CN"/>
        </w:rPr>
        <w:t xml:space="preserve">投标人（</w:t>
      </w:r>
      <w:r>
        <w:rPr>
          <w:sz w:val="24"/>
          <w:szCs w:val="24"/>
        </w:rPr>
        <w:t xml:space="preserve">签章</w:t>
      </w:r>
      <w:r>
        <w:rPr>
          <w:sz w:val="24"/>
          <w:szCs w:val="24"/>
          <w:lang w:val="zh-CN"/>
        </w:rPr>
        <w:t xml:space="preserve">）：</w:t>
      </w:r>
      <w:r/>
    </w:p>
    <w:p>
      <w:pPr>
        <w:ind w:firstLine="480"/>
        <w:spacing w:line="360" w:lineRule="auto"/>
        <w:rPr>
          <w:sz w:val="24"/>
          <w:szCs w:val="24"/>
          <w:lang w:val="zh-CN"/>
        </w:rPr>
      </w:pPr>
      <w:r>
        <w:rPr>
          <w:sz w:val="24"/>
          <w:szCs w:val="24"/>
          <w:lang w:val="zh-CN"/>
        </w:rPr>
        <w:t xml:space="preserve">法定代表人或委托代理人：（签字</w:t>
      </w:r>
      <w:r>
        <w:rPr>
          <w:sz w:val="24"/>
          <w:szCs w:val="24"/>
        </w:rPr>
        <w:t xml:space="preserve">或签章</w:t>
      </w:r>
      <w:r>
        <w:rPr>
          <w:sz w:val="24"/>
          <w:szCs w:val="24"/>
          <w:lang w:val="zh-CN"/>
        </w:rPr>
        <w:t xml:space="preserve">）</w:t>
      </w:r>
      <w:r/>
    </w:p>
    <w:p>
      <w:pPr>
        <w:ind w:firstLine="480"/>
        <w:spacing w:line="360" w:lineRule="auto"/>
        <w:rPr>
          <w:sz w:val="24"/>
          <w:szCs w:val="24"/>
          <w:lang w:val="zh-CN"/>
        </w:rPr>
      </w:pPr>
      <w:r>
        <w:rPr>
          <w:sz w:val="24"/>
          <w:szCs w:val="24"/>
          <w:lang w:val="zh-CN"/>
        </w:rPr>
        <w:t xml:space="preserve">日期：</w:t>
      </w:r>
      <w:r/>
    </w:p>
    <w:p>
      <w:pPr>
        <w:rPr>
          <w:b/>
          <w:bCs/>
          <w:sz w:val="24"/>
          <w:szCs w:val="24"/>
          <w:lang w:val="zh-CN"/>
        </w:rPr>
      </w:pPr>
      <w:r>
        <w:rPr>
          <w:b/>
          <w:bCs/>
          <w:sz w:val="24"/>
          <w:szCs w:val="24"/>
          <w:lang w:val="zh-CN"/>
        </w:rPr>
        <w:br w:type="page" w:clear="all"/>
      </w:r>
      <w:r/>
    </w:p>
    <w:p>
      <w:pPr>
        <w:spacing w:line="360" w:lineRule="auto"/>
        <w:rPr>
          <w:b/>
          <w:bCs/>
          <w:sz w:val="24"/>
          <w:szCs w:val="24"/>
        </w:rPr>
      </w:pPr>
      <w:r>
        <w:rPr>
          <w:b/>
          <w:bCs/>
          <w:sz w:val="24"/>
          <w:szCs w:val="24"/>
          <w:lang w:val="zh-CN"/>
        </w:rPr>
        <w:t xml:space="preserve">格式</w:t>
      </w:r>
      <w:r>
        <w:rPr>
          <w:b/>
          <w:bCs/>
          <w:sz w:val="24"/>
          <w:szCs w:val="24"/>
        </w:rPr>
        <w:t xml:space="preserve">4</w:t>
      </w:r>
      <w:r>
        <w:rPr>
          <w:b/>
          <w:bCs/>
          <w:sz w:val="24"/>
          <w:szCs w:val="24"/>
          <w:lang w:val="zh-CN"/>
        </w:rPr>
        <w:t xml:space="preserve">、</w:t>
      </w:r>
      <w:r>
        <w:rPr>
          <w:b/>
          <w:bCs/>
          <w:sz w:val="24"/>
          <w:szCs w:val="24"/>
        </w:rPr>
        <w:t xml:space="preserve">报价分析表</w:t>
      </w:r>
      <w:r/>
    </w:p>
    <w:p>
      <w:pPr>
        <w:jc w:val="center"/>
        <w:spacing w:line="360" w:lineRule="auto"/>
        <w:rPr>
          <w:b/>
          <w:bCs/>
          <w:sz w:val="24"/>
          <w:szCs w:val="24"/>
        </w:rPr>
      </w:pPr>
      <w:r>
        <w:rPr>
          <w:b/>
          <w:bCs/>
          <w:sz w:val="24"/>
          <w:szCs w:val="24"/>
        </w:rPr>
        <w:t xml:space="preserve">项目投标报价分析表（按清单表格自行报价）</w:t>
      </w:r>
      <w:r/>
    </w:p>
    <w:p>
      <w:pPr>
        <w:spacing w:line="360" w:lineRule="auto"/>
        <w:rPr>
          <w:sz w:val="24"/>
          <w:szCs w:val="24"/>
          <w:lang w:val="zh-CN"/>
        </w:rPr>
      </w:pPr>
      <w:r>
        <w:rPr>
          <w:sz w:val="24"/>
          <w:szCs w:val="24"/>
          <w:lang w:val="zh-CN"/>
        </w:rPr>
        <w:t xml:space="preserve">招标编号：项目名称：</w:t>
      </w:r>
      <w:r>
        <w:rPr>
          <w:sz w:val="24"/>
          <w:szCs w:val="24"/>
          <w:lang w:val="zh-CN"/>
        </w:rPr>
        <w:tab/>
      </w:r>
      <w:r/>
    </w:p>
    <w:p>
      <w:pPr>
        <w:spacing w:line="360" w:lineRule="auto"/>
        <w:rPr>
          <w:sz w:val="24"/>
          <w:szCs w:val="24"/>
        </w:rPr>
      </w:pPr>
      <w:r>
        <w:rPr>
          <w:sz w:val="24"/>
          <w:szCs w:val="24"/>
          <w:lang w:val="zh-CN"/>
        </w:rPr>
        <w:tab/>
      </w:r>
      <w:r>
        <w:rPr>
          <w:sz w:val="24"/>
          <w:szCs w:val="24"/>
          <w:lang w:val="zh-CN"/>
        </w:rPr>
        <w:tab/>
      </w:r>
      <w:r/>
    </w:p>
    <w:p>
      <w:pPr>
        <w:pStyle w:val="1092"/>
        <w:spacing w:line="360" w:lineRule="auto"/>
        <w:rPr>
          <w:rFonts w:ascii="Times New Roman" w:hAnsi="Times New Roman" w:eastAsia="宋体"/>
          <w:sz w:val="24"/>
          <w:szCs w:val="24"/>
        </w:rPr>
      </w:pPr>
      <w:r>
        <w:rPr>
          <w:rFonts w:ascii="Times New Roman" w:hAnsi="Times New Roman" w:eastAsia="宋体"/>
          <w:sz w:val="24"/>
          <w:szCs w:val="24"/>
        </w:rPr>
        <w:t xml:space="preserve">注： “</w:t>
      </w:r>
      <w:r>
        <w:rPr>
          <w:rFonts w:ascii="Times New Roman" w:hAnsi="Times New Roman" w:eastAsia="宋体"/>
          <w:sz w:val="24"/>
          <w:szCs w:val="24"/>
          <w:lang w:val="zh-CN"/>
        </w:rPr>
        <w:t xml:space="preserve">投标报价分析表</w:t>
      </w:r>
      <w:r>
        <w:rPr>
          <w:rFonts w:ascii="Times New Roman" w:hAnsi="Times New Roman" w:eastAsia="宋体"/>
          <w:sz w:val="24"/>
          <w:szCs w:val="24"/>
        </w:rPr>
        <w:t xml:space="preserve">”各分项报价合计金额应当与“开标一览表”投标总价相等，如不相等，以“开标一览表”为准。</w:t>
      </w:r>
      <w:r/>
    </w:p>
    <w:p>
      <w:pPr>
        <w:spacing w:line="360" w:lineRule="auto"/>
        <w:rPr>
          <w:sz w:val="24"/>
          <w:szCs w:val="24"/>
        </w:rPr>
      </w:pPr>
      <w:r>
        <w:rPr>
          <w:sz w:val="24"/>
          <w:szCs w:val="24"/>
        </w:rPr>
      </w:r>
      <w:r/>
    </w:p>
    <w:p>
      <w:pPr>
        <w:ind w:firstLine="480"/>
        <w:spacing w:line="360" w:lineRule="auto"/>
        <w:rPr>
          <w:sz w:val="24"/>
          <w:szCs w:val="24"/>
          <w:lang w:val="zh-CN"/>
        </w:rPr>
      </w:pPr>
      <w:r>
        <w:rPr>
          <w:sz w:val="24"/>
          <w:szCs w:val="24"/>
          <w:lang w:val="zh-CN"/>
        </w:rPr>
        <w:t xml:space="preserve">投标人（</w:t>
      </w:r>
      <w:r>
        <w:rPr>
          <w:sz w:val="24"/>
          <w:szCs w:val="24"/>
        </w:rPr>
        <w:t xml:space="preserve">签章</w:t>
      </w:r>
      <w:r>
        <w:rPr>
          <w:sz w:val="24"/>
          <w:szCs w:val="24"/>
          <w:lang w:val="zh-CN"/>
        </w:rPr>
        <w:t xml:space="preserve">）：</w:t>
      </w:r>
      <w:r/>
    </w:p>
    <w:p>
      <w:pPr>
        <w:ind w:firstLine="480"/>
        <w:spacing w:line="360" w:lineRule="auto"/>
        <w:rPr>
          <w:sz w:val="24"/>
          <w:szCs w:val="24"/>
          <w:lang w:val="zh-CN"/>
        </w:rPr>
      </w:pPr>
      <w:r>
        <w:rPr>
          <w:sz w:val="24"/>
          <w:szCs w:val="24"/>
          <w:lang w:val="zh-CN"/>
        </w:rPr>
        <w:t xml:space="preserve">法定代表人或委托代理人：（签字</w:t>
      </w:r>
      <w:r>
        <w:rPr>
          <w:sz w:val="24"/>
          <w:szCs w:val="24"/>
        </w:rPr>
        <w:t xml:space="preserve">或签章</w:t>
      </w:r>
      <w:r>
        <w:rPr>
          <w:sz w:val="24"/>
          <w:szCs w:val="24"/>
          <w:lang w:val="zh-CN"/>
        </w:rPr>
        <w:t xml:space="preserve">）</w:t>
      </w:r>
      <w:r/>
    </w:p>
    <w:p>
      <w:pPr>
        <w:ind w:firstLine="480"/>
        <w:spacing w:line="360" w:lineRule="auto"/>
        <w:rPr>
          <w:sz w:val="24"/>
          <w:szCs w:val="24"/>
          <w:lang w:val="zh-CN"/>
        </w:rPr>
      </w:pPr>
      <w:r>
        <w:rPr>
          <w:sz w:val="24"/>
          <w:szCs w:val="24"/>
          <w:lang w:val="zh-CN"/>
        </w:rPr>
        <w:t xml:space="preserve">日期：</w:t>
      </w:r>
      <w:r/>
    </w:p>
    <w:p>
      <w:pPr>
        <w:spacing w:line="360" w:lineRule="auto"/>
        <w:rPr>
          <w:b/>
          <w:bCs/>
          <w:sz w:val="24"/>
          <w:szCs w:val="24"/>
        </w:rPr>
      </w:pPr>
      <w:r>
        <w:rPr>
          <w:b/>
          <w:bCs/>
          <w:sz w:val="24"/>
          <w:szCs w:val="24"/>
        </w:rPr>
        <w:br w:type="page" w:clear="all"/>
      </w:r>
      <w:r/>
    </w:p>
    <w:p>
      <w:pPr>
        <w:spacing w:line="360" w:lineRule="auto"/>
        <w:rPr>
          <w:sz w:val="24"/>
          <w:szCs w:val="24"/>
        </w:rPr>
      </w:pPr>
      <w:r>
        <w:rPr>
          <w:b/>
          <w:bCs/>
          <w:sz w:val="24"/>
          <w:szCs w:val="24"/>
        </w:rPr>
        <w:t xml:space="preserve">格式 5 服务方案</w:t>
      </w:r>
      <w:r/>
    </w:p>
    <w:p>
      <w:pPr>
        <w:pStyle w:val="1068"/>
        <w:jc w:val="center"/>
        <w:spacing w:before="312"/>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 xml:space="preserve">服务方案</w:t>
      </w:r>
      <w:r/>
    </w:p>
    <w:tbl>
      <w:tblPr>
        <w:tblStyle w:val="767"/>
        <w:tblW w:w="9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00"/>
      </w:tblGrid>
      <w:tr>
        <w:trPr>
          <w:trHeight w:val="11192"/>
        </w:trPr>
        <w:tc>
          <w:tcPr>
            <w:tcW w:w="9100" w:type="dxa"/>
            <w:textDirection w:val="lrTb"/>
            <w:noWrap w:val="false"/>
          </w:tcPr>
          <w:p>
            <w:pPr>
              <w:ind w:left="0" w:right="0"/>
              <w:jc w:val="left"/>
              <w:keepLines w:val="0"/>
              <w:keepNext w:val="0"/>
              <w:spacing w:before="0" w:beforeAutospacing="0" w:after="0" w:afterAutospacing="0" w:line="360" w:lineRule="auto"/>
              <w:tabs>
                <w:tab w:val="left" w:pos="1320" w:leader="none"/>
              </w:tabs>
              <w:rPr>
                <w:sz w:val="24"/>
                <w:szCs w:val="24"/>
              </w:rPr>
              <w:suppressLineNumbers w:val="0"/>
            </w:pPr>
            <w:r>
              <w:rPr>
                <w:sz w:val="24"/>
                <w:szCs w:val="24"/>
              </w:rPr>
              <w:t xml:space="preserve">提示：</w:t>
            </w:r>
            <w:r/>
          </w:p>
          <w:p>
            <w:pPr>
              <w:pStyle w:val="1096"/>
              <w:ind w:left="0" w:right="0"/>
              <w:keepLines w:val="0"/>
              <w:keepNext w:val="0"/>
              <w:spacing w:before="0" w:beforeAutospacing="0" w:after="0" w:afterAutospacing="0"/>
              <w:rPr>
                <w:rFonts w:ascii="Times New Roman" w:hAnsi="Times New Roman" w:eastAsia="宋体"/>
                <w:sz w:val="24"/>
                <w:szCs w:val="24"/>
              </w:rPr>
              <w:suppressLineNumbers w:val="0"/>
            </w:pPr>
            <w:r>
              <w:rPr>
                <w:rFonts w:ascii="Times New Roman" w:hAnsi="Times New Roman" w:eastAsia="宋体"/>
                <w:sz w:val="24"/>
                <w:szCs w:val="24"/>
              </w:rPr>
              <w:t xml:space="preserve">1、供应商应根据本次采购项目要求，对所投服务进行详细的说明与描述，包括针对本次采购项目特点及具体情况编写中标后拟采取的实施方案等。</w:t>
            </w:r>
            <w:r/>
          </w:p>
          <w:p>
            <w:pPr>
              <w:ind w:left="0" w:right="0"/>
              <w:jc w:val="left"/>
              <w:keepLines w:val="0"/>
              <w:keepNext w:val="0"/>
              <w:spacing w:before="0" w:beforeAutospacing="0" w:after="0" w:afterAutospacing="0" w:line="360" w:lineRule="auto"/>
              <w:rPr>
                <w:sz w:val="24"/>
                <w:szCs w:val="24"/>
              </w:rPr>
              <w:suppressLineNumbers w:val="0"/>
            </w:pPr>
            <w:r>
              <w:rPr>
                <w:sz w:val="24"/>
                <w:szCs w:val="24"/>
              </w:rPr>
              <w:t xml:space="preserve">2、供应商可根据自身情况编写，本页不够可另加页附后。</w:t>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t xml:space="preserve">                             投标人（盖章）：</w:t>
            </w:r>
            <w:r/>
          </w:p>
          <w:p>
            <w:pPr>
              <w:ind w:left="-27" w:right="0" w:firstLine="247"/>
              <w:jc w:val="left"/>
              <w:keepLines w:val="0"/>
              <w:keepNext w:val="0"/>
              <w:spacing w:before="0" w:beforeAutospacing="0" w:after="0" w:afterAutospacing="0" w:line="360" w:lineRule="auto"/>
              <w:rPr>
                <w:sz w:val="24"/>
                <w:szCs w:val="24"/>
              </w:rPr>
              <w:suppressLineNumbers w:val="0"/>
            </w:pPr>
            <w:r>
              <w:rPr>
                <w:sz w:val="24"/>
                <w:szCs w:val="24"/>
              </w:rPr>
            </w:r>
            <w:r/>
          </w:p>
        </w:tc>
      </w:tr>
    </w:tbl>
    <w:p>
      <w:pPr>
        <w:pStyle w:val="777"/>
        <w:spacing w:line="360" w:lineRule="auto"/>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p>
      <w:pPr>
        <w:pStyle w:val="777"/>
        <w:spacing w:line="360" w:lineRule="auto"/>
        <w:rPr>
          <w:rFonts w:hint="default" w:ascii="Times New Roman" w:hAnsi="Times New Roman" w:eastAsia="宋体" w:cs="Times New Roman"/>
          <w:b/>
          <w:bCs/>
          <w:sz w:val="24"/>
          <w:szCs w:val="24"/>
          <w:lang w:val="zh-CN" w:eastAsia="zh-CN"/>
        </w:rPr>
      </w:pPr>
      <w:r>
        <w:rPr>
          <w:rFonts w:hint="default" w:ascii="Times New Roman" w:hAnsi="Times New Roman" w:eastAsia="宋体" w:cs="Times New Roman"/>
          <w:b/>
          <w:bCs/>
          <w:sz w:val="24"/>
          <w:szCs w:val="24"/>
          <w:lang w:val="zh-CN" w:eastAsia="zh-CN"/>
        </w:rPr>
      </w:r>
      <w:r/>
    </w:p>
    <w:p>
      <w:pPr>
        <w:pStyle w:val="777"/>
        <w:spacing w:line="360" w:lineRule="auto"/>
        <w:rPr>
          <w:rFonts w:hint="default" w:ascii="Times New Roman" w:hAnsi="Times New Roman" w:eastAsia="宋体" w:cs="Times New Roman"/>
          <w:b/>
          <w:bCs/>
          <w:sz w:val="24"/>
          <w:szCs w:val="24"/>
          <w:lang w:val="zh-CN" w:eastAsia="zh-CN"/>
        </w:rPr>
      </w:pPr>
      <w:r>
        <w:rPr>
          <w:rFonts w:hint="default" w:ascii="Times New Roman" w:hAnsi="Times New Roman" w:eastAsia="宋体" w:cs="Times New Roman"/>
          <w:b/>
          <w:bCs/>
          <w:sz w:val="24"/>
          <w:szCs w:val="24"/>
          <w:lang w:val="zh-CN" w:eastAsia="zh-CN"/>
        </w:rPr>
      </w:r>
      <w:r/>
    </w:p>
    <w:p>
      <w:pPr>
        <w:rPr>
          <w:b/>
          <w:bCs/>
          <w:sz w:val="24"/>
          <w:szCs w:val="24"/>
          <w:lang w:val="zh-CN"/>
        </w:rPr>
      </w:pPr>
      <w:r>
        <w:rPr>
          <w:b/>
          <w:bCs/>
          <w:sz w:val="24"/>
          <w:szCs w:val="24"/>
          <w:lang w:val="zh-CN"/>
        </w:rPr>
        <w:br w:type="page" w:clear="all"/>
      </w:r>
      <w:r/>
    </w:p>
    <w:p>
      <w:pPr>
        <w:pStyle w:val="777"/>
        <w:spacing w:line="360" w:lineRule="auto"/>
        <w:rPr>
          <w:rFonts w:hint="default" w:ascii="Times New Roman" w:hAnsi="Times New Roman" w:eastAsia="宋体" w:cs="Times New Roman"/>
          <w:sz w:val="24"/>
          <w:szCs w:val="24"/>
          <w:lang w:val="zh-CN" w:eastAsia="zh-CN"/>
        </w:rPr>
      </w:pPr>
      <w:r>
        <w:rPr>
          <w:rFonts w:hint="default" w:ascii="Times New Roman" w:hAnsi="Times New Roman" w:eastAsia="宋体" w:cs="Times New Roman"/>
          <w:b/>
          <w:bCs/>
          <w:sz w:val="24"/>
          <w:szCs w:val="24"/>
          <w:lang w:val="zh-CN" w:eastAsia="zh-CN"/>
        </w:rPr>
        <w:t xml:space="preserve">格式</w:t>
      </w:r>
      <w:r>
        <w:rPr>
          <w:rFonts w:hint="default" w:ascii="Times New Roman" w:hAnsi="Times New Roman" w:eastAsia="宋体" w:cs="Times New Roman"/>
          <w:b/>
          <w:bCs/>
          <w:sz w:val="24"/>
          <w:szCs w:val="24"/>
          <w:lang w:eastAsia="zh-CN"/>
        </w:rPr>
        <w:t xml:space="preserve">6</w:t>
      </w:r>
      <w:r>
        <w:rPr>
          <w:rFonts w:hint="default" w:ascii="Times New Roman" w:hAnsi="Times New Roman" w:eastAsia="宋体" w:cs="Times New Roman"/>
          <w:b/>
          <w:bCs/>
          <w:sz w:val="24"/>
          <w:szCs w:val="24"/>
          <w:lang w:val="zh-CN" w:eastAsia="zh-CN"/>
        </w:rPr>
        <w:t xml:space="preserve">、</w:t>
      </w:r>
      <w:r>
        <w:rPr>
          <w:rFonts w:hint="default" w:ascii="Times New Roman" w:hAnsi="Times New Roman" w:eastAsia="宋体" w:cs="Times New Roman"/>
          <w:b/>
          <w:sz w:val="24"/>
          <w:szCs w:val="24"/>
          <w:lang w:eastAsia="zh-CN"/>
        </w:rPr>
        <w:t xml:space="preserve">商务条款偏离表</w:t>
      </w:r>
      <w:r/>
    </w:p>
    <w:p>
      <w:pPr>
        <w:jc w:val="center"/>
        <w:spacing w:line="360" w:lineRule="auto"/>
        <w:rPr>
          <w:sz w:val="24"/>
          <w:szCs w:val="24"/>
          <w:lang w:val="zh-CN"/>
        </w:rPr>
      </w:pPr>
      <w:r>
        <w:rPr>
          <w:b/>
          <w:sz w:val="24"/>
          <w:szCs w:val="24"/>
        </w:rPr>
        <w:t xml:space="preserve">商务条款偏离表</w:t>
      </w:r>
      <w:r/>
    </w:p>
    <w:tbl>
      <w:tblPr>
        <w:tblStyle w:val="767"/>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789"/>
        <w:gridCol w:w="2237"/>
        <w:gridCol w:w="2237"/>
        <w:gridCol w:w="1599"/>
      </w:tblGrid>
      <w:tr>
        <w:trPr/>
        <w:tc>
          <w:tcPr>
            <w:tcW w:w="660" w:type="dxa"/>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序号</w:t>
            </w:r>
            <w:r/>
          </w:p>
        </w:tc>
        <w:tc>
          <w:tcPr>
            <w:tcW w:w="1789" w:type="dxa"/>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招标文件条目号</w:t>
            </w:r>
            <w:r/>
          </w:p>
        </w:tc>
        <w:tc>
          <w:tcPr>
            <w:tcW w:w="2237" w:type="dxa"/>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招标文件的商务条款</w:t>
            </w:r>
            <w:r/>
          </w:p>
        </w:tc>
        <w:tc>
          <w:tcPr>
            <w:tcW w:w="2237" w:type="dxa"/>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投标文件的商务条款</w:t>
            </w:r>
            <w:r/>
          </w:p>
        </w:tc>
        <w:tc>
          <w:tcPr>
            <w:tcW w:w="1599" w:type="dxa"/>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说明</w:t>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66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78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22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99"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bl>
    <w:p>
      <w:pPr>
        <w:spacing w:line="360" w:lineRule="auto"/>
        <w:rPr>
          <w:sz w:val="24"/>
          <w:szCs w:val="24"/>
        </w:rPr>
      </w:pPr>
      <w:r>
        <w:rPr>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sz w:val="24"/>
          <w:szCs w:val="24"/>
        </w:rPr>
      </w:pPr>
      <w:r>
        <w:rPr>
          <w:sz w:val="24"/>
          <w:szCs w:val="24"/>
        </w:rPr>
      </w:r>
      <w:r/>
    </w:p>
    <w:p>
      <w:pPr>
        <w:spacing w:line="360" w:lineRule="auto"/>
        <w:rPr>
          <w:sz w:val="24"/>
          <w:szCs w:val="24"/>
        </w:rPr>
      </w:pPr>
      <w:r>
        <w:rPr>
          <w:sz w:val="24"/>
          <w:szCs w:val="24"/>
        </w:rPr>
        <w:t xml:space="preserve">投标单位：（签章）</w:t>
      </w:r>
      <w:r/>
    </w:p>
    <w:p>
      <w:pPr>
        <w:spacing w:line="360" w:lineRule="auto"/>
        <w:rPr>
          <w:sz w:val="24"/>
          <w:szCs w:val="24"/>
        </w:rPr>
      </w:pPr>
      <w:r>
        <w:rPr>
          <w:sz w:val="24"/>
          <w:szCs w:val="24"/>
        </w:rPr>
        <w:t xml:space="preserve">法定代表人或委托代理人：（签字或签章）</w:t>
      </w:r>
      <w:r/>
    </w:p>
    <w:p>
      <w:pPr>
        <w:pStyle w:val="770"/>
        <w:ind w:firstLine="0"/>
        <w:spacing w:line="360" w:lineRule="auto"/>
        <w:rPr>
          <w:rFonts w:ascii="Times New Roman" w:hAnsi="Times New Roman" w:eastAsia="宋体" w:cs="Times New Roman"/>
          <w:szCs w:val="24"/>
          <w:lang w:eastAsia="zh-CN"/>
        </w:rPr>
      </w:pPr>
      <w:r>
        <w:rPr>
          <w:rFonts w:ascii="Times New Roman" w:hAnsi="Times New Roman" w:eastAsia="宋体" w:cs="Times New Roman"/>
          <w:szCs w:val="24"/>
          <w:lang w:eastAsia="zh-CN"/>
        </w:rPr>
        <w:t xml:space="preserve">日期：</w:t>
      </w:r>
      <w:r/>
    </w:p>
    <w:p>
      <w:pPr>
        <w:pageBreakBefore/>
        <w:spacing w:line="360" w:lineRule="auto"/>
        <w:rPr>
          <w:b/>
          <w:bCs/>
          <w:sz w:val="24"/>
          <w:szCs w:val="24"/>
        </w:rPr>
      </w:pPr>
      <w:r>
        <w:rPr>
          <w:b/>
          <w:sz w:val="24"/>
          <w:szCs w:val="24"/>
          <w:lang w:val="zh-CN"/>
        </w:rPr>
        <w:t xml:space="preserve">格式</w:t>
      </w:r>
      <w:r>
        <w:rPr>
          <w:b/>
          <w:sz w:val="24"/>
          <w:szCs w:val="24"/>
        </w:rPr>
        <w:t xml:space="preserve">7</w:t>
      </w:r>
      <w:r>
        <w:rPr>
          <w:b/>
          <w:sz w:val="24"/>
          <w:szCs w:val="24"/>
          <w:lang w:val="zh-CN"/>
        </w:rPr>
        <w:t xml:space="preserve">、</w:t>
      </w:r>
      <w:bookmarkStart w:id="24" w:name="_Toc532452113"/>
      <w:r/>
      <w:bookmarkStart w:id="25" w:name="_Toc532444506"/>
      <w:r/>
      <w:bookmarkStart w:id="26" w:name="_Toc532444344"/>
      <w:r/>
      <w:bookmarkStart w:id="27" w:name="_Toc518926909"/>
      <w:r/>
      <w:bookmarkStart w:id="28" w:name="_Toc7888"/>
      <w:r/>
      <w:bookmarkStart w:id="29" w:name="_Toc2583142"/>
      <w:r>
        <w:rPr>
          <w:b/>
          <w:bCs/>
          <w:sz w:val="24"/>
          <w:szCs w:val="24"/>
        </w:rPr>
        <w:t xml:space="preserve">服务偏离表</w:t>
      </w:r>
      <w:r/>
    </w:p>
    <w:p>
      <w:pPr>
        <w:jc w:val="center"/>
        <w:spacing w:line="360" w:lineRule="auto"/>
        <w:rPr>
          <w:sz w:val="24"/>
          <w:szCs w:val="24"/>
          <w:lang w:val="zh-CN"/>
        </w:rPr>
      </w:pPr>
      <w:r>
        <w:rPr>
          <w:b/>
          <w:sz w:val="24"/>
          <w:szCs w:val="24"/>
        </w:rPr>
        <w:t xml:space="preserve">服务偏离表</w:t>
      </w:r>
      <w:r/>
    </w:p>
    <w:tbl>
      <w:tblPr>
        <w:tblStyle w:val="767"/>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677"/>
        <w:gridCol w:w="1510"/>
        <w:gridCol w:w="1342"/>
        <w:gridCol w:w="1584"/>
        <w:gridCol w:w="1637"/>
      </w:tblGrid>
      <w:tr>
        <w:trPr/>
        <w:tc>
          <w:tcPr>
            <w:tcW w:w="77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序号</w:t>
            </w:r>
            <w:r/>
          </w:p>
        </w:tc>
        <w:tc>
          <w:tcPr>
            <w:tcW w:w="1677"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服务内容</w:t>
            </w:r>
            <w:r/>
          </w:p>
        </w:tc>
        <w:tc>
          <w:tcPr>
            <w:tcW w:w="1510"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招标要求</w:t>
            </w:r>
            <w:r/>
          </w:p>
        </w:tc>
        <w:tc>
          <w:tcPr>
            <w:tcW w:w="134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投标要求</w:t>
            </w:r>
            <w:r/>
          </w:p>
        </w:tc>
        <w:tc>
          <w:tcPr>
            <w:tcW w:w="1584"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偏离/响应</w:t>
            </w:r>
            <w:r/>
          </w:p>
        </w:tc>
        <w:tc>
          <w:tcPr>
            <w:tcW w:w="1637"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说明</w:t>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tc>
          <w:tcPr>
            <w:tcW w:w="77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7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1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342"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584"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c>
          <w:tcPr>
            <w:tcW w:w="1637"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bl>
    <w:p>
      <w:pPr>
        <w:spacing w:line="360" w:lineRule="auto"/>
        <w:rPr>
          <w:sz w:val="24"/>
          <w:szCs w:val="24"/>
        </w:rPr>
      </w:pPr>
      <w:r>
        <w:rPr>
          <w:sz w:val="24"/>
          <w:szCs w:val="24"/>
        </w:rPr>
        <w:t xml:space="preserve">注：1.投标人应对照招标文件技术要求等要求，所投标的物与招标文件的规定有偏离的，应在此表中申明与技术要求条文的偏差和例外。</w:t>
      </w:r>
      <w:r/>
    </w:p>
    <w:p>
      <w:pPr>
        <w:ind w:firstLine="480"/>
        <w:spacing w:line="360" w:lineRule="auto"/>
        <w:rPr>
          <w:sz w:val="24"/>
          <w:szCs w:val="24"/>
        </w:rPr>
      </w:pPr>
      <w:r>
        <w:rPr>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sz w:val="24"/>
          <w:szCs w:val="24"/>
        </w:rPr>
      </w:pPr>
      <w:r>
        <w:rPr>
          <w:sz w:val="24"/>
          <w:szCs w:val="24"/>
        </w:rPr>
      </w:r>
      <w:r/>
    </w:p>
    <w:p>
      <w:pPr>
        <w:spacing w:line="360" w:lineRule="auto"/>
        <w:rPr>
          <w:sz w:val="24"/>
          <w:szCs w:val="24"/>
        </w:rPr>
      </w:pPr>
      <w:r>
        <w:rPr>
          <w:sz w:val="24"/>
          <w:szCs w:val="24"/>
        </w:rPr>
        <w:t xml:space="preserve">投标人：（签章）</w:t>
      </w:r>
      <w:r/>
    </w:p>
    <w:p>
      <w:pPr>
        <w:spacing w:line="360" w:lineRule="auto"/>
        <w:rPr>
          <w:sz w:val="24"/>
          <w:szCs w:val="24"/>
        </w:rPr>
      </w:pPr>
      <w:r>
        <w:rPr>
          <w:sz w:val="24"/>
          <w:szCs w:val="24"/>
        </w:rPr>
        <w:t xml:space="preserve">法定代表人或委托代理人：（签字或盖章）</w:t>
      </w:r>
      <w:r/>
    </w:p>
    <w:p>
      <w:pPr>
        <w:spacing w:line="360" w:lineRule="auto"/>
        <w:rPr>
          <w:sz w:val="24"/>
          <w:szCs w:val="24"/>
        </w:rPr>
      </w:pPr>
      <w:r>
        <w:rPr>
          <w:sz w:val="24"/>
          <w:szCs w:val="24"/>
        </w:rPr>
        <w:t xml:space="preserve">日期：</w:t>
      </w:r>
      <w:bookmarkEnd w:id="24"/>
      <w:bookmarkEnd w:id="25"/>
      <w:bookmarkEnd w:id="26"/>
      <w:bookmarkEnd w:id="27"/>
      <w:bookmarkEnd w:id="28"/>
      <w:bookmarkEnd w:id="29"/>
      <w:r/>
    </w:p>
    <w:p>
      <w:pPr>
        <w:pStyle w:val="1093"/>
        <w:spacing w:line="360" w:lineRule="auto"/>
        <w:rPr>
          <w:rFonts w:ascii="Times New Roman" w:hAnsi="Times New Roman" w:eastAsia="宋体"/>
          <w:b/>
          <w:sz w:val="21"/>
          <w:szCs w:val="21"/>
        </w:rPr>
      </w:pPr>
      <w:r>
        <w:rPr>
          <w:rFonts w:ascii="Times New Roman" w:hAnsi="Times New Roman" w:eastAsia="宋体"/>
          <w:b/>
          <w:sz w:val="21"/>
          <w:szCs w:val="21"/>
        </w:rPr>
      </w:r>
      <w:r/>
    </w:p>
    <w:p>
      <w:pPr>
        <w:keepLines/>
        <w:keepNext/>
        <w:rPr>
          <w:b/>
          <w:sz w:val="24"/>
          <w:szCs w:val="24"/>
        </w:rPr>
        <w:outlineLvl w:val="1"/>
      </w:pPr>
      <w:r>
        <w:rPr>
          <w:b/>
          <w:szCs w:val="21"/>
          <w:lang w:val="zh-CN"/>
        </w:rPr>
        <w:br w:type="page" w:clear="all"/>
      </w:r>
      <w:r>
        <w:rPr>
          <w:b/>
          <w:sz w:val="24"/>
          <w:szCs w:val="24"/>
          <w:lang w:val="zh-CN"/>
        </w:rPr>
        <w:t xml:space="preserve">格式</w:t>
      </w:r>
      <w:r>
        <w:rPr>
          <w:b/>
          <w:sz w:val="24"/>
          <w:szCs w:val="24"/>
        </w:rPr>
        <w:t xml:space="preserve">8</w:t>
      </w:r>
      <w:r>
        <w:rPr>
          <w:b/>
          <w:sz w:val="24"/>
          <w:szCs w:val="24"/>
          <w:lang w:val="zh-CN"/>
        </w:rPr>
        <w:t xml:space="preserve">、</w:t>
      </w:r>
      <w:r>
        <w:rPr>
          <w:b/>
          <w:sz w:val="24"/>
          <w:szCs w:val="24"/>
        </w:rPr>
        <w:t xml:space="preserve">拟投入本项目人员配备一览表</w:t>
      </w:r>
      <w:r/>
    </w:p>
    <w:p>
      <w:pPr>
        <w:rPr>
          <w:sz w:val="24"/>
          <w:szCs w:val="24"/>
        </w:rPr>
      </w:pPr>
      <w:r>
        <w:rPr>
          <w:sz w:val="24"/>
          <w:szCs w:val="24"/>
        </w:rPr>
      </w:r>
      <w:r/>
    </w:p>
    <w:p>
      <w:pPr>
        <w:rPr>
          <w:sz w:val="24"/>
          <w:szCs w:val="24"/>
        </w:rPr>
      </w:pPr>
      <w:r>
        <w:rPr>
          <w:sz w:val="24"/>
          <w:szCs w:val="24"/>
        </w:rPr>
      </w:r>
      <w:r/>
    </w:p>
    <w:p>
      <w:pPr>
        <w:pStyle w:val="777"/>
        <w:jc w:val="center"/>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zh-TW" w:eastAsia="zh-TW"/>
        </w:rPr>
        <w:t xml:space="preserve">项目服务人员</w:t>
      </w:r>
      <w:r>
        <w:rPr>
          <w:rFonts w:hint="default" w:ascii="Times New Roman" w:hAnsi="Times New Roman" w:eastAsia="宋体" w:cs="Times New Roman"/>
          <w:b/>
          <w:bCs/>
          <w:sz w:val="24"/>
          <w:szCs w:val="24"/>
          <w:lang w:val="zh-TW" w:eastAsia="zh-TW"/>
        </w:rPr>
        <w:t xml:space="preserve">配置表</w:t>
      </w:r>
      <w:r>
        <w:rPr>
          <w:rFonts w:hint="default" w:ascii="Times New Roman" w:hAnsi="Times New Roman" w:eastAsia="宋体" w:cs="Times New Roman"/>
          <w:b/>
          <w:bCs/>
          <w:sz w:val="24"/>
          <w:szCs w:val="24"/>
          <w:lang w:val="zh-TW" w:eastAsia="zh-TW"/>
        </w:rPr>
      </w:r>
      <w:r/>
    </w:p>
    <w:p>
      <w:pPr>
        <w:pStyle w:val="777"/>
        <w:ind w:firstLine="480"/>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bl>
      <w:tblPr>
        <w:tblStyle w:val="767"/>
        <w:tblW w:w="9248"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0" w:type="dxa"/>
          <w:top w:w="0" w:type="dxa"/>
          <w:right w:w="0" w:type="dxa"/>
          <w:bottom w:w="0" w:type="dxa"/>
        </w:tblCellMar>
        <w:tblLook w:val="04A0" w:firstRow="1" w:lastRow="0" w:firstColumn="1" w:lastColumn="0" w:noHBand="0" w:noVBand="1"/>
      </w:tblPr>
      <w:tblGrid>
        <w:gridCol w:w="610"/>
        <w:gridCol w:w="1173"/>
        <w:gridCol w:w="1052"/>
        <w:gridCol w:w="1180"/>
        <w:gridCol w:w="567"/>
        <w:gridCol w:w="851"/>
        <w:gridCol w:w="1275"/>
        <w:gridCol w:w="1050"/>
        <w:gridCol w:w="1490"/>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专业</w:t>
            </w:r>
            <w:r>
              <w:rPr>
                <w:sz w:val="24"/>
                <w:szCs w:val="24"/>
              </w:rPr>
              <w:t xml:space="preserve">/</w:t>
            </w:r>
            <w:r>
              <w:rPr>
                <w:sz w:val="24"/>
                <w:szCs w:val="24"/>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典型业务</w:t>
            </w:r>
            <w:r/>
          </w:p>
          <w:p>
            <w:pPr>
              <w:pStyle w:val="780"/>
              <w:ind w:left="0" w:right="0"/>
              <w:jc w:val="center"/>
              <w:keepLines w:val="0"/>
              <w:keepNext w:val="0"/>
              <w:spacing w:before="0" w:beforeAutospacing="0" w:after="0" w:afterAutospacing="0"/>
              <w:rPr>
                <w:sz w:val="24"/>
                <w:szCs w:val="24"/>
              </w:rPr>
              <w:suppressLineNumbers w:val="0"/>
            </w:pPr>
            <w:r>
              <w:rPr>
                <w:sz w:val="24"/>
                <w:szCs w:val="24"/>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line="360" w:lineRule="auto"/>
              <w:rPr>
                <w:szCs w:val="21"/>
              </w:rPr>
              <w:suppressLineNumbers w:val="0"/>
            </w:pPr>
            <w:r>
              <w:rPr>
                <w:szCs w:val="21"/>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vAlign w:val="center"/>
            <w:textDirection w:val="lrTb"/>
            <w:noWrap w:val="false"/>
          </w:tcPr>
          <w:p>
            <w:pPr>
              <w:pStyle w:val="780"/>
              <w:ind w:left="0" w:right="0"/>
              <w:jc w:val="center"/>
              <w:keepLines w:val="0"/>
              <w:keepNext w:val="0"/>
              <w:spacing w:before="0" w:beforeAutospacing="0" w:after="0" w:afterAutospacing="0"/>
              <w:rPr>
                <w:sz w:val="24"/>
                <w:szCs w:val="24"/>
              </w:rPr>
              <w:suppressLineNumbers w:val="0"/>
            </w:pPr>
            <w:r>
              <w:rPr>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ind w:left="0" w:right="0"/>
              <w:jc w:val="center"/>
              <w:keepLines w:val="0"/>
              <w:keepNext w:val="0"/>
              <w:spacing w:before="0" w:beforeAutospacing="0" w:after="0" w:afterAutospacing="0"/>
              <w:rPr>
                <w:sz w:val="24"/>
                <w:szCs w:val="24"/>
              </w:rPr>
              <w:suppressLineNumbers w:val="0"/>
            </w:pPr>
            <w:r>
              <w:rPr>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610" w:type="dxa"/>
            <w:textDirection w:val="lrTb"/>
            <w:noWrap w:val="false"/>
          </w:tcPr>
          <w:p>
            <w:pPr>
              <w:ind w:left="0" w:right="0"/>
              <w:jc w:val="center"/>
              <w:keepLines w:val="0"/>
              <w:keepNext w:val="0"/>
              <w:spacing w:before="0" w:beforeAutospacing="0" w:after="0" w:afterAutospacing="0"/>
              <w:rPr>
                <w:sz w:val="24"/>
                <w:szCs w:val="24"/>
              </w:rPr>
              <w:suppressLineNumbers w:val="0"/>
            </w:pP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2"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18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05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c>
          <w:tcPr>
            <w:tcBorders>
              <w:top w:val="single" w:color="000000" w:sz="4" w:space="0"/>
              <w:left w:val="single" w:color="000000" w:sz="4" w:space="0"/>
              <w:bottom w:val="single" w:color="000000" w:sz="4" w:space="0"/>
              <w:right w:val="single" w:color="000000" w:sz="4" w:space="0"/>
            </w:tcBorders>
            <w:tcW w:w="1490" w:type="dxa"/>
            <w:textDirection w:val="lrTb"/>
            <w:noWrap w:val="false"/>
          </w:tcPr>
          <w:p>
            <w:pPr>
              <w:ind w:left="0" w:right="0"/>
              <w:keepLines w:val="0"/>
              <w:keepNext w:val="0"/>
              <w:spacing w:before="0" w:beforeAutospacing="0" w:after="0" w:afterAutospacing="0"/>
              <w:rPr>
                <w:sz w:val="24"/>
                <w:szCs w:val="24"/>
              </w:rPr>
              <w:suppressLineNumbers w:val="0"/>
            </w:pPr>
            <w:r>
              <w:rPr>
                <w:sz w:val="24"/>
                <w:szCs w:val="24"/>
              </w:rPr>
            </w:r>
            <w:r/>
          </w:p>
        </w:tc>
      </w:tr>
    </w:tbl>
    <w:p>
      <w:pPr>
        <w:pStyle w:val="770"/>
        <w:ind w:firstLine="0"/>
        <w:rPr>
          <w:rFonts w:ascii="Times New Roman" w:hAnsi="Times New Roman" w:eastAsia="宋体" w:cs="Times New Roman"/>
          <w:szCs w:val="24"/>
        </w:rPr>
        <w:outlineLvl w:val="1"/>
      </w:pPr>
      <w:r>
        <w:rPr>
          <w:rFonts w:ascii="Times New Roman" w:hAnsi="Times New Roman" w:eastAsia="宋体" w:cs="Times New Roman"/>
          <w:szCs w:val="24"/>
        </w:rPr>
      </w:r>
      <w:r/>
    </w:p>
    <w:p>
      <w:pPr>
        <w:rPr>
          <w:sz w:val="24"/>
          <w:szCs w:val="24"/>
        </w:rPr>
      </w:pPr>
      <w:r>
        <w:rPr>
          <w:sz w:val="24"/>
          <w:szCs w:val="24"/>
        </w:rPr>
      </w:r>
      <w:r/>
    </w:p>
    <w:p>
      <w:pPr>
        <w:pStyle w:val="1036"/>
        <w:ind w:firstLine="420"/>
        <w:rPr>
          <w:rFonts w:ascii="Times New Roman"/>
          <w:sz w:val="24"/>
          <w:szCs w:val="24"/>
        </w:rPr>
      </w:pPr>
      <w:r>
        <w:rPr>
          <w:rFonts w:ascii="Times New Roman"/>
          <w:sz w:val="24"/>
          <w:szCs w:val="24"/>
        </w:rPr>
      </w:r>
      <w:r/>
    </w:p>
    <w:p>
      <w:pPr>
        <w:pStyle w:val="1089"/>
        <w:ind w:right="420" w:firstLine="6120"/>
        <w:rPr>
          <w:rFonts w:ascii="Times New Roman" w:hAnsi="Times New Roman" w:eastAsia="宋体"/>
          <w:sz w:val="24"/>
          <w:szCs w:val="24"/>
        </w:rPr>
      </w:pPr>
      <w:r>
        <w:rPr>
          <w:rFonts w:ascii="Times New Roman" w:hAnsi="Times New Roman" w:eastAsia="宋体"/>
          <w:sz w:val="24"/>
          <w:szCs w:val="24"/>
        </w:rPr>
      </w:r>
      <w:r/>
    </w:p>
    <w:p>
      <w:pPr>
        <w:pStyle w:val="1068"/>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投标人：（盖章）</w:t>
      </w:r>
      <w:r/>
    </w:p>
    <w:p>
      <w:pPr>
        <w:pStyle w:val="1068"/>
        <w:ind w:firstLine="480"/>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法定代表人或代理人：（签字或盖章）</w:t>
      </w:r>
      <w:r/>
    </w:p>
    <w:p>
      <w:pPr>
        <w:pStyle w:val="1068"/>
        <w:ind w:firstLine="480"/>
        <w:spacing w:line="360" w:lineRule="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日期：    年    月    日</w:t>
      </w:r>
      <w:r/>
    </w:p>
    <w:p>
      <w:pPr>
        <w:pStyle w:val="795"/>
        <w:rPr>
          <w:rFonts w:ascii="Times New Roman" w:hAnsi="Times New Roman"/>
          <w:b/>
          <w:bCs/>
          <w:sz w:val="21"/>
          <w:szCs w:val="21"/>
          <w:lang w:val="zh-CN" w:eastAsia="zh-CN"/>
        </w:rPr>
      </w:pPr>
      <w:r>
        <w:rPr>
          <w:rFonts w:ascii="Times New Roman" w:hAnsi="Times New Roman" w:eastAsia="宋体"/>
          <w:lang w:eastAsia="zh-CN"/>
        </w:rPr>
        <w:br w:type="page" w:clear="all"/>
      </w:r>
      <w:r/>
    </w:p>
    <w:p>
      <w:pPr>
        <w:pStyle w:val="972"/>
        <w:spacing w:line="360" w:lineRule="auto"/>
        <w:rPr>
          <w:rFonts w:ascii="Times New Roman" w:hAnsi="Times New Roman"/>
          <w:i w:val="0"/>
          <w:iCs w:val="0"/>
          <w:sz w:val="24"/>
          <w:szCs w:val="24"/>
          <w:lang w:eastAsia="zh-CN"/>
        </w:rPr>
      </w:pPr>
      <w:r>
        <w:rPr>
          <w:rFonts w:ascii="Times New Roman" w:hAnsi="Times New Roman"/>
          <w:i w:val="0"/>
          <w:iCs w:val="0"/>
          <w:sz w:val="24"/>
          <w:szCs w:val="24"/>
          <w:lang w:val="zh-CN" w:eastAsia="zh-CN"/>
        </w:rPr>
        <w:t xml:space="preserve">格式</w:t>
      </w:r>
      <w:r>
        <w:rPr>
          <w:rFonts w:ascii="Times New Roman" w:hAnsi="Times New Roman"/>
          <w:i w:val="0"/>
          <w:iCs w:val="0"/>
          <w:sz w:val="24"/>
          <w:szCs w:val="24"/>
          <w:lang w:eastAsia="zh-CN"/>
        </w:rPr>
        <w:t xml:space="preserve">9、投标单位类似业绩一览表</w:t>
      </w:r>
      <w:r/>
    </w:p>
    <w:p>
      <w:pPr>
        <w:jc w:val="center"/>
        <w:spacing w:line="360" w:lineRule="auto"/>
        <w:rPr>
          <w:b/>
          <w:sz w:val="24"/>
          <w:szCs w:val="24"/>
        </w:rPr>
      </w:pPr>
      <w:r>
        <w:rPr>
          <w:b/>
          <w:sz w:val="24"/>
          <w:szCs w:val="24"/>
        </w:rPr>
      </w:r>
      <w:r/>
    </w:p>
    <w:p>
      <w:pPr>
        <w:jc w:val="center"/>
        <w:spacing w:line="360" w:lineRule="auto"/>
        <w:rPr>
          <w:b/>
          <w:sz w:val="24"/>
          <w:szCs w:val="24"/>
        </w:rPr>
      </w:pPr>
      <w:r>
        <w:rPr>
          <w:b/>
          <w:sz w:val="24"/>
          <w:szCs w:val="24"/>
        </w:rPr>
        <w:t xml:space="preserve">投标单位类似业绩一览表</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399"/>
        <w:gridCol w:w="1515"/>
        <w:gridCol w:w="1532"/>
        <w:gridCol w:w="2345"/>
        <w:gridCol w:w="1043"/>
      </w:tblGrid>
      <w:tr>
        <w:trPr>
          <w:jc w:val="center"/>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序号</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项目名称</w:t>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合同期</w:t>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项目内容</w:t>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合同金额（万元）</w:t>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备注</w:t>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1</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2</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3</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4</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5</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6</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t xml:space="preserve">……</w:t>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r>
        <w:trPr>
          <w:jc w:val="center"/>
          <w:trHeight w:val="567" w:hRule="exact"/>
        </w:trPr>
        <w:tc>
          <w:tcPr>
            <w:tcW w:w="688"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399"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1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532"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2345"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c>
          <w:tcPr>
            <w:tcW w:w="1043" w:type="dxa"/>
            <w:vAlign w:val="center"/>
            <w:textDirection w:val="lrTb"/>
            <w:noWrap w:val="false"/>
          </w:tcPr>
          <w:p>
            <w:pPr>
              <w:ind w:left="0" w:right="0"/>
              <w:jc w:val="center"/>
              <w:keepLines w:val="0"/>
              <w:keepNext w:val="0"/>
              <w:spacing w:before="0" w:beforeAutospacing="0" w:after="0" w:afterAutospacing="0" w:line="360" w:lineRule="auto"/>
              <w:rPr>
                <w:sz w:val="24"/>
                <w:szCs w:val="24"/>
              </w:rPr>
              <w:suppressLineNumbers w:val="0"/>
            </w:pPr>
            <w:r>
              <w:rPr>
                <w:sz w:val="24"/>
                <w:szCs w:val="24"/>
              </w:rPr>
            </w:r>
            <w:r/>
          </w:p>
        </w:tc>
      </w:tr>
    </w:tbl>
    <w:p>
      <w:pPr>
        <w:spacing w:line="360" w:lineRule="auto"/>
        <w:rPr>
          <w:sz w:val="24"/>
          <w:szCs w:val="24"/>
        </w:rPr>
      </w:pPr>
      <w:r>
        <w:rPr>
          <w:sz w:val="24"/>
          <w:szCs w:val="24"/>
        </w:rPr>
        <w:t xml:space="preserve">注：按招标文件要求附相关证明材料。</w:t>
      </w:r>
      <w:r/>
    </w:p>
    <w:p>
      <w:pPr>
        <w:spacing w:line="360" w:lineRule="auto"/>
        <w:rPr>
          <w:sz w:val="24"/>
          <w:szCs w:val="24"/>
        </w:rPr>
      </w:pPr>
      <w:r>
        <w:rPr>
          <w:sz w:val="24"/>
          <w:szCs w:val="24"/>
        </w:rPr>
      </w:r>
      <w:r/>
    </w:p>
    <w:p>
      <w:pPr>
        <w:spacing w:line="360" w:lineRule="auto"/>
        <w:rPr>
          <w:sz w:val="24"/>
          <w:szCs w:val="24"/>
        </w:rPr>
      </w:pPr>
      <w:r>
        <w:rPr>
          <w:sz w:val="24"/>
          <w:szCs w:val="24"/>
        </w:rPr>
        <w:t xml:space="preserve">投标单位：（签章）</w:t>
      </w:r>
      <w:r/>
    </w:p>
    <w:p>
      <w:pPr>
        <w:spacing w:line="360" w:lineRule="auto"/>
        <w:rPr>
          <w:sz w:val="24"/>
          <w:szCs w:val="24"/>
        </w:rPr>
      </w:pPr>
      <w:r>
        <w:rPr>
          <w:sz w:val="24"/>
          <w:szCs w:val="24"/>
        </w:rPr>
        <w:t xml:space="preserve">法定代表人或委托代理人：（签字或签章）</w:t>
      </w:r>
      <w:r/>
    </w:p>
    <w:p>
      <w:pPr>
        <w:pStyle w:val="795"/>
        <w:jc w:val="both"/>
        <w:rPr>
          <w:rFonts w:ascii="Times New Roman" w:hAnsi="Times New Roman" w:eastAsia="宋体"/>
          <w:position w:val="0"/>
          <w:sz w:val="24"/>
          <w:szCs w:val="24"/>
          <w:lang w:eastAsia="zh-CN"/>
        </w:rPr>
      </w:pPr>
      <w:r>
        <w:rPr>
          <w:rFonts w:ascii="Times New Roman" w:hAnsi="Times New Roman" w:eastAsia="宋体"/>
          <w:position w:val="0"/>
          <w:sz w:val="24"/>
          <w:szCs w:val="24"/>
          <w:lang w:eastAsia="zh-CN"/>
        </w:rPr>
        <w:t xml:space="preserve">日期：</w:t>
      </w:r>
      <w:r/>
    </w:p>
    <w:p>
      <w:pPr>
        <w:pStyle w:val="795"/>
        <w:rPr>
          <w:rFonts w:ascii="Times New Roman" w:hAnsi="Times New Roman" w:eastAsia="宋体"/>
          <w:sz w:val="24"/>
          <w:szCs w:val="24"/>
          <w:lang w:eastAsia="zh-CN"/>
        </w:rPr>
      </w:pPr>
      <w:r>
        <w:rPr>
          <w:rFonts w:ascii="Times New Roman" w:hAnsi="Times New Roman" w:eastAsia="宋体"/>
          <w:sz w:val="24"/>
          <w:szCs w:val="24"/>
          <w:lang w:eastAsia="zh-CN"/>
        </w:rPr>
      </w:r>
      <w:r/>
    </w:p>
    <w:p>
      <w:pPr>
        <w:pStyle w:val="795"/>
        <w:rPr>
          <w:rFonts w:ascii="Times New Roman" w:hAnsi="Times New Roman" w:eastAsia="宋体"/>
          <w:sz w:val="24"/>
          <w:szCs w:val="24"/>
          <w:lang w:eastAsia="zh-CN"/>
        </w:rPr>
      </w:pPr>
      <w:r>
        <w:rPr>
          <w:rFonts w:ascii="Times New Roman" w:hAnsi="Times New Roman" w:eastAsia="宋体"/>
          <w:sz w:val="24"/>
          <w:szCs w:val="24"/>
          <w:lang w:eastAsia="zh-CN"/>
        </w:rPr>
      </w:r>
      <w:r/>
    </w:p>
    <w:p>
      <w:pPr>
        <w:spacing w:line="360" w:lineRule="auto"/>
        <w:rPr>
          <w:sz w:val="24"/>
          <w:szCs w:val="24"/>
        </w:rPr>
      </w:pPr>
      <w:r>
        <w:rPr>
          <w:b/>
          <w:bCs/>
          <w:sz w:val="24"/>
          <w:szCs w:val="24"/>
          <w:lang w:val="zh-CN"/>
        </w:rPr>
        <w:br w:type="page" w:clear="all"/>
      </w:r>
      <w:r>
        <w:rPr>
          <w:b/>
          <w:bCs/>
          <w:sz w:val="24"/>
          <w:szCs w:val="24"/>
          <w:lang w:val="zh-CN"/>
        </w:rPr>
        <w:t xml:space="preserve">格式</w:t>
      </w:r>
      <w:r>
        <w:rPr>
          <w:b/>
          <w:bCs/>
          <w:sz w:val="24"/>
          <w:szCs w:val="24"/>
        </w:rPr>
        <w:t xml:space="preserve">10</w:t>
      </w:r>
      <w:r>
        <w:rPr>
          <w:b/>
          <w:bCs/>
          <w:sz w:val="24"/>
          <w:szCs w:val="24"/>
          <w:lang w:val="zh-CN"/>
        </w:rPr>
        <w:t xml:space="preserve">、</w:t>
      </w:r>
      <w:r>
        <w:rPr>
          <w:b/>
          <w:sz w:val="24"/>
          <w:szCs w:val="24"/>
          <w:lang w:val="zh-CN"/>
        </w:rPr>
        <w:t xml:space="preserve">关于资格文件的声明函</w:t>
      </w:r>
      <w:r/>
    </w:p>
    <w:p>
      <w:pPr>
        <w:ind w:firstLine="425"/>
        <w:jc w:val="center"/>
        <w:spacing w:line="360" w:lineRule="auto"/>
        <w:rPr>
          <w:b/>
          <w:sz w:val="24"/>
          <w:szCs w:val="24"/>
        </w:rPr>
      </w:pPr>
      <w:r>
        <w:rPr>
          <w:b/>
          <w:sz w:val="24"/>
          <w:szCs w:val="24"/>
        </w:rPr>
      </w:r>
      <w:r/>
    </w:p>
    <w:p>
      <w:pPr>
        <w:jc w:val="center"/>
        <w:spacing w:line="360" w:lineRule="auto"/>
        <w:rPr>
          <w:b/>
          <w:sz w:val="24"/>
          <w:szCs w:val="24"/>
          <w:lang w:val="zh-CN"/>
        </w:rPr>
      </w:pPr>
      <w:r>
        <w:rPr>
          <w:b/>
          <w:sz w:val="24"/>
          <w:szCs w:val="24"/>
          <w:lang w:val="zh-CN"/>
        </w:rPr>
        <w:t xml:space="preserve">关于资格文件的声明函</w:t>
      </w:r>
      <w:r/>
    </w:p>
    <w:p>
      <w:pPr>
        <w:ind w:firstLine="425"/>
        <w:jc w:val="center"/>
        <w:spacing w:line="360" w:lineRule="auto"/>
        <w:rPr>
          <w:sz w:val="24"/>
          <w:szCs w:val="24"/>
        </w:rPr>
      </w:pPr>
      <w:r>
        <w:rPr>
          <w:sz w:val="24"/>
          <w:szCs w:val="24"/>
        </w:rPr>
      </w:r>
      <w:r/>
    </w:p>
    <w:p>
      <w:pPr>
        <w:spacing w:line="360" w:lineRule="auto"/>
        <w:rPr>
          <w:sz w:val="24"/>
          <w:szCs w:val="24"/>
        </w:rPr>
      </w:pPr>
      <w:r>
        <w:rPr>
          <w:sz w:val="24"/>
          <w:szCs w:val="24"/>
          <w:lang w:val="zh-CN"/>
        </w:rPr>
        <w:t xml:space="preserve">：</w:t>
      </w:r>
      <w:r/>
    </w:p>
    <w:p>
      <w:pPr>
        <w:ind w:firstLine="420"/>
        <w:spacing w:line="360" w:lineRule="auto"/>
        <w:rPr>
          <w:sz w:val="24"/>
          <w:szCs w:val="24"/>
        </w:rPr>
      </w:pPr>
      <w:r>
        <w:rPr>
          <w:sz w:val="24"/>
          <w:szCs w:val="24"/>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sz w:val="24"/>
          <w:szCs w:val="24"/>
        </w:rPr>
      </w:pPr>
      <w:r>
        <w:rPr>
          <w:sz w:val="24"/>
          <w:szCs w:val="24"/>
        </w:rPr>
      </w:r>
      <w:r/>
    </w:p>
    <w:p>
      <w:pPr>
        <w:ind w:firstLine="425"/>
        <w:spacing w:line="360" w:lineRule="auto"/>
        <w:rPr>
          <w:sz w:val="24"/>
          <w:szCs w:val="24"/>
        </w:rPr>
      </w:pPr>
      <w:r>
        <w:rPr>
          <w:sz w:val="24"/>
          <w:szCs w:val="24"/>
        </w:rPr>
      </w:r>
      <w:r/>
    </w:p>
    <w:p>
      <w:pPr>
        <w:ind w:firstLine="425"/>
        <w:spacing w:line="360" w:lineRule="auto"/>
        <w:rPr>
          <w:sz w:val="24"/>
          <w:szCs w:val="24"/>
        </w:rPr>
      </w:pPr>
      <w:r>
        <w:rPr>
          <w:sz w:val="24"/>
          <w:szCs w:val="24"/>
        </w:rPr>
      </w:r>
      <w:r/>
    </w:p>
    <w:p>
      <w:pPr>
        <w:spacing w:line="360" w:lineRule="auto"/>
        <w:rPr>
          <w:sz w:val="24"/>
          <w:szCs w:val="24"/>
        </w:rPr>
      </w:pPr>
      <w:r>
        <w:rPr>
          <w:sz w:val="24"/>
          <w:szCs w:val="24"/>
        </w:rPr>
        <w:t xml:space="preserve">投标单位：（签章）</w:t>
      </w:r>
      <w:r/>
    </w:p>
    <w:p>
      <w:pPr>
        <w:spacing w:line="360" w:lineRule="auto"/>
        <w:rPr>
          <w:sz w:val="24"/>
          <w:szCs w:val="24"/>
        </w:rPr>
      </w:pPr>
      <w:r>
        <w:rPr>
          <w:sz w:val="24"/>
          <w:szCs w:val="24"/>
        </w:rPr>
        <w:t xml:space="preserve">法定代表人或委托代理人：（签字或签章）</w:t>
      </w:r>
      <w:r/>
    </w:p>
    <w:p>
      <w:pPr>
        <w:pStyle w:val="795"/>
        <w:jc w:val="both"/>
        <w:rPr>
          <w:rFonts w:ascii="Times New Roman" w:hAnsi="Times New Roman" w:eastAsia="宋体"/>
          <w:position w:val="0"/>
          <w:sz w:val="24"/>
          <w:szCs w:val="24"/>
          <w:lang w:eastAsia="zh-CN"/>
        </w:rPr>
      </w:pPr>
      <w:r>
        <w:rPr>
          <w:rFonts w:ascii="Times New Roman" w:hAnsi="Times New Roman" w:eastAsia="宋体"/>
          <w:position w:val="0"/>
          <w:sz w:val="24"/>
          <w:szCs w:val="24"/>
          <w:lang w:eastAsia="zh-CN"/>
        </w:rPr>
        <w:t xml:space="preserve">日期：</w:t>
      </w:r>
      <w:r/>
    </w:p>
    <w:p>
      <w:pPr>
        <w:ind w:firstLine="1995"/>
        <w:spacing w:line="360" w:lineRule="auto"/>
        <w:rPr>
          <w:sz w:val="24"/>
          <w:szCs w:val="24"/>
          <w:lang w:val="zh-CN"/>
        </w:rPr>
      </w:pPr>
      <w:r>
        <w:rPr>
          <w:sz w:val="24"/>
          <w:szCs w:val="24"/>
          <w:lang w:val="zh-CN"/>
        </w:rPr>
      </w:r>
      <w:r/>
    </w:p>
    <w:p>
      <w:pPr>
        <w:spacing w:line="360" w:lineRule="auto"/>
        <w:rPr>
          <w:b/>
          <w:sz w:val="24"/>
          <w:szCs w:val="24"/>
          <w:lang w:val="zh-CN"/>
        </w:rPr>
      </w:pPr>
      <w:r>
        <w:rPr>
          <w:sz w:val="24"/>
          <w:szCs w:val="24"/>
          <w:lang w:val="zh-CN"/>
        </w:rPr>
        <w:br w:type="page" w:clear="all"/>
      </w:r>
      <w:r>
        <w:rPr>
          <w:b/>
          <w:bCs/>
          <w:sz w:val="24"/>
          <w:szCs w:val="24"/>
          <w:lang w:val="zh-CN"/>
        </w:rPr>
        <w:t xml:space="preserve">格式</w:t>
      </w:r>
      <w:r>
        <w:rPr>
          <w:b/>
          <w:bCs/>
          <w:sz w:val="24"/>
          <w:szCs w:val="24"/>
        </w:rPr>
        <w:t xml:space="preserve">11</w:t>
      </w:r>
      <w:r>
        <w:rPr>
          <w:b/>
          <w:bCs/>
          <w:sz w:val="24"/>
          <w:szCs w:val="24"/>
          <w:lang w:val="zh-CN"/>
        </w:rPr>
        <w:t xml:space="preserve">、</w:t>
      </w:r>
      <w:r>
        <w:rPr>
          <w:b/>
          <w:sz w:val="24"/>
          <w:szCs w:val="24"/>
          <w:lang w:val="zh-CN"/>
        </w:rPr>
        <w:t xml:space="preserve">投标人情况表</w:t>
      </w:r>
      <w:r/>
    </w:p>
    <w:p>
      <w:pPr>
        <w:jc w:val="center"/>
        <w:spacing w:line="360" w:lineRule="auto"/>
        <w:rPr>
          <w:b/>
          <w:sz w:val="24"/>
          <w:szCs w:val="24"/>
          <w:lang w:val="zh-CN"/>
        </w:rPr>
      </w:pPr>
      <w:r>
        <w:rPr>
          <w:b/>
          <w:sz w:val="24"/>
          <w:szCs w:val="24"/>
          <w:lang w:val="zh-CN"/>
        </w:rPr>
        <w:t xml:space="preserve">投标人情况表</w:t>
      </w:r>
      <w:r/>
      <w:r>
        <w:rPr>
          <w:szCs w:val="21"/>
          <w:lang w:val="zh-CN"/>
        </w:rPr>
      </w:r>
      <w:r/>
      <w:r>
        <w:rPr>
          <w:b/>
          <w:sz w:val="24"/>
          <w:szCs w:val="24"/>
          <w:lang w:val="zh-CN"/>
        </w:rPr>
      </w:r>
    </w:p>
    <w:tbl>
      <w:tblPr>
        <w:tblStyle w:val="767"/>
        <w:tblW w:w="920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0"/>
        <w:gridCol w:w="1720"/>
        <w:gridCol w:w="1933"/>
        <w:gridCol w:w="1633"/>
        <w:gridCol w:w="1060"/>
      </w:tblGrid>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法定代表人</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tcW w:w="193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成立日期</w:t>
            </w:r>
            <w:r/>
          </w:p>
        </w:tc>
        <w:tc>
          <w:tcPr>
            <w:gridSpan w:val="2"/>
            <w:tcW w:w="269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企业地址</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tcW w:w="193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注册资本</w:t>
            </w:r>
            <w:r/>
          </w:p>
        </w:tc>
        <w:tc>
          <w:tcPr>
            <w:gridSpan w:val="2"/>
            <w:tcW w:w="269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经营范围</w:t>
            </w:r>
            <w:r/>
          </w:p>
        </w:tc>
        <w:tc>
          <w:tcPr>
            <w:gridSpan w:val="4"/>
            <w:tcW w:w="6346" w:type="dxa"/>
            <w:vAlign w:val="center"/>
            <w:textDirection w:val="lrTb"/>
            <w:noWrap w:val="false"/>
          </w:tcPr>
          <w:p>
            <w:pPr>
              <w:pStyle w:val="770"/>
              <w:ind w:left="0" w:right="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职工人数</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gridSpan w:val="2"/>
            <w:tcW w:w="3566"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其中：有中高级以上职称的人数</w:t>
            </w:r>
            <w:r/>
          </w:p>
        </w:tc>
        <w:tc>
          <w:tcPr>
            <w:tcW w:w="10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资产总计</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tcW w:w="193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净资产</w:t>
            </w:r>
            <w:r/>
          </w:p>
        </w:tc>
        <w:tc>
          <w:tcPr>
            <w:gridSpan w:val="2"/>
            <w:tcW w:w="269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股东权益</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tcW w:w="193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销售收入</w:t>
            </w:r>
            <w:r/>
          </w:p>
        </w:tc>
        <w:tc>
          <w:tcPr>
            <w:gridSpan w:val="2"/>
            <w:tcW w:w="269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实现利润</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营业面积</w:t>
            </w:r>
            <w:r/>
          </w:p>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（含厂房面积）</w:t>
            </w:r>
            <w:r/>
          </w:p>
        </w:tc>
        <w:tc>
          <w:tcPr>
            <w:tcW w:w="1720"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c>
          <w:tcPr>
            <w:tcW w:w="1933"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其中：</w:t>
            </w:r>
            <w:r/>
          </w:p>
        </w:tc>
        <w:tc>
          <w:tcPr>
            <w:gridSpan w:val="2"/>
            <w:tcW w:w="2693"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自有面积平方米</w:t>
            </w:r>
            <w:r/>
          </w:p>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承租面积平方米</w:t>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单位简历及内设机构情况</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单位优势及特长</w:t>
            </w:r>
            <w:r/>
          </w:p>
        </w:tc>
        <w:tc>
          <w:tcPr>
            <w:gridSpan w:val="4"/>
            <w:tcW w:w="6346" w:type="dxa"/>
            <w:vAlign w:val="center"/>
            <w:textDirection w:val="lrTb"/>
            <w:noWrap w:val="false"/>
          </w:tcPr>
          <w:p>
            <w:pPr>
              <w:pStyle w:val="770"/>
              <w:ind w:left="0" w:right="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近三年来完成或正在履行的重大合同情况</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最近3年内在经营过程中受到何种奖励或处分（包括情况和结果）</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最近3年内有无因售假、售劣或是其他原因被消费者投诉或起诉的情况及说明（包括解决方式和结果）</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最近3年内主要负责人有无因经济犯罪被司法机关追究的情况及说明</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获得技术认证的工程师及简介</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r>
        <w:trPr>
          <w:trHeight w:val="560"/>
        </w:trPr>
        <w:tc>
          <w:tcPr>
            <w:tcW w:w="2860" w:type="dxa"/>
            <w:vAlign w:val="center"/>
            <w:textDirection w:val="lrTb"/>
            <w:noWrap w:val="false"/>
          </w:tcPr>
          <w:p>
            <w:pPr>
              <w:pStyle w:val="770"/>
              <w:ind w:left="0" w:right="0" w:firstLine="0"/>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t xml:space="preserve">其他需要说明的情况</w:t>
            </w:r>
            <w:r/>
          </w:p>
        </w:tc>
        <w:tc>
          <w:tcPr>
            <w:gridSpan w:val="4"/>
            <w:tcW w:w="6346" w:type="dxa"/>
            <w:vAlign w:val="center"/>
            <w:textDirection w:val="lrTb"/>
            <w:noWrap w:val="false"/>
          </w:tcPr>
          <w:p>
            <w:pPr>
              <w:pStyle w:val="770"/>
              <w:ind w:left="0" w:right="0" w:firstLine="0"/>
              <w:jc w:val="center"/>
              <w:keepLines w:val="0"/>
              <w:keepNext w:val="0"/>
              <w:spacing w:before="0" w:beforeAutospacing="0" w:after="0" w:afterAutospacing="0" w:line="360" w:lineRule="auto"/>
              <w:rPr>
                <w:rFonts w:ascii="Times New Roman" w:hAnsi="Times New Roman" w:eastAsia="宋体" w:cs="Times New Roman"/>
                <w:bCs/>
                <w:sz w:val="21"/>
                <w:szCs w:val="21"/>
                <w:shd w:val="clear" w:color="auto" w:fill="ffffff"/>
                <w:lang w:eastAsia="zh-CN"/>
              </w:rPr>
              <w:suppressLineNumbers w:val="0"/>
            </w:pPr>
            <w:r>
              <w:rPr>
                <w:rFonts w:ascii="Times New Roman" w:hAnsi="Times New Roman" w:eastAsia="宋体" w:cs="Times New Roman"/>
                <w:bCs/>
                <w:sz w:val="21"/>
                <w:szCs w:val="21"/>
                <w:shd w:val="clear" w:color="auto" w:fill="ffffff"/>
                <w:lang w:eastAsia="zh-CN"/>
              </w:rPr>
            </w:r>
            <w:r/>
          </w:p>
        </w:tc>
      </w:tr>
    </w:tbl>
    <w:p>
      <w:pPr>
        <w:spacing w:line="360" w:lineRule="auto"/>
        <w:rPr>
          <w:lang w:val="zh-CN"/>
        </w:rPr>
      </w:pPr>
      <w:r>
        <w:rPr>
          <w:szCs w:val="21"/>
          <w:lang w:val="zh-CN"/>
        </w:rPr>
      </w:r>
      <w:r>
        <w:rPr>
          <w:szCs w:val="21"/>
          <w:lang w:val="zh-CN"/>
        </w:rPr>
      </w:r>
    </w:p>
    <w:p>
      <w:pPr>
        <w:spacing w:line="360" w:lineRule="auto"/>
        <w:rPr>
          <w:lang w:val="zh-CN"/>
        </w:rPr>
      </w:pPr>
      <w:r>
        <w:rPr>
          <w:szCs w:val="21"/>
          <w:lang w:val="zh-CN"/>
        </w:rPr>
      </w:r>
      <w:r>
        <w:rPr>
          <w:szCs w:val="21"/>
          <w:lang w:val="zh-CN"/>
        </w:rPr>
        <w:t xml:space="preserve">投标单位：（公章）</w:t>
      </w:r>
      <w:r/>
      <w:r>
        <w:rPr>
          <w:szCs w:val="21"/>
          <w:lang w:val="zh-CN"/>
        </w:rPr>
      </w:r>
      <w:r/>
    </w:p>
    <w:p>
      <w:pPr>
        <w:spacing w:line="360" w:lineRule="auto"/>
        <w:rPr>
          <w:szCs w:val="21"/>
          <w:u w:val="single"/>
          <w:lang w:val="zh-CN"/>
        </w:rPr>
      </w:pPr>
      <w:r>
        <w:rPr>
          <w:szCs w:val="21"/>
          <w:lang w:val="zh-CN"/>
        </w:rPr>
        <w:t xml:space="preserve">法定代表人或其授权代表：（签字或盖章）</w:t>
      </w:r>
      <w:r/>
    </w:p>
    <w:p>
      <w:pPr>
        <w:spacing w:line="360" w:lineRule="auto"/>
        <w:rPr>
          <w:szCs w:val="21"/>
          <w:lang w:val="zh-CN"/>
        </w:rPr>
      </w:pPr>
      <w:r>
        <w:rPr>
          <w:szCs w:val="21"/>
          <w:lang w:val="zh-CN"/>
        </w:rPr>
        <w:t xml:space="preserve">日期：</w:t>
      </w:r>
      <w:r/>
    </w:p>
    <w:p>
      <w:pPr>
        <w:spacing w:line="360" w:lineRule="auto"/>
        <w:rPr>
          <w:sz w:val="24"/>
          <w:szCs w:val="24"/>
        </w:rPr>
      </w:pPr>
      <w:r>
        <w:rPr>
          <w:sz w:val="24"/>
          <w:szCs w:val="24"/>
        </w:rPr>
        <w:br w:type="page" w:clear="all"/>
      </w:r>
      <w:r>
        <w:rPr>
          <w:b/>
          <w:bCs/>
          <w:sz w:val="24"/>
          <w:szCs w:val="24"/>
          <w:lang w:val="zh-CN"/>
        </w:rPr>
        <w:t xml:space="preserve">格式</w:t>
      </w:r>
      <w:r>
        <w:rPr>
          <w:b/>
          <w:bCs/>
          <w:sz w:val="24"/>
          <w:szCs w:val="24"/>
        </w:rPr>
        <w:t xml:space="preserve">12、中小企业声明函</w:t>
      </w:r>
      <w:r/>
    </w:p>
    <w:p>
      <w:pPr>
        <w:jc w:val="center"/>
        <w:spacing w:line="360" w:lineRule="auto"/>
        <w:rPr>
          <w:b/>
          <w:sz w:val="24"/>
          <w:szCs w:val="24"/>
        </w:rPr>
      </w:pPr>
      <w:r>
        <w:rPr>
          <w:b/>
          <w:sz w:val="24"/>
          <w:szCs w:val="24"/>
          <w:lang w:val="zh-CN"/>
        </w:rPr>
        <w:t xml:space="preserve">中小企业声明函</w:t>
      </w:r>
      <w:r/>
    </w:p>
    <w:p>
      <w:pPr>
        <w:pStyle w:val="1087"/>
        <w:spacing w:line="400" w:lineRule="exact"/>
        <w:rPr>
          <w:rFonts w:ascii="Times New Roman" w:hAnsi="Times New Roman" w:eastAsia="宋体" w:cs="Times New Roman"/>
          <w:sz w:val="24"/>
          <w:szCs w:val="24"/>
          <w:lang w:val="zh-CN" w:eastAsia="zh-CN"/>
        </w:rPr>
      </w:pPr>
      <w:r>
        <w:rPr>
          <w:rFonts w:ascii="Times New Roman" w:hAnsi="Times New Roman" w:eastAsia="宋体" w:cs="Times New Roman"/>
          <w:sz w:val="24"/>
          <w:szCs w:val="24"/>
          <w:lang w:val="zh-CN" w:eastAsia="zh-CN"/>
        </w:rPr>
        <w:t xml:space="preserve">______________________：</w:t>
      </w:r>
      <w:r/>
    </w:p>
    <w:p>
      <w:pPr>
        <w:pStyle w:val="1087"/>
        <w:ind w:firstLine="1575"/>
        <w:spacing w:line="400" w:lineRule="exact"/>
        <w:rPr>
          <w:rFonts w:ascii="Times New Roman" w:hAnsi="Times New Roman" w:eastAsia="宋体" w:cs="Times New Roman"/>
          <w:sz w:val="24"/>
          <w:szCs w:val="24"/>
          <w:lang w:val="zh-CN" w:eastAsia="zh-CN"/>
        </w:rPr>
      </w:pPr>
      <w:r>
        <w:rPr>
          <w:rFonts w:ascii="Times New Roman" w:hAnsi="Times New Roman" w:eastAsia="宋体" w:cs="Times New Roman"/>
          <w:sz w:val="24"/>
          <w:szCs w:val="24"/>
          <w:lang w:val="zh-CN" w:eastAsia="zh-CN"/>
        </w:rPr>
      </w:r>
      <w:r/>
    </w:p>
    <w:p>
      <w:pPr>
        <w:ind w:firstLine="420"/>
        <w:spacing w:line="360" w:lineRule="auto"/>
        <w:rPr>
          <w:sz w:val="24"/>
          <w:szCs w:val="24"/>
        </w:rPr>
      </w:pPr>
      <w:r>
        <w:rPr>
          <w:sz w:val="24"/>
          <w:szCs w:val="24"/>
        </w:rPr>
        <w:t xml:space="preserve">本公司（联合体）郑重声明，根据《政府采购促进中小企业发展管理办法》（财库﹝2020﹞46号）的规定，本公司（联合体）参加</w:t>
      </w:r>
      <w:r>
        <w:rPr>
          <w:sz w:val="24"/>
          <w:szCs w:val="24"/>
          <w:u w:val="single"/>
        </w:rPr>
        <w:t xml:space="preserve">（单位名称）</w:t>
      </w:r>
      <w:r>
        <w:rPr>
          <w:sz w:val="24"/>
          <w:szCs w:val="24"/>
        </w:rPr>
        <w:t xml:space="preserve">的</w:t>
      </w:r>
      <w:r>
        <w:rPr>
          <w:sz w:val="24"/>
          <w:szCs w:val="24"/>
          <w:u w:val="single"/>
        </w:rPr>
        <w:t xml:space="preserve">（项目名称）</w:t>
      </w:r>
      <w:r>
        <w:rPr>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sz w:val="24"/>
          <w:szCs w:val="24"/>
        </w:rPr>
      </w:pPr>
      <w:r>
        <w:rPr>
          <w:sz w:val="24"/>
          <w:szCs w:val="24"/>
        </w:rPr>
        <w:t xml:space="preserve">1.</w:t>
      </w:r>
      <w:r>
        <w:rPr>
          <w:sz w:val="24"/>
          <w:szCs w:val="24"/>
          <w:u w:val="single"/>
        </w:rPr>
        <w:t xml:space="preserve">（标的名称）</w:t>
      </w:r>
      <w:r>
        <w:rPr>
          <w:sz w:val="24"/>
          <w:szCs w:val="24"/>
        </w:rPr>
        <w:t xml:space="preserve">，属</w:t>
      </w:r>
      <w:r>
        <w:rPr>
          <w:sz w:val="24"/>
          <w:szCs w:val="24"/>
          <w:highlight w:val="none"/>
        </w:rPr>
        <w:t xml:space="preserve">于</w:t>
      </w:r>
      <w:r>
        <w:rPr>
          <w:sz w:val="24"/>
          <w:szCs w:val="24"/>
          <w:highlight w:val="none"/>
          <w:u w:val="single"/>
        </w:rPr>
        <w:t xml:space="preserve">（</w:t>
      </w:r>
      <w:r>
        <w:rPr>
          <w:sz w:val="24"/>
          <w:szCs w:val="24"/>
          <w:highlight w:val="none"/>
          <w:u w:val="single"/>
        </w:rPr>
        <w:t xml:space="preserve">其他</w:t>
      </w:r>
      <w:r>
        <w:rPr>
          <w:sz w:val="24"/>
          <w:szCs w:val="24"/>
          <w:highlight w:val="none"/>
          <w:u w:val="single"/>
        </w:rPr>
        <w:t xml:space="preserve">未列明行业）</w:t>
      </w:r>
      <w:r>
        <w:rPr>
          <w:sz w:val="24"/>
          <w:szCs w:val="24"/>
          <w:highlight w:val="none"/>
        </w:rPr>
        <w:t xml:space="preserve">；</w:t>
      </w:r>
      <w:r>
        <w:rPr>
          <w:sz w:val="24"/>
          <w:szCs w:val="24"/>
        </w:rPr>
        <w:t xml:space="preserve">承建（承接）企业为</w:t>
      </w:r>
      <w:r>
        <w:rPr>
          <w:sz w:val="24"/>
          <w:szCs w:val="24"/>
          <w:u w:val="single"/>
        </w:rPr>
        <w:t xml:space="preserve">（企业名称）</w:t>
      </w:r>
      <w:r>
        <w:rPr>
          <w:sz w:val="24"/>
          <w:szCs w:val="24"/>
        </w:rPr>
        <w:t xml:space="preserve">，从业人员人，营业收入为万元，资产总额为万元，属于</w:t>
      </w:r>
      <w:r>
        <w:rPr>
          <w:sz w:val="24"/>
          <w:szCs w:val="24"/>
          <w:u w:val="single"/>
        </w:rPr>
        <w:t xml:space="preserve">（中型企业、小型企业、微型企业）</w:t>
      </w:r>
      <w:r>
        <w:rPr>
          <w:sz w:val="24"/>
          <w:szCs w:val="24"/>
        </w:rPr>
        <w:t xml:space="preserve">；</w:t>
      </w:r>
      <w:r/>
    </w:p>
    <w:p>
      <w:pPr>
        <w:ind w:firstLine="420"/>
        <w:spacing w:line="360" w:lineRule="auto"/>
        <w:rPr>
          <w:sz w:val="24"/>
          <w:szCs w:val="24"/>
        </w:rPr>
      </w:pPr>
      <w:r>
        <w:rPr>
          <w:sz w:val="24"/>
          <w:szCs w:val="24"/>
        </w:rPr>
        <w:t xml:space="preserve">2.</w:t>
      </w:r>
      <w:r>
        <w:rPr>
          <w:sz w:val="24"/>
          <w:szCs w:val="24"/>
          <w:u w:val="single"/>
        </w:rPr>
        <w:t xml:space="preserve">（标的名称）</w:t>
      </w:r>
      <w:r>
        <w:rPr>
          <w:sz w:val="24"/>
          <w:szCs w:val="24"/>
        </w:rPr>
        <w:t xml:space="preserve">，属于</w:t>
      </w:r>
      <w:r>
        <w:rPr>
          <w:sz w:val="24"/>
          <w:szCs w:val="24"/>
          <w:u w:val="single"/>
        </w:rPr>
        <w:t xml:space="preserve">（采购文件中明确的所属行业）</w:t>
      </w:r>
      <w:r>
        <w:rPr>
          <w:sz w:val="24"/>
          <w:szCs w:val="24"/>
        </w:rPr>
        <w:t xml:space="preserve">；承建（承接）企业为</w:t>
      </w:r>
      <w:r>
        <w:rPr>
          <w:sz w:val="24"/>
          <w:szCs w:val="24"/>
          <w:u w:val="single"/>
        </w:rPr>
        <w:t xml:space="preserve">（企业名称）</w:t>
      </w:r>
      <w:r>
        <w:rPr>
          <w:sz w:val="24"/>
          <w:szCs w:val="24"/>
        </w:rPr>
        <w:t xml:space="preserve">，从业人员人，营业收入为万元，资产总额为万元，属于</w:t>
      </w:r>
      <w:r>
        <w:rPr>
          <w:sz w:val="24"/>
          <w:szCs w:val="24"/>
          <w:u w:val="single"/>
        </w:rPr>
        <w:t xml:space="preserve">（中型企业、小型企业、微型企业）</w:t>
      </w:r>
      <w:r>
        <w:rPr>
          <w:sz w:val="24"/>
          <w:szCs w:val="24"/>
        </w:rPr>
        <w:t xml:space="preserve">；</w:t>
      </w:r>
      <w:r/>
    </w:p>
    <w:p>
      <w:pPr>
        <w:ind w:firstLine="420"/>
        <w:spacing w:line="360" w:lineRule="auto"/>
        <w:rPr>
          <w:sz w:val="24"/>
          <w:szCs w:val="24"/>
        </w:rPr>
      </w:pPr>
      <w:r>
        <w:rPr>
          <w:sz w:val="24"/>
          <w:szCs w:val="24"/>
        </w:rPr>
        <w:t xml:space="preserve">以上企业，不属于大企业的分支机构，不存在控股股东为大企业的情形，也不存在与大企业的负责人为同一人的情形。</w:t>
      </w:r>
      <w:r/>
    </w:p>
    <w:p>
      <w:pPr>
        <w:ind w:firstLine="420"/>
        <w:spacing w:line="360" w:lineRule="auto"/>
        <w:rPr>
          <w:sz w:val="24"/>
          <w:szCs w:val="24"/>
        </w:rPr>
      </w:pPr>
      <w:r>
        <w:rPr>
          <w:sz w:val="24"/>
          <w:szCs w:val="24"/>
        </w:rPr>
        <w:t xml:space="preserve">本企业对上述声明内容的真实性负责。如有虚假，将依法承担相应责任。</w:t>
      </w:r>
      <w:r/>
    </w:p>
    <w:p>
      <w:pPr>
        <w:ind w:firstLine="420"/>
        <w:spacing w:line="360" w:lineRule="auto"/>
        <w:rPr>
          <w:sz w:val="24"/>
          <w:szCs w:val="24"/>
        </w:rPr>
      </w:pPr>
      <w:r>
        <w:rPr>
          <w:sz w:val="24"/>
          <w:szCs w:val="24"/>
        </w:rPr>
      </w:r>
      <w:r/>
    </w:p>
    <w:p>
      <w:pPr>
        <w:spacing w:line="360" w:lineRule="auto"/>
        <w:rPr>
          <w:sz w:val="24"/>
          <w:szCs w:val="24"/>
        </w:rPr>
      </w:pPr>
      <w:r>
        <w:rPr>
          <w:sz w:val="24"/>
          <w:szCs w:val="24"/>
        </w:rPr>
        <w:t xml:space="preserve">投标单位：（签章）</w:t>
      </w:r>
      <w:r/>
    </w:p>
    <w:p>
      <w:pPr>
        <w:pStyle w:val="795"/>
        <w:jc w:val="both"/>
        <w:rPr>
          <w:rFonts w:ascii="Times New Roman" w:hAnsi="Times New Roman" w:eastAsia="宋体"/>
          <w:position w:val="0"/>
          <w:sz w:val="24"/>
          <w:szCs w:val="24"/>
          <w:lang w:eastAsia="zh-CN"/>
        </w:rPr>
      </w:pPr>
      <w:r>
        <w:rPr>
          <w:rFonts w:ascii="Times New Roman" w:hAnsi="Times New Roman" w:eastAsia="宋体"/>
          <w:position w:val="0"/>
          <w:sz w:val="24"/>
          <w:szCs w:val="24"/>
          <w:lang w:eastAsia="zh-CN"/>
        </w:rPr>
        <w:t xml:space="preserve">日期：</w:t>
      </w:r>
      <w:r/>
    </w:p>
    <w:p>
      <w:pPr>
        <w:ind w:firstLine="420"/>
        <w:spacing w:line="360" w:lineRule="auto"/>
        <w:rPr>
          <w:sz w:val="24"/>
          <w:szCs w:val="24"/>
        </w:rPr>
      </w:pPr>
      <w:r>
        <w:rPr>
          <w:sz w:val="24"/>
          <w:szCs w:val="24"/>
        </w:rPr>
      </w:r>
      <w:r/>
    </w:p>
    <w:p>
      <w:pPr>
        <w:ind w:firstLine="420"/>
        <w:spacing w:line="360" w:lineRule="auto"/>
        <w:rPr>
          <w:sz w:val="24"/>
          <w:szCs w:val="24"/>
        </w:rPr>
      </w:pPr>
      <w:r>
        <w:rPr>
          <w:sz w:val="24"/>
          <w:szCs w:val="24"/>
        </w:rPr>
      </w:r>
      <w:r/>
    </w:p>
    <w:p>
      <w:pPr>
        <w:spacing w:line="360" w:lineRule="auto"/>
        <w:rPr>
          <w:sz w:val="24"/>
          <w:szCs w:val="24"/>
        </w:rPr>
      </w:pPr>
      <w:r>
        <w:rPr>
          <w:sz w:val="24"/>
          <w:szCs w:val="24"/>
        </w:rPr>
      </w:r>
      <w:r/>
    </w:p>
    <w:p>
      <w:pPr>
        <w:ind w:firstLine="420"/>
        <w:spacing w:line="360" w:lineRule="auto"/>
        <w:rPr>
          <w:sz w:val="24"/>
          <w:szCs w:val="24"/>
        </w:rPr>
      </w:pPr>
      <w:r>
        <w:rPr>
          <w:sz w:val="24"/>
          <w:szCs w:val="24"/>
        </w:rPr>
        <w:t xml:space="preserve">从业人员、营业收入、资产总额填报上一年度数据，无上一年度数据的新成立企业可不填报。</w:t>
      </w:r>
      <w:r/>
    </w:p>
    <w:p>
      <w:pPr>
        <w:spacing w:line="360" w:lineRule="auto"/>
        <w:rPr>
          <w:b/>
          <w:bCs/>
          <w:sz w:val="24"/>
          <w:szCs w:val="24"/>
        </w:rPr>
      </w:pPr>
      <w:r>
        <w:rPr>
          <w:b/>
          <w:bCs/>
          <w:sz w:val="24"/>
          <w:szCs w:val="24"/>
        </w:rPr>
      </w:r>
      <w:r/>
    </w:p>
    <w:p>
      <w:pPr>
        <w:spacing w:line="360" w:lineRule="auto"/>
        <w:rPr>
          <w:b/>
          <w:bCs/>
          <w:sz w:val="24"/>
          <w:szCs w:val="24"/>
        </w:rPr>
      </w:pPr>
      <w:r>
        <w:rPr>
          <w:b/>
          <w:bCs/>
          <w:sz w:val="24"/>
          <w:szCs w:val="24"/>
        </w:rPr>
      </w:r>
      <w:r/>
    </w:p>
    <w:p>
      <w:pPr>
        <w:pStyle w:val="991"/>
        <w:ind w:firstLine="0"/>
        <w:jc w:val="both"/>
        <w:rPr>
          <w:rFonts w:eastAsia="宋体"/>
          <w:szCs w:val="24"/>
          <w:lang w:eastAsia="zh-CN"/>
        </w:rPr>
      </w:pPr>
      <w:r>
        <w:rPr>
          <w:rFonts w:eastAsia="宋体"/>
          <w:b/>
          <w:bCs/>
          <w:szCs w:val="24"/>
          <w:lang w:eastAsia="zh-CN"/>
        </w:rPr>
        <w:br w:type="page" w:clear="all"/>
      </w:r>
      <w:r>
        <w:rPr>
          <w:rFonts w:eastAsia="宋体"/>
          <w:b/>
          <w:bCs/>
          <w:szCs w:val="24"/>
          <w:lang w:eastAsia="zh-CN"/>
        </w:rPr>
        <w:t xml:space="preserve">格式13、残疾人福利性单位声明函</w:t>
      </w:r>
      <w:r/>
    </w:p>
    <w:p>
      <w:pPr>
        <w:pStyle w:val="991"/>
        <w:ind w:firstLine="0"/>
        <w:jc w:val="both"/>
        <w:rPr>
          <w:rFonts w:eastAsia="宋体"/>
          <w:szCs w:val="24"/>
          <w:lang w:eastAsia="zh-CN"/>
        </w:rPr>
      </w:pPr>
      <w:r>
        <w:rPr>
          <w:rFonts w:eastAsia="宋体"/>
          <w:szCs w:val="24"/>
          <w:lang w:eastAsia="zh-CN"/>
        </w:rPr>
      </w:r>
      <w:r/>
    </w:p>
    <w:p>
      <w:pPr>
        <w:pStyle w:val="1021"/>
        <w:jc w:val="center"/>
        <w:spacing w:line="360" w:lineRule="auto"/>
        <w:rPr>
          <w:rFonts w:ascii="Times New Roman" w:hAnsi="Times New Roman"/>
          <w:szCs w:val="24"/>
        </w:rPr>
      </w:pPr>
      <w:r>
        <w:rPr>
          <w:rFonts w:ascii="Times New Roman" w:hAnsi="Times New Roman"/>
          <w:b/>
          <w:bCs/>
          <w:szCs w:val="24"/>
        </w:rPr>
        <w:t xml:space="preserve">残疾人福利性单位声明函</w:t>
      </w:r>
      <w:r/>
    </w:p>
    <w:p>
      <w:pPr>
        <w:pStyle w:val="1021"/>
        <w:ind w:firstLine="420"/>
        <w:spacing w:line="360" w:lineRule="auto"/>
        <w:rPr>
          <w:rFonts w:ascii="Times New Roman" w:hAnsi="Times New Roman"/>
          <w:szCs w:val="24"/>
        </w:rPr>
      </w:pPr>
      <w:r>
        <w:rPr>
          <w:rFonts w:ascii="Times New Roman" w:hAnsi="Times New Roman"/>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1"/>
        <w:ind w:firstLine="420"/>
        <w:spacing w:line="360" w:lineRule="auto"/>
        <w:rPr>
          <w:rFonts w:ascii="Times New Roman" w:hAnsi="Times New Roman"/>
          <w:szCs w:val="24"/>
        </w:rPr>
      </w:pPr>
      <w:r>
        <w:rPr>
          <w:rFonts w:ascii="Times New Roman" w:hAnsi="Times New Roman"/>
          <w:szCs w:val="24"/>
        </w:rPr>
        <w:t xml:space="preserve">本单位对上述声明的真实性负责。如有虚假，将依法承担相应责任。</w:t>
      </w:r>
      <w:r/>
    </w:p>
    <w:p>
      <w:pPr>
        <w:pStyle w:val="1021"/>
        <w:ind w:firstLine="420"/>
        <w:spacing w:line="360" w:lineRule="auto"/>
        <w:rPr>
          <w:rFonts w:ascii="Times New Roman" w:hAnsi="Times New Roman"/>
          <w:szCs w:val="24"/>
        </w:rPr>
      </w:pPr>
      <w:r>
        <w:rPr>
          <w:rFonts w:ascii="Times New Roman" w:hAnsi="Times New Roman"/>
          <w:szCs w:val="24"/>
        </w:rPr>
      </w:r>
      <w:r/>
    </w:p>
    <w:p>
      <w:pPr>
        <w:pStyle w:val="1021"/>
        <w:ind w:firstLine="420"/>
        <w:spacing w:line="360" w:lineRule="auto"/>
        <w:rPr>
          <w:rFonts w:ascii="Times New Roman" w:hAnsi="Times New Roman"/>
          <w:szCs w:val="24"/>
        </w:rPr>
      </w:pPr>
      <w:r>
        <w:rPr>
          <w:rFonts w:ascii="Times New Roman" w:hAnsi="Times New Roman"/>
          <w:szCs w:val="24"/>
        </w:rPr>
      </w:r>
      <w:r/>
    </w:p>
    <w:p>
      <w:pPr>
        <w:spacing w:line="360" w:lineRule="auto"/>
        <w:rPr>
          <w:sz w:val="24"/>
          <w:szCs w:val="24"/>
        </w:rPr>
      </w:pPr>
      <w:r>
        <w:rPr>
          <w:sz w:val="24"/>
          <w:szCs w:val="24"/>
        </w:rPr>
        <w:t xml:space="preserve">投标单位：（签章）</w:t>
      </w:r>
      <w:r/>
    </w:p>
    <w:p>
      <w:pPr>
        <w:pStyle w:val="795"/>
        <w:jc w:val="both"/>
        <w:rPr>
          <w:rFonts w:ascii="Times New Roman" w:hAnsi="Times New Roman" w:eastAsia="宋体"/>
          <w:position w:val="0"/>
          <w:sz w:val="24"/>
          <w:szCs w:val="24"/>
          <w:lang w:eastAsia="zh-CN"/>
        </w:rPr>
      </w:pPr>
      <w:r>
        <w:rPr>
          <w:rFonts w:ascii="Times New Roman" w:hAnsi="Times New Roman" w:eastAsia="宋体"/>
          <w:position w:val="0"/>
          <w:sz w:val="24"/>
          <w:szCs w:val="24"/>
          <w:lang w:eastAsia="zh-CN"/>
        </w:rPr>
        <w:t xml:space="preserve">日期：</w:t>
      </w:r>
      <w:r/>
    </w:p>
    <w:p>
      <w:pPr>
        <w:spacing w:line="360" w:lineRule="auto"/>
        <w:rPr>
          <w:b/>
          <w:bCs/>
          <w:sz w:val="24"/>
          <w:szCs w:val="24"/>
        </w:rPr>
      </w:pPr>
      <w:r>
        <w:rPr>
          <w:b/>
          <w:bCs/>
          <w:sz w:val="24"/>
          <w:szCs w:val="24"/>
        </w:rPr>
      </w:r>
      <w:r/>
    </w:p>
    <w:p>
      <w:pPr>
        <w:pStyle w:val="795"/>
        <w:rPr>
          <w:rFonts w:ascii="Times New Roman" w:hAnsi="Times New Roman" w:eastAsia="宋体"/>
          <w:b/>
          <w:bCs/>
          <w:sz w:val="24"/>
          <w:szCs w:val="24"/>
          <w:lang w:eastAsia="zh-CN"/>
        </w:rPr>
      </w:pPr>
      <w:r>
        <w:rPr>
          <w:rFonts w:ascii="Times New Roman" w:hAnsi="Times New Roman" w:eastAsia="宋体"/>
          <w:b/>
          <w:bCs/>
          <w:sz w:val="24"/>
          <w:szCs w:val="24"/>
          <w:lang w:eastAsia="zh-CN"/>
        </w:rPr>
      </w:r>
      <w:r/>
    </w:p>
    <w:p>
      <w:pPr>
        <w:pStyle w:val="795"/>
        <w:rPr>
          <w:rFonts w:ascii="Times New Roman" w:hAnsi="Times New Roman" w:eastAsia="宋体"/>
          <w:b/>
          <w:bCs/>
          <w:sz w:val="24"/>
          <w:szCs w:val="24"/>
          <w:lang w:eastAsia="zh-CN"/>
        </w:rPr>
      </w:pPr>
      <w:r>
        <w:rPr>
          <w:rFonts w:ascii="Times New Roman" w:hAnsi="Times New Roman" w:eastAsia="宋体"/>
          <w:b/>
          <w:bCs/>
          <w:sz w:val="24"/>
          <w:szCs w:val="24"/>
          <w:lang w:eastAsia="zh-CN"/>
        </w:rPr>
      </w:r>
      <w:r/>
    </w:p>
    <w:p>
      <w:pPr>
        <w:pStyle w:val="795"/>
        <w:rPr>
          <w:rFonts w:ascii="Times New Roman" w:hAnsi="Times New Roman" w:eastAsia="宋体"/>
          <w:b/>
          <w:bCs/>
          <w:sz w:val="24"/>
          <w:szCs w:val="24"/>
          <w:lang w:eastAsia="zh-CN"/>
        </w:rPr>
      </w:pPr>
      <w:r>
        <w:rPr>
          <w:rFonts w:ascii="Times New Roman" w:hAnsi="Times New Roman" w:eastAsia="宋体"/>
          <w:b/>
          <w:bCs/>
          <w:sz w:val="24"/>
          <w:szCs w:val="24"/>
          <w:lang w:eastAsia="zh-CN"/>
        </w:rPr>
      </w:r>
      <w:r/>
    </w:p>
    <w:p>
      <w:pPr>
        <w:pStyle w:val="795"/>
        <w:rPr>
          <w:rFonts w:ascii="Times New Roman" w:hAnsi="Times New Roman" w:eastAsia="宋体"/>
          <w:b/>
          <w:bCs/>
          <w:sz w:val="24"/>
          <w:szCs w:val="24"/>
          <w:lang w:eastAsia="zh-CN"/>
        </w:rPr>
      </w:pPr>
      <w:r>
        <w:rPr>
          <w:rFonts w:ascii="Times New Roman" w:hAnsi="Times New Roman" w:eastAsia="宋体"/>
          <w:b/>
          <w:bCs/>
          <w:sz w:val="24"/>
          <w:szCs w:val="24"/>
          <w:lang w:eastAsia="zh-CN"/>
        </w:rPr>
      </w:r>
      <w:r/>
    </w:p>
    <w:p>
      <w:pPr>
        <w:pStyle w:val="777"/>
        <w:spacing w:line="360" w:lineRule="auto"/>
        <w:rPr>
          <w:rFonts w:hint="default" w:ascii="Times New Roman" w:hAnsi="Times New Roman" w:eastAsia="宋体" w:cs="Times New Roman"/>
          <w:b/>
          <w:bCs/>
          <w:sz w:val="24"/>
          <w:szCs w:val="24"/>
          <w:lang w:val="zh-CN" w:eastAsia="zh-CN"/>
        </w:rPr>
      </w:pPr>
      <w:r>
        <w:rPr>
          <w:rFonts w:hint="default" w:ascii="Times New Roman" w:hAnsi="Times New Roman" w:eastAsia="宋体" w:cs="Times New Roman"/>
          <w:b/>
          <w:bCs/>
          <w:sz w:val="24"/>
          <w:szCs w:val="24"/>
          <w:lang w:val="zh-CN" w:eastAsia="zh-CN"/>
        </w:rPr>
      </w:r>
      <w:r/>
    </w:p>
    <w:p>
      <w:pPr>
        <w:pStyle w:val="777"/>
        <w:spacing w:line="360" w:lineRule="auto"/>
        <w:rPr>
          <w:rFonts w:hint="default" w:ascii="Times New Roman" w:hAnsi="Times New Roman" w:eastAsia="宋体" w:cs="Times New Roman"/>
          <w:b/>
          <w:bCs/>
          <w:sz w:val="24"/>
          <w:szCs w:val="24"/>
          <w:lang w:val="zh-CN" w:eastAsia="zh-CN"/>
        </w:rPr>
      </w:pPr>
      <w:r>
        <w:rPr>
          <w:rFonts w:hint="default" w:ascii="Times New Roman" w:hAnsi="Times New Roman" w:eastAsia="宋体" w:cs="Times New Roman"/>
          <w:b/>
          <w:bCs/>
          <w:sz w:val="24"/>
          <w:szCs w:val="24"/>
          <w:lang w:val="zh-CN" w:eastAsia="zh-CN"/>
        </w:rPr>
      </w:r>
      <w:r/>
    </w:p>
    <w:p>
      <w:pPr>
        <w:spacing w:line="360" w:lineRule="auto"/>
        <w:rPr>
          <w:sz w:val="24"/>
          <w:szCs w:val="24"/>
        </w:rPr>
      </w:pPr>
      <w:r>
        <w:rPr>
          <w:b/>
          <w:bCs/>
          <w:sz w:val="24"/>
          <w:szCs w:val="24"/>
          <w:lang w:val="zh-CN"/>
        </w:rPr>
        <w:br w:type="page" w:clear="all"/>
      </w:r>
      <w:r>
        <w:rPr>
          <w:b/>
          <w:sz w:val="24"/>
          <w:szCs w:val="24"/>
        </w:rPr>
        <w:t xml:space="preserve">格式</w:t>
      </w:r>
      <w:r>
        <w:rPr>
          <w:b/>
          <w:bCs/>
          <w:sz w:val="24"/>
          <w:szCs w:val="24"/>
        </w:rPr>
        <w:t xml:space="preserve">14、投标保证承诺书</w:t>
      </w:r>
      <w:r/>
    </w:p>
    <w:p>
      <w:pPr>
        <w:spacing w:line="360" w:lineRule="auto"/>
        <w:rPr>
          <w:b/>
          <w:sz w:val="24"/>
          <w:szCs w:val="24"/>
        </w:rPr>
      </w:pPr>
      <w:r>
        <w:rPr>
          <w:b/>
          <w:sz w:val="24"/>
          <w:szCs w:val="24"/>
        </w:rPr>
      </w:r>
      <w:r/>
    </w:p>
    <w:p>
      <w:pPr>
        <w:jc w:val="center"/>
        <w:rPr>
          <w:b/>
          <w:sz w:val="24"/>
          <w:szCs w:val="24"/>
        </w:rPr>
      </w:pPr>
      <w:r>
        <w:rPr>
          <w:b/>
          <w:sz w:val="24"/>
          <w:szCs w:val="24"/>
        </w:rPr>
        <w:t xml:space="preserve">投标保证承诺书</w:t>
      </w:r>
      <w:r/>
    </w:p>
    <w:p>
      <w:pPr>
        <w:rPr>
          <w:b/>
          <w:sz w:val="24"/>
          <w:szCs w:val="24"/>
        </w:rPr>
      </w:pPr>
      <w:r>
        <w:rPr>
          <w:b/>
          <w:sz w:val="24"/>
          <w:szCs w:val="24"/>
        </w:rPr>
      </w:r>
      <w:r/>
    </w:p>
    <w:p>
      <w:pPr>
        <w:rPr>
          <w:sz w:val="24"/>
          <w:szCs w:val="24"/>
          <w:u w:val="single"/>
        </w:rPr>
      </w:pPr>
      <w:r>
        <w:rPr>
          <w:sz w:val="24"/>
          <w:szCs w:val="24"/>
        </w:rPr>
        <w:t xml:space="preserve">致</w:t>
      </w:r>
      <w:r>
        <w:rPr>
          <w:sz w:val="24"/>
          <w:szCs w:val="24"/>
          <w:u w:val="single"/>
        </w:rPr>
        <w:t xml:space="preserve">：（采购代理机构名称）</w:t>
      </w:r>
      <w:r/>
    </w:p>
    <w:p>
      <w:pPr>
        <w:ind w:firstLine="420"/>
        <w:rPr>
          <w:sz w:val="24"/>
          <w:szCs w:val="24"/>
        </w:rPr>
      </w:pPr>
      <w:r>
        <w:rPr>
          <w:sz w:val="24"/>
          <w:szCs w:val="24"/>
        </w:rPr>
      </w:r>
      <w:r/>
    </w:p>
    <w:p>
      <w:pPr>
        <w:ind w:firstLine="420"/>
        <w:spacing w:line="360" w:lineRule="auto"/>
        <w:rPr>
          <w:sz w:val="24"/>
          <w:szCs w:val="24"/>
        </w:rPr>
      </w:pPr>
      <w:r>
        <w:rPr>
          <w:sz w:val="24"/>
          <w:szCs w:val="24"/>
        </w:rPr>
        <w:t xml:space="preserve">我（单位/本人，以下统称我单位）自愿参加（项目名称和采购编号）的响应,并做出如下承诺：</w:t>
      </w:r>
      <w:r/>
    </w:p>
    <w:p>
      <w:pPr>
        <w:ind w:firstLine="420"/>
        <w:spacing w:line="360" w:lineRule="auto"/>
        <w:rPr>
          <w:sz w:val="24"/>
          <w:szCs w:val="24"/>
        </w:rPr>
      </w:pPr>
      <w:r>
        <w:rPr>
          <w:sz w:val="24"/>
          <w:szCs w:val="24"/>
        </w:rPr>
        <w:t xml:space="preserve">一、除不可抗力外，我单位如果发生以下行为，将在行为发生的10个工作日内，向贵方</w:t>
      </w:r>
      <w:r>
        <w:rPr>
          <w:sz w:val="24"/>
          <w:szCs w:val="24"/>
          <w:u w:val="single"/>
        </w:rPr>
        <w:t xml:space="preserve">（或采购人）</w:t>
      </w:r>
      <w:r>
        <w:rPr>
          <w:sz w:val="24"/>
          <w:szCs w:val="24"/>
        </w:rPr>
        <w:t xml:space="preserve">支付本采购文件公布的预算金额（或最高限价）的2%作为违约赔偿金（数量不确定的单价采购须约定具体金额）。</w:t>
      </w:r>
      <w:r/>
    </w:p>
    <w:p>
      <w:pPr>
        <w:ind w:firstLine="420"/>
        <w:spacing w:line="360" w:lineRule="auto"/>
        <w:rPr>
          <w:sz w:val="24"/>
          <w:szCs w:val="24"/>
        </w:rPr>
      </w:pPr>
      <w:r>
        <w:rPr>
          <w:sz w:val="24"/>
          <w:szCs w:val="24"/>
        </w:rPr>
        <w:t xml:space="preserve">1.自响应截止时间至本项目发布成交公告为止，撤销响应；</w:t>
      </w:r>
      <w:r/>
    </w:p>
    <w:p>
      <w:pPr>
        <w:ind w:firstLine="420"/>
        <w:spacing w:line="360" w:lineRule="auto"/>
        <w:rPr>
          <w:sz w:val="24"/>
          <w:szCs w:val="24"/>
        </w:rPr>
      </w:pPr>
      <w:r>
        <w:rPr>
          <w:sz w:val="24"/>
          <w:szCs w:val="24"/>
        </w:rPr>
        <w:t xml:space="preserve">2.中标后不依法与采购人签订合同；</w:t>
      </w:r>
      <w:r/>
    </w:p>
    <w:p>
      <w:pPr>
        <w:ind w:firstLine="420"/>
        <w:spacing w:line="360" w:lineRule="auto"/>
        <w:rPr>
          <w:sz w:val="24"/>
          <w:szCs w:val="24"/>
        </w:rPr>
      </w:pPr>
      <w:r>
        <w:rPr>
          <w:sz w:val="24"/>
          <w:szCs w:val="24"/>
        </w:rPr>
        <w:t xml:space="preserve">3. 中标后不按本采购文件规定向贵方缴纳采购代理费。</w:t>
      </w:r>
      <w:r/>
    </w:p>
    <w:p>
      <w:pPr>
        <w:ind w:firstLine="420"/>
        <w:spacing w:line="360" w:lineRule="auto"/>
        <w:rPr>
          <w:sz w:val="24"/>
          <w:szCs w:val="24"/>
        </w:rPr>
      </w:pPr>
      <w:r>
        <w:rPr>
          <w:sz w:val="24"/>
          <w:szCs w:val="24"/>
        </w:rPr>
        <w:t xml:space="preserve">二、我单位知晓上述行为的法律后果，承认本承诺书作为贵方（或采购人）要求我单位履行违约赔偿义务的依据作用。</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spacing w:line="360" w:lineRule="auto"/>
        <w:rPr>
          <w:sz w:val="24"/>
          <w:szCs w:val="24"/>
        </w:rPr>
      </w:pPr>
      <w:r>
        <w:rPr>
          <w:sz w:val="24"/>
          <w:szCs w:val="24"/>
        </w:rPr>
        <w:t xml:space="preserve">投标单位：        （签章）</w:t>
      </w:r>
      <w:r/>
    </w:p>
    <w:p>
      <w:pPr>
        <w:spacing w:line="360" w:lineRule="auto"/>
        <w:rPr>
          <w:sz w:val="24"/>
          <w:szCs w:val="24"/>
        </w:rPr>
      </w:pPr>
      <w:r>
        <w:rPr>
          <w:sz w:val="24"/>
          <w:szCs w:val="24"/>
        </w:rPr>
        <w:t xml:space="preserve">地址：                                                                </w:t>
      </w:r>
      <w:r/>
    </w:p>
    <w:p>
      <w:pPr>
        <w:spacing w:line="360" w:lineRule="auto"/>
        <w:rPr>
          <w:sz w:val="24"/>
          <w:szCs w:val="24"/>
        </w:rPr>
      </w:pPr>
      <w:r>
        <w:rPr>
          <w:sz w:val="24"/>
          <w:szCs w:val="24"/>
        </w:rPr>
        <w:t xml:space="preserve">电话：                     传真：                      </w:t>
      </w:r>
      <w:r/>
    </w:p>
    <w:p>
      <w:pPr>
        <w:spacing w:line="360" w:lineRule="auto"/>
        <w:rPr>
          <w:sz w:val="24"/>
          <w:szCs w:val="24"/>
        </w:rPr>
      </w:pPr>
      <w:r>
        <w:rPr>
          <w:sz w:val="24"/>
          <w:szCs w:val="24"/>
        </w:rPr>
        <w:t xml:space="preserve">电子邮件：                 邮编：                      </w:t>
      </w:r>
      <w:r/>
    </w:p>
    <w:p>
      <w:pPr>
        <w:spacing w:line="360" w:lineRule="auto"/>
        <w:rPr>
          <w:sz w:val="24"/>
          <w:szCs w:val="24"/>
        </w:rPr>
      </w:pPr>
      <w:r>
        <w:rPr>
          <w:sz w:val="24"/>
          <w:szCs w:val="24"/>
        </w:rPr>
        <w:t xml:space="preserve">法定代表人或委托代理人(签字或签章)：                                 </w:t>
      </w:r>
      <w:r/>
    </w:p>
    <w:p>
      <w:pPr>
        <w:spacing w:line="360" w:lineRule="auto"/>
        <w:rPr>
          <w:sz w:val="24"/>
          <w:szCs w:val="24"/>
        </w:rPr>
      </w:pPr>
      <w:r>
        <w:rPr>
          <w:sz w:val="24"/>
          <w:szCs w:val="24"/>
        </w:rPr>
        <w:t xml:space="preserve">日期：                                  </w:t>
      </w:r>
      <w:r/>
    </w:p>
    <w:p>
      <w:pPr>
        <w:pStyle w:val="777"/>
        <w:spacing w:line="360" w:lineRule="auto"/>
        <w:rPr>
          <w:rFonts w:hint="default" w:ascii="Times New Roman" w:hAnsi="Times New Roman" w:eastAsia="宋体" w:cs="Times New Roman"/>
          <w:b/>
          <w:bCs/>
          <w:sz w:val="24"/>
          <w:szCs w:val="24"/>
          <w:lang w:val="zh-CN" w:eastAsia="zh-CN"/>
        </w:rPr>
      </w:pPr>
      <w:r>
        <w:rPr>
          <w:rFonts w:hint="default" w:ascii="Times New Roman" w:hAnsi="Times New Roman" w:eastAsia="宋体" w:cs="Times New Roman"/>
          <w:b/>
          <w:bCs/>
          <w:sz w:val="24"/>
          <w:szCs w:val="24"/>
          <w:lang w:val="zh-CN" w:eastAsia="zh-CN"/>
        </w:rPr>
      </w:r>
      <w:r/>
    </w:p>
    <w:p>
      <w:pPr>
        <w:pStyle w:val="1036"/>
        <w:ind w:firstLine="0"/>
        <w:rPr>
          <w:rFonts w:ascii="Times New Roman"/>
          <w:b/>
          <w:sz w:val="24"/>
          <w:szCs w:val="24"/>
        </w:rPr>
      </w:pPr>
      <w:r>
        <w:rPr>
          <w:rFonts w:ascii="Times New Roman"/>
          <w:b/>
          <w:bCs/>
          <w:sz w:val="24"/>
          <w:szCs w:val="24"/>
          <w:lang w:val="zh-CN"/>
        </w:rPr>
        <w:br w:type="page" w:clear="all"/>
      </w:r>
      <w:r>
        <w:rPr>
          <w:rFonts w:ascii="Times New Roman"/>
          <w:b/>
          <w:sz w:val="24"/>
          <w:szCs w:val="24"/>
        </w:rPr>
        <w:t xml:space="preserve">格式</w:t>
      </w:r>
      <w:r>
        <w:rPr>
          <w:rFonts w:ascii="Times New Roman"/>
          <w:b/>
          <w:bCs/>
          <w:sz w:val="24"/>
          <w:szCs w:val="24"/>
        </w:rPr>
        <w:t xml:space="preserve">15、</w:t>
      </w:r>
      <w:r>
        <w:rPr>
          <w:rFonts w:ascii="Times New Roman"/>
          <w:b/>
          <w:sz w:val="24"/>
          <w:szCs w:val="24"/>
        </w:rPr>
        <w:t xml:space="preserve">投标人与其他单位存在控股、管理关系情况表</w:t>
      </w:r>
      <w:r/>
    </w:p>
    <w:p>
      <w:pPr>
        <w:jc w:val="center"/>
        <w:spacing w:line="360" w:lineRule="auto"/>
        <w:rPr>
          <w:b/>
          <w:sz w:val="24"/>
          <w:szCs w:val="24"/>
        </w:rPr>
      </w:pPr>
      <w:r>
        <w:rPr>
          <w:b/>
          <w:sz w:val="24"/>
          <w:szCs w:val="24"/>
        </w:rPr>
      </w:r>
      <w:r/>
    </w:p>
    <w:p>
      <w:pPr>
        <w:jc w:val="center"/>
        <w:spacing w:line="360" w:lineRule="auto"/>
        <w:rPr>
          <w:b/>
          <w:sz w:val="24"/>
          <w:szCs w:val="24"/>
        </w:rPr>
      </w:pPr>
      <w:r>
        <w:rPr>
          <w:b/>
          <w:sz w:val="24"/>
          <w:szCs w:val="24"/>
        </w:rPr>
        <w:t xml:space="preserve">投标人与其他单位存在控股、管理关系情况表</w:t>
      </w:r>
      <w:r/>
    </w:p>
    <w:p>
      <w:pPr>
        <w:pStyle w:val="1036"/>
        <w:ind w:firstLine="420"/>
        <w:rPr>
          <w:rFonts w:ascii="Times New Roman"/>
        </w:rPr>
      </w:pPr>
      <w:r>
        <w:rPr>
          <w:rFonts w:ascii="Times New Roman"/>
        </w:rPr>
      </w:r>
      <w:r/>
    </w:p>
    <w:tbl>
      <w:tblPr>
        <w:tblStyle w:val="76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3"/>
        <w:gridCol w:w="4379"/>
      </w:tblGrid>
      <w:tr>
        <w:trPr>
          <w:jc w:val="center"/>
          <w:trHeight w:val="637"/>
        </w:trPr>
        <w:tc>
          <w:tcPr>
            <w:tcW w:w="2431" w:type="pct"/>
            <w:vAlign w:val="center"/>
            <w:textDirection w:val="lrTb"/>
            <w:noWrap w:val="false"/>
          </w:tcPr>
          <w:p>
            <w:pPr>
              <w:ind w:left="0" w:right="0"/>
              <w:jc w:val="center"/>
              <w:keepLines w:val="0"/>
              <w:keepNext w:val="0"/>
              <w:spacing w:before="0" w:beforeAutospacing="0" w:after="0" w:afterAutospacing="0"/>
              <w:widowControl/>
              <w:rPr>
                <w:b/>
                <w:sz w:val="24"/>
                <w:szCs w:val="24"/>
                <w:shd w:val="clear" w:color="auto" w:fill="ffffff"/>
              </w:rPr>
              <w:suppressLineNumbers w:val="0"/>
            </w:pPr>
            <w:r>
              <w:rPr>
                <w:b/>
                <w:sz w:val="24"/>
                <w:szCs w:val="24"/>
                <w:shd w:val="clear" w:color="auto" w:fill="ffffff"/>
              </w:rPr>
              <w:t xml:space="preserve">与投标人存在控股、管理关系的单位名称</w:t>
            </w:r>
            <w:r/>
          </w:p>
        </w:tc>
        <w:tc>
          <w:tcPr>
            <w:tcW w:w="2569" w:type="pct"/>
            <w:vAlign w:val="center"/>
            <w:textDirection w:val="lrTb"/>
            <w:noWrap w:val="false"/>
          </w:tcPr>
          <w:p>
            <w:pPr>
              <w:ind w:left="0" w:right="0"/>
              <w:jc w:val="center"/>
              <w:keepLines w:val="0"/>
              <w:keepNext w:val="0"/>
              <w:spacing w:before="0" w:beforeAutospacing="0" w:after="0" w:afterAutospacing="0"/>
              <w:widowControl/>
              <w:rPr>
                <w:b/>
                <w:sz w:val="24"/>
                <w:szCs w:val="24"/>
                <w:shd w:val="clear" w:color="auto" w:fill="ffffff"/>
              </w:rPr>
              <w:suppressLineNumbers w:val="0"/>
            </w:pPr>
            <w:r>
              <w:rPr>
                <w:b/>
                <w:sz w:val="24"/>
                <w:szCs w:val="24"/>
                <w:shd w:val="clear" w:color="auto" w:fill="ffffff"/>
              </w:rPr>
              <w:t xml:space="preserve">控股、管理关系情况说明</w:t>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r>
        <w:trPr>
          <w:jc w:val="center"/>
          <w:trHeight w:val="850"/>
        </w:trPr>
        <w:tc>
          <w:tcPr>
            <w:tcW w:w="2431"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c>
          <w:tcPr>
            <w:tcW w:w="2569" w:type="pct"/>
            <w:vAlign w:val="center"/>
            <w:textDirection w:val="lrTb"/>
            <w:noWrap w:val="false"/>
          </w:tcPr>
          <w:p>
            <w:pPr>
              <w:ind w:left="0" w:right="0"/>
              <w:jc w:val="center"/>
              <w:keepLines w:val="0"/>
              <w:keepNext w:val="0"/>
              <w:spacing w:before="0" w:beforeAutospacing="0" w:after="0" w:afterAutospacing="0"/>
              <w:widowControl/>
              <w:rPr>
                <w:b/>
                <w:szCs w:val="21"/>
                <w:shd w:val="clear" w:color="auto" w:fill="ffffff"/>
              </w:rPr>
              <w:suppressLineNumbers w:val="0"/>
            </w:pPr>
            <w:r>
              <w:rPr>
                <w:b/>
                <w:szCs w:val="21"/>
                <w:shd w:val="clear" w:color="auto" w:fill="ffffff"/>
              </w:rPr>
            </w:r>
            <w:r/>
          </w:p>
        </w:tc>
      </w:tr>
    </w:tbl>
    <w:p>
      <w:pPr>
        <w:pStyle w:val="1036"/>
        <w:ind w:firstLine="679"/>
        <w:rPr>
          <w:rFonts w:ascii="Times New Roman"/>
          <w:b/>
          <w:sz w:val="24"/>
          <w:szCs w:val="24"/>
          <w:shd w:val="clear" w:color="auto" w:fill="ffffff"/>
        </w:rPr>
      </w:pPr>
      <w:r>
        <w:rPr>
          <w:rFonts w:ascii="Times New Roman"/>
          <w:b/>
          <w:sz w:val="24"/>
          <w:szCs w:val="24"/>
          <w:shd w:val="clear" w:color="auto" w:fill="ffffff"/>
        </w:rPr>
        <w:t xml:space="preserve">注：投标人须如实填写所有与之有控股、管理关系的情况。</w:t>
      </w:r>
      <w:r/>
    </w:p>
    <w:p>
      <w:r/>
      <w:r/>
    </w:p>
    <w:p>
      <w:pPr>
        <w:pStyle w:val="1036"/>
        <w:ind w:firstLine="420"/>
        <w:rPr>
          <w:rFonts w:ascii="Times New Roman"/>
        </w:rPr>
      </w:pPr>
      <w:r>
        <w:rPr>
          <w:rFonts w:ascii="Times New Roman"/>
        </w:rPr>
      </w:r>
      <w:r/>
    </w:p>
    <w:p>
      <w:r/>
      <w:r/>
    </w:p>
    <w:p>
      <w:pPr>
        <w:pStyle w:val="1068"/>
        <w:ind w:firstLine="480"/>
        <w:spacing w:line="360" w:lineRule="auto"/>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 xml:space="preserve">投标人：（盖章）</w:t>
      </w:r>
      <w:r/>
    </w:p>
    <w:p>
      <w:pPr>
        <w:pStyle w:val="1068"/>
        <w:ind w:firstLine="480"/>
        <w:spacing w:line="360" w:lineRule="auto"/>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 xml:space="preserve">法定代表人或代理人：（签字或盖章）</w:t>
      </w:r>
      <w:r/>
    </w:p>
    <w:p>
      <w:pPr>
        <w:pStyle w:val="1068"/>
        <w:ind w:firstLine="480"/>
        <w:spacing w:line="360" w:lineRule="auto"/>
        <w:rPr>
          <w:rFonts w:hint="default" w:ascii="Times New Roman" w:hAnsi="Times New Roman" w:eastAsia="宋体" w:cs="Times New Roman"/>
          <w:sz w:val="24"/>
          <w:lang w:eastAsia="zh-CN"/>
        </w:rPr>
      </w:pPr>
      <w:r>
        <w:rPr>
          <w:rFonts w:hint="default" w:ascii="Times New Roman" w:hAnsi="Times New Roman" w:eastAsia="宋体" w:cs="Times New Roman"/>
          <w:sz w:val="24"/>
          <w:lang w:eastAsia="zh-CN"/>
        </w:rPr>
        <w:t xml:space="preserve">日期：    年    月    日</w:t>
      </w:r>
      <w:r/>
    </w:p>
    <w:p>
      <w:pPr>
        <w:pStyle w:val="1036"/>
        <w:ind w:firstLine="420"/>
        <w:rPr>
          <w:rFonts w:ascii="Times New Roman"/>
        </w:rPr>
      </w:pPr>
      <w:r>
        <w:rPr>
          <w:rFonts w:ascii="Times New Roman"/>
        </w:rPr>
      </w:r>
      <w:r/>
    </w:p>
    <w:p>
      <w:pPr>
        <w:pStyle w:val="774"/>
        <w:spacing w:line="360" w:lineRule="auto"/>
        <w:rPr>
          <w:b/>
          <w:bCs/>
          <w:sz w:val="24"/>
          <w:szCs w:val="24"/>
        </w:rPr>
      </w:pPr>
      <w:r>
        <w:rPr>
          <w:b/>
          <w:bCs/>
          <w:szCs w:val="24"/>
        </w:rPr>
        <w:br w:type="page" w:clear="all"/>
      </w:r>
      <w:r>
        <w:rPr>
          <w:b/>
          <w:sz w:val="24"/>
          <w:szCs w:val="24"/>
        </w:rPr>
        <w:t xml:space="preserve">格式</w:t>
      </w:r>
      <w:r>
        <w:rPr>
          <w:b/>
          <w:bCs/>
          <w:sz w:val="24"/>
          <w:szCs w:val="24"/>
        </w:rPr>
        <w:t xml:space="preserve">16、开票信息</w:t>
      </w:r>
      <w:r/>
    </w:p>
    <w:p>
      <w:pPr>
        <w:pStyle w:val="774"/>
        <w:rPr>
          <w:b/>
          <w:bCs/>
          <w:sz w:val="24"/>
          <w:szCs w:val="24"/>
        </w:rPr>
      </w:pPr>
      <w:r>
        <w:rPr>
          <w:b/>
          <w:bCs/>
          <w:sz w:val="24"/>
          <w:szCs w:val="24"/>
        </w:rPr>
      </w:r>
      <w:r/>
    </w:p>
    <w:p>
      <w:pPr>
        <w:jc w:val="center"/>
        <w:spacing w:line="360" w:lineRule="auto"/>
        <w:rPr>
          <w:b/>
          <w:bCs/>
          <w:sz w:val="24"/>
          <w:szCs w:val="24"/>
        </w:rPr>
      </w:pPr>
      <w:r>
        <w:rPr>
          <w:b/>
          <w:bCs/>
          <w:sz w:val="24"/>
          <w:szCs w:val="24"/>
        </w:rPr>
        <w:t xml:space="preserve">开票信息</w:t>
      </w:r>
      <w:r/>
    </w:p>
    <w:tbl>
      <w:tblPr>
        <w:tblStyle w:val="76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供应商名称</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地址</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电话</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税号</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开户行</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r>
        <w:trPr>
          <w:jc w:val="center"/>
        </w:trPr>
        <w:tc>
          <w:tcPr>
            <w:tcW w:w="2288"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t xml:space="preserve">银行账号</w:t>
            </w:r>
            <w:r/>
          </w:p>
        </w:tc>
        <w:tc>
          <w:tcPr>
            <w:tcW w:w="3990" w:type="dxa"/>
            <w:textDirection w:val="lrTb"/>
            <w:noWrap w:val="false"/>
          </w:tcPr>
          <w:p>
            <w:pPr>
              <w:ind w:left="0" w:right="0"/>
              <w:keepLines w:val="0"/>
              <w:keepNext w:val="0"/>
              <w:spacing w:before="0" w:beforeAutospacing="0" w:after="0" w:afterAutospacing="0" w:line="360" w:lineRule="auto"/>
              <w:rPr>
                <w:sz w:val="24"/>
                <w:szCs w:val="24"/>
              </w:rPr>
              <w:suppressLineNumbers w:val="0"/>
            </w:pPr>
            <w:r>
              <w:rPr>
                <w:sz w:val="24"/>
                <w:szCs w:val="24"/>
              </w:rPr>
            </w:r>
            <w:r/>
          </w:p>
        </w:tc>
      </w:tr>
    </w:tbl>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t xml:space="preserve">注：（1）供应商中标（成交）后应依照采购文件的规定缴纳采购代理服务费，代理机构依法开具相应发票。</w:t>
      </w:r>
      <w:r/>
    </w:p>
    <w:p>
      <w:pPr>
        <w:ind w:firstLine="480"/>
        <w:spacing w:line="360" w:lineRule="auto"/>
        <w:rPr>
          <w:sz w:val="24"/>
          <w:szCs w:val="24"/>
        </w:rPr>
      </w:pPr>
      <w:r>
        <w:rPr>
          <w:sz w:val="24"/>
          <w:szCs w:val="24"/>
        </w:rPr>
        <w:t xml:space="preserve">（2）如供应商为增值税一般纳税人的，须按上表要求提供开票信息，并制作在投标（响应）文件中。中标（成交）后，代理机构将按所提供的开票信息就代理服务费开具增值税专用发票，否则，将直接开具增值税普通发票。</w:t>
      </w:r>
      <w:r/>
    </w:p>
    <w:p>
      <w:pPr>
        <w:ind w:firstLine="480"/>
        <w:spacing w:line="360" w:lineRule="auto"/>
        <w:rPr>
          <w:sz w:val="24"/>
          <w:szCs w:val="24"/>
        </w:rPr>
      </w:pPr>
      <w:r>
        <w:rPr>
          <w:sz w:val="24"/>
          <w:szCs w:val="24"/>
        </w:rPr>
        <w:t xml:space="preserve">（3）采购代理机构仅对开票信息内容填写完整的中标（成交）供应商开具增值税专用发票。供应商须对所提供材料信息的真实性、准确性和完整性负责，因材料信息内容的差错缺漏等而导致的后果，由供应商自行承担。</w:t>
      </w:r>
      <w:r/>
    </w:p>
    <w:p>
      <w:pPr>
        <w:ind w:firstLine="480"/>
        <w:spacing w:line="360" w:lineRule="auto"/>
        <w:rPr>
          <w:sz w:val="24"/>
          <w:szCs w:val="24"/>
        </w:rPr>
      </w:pPr>
      <w:r>
        <w:rPr>
          <w:sz w:val="24"/>
          <w:szCs w:val="24"/>
        </w:rPr>
        <w:t xml:space="preserve">（4）中标（成交）供应商凭已缴纳代理服务费的银行回单至代理机构领取合同。</w:t>
      </w:r>
      <w:r/>
    </w:p>
    <w:p>
      <w:pPr>
        <w:pStyle w:val="777"/>
        <w:spacing w:line="360" w:lineRule="auto"/>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p>
      <w:pPr>
        <w:pStyle w:val="1004"/>
        <w:ind w:firstLine="0"/>
        <w:jc w:val="center"/>
        <w:spacing w:line="520" w:lineRule="exact"/>
        <w:rPr>
          <w:rFonts w:ascii="Times New Roman" w:hAnsi="Times New Roman"/>
          <w:b/>
          <w:bCs/>
          <w:sz w:val="32"/>
          <w:szCs w:val="32"/>
        </w:rPr>
      </w:pPr>
      <w:r>
        <w:rPr>
          <w:rFonts w:ascii="Times New Roman" w:hAnsi="Times New Roman"/>
        </w:rPr>
        <w:br w:type="page" w:clear="all"/>
      </w:r>
      <w:r>
        <w:rPr>
          <w:rFonts w:ascii="Times New Roman" w:hAnsi="Times New Roman"/>
          <w:b/>
          <w:bCs/>
          <w:sz w:val="32"/>
          <w:szCs w:val="32"/>
        </w:rPr>
        <w:t xml:space="preserve">第四章  招标书</w:t>
      </w:r>
      <w:r/>
    </w:p>
    <w:p>
      <w:pPr>
        <w:ind w:firstLine="420"/>
        <w:spacing w:line="360" w:lineRule="auto"/>
        <w:rPr>
          <w:sz w:val="24"/>
          <w:szCs w:val="24"/>
        </w:rPr>
      </w:pPr>
      <w:r>
        <w:rPr>
          <w:sz w:val="24"/>
          <w:szCs w:val="24"/>
        </w:rPr>
      </w:r>
      <w:r/>
    </w:p>
    <w:p>
      <w:pPr>
        <w:ind w:firstLine="420"/>
        <w:spacing w:line="360" w:lineRule="auto"/>
        <w:rPr>
          <w:sz w:val="24"/>
          <w:szCs w:val="24"/>
        </w:rPr>
      </w:pPr>
      <w:r>
        <w:rPr>
          <w:sz w:val="24"/>
          <w:szCs w:val="24"/>
        </w:rPr>
        <w:t xml:space="preserve">苏州中海工程项目管理有限公司受苏州市吴中区中心城区建设管理中心的委托，就其2025-2026中心城区绿化养护项目进行国内公开招标, 欢迎有资格的供应商前来参加投标。</w:t>
      </w:r>
      <w:r/>
    </w:p>
    <w:p>
      <w:pPr>
        <w:pStyle w:val="804"/>
        <w:ind w:left="480" w:firstLine="0"/>
        <w:spacing w:line="360" w:lineRule="auto"/>
        <w:rPr>
          <w:rFonts w:ascii="Times New Roman" w:hAnsi="Times New Roman" w:cs="Times New Roman"/>
          <w:b/>
          <w:bCs/>
          <w:szCs w:val="24"/>
          <w:lang w:eastAsia="zh-CN"/>
        </w:rPr>
      </w:pPr>
      <w:r>
        <w:rPr>
          <w:rFonts w:ascii="Times New Roman" w:hAnsi="Times New Roman" w:cs="Times New Roman"/>
          <w:b/>
          <w:bCs/>
          <w:szCs w:val="24"/>
          <w:lang w:eastAsia="zh-CN"/>
        </w:rPr>
        <w:t xml:space="preserve">一、项目编号：JSZC-320506-ZHXM-G2024-0007</w:t>
      </w:r>
      <w:r/>
    </w:p>
    <w:p>
      <w:pPr>
        <w:pStyle w:val="804"/>
        <w:ind w:left="480" w:firstLine="0"/>
        <w:spacing w:line="360" w:lineRule="auto"/>
        <w:rPr>
          <w:rFonts w:ascii="Times New Roman" w:hAnsi="Times New Roman" w:cs="Times New Roman"/>
          <w:b/>
          <w:bCs/>
          <w:szCs w:val="24"/>
          <w:lang w:eastAsia="zh-CN"/>
        </w:rPr>
      </w:pPr>
      <w:r>
        <w:rPr>
          <w:rFonts w:ascii="Times New Roman" w:hAnsi="Times New Roman" w:cs="Times New Roman"/>
          <w:b/>
          <w:bCs/>
          <w:szCs w:val="24"/>
          <w:lang w:eastAsia="zh-CN"/>
        </w:rPr>
        <w:t xml:space="preserve">二、项目名称：2025-2026中心城区绿化养护项目</w:t>
      </w:r>
      <w:r/>
    </w:p>
    <w:p>
      <w:pPr>
        <w:pStyle w:val="804"/>
        <w:ind w:left="480" w:firstLine="0"/>
        <w:spacing w:line="360" w:lineRule="auto"/>
        <w:rPr>
          <w:rFonts w:ascii="Times New Roman" w:hAnsi="Times New Roman" w:cs="Times New Roman"/>
          <w:b/>
          <w:bCs/>
          <w:szCs w:val="24"/>
          <w:lang w:eastAsia="zh-CN"/>
        </w:rPr>
      </w:pPr>
      <w:r>
        <w:rPr>
          <w:rFonts w:ascii="Times New Roman" w:hAnsi="Times New Roman" w:cs="Times New Roman"/>
          <w:b/>
          <w:bCs/>
          <w:szCs w:val="24"/>
          <w:lang w:eastAsia="zh-CN"/>
        </w:rPr>
        <w:t xml:space="preserve">三、项目预算：</w:t>
      </w:r>
      <w:r>
        <w:rPr>
          <w:rFonts w:ascii="Times New Roman" w:hAnsi="Times New Roman" w:cs="Times New Roman"/>
          <w:b/>
          <w:bCs/>
          <w:lang w:eastAsia="zh-CN"/>
        </w:rPr>
        <w:t xml:space="preserve">人民币</w:t>
      </w:r>
      <w:r>
        <w:rPr>
          <w:rFonts w:hint="eastAsia" w:ascii="Times New Roman" w:hAnsi="Times New Roman" w:cs="Times New Roman"/>
          <w:b/>
          <w:bCs/>
          <w:lang w:eastAsia="zh-CN"/>
        </w:rPr>
        <w:t xml:space="preserve">叁仟贰佰玖拾万零肆仟伍佰捌拾肆元柒角叁分</w:t>
      </w:r>
      <w:r>
        <w:rPr>
          <w:rFonts w:ascii="Times New Roman" w:hAnsi="Times New Roman" w:cs="Times New Roman"/>
          <w:b/>
          <w:bCs/>
          <w:lang w:eastAsia="zh-CN"/>
        </w:rPr>
        <w:t xml:space="preserve">（￥</w:t>
      </w:r>
      <w:r>
        <w:rPr>
          <w:rFonts w:hint="eastAsia" w:ascii="Times New Roman" w:hAnsi="Times New Roman" w:cs="Times New Roman"/>
          <w:b/>
          <w:bCs/>
          <w:lang w:val="en-US" w:eastAsia="zh-CN"/>
        </w:rPr>
        <w:t xml:space="preserve">32904584.73元</w:t>
      </w:r>
      <w:r>
        <w:rPr>
          <w:rFonts w:ascii="Times New Roman" w:hAnsi="Times New Roman" w:cs="Times New Roman"/>
          <w:b/>
          <w:bCs/>
          <w:lang w:eastAsia="zh-CN"/>
        </w:rPr>
        <w:t xml:space="preserve">）。</w:t>
      </w:r>
      <w:r/>
    </w:p>
    <w:tbl>
      <w:tblPr>
        <w:tblStyle w:val="767"/>
        <w:tblW w:w="5000" w:type="pct"/>
        <w:jc w:val="center"/>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033"/>
        <w:gridCol w:w="3550"/>
        <w:gridCol w:w="1548"/>
        <w:gridCol w:w="2391"/>
      </w:tblGrid>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标段号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标段范围</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养护期</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firstLine="240"/>
              <w:jc w:val="center"/>
              <w:keepLines w:val="0"/>
              <w:keepNext w:val="0"/>
              <w:spacing w:before="0" w:beforeAutospacing="0" w:after="0" w:afterAutospacing="0" w:line="360" w:lineRule="auto"/>
              <w:widowControl/>
              <w:rPr>
                <w:sz w:val="24"/>
                <w:szCs w:val="24"/>
              </w:rPr>
              <w:suppressLineNumbers w:val="0"/>
            </w:pPr>
            <w:r>
              <w:rPr>
                <w:sz w:val="24"/>
                <w:szCs w:val="24"/>
              </w:rPr>
              <w:t xml:space="preserve">预算金额（元）</w:t>
            </w:r>
            <w:r/>
          </w:p>
        </w:tc>
      </w:tr>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一标段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长桥街道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szCs w:val="24"/>
                <w:lang w:val="en-US" w:eastAsia="zh-CN"/>
              </w:rPr>
              <w:suppressLineNumbers w:val="0"/>
            </w:pPr>
            <w:r>
              <w:rPr>
                <w:rFonts w:hint="eastAsia"/>
                <w:sz w:val="24"/>
                <w:szCs w:val="24"/>
                <w:lang w:val="en-US" w:eastAsia="zh-CN"/>
              </w:rPr>
              <w:t xml:space="preserve">13618255.38</w:t>
            </w:r>
            <w:r/>
          </w:p>
        </w:tc>
      </w:tr>
      <w:tr>
        <w:trPr>
          <w:jc w:val="center"/>
          <w:trHeight w:val="639"/>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06"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二标段</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082"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城南街道</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8" w:type="pct"/>
            <w:vAlign w:val="center"/>
            <w:textDirection w:val="lrTb"/>
            <w:noWrap w:val="false"/>
          </w:tcPr>
          <w:p>
            <w:pPr>
              <w:ind w:left="0" w:right="0"/>
              <w:jc w:val="center"/>
              <w:keepLines w:val="0"/>
              <w:keepNext w:val="0"/>
              <w:spacing w:before="0" w:beforeAutospacing="0" w:after="0" w:afterAutospacing="0" w:line="360" w:lineRule="auto"/>
              <w:widowControl/>
              <w:rPr>
                <w:sz w:val="24"/>
                <w:szCs w:val="24"/>
              </w:rPr>
              <w:suppressLineNumbers w:val="0"/>
            </w:pPr>
            <w:r>
              <w:rPr>
                <w:sz w:val="24"/>
                <w:szCs w:val="24"/>
              </w:rPr>
              <w:t xml:space="preserve">二年</w:t>
            </w:r>
            <w:r/>
          </w:p>
        </w:tc>
        <w:tc>
          <w:tcPr>
            <w:tcBorders>
              <w:top w:val="single" w:color="000000" w:sz="6" w:space="0"/>
              <w:left w:val="single" w:color="000000" w:sz="6" w:space="0"/>
              <w:bottom w:val="single" w:color="000000" w:sz="6" w:space="0"/>
              <w:right w:val="single" w:color="auto" w:sz="4" w:space="0"/>
            </w:tcBorders>
            <w:tcMar>
              <w:left w:w="108" w:type="dxa"/>
              <w:top w:w="0" w:type="dxa"/>
              <w:right w:w="108" w:type="dxa"/>
              <w:bottom w:w="0" w:type="dxa"/>
            </w:tcMar>
            <w:tcW w:w="1402"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sz w:val="24"/>
                <w:szCs w:val="24"/>
                <w:lang w:val="en-US" w:eastAsia="zh-CN"/>
              </w:rPr>
              <w:suppressLineNumbers w:val="0"/>
            </w:pPr>
            <w:r>
              <w:rPr>
                <w:rFonts w:hint="eastAsia"/>
                <w:sz w:val="24"/>
                <w:szCs w:val="24"/>
                <w:lang w:val="en-US" w:eastAsia="zh-CN"/>
              </w:rPr>
              <w:t xml:space="preserve">19286329.35</w:t>
            </w:r>
            <w:r/>
          </w:p>
        </w:tc>
      </w:tr>
    </w:tbl>
    <w:p>
      <w:pPr>
        <w:numPr>
          <w:ilvl w:val="0"/>
          <w:numId w:val="9"/>
        </w:numPr>
        <w:ind w:firstLine="482"/>
        <w:spacing w:line="360" w:lineRule="auto"/>
        <w:rPr>
          <w:b/>
          <w:bCs/>
          <w:sz w:val="24"/>
          <w:szCs w:val="24"/>
        </w:rPr>
      </w:pPr>
      <w:r>
        <w:rPr>
          <w:b/>
          <w:bCs/>
          <w:sz w:val="24"/>
          <w:szCs w:val="24"/>
        </w:rPr>
        <w:t xml:space="preserve">合同履行期限：</w:t>
      </w:r>
      <w:r>
        <w:rPr>
          <w:rFonts w:hint="eastAsia"/>
          <w:b/>
          <w:bCs/>
          <w:sz w:val="24"/>
          <w:szCs w:val="24"/>
          <w:lang w:val="en-US" w:eastAsia="zh-CN"/>
        </w:rPr>
        <w:t xml:space="preserve">24个月(具体服务期限根据项目情况以合同签订时间为准)</w:t>
      </w:r>
      <w:r/>
    </w:p>
    <w:p>
      <w:pPr>
        <w:numPr>
          <w:ilvl w:val="0"/>
          <w:numId w:val="9"/>
        </w:numPr>
        <w:ind w:firstLine="482"/>
        <w:spacing w:line="360" w:lineRule="auto"/>
        <w:rPr>
          <w:b/>
          <w:bCs/>
          <w:sz w:val="24"/>
          <w:szCs w:val="24"/>
        </w:rPr>
      </w:pPr>
      <w:r>
        <w:rPr>
          <w:b/>
          <w:bCs/>
          <w:sz w:val="24"/>
          <w:szCs w:val="24"/>
        </w:rPr>
        <w:t xml:space="preserve">招标内容：</w:t>
      </w:r>
      <w:r/>
    </w:p>
    <w:p>
      <w:pPr>
        <w:ind w:firstLine="480"/>
        <w:jc w:val="left"/>
        <w:spacing w:line="360" w:lineRule="auto"/>
        <w:widowControl/>
        <w:rPr>
          <w:sz w:val="24"/>
        </w:rPr>
      </w:pPr>
      <w:r>
        <w:rPr>
          <w:sz w:val="24"/>
        </w:rPr>
        <w:t xml:space="preserve">注：标段划分及中标原则：</w:t>
      </w:r>
      <w:r/>
    </w:p>
    <w:p>
      <w:pPr>
        <w:ind w:firstLine="480"/>
        <w:jc w:val="left"/>
        <w:spacing w:line="360" w:lineRule="auto"/>
        <w:widowControl/>
        <w:rPr>
          <w:sz w:val="24"/>
        </w:rPr>
      </w:pPr>
      <w:r>
        <w:rPr>
          <w:sz w:val="24"/>
        </w:rPr>
        <w:t xml:space="preserve">5.1本次2025-2026中心城区绿化养护招标项目共分2个标段。</w:t>
      </w:r>
      <w:r/>
    </w:p>
    <w:p>
      <w:pPr>
        <w:ind w:firstLine="480"/>
        <w:jc w:val="left"/>
        <w:spacing w:line="360" w:lineRule="auto"/>
        <w:widowControl/>
        <w:rPr>
          <w:sz w:val="24"/>
        </w:rPr>
      </w:pPr>
      <w:r>
        <w:rPr>
          <w:sz w:val="24"/>
        </w:rPr>
        <w:t xml:space="preserve">5.2</w:t>
      </w:r>
      <w:r>
        <w:rPr>
          <w:sz w:val="24"/>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w:t>
      </w:r>
      <w:r>
        <w:rPr>
          <w:sz w:val="24"/>
        </w:rPr>
        <w:t xml:space="preserve">投标单位</w:t>
      </w:r>
      <w:r>
        <w:rPr>
          <w:sz w:val="24"/>
          <w:lang w:val="zh-CN"/>
        </w:rPr>
        <w:t xml:space="preserve">，不再具有该标段的得标权，不应计入该标段的实质性响应</w:t>
      </w:r>
      <w:r>
        <w:rPr>
          <w:sz w:val="24"/>
        </w:rPr>
        <w:t xml:space="preserve">投标单位</w:t>
      </w:r>
      <w:r>
        <w:rPr>
          <w:sz w:val="24"/>
          <w:lang w:val="zh-CN"/>
        </w:rPr>
        <w:t xml:space="preserve">数量内。本次招标项目共</w:t>
      </w:r>
      <w:r>
        <w:rPr>
          <w:sz w:val="24"/>
        </w:rPr>
        <w:t xml:space="preserve">2</w:t>
      </w:r>
      <w:r>
        <w:rPr>
          <w:sz w:val="24"/>
          <w:lang w:val="zh-CN"/>
        </w:rPr>
        <w:t xml:space="preserve">个标段，允许一个投标单位报名多个标段，但一个投标单位最多只能就其中一个标段中标，标段开标顺序按标段号顺序确定。每个标段中标单位为一名。</w:t>
      </w:r>
      <w:r/>
    </w:p>
    <w:p>
      <w:pPr>
        <w:rPr>
          <w:bCs/>
          <w:sz w:val="24"/>
        </w:rPr>
      </w:pPr>
      <w:r>
        <w:rPr>
          <w:bCs/>
          <w:sz w:val="24"/>
        </w:rPr>
        <w:br w:type="page" w:clear="all"/>
      </w:r>
      <w:r/>
    </w:p>
    <w:p>
      <w:pPr>
        <w:ind w:left="420"/>
        <w:spacing w:line="360" w:lineRule="auto"/>
        <w:rPr>
          <w:bCs/>
          <w:sz w:val="24"/>
        </w:rPr>
      </w:pPr>
      <w:r>
        <w:rPr>
          <w:bCs/>
          <w:sz w:val="24"/>
        </w:rPr>
        <w:t xml:space="preserve">5.3详细清单内容：</w:t>
      </w:r>
      <w:r/>
    </w:p>
    <w:tbl>
      <w:tblPr>
        <w:tblStyle w:val="767"/>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8"/>
        <w:gridCol w:w="2008"/>
        <w:gridCol w:w="3000"/>
        <w:gridCol w:w="682"/>
        <w:gridCol w:w="1118"/>
        <w:gridCol w:w="1073"/>
      </w:tblGrid>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序号</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项目名称</w:t>
            </w:r>
            <w:r/>
          </w:p>
        </w:tc>
        <w:tc>
          <w:tcPr>
            <w:shd w:val="clear" w:color="auto" w:fill="auto"/>
            <w:tcW w:w="30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养护内容</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计量单位</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工程量</w:t>
            </w:r>
            <w:r/>
          </w:p>
        </w:tc>
        <w:tc>
          <w:tcPr>
            <w:shd w:val="clear" w:color="auto" w:fill="auto"/>
            <w:tcW w:w="107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Times New Roman" w:hAnsi="Times New Roman"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综合单价</w:t>
            </w:r>
            <w:r>
              <w:rPr>
                <w:rFonts w:hint="default" w:ascii="Times New Roman" w:hAnsi="Times New Roman" w:eastAsia="宋体" w:cs="Times New Roman"/>
                <w:b/>
                <w:bCs/>
                <w:i w:val="0"/>
                <w:iCs w:val="0"/>
                <w:color w:val="000000"/>
                <w:sz w:val="21"/>
                <w:szCs w:val="21"/>
                <w:u w:val="none"/>
                <w:lang w:val="en-US" w:eastAsia="zh-CN" w:bidi="ar"/>
              </w:rPr>
              <w:t xml:space="preserve">限价</w:t>
            </w:r>
            <w:r>
              <w:rPr>
                <w:rFonts w:hint="eastAsia" w:ascii="Times New Roman" w:hAnsi="Times New Roman" w:cs="Times New Roman"/>
                <w:b/>
                <w:bCs/>
                <w:i w:val="0"/>
                <w:iCs w:val="0"/>
                <w:color w:val="000000"/>
                <w:sz w:val="21"/>
                <w:szCs w:val="21"/>
                <w:u w:val="none"/>
                <w:lang w:val="en-US" w:eastAsia="zh-CN" w:bidi="ar"/>
              </w:rPr>
            </w:r>
            <w:r>
              <w:rPr>
                <w:rFonts w:hint="default" w:ascii="Times New Roman" w:hAnsi="Times New Roman" w:eastAsia="宋体" w:cs="Times New Roman"/>
                <w:b/>
                <w:bCs/>
                <w:i w:val="0"/>
                <w:iCs w:val="0"/>
                <w:color w:val="000000"/>
                <w:sz w:val="21"/>
                <w:szCs w:val="21"/>
                <w:u w:val="none"/>
                <w:lang w:val="en-US" w:eastAsia="zh-CN" w:bidi="ar"/>
              </w:rPr>
            </w:r>
          </w:p>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val="0"/>
                <w:i w:val="0"/>
                <w:color w:val="000000"/>
                <w:sz w:val="21"/>
                <w:szCs w:val="21"/>
                <w:u w:val="none"/>
                <w:lang w:val="en-US" w:eastAsia="zh-CN" w:bidi="ar"/>
              </w:rPr>
              <w:suppressLineNumbers w:val="0"/>
            </w:pPr>
            <w:r>
              <w:rPr>
                <w:rFonts w:hint="eastAsia" w:ascii="Times New Roman" w:hAnsi="Times New Roman" w:cs="Times New Roman"/>
                <w:b/>
                <w:bCs/>
                <w:i w:val="0"/>
                <w:iCs w:val="0"/>
                <w:color w:val="000000"/>
                <w:sz w:val="21"/>
                <w:szCs w:val="21"/>
                <w:u w:val="none"/>
                <w:lang w:val="en-US" w:eastAsia="zh-CN" w:bidi="ar"/>
              </w:rPr>
              <w:t xml:space="preserve">（元）</w:t>
            </w:r>
            <w:r/>
            <w:r/>
          </w:p>
        </w:tc>
      </w:tr>
      <w:tr>
        <w:trPr>
          <w:trHeight w:val="240"/>
        </w:trPr>
        <w:tc>
          <w:tcPr>
            <w:gridSpan w:val="6"/>
            <w:shd w:val="clear" w:color="auto" w:fill="auto"/>
            <w:tcW w:w="84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长桥街道</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一</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绿化养护</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邹家塔河驳岸新建工程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7330.00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宝带路综合改造提升工程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4595.00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吴中大道北侧景观绿化提升工程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12742.00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冬青路景观绿化工程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14842.00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吴中大道东段暨南湖路快速路绿化工程绿化一标项目（WZNH-LH01）</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27222.00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先锋路南侧景观绿化提升改造工程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6593.00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吴中区蠡墅小学东侧、南侧新建驳岸及配套景观绿化工程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东吴北路景观绿化提升改造工程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苏州市西环高架南延工程项目绿化景观工程LH02标段</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45831.00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吴中体育馆南侧拆迁地块景观绿化工程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10605.00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吴中大道东段暨南湖路快速路工程绿化工程（WZNH-LH02）</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10978.00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吴中区公共文化中心周边节点绿化整治提升工程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502.20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南湖路沿线及节点提升景观绿化工程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轨道交通3号线站点周边环境整治工程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5041.00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石湖西路拆围补绿工程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石湖景苑三期北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红蓼花园小游园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3351.20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宝带一村小游园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宝带别院小游园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石湖嘉苑</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国裕二期西侧绿地</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首开如苑小区周边景观绿化工程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7708.00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丹桂路口袋公园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名典咖啡口袋公园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冬青路西侧绿化</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宝带幼儿园北侧</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3146.00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吴中东路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1846.00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5861.00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宝带东路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8770.00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太湖西路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16023.00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太湖东路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14093.00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苏苑街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花卉巷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公园巷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苏苑街一弄</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湄长路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文曲路（西）</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2969.00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文曲路（东）</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1818.00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县前街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月苑街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先奇街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长兴街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2047.00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盘蠡路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8566.00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盘蠡巷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城西街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龙西路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龙西巷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水香街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东吴北路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2916.00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西塘北巷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西塘南巷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东苑路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月浜街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迎春路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6018.00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夏莲路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夏莲巷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丹桂路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冬青路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4402.00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区政府南门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3068.00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首开如院外围</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5880.00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友新路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52470.00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古观音堂</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新蠡路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21795.00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苏蠡路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11335.00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长蠡路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22414.00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长丰街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长运街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新门路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5447.00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旺吴路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4156.00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19301.00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先锋路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539.00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南厍路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绮川路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4243.00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马川路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澄湖路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6937.00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北蠡墅街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6174.00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南蠡墅街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3414.00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新家桥环卫站</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新家桥停车场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4187.00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金利花园北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新家桥站周边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9287.00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新塘景观桥南堍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旺家村东</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8872.00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长桥公墓甬道</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新南村巷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9953.00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万达广场西南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2953.00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绿化垃圾处理场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盛村拆迁地块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蠡谐大厦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2330.00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大宁集贸市场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2359.00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长桥公墓</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5644.00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蠡墅友好小学老校区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文体中心西</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323.00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长桥中学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6477.00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长桥中心小学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吴中区不动产服务中心</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北蠡墅街停车场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万达西侧停车场</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跃进河西路、新蠡路南延及周边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23094.00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行道树养护及修剪</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1、种类：现有行道树修剪和养护</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2、胸径：15cm-20cm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1971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112.55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行道树养护及修剪</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1、种类：现有行道树修剪和养护</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2、胸径：20cm-30cm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4454</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138.39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行道树养护及修剪</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1、种类：现有行道树修剪和养护</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2、胸径：30cm-40cm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179.88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行道树养护及修剪</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1、种类：现有行道树修剪和养护</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2、胸径：40cm以上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433</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245.85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二</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闲置地块养护</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盛村地块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37296.00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庄桥路南侧</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2664.00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东庙金浜东侧地块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44622.00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马家村地块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彭泾港地块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姚家墩地块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53280.00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旺家村地块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66600.00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先锋工业园地块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93240.00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新塘村地块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19980.00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新华印刷厂地块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19980.00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三</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乔木移植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胸径5-10cm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229.83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胸径10-15cm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552.94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1103.16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2746.81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5418.28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7531.96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9583.35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胸径40cm以上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9614.95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四</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灌木移植，地径6-8cm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119.07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灌木移植，地径8-10cm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176.32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灌木移植，地径10-15cm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504.10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752.37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1777.78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4236.88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灌木移植，地径30cm以上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5780.41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灌木移植，蓬径60-80cm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54.09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灌木移植，蓬径80-100cm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64.12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灌木移植，蓬径100-150cm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69.69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灌木移植，蓬径150-200cm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201.23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灌木移植，蓬径200-250cm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328.29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灌木移植，蓬径250-300cm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522.41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灌木移植，蓬径300-350cm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729.77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灌木移植，蓬径350-400cm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1110.53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灌木移植，蓬径400-450cm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1758.08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灌木移植，蓬径450-500cm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2801.75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灌木移植，蓬径500cm以上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4212.23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五</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补植苗木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1、种类：香樟</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2、胸径：15-16cm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1965.81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1、种类：法桐</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2、胸径：6.1-8cm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235.84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1、种类：银杏</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2、胸径：6.1-8cm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241.92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1、种类：榉树</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2、胸径：6.1-8cm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314.96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1、种类：广玉兰</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2、胸径：7.1-8cm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273.52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1、种类：无患子</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2、胸径：6.1-8cm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266.27 </w:t>
            </w:r>
            <w:r/>
          </w:p>
        </w:tc>
      </w:tr>
      <w:tr>
        <w:trPr>
          <w:trHeight w:val="14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1、种类:金桂</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2、地径:8cm,全冠,不偏冠,三级以上分枝,树形优美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3、冠丛高:251~300cm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4、蓬径:200~250cm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6、包含草绳绕杆、苗木支撑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738.38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1、种类:垂丝海棠</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2、地径:8-10cm,全冠种植,树形优美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670.98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1、种类:红花继木球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2、蓬径:100-120cm，不脱脚,球形优美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148.89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1、种类:红叶石楠球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2、蓬径:100-120cm，不脱脚,球形优美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113.42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1、种类:红叶石楠球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2、蓬径:120-150cm，不脱脚,球形优美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180.97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1、种类:小叶黄杨球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119.95 </w:t>
            </w:r>
            <w:r/>
          </w:p>
        </w:tc>
      </w:tr>
      <w:tr>
        <w:trPr>
          <w:trHeight w:val="9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1、种类:大叶黄杨球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78.23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1、种类：瓜子黄杨球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102.79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1、种类：金森女贞球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107.51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1、种类:金森女贞球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2、蓬径:120-150cm，不脱脚,球形优美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180.97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1、种类：海桐球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2、蓬径：100cm，不脱脚,球形优美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125.04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1、种类:海桐球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2、蓬径:120-150cm，不脱脚,球形优美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180.97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1、种类：无刺构骨球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126.43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1、种类：构骨球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130.45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1、种类：毛鹃球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141.85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1、种类：茶梅球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2、蓬径：80cm，不脱脚,球形优美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131.73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铺种草皮</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1、草皮种类：矮生百慕达，秋季追播黑麦草籽</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2、铺种方式：满铺</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24.97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铺种草皮</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1、草皮种类：麦冬</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2、单位面积株数：64株/m2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54.46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1、名称：毛鹃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118.92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1、名称：红叶石楠</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95.27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1、名称：金森女贞</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89.35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1、名称：瓜子黄杨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5、养护期：2年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89.35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1、名称：金边黄杨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2、高度：31-40cm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77.53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1、名称：红花继木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130.74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1、名称：八角金盘</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4、密度：36棵/m2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83.92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1、名称：龙柏</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4、密度：36棵/m2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65.71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1、名称：海桐</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82.26 </w:t>
            </w:r>
            <w:r/>
          </w:p>
        </w:tc>
      </w:tr>
      <w:tr>
        <w:trPr>
          <w:trHeight w:val="395"/>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1、名称：桃叶珊瑚</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89.35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1、名称：大叶黄杨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2、高度：31-40cm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77.53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整理绿化用地</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1、采用人工配合机械进行绿化场地土壤松翻、正负30cm内找平(人机配合比例)，含地被、草坪等清理、外运等</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3.84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营养土</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1、营养土配比：泥炭土：有机肥=1:1</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2、部位：地被灌木、色块及草坪</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3、厚度：3cm</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140.98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六</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草花</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栽植花卉</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1、花卉种类：四季草花（一年种4次）</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2、单位面积株数：64株/m2，不露土</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3195.00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748.81 </w:t>
            </w:r>
            <w:r/>
          </w:p>
        </w:tc>
      </w:tr>
      <w:tr>
        <w:trPr>
          <w:trHeight w:val="24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垫层</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1、火山石铺设，厚度4cm</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40.74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节日摆花</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1、节日摆花，摆花样式、内容满足建设单位要求，费用按次包干                   2.参照2023年区政府国庆摆花</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次</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50000.00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SA"/>
              </w:rPr>
              <w:suppressLineNumbers w:val="0"/>
            </w:pPr>
            <w:r>
              <w:rPr>
                <w:rFonts w:hint="default" w:ascii="Times New Roman" w:hAnsi="Times New Roman" w:cs="Times New Roman"/>
                <w:b/>
                <w:bCs/>
                <w:i w:val="0"/>
                <w:iCs w:val="0"/>
                <w:color w:val="000000"/>
                <w:sz w:val="21"/>
                <w:szCs w:val="21"/>
                <w:u w:val="none"/>
                <w:lang w:val="en-US" w:eastAsia="zh-CN" w:bidi="ar"/>
              </w:rPr>
              <w:t xml:space="preserve">七</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SA"/>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大型机械进出场费</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SA"/>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SA"/>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SA"/>
              </w:rPr>
            </w:r>
            <w:r/>
          </w:p>
        </w:tc>
        <w:tc>
          <w:tcPr>
            <w:shd w:val="clear" w:color="auto" w:fill="auto"/>
            <w:tcW w:w="107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lang w:val="en-US" w:eastAsia="zh-CN" w:bidi="ar-SA"/>
              </w:rPr>
              <w:suppressLineNumbers w:val="0"/>
            </w:pPr>
            <w:r>
              <w:rPr>
                <w:rFonts w:hint="default" w:ascii="Times New Roman" w:hAnsi="Times New Roman" w:eastAsia="宋体" w:cs="Times New Roman"/>
                <w:i w:val="0"/>
                <w:iCs w:val="0"/>
                <w:color w:val="000000"/>
                <w:sz w:val="21"/>
                <w:szCs w:val="21"/>
                <w:u w:val="none"/>
                <w:lang w:val="en-US" w:eastAsia="zh-CN" w:bidi="ar-SA"/>
              </w:rPr>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default" w:ascii="Times New Roman" w:hAnsi="Times New Roman" w:cs="Times New Roman"/>
                <w:i w:val="0"/>
                <w:iCs w:val="0"/>
                <w:color w:val="000000"/>
                <w:sz w:val="21"/>
                <w:szCs w:val="21"/>
                <w:highlight w:val="none"/>
                <w:u w:val="none"/>
                <w:lang w:val="en-US" w:eastAsia="zh-CN" w:bidi="ar"/>
              </w:rPr>
              <w:t xml:space="preserve">181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大型机械进出场费</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SA"/>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台次</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1.00 </w:t>
            </w:r>
            <w:r/>
          </w:p>
        </w:tc>
        <w:tc>
          <w:tcPr>
            <w:shd w:val="clear" w:color="auto" w:fill="auto"/>
            <w:tcW w:w="107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highlight w:val="none"/>
                <w:u w:val="none"/>
                <w:lang w:val="en-US" w:eastAsia="zh-CN" w:bidi="ar"/>
              </w:rPr>
              <w:suppressLineNumbers w:val="0"/>
            </w:pPr>
            <w:r>
              <w:rPr>
                <w:rFonts w:hint="eastAsia" w:cs="Times New Roman"/>
                <w:i w:val="0"/>
                <w:iCs w:val="0"/>
                <w:color w:val="000000"/>
                <w:sz w:val="20"/>
                <w:szCs w:val="20"/>
                <w:highlight w:val="none"/>
                <w:u w:val="none"/>
                <w:lang w:val="en-US" w:eastAsia="zh-CN" w:bidi="ar"/>
              </w:rPr>
              <w:t xml:space="preserve">3050.98</w:t>
            </w:r>
            <w:r/>
          </w:p>
        </w:tc>
      </w:tr>
      <w:tr>
        <w:trPr>
          <w:trHeight w:val="480"/>
        </w:trPr>
        <w:tc>
          <w:tcPr>
            <w:gridSpan w:val="6"/>
            <w:shd w:val="clear" w:color="auto" w:fill="auto"/>
            <w:tcW w:w="84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合计</w:t>
            </w:r>
            <w:r/>
          </w:p>
        </w:tc>
      </w:tr>
      <w:tr>
        <w:trPr>
          <w:trHeight w:val="240"/>
        </w:trPr>
        <w:tc>
          <w:tcPr>
            <w:gridSpan w:val="6"/>
            <w:shd w:val="clear" w:color="auto" w:fill="auto"/>
            <w:tcW w:w="84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城南街道</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一</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绿化养护</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天灵路(运河边-东吴南路)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20991.41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澄湖路(枫津路-桥中)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5221.29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澄湖中路(枫津路-桥中)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3875.15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澄湖东路(小河边-运河边)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8349.88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东吴南路(天灵路-227南湖路)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92067.61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南湖路(田上江路-227桥中)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32573.32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吴中大道(田上江路-友新路)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7338.55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枫津路(天灵路-南湖路)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1570.87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枫津南路(天灵路-南湖路)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5422.94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迎春南路(天灵路-南湖路)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14036.49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宝丰路(澄湖路北-南侧到底)</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1256.51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共荣路(澄湖路北-南侧到底)</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8639.94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迎春南路西侧无名路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2396.06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宝通路(东吴南路-天灵路)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12890.25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宝通路东侧无名路(东吴南路-天灵路)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1911.69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阳山路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3721.23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东进路(东吴南路-桥中)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62885.31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水榭巷(东吴南路-向西到底)</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268.71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南沿河巷(东吴南路-向南到底)</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2296.20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吴中大道南侧</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7268.90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京杭运河南侧（德敏碧波二村小公园）</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6885.15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白云街（含菜场西侧北侧路面）</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76.97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碧波街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738.78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东吴南路(含天灵路西延部分)</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4860.01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北沿河港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1113.17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枫津路(含东锋材料北侧无名路、原城南大厦南侧无名小路)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2207.48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广建路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244.98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花园街(含一段沿河小路)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67.22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商城大街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201.27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商贸街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188.44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石湖东路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10919.28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石湖东路大桥南北两侧</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17052.31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石湖西路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2272.34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迎春南路(含锦都大厦西侧道路)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16366.56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罗塘巷</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144.91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宝田街(南段)</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7164.69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新修道路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4021.92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宝田路（北段）</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8147.29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8433.26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南湖路沿线及节点提升景观绿化工程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108350.00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吴中大道东段暨南湖路快速路工程绿化工程（WZNH-LH02）</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33587.00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南湖路沿线及节点提升景观绿化工程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1105.00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尹山国际汽车城南部城市环境提升景观工程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13766.00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澹台湖二期道路绿化景观工程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澹台湖二期道路绿化景观工程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25218.00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苏州市东环快速路南延二期工程DHNY-II-LVH2标</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苏州市东环快速路南延二期工程（运河西侧至双祺路）桥下绿化</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澄湖路学校围墙外侧工程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澹台湖二期滨水绿化景观工程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9386.00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石湖西路北侧区域绿化提升工程</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南小港路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5838.88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北小港路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2659.97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梧桐街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6745.95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槐香街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1647.48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茭荡街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1869.30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美乐城东侧沿河</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225.39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邵昂路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66301.91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邵东路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55910.58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邵辉路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3889.49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兴昂路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15516.85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枫杨路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5667.99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小石湖路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37442.43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文溪路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29217.42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友新快速路辅路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54821.77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盛虹路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1037.03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西塘河东侧道路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9512.34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田上江路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30909.39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盛城路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41.36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东湖路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1707.53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枫津南路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7179.29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迎春南路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2217.80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双棋路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9203.74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227省道</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43413.93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兴南路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12818.63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兴吴路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16794.90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兴中路</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1、乔木、灌木、色块、绿地、花坛花带等综合养护工作                        2、一级养护2年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15840.38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10.43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二</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闲置地块养护</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凯丽保姆电器有限公司拆迁地块（白金酒店周边）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28638.00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华福低温地块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26640.00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南湖四期、东瑞化工、兆丰塑胶、邵氏电子地块</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150516.00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待拍地块（惠业、骏达、顾亭等）</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133200.00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彰泾及邵昂工业园部分</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99900.00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适新工棚</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6660.00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南湖路北侧及邵昂工业园部分</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93240.00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塘湾里民房拆迁区域</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13320.00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石湖路南侧宝田街周边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73260.00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红庄拆迁区域及消防站周边</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88578.00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宝南花园安置房东侧、石湖路北侧</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166500.00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天灵路1号（原创华集团）</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147852.00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博物馆区域</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1、闲置地块绿化养护(主要是养护，除草、割草)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2.64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三</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非道路区域绿化养护</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河道驳岸绿化</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1、乔木、灌木、色块、绿地等综合养护工作                                 2、三级养护2年 </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11580.99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3.79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兴中路生态林绿化</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1、乔木、灌木、色块、绿地等综合养护工作                                  2、三级养护2年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17324.59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3.79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绕城生态林绿化</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1、乔木、灌木、色块、绿地等综合养护工作                                 2、三级养护2年 </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38825.96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3.79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四</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苗木补植</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1、种类：实生银杏</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2、胸径：15-16cm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1082.83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1、种类：榉树</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2、胸径：12-14cm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971.13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1、种类：白玉兰</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2、地径：8-9cm ，全冠,不偏冠,三级以上分枝,树形优美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575.57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1、种类:垂丝海棠</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2、地径:8-10cm,全冠种植,树形优美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670.98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1、种类:红叶李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2、地径:7-8cm,全冠种植,树形优美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359.92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1、种类:日本晚樱</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2、地径:7-8cm,全冠种植,树形优美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335.58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99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1、种类:鸡爪槭</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2、地径:8-10cm,全冠种植,树形优美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537.09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1、种类:西府海棠</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2、地径:8-10cm,全冠种植,树形优美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464.06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1、种类:红梅</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2、地径:8-10cm,全冠种植,树形优美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561.43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1、种类:紫薇</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2、地径:10-11cm,全冠种植,树形优美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784.13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1、种类:日本早樱</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2、地径:10-12cm,全冠种植,树形优美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4、包含草绳绕杆、苗木支撑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784.13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1、种类:金桂</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2、蓬径:350-400cm,全冠,不偏冠,三级以上分枝,树形优美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4、包含苗木支撑</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1789.05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1、种类:红叶石楠球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2、蓬径:130-150cm，不脱脚,球形优美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272.90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1、种类:金森女贞球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2、蓬径:120-150cm，不脱脚,球形优美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180.97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栽植灌木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1、种类:红花继木球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2、蓬径:130-150cm，不脱脚,球形优美</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309.41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栽植竹类</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1、竹种类：慈孝竹</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2、高度：200-250cm，20株/丛</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丛</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109.76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栽植绿篱</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1、种类：法国冬青</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2、篱高：180-220cm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3、行数、蓬径：P40-50cm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4、单位面积株数：16株/平方米</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261.79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1、名称：八角金盘</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4、密度：36棵/m2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83.92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1、名称：红花继木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130.74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1、名称：毛鹃</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118.92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1、名称：红叶石楠</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95.27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1、名称：金边黄杨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2、高度：31-40cm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77.53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1、名称：金森女贞</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89.35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1、名称：常绿鸢尾</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2、高度：40-50cm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400.00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105.43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铺种草皮</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1、草皮种类：麦冬</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2、单位面积株数：64株/m2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10500.00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54.46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栽植花卉</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1、花卉种类：三色堇</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2、株高或蓬径：蓬径20cm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3、单位面积株数：49株/平方米</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63.27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119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1、名称：瓜子黄杨</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89.35 </w:t>
            </w:r>
            <w:r/>
          </w:p>
        </w:tc>
      </w:tr>
      <w:tr>
        <w:trPr>
          <w:trHeight w:val="120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栽植色带</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1、名称：龟甲冬青</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2、高度：30-35cm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3、蓬径：20~25cm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4、密度：49棵/m2</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5、三级养护2年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95.27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铺种草皮</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1、草皮种类：矮生百慕达，秋季追播黑麦草籽</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2、铺种方式：满铺</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24.97 </w:t>
            </w:r>
            <w:r/>
          </w:p>
        </w:tc>
      </w:tr>
      <w:tr>
        <w:trPr>
          <w:trHeight w:val="48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整理绿化用地</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1、采用人工配合机械进行绿化场地土壤松翻、正负30cm内找平(人机配合比例)，含地被、草坪等清理、外运等</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29200.00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3.84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营养土</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1、营养土配比：泥炭土：有机肥=1:1</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2、部位：地被灌木、色块及草坪</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3、厚度：3cm</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m3</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876.00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140.98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五</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乔木移植</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胸径5-10cm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229.83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胸径10-15cm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552.94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1103.16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2746.81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5418.28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129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胸径30-35cm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7531.96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胸径35-40cm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9583.35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移植乔木</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胸径40cm以上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9614.95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六</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rPr>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灌木移植，地径6-8cm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119.07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灌木移植，地径8-10cm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176.32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灌木移植，地径10-15cm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504.10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灌木移植，地径15-20cm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752.37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灌木移植，地径20-25cm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1777.78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灌木移植，地径25-30cm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4236.88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灌木移植，地径30cm以上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含草绳绕杆，铅丝吊桩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5780.41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139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灌木移植，蓬径60-80cm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54.09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灌木移植，蓬径80-100cm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64.12 </w:t>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灌木移植，蓬径100-150cm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69.69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142</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灌木移植，蓬径150-200cm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201.23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143</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灌木移植，蓬径200-250cm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328.29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144</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灌木移植，蓬径250-300cm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522.41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145</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灌木移植，蓬径300-350cm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729.77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146</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灌木移植，蓬径350-400cm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1110.53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147</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灌木移植，蓬径400-450cm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1758.08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148</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灌木移植，蓬径450-500cm</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2801.75 </w:t>
            </w:r>
            <w:r/>
          </w:p>
        </w:tc>
      </w:tr>
      <w:tr>
        <w:trPr>
          <w:trHeight w:val="96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149</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灌木移植</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 灌木移植，蓬径500cm以上</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 三级养护2年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 运距综合考虑，结算不调整</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4、 包含铅丝吊桩</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株</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4212.23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七</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草花</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72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150</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栽植花卉</w:t>
            </w:r>
            <w:r/>
          </w:p>
        </w:tc>
        <w:tc>
          <w:tcPr>
            <w:shd w:val="clear" w:color="auto" w:fill="auto"/>
            <w:tcW w:w="300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1、花卉种类：四季草花（一年种4次）</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2、单位面积株数：64株/m2，不露土</w:t>
            </w:r>
            <w:r>
              <w:rPr>
                <w:rFonts w:hint="default" w:ascii="Times New Roman" w:hAnsi="Times New Roman" w:eastAsia="宋体" w:cs="Times New Roman"/>
                <w:i w:val="0"/>
                <w:iCs w:val="0"/>
                <w:color w:val="000000"/>
                <w:sz w:val="21"/>
                <w:szCs w:val="21"/>
                <w:u w:val="none"/>
                <w:lang w:val="en-US" w:eastAsia="zh-CN" w:bidi="ar"/>
              </w:rPr>
              <w:br/>
            </w:r>
            <w:r>
              <w:rPr>
                <w:rFonts w:hint="default" w:ascii="Times New Roman" w:hAnsi="Times New Roman" w:eastAsia="宋体" w:cs="Times New Roman"/>
                <w:i w:val="0"/>
                <w:iCs w:val="0"/>
                <w:color w:val="000000"/>
                <w:sz w:val="21"/>
                <w:szCs w:val="21"/>
                <w:u w:val="none"/>
                <w:lang w:val="en-US" w:eastAsia="zh-CN" w:bidi="ar"/>
              </w:rPr>
              <w:t xml:space="preserve">3、养护期：三级养护2年</w:t>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m2</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2700.00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748.81 </w:t>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八</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大型机械进出场费</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r>
      <w:tr>
        <w:trPr>
          <w:trHeight w:val="270"/>
        </w:trPr>
        <w:tc>
          <w:tcPr>
            <w:shd w:val="clear" w:color="auto" w:fill="auto"/>
            <w:tcW w:w="54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151</w:t>
            </w:r>
            <w:r/>
          </w:p>
        </w:tc>
        <w:tc>
          <w:tcPr>
            <w:shd w:val="clear" w:color="auto" w:fill="auto"/>
            <w:tcW w:w="200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大型机械进出场费</w:t>
            </w:r>
            <w:r/>
          </w:p>
        </w:tc>
        <w:tc>
          <w:tcPr>
            <w:shd w:val="clear" w:color="auto" w:fill="auto"/>
            <w:tcW w:w="3000" w:type="dxa"/>
            <w:vAlign w:val="center"/>
            <w:textDirection w:val="lrTb"/>
            <w:noWrap w:val="false"/>
          </w:tcPr>
          <w:p>
            <w:pPr>
              <w:ind w:left="0" w:right="0" w:firstLine="0"/>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rPr>
            </w:r>
            <w:r/>
          </w:p>
        </w:tc>
        <w:tc>
          <w:tcPr>
            <w:shd w:val="clear" w:color="auto" w:fill="auto"/>
            <w:tcW w:w="68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台次</w:t>
            </w:r>
            <w:r/>
          </w:p>
        </w:tc>
        <w:tc>
          <w:tcPr>
            <w:shd w:val="clear" w:color="auto" w:fill="auto"/>
            <w:tcW w:w="111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i w:val="0"/>
                <w:iCs w:val="0"/>
                <w:color w:val="000000"/>
                <w:sz w:val="21"/>
                <w:szCs w:val="21"/>
                <w:u w:val="non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1.00 </w:t>
            </w:r>
            <w:r/>
          </w:p>
        </w:tc>
        <w:tc>
          <w:tcPr>
            <w:shd w:val="clear" w:color="auto" w:fill="auto"/>
            <w:tcW w:w="107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cs="Times New Roman"/>
                <w:i w:val="0"/>
                <w:iCs w:val="0"/>
                <w:color w:val="000000"/>
                <w:sz w:val="20"/>
                <w:szCs w:val="20"/>
                <w:u w:val="none"/>
                <w:lang w:val="en-US" w:eastAsia="zh-CN" w:bidi="ar"/>
              </w:rPr>
              <w:t xml:space="preserve">3050.98</w:t>
            </w:r>
            <w:r/>
          </w:p>
        </w:tc>
      </w:tr>
      <w:tr>
        <w:trPr>
          <w:trHeight w:val="270"/>
        </w:trPr>
        <w:tc>
          <w:tcPr>
            <w:gridSpan w:val="6"/>
            <w:shd w:val="clear" w:color="auto" w:fill="auto"/>
            <w:tcW w:w="842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Times New Roman" w:hAnsi="Times New Roman" w:eastAsia="宋体" w:cs="Times New Roman"/>
                <w:b/>
                <w:bCs/>
                <w:i w:val="0"/>
                <w:iCs w:val="0"/>
                <w:color w:val="000000"/>
                <w:sz w:val="21"/>
                <w:szCs w:val="21"/>
                <w:u w:val="none"/>
                <w:lang w:val="en-US" w:eastAsia="zh-CN"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合计</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b/>
          <w:bCs w:val="0"/>
          <w:sz w:val="24"/>
          <w:szCs w:val="22"/>
          <w:lang w:val="en-US" w:eastAsia="zh-CN" w:bidi="ar-SA"/>
        </w:rPr>
        <w:t xml:space="preserve">注：1.</w:t>
      </w:r>
      <w:r>
        <w:rPr>
          <w:rFonts w:hint="eastAsia" w:ascii="Times New Roman" w:hAnsi="Times New Roman" w:eastAsia="宋体" w:cs="Times New Roman"/>
          <w:b/>
          <w:bCs w:val="0"/>
          <w:sz w:val="24"/>
          <w:szCs w:val="22"/>
          <w:lang w:val="en-US" w:eastAsia="zh-CN" w:bidi="ar-SA"/>
        </w:rPr>
      </w:r>
      <w:r>
        <w:rPr>
          <w:rFonts w:ascii="SimSun" w:hAnsi="SimSun" w:eastAsia="SimSun" w:cs="SimSun"/>
          <w:b/>
          <w:color w:val="000000"/>
          <w:sz w:val="24"/>
        </w:rPr>
        <w:t xml:space="preserve">投标单位各分项报价需低于清单中的综合单价，否则视为不实质性响应</w:t>
      </w:r>
      <w:r>
        <w:rPr>
          <w:rFonts w:ascii="Times New Roman" w:hAnsi="Times New Roman" w:eastAsia="Times New Roman" w:cs="Times New Roman"/>
          <w:b/>
          <w:color w:val="000000"/>
          <w:sz w:val="24"/>
        </w:rPr>
        <w:t xml:space="preserve">;</w:t>
      </w:r>
      <w:r/>
      <w:r>
        <w:rPr>
          <w:rFonts w:hint="eastAsia" w:ascii="Times New Roman" w:hAnsi="Times New Roman" w:eastAsia="宋体" w:cs="Times New Roman"/>
          <w:b/>
          <w:bCs w:val="0"/>
          <w:sz w:val="24"/>
          <w:szCs w:val="22"/>
          <w:lang w:val="en-US" w:eastAsia="zh-CN" w:bidi="ar-SA"/>
        </w:rPr>
      </w:r>
      <w:r/>
      <w:r/>
      <w:r>
        <w:rPr>
          <w:sz w:val="24"/>
        </w:rPr>
      </w:r>
    </w:p>
    <w:p>
      <w:pPr>
        <w:pStyle w:val="768"/>
        <w:ind w:left="0"/>
        <w:rPr>
          <w:rFonts w:hint="eastAsia" w:ascii="Times New Roman" w:hAnsi="Times New Roman" w:eastAsia="宋体" w:cs="Times New Roman"/>
          <w:b/>
          <w:bCs w:val="0"/>
          <w:sz w:val="24"/>
          <w:szCs w:val="22"/>
          <w:lang w:val="en-US" w:eastAsia="zh-CN" w:bidi="ar-SA"/>
        </w:rPr>
      </w:pPr>
      <w:r>
        <w:rPr>
          <w:rFonts w:hint="eastAsia" w:ascii="Times New Roman" w:hAnsi="Times New Roman" w:eastAsia="宋体" w:cs="Times New Roman"/>
          <w:b/>
          <w:bCs w:val="0"/>
          <w:sz w:val="24"/>
          <w:szCs w:val="22"/>
          <w:lang w:val="en-US" w:eastAsia="zh-CN" w:bidi="ar-SA"/>
        </w:rPr>
        <w:t xml:space="preserve">    2.本工程量清单中的工程数量为暂估量，只作为投标人投标报价的共同基础，不作为结算依据，以实际完成为准，按实结算。</w:t>
      </w:r>
      <w:r/>
    </w:p>
    <w:p>
      <w:pPr>
        <w:ind w:left="420"/>
        <w:spacing w:line="360" w:lineRule="auto"/>
        <w:rPr>
          <w:bCs/>
          <w:sz w:val="24"/>
        </w:rPr>
      </w:pPr>
      <w:r>
        <w:rPr>
          <w:bCs/>
          <w:sz w:val="24"/>
        </w:rPr>
      </w:r>
      <w:r/>
    </w:p>
    <w:p>
      <w:pPr>
        <w:ind w:left="420"/>
        <w:spacing w:line="360" w:lineRule="auto"/>
        <w:rPr>
          <w:sz w:val="24"/>
        </w:rPr>
      </w:pPr>
      <w:r>
        <w:rPr>
          <w:bCs/>
          <w:sz w:val="24"/>
        </w:rPr>
        <w:t xml:space="preserve">5.4</w:t>
      </w:r>
      <w:r>
        <w:rPr>
          <w:sz w:val="24"/>
        </w:rPr>
        <w:t xml:space="preserve">每标段项目人员要求：</w:t>
      </w:r>
      <w:bookmarkStart w:id="31" w:name="_GoBack"/>
      <w:r/>
      <w:bookmarkEnd w:id="31"/>
      <w:r/>
      <w:r/>
    </w:p>
    <w:p>
      <w:pPr>
        <w:ind w:firstLine="482"/>
        <w:spacing w:line="360" w:lineRule="auto"/>
        <w:rPr>
          <w:sz w:val="24"/>
        </w:rPr>
      </w:pPr>
      <w:r>
        <w:rPr>
          <w:b/>
          <w:bCs/>
          <w:sz w:val="24"/>
        </w:rPr>
        <w:t xml:space="preserve">一、人员要求：</w:t>
      </w:r>
      <w:r/>
    </w:p>
    <w:p>
      <w:pPr>
        <w:ind w:firstLine="480"/>
        <w:jc w:val="left"/>
        <w:spacing w:line="360" w:lineRule="auto"/>
        <w:widowControl/>
        <w:rPr>
          <w:sz w:val="24"/>
        </w:rPr>
      </w:pPr>
      <w:r>
        <w:rPr>
          <w:sz w:val="24"/>
        </w:rPr>
        <w:t xml:space="preserve">1、每标段需配备一名具备相关专业管理经验的项目经理。</w:t>
      </w:r>
      <w:r/>
    </w:p>
    <w:p>
      <w:pPr>
        <w:ind w:firstLine="480"/>
        <w:jc w:val="left"/>
        <w:spacing w:line="360" w:lineRule="auto"/>
        <w:widowControl/>
        <w:rPr>
          <w:sz w:val="24"/>
        </w:rPr>
      </w:pPr>
      <w:r>
        <w:rPr>
          <w:sz w:val="24"/>
        </w:rPr>
        <w:t xml:space="preserve">注：“相关专业”指：与园林绿化工程施工及养护管理相关的专业，包括园林（含园林植物、风景园林、园林绿化等）、园艺、植物（含植保、森保等）等专业。</w:t>
      </w:r>
      <w:r/>
    </w:p>
    <w:p>
      <w:pPr>
        <w:ind w:firstLine="480"/>
        <w:jc w:val="left"/>
        <w:spacing w:line="360" w:lineRule="auto"/>
        <w:widowControl/>
        <w:rPr>
          <w:sz w:val="24"/>
        </w:rPr>
      </w:pPr>
      <w:r>
        <w:rPr>
          <w:sz w:val="24"/>
        </w:rPr>
        <w:t xml:space="preserve">2、投标人在整个合同期内必须为项目组人员缴纳社保。项目组人员会使用手机上传照片，加入招标人绿化养护群。</w:t>
      </w:r>
      <w:r/>
    </w:p>
    <w:p>
      <w:pPr>
        <w:ind w:firstLine="480"/>
        <w:jc w:val="left"/>
        <w:spacing w:line="360" w:lineRule="auto"/>
        <w:widowControl/>
        <w:rPr>
          <w:sz w:val="24"/>
        </w:rPr>
      </w:pPr>
      <w:r>
        <w:rPr>
          <w:sz w:val="24"/>
        </w:rPr>
        <w:t xml:space="preserve">3、作业人员</w:t>
      </w:r>
      <w:r/>
    </w:p>
    <w:p>
      <w:pPr>
        <w:ind w:firstLine="480"/>
        <w:jc w:val="left"/>
        <w:spacing w:line="360" w:lineRule="auto"/>
        <w:widowControl/>
        <w:rPr>
          <w:sz w:val="24"/>
        </w:rPr>
      </w:pPr>
      <w:r>
        <w:rPr>
          <w:sz w:val="24"/>
        </w:rPr>
        <w:t xml:space="preserve">成交后每日常规作业人员配备不得低于项目常规作业人员最低数量要求( 不包括项目经理)：长桥30人、城南50人，至少配备植保工、绿化工、花卉工、安全员。作业人员数量或工种缺少的按日常考核条款进行处罚扣款。养护任务繁重时（区内重大活动、灾害性天气等），对招标人提出的临时增加作业人员的要求，响应人应无条件服从。</w:t>
      </w:r>
      <w:r/>
    </w:p>
    <w:p>
      <w:pPr>
        <w:ind w:firstLine="480"/>
        <w:jc w:val="left"/>
        <w:spacing w:line="360" w:lineRule="auto"/>
        <w:widowControl/>
        <w:rPr>
          <w:sz w:val="24"/>
        </w:rPr>
      </w:pPr>
      <w:r>
        <w:rPr>
          <w:sz w:val="24"/>
        </w:rPr>
        <w:t xml:space="preserve">4、投标项目组人员为本项目专用，原则上不得更换。合同期内如需更换项目组人员，成交人须提出书面申请并经招标人审核通过后更换。成交人应按要求完备更换手续，所更换人员不得低于其响应文件承诺，并应得到招标人同意。如项目组人员不能胜任养护管理工作的，招标人提出要求更换的，响应人须无条件服从更换，更换的人员不得低于其响应文件的承诺，养护工年龄应低于65周岁，男工数比例不低于60%，未经甲方同意不随意减少变动养护工人，减少变动率不超过10%。</w:t>
      </w:r>
      <w:r/>
    </w:p>
    <w:p>
      <w:pPr>
        <w:ind w:firstLine="480"/>
        <w:jc w:val="left"/>
        <w:spacing w:line="360" w:lineRule="auto"/>
        <w:widowControl/>
        <w:rPr>
          <w:sz w:val="24"/>
        </w:rPr>
      </w:pPr>
      <w:r>
        <w:rPr>
          <w:sz w:val="24"/>
        </w:rPr>
        <w:t xml:space="preserve">5、合同期内，招标人会不定期检查成交人养护常规作业人员数量配备情况，如发现低于响应文件承诺的日常规作业人员最低数量，按日常养护考核办法进行考核扣款。</w:t>
      </w:r>
      <w:r/>
    </w:p>
    <w:p>
      <w:pPr>
        <w:ind w:firstLine="480"/>
        <w:jc w:val="left"/>
        <w:spacing w:line="360" w:lineRule="auto"/>
        <w:widowControl/>
        <w:rPr>
          <w:sz w:val="24"/>
        </w:rPr>
      </w:pPr>
      <w:r>
        <w:rPr>
          <w:sz w:val="24"/>
        </w:rPr>
        <w:t xml:space="preserve">6、合同期内，招标人会不定期检查成交人年轻化作业人员配备数量和男性配比情况，如发现低于响应文件承诺数量的，直接扣除当月年轻化作业人员全部费用。</w:t>
      </w:r>
      <w:r/>
    </w:p>
    <w:p>
      <w:pPr>
        <w:ind w:firstLine="480"/>
        <w:jc w:val="left"/>
        <w:spacing w:line="360" w:lineRule="auto"/>
        <w:widowControl/>
        <w:rPr>
          <w:sz w:val="24"/>
        </w:rPr>
      </w:pPr>
      <w:r>
        <w:rPr>
          <w:sz w:val="24"/>
        </w:rPr>
        <w:t xml:space="preserve">7、投标单位在成交后，须为所投入的所有服务人员购买人身安全保险和意外伤害险，在投标时提供关于为所有服务人员购买保险的承诺书。</w:t>
      </w:r>
      <w:r/>
    </w:p>
    <w:p>
      <w:pPr>
        <w:ind w:firstLine="480"/>
        <w:jc w:val="left"/>
        <w:spacing w:line="360" w:lineRule="auto"/>
        <w:widowControl/>
        <w:rPr>
          <w:sz w:val="24"/>
        </w:rPr>
      </w:pPr>
      <w:r>
        <w:rPr>
          <w:sz w:val="24"/>
        </w:rPr>
        <w:t xml:space="preserve">8、为确保服务质量，供应商为投入本标段的相关人员支付的基本工资、加班工资、社保、公积金和高温费（高温费：标准每月不低于300元（6月-9月））等均应不低于苏州市最新公布的相关法律法规文件规定的最低标准。不得以不合理的价格进行报价。</w:t>
      </w:r>
      <w:r/>
    </w:p>
    <w:p>
      <w:pPr>
        <w:ind w:firstLine="480"/>
        <w:jc w:val="left"/>
        <w:spacing w:line="360" w:lineRule="auto"/>
        <w:widowControl/>
        <w:tabs>
          <w:tab w:val="left" w:pos="426" w:leader="none"/>
        </w:tabs>
        <w:rPr>
          <w:sz w:val="24"/>
        </w:rPr>
      </w:pPr>
      <w:r>
        <w:rPr>
          <w:bCs/>
          <w:sz w:val="24"/>
        </w:rPr>
        <w:t xml:space="preserve">5.5</w:t>
      </w:r>
      <w:r>
        <w:rPr>
          <w:sz w:val="24"/>
        </w:rPr>
        <w:t xml:space="preserve">每标段车辆、小型机械设备配备配置要求</w:t>
      </w:r>
      <w:r/>
    </w:p>
    <w:p>
      <w:pPr>
        <w:ind w:firstLine="480"/>
        <w:spacing w:line="360" w:lineRule="auto"/>
        <w:shd w:val="clear" w:color="auto" w:fill="ffffff"/>
        <w:tabs>
          <w:tab w:val="left" w:pos="567" w:leader="none"/>
        </w:tabs>
        <w:rPr>
          <w:sz w:val="24"/>
          <w:szCs w:val="24"/>
        </w:rPr>
      </w:pPr>
      <w:r>
        <w:rPr>
          <w:sz w:val="24"/>
          <w:szCs w:val="24"/>
        </w:rPr>
        <w:t xml:space="preserve">为确保服务质量，满足使用需求，投标单位应为本项目配备水车、清运卡车、巡视车、登高车、防撞缓冲车以及完成本项目所需的其它设备，具体信息如下：</w:t>
      </w:r>
      <w:r/>
    </w:p>
    <w:p>
      <w:pPr>
        <w:rPr>
          <w:sz w:val="24"/>
          <w:szCs w:val="24"/>
        </w:rPr>
      </w:pPr>
      <w:r>
        <w:rPr>
          <w:sz w:val="24"/>
          <w:szCs w:val="24"/>
        </w:rPr>
        <w:br w:type="page" w:clear="all"/>
      </w:r>
      <w:r/>
    </w:p>
    <w:tbl>
      <w:tblPr>
        <w:tblStyle w:val="767"/>
        <w:tblW w:w="8386" w:type="dxa"/>
        <w:jc w:val="center"/>
        <w:tblLayout w:type="autofit"/>
        <w:tblCellMar>
          <w:left w:w="108" w:type="dxa"/>
          <w:top w:w="0" w:type="dxa"/>
          <w:right w:w="108" w:type="dxa"/>
          <w:bottom w:w="0" w:type="dxa"/>
        </w:tblCellMar>
        <w:tblLook w:val="04A0" w:firstRow="1" w:lastRow="0" w:firstColumn="1" w:lastColumn="0" w:noHBand="0" w:noVBand="1"/>
      </w:tblPr>
      <w:tblGrid>
        <w:gridCol w:w="604"/>
        <w:gridCol w:w="851"/>
        <w:gridCol w:w="1556"/>
        <w:gridCol w:w="851"/>
        <w:gridCol w:w="848"/>
        <w:gridCol w:w="3676"/>
      </w:tblGrid>
      <w:tr>
        <w:trPr>
          <w:jc w:val="center"/>
          <w:trHeight w:val="481"/>
          <w:tblHeader/>
        </w:trPr>
        <w:tc>
          <w:tcPr>
            <w:tcBorders>
              <w:top w:val="single" w:color="auto" w:sz="4" w:space="0"/>
              <w:left w:val="single" w:color="auto" w:sz="4" w:space="0"/>
              <w:bottom w:val="single" w:color="auto" w:sz="4" w:space="0"/>
              <w:right w:val="single" w:color="auto" w:sz="4" w:space="0"/>
            </w:tcBorders>
            <w:tcW w:w="604" w:type="dxa"/>
            <w:vAlign w:val="center"/>
            <w:textDirection w:val="lrTb"/>
            <w:noWrap/>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类别</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3676" w:type="dxa"/>
            <w:vAlign w:val="center"/>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主要作业车辆图例及相关规格参数</w:t>
            </w:r>
            <w:r/>
          </w:p>
        </w:tc>
      </w:tr>
      <w:tr>
        <w:trPr>
          <w:jc w:val="center"/>
          <w:trHeight w:val="1997"/>
        </w:trPr>
        <w:tc>
          <w:tcPr>
            <w:tcBorders>
              <w:top w:val="none" w:color="000000" w:sz="4" w:space="0"/>
              <w:left w:val="single" w:color="auto" w:sz="4" w:space="0"/>
              <w:bottom w:val="single" w:color="auto" w:sz="4" w:space="0"/>
              <w:right w:val="single" w:color="auto" w:sz="4" w:space="0"/>
            </w:tcBorders>
            <w:tcW w:w="604" w:type="dxa"/>
            <w:vAlign w:val="center"/>
            <w:vMerge w:val="restart"/>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t xml:space="preserve">车辆</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numPr>
                <w:ilvl w:val="0"/>
                <w:numId w:val="10"/>
              </w:numPr>
              <w:ind w:left="0" w:right="0" w:firstLine="284"/>
              <w:jc w:val="center"/>
              <w:keepLines w:val="0"/>
              <w:keepNext w:val="0"/>
              <w:spacing w:before="0" w:beforeAutospacing="0" w:after="0" w:afterAutospacing="0"/>
              <w:widowControl/>
              <w:rPr>
                <w:color w:val="000000"/>
                <w:szCs w:val="21"/>
              </w:rPr>
              <w:suppressLineNumbers w:val="0"/>
            </w:pPr>
            <w:r>
              <w:rPr>
                <w:color w:val="000000"/>
                <w:szCs w:val="21"/>
              </w:rPr>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ind w:left="0" w:right="0"/>
              <w:jc w:val="left"/>
              <w:keepLines w:val="0"/>
              <w:keepNext w:val="0"/>
              <w:spacing w:before="0" w:beforeAutospacing="0" w:after="0" w:afterAutospacing="0"/>
              <w:widowControl/>
              <w:rPr>
                <w:szCs w:val="21"/>
              </w:rPr>
              <w:suppressLineNumbers w:val="0"/>
            </w:pPr>
            <w:r>
              <w:rPr>
                <w:szCs w:val="21"/>
              </w:rPr>
              <w:t xml:space="preserve">登高车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szCs w:val="21"/>
              </w:rPr>
              <w:suppressLineNumbers w:val="0"/>
            </w:pPr>
            <w:r>
              <w:rPr>
                <w:szCs w:val="21"/>
              </w:rPr>
              <w:t xml:space="preserve">辆</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w:t xml:space="preserve">1 </w:t>
            </w:r>
            <w:r/>
          </w:p>
        </w:tc>
        <w:tc>
          <w:tcPr>
            <w:tcBorders>
              <w:top w:val="none" w:color="000000" w:sz="4" w:space="0"/>
              <w:left w:val="none" w:color="000000" w:sz="4" w:space="0"/>
              <w:bottom w:val="single" w:color="auto" w:sz="4" w:space="0"/>
              <w:right w:val="single" w:color="auto" w:sz="4" w:space="0"/>
            </w:tcBorders>
            <w:tcW w:w="3676"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mc:AlternateContent>
                <mc:Choice Requires="wpg">
                  <w:drawing>
                    <wp:inline xmlns:wp="http://schemas.openxmlformats.org/drawingml/2006/wordprocessingDrawing" distT="0" distB="0" distL="0" distR="0">
                      <wp:extent cx="1694815" cy="1270635"/>
                      <wp:effectExtent l="0" t="0" r="635" b="5715"/>
                      <wp:docPr id="2" name="图片 1" descr="登高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登高车"/>
                              <pic:cNvPicPr>
                                <a:picLocks noChangeAspect="1"/>
                              </pic:cNvPicPr>
                              <pic:nvPr/>
                            </pic:nvPicPr>
                            <pic:blipFill>
                              <a:blip r:embed="rId18"/>
                              <a:stretch/>
                            </pic:blipFill>
                            <pic:spPr bwMode="auto">
                              <a:xfrm>
                                <a:off x="0" y="0"/>
                                <a:ext cx="1694815" cy="1270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4pt;height:100.0pt;mso-wrap-distance-left:0.0pt;mso-wrap-distance-top:0.0pt;mso-wrap-distance-right:0.0pt;mso-wrap-distance-bottom:0.0pt;" stroked="f">
                      <v:path textboxrect="0,0,0,0"/>
                      <v:imagedata r:id="rId18" o:title=""/>
                    </v:shape>
                  </w:pict>
                </mc:Fallback>
              </mc:AlternateContent>
            </w:r>
            <w:r/>
          </w:p>
          <w:p>
            <w:pPr>
              <w:ind w:left="0" w:right="0"/>
              <w:jc w:val="left"/>
              <w:keepLines w:val="0"/>
              <w:keepNext w:val="0"/>
              <w:spacing w:before="0" w:beforeAutospacing="0" w:after="0" w:afterAutospacing="0"/>
              <w:widowControl/>
              <w:rPr>
                <w:szCs w:val="21"/>
              </w:rPr>
              <w:suppressLineNumbers w:val="0"/>
            </w:pPr>
            <w:r>
              <w:rPr>
                <w:szCs w:val="21"/>
              </w:rPr>
              <w:t xml:space="preserve">作业高度14米及以上；</w:t>
            </w:r>
            <w:r/>
          </w:p>
        </w:tc>
      </w:tr>
      <w:tr>
        <w:trPr>
          <w:jc w:val="center"/>
          <w:trHeight w:val="1822"/>
        </w:trPr>
        <w:tc>
          <w:tcPr>
            <w:tcBorders>
              <w:top w:val="none" w:color="000000" w:sz="4" w:space="0"/>
              <w:left w:val="single" w:color="auto" w:sz="4" w:space="0"/>
              <w:bottom w:val="single" w:color="auto" w:sz="4" w:space="0"/>
              <w:right w:val="single" w:color="auto" w:sz="4" w:space="0"/>
            </w:tcBorders>
            <w:tcW w:w="604" w:type="dxa"/>
            <w:vAlign w:val="center"/>
            <w:vMerge w:val="continue"/>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numPr>
                <w:ilvl w:val="0"/>
                <w:numId w:val="10"/>
              </w:numPr>
              <w:ind w:left="0" w:right="0" w:firstLine="284"/>
              <w:jc w:val="center"/>
              <w:keepLines w:val="0"/>
              <w:keepNext w:val="0"/>
              <w:spacing w:before="0" w:beforeAutospacing="0" w:after="0" w:afterAutospacing="0"/>
              <w:widowControl/>
              <w:rPr>
                <w:color w:val="000000"/>
                <w:szCs w:val="21"/>
              </w:rPr>
              <w:suppressLineNumbers w:val="0"/>
            </w:pPr>
            <w:r>
              <w:rPr>
                <w:color w:val="000000"/>
                <w:szCs w:val="21"/>
              </w:rPr>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ind w:left="0" w:right="0"/>
              <w:jc w:val="left"/>
              <w:keepLines w:val="0"/>
              <w:keepNext w:val="0"/>
              <w:spacing w:before="0" w:beforeAutospacing="0" w:after="0" w:afterAutospacing="0"/>
              <w:widowControl/>
              <w:rPr>
                <w:szCs w:val="21"/>
              </w:rPr>
              <w:suppressLineNumbers w:val="0"/>
            </w:pPr>
            <w:r>
              <w:rPr>
                <w:szCs w:val="21"/>
              </w:rPr>
              <w:t xml:space="preserve">洒水车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szCs w:val="21"/>
              </w:rPr>
              <w:suppressLineNumbers w:val="0"/>
            </w:pPr>
            <w:r>
              <w:rPr>
                <w:szCs w:val="21"/>
              </w:rPr>
              <w:t xml:space="preserve">辆</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w:t xml:space="preserve">2</w:t>
            </w:r>
            <w:r/>
          </w:p>
        </w:tc>
        <w:tc>
          <w:tcPr>
            <w:tcBorders>
              <w:top w:val="none" w:color="000000" w:sz="4" w:space="0"/>
              <w:left w:val="none" w:color="000000" w:sz="4" w:space="0"/>
              <w:bottom w:val="single" w:color="auto" w:sz="4" w:space="0"/>
              <w:right w:val="single" w:color="auto" w:sz="4" w:space="0"/>
            </w:tcBorders>
            <w:tcW w:w="3676"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mc:AlternateContent>
                <mc:Choice Requires="wpg">
                  <w:drawing>
                    <wp:inline xmlns:wp="http://schemas.openxmlformats.org/drawingml/2006/wordprocessingDrawing" distT="0" distB="0" distL="0" distR="0">
                      <wp:extent cx="1656080" cy="1265555"/>
                      <wp:effectExtent l="0" t="0" r="1270" b="10795"/>
                      <wp:docPr id="3" name="图片 2" descr="浇水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浇水车"/>
                              <pic:cNvPicPr>
                                <a:picLocks noChangeAspect="1"/>
                              </pic:cNvPicPr>
                              <pic:nvPr/>
                            </pic:nvPicPr>
                            <pic:blipFill>
                              <a:blip r:embed="rId19"/>
                              <a:stretch/>
                            </pic:blipFill>
                            <pic:spPr bwMode="auto">
                              <a:xfrm>
                                <a:off x="0" y="0"/>
                                <a:ext cx="1656080" cy="1265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0.4pt;height:99.6pt;mso-wrap-distance-left:0.0pt;mso-wrap-distance-top:0.0pt;mso-wrap-distance-right:0.0pt;mso-wrap-distance-bottom:0.0pt;" stroked="f">
                      <v:path textboxrect="0,0,0,0"/>
                      <v:imagedata r:id="rId19" o:title=""/>
                    </v:shape>
                  </w:pict>
                </mc:Fallback>
              </mc:AlternateContent>
            </w:r>
            <w:r/>
          </w:p>
          <w:p>
            <w:pPr>
              <w:ind w:left="0" w:right="0"/>
              <w:jc w:val="left"/>
              <w:keepLines w:val="0"/>
              <w:keepNext w:val="0"/>
              <w:spacing w:before="0" w:beforeAutospacing="0" w:after="0" w:afterAutospacing="0"/>
              <w:widowControl/>
              <w:rPr>
                <w:szCs w:val="21"/>
              </w:rPr>
              <w:suppressLineNumbers w:val="0"/>
            </w:pPr>
            <w:r>
              <w:rPr>
                <w:szCs w:val="21"/>
              </w:rPr>
              <w:t xml:space="preserve">核定载质量≥6.0吨；</w:t>
            </w:r>
            <w:r/>
          </w:p>
        </w:tc>
      </w:tr>
      <w:tr>
        <w:trPr>
          <w:jc w:val="center"/>
          <w:trHeight w:val="1810"/>
        </w:trPr>
        <w:tc>
          <w:tcPr>
            <w:tcBorders>
              <w:top w:val="none" w:color="000000" w:sz="4" w:space="0"/>
              <w:left w:val="single" w:color="auto" w:sz="4" w:space="0"/>
              <w:bottom w:val="single" w:color="auto" w:sz="4" w:space="0"/>
              <w:right w:val="single" w:color="auto" w:sz="4" w:space="0"/>
            </w:tcBorders>
            <w:tcW w:w="604" w:type="dxa"/>
            <w:vAlign w:val="center"/>
            <w:vMerge w:val="continue"/>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numPr>
                <w:ilvl w:val="0"/>
                <w:numId w:val="10"/>
              </w:numPr>
              <w:ind w:left="0" w:right="0" w:firstLine="284"/>
              <w:jc w:val="center"/>
              <w:keepLines w:val="0"/>
              <w:keepNext w:val="0"/>
              <w:spacing w:before="0" w:beforeAutospacing="0" w:after="0" w:afterAutospacing="0"/>
              <w:widowControl/>
              <w:rPr>
                <w:color w:val="000000"/>
                <w:szCs w:val="21"/>
              </w:rPr>
              <w:suppressLineNumbers w:val="0"/>
            </w:pPr>
            <w:r>
              <w:rPr>
                <w:color w:val="000000"/>
                <w:szCs w:val="21"/>
              </w:rPr>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ind w:left="0" w:right="0"/>
              <w:jc w:val="left"/>
              <w:keepLines w:val="0"/>
              <w:keepNext w:val="0"/>
              <w:spacing w:before="0" w:beforeAutospacing="0" w:after="0" w:afterAutospacing="0"/>
              <w:widowControl/>
              <w:rPr>
                <w:szCs w:val="21"/>
              </w:rPr>
              <w:suppressLineNumbers w:val="0"/>
            </w:pPr>
            <w:r>
              <w:rPr>
                <w:szCs w:val="21"/>
              </w:rPr>
              <w:t xml:space="preserve">清运卡车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szCs w:val="21"/>
              </w:rPr>
              <w:suppressLineNumbers w:val="0"/>
            </w:pPr>
            <w:r>
              <w:rPr>
                <w:szCs w:val="21"/>
              </w:rPr>
              <w:t xml:space="preserve">辆</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w:t xml:space="preserve">1 </w:t>
            </w:r>
            <w:r/>
          </w:p>
        </w:tc>
        <w:tc>
          <w:tcPr>
            <w:tcBorders>
              <w:top w:val="none" w:color="000000" w:sz="4" w:space="0"/>
              <w:left w:val="none" w:color="000000" w:sz="4" w:space="0"/>
              <w:bottom w:val="single" w:color="auto" w:sz="4" w:space="0"/>
              <w:right w:val="single" w:color="auto" w:sz="4" w:space="0"/>
            </w:tcBorders>
            <w:tcW w:w="3676"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mc:AlternateContent>
                <mc:Choice Requires="wpg">
                  <w:drawing>
                    <wp:inline xmlns:wp="http://schemas.openxmlformats.org/drawingml/2006/wordprocessingDrawing" distT="0" distB="0" distL="0" distR="0">
                      <wp:extent cx="1695450" cy="1163955"/>
                      <wp:effectExtent l="0" t="0" r="0" b="17145"/>
                      <wp:docPr id="4" name="图片 4" descr="卡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卡车"/>
                              <pic:cNvPicPr>
                                <a:picLocks noChangeAspect="1"/>
                              </pic:cNvPicPr>
                              <pic:nvPr/>
                            </pic:nvPicPr>
                            <pic:blipFill>
                              <a:blip r:embed="rId20"/>
                              <a:stretch/>
                            </pic:blipFill>
                            <pic:spPr bwMode="auto">
                              <a:xfrm>
                                <a:off x="0" y="0"/>
                                <a:ext cx="1695450" cy="1163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3.5pt;height:91.6pt;mso-wrap-distance-left:0.0pt;mso-wrap-distance-top:0.0pt;mso-wrap-distance-right:0.0pt;mso-wrap-distance-bottom:0.0pt;" stroked="f">
                      <v:path textboxrect="0,0,0,0"/>
                      <v:imagedata r:id="rId20" o:title=""/>
                    </v:shape>
                  </w:pict>
                </mc:Fallback>
              </mc:AlternateContent>
            </w:r>
            <w:r/>
          </w:p>
          <w:p>
            <w:pPr>
              <w:ind w:left="0" w:right="0"/>
              <w:jc w:val="left"/>
              <w:keepLines w:val="0"/>
              <w:keepNext w:val="0"/>
              <w:spacing w:before="0" w:beforeAutospacing="0" w:after="0" w:afterAutospacing="0"/>
              <w:widowControl/>
              <w:rPr>
                <w:szCs w:val="21"/>
              </w:rPr>
              <w:suppressLineNumbers w:val="0"/>
            </w:pPr>
            <w:r>
              <w:rPr>
                <w:szCs w:val="21"/>
              </w:rPr>
              <w:t xml:space="preserve">核定载质量≥1.9吨</w:t>
            </w:r>
            <w:r/>
          </w:p>
        </w:tc>
      </w:tr>
      <w:tr>
        <w:trPr>
          <w:jc w:val="center"/>
          <w:trHeight w:val="1694"/>
        </w:trPr>
        <w:tc>
          <w:tcPr>
            <w:tcBorders>
              <w:top w:val="none" w:color="000000" w:sz="4" w:space="0"/>
              <w:left w:val="single" w:color="auto" w:sz="4" w:space="0"/>
              <w:bottom w:val="single" w:color="auto" w:sz="4" w:space="0"/>
              <w:right w:val="single" w:color="auto" w:sz="4" w:space="0"/>
            </w:tcBorders>
            <w:tcW w:w="604" w:type="dxa"/>
            <w:vAlign w:val="center"/>
            <w:vMerge w:val="continue"/>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numPr>
                <w:ilvl w:val="0"/>
                <w:numId w:val="10"/>
              </w:numPr>
              <w:ind w:left="0" w:right="0" w:firstLine="284"/>
              <w:jc w:val="center"/>
              <w:keepLines w:val="0"/>
              <w:keepNext w:val="0"/>
              <w:spacing w:before="0" w:beforeAutospacing="0" w:after="0" w:afterAutospacing="0"/>
              <w:widowControl/>
              <w:rPr>
                <w:color w:val="000000"/>
                <w:szCs w:val="21"/>
              </w:rPr>
              <w:suppressLineNumbers w:val="0"/>
            </w:pPr>
            <w:r>
              <w:rPr>
                <w:color w:val="000000"/>
                <w:szCs w:val="21"/>
              </w:rPr>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ind w:left="0" w:right="0"/>
              <w:jc w:val="left"/>
              <w:keepLines w:val="0"/>
              <w:keepNext w:val="0"/>
              <w:spacing w:before="0" w:beforeAutospacing="0" w:after="0" w:afterAutospacing="0"/>
              <w:widowControl/>
              <w:rPr>
                <w:szCs w:val="21"/>
              </w:rPr>
              <w:suppressLineNumbers w:val="0"/>
            </w:pPr>
            <w:r>
              <w:rPr>
                <w:szCs w:val="21"/>
              </w:rPr>
              <w:t xml:space="preserve">巡视车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szCs w:val="21"/>
              </w:rPr>
              <w:suppressLineNumbers w:val="0"/>
            </w:pPr>
            <w:r>
              <w:rPr>
                <w:szCs w:val="21"/>
              </w:rPr>
              <w:t xml:space="preserve">辆</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w:t xml:space="preserve">1</w:t>
            </w:r>
            <w:r/>
          </w:p>
        </w:tc>
        <w:tc>
          <w:tcPr>
            <w:tcBorders>
              <w:top w:val="none" w:color="000000" w:sz="4" w:space="0"/>
              <w:left w:val="none" w:color="000000" w:sz="4" w:space="0"/>
              <w:bottom w:val="single" w:color="auto" w:sz="4" w:space="0"/>
              <w:right w:val="single" w:color="auto" w:sz="4" w:space="0"/>
            </w:tcBorders>
            <w:tcW w:w="3676"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mc:AlternateContent>
                <mc:Choice Requires="wpg">
                  <w:drawing>
                    <wp:inline xmlns:wp="http://schemas.openxmlformats.org/drawingml/2006/wordprocessingDrawing" distT="0" distB="0" distL="0" distR="0">
                      <wp:extent cx="1795145" cy="951230"/>
                      <wp:effectExtent l="0" t="0" r="14604" b="1270"/>
                      <wp:docPr id="5" name="图片 5" descr="皮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皮卡"/>
                              <pic:cNvPicPr>
                                <a:picLocks noChangeAspect="1"/>
                              </pic:cNvPicPr>
                              <pic:nvPr/>
                            </pic:nvPicPr>
                            <pic:blipFill>
                              <a:blip r:embed="rId21"/>
                              <a:stretch/>
                            </pic:blipFill>
                            <pic:spPr bwMode="auto">
                              <a:xfrm>
                                <a:off x="0" y="0"/>
                                <a:ext cx="1795145" cy="951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41.3pt;height:74.9pt;mso-wrap-distance-left:0.0pt;mso-wrap-distance-top:0.0pt;mso-wrap-distance-right:0.0pt;mso-wrap-distance-bottom:0.0pt;" stroked="f">
                      <v:path textboxrect="0,0,0,0"/>
                      <v:imagedata r:id="rId21" o:title=""/>
                    </v:shape>
                  </w:pict>
                </mc:Fallback>
              </mc:AlternateContent>
            </w:r>
            <w:r/>
          </w:p>
          <w:p>
            <w:pPr>
              <w:ind w:left="0" w:right="0"/>
              <w:jc w:val="left"/>
              <w:keepLines w:val="0"/>
              <w:keepNext w:val="0"/>
              <w:spacing w:before="0" w:beforeAutospacing="0" w:after="0" w:afterAutospacing="0"/>
              <w:widowControl/>
              <w:rPr>
                <w:szCs w:val="21"/>
              </w:rPr>
              <w:suppressLineNumbers w:val="0"/>
            </w:pPr>
            <w:r>
              <w:rPr>
                <w:szCs w:val="21"/>
              </w:rPr>
              <w:t xml:space="preserve">五座皮卡车；</w:t>
            </w:r>
            <w:r/>
          </w:p>
        </w:tc>
      </w:tr>
      <w:tr>
        <w:trPr>
          <w:jc w:val="center"/>
          <w:trHeight w:val="1847"/>
        </w:trPr>
        <w:tc>
          <w:tcPr>
            <w:tcBorders>
              <w:top w:val="none" w:color="000000" w:sz="4" w:space="0"/>
              <w:left w:val="single" w:color="auto" w:sz="4" w:space="0"/>
              <w:bottom w:val="single" w:color="auto" w:sz="4" w:space="0"/>
              <w:right w:val="single" w:color="auto" w:sz="4" w:space="0"/>
            </w:tcBorders>
            <w:tcW w:w="604" w:type="dxa"/>
            <w:vAlign w:val="center"/>
            <w:vMerge w:val="continue"/>
            <w:textDirection w:val="lrTb"/>
            <w:noWrap w:val="false"/>
          </w:tcPr>
          <w:p>
            <w:pPr>
              <w:ind w:left="0" w:right="0"/>
              <w:jc w:val="center"/>
              <w:keepLines w:val="0"/>
              <w:keepNext w:val="0"/>
              <w:spacing w:before="0" w:beforeAutospacing="0" w:after="0" w:afterAutospacing="0"/>
              <w:widowControl/>
              <w:rPr>
                <w:b/>
                <w:bCs/>
                <w:color w:val="000000"/>
                <w:szCs w:val="21"/>
              </w:rPr>
              <w:suppressLineNumbers w:val="0"/>
            </w:pPr>
            <w:r>
              <w:rPr>
                <w:b/>
                <w:bCs/>
                <w:color w:val="000000"/>
                <w:szCs w:val="21"/>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numPr>
                <w:ilvl w:val="0"/>
                <w:numId w:val="10"/>
              </w:numPr>
              <w:ind w:left="0" w:right="0" w:firstLine="284"/>
              <w:jc w:val="center"/>
              <w:keepLines w:val="0"/>
              <w:keepNext w:val="0"/>
              <w:spacing w:before="0" w:beforeAutospacing="0" w:after="0" w:afterAutospacing="0"/>
              <w:widowControl/>
              <w:rPr>
                <w:color w:val="000000"/>
                <w:szCs w:val="21"/>
              </w:rPr>
              <w:suppressLineNumbers w:val="0"/>
            </w:pPr>
            <w:r>
              <w:rPr>
                <w:color w:val="000000"/>
                <w:szCs w:val="21"/>
              </w:rPr>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ind w:left="0" w:right="0"/>
              <w:jc w:val="left"/>
              <w:keepLines w:val="0"/>
              <w:keepNext w:val="0"/>
              <w:spacing w:before="0" w:beforeAutospacing="0" w:after="0" w:afterAutospacing="0"/>
              <w:widowControl/>
              <w:rPr>
                <w:szCs w:val="21"/>
              </w:rPr>
              <w:suppressLineNumbers w:val="0"/>
            </w:pPr>
            <w:r>
              <w:rPr>
                <w:szCs w:val="21"/>
              </w:rPr>
              <w:t xml:space="preserve">防撞缓冲车</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right="0"/>
              <w:jc w:val="center"/>
              <w:keepLines w:val="0"/>
              <w:keepNext w:val="0"/>
              <w:spacing w:before="0" w:beforeAutospacing="0" w:after="0" w:afterAutospacing="0"/>
              <w:widowControl/>
              <w:rPr>
                <w:szCs w:val="21"/>
              </w:rPr>
              <w:suppressLineNumbers w:val="0"/>
            </w:pPr>
            <w:r>
              <w:rPr>
                <w:szCs w:val="21"/>
              </w:rPr>
              <w:t xml:space="preserve">辆</w:t>
            </w:r>
            <w:r/>
          </w:p>
        </w:tc>
        <w:tc>
          <w:tcPr>
            <w:tcBorders>
              <w:top w:val="none" w:color="000000" w:sz="4" w:space="0"/>
              <w:left w:val="none" w:color="000000" w:sz="4" w:space="0"/>
              <w:bottom w:val="single" w:color="auto" w:sz="4" w:space="0"/>
              <w:right w:val="single" w:color="auto" w:sz="4" w:space="0"/>
            </w:tcBorders>
            <w:tcW w:w="848" w:type="dxa"/>
            <w:vAlign w:val="center"/>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w:t xml:space="preserve">1</w:t>
            </w:r>
            <w:r/>
          </w:p>
        </w:tc>
        <w:tc>
          <w:tcPr>
            <w:tcBorders>
              <w:top w:val="none" w:color="000000" w:sz="4" w:space="0"/>
              <w:left w:val="none" w:color="000000" w:sz="4" w:space="0"/>
              <w:bottom w:val="single" w:color="auto" w:sz="4" w:space="0"/>
              <w:right w:val="single" w:color="auto" w:sz="4" w:space="0"/>
            </w:tcBorders>
            <w:tcW w:w="3676" w:type="dxa"/>
            <w:textDirection w:val="lrTb"/>
            <w:noWrap w:val="false"/>
          </w:tcPr>
          <w:p>
            <w:pPr>
              <w:ind w:left="0" w:right="0"/>
              <w:jc w:val="center"/>
              <w:keepLines w:val="0"/>
              <w:keepNext w:val="0"/>
              <w:spacing w:before="0" w:beforeAutospacing="0" w:after="0" w:afterAutospacing="0"/>
              <w:widowControl/>
              <w:rPr>
                <w:szCs w:val="21"/>
              </w:rPr>
              <w:suppressLineNumbers w:val="0"/>
            </w:pPr>
            <w:r>
              <w:rPr>
                <w:szCs w:val="21"/>
              </w:rPr>
              <mc:AlternateContent>
                <mc:Choice Requires="wpg">
                  <w:drawing>
                    <wp:inline xmlns:wp="http://schemas.openxmlformats.org/drawingml/2006/wordprocessingDrawing" distT="0" distB="0" distL="0" distR="0">
                      <wp:extent cx="2084070" cy="1344295"/>
                      <wp:effectExtent l="0" t="0" r="11430" b="8255"/>
                      <wp:docPr id="6" name="图片 6" descr="7895ce8fbd06e6ed45a63f093eb8a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895ce8fbd06e6ed45a63f093eb8a75"/>
                              <pic:cNvPicPr>
                                <a:picLocks noChangeAspect="1"/>
                              </pic:cNvPicPr>
                              <pic:nvPr/>
                            </pic:nvPicPr>
                            <pic:blipFill>
                              <a:blip r:embed="rId22"/>
                              <a:stretch/>
                            </pic:blipFill>
                            <pic:spPr bwMode="auto">
                              <a:xfrm>
                                <a:off x="0" y="0"/>
                                <a:ext cx="2084070" cy="1344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4.1pt;height:105.8pt;mso-wrap-distance-left:0.0pt;mso-wrap-distance-top:0.0pt;mso-wrap-distance-right:0.0pt;mso-wrap-distance-bottom:0.0pt;" stroked="false">
                      <v:path textboxrect="0,0,0,0"/>
                      <v:imagedata r:id="rId22" o:title=""/>
                    </v:shape>
                  </w:pict>
                </mc:Fallback>
              </mc:AlternateContent>
            </w:r>
            <w:r/>
          </w:p>
        </w:tc>
      </w:tr>
    </w:tbl>
    <w:p>
      <w:pPr>
        <w:ind w:left="113" w:firstLine="480"/>
        <w:jc w:val="left"/>
        <w:spacing w:line="360" w:lineRule="auto"/>
        <w:widowControl/>
        <w:rPr>
          <w:sz w:val="24"/>
          <w:highlight w:val="none"/>
        </w:rPr>
      </w:pPr>
      <w:r>
        <w:rPr>
          <w:sz w:val="24"/>
          <w:highlight w:val="none"/>
        </w:rPr>
      </w:r>
      <w:r/>
    </w:p>
    <w:p>
      <w:pPr>
        <w:ind w:left="107" w:right="139" w:firstLine="0"/>
        <w:jc w:val="left"/>
        <w:spacing w:before="22" w:line="360" w:lineRule="auto"/>
        <w:widowControl/>
        <w:rPr>
          <w:sz w:val="24"/>
          <w:szCs w:val="24"/>
          <w:highlight w:val="none"/>
          <w14:ligatures w14:val="none"/>
        </w:rPr>
        <w:pBdr>
          <w:top w:val="none" w:color="000000" w:sz="4" w:space="0"/>
          <w:left w:val="none" w:color="000000" w:sz="4" w:space="0"/>
          <w:bottom w:val="none" w:color="000000" w:sz="4" w:space="0"/>
          <w:right w:val="none" w:color="000000" w:sz="4" w:space="0"/>
        </w:pBdr>
      </w:pPr>
      <w:r>
        <w:rPr>
          <w:sz w:val="24"/>
          <w:highlight w:val="none"/>
        </w:rPr>
        <w:t xml:space="preserve">注：</w:t>
      </w:r>
      <w:r>
        <w:rPr>
          <w:sz w:val="24"/>
          <w:szCs w:val="24"/>
          <w:highlight w:val="none"/>
        </w:rPr>
        <w:t xml:space="preserve">投标文件中必须提供上述车辆的车辆行驶证复印件；若为租赁，必须同时提供租赁合同复印件；若承诺中标后购买或租赁的，必须提供承诺书。</w:t>
      </w:r>
      <w:r>
        <w:rPr>
          <w:sz w:val="24"/>
          <w:szCs w:val="24"/>
          <w:highlight w:val="none"/>
        </w:rPr>
      </w:r>
    </w:p>
    <w:p>
      <w:pPr>
        <w:ind w:left="107" w:right="139" w:firstLine="480"/>
        <w:jc w:val="left"/>
        <w:spacing w:before="22" w:line="360" w:lineRule="auto"/>
        <w:widowControl/>
        <w:rPr>
          <w:sz w:val="24"/>
          <w:szCs w:val="24"/>
          <w:highlight w:val="none"/>
          <w14:ligatures w14:val="none"/>
        </w:rPr>
      </w:pPr>
      <w:r>
        <w:rPr>
          <w:sz w:val="24"/>
          <w:szCs w:val="24"/>
          <w:highlight w:val="none"/>
        </w:rPr>
      </w:r>
      <w:r>
        <w:rPr>
          <w:sz w:val="24"/>
          <w:szCs w:val="24"/>
          <w:highlight w:val="none"/>
        </w:rPr>
      </w:r>
      <w:r>
        <w:rPr>
          <w:sz w:val="24"/>
          <w:szCs w:val="24"/>
          <w:highlight w:val="none"/>
        </w:rPr>
      </w:r>
    </w:p>
    <w:p>
      <w:pPr>
        <w:rPr>
          <w:sz w:val="24"/>
          <w:highlight w:val="none"/>
        </w:rPr>
      </w:pPr>
      <w:r>
        <w:rPr>
          <w:sz w:val="24"/>
          <w:highlight w:val="none"/>
        </w:rPr>
        <w:br w:type="page" w:clear="all"/>
      </w:r>
      <w:r/>
    </w:p>
    <w:p>
      <w:pPr>
        <w:ind w:left="252" w:right="139" w:firstLine="240"/>
        <w:jc w:val="left"/>
        <w:spacing w:before="22" w:line="360" w:lineRule="auto"/>
        <w:widowControl/>
        <w:rPr>
          <w:sz w:val="24"/>
          <w:highlight w:val="none"/>
        </w:rPr>
      </w:pPr>
      <w:r>
        <w:rPr>
          <w:sz w:val="24"/>
          <w:highlight w:val="none"/>
        </w:rPr>
        <w:t xml:space="preserve">5.6设备要求：</w:t>
      </w:r>
      <w:r/>
    </w:p>
    <w:p>
      <w:pPr>
        <w:ind w:left="107" w:right="139" w:firstLine="480"/>
        <w:jc w:val="left"/>
        <w:spacing w:before="22" w:line="360" w:lineRule="auto"/>
        <w:widowControl/>
        <w:rPr>
          <w:sz w:val="24"/>
          <w:highlight w:val="none"/>
        </w:rPr>
      </w:pPr>
      <w:r>
        <w:rPr>
          <w:sz w:val="24"/>
          <w:highlight w:val="none"/>
        </w:rPr>
        <w:t xml:space="preserve">1、草坪打孔机、乘骑式草坪修剪机、手推式草坪修剪机、背负式吹风机，电动碎枝机，高枝油锯、绿篱机、水泵，登高梯，打药机</w:t>
      </w:r>
      <w:r>
        <w:rPr>
          <w:rFonts w:hint="eastAsia"/>
          <w:sz w:val="24"/>
          <w:highlight w:val="none"/>
        </w:rPr>
        <w:t xml:space="preserve">，每种设备数量不低于2台</w:t>
      </w:r>
      <w:r>
        <w:rPr>
          <w:sz w:val="24"/>
          <w:highlight w:val="none"/>
        </w:rPr>
        <w:t xml:space="preserve">。</w:t>
      </w:r>
      <w:r/>
    </w:p>
    <w:p>
      <w:pPr>
        <w:ind w:left="107" w:right="139" w:firstLine="480"/>
        <w:jc w:val="left"/>
        <w:spacing w:before="22" w:line="360" w:lineRule="auto"/>
        <w:widowControl/>
        <w:rPr>
          <w:sz w:val="24"/>
          <w:highlight w:val="none"/>
        </w:rPr>
      </w:pPr>
      <w:r>
        <w:rPr>
          <w:sz w:val="24"/>
          <w:highlight w:val="none"/>
        </w:rPr>
        <w:t xml:space="preserve">2、其他设施设备配备要求：交通安全锥桶</w:t>
      </w:r>
      <w:r>
        <w:rPr>
          <w:rFonts w:hint="eastAsia"/>
          <w:sz w:val="24"/>
          <w:highlight w:val="none"/>
        </w:rPr>
        <w:t xml:space="preserve">2</w:t>
      </w:r>
      <w:r>
        <w:rPr>
          <w:sz w:val="24"/>
          <w:highlight w:val="none"/>
        </w:rPr>
        <w:t xml:space="preserve">00</w:t>
      </w:r>
      <w:r>
        <w:rPr>
          <w:rFonts w:hint="eastAsia"/>
          <w:sz w:val="24"/>
          <w:highlight w:val="none"/>
        </w:rPr>
        <w:t xml:space="preserve">个</w:t>
      </w:r>
      <w:r>
        <w:rPr>
          <w:sz w:val="24"/>
          <w:highlight w:val="none"/>
        </w:rPr>
        <w:t xml:space="preserve">、绿化养护作业安全提示牌</w:t>
      </w:r>
      <w:r>
        <w:rPr>
          <w:rFonts w:hint="eastAsia"/>
          <w:sz w:val="24"/>
          <w:highlight w:val="none"/>
        </w:rPr>
        <w:t xml:space="preserve">5个</w:t>
      </w:r>
      <w:r>
        <w:rPr>
          <w:sz w:val="24"/>
          <w:highlight w:val="none"/>
        </w:rPr>
        <w:t xml:space="preserve">、高空作业安全带</w:t>
      </w:r>
      <w:r>
        <w:rPr>
          <w:rFonts w:hint="eastAsia"/>
          <w:sz w:val="24"/>
          <w:highlight w:val="none"/>
        </w:rPr>
        <w:t xml:space="preserve">1</w:t>
      </w:r>
      <w:r>
        <w:rPr>
          <w:sz w:val="24"/>
          <w:highlight w:val="none"/>
        </w:rPr>
        <w:t xml:space="preserve">0</w:t>
      </w:r>
      <w:r>
        <w:rPr>
          <w:rFonts w:hint="eastAsia"/>
          <w:sz w:val="24"/>
          <w:highlight w:val="none"/>
        </w:rPr>
        <w:t xml:space="preserve">个</w:t>
      </w:r>
      <w:r>
        <w:rPr>
          <w:sz w:val="24"/>
          <w:highlight w:val="none"/>
        </w:rPr>
        <w:t xml:space="preserve">。</w:t>
      </w:r>
      <w:r/>
    </w:p>
    <w:p>
      <w:pPr>
        <w:ind w:left="107" w:right="139" w:firstLine="0"/>
        <w:spacing w:before="22" w:after="0" w:line="85" w:lineRule="atLeast"/>
        <w:pBdr>
          <w:top w:val="none" w:color="000000" w:sz="4" w:space="0"/>
          <w:left w:val="none" w:color="000000" w:sz="4" w:space="0"/>
          <w:bottom w:val="none" w:color="000000" w:sz="4" w:space="0"/>
          <w:right w:val="none" w:color="000000" w:sz="4" w:space="0"/>
        </w:pBdr>
      </w:pPr>
      <w:r>
        <w:rPr>
          <w:sz w:val="24"/>
          <w:highlight w:val="none"/>
        </w:rPr>
        <w:t xml:space="preserve">注：</w:t>
      </w:r>
      <w:r>
        <w:rPr>
          <w:rFonts w:ascii="SimSun" w:hAnsi="SimSun" w:eastAsia="SimSun" w:cs="SimSun"/>
          <w:color w:val="000000"/>
          <w:sz w:val="24"/>
        </w:rPr>
        <w:t xml:space="preserve">以上设施设备若为自有，必须提供设备购买发票复印件；若为租赁，必须同时提供租赁合同复印件；若承诺中标后购买或租赁的，必须提供承诺书。</w:t>
      </w:r>
      <w:r/>
      <w:r/>
      <w:r>
        <w:rPr>
          <w:sz w:val="22"/>
        </w:rPr>
      </w:r>
    </w:p>
    <w:p>
      <w:pPr>
        <w:spacing w:line="360" w:lineRule="auto"/>
        <w:rPr>
          <w:bCs/>
          <w:sz w:val="24"/>
          <w:highlight w:val="none"/>
        </w:rPr>
      </w:pPr>
      <w:r>
        <w:rPr>
          <w:bCs/>
          <w:sz w:val="24"/>
          <w:highlight w:val="none"/>
        </w:rPr>
        <w:t xml:space="preserve">5.7服务方案：</w:t>
      </w:r>
      <w:r/>
    </w:p>
    <w:p>
      <w:pPr>
        <w:jc w:val="left"/>
        <w:spacing w:line="360" w:lineRule="auto"/>
        <w:widowControl/>
        <w:tabs>
          <w:tab w:val="left" w:pos="426" w:leader="none"/>
        </w:tabs>
        <w:rPr>
          <w:sz w:val="24"/>
        </w:rPr>
      </w:pPr>
      <w:r>
        <w:rPr>
          <w:sz w:val="24"/>
        </w:rPr>
        <w:t xml:space="preserve">包括但不限于</w:t>
      </w:r>
      <w:r/>
    </w:p>
    <w:p>
      <w:pPr>
        <w:ind w:firstLine="480"/>
        <w:jc w:val="left"/>
        <w:spacing w:line="360" w:lineRule="auto"/>
        <w:widowControl/>
        <w:tabs>
          <w:tab w:val="left" w:pos="426" w:leader="none"/>
        </w:tabs>
        <w:rPr>
          <w:sz w:val="24"/>
        </w:rPr>
      </w:pPr>
      <w:r>
        <w:rPr>
          <w:sz w:val="24"/>
        </w:rPr>
        <w:t xml:space="preserve">1、</w:t>
      </w:r>
      <w:r>
        <w:rPr>
          <w:bCs/>
          <w:sz w:val="24"/>
        </w:rPr>
        <w:t xml:space="preserve">内部管理制度</w:t>
      </w:r>
      <w:r>
        <w:rPr>
          <w:sz w:val="24"/>
        </w:rPr>
        <w:t xml:space="preserve">。</w:t>
      </w:r>
      <w:r/>
    </w:p>
    <w:p>
      <w:pPr>
        <w:ind w:firstLine="480"/>
        <w:jc w:val="left"/>
        <w:spacing w:line="360" w:lineRule="auto"/>
        <w:widowControl/>
        <w:tabs>
          <w:tab w:val="left" w:pos="426" w:leader="none"/>
        </w:tabs>
        <w:rPr>
          <w:sz w:val="24"/>
        </w:rPr>
      </w:pPr>
      <w:r>
        <w:rPr>
          <w:sz w:val="24"/>
        </w:rPr>
        <w:t xml:space="preserve">2、</w:t>
      </w:r>
      <w:r>
        <w:rPr>
          <w:bCs/>
          <w:sz w:val="24"/>
        </w:rPr>
        <w:t xml:space="preserve">人员管理方案</w:t>
      </w:r>
      <w:r>
        <w:rPr>
          <w:sz w:val="24"/>
        </w:rPr>
        <w:t xml:space="preserve">。</w:t>
      </w:r>
      <w:r/>
    </w:p>
    <w:p>
      <w:pPr>
        <w:ind w:firstLine="480"/>
        <w:jc w:val="left"/>
        <w:spacing w:line="360" w:lineRule="auto"/>
        <w:widowControl/>
        <w:tabs>
          <w:tab w:val="left" w:pos="426" w:leader="none"/>
        </w:tabs>
        <w:rPr>
          <w:sz w:val="24"/>
        </w:rPr>
      </w:pPr>
      <w:r>
        <w:rPr>
          <w:sz w:val="24"/>
        </w:rPr>
        <w:t xml:space="preserve">3、</w:t>
      </w:r>
      <w:r>
        <w:rPr>
          <w:bCs/>
          <w:sz w:val="24"/>
        </w:rPr>
        <w:t xml:space="preserve">设备设施作业管理维护方案</w:t>
      </w:r>
      <w:r>
        <w:rPr>
          <w:sz w:val="24"/>
        </w:rPr>
        <w:t xml:space="preserve">。</w:t>
      </w:r>
      <w:r/>
    </w:p>
    <w:p>
      <w:pPr>
        <w:ind w:firstLine="480"/>
        <w:jc w:val="left"/>
        <w:spacing w:line="360" w:lineRule="auto"/>
        <w:widowControl/>
        <w:tabs>
          <w:tab w:val="left" w:pos="426" w:leader="none"/>
        </w:tabs>
        <w:rPr>
          <w:sz w:val="24"/>
        </w:rPr>
      </w:pPr>
      <w:r>
        <w:rPr>
          <w:sz w:val="24"/>
        </w:rPr>
        <w:t xml:space="preserve">4、</w:t>
      </w:r>
      <w:r>
        <w:rPr>
          <w:bCs/>
          <w:sz w:val="24"/>
        </w:rPr>
        <w:t xml:space="preserve">绿化养护技术方案</w:t>
      </w:r>
      <w:r>
        <w:rPr>
          <w:sz w:val="24"/>
        </w:rPr>
        <w:t xml:space="preserve">。</w:t>
      </w:r>
      <w:r/>
    </w:p>
    <w:p>
      <w:pPr>
        <w:ind w:firstLine="480"/>
        <w:jc w:val="left"/>
        <w:spacing w:line="360" w:lineRule="auto"/>
        <w:widowControl/>
        <w:tabs>
          <w:tab w:val="left" w:pos="426" w:leader="none"/>
        </w:tabs>
        <w:rPr>
          <w:sz w:val="24"/>
        </w:rPr>
      </w:pPr>
      <w:r>
        <w:rPr>
          <w:sz w:val="24"/>
        </w:rPr>
        <w:t xml:space="preserve">5、</w:t>
      </w:r>
      <w:r>
        <w:rPr>
          <w:bCs/>
          <w:sz w:val="24"/>
        </w:rPr>
        <w:t xml:space="preserve">绿化养护应急方案</w:t>
      </w:r>
      <w:r>
        <w:rPr>
          <w:sz w:val="24"/>
        </w:rPr>
        <w:t xml:space="preserve">。</w:t>
      </w:r>
      <w:r/>
    </w:p>
    <w:p>
      <w:pPr>
        <w:ind w:firstLine="480"/>
        <w:jc w:val="left"/>
        <w:spacing w:line="360" w:lineRule="auto"/>
        <w:widowControl/>
        <w:tabs>
          <w:tab w:val="left" w:pos="426" w:leader="none"/>
        </w:tabs>
        <w:rPr>
          <w:sz w:val="24"/>
        </w:rPr>
      </w:pPr>
      <w:r>
        <w:rPr>
          <w:sz w:val="24"/>
        </w:rPr>
        <w:t xml:space="preserve">6、</w:t>
      </w:r>
      <w:r>
        <w:rPr>
          <w:bCs/>
          <w:sz w:val="24"/>
        </w:rPr>
        <w:t xml:space="preserve">投标人进退场交接方案</w:t>
      </w:r>
      <w:r>
        <w:rPr>
          <w:sz w:val="24"/>
        </w:rPr>
        <w:t xml:space="preserve">。</w:t>
      </w:r>
      <w:r/>
    </w:p>
    <w:p>
      <w:pPr>
        <w:ind w:firstLine="480"/>
        <w:jc w:val="left"/>
        <w:spacing w:line="360" w:lineRule="auto"/>
        <w:widowControl/>
        <w:tabs>
          <w:tab w:val="left" w:pos="426" w:leader="none"/>
        </w:tabs>
        <w:rPr>
          <w:sz w:val="24"/>
        </w:rPr>
      </w:pPr>
      <w:r>
        <w:rPr>
          <w:sz w:val="24"/>
        </w:rPr>
        <w:t xml:space="preserve">7、</w:t>
      </w:r>
      <w:r>
        <w:rPr>
          <w:bCs/>
          <w:sz w:val="24"/>
        </w:rPr>
        <w:t xml:space="preserve">安全文明作业方案</w:t>
      </w:r>
      <w:r>
        <w:rPr>
          <w:sz w:val="24"/>
        </w:rPr>
        <w:t xml:space="preserve">。</w:t>
      </w:r>
      <w:r/>
    </w:p>
    <w:p>
      <w:pPr>
        <w:ind w:firstLine="482"/>
        <w:jc w:val="left"/>
        <w:spacing w:line="360" w:lineRule="auto"/>
        <w:rPr>
          <w:b/>
          <w:bCs/>
          <w:sz w:val="24"/>
        </w:rPr>
      </w:pPr>
      <w:r>
        <w:rPr>
          <w:b/>
          <w:bCs/>
          <w:sz w:val="24"/>
        </w:rPr>
        <w:t xml:space="preserve">六、综合服务要求：</w:t>
      </w:r>
      <w:r/>
    </w:p>
    <w:p>
      <w:pPr>
        <w:ind w:firstLine="480"/>
        <w:spacing w:line="360" w:lineRule="auto"/>
        <w:rPr>
          <w:sz w:val="24"/>
        </w:rPr>
      </w:pPr>
      <w:r>
        <w:rPr>
          <w:sz w:val="24"/>
        </w:rPr>
        <w:t xml:space="preserve">1、本项目严禁将承包的服务转包他人。</w:t>
      </w:r>
      <w:r/>
    </w:p>
    <w:p>
      <w:pPr>
        <w:ind w:firstLine="480"/>
        <w:spacing w:line="360" w:lineRule="auto"/>
        <w:rPr>
          <w:sz w:val="24"/>
        </w:rPr>
      </w:pPr>
      <w:r>
        <w:rPr>
          <w:sz w:val="24"/>
        </w:rPr>
        <w:t xml:space="preserve">2、采购单位有权检查监督中标单位服务质量，对不称职的工作人员有权要求中标单位在一周内更换，直至人选合格为止（所更换的人员不得低于原投标响应人员要求）。</w:t>
      </w:r>
      <w:r/>
    </w:p>
    <w:p>
      <w:pPr>
        <w:ind w:firstLine="480"/>
        <w:spacing w:line="360" w:lineRule="auto"/>
        <w:rPr>
          <w:sz w:val="24"/>
        </w:rPr>
      </w:pPr>
      <w:r>
        <w:rPr>
          <w:sz w:val="24"/>
        </w:rPr>
        <w:t xml:space="preserve">3、中标单位必须给上述人员按照国家及苏州市的有关规定支付工资和交纳正常的社会保险等。</w:t>
      </w:r>
      <w:r/>
    </w:p>
    <w:p>
      <w:pPr>
        <w:ind w:firstLine="480"/>
        <w:spacing w:line="360" w:lineRule="auto"/>
        <w:rPr>
          <w:sz w:val="24"/>
        </w:rPr>
      </w:pPr>
      <w:r>
        <w:rPr>
          <w:sz w:val="24"/>
        </w:rPr>
        <w:t xml:space="preserve">4、投标单位所提供的相关货服务应符合国家有关标准和规范，遵循招标文件的要求，并提供详细说明。</w:t>
      </w:r>
      <w:r/>
    </w:p>
    <w:p>
      <w:pPr>
        <w:ind w:firstLine="480"/>
        <w:spacing w:line="360" w:lineRule="auto"/>
        <w:rPr>
          <w:sz w:val="24"/>
        </w:rPr>
      </w:pPr>
      <w:r>
        <w:rPr>
          <w:sz w:val="24"/>
        </w:rPr>
        <w:t xml:space="preserve">5、供应商提供的技术资料必须真实、准确，如提供的参数虚假或对采购文件所要求说明的情况故意隐瞒或虚报，按《中华人民共和国政府采购法》第七十七条的相关办法处理。</w:t>
      </w:r>
      <w:r/>
    </w:p>
    <w:p>
      <w:pPr>
        <w:ind w:firstLine="482"/>
        <w:spacing w:line="360" w:lineRule="auto"/>
        <w:rPr>
          <w:b/>
          <w:bCs/>
          <w:sz w:val="24"/>
        </w:rPr>
      </w:pPr>
      <w:r>
        <w:rPr>
          <w:b/>
          <w:bCs/>
          <w:sz w:val="24"/>
        </w:rPr>
        <w:t xml:space="preserve">七、综合说明</w:t>
      </w:r>
      <w:r/>
    </w:p>
    <w:p>
      <w:pPr>
        <w:ind w:firstLine="480"/>
        <w:spacing w:line="360" w:lineRule="auto"/>
        <w:rPr>
          <w:bCs/>
          <w:sz w:val="24"/>
        </w:rPr>
      </w:pPr>
      <w:r>
        <w:rPr>
          <w:bCs/>
          <w:sz w:val="24"/>
        </w:rPr>
        <w:t xml:space="preserve">1</w:t>
      </w:r>
      <w:r>
        <w:rPr>
          <w:bCs/>
          <w:sz w:val="24"/>
          <w:lang w:val="zh-TW"/>
        </w:rPr>
        <w:t xml:space="preserve">、若中标单位在管理服务期间，违反下列规定将被解除管理服务合同：服务人员的工资社保待遇不得低于项目所在地地区目前人均最低工资标准和社保缴费标准。</w:t>
      </w:r>
      <w:r/>
    </w:p>
    <w:p>
      <w:pPr>
        <w:ind w:firstLine="480"/>
        <w:spacing w:line="360" w:lineRule="auto"/>
        <w:rPr>
          <w:sz w:val="24"/>
        </w:rPr>
      </w:pPr>
      <w:r>
        <w:rPr>
          <w:bCs/>
          <w:sz w:val="24"/>
        </w:rPr>
        <w:t xml:space="preserve">2、投标单位必须说明其是否响应招标文件中提出的全部服务内容与要求，如果以其中某些条款不响应时，应在文件中逐条列出，未列出的视同响应。</w:t>
      </w:r>
      <w:r/>
    </w:p>
    <w:p>
      <w:pPr>
        <w:ind w:firstLine="482"/>
        <w:spacing w:line="360" w:lineRule="auto"/>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八、政府采购政策</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1.小、微企业</w:t>
      </w:r>
      <w:r/>
    </w:p>
    <w:p>
      <w:pPr>
        <w:ind w:firstLine="480"/>
        <w:spacing w:line="360" w:lineRule="auto"/>
        <w:rPr>
          <w:b/>
          <w:bCs/>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b/>
          <w:bCs/>
          <w:color w:val="000000" w:themeColor="text1"/>
          <w:sz w:val="24"/>
          <w:szCs w:val="24"/>
          <w:lang w:val="en-US" w:eastAsia="zh-CN"/>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82"/>
        <w:spacing w:line="360" w:lineRule="auto"/>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根据《政府采购促进中小企业发展管理办法》（财库〔2020〕46号）及《中小企业划型标准规定》（工信部联企业〔2011〕300号），本采购标的对应的中小企业划分标准所属行业为</w:t>
      </w:r>
      <w:r>
        <w:rPr>
          <w:b/>
          <w:bCs/>
          <w:color w:val="000000" w:themeColor="text1"/>
          <w:sz w:val="24"/>
          <w:szCs w:val="24"/>
          <w:highlight w:val="none"/>
          <w14:textFill>
            <w14:solidFill>
              <w14:schemeClr w14:val="tx1"/>
            </w14:solidFill>
          </w14:textFill>
        </w:rPr>
        <w:t xml:space="preserve">：</w:t>
      </w:r>
      <w:r>
        <w:rPr>
          <w:b/>
          <w:bCs w:val="0"/>
          <w:sz w:val="24"/>
          <w:szCs w:val="24"/>
          <w:highlight w:val="none"/>
        </w:rPr>
        <w:t xml:space="preserve">其他</w:t>
      </w:r>
      <w:r>
        <w:rPr>
          <w:b/>
          <w:bCs w:val="0"/>
          <w:sz w:val="24"/>
          <w:szCs w:val="24"/>
          <w:highlight w:val="none"/>
        </w:rPr>
        <w:t xml:space="preserve">未列明行业</w:t>
      </w:r>
      <w:r>
        <w:rPr>
          <w:b/>
          <w:bCs/>
          <w:color w:val="000000" w:themeColor="text1"/>
          <w:sz w:val="24"/>
          <w:szCs w:val="24"/>
          <w:highlight w:val="none"/>
          <w14:textFill>
            <w14:solidFill>
              <w14:schemeClr w14:val="tx1"/>
            </w14:solidFill>
          </w14:textFill>
        </w:rPr>
        <w:t xml:space="preserve">。</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2.残疾人福利性单位</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3.监狱企业</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4.绿色采购</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根据《关于调整优化节能产品、环境标志产品政府采购执行机制的通知》（财库〔2019〕9号）等相关文件的规定，</w:t>
      </w:r>
      <w:r>
        <w:rPr>
          <w:b/>
          <w:color w:val="000000" w:themeColor="text1"/>
          <w:sz w:val="24"/>
          <w:szCs w:val="24"/>
          <w14:textFill>
            <w14:solidFill>
              <w14:schemeClr w14:val="tx1"/>
            </w14:solidFill>
          </w14:textFill>
        </w:rPr>
        <w:t xml:space="preserve">对属于《节能产品政府采购品目清</w:t>
      </w:r>
      <w:r>
        <w:rPr>
          <w:b/>
          <w:bCs/>
          <w:color w:val="000000" w:themeColor="text1"/>
          <w:sz w:val="24"/>
          <w:szCs w:val="24"/>
          <w14:textFill>
            <w14:solidFill>
              <w14:schemeClr w14:val="tx1"/>
            </w14:solidFill>
          </w14:textFill>
        </w:rPr>
        <w:t xml:space="preserve">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2"/>
        <w:spacing w:line="360" w:lineRule="auto"/>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九、关于对参与供应商信用记录的政府采购要求</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采购代理机构会在接收投标文件截止时间后，在苏州市政府采购网（http://czju.suzhou.gov.cn/zfcg）“供应商信用查询”系统查询供应商的信用记录，并将查询结果递交评审小组。苏州市政府采购网“供应商信用查询”系统实时提供来自中国政府采购网、信用中国、信用江苏、信用苏州网站的相关主体信用记录。</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3.供应商若在经营活动中受到罚款的，请携带相关地方、部门对较大数额认定标准的证明材料，与投标文件一并提交。若无法提供，则可能承担投标无效等相应不利后果。</w:t>
      </w:r>
      <w:r/>
    </w:p>
    <w:p>
      <w:pPr>
        <w:ind w:firstLine="480"/>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4.对存在失信信息的供应商，由失信供应商应签名确认。同时，采购代理机构工作人员应根据评审小组确认的失信信息，登陆到相关来源网站页面进行复核并打印，作为证据留存。</w:t>
      </w:r>
      <w:r/>
    </w:p>
    <w:p>
      <w:pPr>
        <w:ind w:firstLine="482"/>
        <w:spacing w:line="360" w:lineRule="auto"/>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 xml:space="preserve">十、凡涉及招标文件的补充说明和修改，均以网上发布的通知为准。</w:t>
      </w:r>
      <w:r/>
    </w:p>
    <w:p>
      <w:pPr>
        <w:jc w:val="left"/>
        <w:widowControl/>
        <w:rPr>
          <w:b/>
          <w:bCs/>
          <w:sz w:val="32"/>
          <w:szCs w:val="32"/>
        </w:rPr>
      </w:pPr>
      <w:r>
        <w:rPr>
          <w:b/>
          <w:bCs/>
          <w:sz w:val="32"/>
          <w:szCs w:val="32"/>
        </w:rPr>
        <w:br w:type="page" w:clear="all"/>
      </w:r>
      <w:r/>
    </w:p>
    <w:p>
      <w:pPr>
        <w:jc w:val="center"/>
        <w:spacing w:line="360" w:lineRule="auto"/>
        <w:rPr>
          <w:b/>
          <w:bCs/>
          <w:sz w:val="28"/>
          <w:szCs w:val="28"/>
        </w:rPr>
      </w:pPr>
      <w:r>
        <w:rPr>
          <w:b/>
          <w:bCs/>
          <w:sz w:val="32"/>
          <w:szCs w:val="32"/>
        </w:rPr>
        <w:t xml:space="preserve">第五章  主要合同条款</w:t>
      </w:r>
      <w:r/>
    </w:p>
    <w:p>
      <w:pPr>
        <w:ind w:firstLine="482"/>
        <w:jc w:val="left"/>
        <w:spacing w:line="480" w:lineRule="auto"/>
        <w:widowControl/>
        <w:rPr>
          <w:sz w:val="24"/>
          <w:szCs w:val="21"/>
        </w:rPr>
      </w:pPr>
      <w:r>
        <w:rPr>
          <w:sz w:val="24"/>
          <w:szCs w:val="21"/>
        </w:rPr>
        <w:t xml:space="preserve">甲方：</w:t>
      </w:r>
      <w:r>
        <w:rPr>
          <w:sz w:val="24"/>
          <w:szCs w:val="21"/>
          <w:u w:val="single"/>
        </w:rPr>
        <w:t xml:space="preserve">                                </w:t>
      </w:r>
      <w:r>
        <w:rPr>
          <w:sz w:val="24"/>
          <w:szCs w:val="21"/>
        </w:rPr>
        <w:t xml:space="preserve">（以下简称甲方）</w:t>
      </w:r>
      <w:r/>
    </w:p>
    <w:p>
      <w:pPr>
        <w:ind w:firstLine="482"/>
        <w:jc w:val="left"/>
        <w:spacing w:line="480" w:lineRule="auto"/>
        <w:widowControl/>
        <w:rPr>
          <w:sz w:val="24"/>
          <w:szCs w:val="21"/>
        </w:rPr>
      </w:pPr>
      <w:r>
        <w:rPr>
          <w:sz w:val="24"/>
          <w:szCs w:val="21"/>
        </w:rPr>
        <w:t xml:space="preserve">乙方：</w:t>
      </w:r>
      <w:r>
        <w:rPr>
          <w:sz w:val="24"/>
          <w:szCs w:val="21"/>
          <w:u w:val="single"/>
        </w:rPr>
        <w:t xml:space="preserve">                                </w:t>
      </w:r>
      <w:r>
        <w:rPr>
          <w:sz w:val="24"/>
          <w:szCs w:val="21"/>
        </w:rPr>
        <w:t xml:space="preserve">（以下简称乙方） </w:t>
      </w:r>
      <w:r/>
    </w:p>
    <w:p>
      <w:pPr>
        <w:ind w:firstLine="480"/>
        <w:jc w:val="left"/>
        <w:spacing w:line="360" w:lineRule="auto"/>
        <w:widowControl/>
        <w:rPr>
          <w:sz w:val="24"/>
          <w:szCs w:val="21"/>
        </w:rPr>
      </w:pPr>
      <w:r>
        <w:rPr>
          <w:sz w:val="24"/>
          <w:szCs w:val="21"/>
        </w:rPr>
        <w:t xml:space="preserve">    </w:t>
      </w:r>
      <w:r/>
    </w:p>
    <w:p>
      <w:pPr>
        <w:ind w:firstLine="480"/>
        <w:jc w:val="left"/>
        <w:spacing w:line="360" w:lineRule="auto"/>
        <w:widowControl/>
        <w:rPr>
          <w:sz w:val="24"/>
        </w:rPr>
      </w:pPr>
      <w:r>
        <w:rPr>
          <w:sz w:val="24"/>
        </w:rPr>
        <w:t xml:space="preserve">根据政府采购编号</w:t>
      </w:r>
      <w:r>
        <w:rPr>
          <w:rFonts w:hint="eastAsia"/>
          <w:sz w:val="24"/>
          <w:lang w:val="en-US" w:eastAsia="zh-CN"/>
        </w:rPr>
        <w:t xml:space="preserve">JSZC-320506-ZHXM-G2024-0007</w:t>
      </w:r>
      <w:r>
        <w:rPr>
          <w:sz w:val="24"/>
        </w:rPr>
        <w:t xml:space="preserve">公开招标文件、供方的</w:t>
      </w:r>
      <w:r>
        <w:rPr>
          <w:sz w:val="24"/>
        </w:rPr>
        <w:t xml:space="preserve">投标</w:t>
      </w:r>
      <w:r>
        <w:rPr>
          <w:sz w:val="24"/>
        </w:rPr>
        <w:t xml:space="preserve">和</w:t>
      </w:r>
      <w:r>
        <w:rPr>
          <w:sz w:val="24"/>
        </w:rPr>
        <w:t xml:space="preserve">中标</w:t>
      </w:r>
      <w:r>
        <w:rPr>
          <w:sz w:val="24"/>
        </w:rPr>
        <w:t xml:space="preserve">通知，供需双方就此次成交的“</w:t>
      </w:r>
      <w:r>
        <w:rPr>
          <w:rFonts w:hint="eastAsia"/>
          <w:sz w:val="24"/>
          <w:lang w:val="en-US" w:eastAsia="zh-CN"/>
        </w:rPr>
        <w:t xml:space="preserve">2025-2026中心城区绿化养护项目</w:t>
      </w:r>
      <w:r>
        <w:rPr>
          <w:sz w:val="24"/>
        </w:rPr>
        <w:t xml:space="preserve">”项目的购销事宜，签订本合同书。</w:t>
      </w:r>
      <w:r/>
    </w:p>
    <w:p>
      <w:pPr>
        <w:ind w:firstLine="480"/>
        <w:jc w:val="left"/>
        <w:spacing w:line="360" w:lineRule="auto"/>
        <w:widowControl/>
        <w:rPr>
          <w:sz w:val="24"/>
        </w:rPr>
      </w:pPr>
      <w:r>
        <w:rPr>
          <w:sz w:val="24"/>
        </w:rPr>
        <w:t xml:space="preserve">一、合同内容</w:t>
      </w:r>
      <w:r/>
    </w:p>
    <w:p>
      <w:pPr>
        <w:pStyle w:val="804"/>
        <w:ind w:left="480" w:firstLine="0"/>
        <w:spacing w:line="360" w:lineRule="auto"/>
        <w:rPr>
          <w:sz w:val="24"/>
        </w:rPr>
      </w:pPr>
      <w:r>
        <w:rPr>
          <w:sz w:val="24"/>
        </w:rPr>
        <w:t xml:space="preserve">1、项目名称：</w:t>
      </w:r>
      <w:r>
        <w:rPr>
          <w:sz w:val="24"/>
          <w:lang w:eastAsia="zh-CN"/>
        </w:rPr>
        <w:t xml:space="preserve">2025-2026中心城区绿化养护项目</w:t>
      </w:r>
      <w:r/>
    </w:p>
    <w:p>
      <w:pPr>
        <w:ind w:firstLine="480"/>
        <w:jc w:val="left"/>
        <w:spacing w:line="360" w:lineRule="auto"/>
        <w:widowControl/>
        <w:rPr>
          <w:sz w:val="24"/>
        </w:rPr>
      </w:pPr>
      <w:r>
        <w:rPr>
          <w:sz w:val="24"/>
        </w:rPr>
        <w:t xml:space="preserve">2、服务内容：详见招标文件。</w:t>
      </w:r>
      <w:r/>
    </w:p>
    <w:p>
      <w:pPr>
        <w:ind w:firstLine="480"/>
        <w:jc w:val="left"/>
        <w:spacing w:line="360" w:lineRule="auto"/>
        <w:widowControl/>
        <w:rPr>
          <w:sz w:val="24"/>
        </w:rPr>
      </w:pPr>
      <w:r>
        <w:rPr>
          <w:sz w:val="24"/>
        </w:rPr>
        <w:t xml:space="preserve">3、服务标准：详见招标文件。</w:t>
      </w:r>
      <w:r/>
    </w:p>
    <w:p>
      <w:pPr>
        <w:ind w:firstLine="480"/>
        <w:jc w:val="left"/>
        <w:spacing w:line="360" w:lineRule="auto"/>
        <w:widowControl/>
        <w:rPr>
          <w:sz w:val="24"/>
        </w:rPr>
      </w:pPr>
      <w:r>
        <w:rPr>
          <w:sz w:val="24"/>
        </w:rPr>
        <w:t xml:space="preserve">4、承包方式：包工包料。</w:t>
      </w:r>
      <w:r/>
    </w:p>
    <w:p>
      <w:pPr>
        <w:ind w:firstLine="480"/>
        <w:jc w:val="left"/>
        <w:spacing w:line="360" w:lineRule="auto"/>
        <w:widowControl/>
        <w:rPr>
          <w:sz w:val="24"/>
        </w:rPr>
      </w:pPr>
      <w:r>
        <w:rPr>
          <w:sz w:val="24"/>
        </w:rPr>
        <w:t xml:space="preserve">5、养护项目负责人：，身份证号：，职称：。</w:t>
      </w:r>
      <w:r/>
    </w:p>
    <w:p>
      <w:pPr>
        <w:ind w:firstLine="480"/>
        <w:jc w:val="left"/>
        <w:spacing w:line="360" w:lineRule="auto"/>
        <w:widowControl/>
        <w:rPr>
          <w:sz w:val="24"/>
        </w:rPr>
      </w:pPr>
      <w:r>
        <w:rPr>
          <w:sz w:val="24"/>
        </w:rPr>
        <w:t xml:space="preserve">6、使用车辆: </w:t>
      </w:r>
      <w:r/>
    </w:p>
    <w:p>
      <w:pPr>
        <w:ind w:firstLine="480"/>
        <w:jc w:val="left"/>
        <w:spacing w:line="360" w:lineRule="auto"/>
        <w:widowControl/>
        <w:rPr>
          <w:sz w:val="24"/>
        </w:rPr>
      </w:pPr>
      <w:r>
        <w:rPr>
          <w:sz w:val="24"/>
        </w:rPr>
        <w:t xml:space="preserve">（1）登高车：辆，车牌号；</w:t>
      </w:r>
      <w:r/>
    </w:p>
    <w:p>
      <w:pPr>
        <w:ind w:firstLine="480"/>
        <w:jc w:val="left"/>
        <w:spacing w:line="360" w:lineRule="auto"/>
        <w:widowControl/>
        <w:rPr>
          <w:sz w:val="24"/>
        </w:rPr>
      </w:pPr>
      <w:r>
        <w:rPr>
          <w:sz w:val="24"/>
        </w:rPr>
        <w:t xml:space="preserve">（2）</w:t>
      </w:r>
      <w:r>
        <w:rPr>
          <w:szCs w:val="21"/>
        </w:rPr>
        <w:t xml:space="preserve">洒水车</w:t>
      </w:r>
      <w:r>
        <w:rPr>
          <w:sz w:val="24"/>
        </w:rPr>
        <w:t xml:space="preserve">：辆，车牌号；</w:t>
      </w:r>
      <w:r/>
    </w:p>
    <w:p>
      <w:pPr>
        <w:ind w:firstLine="480"/>
        <w:jc w:val="left"/>
        <w:spacing w:line="360" w:lineRule="auto"/>
        <w:widowControl/>
        <w:rPr>
          <w:sz w:val="24"/>
        </w:rPr>
      </w:pPr>
      <w:r>
        <w:rPr>
          <w:sz w:val="24"/>
        </w:rPr>
        <w:t xml:space="preserve">（3）</w:t>
      </w:r>
      <w:r>
        <w:rPr>
          <w:szCs w:val="21"/>
        </w:rPr>
        <w:t xml:space="preserve">清运卡车</w:t>
      </w:r>
      <w:r>
        <w:rPr>
          <w:sz w:val="24"/>
        </w:rPr>
        <w:t xml:space="preserve">：辆，车牌号；</w:t>
      </w:r>
      <w:r/>
    </w:p>
    <w:p>
      <w:pPr>
        <w:ind w:firstLine="480"/>
        <w:jc w:val="left"/>
        <w:spacing w:line="360" w:lineRule="auto"/>
        <w:widowControl/>
        <w:rPr>
          <w:sz w:val="24"/>
        </w:rPr>
      </w:pPr>
      <w:r>
        <w:rPr>
          <w:sz w:val="24"/>
        </w:rPr>
        <w:t xml:space="preserve">（4）</w:t>
      </w:r>
      <w:r>
        <w:rPr>
          <w:szCs w:val="21"/>
        </w:rPr>
        <w:t xml:space="preserve">巡视车</w:t>
      </w:r>
      <w:r>
        <w:rPr>
          <w:sz w:val="24"/>
        </w:rPr>
        <w:t xml:space="preserve">车：辆，车牌号；</w:t>
      </w:r>
      <w:r/>
    </w:p>
    <w:p>
      <w:pPr>
        <w:ind w:firstLine="480"/>
        <w:jc w:val="left"/>
        <w:spacing w:line="360" w:lineRule="auto"/>
        <w:widowControl/>
        <w:rPr>
          <w:sz w:val="24"/>
        </w:rPr>
      </w:pPr>
      <w:r>
        <w:rPr>
          <w:sz w:val="24"/>
        </w:rPr>
        <w:t xml:space="preserve">（5）</w:t>
      </w:r>
      <w:r>
        <w:rPr>
          <w:szCs w:val="21"/>
        </w:rPr>
        <w:t xml:space="preserve">防撞缓冲车</w:t>
      </w:r>
      <w:r>
        <w:rPr>
          <w:sz w:val="24"/>
        </w:rPr>
        <w:t xml:space="preserve">：辆，车牌号；</w:t>
      </w:r>
      <w:r/>
    </w:p>
    <w:p>
      <w:pPr>
        <w:ind w:firstLine="480"/>
        <w:jc w:val="left"/>
        <w:spacing w:line="360" w:lineRule="auto"/>
        <w:widowControl/>
        <w:rPr>
          <w:sz w:val="24"/>
        </w:rPr>
      </w:pPr>
      <w:r>
        <w:rPr>
          <w:sz w:val="24"/>
        </w:rPr>
        <w:t xml:space="preserve">（6）设备： ；</w:t>
      </w:r>
      <w:r/>
    </w:p>
    <w:p>
      <w:pPr>
        <w:ind w:firstLine="480"/>
        <w:jc w:val="left"/>
        <w:spacing w:line="360" w:lineRule="auto"/>
        <w:widowControl/>
        <w:rPr>
          <w:sz w:val="24"/>
        </w:rPr>
      </w:pPr>
      <w:r>
        <w:rPr>
          <w:sz w:val="24"/>
        </w:rPr>
        <w:t xml:space="preserve">7、下列文件为本合同不可分割部分：</w:t>
      </w:r>
      <w:r/>
    </w:p>
    <w:p>
      <w:pPr>
        <w:ind w:firstLine="480"/>
        <w:jc w:val="left"/>
        <w:spacing w:line="360" w:lineRule="auto"/>
        <w:widowControl/>
        <w:rPr>
          <w:sz w:val="24"/>
        </w:rPr>
      </w:pPr>
      <w:r>
        <w:rPr>
          <w:sz w:val="24"/>
        </w:rPr>
        <w:t xml:space="preserve">（1）</w:t>
      </w:r>
      <w:r>
        <w:rPr>
          <w:sz w:val="24"/>
        </w:rPr>
        <w:t xml:space="preserve">中标</w:t>
      </w:r>
      <w:r>
        <w:rPr>
          <w:sz w:val="24"/>
        </w:rPr>
        <w:t xml:space="preserve">通知书；</w:t>
      </w:r>
      <w:r/>
    </w:p>
    <w:p>
      <w:pPr>
        <w:ind w:firstLine="480"/>
        <w:jc w:val="left"/>
        <w:spacing w:line="360" w:lineRule="auto"/>
        <w:widowControl/>
        <w:rPr>
          <w:sz w:val="24"/>
        </w:rPr>
      </w:pPr>
      <w:r>
        <w:rPr>
          <w:sz w:val="24"/>
        </w:rPr>
        <w:t xml:space="preserve">（2）投标文件；</w:t>
      </w:r>
      <w:r/>
    </w:p>
    <w:p>
      <w:pPr>
        <w:ind w:firstLine="480"/>
        <w:jc w:val="left"/>
        <w:spacing w:line="360" w:lineRule="auto"/>
        <w:widowControl/>
        <w:rPr>
          <w:sz w:val="24"/>
        </w:rPr>
      </w:pPr>
      <w:r>
        <w:rPr>
          <w:sz w:val="24"/>
        </w:rPr>
        <w:t xml:space="preserve">（3）乙方在招标过程中所作的其它承诺、声明、书面澄清等；</w:t>
      </w:r>
      <w:r/>
    </w:p>
    <w:p>
      <w:pPr>
        <w:ind w:firstLine="480"/>
        <w:jc w:val="left"/>
        <w:spacing w:line="360" w:lineRule="auto"/>
        <w:widowControl/>
        <w:rPr>
          <w:sz w:val="24"/>
        </w:rPr>
      </w:pPr>
      <w:r>
        <w:rPr>
          <w:sz w:val="24"/>
        </w:rPr>
        <w:t xml:space="preserve">（4）招标文件及其附件。</w:t>
      </w:r>
      <w:r/>
    </w:p>
    <w:p>
      <w:pPr>
        <w:ind w:firstLine="480"/>
        <w:jc w:val="left"/>
        <w:spacing w:line="360" w:lineRule="auto"/>
        <w:widowControl/>
        <w:rPr>
          <w:sz w:val="24"/>
        </w:rPr>
      </w:pPr>
      <w:r>
        <w:rPr>
          <w:sz w:val="24"/>
        </w:rPr>
        <w:t xml:space="preserve">8、服务时间：</w:t>
      </w:r>
      <w:r>
        <w:rPr>
          <w:rFonts w:hint="eastAsia"/>
          <w:sz w:val="24"/>
          <w:lang w:val="en-US" w:eastAsia="zh-CN"/>
        </w:rPr>
        <w:t xml:space="preserve">24个月(具体服务期限根据项目情况以合同签订时间为准)</w:t>
      </w:r>
      <w:r/>
    </w:p>
    <w:p>
      <w:pPr>
        <w:ind w:firstLine="480"/>
        <w:jc w:val="left"/>
        <w:spacing w:line="360" w:lineRule="auto"/>
        <w:widowControl/>
        <w:rPr>
          <w:sz w:val="24"/>
        </w:rPr>
      </w:pPr>
      <w:r>
        <w:rPr>
          <w:sz w:val="24"/>
        </w:rPr>
        <w:t xml:space="preserve">二、合同价格与支付</w:t>
      </w:r>
      <w:r/>
    </w:p>
    <w:p>
      <w:pPr>
        <w:ind w:firstLine="480"/>
        <w:jc w:val="left"/>
        <w:spacing w:line="360" w:lineRule="auto"/>
        <w:widowControl/>
        <w:rPr>
          <w:sz w:val="24"/>
        </w:rPr>
      </w:pPr>
      <w:r>
        <w:rPr>
          <w:sz w:val="24"/>
        </w:rPr>
        <w:t xml:space="preserve">1、中标合同价：人民币（大写）：（小写：¥元）。</w:t>
      </w:r>
      <w:r/>
    </w:p>
    <w:p>
      <w:pPr>
        <w:ind w:firstLine="480"/>
        <w:jc w:val="left"/>
        <w:spacing w:line="360" w:lineRule="auto"/>
        <w:widowControl/>
        <w:rPr>
          <w:sz w:val="24"/>
        </w:rPr>
      </w:pPr>
      <w:r>
        <w:rPr>
          <w:sz w:val="24"/>
        </w:rPr>
        <w:t xml:space="preserve">2、以上费用包括在承包期内绿</w:t>
      </w:r>
      <w:r>
        <w:rPr>
          <w:sz w:val="24"/>
        </w:rPr>
        <w:t xml:space="preserve">化养护项目工作所需的人工成本（含社保费用、高温费、加班费用）、机械费、防护措施、垃圾清理、餐费、耗材、通讯、服装、胸卡、办公设备、巡检器材、各种税费、保险、劳保、维护、利润、税金、医疗费、安全费、卫生费、福利费、教育费、住房公积金、保险费、劳保用品费、培训费、以及为完成上述内容所必须的施工现场整修费用和因修剪树木可能损坏道路及其他附属设施而产生的修补费用等相关服务内容和不可预见的相关各种费用以及政策性文件规定及合同包含的所有风险、责任和台风、暴雨、干旱、大雪、冻害等天气因素发生树木扶正、养护等各项应有费用。</w:t>
      </w:r>
      <w:r/>
    </w:p>
    <w:p>
      <w:pPr>
        <w:ind w:firstLine="480"/>
        <w:jc w:val="left"/>
        <w:spacing w:line="360" w:lineRule="auto"/>
        <w:widowControl/>
        <w:rPr>
          <w:sz w:val="24"/>
        </w:rPr>
      </w:pPr>
      <w:r>
        <w:rPr>
          <w:sz w:val="24"/>
        </w:rPr>
        <w:t xml:space="preserve">3、合同价款的支付及付款方式：</w:t>
      </w:r>
      <w:r/>
    </w:p>
    <w:p>
      <w:pPr>
        <w:ind w:firstLine="480"/>
        <w:jc w:val="left"/>
        <w:spacing w:line="360" w:lineRule="auto"/>
        <w:widowControl/>
        <w:rPr>
          <w:sz w:val="24"/>
        </w:rPr>
      </w:pPr>
      <w:r>
        <w:rPr>
          <w:sz w:val="24"/>
        </w:rPr>
        <w:t xml:space="preserve">3.1合同签订后支付合同金额的10%作为预付款；在签订合同时，乙方明确表示无需预付款或者主动要求降低预付款比例的，甲方可不适用上述关于预付款的规定。</w:t>
      </w:r>
      <w:r/>
    </w:p>
    <w:p>
      <w:pPr>
        <w:ind w:firstLine="480"/>
        <w:jc w:val="left"/>
        <w:spacing w:line="360" w:lineRule="auto"/>
        <w:widowControl/>
        <w:rPr>
          <w:sz w:val="24"/>
        </w:rPr>
      </w:pPr>
      <w:r>
        <w:rPr>
          <w:sz w:val="24"/>
        </w:rPr>
        <w:t xml:space="preserve">3.2本项目按季度支付服务费(以下称为“期”)，下一季度首月10号前乙方提供发票、清单等材料，向甲方申请上季度服务费</w:t>
      </w:r>
      <w:r/>
    </w:p>
    <w:p>
      <w:pPr>
        <w:ind w:firstLine="480"/>
        <w:jc w:val="left"/>
        <w:spacing w:line="360" w:lineRule="auto"/>
        <w:widowControl/>
        <w:rPr>
          <w:sz w:val="24"/>
        </w:rPr>
      </w:pPr>
      <w:r>
        <w:rPr>
          <w:sz w:val="24"/>
        </w:rPr>
        <w:t xml:space="preserve">每期支付金额=</w:t>
      </w:r>
      <w:r>
        <w:rPr>
          <w:rFonts w:hint="eastAsia"/>
          <w:sz w:val="24"/>
          <w:lang w:eastAsia="zh-CN"/>
        </w:rPr>
        <w:t xml:space="preserve">（</w:t>
      </w:r>
      <w:r>
        <w:rPr>
          <w:sz w:val="24"/>
        </w:rPr>
        <w:t xml:space="preserve">3个月累计养护面积（或数量）*成交</w:t>
      </w:r>
      <w:r>
        <w:rPr>
          <w:rFonts w:hint="eastAsia"/>
          <w:sz w:val="24"/>
          <w:lang w:eastAsia="zh-CN"/>
        </w:rPr>
        <w:t xml:space="preserve">综合</w:t>
      </w:r>
      <w:r>
        <w:rPr>
          <w:sz w:val="24"/>
        </w:rPr>
        <w:t xml:space="preserve">单价</w:t>
      </w:r>
      <w:r>
        <w:rPr>
          <w:rFonts w:hint="eastAsia"/>
          <w:sz w:val="24"/>
          <w:lang w:eastAsia="zh-CN"/>
        </w:rPr>
        <w:t xml:space="preserve">）</w:t>
      </w:r>
      <w:r>
        <w:rPr>
          <w:rFonts w:hint="eastAsia"/>
          <w:sz w:val="24"/>
          <w:lang w:val="en-US" w:eastAsia="zh-CN"/>
        </w:rPr>
        <w:t xml:space="preserve">*50%</w:t>
      </w:r>
      <w:r>
        <w:rPr>
          <w:sz w:val="24"/>
        </w:rPr>
        <w:t xml:space="preserve">-考核扣款；</w:t>
      </w:r>
      <w:r/>
    </w:p>
    <w:p>
      <w:pPr>
        <w:ind w:firstLine="480"/>
        <w:jc w:val="left"/>
        <w:spacing w:line="360" w:lineRule="auto"/>
        <w:widowControl/>
        <w:rPr>
          <w:sz w:val="24"/>
        </w:rPr>
      </w:pPr>
      <w:r>
        <w:rPr>
          <w:sz w:val="24"/>
        </w:rPr>
        <w:t xml:space="preserve">(</w:t>
      </w:r>
      <w:r>
        <w:rPr>
          <w:rFonts w:hint="eastAsia"/>
          <w:sz w:val="24"/>
          <w:lang w:eastAsia="zh-CN"/>
        </w:rPr>
        <w:t xml:space="preserve">实际支付费用以财政审核拨付为准</w:t>
      </w:r>
      <w:r>
        <w:rPr>
          <w:sz w:val="24"/>
        </w:rPr>
        <w:t xml:space="preserve">)。</w:t>
      </w:r>
      <w:r/>
    </w:p>
    <w:p>
      <w:pPr>
        <w:ind w:firstLine="480"/>
        <w:jc w:val="left"/>
        <w:spacing w:line="360" w:lineRule="auto"/>
        <w:widowControl/>
        <w:rPr>
          <w:sz w:val="24"/>
        </w:rPr>
      </w:pPr>
      <w:r>
        <w:rPr>
          <w:sz w:val="24"/>
        </w:rPr>
        <w:t xml:space="preserve">3.3甲方支付服务费外不再承担任何费用。包括但不限于服务人员的薪金、福利、国家规定应缴纳的社会保障金、休假的补贴等费用都由乙方承担，与甲方无关。</w:t>
      </w:r>
      <w:r/>
    </w:p>
    <w:p>
      <w:pPr>
        <w:ind w:firstLine="480"/>
        <w:jc w:val="left"/>
        <w:spacing w:line="360" w:lineRule="auto"/>
        <w:widowControl/>
        <w:rPr>
          <w:sz w:val="24"/>
        </w:rPr>
      </w:pPr>
      <w:r>
        <w:rPr>
          <w:sz w:val="24"/>
        </w:rPr>
        <w:t xml:space="preserve">4</w:t>
      </w:r>
      <w:r>
        <w:rPr>
          <w:rFonts w:hint="eastAsia"/>
          <w:sz w:val="24"/>
          <w:lang w:eastAsia="zh-CN"/>
        </w:rPr>
        <w:t xml:space="preserve">、</w:t>
      </w:r>
      <w:r>
        <w:rPr>
          <w:sz w:val="24"/>
        </w:rPr>
        <w:t xml:space="preserve">考核及支付依据《吴中区中心城区建设管理中心考核办法》，合同期内如有调整，以最新考核办法为准。 </w:t>
      </w:r>
      <w:r/>
    </w:p>
    <w:p>
      <w:pPr>
        <w:ind w:firstLine="480"/>
        <w:jc w:val="left"/>
        <w:spacing w:line="360" w:lineRule="auto"/>
        <w:widowControl/>
        <w:rPr>
          <w:sz w:val="24"/>
        </w:rPr>
      </w:pPr>
      <w:r>
        <w:rPr>
          <w:sz w:val="24"/>
        </w:rPr>
        <w:t xml:space="preserve">本项目考核成绩与具体业务实施单位项目经费挂钩，将每季度应支付总经费的10%作为考核经费，根据得分情况计算本季度项目实际经费。</w:t>
      </w:r>
      <w:r/>
    </w:p>
    <w:p>
      <w:pPr>
        <w:ind w:firstLine="480"/>
        <w:jc w:val="left"/>
        <w:spacing w:line="360" w:lineRule="auto"/>
        <w:widowControl/>
        <w:rPr>
          <w:sz w:val="24"/>
        </w:rPr>
      </w:pPr>
      <w:r>
        <w:rPr>
          <w:sz w:val="24"/>
        </w:rPr>
        <w:t xml:space="preserve">考核经费按以下标准计算：（以吴中区中心城区建设管理中心最新考核办法为准）</w:t>
      </w:r>
      <w:r/>
    </w:p>
    <w:p>
      <w:pPr>
        <w:ind w:firstLine="480"/>
        <w:jc w:val="left"/>
        <w:spacing w:line="360" w:lineRule="auto"/>
        <w:widowControl/>
        <w:rPr>
          <w:sz w:val="24"/>
        </w:rPr>
      </w:pPr>
      <w:r>
        <w:rPr>
          <w:sz w:val="24"/>
        </w:rPr>
        <w:t xml:space="preserve">（1）季度平均分95以上（含95）的，全额支付季度考核经费；</w:t>
      </w:r>
      <w:r/>
    </w:p>
    <w:p>
      <w:pPr>
        <w:ind w:firstLine="480"/>
        <w:jc w:val="left"/>
        <w:spacing w:line="360" w:lineRule="auto"/>
        <w:widowControl/>
        <w:rPr>
          <w:sz w:val="24"/>
        </w:rPr>
      </w:pPr>
      <w:r>
        <w:rPr>
          <w:sz w:val="24"/>
        </w:rPr>
        <w:t xml:space="preserve">（2）季度平均分大于等于90，小于95的，每低于95一分扣除季度考核经费1%；</w:t>
      </w:r>
      <w:r/>
    </w:p>
    <w:p>
      <w:pPr>
        <w:ind w:firstLine="480"/>
        <w:jc w:val="left"/>
        <w:spacing w:line="360" w:lineRule="auto"/>
        <w:widowControl/>
        <w:rPr>
          <w:sz w:val="24"/>
        </w:rPr>
      </w:pPr>
      <w:r>
        <w:rPr>
          <w:sz w:val="24"/>
        </w:rPr>
        <w:t xml:space="preserve">（3）季度平均分大于等于80，小于90的，每低于90一分扣除季度考核经费2%；</w:t>
      </w:r>
      <w:r/>
    </w:p>
    <w:p>
      <w:pPr>
        <w:ind w:firstLine="480"/>
        <w:jc w:val="left"/>
        <w:spacing w:line="360" w:lineRule="auto"/>
        <w:widowControl/>
        <w:rPr>
          <w:sz w:val="24"/>
        </w:rPr>
      </w:pPr>
      <w:r>
        <w:rPr>
          <w:sz w:val="24"/>
        </w:rPr>
        <w:t xml:space="preserve">（4）季度平均分大于等于70，小于80的，每低于80一分扣除季度考核经费4%；</w:t>
      </w:r>
      <w:r/>
    </w:p>
    <w:p>
      <w:pPr>
        <w:ind w:firstLine="480"/>
        <w:jc w:val="left"/>
        <w:spacing w:line="360" w:lineRule="auto"/>
        <w:widowControl/>
        <w:rPr>
          <w:sz w:val="24"/>
        </w:rPr>
      </w:pPr>
      <w:r>
        <w:rPr>
          <w:sz w:val="24"/>
        </w:rPr>
        <w:t xml:space="preserve">（5）季度平均分小于70的，全额扣除季度考核经费。</w:t>
      </w:r>
      <w:r/>
    </w:p>
    <w:p>
      <w:pPr>
        <w:ind w:firstLine="480"/>
        <w:jc w:val="left"/>
        <w:spacing w:line="360" w:lineRule="auto"/>
        <w:widowControl/>
        <w:rPr>
          <w:sz w:val="24"/>
        </w:rPr>
      </w:pPr>
      <w:r>
        <w:rPr>
          <w:sz w:val="24"/>
        </w:rPr>
        <w:t xml:space="preserve">以90分为例，季度项目经费扣除比例为5×1%×10%=0.5%；</w:t>
      </w:r>
      <w:r/>
    </w:p>
    <w:p>
      <w:pPr>
        <w:ind w:firstLine="480"/>
        <w:jc w:val="left"/>
        <w:spacing w:line="360" w:lineRule="auto"/>
        <w:widowControl/>
        <w:rPr>
          <w:sz w:val="24"/>
        </w:rPr>
      </w:pPr>
      <w:r>
        <w:rPr>
          <w:sz w:val="24"/>
        </w:rPr>
        <w:t xml:space="preserve">以85分为例，季度项目经费扣除比例为（5×1%+5×2%）×10%=1.5%；</w:t>
      </w:r>
      <w:r/>
    </w:p>
    <w:p>
      <w:pPr>
        <w:ind w:firstLine="480"/>
        <w:jc w:val="left"/>
        <w:spacing w:line="360" w:lineRule="auto"/>
        <w:widowControl/>
        <w:rPr>
          <w:sz w:val="24"/>
        </w:rPr>
      </w:pPr>
      <w:r>
        <w:rPr>
          <w:sz w:val="24"/>
        </w:rPr>
        <w:t xml:space="preserve">以75分为例，季度项目经费扣除比例为（5×1%+10×2%+5×4%）×10%=4.5%。</w:t>
      </w:r>
      <w:r/>
    </w:p>
    <w:p>
      <w:pPr>
        <w:ind w:firstLine="480"/>
        <w:jc w:val="left"/>
        <w:spacing w:line="360" w:lineRule="auto"/>
        <w:widowControl/>
        <w:rPr>
          <w:sz w:val="24"/>
        </w:rPr>
      </w:pPr>
      <w:r>
        <w:rPr>
          <w:sz w:val="24"/>
        </w:rPr>
        <w:t xml:space="preserve">4.1根据国家现行税法对甲方征收的与本合同有关的税费均由甲方承担；根据国家现行税法对乙方征收的与本合同有关的一切税费均由乙方承担。</w:t>
      </w:r>
      <w:r/>
    </w:p>
    <w:p>
      <w:pPr>
        <w:ind w:firstLine="480"/>
        <w:jc w:val="left"/>
        <w:spacing w:line="360" w:lineRule="auto"/>
        <w:widowControl/>
        <w:rPr>
          <w:sz w:val="24"/>
        </w:rPr>
      </w:pPr>
      <w:r>
        <w:rPr>
          <w:sz w:val="24"/>
        </w:rPr>
        <w:t xml:space="preserve">4.2支付方式：银行汇票或转帐支票。</w:t>
      </w:r>
      <w:r/>
    </w:p>
    <w:p>
      <w:pPr>
        <w:ind w:firstLine="480"/>
        <w:jc w:val="left"/>
        <w:spacing w:line="360" w:lineRule="auto"/>
        <w:widowControl/>
        <w:rPr>
          <w:sz w:val="24"/>
        </w:rPr>
      </w:pPr>
      <w:r>
        <w:rPr>
          <w:sz w:val="24"/>
        </w:rPr>
        <w:t xml:space="preserve">5、账户信息</w:t>
      </w:r>
      <w:r/>
    </w:p>
    <w:p>
      <w:pPr>
        <w:ind w:firstLine="480"/>
        <w:jc w:val="left"/>
        <w:spacing w:line="360" w:lineRule="auto"/>
        <w:widowControl/>
        <w:rPr>
          <w:sz w:val="24"/>
        </w:rPr>
      </w:pPr>
      <w:r>
        <w:rPr>
          <w:sz w:val="24"/>
        </w:rPr>
        <w:t xml:space="preserve">乙方开户名称：</w:t>
      </w:r>
      <w:r/>
    </w:p>
    <w:p>
      <w:pPr>
        <w:ind w:firstLine="480"/>
        <w:jc w:val="left"/>
        <w:spacing w:line="360" w:lineRule="auto"/>
        <w:widowControl/>
        <w:rPr>
          <w:sz w:val="24"/>
        </w:rPr>
      </w:pPr>
      <w:r>
        <w:rPr>
          <w:sz w:val="24"/>
        </w:rPr>
        <w:t xml:space="preserve">开户银行：</w:t>
      </w:r>
      <w:r/>
    </w:p>
    <w:p>
      <w:pPr>
        <w:ind w:firstLine="480"/>
        <w:jc w:val="left"/>
        <w:spacing w:line="360" w:lineRule="auto"/>
        <w:widowControl/>
        <w:rPr>
          <w:sz w:val="24"/>
        </w:rPr>
      </w:pPr>
      <w:r>
        <w:rPr>
          <w:sz w:val="24"/>
        </w:rPr>
        <w:t xml:space="preserve">银行账号：</w:t>
      </w:r>
      <w:r/>
    </w:p>
    <w:p>
      <w:pPr>
        <w:ind w:firstLine="480"/>
        <w:jc w:val="left"/>
        <w:spacing w:line="360" w:lineRule="auto"/>
        <w:widowControl/>
        <w:rPr>
          <w:sz w:val="24"/>
        </w:rPr>
      </w:pPr>
      <w:r>
        <w:rPr>
          <w:sz w:val="24"/>
        </w:rPr>
        <w:t xml:space="preserve">6、确因甲方工作需要，乙方应无条件配合甲方完成一些突击工作。如：安排服务人员（内部）临时加班等。</w:t>
      </w:r>
      <w:r/>
    </w:p>
    <w:p>
      <w:pPr>
        <w:ind w:firstLine="480"/>
        <w:jc w:val="left"/>
        <w:spacing w:line="360" w:lineRule="auto"/>
        <w:widowControl/>
        <w:rPr>
          <w:sz w:val="24"/>
        </w:rPr>
      </w:pPr>
      <w:r>
        <w:rPr>
          <w:sz w:val="24"/>
        </w:rPr>
        <w:t xml:space="preserve">三、甲方权利和义务：</w:t>
      </w:r>
      <w:r/>
    </w:p>
    <w:p>
      <w:pPr>
        <w:ind w:firstLine="480"/>
        <w:jc w:val="left"/>
        <w:spacing w:line="360" w:lineRule="auto"/>
        <w:widowControl/>
        <w:rPr>
          <w:sz w:val="24"/>
        </w:rPr>
      </w:pPr>
      <w:r>
        <w:rPr>
          <w:sz w:val="24"/>
        </w:rPr>
        <w:t xml:space="preserve">1、根据甲方服务管理要求及乙方的相关承诺，对乙方提供的服务及履行本合同情况实行验收考核。</w:t>
      </w:r>
      <w:r/>
    </w:p>
    <w:p>
      <w:pPr>
        <w:ind w:firstLine="480"/>
        <w:jc w:val="left"/>
        <w:spacing w:line="360" w:lineRule="auto"/>
        <w:widowControl/>
        <w:rPr>
          <w:sz w:val="24"/>
        </w:rPr>
      </w:pPr>
      <w:r>
        <w:rPr>
          <w:sz w:val="24"/>
        </w:rPr>
        <w:t xml:space="preserve">2、甲方有义务在适当的范围内公开考核结果。</w:t>
      </w:r>
      <w:r/>
    </w:p>
    <w:p>
      <w:pPr>
        <w:ind w:firstLine="480"/>
        <w:jc w:val="left"/>
        <w:spacing w:line="360" w:lineRule="auto"/>
        <w:widowControl/>
        <w:rPr>
          <w:sz w:val="24"/>
        </w:rPr>
      </w:pPr>
      <w:r>
        <w:rPr>
          <w:sz w:val="24"/>
        </w:rPr>
        <w:t xml:space="preserve">3、因突发情况或突击性任务，甲方需调动乙方人员和器材设备时，乙方应服从安排予以配合。</w:t>
      </w:r>
      <w:r/>
    </w:p>
    <w:p>
      <w:pPr>
        <w:ind w:firstLine="480"/>
        <w:jc w:val="left"/>
        <w:spacing w:line="360" w:lineRule="auto"/>
        <w:widowControl/>
        <w:rPr>
          <w:sz w:val="24"/>
        </w:rPr>
      </w:pPr>
      <w:r>
        <w:rPr>
          <w:sz w:val="24"/>
        </w:rPr>
        <w:t xml:space="preserve">4、合同期内，若在平时每月考核中累计3次及以上得分低于85分的或因中标方服务原因被媒体曝光造成社会不良影响的，吴中区中心城区建设管理中心有权单方面终止合同，因终止合同造成的所有损失由承包方（施工方）承担。</w:t>
      </w:r>
      <w:r/>
    </w:p>
    <w:p>
      <w:pPr>
        <w:ind w:firstLine="480"/>
        <w:jc w:val="left"/>
        <w:spacing w:line="360" w:lineRule="auto"/>
        <w:widowControl/>
        <w:rPr>
          <w:sz w:val="24"/>
        </w:rPr>
      </w:pPr>
      <w:r>
        <w:rPr>
          <w:sz w:val="24"/>
        </w:rPr>
        <w:t xml:space="preserve">四、乙方权利和义务：</w:t>
      </w:r>
      <w:r/>
    </w:p>
    <w:p>
      <w:pPr>
        <w:ind w:firstLine="480"/>
        <w:jc w:val="left"/>
        <w:spacing w:line="360" w:lineRule="auto"/>
        <w:widowControl/>
        <w:rPr>
          <w:sz w:val="24"/>
        </w:rPr>
      </w:pPr>
      <w:r>
        <w:rPr>
          <w:sz w:val="24"/>
        </w:rPr>
        <w:t xml:space="preserve">1、乙方根据国家标准、行业标准和规范要求及标书规定的服务质量标准和有关要求，积极主动保质保量地完成服务工作。具体绿化面积按现场实际勘察为准，乙方须以现场实有苗木、设施、绿地面积为准，如有差异乙方须按实际绿化面积及数量进行养护管理，且合同金额不作调整。</w:t>
      </w:r>
      <w:r/>
    </w:p>
    <w:p>
      <w:pPr>
        <w:ind w:firstLine="480"/>
        <w:jc w:val="left"/>
        <w:spacing w:line="360" w:lineRule="auto"/>
        <w:widowControl/>
        <w:rPr>
          <w:sz w:val="24"/>
        </w:rPr>
      </w:pPr>
      <w:r>
        <w:rPr>
          <w:sz w:val="24"/>
        </w:rPr>
        <w:t xml:space="preserve">2、接受并主动配合甲方及行业管理部门的检查。</w:t>
      </w:r>
      <w:r/>
    </w:p>
    <w:p>
      <w:pPr>
        <w:ind w:firstLine="480"/>
        <w:jc w:val="left"/>
        <w:spacing w:line="360" w:lineRule="auto"/>
        <w:widowControl/>
        <w:rPr>
          <w:sz w:val="24"/>
        </w:rPr>
      </w:pPr>
      <w:r>
        <w:rPr>
          <w:sz w:val="24"/>
        </w:rPr>
        <w:t xml:space="preserve">3、服务范围之外的突击性、突发性工作，乙方须服从甲方的安排，不得无故拖延。</w:t>
      </w:r>
      <w:r/>
    </w:p>
    <w:p>
      <w:pPr>
        <w:ind w:firstLine="480"/>
        <w:jc w:val="left"/>
        <w:spacing w:line="360" w:lineRule="auto"/>
        <w:widowControl/>
        <w:rPr>
          <w:sz w:val="24"/>
        </w:rPr>
      </w:pPr>
      <w:r>
        <w:rPr>
          <w:sz w:val="24"/>
        </w:rPr>
        <w:t xml:space="preserve">4、因乙方管理不善而损坏的硬件、设施应负责及时修复，或照价赔偿。</w:t>
      </w:r>
      <w:r/>
    </w:p>
    <w:p>
      <w:pPr>
        <w:ind w:firstLine="480"/>
        <w:jc w:val="left"/>
        <w:spacing w:line="360" w:lineRule="auto"/>
        <w:widowControl/>
        <w:rPr>
          <w:sz w:val="24"/>
        </w:rPr>
      </w:pPr>
      <w:r>
        <w:rPr>
          <w:sz w:val="24"/>
        </w:rPr>
        <w:t xml:space="preserve">5、乙方应做好详细的管理台账，建立管理档案，并按双方约定将管理情况汇总报送甲方。</w:t>
      </w:r>
      <w:r/>
    </w:p>
    <w:p>
      <w:pPr>
        <w:ind w:firstLine="480"/>
        <w:jc w:val="left"/>
        <w:spacing w:line="360" w:lineRule="auto"/>
        <w:widowControl/>
        <w:rPr>
          <w:sz w:val="24"/>
        </w:rPr>
      </w:pPr>
      <w:r>
        <w:rPr>
          <w:sz w:val="24"/>
        </w:rPr>
        <w:t xml:space="preserve">6、乙方员工有下列行为的，乙方须立即更换相关工作人员：</w:t>
      </w:r>
      <w:r/>
    </w:p>
    <w:p>
      <w:pPr>
        <w:ind w:firstLine="480"/>
        <w:jc w:val="left"/>
        <w:spacing w:line="360" w:lineRule="auto"/>
        <w:widowControl/>
        <w:rPr>
          <w:sz w:val="24"/>
        </w:rPr>
      </w:pPr>
      <w:r>
        <w:rPr>
          <w:sz w:val="24"/>
        </w:rPr>
        <w:t xml:space="preserve">(1)乙方员工违反操作规程，造成所负责的工作不能正常运行，或不能保证工作质量，给甲方造成损失的。</w:t>
      </w:r>
      <w:r/>
    </w:p>
    <w:p>
      <w:pPr>
        <w:ind w:firstLine="480"/>
        <w:jc w:val="left"/>
        <w:spacing w:line="360" w:lineRule="auto"/>
        <w:widowControl/>
        <w:rPr>
          <w:sz w:val="24"/>
        </w:rPr>
      </w:pPr>
      <w:r>
        <w:rPr>
          <w:sz w:val="24"/>
        </w:rPr>
        <w:t xml:space="preserve">(2)乙方员工严重违反甲方规章制度、岗位职责和劳动纪律的。</w:t>
      </w:r>
      <w:r/>
    </w:p>
    <w:p>
      <w:pPr>
        <w:ind w:firstLine="480"/>
        <w:jc w:val="left"/>
        <w:spacing w:line="360" w:lineRule="auto"/>
        <w:widowControl/>
        <w:rPr>
          <w:sz w:val="24"/>
        </w:rPr>
      </w:pPr>
      <w:r>
        <w:rPr>
          <w:sz w:val="24"/>
        </w:rPr>
        <w:t xml:space="preserve">(3)乙方员工不能提供真实有效的健康证明、身份证明的，或提供虚假的健康证明、身份证明的。</w:t>
      </w:r>
      <w:r/>
    </w:p>
    <w:p>
      <w:pPr>
        <w:ind w:firstLine="480"/>
        <w:jc w:val="left"/>
        <w:spacing w:line="360" w:lineRule="auto"/>
        <w:widowControl/>
        <w:rPr>
          <w:sz w:val="24"/>
        </w:rPr>
      </w:pPr>
      <w:r>
        <w:rPr>
          <w:sz w:val="24"/>
        </w:rPr>
        <w:t xml:space="preserve">(4)乙方员工在工作中谩骂他人或斗殴或以肢体、拳脚相击的。</w:t>
      </w:r>
      <w:r/>
    </w:p>
    <w:p>
      <w:pPr>
        <w:ind w:firstLine="480"/>
        <w:jc w:val="left"/>
        <w:spacing w:line="360" w:lineRule="auto"/>
        <w:widowControl/>
        <w:rPr>
          <w:sz w:val="24"/>
        </w:rPr>
      </w:pPr>
      <w:r>
        <w:rPr>
          <w:sz w:val="24"/>
        </w:rPr>
        <w:t xml:space="preserve">(5)乙方员工侵占、盗窃甲方财产，或有其它侵害甲方利益的行为的。一经发现，甲方有权要求乙方退回或更换，同时乙方必须保证提供服务的人数，不影响甲方的正常生产工作的进展。乙方员工盗窃、侵占甲方财产的，乙方承担</w:t>
      </w:r>
      <w:r>
        <w:fldChar w:fldCharType="begin"/>
      </w:r>
      <w:r>
        <w:instrText xml:space="preserve"> HYPERLINK "http://www.66law.cn/special/ldzr/" \t "D:\Backup\Documents\WeChat%20Files\nick-wxd\FileStorage\File\2024-11\_blank" \o "连带责任" </w:instrText>
      </w:r>
      <w:r>
        <w:fldChar w:fldCharType="separate"/>
      </w:r>
      <w:r>
        <w:rPr>
          <w:sz w:val="24"/>
        </w:rPr>
        <w:t xml:space="preserve">连带责任</w:t>
      </w:r>
      <w:r>
        <w:rPr>
          <w:sz w:val="24"/>
        </w:rPr>
        <w:fldChar w:fldCharType="end"/>
      </w:r>
      <w:r>
        <w:rPr>
          <w:sz w:val="24"/>
        </w:rPr>
        <w:t xml:space="preserve">。</w:t>
      </w:r>
      <w:r/>
    </w:p>
    <w:p>
      <w:pPr>
        <w:ind w:firstLine="480"/>
        <w:jc w:val="left"/>
        <w:spacing w:line="360" w:lineRule="auto"/>
        <w:widowControl/>
        <w:rPr>
          <w:sz w:val="24"/>
        </w:rPr>
      </w:pPr>
      <w:r>
        <w:rPr>
          <w:sz w:val="24"/>
        </w:rPr>
        <w:t xml:space="preserve">7、乙方应遵照甲方的制度进行管理，建立处理员工劳动、人事相关的制度，包括员工离职和违纪处理等。乙方应教导其员工严格按照甲方的工作描述，生产操作规程等质量标准进行工作。乙方员工有关经济补偿、劳动争议等劳务纠纷均由乙方承担责任并妥善处理。</w:t>
      </w:r>
      <w:r/>
    </w:p>
    <w:p>
      <w:pPr>
        <w:ind w:firstLine="480"/>
        <w:jc w:val="left"/>
        <w:spacing w:line="360" w:lineRule="auto"/>
        <w:widowControl/>
        <w:rPr>
          <w:sz w:val="24"/>
        </w:rPr>
      </w:pPr>
      <w:r>
        <w:rPr>
          <w:sz w:val="24"/>
        </w:rPr>
        <w:t xml:space="preserve">8、乙方绿化养护到期移交应遵照《吴中区中心城区建设管理中心绿化工程验收、移交操作规程》执行。乙方在养护服务过程中如涉及绿化迁移应遵照《吴中区中心城区建设管理中心绿化迁移操作办法》执行。对于长势不良、蓬形不佳且严重影响景观效果的苗木，在移交时一律认为是缺棵苗，如移交双方在移交过程中对苗木认定有争议的，由采购人现场确认。</w:t>
      </w:r>
      <w:r/>
    </w:p>
    <w:p>
      <w:pPr>
        <w:ind w:firstLine="480"/>
        <w:jc w:val="left"/>
        <w:spacing w:line="360" w:lineRule="auto"/>
        <w:widowControl/>
        <w:rPr>
          <w:sz w:val="24"/>
        </w:rPr>
      </w:pPr>
      <w:r>
        <w:rPr>
          <w:sz w:val="24"/>
        </w:rPr>
        <w:t xml:space="preserve">9、承包人委派</w:t>
      </w:r>
      <w:r>
        <w:rPr>
          <w:sz w:val="24"/>
          <w:u w:val="single"/>
        </w:rPr>
        <w:t xml:space="preserve">       </w:t>
      </w:r>
      <w:r>
        <w:rPr>
          <w:sz w:val="24"/>
        </w:rPr>
        <w:t xml:space="preserve">项目经理为现场全权代表，对施工项目质量、项目进度、安全生产全面负责。</w:t>
      </w:r>
      <w:r/>
    </w:p>
    <w:p>
      <w:pPr>
        <w:ind w:firstLine="480"/>
        <w:jc w:val="left"/>
        <w:spacing w:line="360" w:lineRule="auto"/>
        <w:widowControl/>
        <w:rPr>
          <w:sz w:val="24"/>
        </w:rPr>
      </w:pPr>
      <w:r>
        <w:rPr>
          <w:sz w:val="24"/>
        </w:rPr>
        <w:t xml:space="preserve">五、服务管理基本要求：</w:t>
      </w:r>
      <w:r/>
    </w:p>
    <w:p>
      <w:pPr>
        <w:ind w:firstLine="240"/>
        <w:jc w:val="left"/>
        <w:spacing w:line="360" w:lineRule="auto"/>
        <w:widowControl/>
        <w:rPr>
          <w:sz w:val="24"/>
        </w:rPr>
      </w:pPr>
      <w:r>
        <w:rPr>
          <w:sz w:val="24"/>
        </w:rPr>
        <w:t xml:space="preserve"> </w:t>
      </w:r>
      <w:r>
        <w:rPr>
          <w:rFonts w:hint="eastAsia"/>
          <w:sz w:val="24"/>
          <w:lang w:val="en-US" w:eastAsia="zh-CN"/>
        </w:rPr>
        <w:t xml:space="preserve"> </w:t>
      </w:r>
      <w:r>
        <w:rPr>
          <w:sz w:val="24"/>
        </w:rPr>
        <w:t xml:space="preserve">1、为确保服务质量，乙方安排管理人员进行监督管理。</w:t>
      </w:r>
      <w:r/>
    </w:p>
    <w:p>
      <w:pPr>
        <w:ind w:firstLine="480"/>
        <w:jc w:val="left"/>
        <w:spacing w:line="360" w:lineRule="auto"/>
        <w:widowControl/>
        <w:rPr>
          <w:sz w:val="24"/>
        </w:rPr>
      </w:pPr>
      <w:r>
        <w:rPr>
          <w:sz w:val="24"/>
        </w:rPr>
        <w:t xml:space="preserve">2、服务过程中，乙方必须采取周密的安全措施，以避免对人身和财产的损害。如因乙方原因而造成人身伤害或财产损失的，由乙方承担。</w:t>
      </w:r>
      <w:r/>
    </w:p>
    <w:p>
      <w:pPr>
        <w:ind w:firstLine="480"/>
        <w:jc w:val="left"/>
        <w:spacing w:line="360" w:lineRule="auto"/>
        <w:widowControl/>
        <w:rPr>
          <w:sz w:val="24"/>
        </w:rPr>
      </w:pPr>
      <w:r>
        <w:rPr>
          <w:sz w:val="24"/>
        </w:rPr>
        <w:t xml:space="preserve">3、对于乙方服务期间由于服务工作不能及时完成，且造成较大影响的，甲方有权通过扣除服务费用进行处罚。</w:t>
      </w:r>
      <w:r/>
    </w:p>
    <w:p>
      <w:pPr>
        <w:ind w:firstLine="480"/>
        <w:jc w:val="left"/>
        <w:spacing w:line="360" w:lineRule="auto"/>
        <w:widowControl/>
        <w:rPr>
          <w:sz w:val="24"/>
        </w:rPr>
      </w:pPr>
      <w:r>
        <w:rPr>
          <w:sz w:val="24"/>
        </w:rPr>
        <w:t xml:space="preserve">六、本项目采用的技术规范：</w:t>
      </w:r>
      <w:r/>
    </w:p>
    <w:p>
      <w:pPr>
        <w:ind w:firstLine="480"/>
        <w:jc w:val="left"/>
        <w:spacing w:line="360" w:lineRule="auto"/>
        <w:widowControl/>
        <w:rPr>
          <w:sz w:val="24"/>
        </w:rPr>
      </w:pPr>
      <w:r>
        <w:rPr>
          <w:sz w:val="24"/>
        </w:rPr>
        <w:t xml:space="preserve">按设计图纸、国家现行技术规范及苏州市有关规定。没有的，需提供相关的技术数据，以供检测。按《江苏省仿古建筑与园林项目计价表》（2007）、《江苏省城市园林植物养护技术规范》及相关技术要求执行。</w:t>
      </w:r>
      <w:r/>
    </w:p>
    <w:p>
      <w:pPr>
        <w:ind w:firstLine="480"/>
        <w:jc w:val="left"/>
        <w:spacing w:line="360" w:lineRule="auto"/>
        <w:widowControl/>
        <w:rPr>
          <w:sz w:val="24"/>
        </w:rPr>
      </w:pPr>
      <w:r>
        <w:rPr>
          <w:sz w:val="24"/>
        </w:rPr>
        <w:t xml:space="preserve">七、现场作业要求</w:t>
      </w:r>
      <w:r/>
    </w:p>
    <w:p>
      <w:pPr>
        <w:ind w:firstLine="480"/>
        <w:jc w:val="left"/>
        <w:spacing w:line="360" w:lineRule="auto"/>
        <w:widowControl/>
        <w:rPr>
          <w:sz w:val="24"/>
        </w:rPr>
      </w:pPr>
      <w:r>
        <w:rPr>
          <w:sz w:val="24"/>
        </w:rPr>
        <w:t xml:space="preserve">1、根据树木的现状，制定保护措施进行治理，特别是树木受害或者长势衰弱的，应当及时采取相应措施进行保护和治理。另外，加强树木的日常管护，及时设立必要的护栏、围栏、支撑，及时清理周边垃圾，及时疏通排水设施，及时修剪枯枝、病株，及时防治病虫害，及时浇水、培土、施肥，及时排除影响或威胁树木生长的其它危险因素。</w:t>
      </w:r>
      <w:r/>
    </w:p>
    <w:p>
      <w:pPr>
        <w:ind w:firstLine="480"/>
        <w:jc w:val="left"/>
        <w:spacing w:line="360" w:lineRule="auto"/>
        <w:widowControl/>
        <w:rPr>
          <w:sz w:val="24"/>
        </w:rPr>
      </w:pPr>
      <w:r>
        <w:rPr>
          <w:sz w:val="24"/>
        </w:rPr>
        <w:t xml:space="preserve">2、行道树修剪时须做好现场交通疏导工作及现场警示标记，尽量减少对交通的影响；如因修剪需要临时断交通、断电，有关申请手续由</w:t>
      </w:r>
      <w:r>
        <w:rPr>
          <w:sz w:val="24"/>
        </w:rPr>
        <w:t xml:space="preserve">乙方</w:t>
      </w:r>
      <w:r/>
      <w:r>
        <w:rPr>
          <w:sz w:val="24"/>
        </w:rPr>
        <w:t xml:space="preserve">负责办理，甲方予以配合及协调。</w:t>
      </w:r>
      <w:r/>
    </w:p>
    <w:p>
      <w:pPr>
        <w:ind w:firstLine="480"/>
        <w:jc w:val="left"/>
        <w:spacing w:line="360" w:lineRule="auto"/>
        <w:widowControl/>
        <w:rPr>
          <w:sz w:val="24"/>
        </w:rPr>
      </w:pPr>
      <w:r>
        <w:rPr>
          <w:sz w:val="24"/>
        </w:rPr>
        <w:t xml:space="preserve">3、合理处理好各类电线、电缆与树木修剪之间的矛盾，不得出现剪断、拉扯、挂擦电缆等情况。</w:t>
      </w:r>
      <w:r>
        <w:rPr>
          <w:sz w:val="24"/>
        </w:rPr>
        <w:t xml:space="preserve">乙方</w:t>
      </w:r>
      <w:r/>
      <w:r>
        <w:rPr>
          <w:sz w:val="24"/>
        </w:rPr>
        <w:t xml:space="preserve">施工中如出现损坏电力、通讯等管线需立即通知相关部门修复，并承担修复费用及相应责任。</w:t>
      </w:r>
      <w:r/>
    </w:p>
    <w:p>
      <w:pPr>
        <w:ind w:firstLine="480"/>
        <w:jc w:val="left"/>
        <w:spacing w:line="360" w:lineRule="auto"/>
        <w:widowControl/>
        <w:rPr>
          <w:sz w:val="24"/>
        </w:rPr>
      </w:pPr>
      <w:r>
        <w:rPr>
          <w:sz w:val="24"/>
        </w:rPr>
        <w:t xml:space="preserve">4、服务时处理好与周边店铺、居民、行人的关系，避免扰民事件发生，如出现纠纷、伤人、造成财产损失等事件由</w:t>
      </w:r>
      <w:r>
        <w:rPr>
          <w:sz w:val="24"/>
        </w:rPr>
        <w:t xml:space="preserve">乙方</w:t>
      </w:r>
      <w:r/>
      <w:r>
        <w:rPr>
          <w:sz w:val="24"/>
        </w:rPr>
        <w:t xml:space="preserve">负责处理，并承担相关责任。</w:t>
      </w:r>
      <w:r/>
    </w:p>
    <w:p>
      <w:pPr>
        <w:ind w:firstLine="480"/>
        <w:jc w:val="left"/>
        <w:spacing w:line="360" w:lineRule="auto"/>
        <w:widowControl/>
        <w:rPr>
          <w:sz w:val="24"/>
        </w:rPr>
      </w:pPr>
      <w:r>
        <w:rPr>
          <w:sz w:val="24"/>
        </w:rPr>
        <w:t xml:space="preserve">5、如未按安全文明施工要求施工，交警、城管、环保等部门按规定进行行政执法的，由</w:t>
      </w:r>
      <w:r>
        <w:rPr>
          <w:sz w:val="24"/>
        </w:rPr>
        <w:t xml:space="preserve">乙方</w:t>
      </w:r>
      <w:r/>
      <w:r>
        <w:rPr>
          <w:sz w:val="24"/>
        </w:rPr>
        <w:t xml:space="preserve">自行处理，费用由</w:t>
      </w:r>
      <w:r>
        <w:rPr>
          <w:sz w:val="24"/>
        </w:rPr>
        <w:t xml:space="preserve">乙方</w:t>
      </w:r>
      <w:r/>
      <w:r>
        <w:rPr>
          <w:sz w:val="24"/>
        </w:rPr>
        <w:t xml:space="preserve">承担。</w:t>
      </w:r>
      <w:r/>
    </w:p>
    <w:p>
      <w:pPr>
        <w:ind w:firstLine="480"/>
        <w:jc w:val="left"/>
        <w:spacing w:line="360" w:lineRule="auto"/>
        <w:widowControl/>
        <w:rPr>
          <w:sz w:val="24"/>
        </w:rPr>
      </w:pPr>
      <w:r>
        <w:rPr>
          <w:sz w:val="24"/>
        </w:rPr>
        <w:t xml:space="preserve">6、</w:t>
      </w:r>
      <w:r>
        <w:rPr>
          <w:sz w:val="24"/>
        </w:rPr>
        <w:t xml:space="preserve">乙方</w:t>
      </w:r>
      <w:r>
        <w:rPr>
          <w:sz w:val="24"/>
        </w:rPr>
        <w:t xml:space="preserve">需在施工前后拍摄照片等图像资料作为竣工资料在工程结束后刻录成光盘移交给甲方。</w:t>
      </w:r>
      <w:r/>
    </w:p>
    <w:p>
      <w:pPr>
        <w:ind w:firstLine="480"/>
        <w:jc w:val="left"/>
        <w:spacing w:line="360" w:lineRule="auto"/>
        <w:widowControl/>
        <w:rPr>
          <w:sz w:val="24"/>
        </w:rPr>
      </w:pPr>
      <w:r>
        <w:rPr>
          <w:sz w:val="24"/>
        </w:rPr>
        <w:t xml:space="preserve">7、行道树修剪工作属高空作业，危险系数高，服务单位必须高度重视，并采取积极有效预防措施。服务过程中如因服务单位原因造成重大伤亡事故或其他严重影响的，由服务单位自行承担所有后果。  </w:t>
      </w:r>
      <w:r/>
    </w:p>
    <w:p>
      <w:pPr>
        <w:ind w:firstLine="480"/>
        <w:jc w:val="left"/>
        <w:spacing w:line="360" w:lineRule="auto"/>
        <w:widowControl/>
        <w:rPr>
          <w:sz w:val="24"/>
        </w:rPr>
      </w:pPr>
      <w:r>
        <w:rPr>
          <w:sz w:val="24"/>
        </w:rPr>
        <w:t xml:space="preserve">八、人员职责</w:t>
      </w:r>
      <w:r/>
    </w:p>
    <w:p>
      <w:pPr>
        <w:ind w:firstLine="480"/>
        <w:jc w:val="left"/>
        <w:spacing w:line="360" w:lineRule="auto"/>
        <w:widowControl/>
        <w:rPr>
          <w:sz w:val="24"/>
        </w:rPr>
      </w:pPr>
      <w:r>
        <w:rPr>
          <w:sz w:val="24"/>
        </w:rPr>
        <w:t xml:space="preserve">1、项目经理职责：</w:t>
      </w:r>
      <w:r/>
    </w:p>
    <w:p>
      <w:pPr>
        <w:ind w:firstLine="480"/>
        <w:jc w:val="left"/>
        <w:spacing w:line="360" w:lineRule="auto"/>
        <w:widowControl/>
        <w:rPr>
          <w:sz w:val="24"/>
        </w:rPr>
      </w:pPr>
      <w:r>
        <w:rPr>
          <w:sz w:val="24"/>
        </w:rPr>
        <w:t xml:space="preserve">（1）贯彻国家、地方有关法律法规及企业的规章制度，确保</w:t>
      </w:r>
      <w:r>
        <w:rPr>
          <w:sz w:val="24"/>
        </w:rPr>
        <w:t xml:space="preserve">甲方</w:t>
      </w:r>
      <w:r>
        <w:rPr>
          <w:sz w:val="24"/>
        </w:rPr>
        <w:t xml:space="preserve">下达的各项技术、进度、安全、质量指标的完成，对项目负责全面责任。代表</w:t>
      </w:r>
      <w:r>
        <w:rPr>
          <w:sz w:val="24"/>
        </w:rPr>
        <w:t xml:space="preserve">乙方</w:t>
      </w:r>
      <w:r/>
      <w:r>
        <w:rPr>
          <w:sz w:val="24"/>
        </w:rPr>
        <w:t xml:space="preserve">对养护项目进行管理，执行管理制度；</w:t>
      </w:r>
      <w:r/>
    </w:p>
    <w:p>
      <w:pPr>
        <w:ind w:firstLine="480"/>
        <w:jc w:val="left"/>
        <w:spacing w:line="360" w:lineRule="auto"/>
        <w:widowControl/>
        <w:rPr>
          <w:sz w:val="24"/>
        </w:rPr>
      </w:pPr>
      <w:r>
        <w:rPr>
          <w:sz w:val="24"/>
        </w:rPr>
        <w:t xml:space="preserve">（2）合理调配生产要素，实施对项目全面的计划、组织、协调和控制。组建养护项目部，选配养护人员，依据供应商规定确定人员报酬，定期考核、评价和奖惩；对本项目的养护质量、养护进度和安全生产负全部责任；</w:t>
      </w:r>
      <w:r/>
    </w:p>
    <w:p>
      <w:pPr>
        <w:ind w:firstLine="480"/>
        <w:jc w:val="left"/>
        <w:spacing w:line="360" w:lineRule="auto"/>
        <w:widowControl/>
        <w:rPr>
          <w:sz w:val="24"/>
        </w:rPr>
      </w:pPr>
      <w:r>
        <w:rPr>
          <w:sz w:val="24"/>
        </w:rPr>
        <w:t xml:space="preserve">（3）组织编制、部署、审批本项目的养护施工进度计划及具体实施情况。督促检查指导本项目各养护人员的执行情况，并安排有关的计划及调整措施，确保项目绿化养护质量；</w:t>
      </w:r>
      <w:r/>
    </w:p>
    <w:p>
      <w:pPr>
        <w:ind w:firstLine="480"/>
        <w:jc w:val="left"/>
        <w:spacing w:line="360" w:lineRule="auto"/>
        <w:widowControl/>
        <w:rPr>
          <w:sz w:val="24"/>
        </w:rPr>
      </w:pPr>
      <w:r>
        <w:rPr>
          <w:sz w:val="24"/>
        </w:rPr>
        <w:t xml:space="preserve">（4）负责养护资料收集整理及归档等，按要求每月向</w:t>
      </w:r>
      <w:r>
        <w:rPr>
          <w:sz w:val="24"/>
        </w:rPr>
        <w:t xml:space="preserve">甲方</w:t>
      </w:r>
      <w:r>
        <w:rPr>
          <w:sz w:val="24"/>
        </w:rPr>
        <w:t xml:space="preserve">汇报工作情况及下个月工作计划；</w:t>
      </w:r>
      <w:r/>
    </w:p>
    <w:p>
      <w:pPr>
        <w:ind w:firstLine="480"/>
        <w:jc w:val="left"/>
        <w:spacing w:line="360" w:lineRule="auto"/>
        <w:widowControl/>
        <w:rPr>
          <w:sz w:val="24"/>
        </w:rPr>
      </w:pPr>
      <w:r>
        <w:rPr>
          <w:sz w:val="24"/>
        </w:rPr>
        <w:t xml:space="preserve">（5）完成</w:t>
      </w:r>
      <w:r>
        <w:rPr>
          <w:sz w:val="24"/>
        </w:rPr>
        <w:t xml:space="preserve">甲方</w:t>
      </w:r>
      <w:r>
        <w:rPr>
          <w:sz w:val="24"/>
        </w:rPr>
        <w:t xml:space="preserve">安排的其他合理工作。</w:t>
      </w:r>
      <w:r/>
    </w:p>
    <w:p>
      <w:pPr>
        <w:ind w:firstLine="480"/>
        <w:jc w:val="left"/>
        <w:spacing w:line="360" w:lineRule="auto"/>
        <w:widowControl/>
        <w:rPr>
          <w:sz w:val="24"/>
        </w:rPr>
      </w:pPr>
      <w:r>
        <w:rPr>
          <w:sz w:val="24"/>
        </w:rPr>
        <w:t xml:space="preserve">2、绿化养护工职责：</w:t>
      </w:r>
      <w:r/>
    </w:p>
    <w:p>
      <w:pPr>
        <w:ind w:firstLine="480"/>
        <w:jc w:val="left"/>
        <w:spacing w:line="360" w:lineRule="auto"/>
        <w:widowControl/>
        <w:rPr>
          <w:sz w:val="24"/>
        </w:rPr>
      </w:pPr>
      <w:r>
        <w:rPr>
          <w:sz w:val="24"/>
        </w:rPr>
        <w:t xml:space="preserve">熟知各养护区域内种植花草树木的名称、生长特性和养护管理程序； 经常巡查管理范围内绿化植物的生长状况，及时组织修剪、施肥、淋水、杀虫、消毒等工作；</w:t>
      </w:r>
      <w:r/>
    </w:p>
    <w:p>
      <w:pPr>
        <w:ind w:firstLine="480"/>
        <w:jc w:val="left"/>
        <w:spacing w:line="360" w:lineRule="auto"/>
        <w:widowControl/>
        <w:rPr>
          <w:sz w:val="24"/>
        </w:rPr>
      </w:pPr>
      <w:r>
        <w:rPr>
          <w:sz w:val="24"/>
        </w:rPr>
        <w:t xml:space="preserve">（1）负责绿化养护区域内植物的定期施肥、浇水、除草，并及时的修枝整形，补栽补种和草坪的管理，掌握植物病虫害的防治方法；</w:t>
      </w:r>
      <w:r/>
    </w:p>
    <w:p>
      <w:pPr>
        <w:ind w:firstLine="480"/>
        <w:jc w:val="left"/>
        <w:spacing w:line="360" w:lineRule="auto"/>
        <w:widowControl/>
        <w:rPr>
          <w:sz w:val="24"/>
        </w:rPr>
      </w:pPr>
      <w:r>
        <w:rPr>
          <w:sz w:val="24"/>
        </w:rPr>
        <w:t xml:space="preserve">（2）正确并熟练养护机械的操作方法和安全使用规程；</w:t>
      </w:r>
      <w:r/>
    </w:p>
    <w:p>
      <w:pPr>
        <w:ind w:firstLine="480"/>
        <w:jc w:val="left"/>
        <w:spacing w:line="360" w:lineRule="auto"/>
        <w:widowControl/>
        <w:rPr>
          <w:sz w:val="24"/>
        </w:rPr>
      </w:pPr>
      <w:r>
        <w:rPr>
          <w:sz w:val="24"/>
        </w:rPr>
        <w:t xml:space="preserve">（3）做好防旱、排涝、防台风工作，参加突发事件的应急处理；</w:t>
      </w:r>
      <w:r/>
    </w:p>
    <w:p>
      <w:pPr>
        <w:ind w:firstLine="480"/>
        <w:jc w:val="left"/>
        <w:spacing w:line="360" w:lineRule="auto"/>
        <w:widowControl/>
        <w:rPr>
          <w:sz w:val="24"/>
        </w:rPr>
      </w:pPr>
      <w:r>
        <w:rPr>
          <w:sz w:val="24"/>
        </w:rPr>
        <w:t xml:space="preserve">（4）服从管理人员的工作安排，遵守工作纪律，定期总结学习专业知识， 提高养护技能，确保责任区域内的养护质量；</w:t>
      </w:r>
      <w:r/>
    </w:p>
    <w:p>
      <w:pPr>
        <w:ind w:firstLine="480"/>
        <w:jc w:val="left"/>
        <w:spacing w:line="360" w:lineRule="auto"/>
        <w:widowControl/>
        <w:rPr>
          <w:sz w:val="24"/>
        </w:rPr>
      </w:pPr>
      <w:r>
        <w:rPr>
          <w:sz w:val="24"/>
        </w:rPr>
        <w:t xml:space="preserve">（5）对疑问及事故情况及时的向</w:t>
      </w:r>
      <w:r>
        <w:rPr>
          <w:sz w:val="24"/>
        </w:rPr>
        <w:t xml:space="preserve">甲方</w:t>
      </w:r>
      <w:r>
        <w:rPr>
          <w:sz w:val="24"/>
        </w:rPr>
        <w:t xml:space="preserve">或现场技术人员报告；</w:t>
      </w:r>
      <w:r/>
    </w:p>
    <w:p>
      <w:pPr>
        <w:ind w:firstLine="480"/>
        <w:jc w:val="left"/>
        <w:spacing w:line="360" w:lineRule="auto"/>
        <w:widowControl/>
        <w:rPr>
          <w:sz w:val="24"/>
        </w:rPr>
      </w:pPr>
      <w:r>
        <w:rPr>
          <w:sz w:val="24"/>
        </w:rPr>
        <w:t xml:space="preserve">（6）完成</w:t>
      </w:r>
      <w:r>
        <w:rPr>
          <w:sz w:val="24"/>
        </w:rPr>
        <w:t xml:space="preserve">甲方</w:t>
      </w:r>
      <w:r>
        <w:rPr>
          <w:sz w:val="24"/>
        </w:rPr>
        <w:t xml:space="preserve">安排的其他合理工作。</w:t>
      </w:r>
      <w:r/>
    </w:p>
    <w:p>
      <w:pPr>
        <w:ind w:firstLine="480"/>
        <w:jc w:val="left"/>
        <w:spacing w:line="360" w:lineRule="auto"/>
        <w:widowControl/>
        <w:rPr>
          <w:sz w:val="24"/>
        </w:rPr>
      </w:pPr>
      <w:r>
        <w:rPr>
          <w:sz w:val="24"/>
        </w:rPr>
        <w:t xml:space="preserve">九、文明安全保护：</w:t>
      </w:r>
      <w:r/>
    </w:p>
    <w:p>
      <w:pPr>
        <w:ind w:firstLine="480"/>
        <w:jc w:val="left"/>
        <w:spacing w:line="360" w:lineRule="auto"/>
        <w:widowControl/>
        <w:rPr>
          <w:sz w:val="24"/>
        </w:rPr>
      </w:pPr>
      <w:r>
        <w:rPr>
          <w:sz w:val="24"/>
        </w:rPr>
      </w:r>
      <w:r>
        <w:rPr>
          <w:sz w:val="24"/>
        </w:rPr>
        <w:t xml:space="preserve">乙方</w:t>
      </w:r>
      <w:r/>
      <w:r>
        <w:rPr>
          <w:sz w:val="24"/>
        </w:rPr>
        <w:t xml:space="preserve">在养护期内除按要求做好巡视管护工作外，应做好安全防范措施，在第一时间内发现安全隐患，采取有效措施。</w:t>
      </w:r>
      <w:r/>
    </w:p>
    <w:p>
      <w:pPr>
        <w:ind w:firstLine="480"/>
        <w:jc w:val="left"/>
        <w:spacing w:line="360" w:lineRule="auto"/>
        <w:widowControl/>
        <w:rPr>
          <w:sz w:val="24"/>
        </w:rPr>
      </w:pPr>
      <w:r>
        <w:rPr>
          <w:sz w:val="24"/>
        </w:rPr>
        <w:t xml:space="preserve">1、</w:t>
      </w:r>
      <w:r>
        <w:rPr>
          <w:sz w:val="24"/>
        </w:rPr>
        <w:t xml:space="preserve">乙方</w:t>
      </w:r>
      <w:r/>
      <w:r>
        <w:rPr>
          <w:sz w:val="24"/>
        </w:rPr>
        <w:t xml:space="preserve">需对施工人员进行安全教育和培训。项目养护范围多为临水作业，且养护范围内防汛通道来往车辆较多，养护人员须着救身衣作业，项目经理须每月做好现场安全培训并形成台账报采购单位备案。</w:t>
      </w:r>
      <w:r/>
    </w:p>
    <w:p>
      <w:pPr>
        <w:ind w:firstLine="480"/>
        <w:jc w:val="left"/>
        <w:spacing w:line="360" w:lineRule="auto"/>
        <w:widowControl/>
        <w:rPr>
          <w:sz w:val="24"/>
        </w:rPr>
      </w:pPr>
      <w:r>
        <w:rPr>
          <w:sz w:val="24"/>
        </w:rPr>
        <w:t xml:space="preserve">2、</w:t>
      </w:r>
      <w:r>
        <w:rPr>
          <w:sz w:val="24"/>
        </w:rPr>
        <w:t xml:space="preserve">乙方</w:t>
      </w:r>
      <w:r/>
      <w:r>
        <w:rPr>
          <w:sz w:val="24"/>
        </w:rPr>
        <w:t xml:space="preserve">作业人员须遵守</w:t>
      </w:r>
      <w:r>
        <w:rPr>
          <w:sz w:val="24"/>
        </w:rPr>
        <w:t xml:space="preserve">甲方</w:t>
      </w:r>
      <w:r>
        <w:rPr>
          <w:sz w:val="24"/>
        </w:rPr>
        <w:t xml:space="preserve">用电、用油等安全管理规章制度。</w:t>
      </w:r>
      <w:r/>
    </w:p>
    <w:p>
      <w:pPr>
        <w:ind w:firstLine="480"/>
        <w:jc w:val="left"/>
        <w:spacing w:line="360" w:lineRule="auto"/>
        <w:widowControl/>
        <w:rPr>
          <w:sz w:val="24"/>
        </w:rPr>
      </w:pPr>
      <w:r>
        <w:rPr>
          <w:sz w:val="24"/>
        </w:rPr>
        <w:t xml:space="preserve">4、养护期限内，涉及</w:t>
      </w:r>
      <w:r>
        <w:rPr>
          <w:sz w:val="24"/>
        </w:rPr>
        <w:t xml:space="preserve">乙方</w:t>
      </w:r>
      <w:r/>
      <w:r>
        <w:rPr>
          <w:sz w:val="24"/>
        </w:rPr>
        <w:t xml:space="preserve">作业人员安全问题、事故责任等产生的一切费用，均由</w:t>
      </w:r>
      <w:r>
        <w:rPr>
          <w:sz w:val="24"/>
        </w:rPr>
        <w:t xml:space="preserve">乙方</w:t>
      </w:r>
      <w:r/>
      <w:r>
        <w:rPr>
          <w:sz w:val="24"/>
        </w:rPr>
        <w:t xml:space="preserve">负责。</w:t>
      </w:r>
      <w:r/>
    </w:p>
    <w:p>
      <w:pPr>
        <w:ind w:firstLine="480"/>
        <w:jc w:val="left"/>
        <w:spacing w:line="360" w:lineRule="auto"/>
        <w:widowControl/>
        <w:rPr>
          <w:sz w:val="24"/>
        </w:rPr>
      </w:pPr>
      <w:r>
        <w:rPr>
          <w:sz w:val="24"/>
        </w:rPr>
        <w:t xml:space="preserve">5、若养护期间，</w:t>
      </w:r>
      <w:r>
        <w:rPr>
          <w:sz w:val="24"/>
        </w:rPr>
        <w:t xml:space="preserve">乙方</w:t>
      </w:r>
      <w:r/>
      <w:r>
        <w:rPr>
          <w:sz w:val="24"/>
        </w:rPr>
        <w:t xml:space="preserve">警示隔离设施、现场警戒人员未安排到位，发生安全事故，所有责任由</w:t>
      </w:r>
      <w:r>
        <w:rPr>
          <w:sz w:val="24"/>
        </w:rPr>
        <w:t xml:space="preserve">乙方</w:t>
      </w:r>
      <w:r/>
      <w:r>
        <w:rPr>
          <w:sz w:val="24"/>
        </w:rPr>
        <w:t xml:space="preserve">负责承担。</w:t>
      </w:r>
      <w:r/>
    </w:p>
    <w:p>
      <w:pPr>
        <w:ind w:firstLine="480"/>
        <w:jc w:val="left"/>
        <w:spacing w:line="360" w:lineRule="auto"/>
        <w:widowControl/>
        <w:rPr>
          <w:sz w:val="24"/>
        </w:rPr>
      </w:pPr>
      <w:r>
        <w:rPr>
          <w:sz w:val="24"/>
        </w:rPr>
        <w:t xml:space="preserve">6、若养护期间，未及时检查清除枯枝危膀，发生断枝掉落伤人伤物等安全事故，所有责任由</w:t>
      </w:r>
      <w:r>
        <w:rPr>
          <w:sz w:val="24"/>
        </w:rPr>
        <w:t xml:space="preserve">乙方</w:t>
      </w:r>
      <w:r/>
      <w:r>
        <w:rPr>
          <w:sz w:val="24"/>
        </w:rPr>
        <w:t xml:space="preserve">负责承担。</w:t>
      </w:r>
      <w:r/>
    </w:p>
    <w:p>
      <w:pPr>
        <w:ind w:firstLine="480"/>
        <w:jc w:val="left"/>
        <w:spacing w:line="360" w:lineRule="auto"/>
        <w:widowControl/>
        <w:rPr>
          <w:sz w:val="24"/>
        </w:rPr>
      </w:pPr>
      <w:r>
        <w:rPr>
          <w:sz w:val="24"/>
        </w:rPr>
        <w:t xml:space="preserve">7、本项目所需肥料、农药、除草剂、机械、工具、配件耗材、汽油、柴油、劳保用品等均由中标单位提供。严禁使用国家命令禁止的农药、除草剂（以人工除草为主）。</w:t>
      </w:r>
      <w:r/>
    </w:p>
    <w:p>
      <w:pPr>
        <w:ind w:firstLine="480"/>
        <w:jc w:val="left"/>
        <w:spacing w:line="360" w:lineRule="auto"/>
        <w:widowControl/>
        <w:rPr>
          <w:sz w:val="24"/>
        </w:rPr>
      </w:pPr>
      <w:r>
        <w:rPr>
          <w:sz w:val="24"/>
        </w:rPr>
        <w:t xml:space="preserve">十、应急响应：</w:t>
      </w:r>
      <w:r/>
    </w:p>
    <w:p>
      <w:pPr>
        <w:ind w:firstLine="480"/>
        <w:jc w:val="left"/>
        <w:spacing w:line="360" w:lineRule="auto"/>
        <w:widowControl/>
        <w:rPr>
          <w:sz w:val="24"/>
        </w:rPr>
      </w:pPr>
      <w:r>
        <w:rPr>
          <w:sz w:val="24"/>
        </w:rPr>
        <w:t xml:space="preserve">1、</w:t>
      </w:r>
      <w:r>
        <w:rPr>
          <w:sz w:val="24"/>
        </w:rPr>
        <w:t xml:space="preserve">乙方</w:t>
      </w:r>
      <w:r/>
      <w:r>
        <w:rPr>
          <w:sz w:val="24"/>
        </w:rPr>
        <w:t xml:space="preserve">须具备应急抢险机制与能力，绿地养护应急工作方案，按110联动要求，能在出险半小时内到达现场组织抢险。</w:t>
      </w:r>
      <w:r/>
    </w:p>
    <w:p>
      <w:pPr>
        <w:ind w:firstLine="480"/>
        <w:jc w:val="left"/>
        <w:spacing w:line="360" w:lineRule="auto"/>
        <w:widowControl/>
        <w:rPr>
          <w:sz w:val="24"/>
        </w:rPr>
      </w:pPr>
      <w:r>
        <w:rPr>
          <w:sz w:val="24"/>
        </w:rPr>
        <w:t xml:space="preserve">2、如出现大雪、台风、强对流、高温等天气，</w:t>
      </w:r>
      <w:r>
        <w:rPr>
          <w:sz w:val="24"/>
        </w:rPr>
        <w:t xml:space="preserve">乙方</w:t>
      </w:r>
      <w:r/>
      <w:r>
        <w:rPr>
          <w:sz w:val="24"/>
        </w:rPr>
        <w:t xml:space="preserve">必须根据采购方要求对植物采取除雪、应急修剪处置、支撑等措施，消除安全隐患。临时用工用于树木扶正、修剪、道路清障、抗旱浇水、人工除草等工作，发生费用（人工、材料）由</w:t>
      </w:r>
      <w:r>
        <w:rPr>
          <w:sz w:val="24"/>
        </w:rPr>
        <w:t xml:space="preserve">乙方</w:t>
      </w:r>
      <w:r/>
      <w:r>
        <w:rPr>
          <w:sz w:val="24"/>
        </w:rPr>
        <w:t xml:space="preserve">承担，</w:t>
      </w:r>
      <w:r>
        <w:rPr>
          <w:sz w:val="24"/>
        </w:rPr>
        <w:t xml:space="preserve">乙方</w:t>
      </w:r>
      <w:r/>
      <w:r>
        <w:rPr>
          <w:sz w:val="24"/>
        </w:rPr>
        <w:t xml:space="preserve">报价应充分考虑此项费用。</w:t>
      </w:r>
      <w:r/>
    </w:p>
    <w:p>
      <w:pPr>
        <w:ind w:firstLine="480"/>
        <w:jc w:val="left"/>
        <w:spacing w:line="360" w:lineRule="auto"/>
        <w:widowControl/>
        <w:rPr>
          <w:sz w:val="24"/>
        </w:rPr>
      </w:pPr>
      <w:r>
        <w:rPr>
          <w:sz w:val="24"/>
        </w:rPr>
        <w:t xml:space="preserve">3、出现强对流等恶劣天气时，提前1—2天做好高大树木加固、危枝危膀剪除等防范措施，抢险应急队伍24小时值班待命；事中做到抢险人员主动上路巡视，主动发现问题、主动解除险情；事后及时清理现场做好善后工作。在做好分包范围绿地内的应急抢险任务外，服从</w:t>
      </w:r>
      <w:r>
        <w:rPr>
          <w:sz w:val="24"/>
        </w:rPr>
        <w:t xml:space="preserve">甲方</w:t>
      </w:r>
      <w:r>
        <w:rPr>
          <w:sz w:val="24"/>
        </w:rPr>
        <w:t xml:space="preserve">的统一调度，确保完成</w:t>
      </w:r>
      <w:r>
        <w:rPr>
          <w:sz w:val="24"/>
        </w:rPr>
        <w:t xml:space="preserve">甲方</w:t>
      </w:r>
      <w:r>
        <w:rPr>
          <w:sz w:val="24"/>
        </w:rPr>
        <w:t xml:space="preserve">另行安排的其它应急抢险任务。</w:t>
      </w:r>
      <w:r/>
    </w:p>
    <w:p>
      <w:pPr>
        <w:ind w:firstLine="480"/>
        <w:jc w:val="left"/>
        <w:spacing w:line="360" w:lineRule="auto"/>
        <w:widowControl/>
        <w:rPr>
          <w:sz w:val="24"/>
        </w:rPr>
      </w:pPr>
      <w:r>
        <w:rPr>
          <w:sz w:val="24"/>
        </w:rPr>
        <w:t xml:space="preserve">4、因政府重大活动或突发性事件而必须实施的应急整治任务，由</w:t>
      </w:r>
      <w:r>
        <w:rPr>
          <w:sz w:val="24"/>
        </w:rPr>
        <w:t xml:space="preserve">甲方</w:t>
      </w:r>
      <w:r>
        <w:rPr>
          <w:sz w:val="24"/>
        </w:rPr>
        <w:t xml:space="preserve">按相关规定落实</w:t>
      </w:r>
      <w:r>
        <w:rPr>
          <w:sz w:val="24"/>
        </w:rPr>
        <w:t xml:space="preserve">乙方</w:t>
      </w:r>
      <w:r>
        <w:rPr>
          <w:sz w:val="24"/>
        </w:rPr>
        <w:t xml:space="preserve">实施的，</w:t>
      </w:r>
      <w:r>
        <w:rPr>
          <w:sz w:val="24"/>
        </w:rPr>
        <w:t xml:space="preserve">乙方</w:t>
      </w:r>
      <w:r>
        <w:rPr>
          <w:sz w:val="24"/>
        </w:rPr>
        <w:t xml:space="preserve">应保质保量完成。</w:t>
      </w:r>
      <w:r/>
    </w:p>
    <w:p>
      <w:pPr>
        <w:ind w:firstLine="480"/>
        <w:jc w:val="left"/>
        <w:spacing w:line="360" w:lineRule="auto"/>
        <w:widowControl/>
        <w:rPr>
          <w:sz w:val="24"/>
        </w:rPr>
      </w:pPr>
      <w:r>
        <w:rPr>
          <w:sz w:val="24"/>
        </w:rPr>
        <w:t xml:space="preserve">5、突击工作应服从</w:t>
      </w:r>
      <w:r>
        <w:rPr>
          <w:sz w:val="24"/>
        </w:rPr>
        <w:t xml:space="preserve">甲方</w:t>
      </w:r>
      <w:r>
        <w:rPr>
          <w:sz w:val="24"/>
        </w:rPr>
        <w:t xml:space="preserve">安排，增派人员和设备。</w:t>
      </w:r>
      <w:r>
        <w:rPr>
          <w:sz w:val="24"/>
        </w:rPr>
        <w:t xml:space="preserve">乙方</w:t>
      </w:r>
      <w:r/>
      <w:r>
        <w:rPr>
          <w:sz w:val="24"/>
        </w:rPr>
        <w:t xml:space="preserve">须在24小时内响应</w:t>
      </w:r>
      <w:r>
        <w:rPr>
          <w:sz w:val="24"/>
        </w:rPr>
        <w:t xml:space="preserve">甲方</w:t>
      </w:r>
      <w:r>
        <w:rPr>
          <w:sz w:val="24"/>
        </w:rPr>
        <w:t xml:space="preserve">提出的养护（修剪、抗旱浇水、排除险情等）、补植通知。超过24小时仍未响应，且48小时内仍未完成相关工作。</w:t>
      </w:r>
      <w:r>
        <w:rPr>
          <w:sz w:val="24"/>
        </w:rPr>
        <w:t xml:space="preserve">甲方</w:t>
      </w:r>
      <w:r>
        <w:rPr>
          <w:sz w:val="24"/>
        </w:rPr>
        <w:t xml:space="preserve">有权自行安排工作任务，发生费用从合同金额中扣除。类似情况发生2次，</w:t>
      </w:r>
      <w:r>
        <w:rPr>
          <w:sz w:val="24"/>
        </w:rPr>
        <w:t xml:space="preserve">甲方</w:t>
      </w:r>
      <w:r>
        <w:rPr>
          <w:sz w:val="24"/>
        </w:rPr>
        <w:t xml:space="preserve">有权单方面解除合同。</w:t>
      </w:r>
      <w:r/>
    </w:p>
    <w:p>
      <w:pPr>
        <w:ind w:firstLine="480"/>
        <w:jc w:val="left"/>
        <w:spacing w:line="360" w:lineRule="auto"/>
        <w:widowControl/>
        <w:rPr>
          <w:sz w:val="24"/>
        </w:rPr>
      </w:pPr>
      <w:r>
        <w:rPr>
          <w:sz w:val="24"/>
        </w:rPr>
        <w:t xml:space="preserve">十一、养护事项：</w:t>
      </w:r>
      <w:r/>
    </w:p>
    <w:p>
      <w:pPr>
        <w:ind w:firstLine="480"/>
        <w:jc w:val="left"/>
        <w:spacing w:line="360" w:lineRule="auto"/>
        <w:widowControl/>
        <w:rPr>
          <w:sz w:val="24"/>
        </w:rPr>
      </w:pPr>
      <w:r>
        <w:rPr>
          <w:sz w:val="24"/>
        </w:rPr>
        <w:t xml:space="preserve">1、</w:t>
      </w:r>
      <w:r>
        <w:rPr>
          <w:sz w:val="24"/>
        </w:rPr>
        <w:t xml:space="preserve">乙方</w:t>
      </w:r>
      <w:r/>
      <w:r>
        <w:rPr>
          <w:sz w:val="24"/>
        </w:rPr>
        <w:t xml:space="preserve">应为绿化养护工配备作业车辆。</w:t>
      </w:r>
      <w:r/>
    </w:p>
    <w:p>
      <w:pPr>
        <w:ind w:firstLine="480"/>
        <w:jc w:val="left"/>
        <w:spacing w:line="360" w:lineRule="auto"/>
        <w:widowControl/>
        <w:rPr>
          <w:sz w:val="24"/>
        </w:rPr>
      </w:pPr>
      <w:r>
        <w:rPr>
          <w:sz w:val="24"/>
        </w:rPr>
        <w:t xml:space="preserve">2、遇</w:t>
      </w:r>
      <w:r>
        <w:rPr>
          <w:sz w:val="24"/>
        </w:rPr>
        <w:t xml:space="preserve">甲方</w:t>
      </w:r>
      <w:r>
        <w:rPr>
          <w:sz w:val="24"/>
        </w:rPr>
        <w:t xml:space="preserve">有临时任务时，</w:t>
      </w:r>
      <w:r>
        <w:rPr>
          <w:sz w:val="24"/>
        </w:rPr>
        <w:t xml:space="preserve">乙方</w:t>
      </w:r>
      <w:r/>
      <w:r>
        <w:rPr>
          <w:sz w:val="24"/>
        </w:rPr>
        <w:t xml:space="preserve">应具备应急调度能力，12小时内集结增加作业人员不少于15名，24小时内集结增加作业人数不少于30名。费用包含在响应报价中不再另行计费。</w:t>
      </w:r>
      <w:r/>
    </w:p>
    <w:p>
      <w:pPr>
        <w:ind w:firstLine="480"/>
        <w:jc w:val="left"/>
        <w:spacing w:line="360" w:lineRule="auto"/>
        <w:widowControl/>
        <w:rPr>
          <w:sz w:val="24"/>
        </w:rPr>
      </w:pPr>
      <w:r>
        <w:rPr>
          <w:sz w:val="24"/>
        </w:rPr>
        <w:t xml:space="preserve">3、常驻人员须熟练使用智能手机，不得破坏采购方安装的设备。 </w:t>
      </w:r>
      <w:r/>
    </w:p>
    <w:p>
      <w:pPr>
        <w:ind w:firstLine="480"/>
        <w:jc w:val="left"/>
        <w:spacing w:line="360" w:lineRule="auto"/>
        <w:widowControl/>
        <w:rPr>
          <w:sz w:val="24"/>
        </w:rPr>
      </w:pPr>
      <w:r>
        <w:rPr>
          <w:sz w:val="24"/>
        </w:rPr>
        <w:t xml:space="preserve">4、常驻人员应按要求准时上岗，如发生人员脱岗、缺勤，迟到，累计发现三次。甲方有权要求乙方进行更换。</w:t>
      </w:r>
      <w:r/>
    </w:p>
    <w:p>
      <w:pPr>
        <w:ind w:firstLine="480"/>
        <w:jc w:val="left"/>
        <w:spacing w:line="360" w:lineRule="auto"/>
        <w:widowControl/>
        <w:rPr>
          <w:sz w:val="24"/>
        </w:rPr>
      </w:pPr>
      <w:r>
        <w:rPr>
          <w:sz w:val="24"/>
        </w:rPr>
        <w:t xml:space="preserve">5、</w:t>
      </w:r>
      <w:r>
        <w:rPr>
          <w:sz w:val="24"/>
        </w:rPr>
        <w:t xml:space="preserve">乙方</w:t>
      </w:r>
      <w:r/>
      <w:r>
        <w:rPr>
          <w:sz w:val="24"/>
        </w:rPr>
        <w:t xml:space="preserve">负责及时清理绿化养护现场产生的废弃物（树叶、树枝、杂草、竹类、荷叶等），做到工完场清，及时清运处理绿化垃圾房废弃物，严禁焚烧，其他绿化废弃物也须清运处理，并承担相应垃圾清运处理费用，养护方报价时应充分考虑绿化废弃物清运和统一处理的费用。</w:t>
      </w:r>
      <w:r/>
    </w:p>
    <w:p>
      <w:pPr>
        <w:ind w:firstLine="480"/>
        <w:jc w:val="left"/>
        <w:spacing w:line="360" w:lineRule="auto"/>
        <w:widowControl/>
        <w:rPr>
          <w:sz w:val="24"/>
        </w:rPr>
      </w:pPr>
      <w:r>
        <w:rPr>
          <w:sz w:val="24"/>
        </w:rPr>
        <w:t xml:space="preserve">6、本项目拟配备的专业设备和机具：机械设备的维护有保障，实行定期专人维护，不得使用老、破、旧设备，不得使用破损漏水的水管。养护期内不得把上述设备调离本项目养护范围。</w:t>
      </w:r>
      <w:r/>
    </w:p>
    <w:p>
      <w:pPr>
        <w:ind w:firstLine="480"/>
        <w:jc w:val="left"/>
        <w:spacing w:line="360" w:lineRule="auto"/>
        <w:widowControl/>
        <w:rPr>
          <w:sz w:val="24"/>
        </w:rPr>
      </w:pPr>
      <w:r>
        <w:rPr>
          <w:sz w:val="24"/>
        </w:rPr>
        <w:t xml:space="preserve">7、进场后对原有养护苗木清点签字确认，合同期满后，</w:t>
      </w:r>
      <w:r>
        <w:rPr>
          <w:sz w:val="24"/>
        </w:rPr>
        <w:t xml:space="preserve">乙方</w:t>
      </w:r>
      <w:r>
        <w:rPr>
          <w:sz w:val="24"/>
        </w:rPr>
        <w:t xml:space="preserve">按照接收苗木数量无瑕疵移交，有缺损按项目内同规格和品种补植。</w:t>
      </w:r>
      <w:r/>
    </w:p>
    <w:p>
      <w:pPr>
        <w:ind w:firstLine="480"/>
        <w:jc w:val="left"/>
        <w:spacing w:line="360" w:lineRule="auto"/>
        <w:widowControl/>
        <w:rPr>
          <w:sz w:val="24"/>
        </w:rPr>
      </w:pPr>
      <w:r>
        <w:rPr>
          <w:sz w:val="24"/>
        </w:rPr>
        <w:t xml:space="preserve">十</w:t>
      </w:r>
      <w:r>
        <w:rPr>
          <w:rFonts w:hint="eastAsia"/>
          <w:sz w:val="24"/>
          <w:lang w:eastAsia="zh-CN"/>
        </w:rPr>
        <w:t xml:space="preserve">二</w:t>
      </w:r>
      <w:r>
        <w:rPr>
          <w:sz w:val="24"/>
        </w:rPr>
        <w:t xml:space="preserve">、违约责任</w:t>
      </w:r>
      <w:r/>
    </w:p>
    <w:p>
      <w:pPr>
        <w:ind w:firstLine="480"/>
        <w:jc w:val="left"/>
        <w:spacing w:line="360" w:lineRule="auto"/>
        <w:widowControl/>
        <w:rPr>
          <w:sz w:val="24"/>
        </w:rPr>
      </w:pPr>
      <w:r>
        <w:rPr>
          <w:sz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jc w:val="left"/>
        <w:spacing w:line="360" w:lineRule="auto"/>
        <w:widowControl/>
        <w:rPr>
          <w:sz w:val="24"/>
        </w:rPr>
      </w:pPr>
      <w:r>
        <w:rPr>
          <w:sz w:val="24"/>
        </w:rPr>
        <w:t xml:space="preserve">1、乙方无正当理由不能按期完成作业的，应按逾期服务总额每日万分之四向甲方支付违约金，由甲方从待付服务款中扣除。</w:t>
      </w:r>
      <w:r/>
    </w:p>
    <w:p>
      <w:pPr>
        <w:ind w:firstLine="480"/>
        <w:jc w:val="left"/>
        <w:spacing w:line="360" w:lineRule="auto"/>
        <w:widowControl/>
        <w:rPr>
          <w:sz w:val="24"/>
        </w:rPr>
      </w:pPr>
      <w:r>
        <w:rPr>
          <w:sz w:val="24"/>
        </w:rPr>
        <w:t xml:space="preserve">2、逾期超过约定日期10个工作日不能完成服务的，甲方有权立即终止合同，乙方仍需向甲方支付全部延期完成服务的违约金，并赔偿甲方相关损失，双倍返还定金及甲方已支付的合同款。</w:t>
      </w:r>
      <w:r/>
    </w:p>
    <w:p>
      <w:pPr>
        <w:ind w:firstLine="480"/>
        <w:jc w:val="left"/>
        <w:spacing w:line="360" w:lineRule="auto"/>
        <w:widowControl/>
        <w:rPr>
          <w:sz w:val="24"/>
        </w:rPr>
      </w:pPr>
      <w:r>
        <w:rPr>
          <w:sz w:val="24"/>
        </w:rPr>
        <w:t xml:space="preserve">3、乙方因违反合同及招标文件其他应尽义务的，甲方有权根据乙方违约程度要求乙方支付相当于合同总价款5%的违约金。如造成甲方损失超过违约金的，超出部分由乙方继续承担赔偿责任。</w:t>
      </w:r>
      <w:r/>
    </w:p>
    <w:p>
      <w:pPr>
        <w:ind w:firstLine="480"/>
        <w:jc w:val="left"/>
        <w:spacing w:line="360" w:lineRule="auto"/>
        <w:widowControl/>
        <w:rPr>
          <w:sz w:val="24"/>
        </w:rPr>
      </w:pPr>
      <w:r>
        <w:rPr>
          <w:sz w:val="24"/>
        </w:rPr>
        <w:t xml:space="preserve">4、乙方应在甲、乙双方另外规定的时间内，服务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80"/>
        <w:jc w:val="left"/>
        <w:spacing w:line="360" w:lineRule="auto"/>
        <w:widowControl/>
        <w:rPr>
          <w:sz w:val="24"/>
        </w:rPr>
      </w:pPr>
      <w:r>
        <w:rPr>
          <w:sz w:val="24"/>
        </w:rPr>
        <w:t xml:space="preserve">5、乙方全部履行合同，甲方在收到乙方的付款通知后按合同规定的付款方式付款。</w:t>
      </w:r>
      <w:r/>
    </w:p>
    <w:p>
      <w:pPr>
        <w:ind w:firstLine="480"/>
        <w:jc w:val="left"/>
        <w:spacing w:line="360" w:lineRule="auto"/>
        <w:widowControl/>
        <w:rPr>
          <w:sz w:val="24"/>
        </w:rPr>
      </w:pPr>
      <w:r>
        <w:rPr>
          <w:sz w:val="24"/>
        </w:rPr>
        <w:t xml:space="preserve">6、由于乙方提供的项目成果质量不合格，乙方应负责无偿给予完善使其达到质量合格；若乙方无力补充完善，需另委托其他单位时，乙方应承担全部费用；或因项目质量造成重大经济或项目事故时，乙方除应负法律和免收直接受损失部分外，并根据损失程度向甲方支付赔偿金。</w:t>
      </w:r>
      <w:r/>
    </w:p>
    <w:p>
      <w:pPr>
        <w:ind w:firstLine="480"/>
        <w:jc w:val="left"/>
        <w:spacing w:line="360" w:lineRule="auto"/>
        <w:widowControl/>
        <w:rPr>
          <w:sz w:val="24"/>
        </w:rPr>
      </w:pPr>
      <w:r>
        <w:rPr>
          <w:sz w:val="24"/>
        </w:rPr>
        <w:t xml:space="preserve">十三、索赔</w:t>
      </w:r>
      <w:r/>
    </w:p>
    <w:p>
      <w:pPr>
        <w:ind w:firstLine="480"/>
        <w:jc w:val="left"/>
        <w:spacing w:line="360" w:lineRule="auto"/>
        <w:widowControl/>
        <w:rPr>
          <w:sz w:val="24"/>
        </w:rPr>
      </w:pPr>
      <w:r>
        <w:rPr>
          <w:sz w:val="24"/>
        </w:rPr>
        <w:t xml:space="preserve">如在服务过程中，甲方发现服务的内容与品质与合同内容有不符及根据甲方按国家标准或行业标准自己检验的结果或当地技监部门的检验结果，或者在服务质量保证期限内，如果服务的数量、质量或质量与合同不符或证实服务是有缺陷的，包括潜在缺陷或服务中使用不符合要求的材料等时，有权向乙方提出索赔，乙方在收到甲方索赔通知后2天内应免费服务或更换有服务质量缺陷的人员。如果乙方在收到通知后2天内没有弥补缺陷，甲方可采取必要的补救措施，但风险和费用将由乙方承担，同时甲方对乙方行使的其它权利不受影响。</w:t>
      </w:r>
      <w:r/>
    </w:p>
    <w:p>
      <w:pPr>
        <w:ind w:firstLine="480"/>
        <w:jc w:val="left"/>
        <w:spacing w:line="360" w:lineRule="auto"/>
        <w:widowControl/>
        <w:rPr>
          <w:sz w:val="24"/>
        </w:rPr>
      </w:pPr>
      <w:r>
        <w:rPr>
          <w:sz w:val="24"/>
        </w:rPr>
        <w:t xml:space="preserve">索赔方式除上述规定之外，甲方还有权选择以下方式进行索赔：</w:t>
      </w:r>
      <w:r/>
    </w:p>
    <w:p>
      <w:pPr>
        <w:ind w:firstLine="480"/>
        <w:jc w:val="left"/>
        <w:spacing w:line="360" w:lineRule="auto"/>
        <w:widowControl/>
        <w:rPr>
          <w:sz w:val="24"/>
        </w:rPr>
      </w:pPr>
      <w:r>
        <w:rPr>
          <w:sz w:val="24"/>
        </w:rPr>
        <w:t xml:space="preserve">1、乙方同意退出服务，并双倍返还定金及甲方已支付的合同款，并承担由此发生的一切损失和费用。</w:t>
      </w:r>
      <w:r/>
    </w:p>
    <w:p>
      <w:pPr>
        <w:ind w:firstLine="480"/>
        <w:jc w:val="left"/>
        <w:spacing w:line="360" w:lineRule="auto"/>
        <w:widowControl/>
        <w:rPr>
          <w:sz w:val="24"/>
        </w:rPr>
      </w:pPr>
      <w:r>
        <w:rPr>
          <w:sz w:val="24"/>
        </w:rPr>
        <w:t xml:space="preserve">2、根据服务的完成程度以及甲方遭受损失的数额，经甲乙双方商定降低服务的价格。</w:t>
      </w:r>
      <w:r/>
    </w:p>
    <w:p>
      <w:pPr>
        <w:ind w:firstLine="480"/>
        <w:jc w:val="left"/>
        <w:spacing w:line="360" w:lineRule="auto"/>
        <w:widowControl/>
        <w:rPr>
          <w:sz w:val="24"/>
        </w:rPr>
      </w:pPr>
      <w:r>
        <w:rPr>
          <w:sz w:val="24"/>
        </w:rPr>
        <w:t xml:space="preserve">3、用符合规格、质量的服务人员来更换现有服务人员，乙方应承担一切费用和风险并负担甲方所发生的一切直接费用。同时，乙方应按合同规定，相应延长服务期。</w:t>
      </w:r>
      <w:r/>
    </w:p>
    <w:p>
      <w:pPr>
        <w:ind w:firstLine="480"/>
        <w:jc w:val="left"/>
        <w:spacing w:line="360" w:lineRule="auto"/>
        <w:widowControl/>
        <w:rPr>
          <w:sz w:val="24"/>
        </w:rPr>
      </w:pPr>
      <w:r>
        <w:rPr>
          <w:sz w:val="24"/>
        </w:rPr>
        <w:t xml:space="preserve">4、从尚未支付的合同价款中扣除乙方应承担的违约金、赔偿金以及甲方因更换服务人员而支付的各种费用以及因索赔而发生的合理费用，包括律师费用。如果这些金额不足以补偿索赔金额，甲方有权向乙方提出对不足部分的补偿。</w:t>
      </w:r>
      <w:r/>
    </w:p>
    <w:p>
      <w:pPr>
        <w:ind w:firstLine="480"/>
        <w:jc w:val="left"/>
        <w:spacing w:line="360" w:lineRule="auto"/>
        <w:widowControl/>
        <w:rPr>
          <w:sz w:val="24"/>
        </w:rPr>
      </w:pPr>
      <w:r>
        <w:rPr>
          <w:sz w:val="24"/>
        </w:rPr>
        <w:t xml:space="preserve">十四、不可抗力</w:t>
      </w:r>
      <w:r/>
    </w:p>
    <w:p>
      <w:pPr>
        <w:ind w:firstLine="480"/>
        <w:jc w:val="left"/>
        <w:spacing w:line="360" w:lineRule="auto"/>
        <w:widowControl/>
        <w:rPr>
          <w:sz w:val="24"/>
        </w:rPr>
      </w:pPr>
      <w:r>
        <w:rPr>
          <w:sz w:val="24"/>
        </w:rPr>
        <w:t xml:space="preserve">1、因不可抗力（或甲、乙双方不能控制的原因）不能履行合同的，根据不可抗力的影响，部分或者全部免除责任。但合同一方迟延履行后发生不可抗力的，不能免除责任。</w:t>
      </w:r>
      <w:r/>
    </w:p>
    <w:p>
      <w:pPr>
        <w:ind w:firstLine="480"/>
        <w:jc w:val="left"/>
        <w:spacing w:line="360" w:lineRule="auto"/>
        <w:widowControl/>
        <w:rPr>
          <w:sz w:val="24"/>
        </w:rPr>
      </w:pPr>
      <w:r>
        <w:rPr>
          <w:sz w:val="24"/>
        </w:rPr>
        <w:t xml:space="preserve">2、合同一方因不可抗力不能履行合同的，应当及时通知对方，以减轻可能给对方造成的损失，并应当在合理期限内提供证明。</w:t>
      </w:r>
      <w:r/>
    </w:p>
    <w:p>
      <w:pPr>
        <w:ind w:firstLine="480"/>
        <w:jc w:val="left"/>
        <w:spacing w:line="360" w:lineRule="auto"/>
        <w:widowControl/>
        <w:rPr>
          <w:sz w:val="24"/>
        </w:rPr>
      </w:pPr>
      <w:r>
        <w:rPr>
          <w:sz w:val="24"/>
        </w:rPr>
        <w:t xml:space="preserve">十五、合同的解除和转让</w:t>
      </w:r>
      <w:r/>
    </w:p>
    <w:p>
      <w:pPr>
        <w:ind w:firstLine="480"/>
        <w:jc w:val="left"/>
        <w:spacing w:line="360" w:lineRule="auto"/>
        <w:widowControl/>
        <w:rPr>
          <w:sz w:val="24"/>
        </w:rPr>
      </w:pPr>
      <w:r>
        <w:rPr>
          <w:sz w:val="24"/>
        </w:rPr>
        <w:t xml:space="preserve">1、甲方和乙方协商一致，可以解除合同。</w:t>
      </w:r>
      <w:r/>
    </w:p>
    <w:p>
      <w:pPr>
        <w:ind w:firstLine="480"/>
        <w:jc w:val="left"/>
        <w:spacing w:line="360" w:lineRule="auto"/>
        <w:widowControl/>
        <w:rPr>
          <w:sz w:val="24"/>
        </w:rPr>
      </w:pPr>
      <w:r>
        <w:rPr>
          <w:sz w:val="24"/>
        </w:rPr>
        <w:t xml:space="preserve">2、有下列情形之一，合同一方可以解除合同：</w:t>
      </w:r>
      <w:r/>
    </w:p>
    <w:p>
      <w:pPr>
        <w:ind w:firstLine="480"/>
        <w:jc w:val="left"/>
        <w:spacing w:line="360" w:lineRule="auto"/>
        <w:widowControl/>
        <w:rPr>
          <w:sz w:val="24"/>
        </w:rPr>
      </w:pPr>
      <w:r>
        <w:rPr>
          <w:sz w:val="24"/>
        </w:rPr>
        <w:t xml:space="preserve">（1）因不可抗力致使不能实现合同目的，未受不可抗力影响的一方有权解除合同；</w:t>
      </w:r>
      <w:r/>
    </w:p>
    <w:p>
      <w:pPr>
        <w:ind w:firstLine="480"/>
        <w:jc w:val="left"/>
        <w:spacing w:line="360" w:lineRule="auto"/>
        <w:widowControl/>
        <w:rPr>
          <w:sz w:val="24"/>
        </w:rPr>
      </w:pPr>
      <w:r>
        <w:rPr>
          <w:sz w:val="24"/>
        </w:rPr>
        <w:t xml:space="preserve">（2）因合同一方违约导致合同不能履行，另一方有权解除合同。</w:t>
      </w:r>
      <w:r/>
    </w:p>
    <w:p>
      <w:pPr>
        <w:ind w:firstLine="480"/>
        <w:jc w:val="left"/>
        <w:spacing w:line="360" w:lineRule="auto"/>
        <w:widowControl/>
        <w:rPr>
          <w:sz w:val="24"/>
        </w:rPr>
      </w:pPr>
      <w:r>
        <w:rPr>
          <w:sz w:val="24"/>
        </w:rPr>
        <w:t xml:space="preserve">3、有权解除合同的一方，应当在违约事实或不可抗力发生之后三十天内书面通知对方提出解除合同，合同在书面通知到达对方时解除。</w:t>
      </w:r>
      <w:r/>
    </w:p>
    <w:p>
      <w:pPr>
        <w:ind w:firstLine="480"/>
        <w:jc w:val="left"/>
        <w:spacing w:line="360" w:lineRule="auto"/>
        <w:widowControl/>
        <w:rPr>
          <w:sz w:val="24"/>
        </w:rPr>
      </w:pPr>
      <w:r>
        <w:rPr>
          <w:sz w:val="24"/>
        </w:rPr>
        <w:t xml:space="preserve">4、合同的部分和全部都不得转让。</w:t>
      </w:r>
      <w:r/>
    </w:p>
    <w:p>
      <w:pPr>
        <w:ind w:firstLine="480"/>
        <w:jc w:val="left"/>
        <w:spacing w:line="360" w:lineRule="auto"/>
        <w:widowControl/>
        <w:rPr>
          <w:sz w:val="24"/>
        </w:rPr>
      </w:pPr>
      <w:r>
        <w:rPr>
          <w:sz w:val="24"/>
        </w:rPr>
        <w:t xml:space="preserve">十六、其它</w:t>
      </w:r>
      <w:r/>
    </w:p>
    <w:p>
      <w:pPr>
        <w:ind w:firstLine="480"/>
        <w:jc w:val="left"/>
        <w:spacing w:line="360" w:lineRule="auto"/>
        <w:widowControl/>
        <w:rPr>
          <w:sz w:val="24"/>
        </w:rPr>
      </w:pPr>
      <w:r>
        <w:rPr>
          <w:sz w:val="24"/>
        </w:rPr>
        <w:t xml:space="preserve">1、乙方除应做好服务人员的安全教育外，还应为服务人员提供必要的劳动保护条件，为服务人员办理作业时的人身安全保险和意外伤害险（保险种类及赔偿金不低于招标文件规定），以及日常养护中要及时检查清除枯枝危膀、避免断枝掉落伤人伤物等安全事件发生。如因养护作业造成养护人员、游客及他人的人身伤害及财产损失的，由乙方承担全部责任。</w:t>
      </w:r>
      <w:r/>
    </w:p>
    <w:p>
      <w:pPr>
        <w:ind w:firstLine="480"/>
        <w:jc w:val="left"/>
        <w:spacing w:line="360" w:lineRule="auto"/>
        <w:widowControl/>
        <w:rPr>
          <w:sz w:val="24"/>
        </w:rPr>
      </w:pPr>
      <w:r>
        <w:rPr>
          <w:sz w:val="24"/>
        </w:rPr>
        <w:t xml:space="preserve">2、合同在执行过程中出现的未尽事宜，双方在不违背本合同和招标文件的原则下协商解决，协商结果以书面形式盖章记录在案，作为本合同的附件，与本合同具有同等效力，但需向甲方提交二份备存。</w:t>
      </w:r>
      <w:r/>
    </w:p>
    <w:p>
      <w:pPr>
        <w:ind w:firstLine="480"/>
        <w:jc w:val="left"/>
        <w:spacing w:line="360" w:lineRule="auto"/>
        <w:widowControl/>
        <w:rPr>
          <w:sz w:val="24"/>
        </w:rPr>
      </w:pPr>
      <w:r>
        <w:rPr>
          <w:sz w:val="24"/>
        </w:rPr>
        <w:t xml:space="preserve">3、本合同未尽之处双方协商解决；如协商不成，双方同意由一方向合同履行地人民法院提起诉讼。</w:t>
      </w:r>
      <w:r/>
    </w:p>
    <w:p>
      <w:pPr>
        <w:ind w:firstLine="480"/>
        <w:jc w:val="left"/>
        <w:spacing w:line="360" w:lineRule="auto"/>
        <w:widowControl/>
        <w:rPr>
          <w:sz w:val="24"/>
        </w:rPr>
      </w:pPr>
      <w:r>
        <w:rPr>
          <w:sz w:val="24"/>
        </w:rPr>
        <w:t xml:space="preserve">十七、其它要求</w:t>
      </w:r>
      <w:r/>
    </w:p>
    <w:p>
      <w:pPr>
        <w:ind w:firstLine="480"/>
        <w:jc w:val="left"/>
        <w:spacing w:line="360" w:lineRule="auto"/>
        <w:widowControl/>
        <w:rPr>
          <w:sz w:val="24"/>
        </w:rPr>
      </w:pPr>
      <w:r>
        <w:rPr>
          <w:sz w:val="24"/>
        </w:rPr>
        <w:t xml:space="preserve">1、投标人在投报价格时应充分考虑以下因素：</w:t>
      </w:r>
      <w:r/>
    </w:p>
    <w:p>
      <w:pPr>
        <w:ind w:firstLine="480"/>
        <w:jc w:val="left"/>
        <w:spacing w:line="360" w:lineRule="auto"/>
        <w:widowControl/>
        <w:rPr>
          <w:sz w:val="24"/>
        </w:rPr>
      </w:pPr>
      <w:r>
        <w:rPr>
          <w:sz w:val="24"/>
        </w:rPr>
        <w:t xml:space="preserve">因中标单位人为因素造成对设施、陈设等损坏，由中标单位负责恢复，所发生费用包含在投标报价中。</w:t>
      </w:r>
      <w:r/>
    </w:p>
    <w:p>
      <w:pPr>
        <w:ind w:firstLine="480"/>
        <w:jc w:val="left"/>
        <w:spacing w:line="360" w:lineRule="auto"/>
        <w:widowControl/>
        <w:rPr>
          <w:sz w:val="24"/>
        </w:rPr>
      </w:pPr>
      <w:r>
        <w:rPr>
          <w:sz w:val="24"/>
        </w:rPr>
        <w:t xml:space="preserve">十八、合同生效</w:t>
      </w:r>
      <w:r/>
    </w:p>
    <w:p>
      <w:pPr>
        <w:ind w:firstLine="480"/>
        <w:jc w:val="left"/>
        <w:spacing w:line="360" w:lineRule="auto"/>
        <w:widowControl/>
        <w:rPr>
          <w:sz w:val="24"/>
        </w:rPr>
      </w:pPr>
      <w:r>
        <w:rPr>
          <w:sz w:val="24"/>
        </w:rPr>
        <w:t xml:space="preserve">1、合同经甲乙双方代表签字并加盖公章（或合同章）后即生效并进行网上公示。</w:t>
      </w:r>
      <w:r/>
    </w:p>
    <w:p>
      <w:pPr>
        <w:ind w:firstLine="480"/>
        <w:jc w:val="left"/>
        <w:spacing w:line="360" w:lineRule="auto"/>
        <w:widowControl/>
        <w:rPr>
          <w:sz w:val="24"/>
        </w:rPr>
      </w:pPr>
      <w:r>
        <w:rPr>
          <w:sz w:val="24"/>
        </w:rPr>
        <w:t xml:space="preserve">十九、附则</w:t>
      </w:r>
      <w:r/>
    </w:p>
    <w:p>
      <w:pPr>
        <w:ind w:firstLine="480"/>
        <w:jc w:val="left"/>
        <w:spacing w:line="360" w:lineRule="auto"/>
        <w:widowControl/>
        <w:rPr>
          <w:sz w:val="24"/>
        </w:rPr>
      </w:pPr>
      <w:r>
        <w:rPr>
          <w:sz w:val="24"/>
        </w:rPr>
        <w:t xml:space="preserve">1、合同份数：本合同一式六份，甲乙双方各执二份，招标代理机构一份，政府采购管理部门一份，各份均具有同等法律效力。</w:t>
      </w:r>
      <w:r/>
    </w:p>
    <w:p>
      <w:pPr>
        <w:ind w:firstLine="480"/>
        <w:jc w:val="left"/>
        <w:spacing w:line="360" w:lineRule="auto"/>
        <w:widowControl/>
        <w:rPr>
          <w:sz w:val="24"/>
        </w:rPr>
      </w:pPr>
      <w:r>
        <w:rPr>
          <w:sz w:val="24"/>
        </w:rPr>
        <w:t xml:space="preserve">2、未尽事宜</w:t>
      </w:r>
      <w:r/>
    </w:p>
    <w:p>
      <w:pPr>
        <w:ind w:firstLine="480"/>
        <w:jc w:val="left"/>
        <w:spacing w:line="360" w:lineRule="auto"/>
        <w:widowControl/>
        <w:rPr>
          <w:sz w:val="24"/>
        </w:rPr>
      </w:pPr>
      <w:r>
        <w:rPr>
          <w:sz w:val="24"/>
        </w:rPr>
        <w:t xml:space="preserve">本合同未尽事宜应按《中华人民共和国民法典》、《中华人民共和国政府采购法》以及其同相关法律、法规之规定解释。</w:t>
      </w:r>
      <w:r/>
    </w:p>
    <w:p>
      <w:pPr>
        <w:ind w:firstLine="480"/>
        <w:jc w:val="left"/>
        <w:spacing w:line="360" w:lineRule="auto"/>
        <w:widowControl/>
        <w:rPr>
          <w:color w:val="000000"/>
          <w:sz w:val="24"/>
          <w:szCs w:val="20"/>
        </w:rPr>
      </w:pPr>
      <w:r>
        <w:rPr>
          <w:color w:val="000000"/>
          <w:sz w:val="24"/>
          <w:szCs w:val="20"/>
        </w:rPr>
      </w:r>
      <w:r/>
    </w:p>
    <w:p>
      <w:pPr>
        <w:ind w:firstLine="480"/>
        <w:jc w:val="left"/>
        <w:spacing w:line="480" w:lineRule="auto"/>
        <w:widowControl/>
        <w:rPr>
          <w:color w:val="000000"/>
          <w:sz w:val="24"/>
          <w:szCs w:val="20"/>
        </w:rPr>
      </w:pPr>
      <w:r>
        <w:rPr>
          <w:color w:val="000000"/>
          <w:sz w:val="24"/>
          <w:szCs w:val="20"/>
        </w:rPr>
        <w:t xml:space="preserve">甲方签章：                           乙方签章：          </w:t>
      </w:r>
      <w:r/>
    </w:p>
    <w:p>
      <w:pPr>
        <w:ind w:firstLine="480"/>
        <w:jc w:val="left"/>
        <w:spacing w:line="480" w:lineRule="auto"/>
        <w:widowControl/>
        <w:rPr>
          <w:color w:val="000000"/>
          <w:sz w:val="24"/>
          <w:szCs w:val="20"/>
        </w:rPr>
      </w:pPr>
      <w:r>
        <w:rPr>
          <w:color w:val="000000"/>
          <w:sz w:val="24"/>
          <w:szCs w:val="20"/>
        </w:rPr>
        <w:t xml:space="preserve">代理人：                             代理人：</w:t>
      </w:r>
      <w:r/>
    </w:p>
    <w:p>
      <w:pPr>
        <w:ind w:firstLine="480"/>
        <w:jc w:val="left"/>
        <w:spacing w:line="480" w:lineRule="auto"/>
        <w:widowControl/>
        <w:rPr>
          <w:color w:val="000000"/>
          <w:sz w:val="24"/>
          <w:szCs w:val="20"/>
        </w:rPr>
      </w:pPr>
      <w:r>
        <w:rPr>
          <w:color w:val="000000"/>
          <w:sz w:val="24"/>
          <w:szCs w:val="20"/>
        </w:rPr>
        <w:t xml:space="preserve">年    月    日                       年    月    日</w:t>
      </w:r>
      <w:r/>
    </w:p>
    <w:p>
      <w:pPr>
        <w:rPr>
          <w:color w:val="000000"/>
          <w:sz w:val="24"/>
          <w:szCs w:val="20"/>
        </w:rPr>
      </w:pPr>
      <w:r>
        <w:rPr>
          <w:color w:val="000000"/>
          <w:sz w:val="24"/>
          <w:szCs w:val="20"/>
        </w:rPr>
        <w:br w:type="page" w:clear="all"/>
      </w:r>
      <w:r/>
    </w:p>
    <w:p>
      <w:pPr>
        <w:jc w:val="left"/>
        <w:widowControl/>
        <w:rPr>
          <w:b/>
          <w:sz w:val="24"/>
        </w:rPr>
      </w:pPr>
      <w:r>
        <w:rPr>
          <w:color w:val="000000"/>
          <w:sz w:val="24"/>
          <w:szCs w:val="20"/>
        </w:rPr>
        <w:t xml:space="preserve">附件1：</w:t>
      </w:r>
      <w:r>
        <w:rPr>
          <w:b/>
          <w:sz w:val="24"/>
          <w:lang w:bidi="ar"/>
        </w:rPr>
        <w:t xml:space="preserve">按《苏州市城市绿地养护管理质量标准（试行）》执行，具体如下：</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0"/>
        <w:gridCol w:w="525"/>
        <w:gridCol w:w="2705"/>
        <w:gridCol w:w="2383"/>
        <w:gridCol w:w="2409"/>
      </w:tblGrid>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一级养护管理质量标准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二级养护管理质量标准</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三级养护管理质量标准</w:t>
            </w:r>
            <w:r/>
          </w:p>
        </w:tc>
      </w:tr>
      <w:tr>
        <w:trPr>
          <w:cantSplit/>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园林植物</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乔木</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树冠完整美观，分枝点合适，枝条粗壮，无枯枝死杈；主侧枝分布匀称、数量适宜；内膛不乱，通风透光。行道树树穴有平整盖板或种植地被植物，黄土不裸露，树穴设施完好。</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树冠基本完整，主侧枝分布均称、数量适宜、内膛不乱，通风透光。行道树树穴有平整盖板或种植地被植物，黄土基本不裸露，树穴设施基本完好。</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树冠基本正常，修剪及时，无明显枯枝死叉。分枝点合适，枝条粗壮，行道树树穴裸露黄土不明显。</w:t>
            </w:r>
            <w:r/>
          </w:p>
        </w:tc>
      </w:tr>
      <w:tr>
        <w:trPr>
          <w:cantSplit/>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花灌木</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适时开花，株形丰满，，枝叶茂密，无缺株，花后修剪及时合理。绿篱、色块等修剪及时整齐一致。</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花灌木开花适时、正常，花后修剪及时。绿篱、色块枝叶正常，整齐一致。</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花灌木开花适时，花后修剪及时。绿篱、色块枝叶正常。</w:t>
            </w:r>
            <w:r/>
          </w:p>
        </w:tc>
      </w:tr>
      <w:tr>
        <w:trPr>
          <w:cantSplit/>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地被</w:t>
            </w:r>
            <w:r/>
          </w:p>
          <w:p>
            <w:pPr>
              <w:ind w:left="0" w:right="0"/>
              <w:jc w:val="center"/>
              <w:keepLines w:val="0"/>
              <w:keepNext w:val="0"/>
              <w:spacing w:before="0" w:beforeAutospacing="0" w:after="0" w:afterAutospacing="0"/>
              <w:rPr>
                <w:szCs w:val="21"/>
              </w:rPr>
              <w:suppressLineNumbers w:val="0"/>
            </w:pPr>
            <w:r>
              <w:rPr>
                <w:szCs w:val="21"/>
                <w:lang w:bidi="ar"/>
              </w:rPr>
              <w:t xml:space="preserve">草坪</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外观整齐，边缘线清晰，生长旺盛，草根不裸露，生长季节不枯黄，修剪及时，无杂草。</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外观整齐一致，生长良好，修剪及时，边缘线清晰，杂草不明显。</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草坪及地被植物外观较整齐，控制杂草，及时修剪。</w:t>
            </w:r>
            <w:r/>
          </w:p>
        </w:tc>
      </w:tr>
      <w:tr>
        <w:trPr>
          <w:cantSplit/>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花坛</w:t>
            </w:r>
            <w:r/>
          </w:p>
          <w:p>
            <w:pPr>
              <w:ind w:left="0" w:right="0"/>
              <w:jc w:val="center"/>
              <w:keepLines w:val="0"/>
              <w:keepNext w:val="0"/>
              <w:spacing w:before="0" w:beforeAutospacing="0" w:after="0" w:afterAutospacing="0"/>
              <w:rPr>
                <w:szCs w:val="21"/>
              </w:rPr>
              <w:suppressLineNumbers w:val="0"/>
            </w:pPr>
            <w:r>
              <w:rPr>
                <w:szCs w:val="21"/>
                <w:lang w:bidi="ar"/>
              </w:rPr>
              <w:t xml:space="preserve">花带</w:t>
            </w:r>
            <w:r/>
          </w:p>
          <w:p>
            <w:pPr>
              <w:ind w:left="0" w:right="0"/>
              <w:jc w:val="center"/>
              <w:keepLines w:val="0"/>
              <w:keepNext w:val="0"/>
              <w:spacing w:before="0" w:beforeAutospacing="0" w:after="0" w:afterAutospacing="0"/>
              <w:rPr>
                <w:szCs w:val="21"/>
              </w:rPr>
              <w:suppressLineNumbers w:val="0"/>
            </w:pPr>
            <w:r>
              <w:rPr>
                <w:szCs w:val="21"/>
                <w:lang w:bidi="ar"/>
              </w:rPr>
              <w:t xml:space="preserve">草花</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花卉生长健壮，色彩鲜艳，株行距适宜，花期整齐，图案清晰。无缺株、倒伏，无枯枝残花（残花量不大于10％）。</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轮廓清晰，整齐美观，适时开花，无残缺。花卉生长良好，花期基本一致，无枯枝残花。</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轮廓基本清晰、整齐美观，无残缺。花卉生长基本正常，枯枝残花清除及时。</w:t>
            </w:r>
            <w:r/>
          </w:p>
        </w:tc>
      </w:tr>
      <w:tr>
        <w:trPr>
          <w:cantSplit/>
          <w:jc w:val="center"/>
          <w:trHeight w:val="23"/>
        </w:trPr>
        <w:tc>
          <w:tcPr>
            <w:shd w:val="clear" w:color="auto" w:fill="auto"/>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病虫害防治</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病虫害防治技术措施完善，管理得当，病虫害控制及时，无明显病虫害发生，无扰民事件发生。</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病虫害防治技术措施比较完善，管理基本得当，病虫害控制及时，无扰民事件发生。</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绿化养护技术措施基本完善，病虫害控制比较及时，无扰民事件发生。</w:t>
            </w:r>
            <w:r/>
          </w:p>
        </w:tc>
      </w:tr>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设施</w:t>
            </w:r>
            <w:r/>
          </w:p>
          <w:p>
            <w:pPr>
              <w:ind w:left="0" w:right="0"/>
              <w:jc w:val="center"/>
              <w:keepLines w:val="0"/>
              <w:keepNext w:val="0"/>
              <w:spacing w:before="0" w:beforeAutospacing="0" w:after="0" w:afterAutospacing="0"/>
              <w:rPr>
                <w:szCs w:val="21"/>
              </w:rPr>
              <w:suppressLineNumbers w:val="0"/>
            </w:pPr>
            <w:r>
              <w:rPr>
                <w:szCs w:val="21"/>
                <w:lang w:bidi="ar"/>
              </w:rPr>
              <w:t xml:space="preserve">维护</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园林建筑、雕塑喷泉、园路广场等公园绿地基础设施维护良好，桌椅、垃圾桶、井盖和指示牌等园林设施完整、安全，维护及时。</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园林建筑、雕塑喷泉、园路广场等公园绿地基础设施维护良好，桌椅、垃圾桶、井盖和指示牌等园林设施基本做到维护及时。</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公园绿地基础设施维护良好，桌椅、垃圾桶、井盖和指示牌等能维护及时，保持基本完整。</w:t>
            </w:r>
            <w:r/>
          </w:p>
        </w:tc>
      </w:tr>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卫生</w:t>
            </w:r>
            <w:r/>
          </w:p>
          <w:p>
            <w:pPr>
              <w:ind w:left="0" w:right="0"/>
              <w:jc w:val="center"/>
              <w:keepLines w:val="0"/>
              <w:keepNext w:val="0"/>
              <w:spacing w:before="0" w:beforeAutospacing="0" w:after="0" w:afterAutospacing="0"/>
              <w:rPr>
                <w:szCs w:val="21"/>
              </w:rPr>
              <w:suppressLineNumbers w:val="0"/>
            </w:pPr>
            <w:r>
              <w:rPr>
                <w:szCs w:val="21"/>
                <w:lang w:bidi="ar"/>
              </w:rPr>
              <w:t xml:space="preserve">保洁</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绿地及广场整洁，无杂物、无白色污染（树挂），对作业废弃物（如树枝、树叶、草屑等）、绿地内水面杂物，垃圾须随产随清，做到巡视保洁。</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绿地及广场整洁，无杂物、无白色污染（树挂），绿化生产垃圾（如树枝、树叶、草屑等）、绿地内水面杂物须日产日清，做到保洁及时。</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绿地及广场基本整洁，无明显杂物，无白色污染（树挂），绿化生产垃圾（如树枝、树叶、草屑等）、绿地内水面杂物应日产日清，能做到保洁及时。</w:t>
            </w:r>
            <w:r/>
          </w:p>
        </w:tc>
      </w:tr>
      <w:tr>
        <w:trPr>
          <w:jc w:val="center"/>
          <w:trHeight w:val="23"/>
        </w:trPr>
        <w:tc>
          <w:tcPr>
            <w:gridSpan w:val="2"/>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center"/>
              <w:keepLines w:val="0"/>
              <w:keepNext w:val="0"/>
              <w:spacing w:before="0" w:beforeAutospacing="0" w:after="0" w:afterAutospacing="0"/>
              <w:rPr>
                <w:szCs w:val="21"/>
              </w:rPr>
              <w:suppressLineNumbers w:val="0"/>
            </w:pPr>
            <w:r>
              <w:rPr>
                <w:szCs w:val="21"/>
                <w:lang w:bidi="ar"/>
              </w:rPr>
              <w:t xml:space="preserve">绿地</w:t>
            </w:r>
            <w:r/>
          </w:p>
          <w:p>
            <w:pPr>
              <w:ind w:left="0" w:right="0"/>
              <w:jc w:val="center"/>
              <w:keepLines w:val="0"/>
              <w:keepNext w:val="0"/>
              <w:spacing w:before="0" w:beforeAutospacing="0" w:after="0" w:afterAutospacing="0"/>
              <w:rPr>
                <w:szCs w:val="21"/>
              </w:rPr>
              <w:suppressLineNumbers w:val="0"/>
            </w:pPr>
            <w:r>
              <w:rPr>
                <w:szCs w:val="21"/>
                <w:lang w:bidi="ar"/>
              </w:rPr>
              <w:t xml:space="preserve">保护</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绿地完整，无堆物、堆料、搭棚，树干、园林建筑、小品等上面无钉拴刻画等现象。绿地安保全天候24小时。</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绿地完整，无堆物、堆料、搭棚，树干、园林建筑、小品等上面无钉拴刻画等现象。绿地安保全天候24小时。</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ind w:left="0" w:right="0"/>
              <w:keepLines w:val="0"/>
              <w:keepNext w:val="0"/>
              <w:spacing w:before="0" w:beforeAutospacing="0" w:after="0" w:afterAutospacing="0"/>
              <w:rPr>
                <w:szCs w:val="21"/>
              </w:rPr>
              <w:suppressLineNumbers w:val="0"/>
            </w:pPr>
            <w:r>
              <w:rPr>
                <w:szCs w:val="21"/>
                <w:lang w:bidi="ar"/>
              </w:rPr>
              <w:t xml:space="preserve">绿地完整，无明显堆物、堆料、搭棚、树干、园林建筑、小品等上面无钉拴刻画等现象。绿地安保全天候24小时。</w:t>
            </w:r>
            <w:r/>
          </w:p>
        </w:tc>
      </w:tr>
    </w:tbl>
    <w:p>
      <w:pPr>
        <w:jc w:val="left"/>
        <w:rPr>
          <w:sz w:val="24"/>
        </w:rPr>
      </w:pPr>
      <w:r>
        <w:rPr>
          <w:sz w:val="24"/>
        </w:rPr>
      </w:r>
      <w:r/>
    </w:p>
    <w:p>
      <w:pPr>
        <w:jc w:val="left"/>
        <w:rPr>
          <w:sz w:val="24"/>
        </w:rPr>
      </w:pPr>
      <w:r>
        <w:rPr>
          <w:sz w:val="24"/>
          <w:lang w:bidi="ar"/>
        </w:rPr>
        <w:br w:type="page" w:clear="all"/>
      </w:r>
      <w:r>
        <w:rPr>
          <w:sz w:val="24"/>
          <w:lang w:bidi="ar"/>
        </w:rPr>
        <w:t xml:space="preserve">附件2:《中心城区业务考核办法（试行）》以最新考核办法为准</w:t>
      </w:r>
      <w:r/>
    </w:p>
    <w:p>
      <w:pPr>
        <w:pStyle w:val="791"/>
        <w:ind w:firstLine="660"/>
        <w:spacing w:line="560" w:lineRule="exact"/>
        <w:rPr>
          <w:szCs w:val="24"/>
        </w:rPr>
      </w:pPr>
      <w:r>
        <w:rPr>
          <w:szCs w:val="24"/>
          <w:lang w:bidi="ar"/>
        </w:rPr>
        <w:t xml:space="preserve">（一）考核内容</w:t>
      </w:r>
      <w:r/>
    </w:p>
    <w:p>
      <w:pPr>
        <w:pStyle w:val="791"/>
        <w:ind w:firstLine="660"/>
        <w:spacing w:line="560" w:lineRule="exact"/>
        <w:rPr>
          <w:szCs w:val="24"/>
        </w:rPr>
      </w:pPr>
      <w:r>
        <w:rPr>
          <w:szCs w:val="24"/>
          <w:lang w:bidi="ar"/>
        </w:rPr>
        <w:t xml:space="preserve">包括安全生产、绿地排水浇灌、补种施肥、病虫害杂草防治、长势修剪、其他六个方面。</w:t>
      </w:r>
      <w:r/>
    </w:p>
    <w:p>
      <w:pPr>
        <w:pStyle w:val="791"/>
        <w:ind w:firstLine="660"/>
        <w:spacing w:line="560" w:lineRule="exact"/>
        <w:rPr>
          <w:szCs w:val="24"/>
        </w:rPr>
      </w:pPr>
      <w:r>
        <w:rPr>
          <w:szCs w:val="24"/>
          <w:lang w:bidi="ar"/>
        </w:rPr>
        <w:t xml:space="preserve">中心城区建管中心各科室按照各专项考核标准，每月对相应业务进行考核。中心城区片区管理中发现的问题同步计入考核项。</w:t>
      </w:r>
      <w:r/>
    </w:p>
    <w:p>
      <w:pPr>
        <w:ind w:firstLine="480"/>
        <w:jc w:val="left"/>
        <w:spacing w:line="560" w:lineRule="exact"/>
        <w:widowControl/>
        <w:rPr>
          <w:sz w:val="24"/>
        </w:rPr>
      </w:pPr>
      <w:r>
        <w:rPr>
          <w:sz w:val="24"/>
          <w:lang w:bidi="ar"/>
        </w:rPr>
        <w:t xml:space="preserve">（二）考核</w:t>
      </w:r>
      <w:r>
        <w:rPr>
          <w:sz w:val="24"/>
          <w:lang w:bidi="zh-TW"/>
        </w:rPr>
        <w:t xml:space="preserve">得分</w:t>
      </w:r>
      <w:r>
        <w:rPr>
          <w:b/>
          <w:bCs/>
          <w:sz w:val="24"/>
          <w:lang w:bidi="ar"/>
        </w:rPr>
        <w:t xml:space="preserve"> </w:t>
      </w:r>
      <w:r/>
    </w:p>
    <w:p>
      <w:pPr>
        <w:pStyle w:val="791"/>
        <w:ind w:firstLine="660"/>
        <w:spacing w:line="560" w:lineRule="exact"/>
        <w:rPr>
          <w:szCs w:val="24"/>
        </w:rPr>
      </w:pPr>
      <w:r>
        <w:rPr>
          <w:szCs w:val="24"/>
          <w:lang w:bidi="ar"/>
        </w:rPr>
        <w:t xml:space="preserve">1. 季度得分=月度考核平均分+直接加分－直接扣分。</w:t>
      </w:r>
      <w:r/>
    </w:p>
    <w:p>
      <w:pPr>
        <w:ind w:firstLine="480"/>
        <w:jc w:val="left"/>
        <w:spacing w:line="560" w:lineRule="exact"/>
        <w:widowControl/>
        <w:rPr>
          <w:sz w:val="24"/>
          <w:lang w:bidi="ar"/>
        </w:rPr>
      </w:pPr>
      <w:r>
        <w:rPr>
          <w:sz w:val="24"/>
          <w:lang w:bidi="ar"/>
        </w:rPr>
        <w:t xml:space="preserve">2. 季度直接加/扣分</w:t>
      </w:r>
      <w:r/>
    </w:p>
    <w:p>
      <w:pPr>
        <w:ind w:firstLine="480"/>
        <w:jc w:val="left"/>
        <w:spacing w:line="560" w:lineRule="exact"/>
        <w:widowControl/>
        <w:rPr>
          <w:sz w:val="24"/>
          <w:lang w:bidi="ar"/>
        </w:rPr>
      </w:pPr>
      <w:r>
        <w:rPr>
          <w:sz w:val="24"/>
          <w:lang w:bidi="ar"/>
        </w:rPr>
        <w:t xml:space="preserve">（1）在做好本职工作基础上，巡查发现并及时上报中心城区其他城市管理事项重大、突出、紧急问题的，视情况加0.5—2分/次。</w:t>
      </w:r>
      <w:r/>
    </w:p>
    <w:p>
      <w:pPr>
        <w:ind w:firstLine="480"/>
        <w:jc w:val="left"/>
        <w:spacing w:line="560" w:lineRule="exact"/>
        <w:widowControl/>
        <w:rPr>
          <w:sz w:val="24"/>
          <w:lang w:bidi="ar"/>
        </w:rPr>
      </w:pPr>
      <w:r>
        <w:rPr>
          <w:sz w:val="24"/>
          <w:lang w:bidi="ar"/>
        </w:rPr>
        <w:t xml:space="preserve">（2）在建管养工作中，提供合理建议得到采纳的加1分/次。</w:t>
      </w:r>
      <w:r/>
    </w:p>
    <w:p>
      <w:pPr>
        <w:ind w:firstLine="480"/>
        <w:jc w:val="left"/>
        <w:spacing w:line="560" w:lineRule="exact"/>
        <w:widowControl/>
        <w:rPr>
          <w:sz w:val="24"/>
          <w:lang w:bidi="ar"/>
        </w:rPr>
      </w:pPr>
      <w:r>
        <w:rPr>
          <w:sz w:val="24"/>
          <w:lang w:bidi="ar"/>
        </w:rPr>
        <w:t xml:space="preserve">（3）因</w:t>
      </w:r>
      <w:r>
        <w:rPr>
          <w:sz w:val="24"/>
          <w:lang w:bidi="ar"/>
        </w:rPr>
        <w:t xml:space="preserve">相应业务</w:t>
      </w:r>
      <w:r>
        <w:rPr>
          <w:sz w:val="24"/>
          <w:lang w:bidi="ar"/>
        </w:rPr>
        <w:t xml:space="preserve">工作成绩显著，在相关条线获得表彰的，区级每项加1分、市级每项加2分、省级每项加3分（表彰以当年度内获得上级命名或表彰的文件下发时间为准），同一内容获不同级别表彰的，以最高加分计。</w:t>
      </w:r>
      <w:r/>
    </w:p>
    <w:p>
      <w:pPr>
        <w:ind w:firstLine="480"/>
        <w:jc w:val="left"/>
        <w:spacing w:line="560" w:lineRule="exact"/>
        <w:widowControl/>
        <w:rPr>
          <w:sz w:val="24"/>
          <w:lang w:bidi="ar"/>
        </w:rPr>
      </w:pPr>
      <w:r>
        <w:rPr>
          <w:sz w:val="24"/>
          <w:lang w:bidi="ar"/>
        </w:rPr>
        <w:t xml:space="preserve">（4）相关工作被点名表扬的，每出现一次，加1分；被点名批评的，每出现一次，扣1分。</w:t>
      </w:r>
      <w:r/>
    </w:p>
    <w:p>
      <w:pPr>
        <w:ind w:firstLine="480"/>
        <w:jc w:val="left"/>
        <w:spacing w:line="560" w:lineRule="exact"/>
        <w:widowControl/>
        <w:rPr>
          <w:sz w:val="24"/>
          <w:lang w:bidi="ar"/>
        </w:rPr>
      </w:pPr>
      <w:r>
        <w:rPr>
          <w:sz w:val="24"/>
          <w:lang w:bidi="ar"/>
        </w:rPr>
        <w:t xml:space="preserve">（5）执行工作任务不力的，扣1分/次；产生有责投诉的，扣1分/次，被媒体曝光或上级部门通报督办的，扣3分/次。 </w:t>
      </w:r>
      <w:r/>
    </w:p>
    <w:p>
      <w:pPr>
        <w:ind w:firstLine="480"/>
        <w:jc w:val="left"/>
        <w:spacing w:line="560" w:lineRule="exact"/>
        <w:widowControl/>
        <w:rPr>
          <w:sz w:val="24"/>
        </w:rPr>
      </w:pPr>
      <w:r>
        <w:rPr>
          <w:sz w:val="24"/>
          <w:lang w:bidi="ar"/>
        </w:rPr>
        <w:t xml:space="preserve">（三）考核结果运用</w:t>
      </w:r>
      <w:r/>
    </w:p>
    <w:p>
      <w:pPr>
        <w:pStyle w:val="1098"/>
        <w:ind w:firstLine="480"/>
        <w:jc w:val="both"/>
        <w:widowControl/>
        <w:rPr>
          <w:rFonts w:hint="default" w:ascii="Times New Roman" w:hAnsi="Times New Roman"/>
          <w:color w:val="auto"/>
          <w:sz w:val="24"/>
          <w:szCs w:val="24"/>
          <w:lang w:eastAsia="zh-TW"/>
        </w:rPr>
      </w:pPr>
      <w:r>
        <w:rPr>
          <w:rFonts w:hint="default" w:ascii="Times New Roman" w:hAnsi="Times New Roman"/>
          <w:color w:val="auto"/>
          <w:sz w:val="24"/>
          <w:szCs w:val="24"/>
        </w:rPr>
        <w:t xml:space="preserve">中心城区建管养业务考核成绩</w:t>
      </w:r>
      <w:r>
        <w:rPr>
          <w:rFonts w:hint="default" w:ascii="Times New Roman" w:hAnsi="Times New Roman"/>
          <w:color w:val="auto"/>
          <w:sz w:val="24"/>
          <w:szCs w:val="24"/>
          <w:lang w:eastAsia="zh-TW"/>
        </w:rPr>
        <w:t xml:space="preserve">与各</w:t>
      </w:r>
      <w:r>
        <w:rPr>
          <w:rFonts w:hint="default" w:ascii="Times New Roman" w:hAnsi="Times New Roman"/>
          <w:color w:val="auto"/>
          <w:sz w:val="24"/>
          <w:szCs w:val="24"/>
        </w:rPr>
        <w:t xml:space="preserve">具体业务实施</w:t>
      </w:r>
      <w:r>
        <w:rPr>
          <w:rFonts w:hint="default" w:ascii="Times New Roman" w:hAnsi="Times New Roman"/>
          <w:color w:val="auto"/>
          <w:sz w:val="24"/>
          <w:szCs w:val="24"/>
          <w:lang w:eastAsia="zh-TW"/>
        </w:rPr>
        <w:t xml:space="preserve">单位项目经费挂钩</w:t>
      </w:r>
      <w:r>
        <w:rPr>
          <w:rFonts w:hint="default" w:ascii="Times New Roman" w:hAnsi="Times New Roman"/>
          <w:color w:val="auto"/>
          <w:sz w:val="24"/>
          <w:szCs w:val="24"/>
        </w:rPr>
        <w:t xml:space="preserve">，将项目总经费的10%作为考核经费，根据得分情况计算本季度项目实际经费</w:t>
      </w:r>
      <w:r>
        <w:rPr>
          <w:rFonts w:hint="default" w:ascii="Times New Roman" w:hAnsi="Times New Roman"/>
          <w:color w:val="auto"/>
          <w:sz w:val="24"/>
          <w:szCs w:val="24"/>
          <w:lang w:eastAsia="zh-TW"/>
        </w:rPr>
        <w:t xml:space="preserve">。</w:t>
      </w:r>
      <w:r/>
    </w:p>
    <w:p>
      <w:pPr>
        <w:pStyle w:val="1098"/>
        <w:ind w:firstLine="48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考核经费按以下标准计算：</w:t>
      </w:r>
      <w:r/>
    </w:p>
    <w:p>
      <w:pPr>
        <w:pStyle w:val="1098"/>
        <w:numPr>
          <w:ilvl w:val="0"/>
          <w:numId w:val="11"/>
        </w:numPr>
        <w:ind w:firstLine="64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季度平均分95以上（含95）的，全额支付季度考核经费；</w:t>
      </w:r>
      <w:r/>
    </w:p>
    <w:p>
      <w:pPr>
        <w:pStyle w:val="1098"/>
        <w:numPr>
          <w:ilvl w:val="0"/>
          <w:numId w:val="11"/>
        </w:numPr>
        <w:ind w:firstLine="64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季度平均分大于等于90，小于95的，每低于95一分扣除季度考核经费1%；</w:t>
      </w:r>
      <w:r/>
    </w:p>
    <w:p>
      <w:pPr>
        <w:pStyle w:val="1098"/>
        <w:numPr>
          <w:ilvl w:val="0"/>
          <w:numId w:val="11"/>
        </w:numPr>
        <w:ind w:firstLine="64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季度平均分大于等于80，小于90的，每低于90一分扣除季度考核经费2%；</w:t>
      </w:r>
      <w:r/>
    </w:p>
    <w:p>
      <w:pPr>
        <w:pStyle w:val="1098"/>
        <w:numPr>
          <w:ilvl w:val="0"/>
          <w:numId w:val="11"/>
        </w:numPr>
        <w:ind w:firstLine="64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季度平均分大于等于70，小于80的，每低于80一分扣除季度考核经费4%；</w:t>
      </w:r>
      <w:r/>
    </w:p>
    <w:p>
      <w:pPr>
        <w:pStyle w:val="1098"/>
        <w:numPr>
          <w:ilvl w:val="0"/>
          <w:numId w:val="11"/>
        </w:numPr>
        <w:ind w:firstLine="64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季度平均分小于70的，全额扣除季度考核经费。</w:t>
      </w:r>
      <w:r/>
    </w:p>
    <w:p>
      <w:pPr>
        <w:pStyle w:val="1098"/>
        <w:ind w:firstLine="48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以90分为例，季度项目经费扣除比例为5×1%×10%=0.5%；</w:t>
      </w:r>
      <w:r/>
    </w:p>
    <w:p>
      <w:pPr>
        <w:pStyle w:val="1098"/>
        <w:ind w:firstLine="48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以85分为例，季度项目经费扣除比例为（5×1%+5×2%）×10%=1.5%；</w:t>
      </w:r>
      <w:r/>
    </w:p>
    <w:p>
      <w:pPr>
        <w:pStyle w:val="1098"/>
        <w:ind w:firstLine="480"/>
        <w:jc w:val="both"/>
        <w:widowControl/>
        <w:rPr>
          <w:rFonts w:hint="default" w:ascii="Times New Roman" w:hAnsi="Times New Roman"/>
          <w:color w:val="auto"/>
          <w:sz w:val="24"/>
          <w:szCs w:val="24"/>
        </w:rPr>
      </w:pPr>
      <w:r>
        <w:rPr>
          <w:rFonts w:hint="default" w:ascii="Times New Roman" w:hAnsi="Times New Roman"/>
          <w:color w:val="auto"/>
          <w:sz w:val="24"/>
          <w:szCs w:val="24"/>
        </w:rPr>
        <w:t xml:space="preserve">以75分为例，季度项目经费扣除比例为（5×1%+10×2%+5×4%）×10%=4.5%。</w:t>
      </w:r>
      <w:r/>
    </w:p>
    <w:p>
      <w:pPr>
        <w:jc w:val="center"/>
        <w:rPr>
          <w:sz w:val="24"/>
        </w:rPr>
      </w:pPr>
      <w:r>
        <w:rPr>
          <w:sz w:val="24"/>
        </w:rPr>
      </w:r>
      <w:r/>
    </w:p>
    <w:p>
      <w:pPr>
        <w:pStyle w:val="791"/>
        <w:jc w:val="center"/>
        <w:rPr>
          <w:b/>
          <w:sz w:val="21"/>
          <w:szCs w:val="21"/>
        </w:rPr>
      </w:pPr>
      <w:r>
        <w:rPr>
          <w:szCs w:val="24"/>
          <w:lang w:val="zh-TW" w:eastAsia="zh-TW" w:bidi="zh-TW"/>
        </w:rPr>
        <w:br w:type="page" w:clear="all"/>
      </w:r>
      <w:r>
        <w:rPr>
          <w:sz w:val="28"/>
          <w:szCs w:val="28"/>
          <w:lang w:bidi="ar"/>
        </w:rPr>
        <w:t xml:space="preserve">中心城区市政绿化管养业务考核表</w:t>
      </w:r>
      <w:r/>
    </w:p>
    <w:p>
      <w:pPr>
        <w:jc w:val="left"/>
        <w:spacing w:line="240" w:lineRule="exact"/>
        <w:widowControl/>
        <w:rPr>
          <w:szCs w:val="21"/>
        </w:rPr>
      </w:pPr>
      <w:r>
        <w:rPr>
          <w:szCs w:val="21"/>
          <w:lang w:bidi="ar"/>
        </w:rPr>
        <w:t xml:space="preserve">被考核单位：        考核月：        年        月 </w:t>
      </w:r>
      <w:r/>
    </w:p>
    <w:tbl>
      <w:tblPr>
        <w:tblStyle w:val="767"/>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78"/>
        <w:gridCol w:w="914"/>
        <w:gridCol w:w="478"/>
        <w:gridCol w:w="3565"/>
        <w:gridCol w:w="504"/>
        <w:gridCol w:w="1626"/>
        <w:gridCol w:w="453"/>
        <w:gridCol w:w="504"/>
      </w:tblGrid>
      <w:tr>
        <w:trPr>
          <w:jc w:val="center"/>
          <w:trHeight w:val="56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eastAsia="zh-TW" w:bidi="ar"/>
              </w:rPr>
              <w:t xml:space="preserve">总序号</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eastAsia="zh-TW" w:bidi="ar"/>
              </w:rPr>
              <w:t xml:space="preserve">分类</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eastAsia="zh-TW" w:bidi="ar"/>
              </w:rPr>
              <w:t xml:space="preserve">子</w:t>
            </w:r>
            <w:r>
              <w:rPr>
                <w:b/>
                <w:bCs/>
                <w:szCs w:val="21"/>
                <w:lang w:bidi="ar"/>
              </w:rPr>
              <w:t xml:space="preserve">序号</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eastAsia="zh-TW" w:bidi="ar"/>
              </w:rPr>
              <w:t xml:space="preserve">考核内容及要求</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bidi="ar"/>
              </w:rPr>
              <w:t xml:space="preserve">项目总分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eastAsia="zh-TW" w:bidi="ar"/>
              </w:rPr>
              <w:t xml:space="preserve">扣分细则</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bidi="ar"/>
              </w:rPr>
              <w:t xml:space="preserve">扣分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b/>
                <w:bCs/>
                <w:szCs w:val="21"/>
              </w:rPr>
              <w:suppressLineNumbers w:val="0"/>
            </w:pPr>
            <w:r>
              <w:rPr>
                <w:b/>
                <w:bCs/>
                <w:szCs w:val="21"/>
                <w:lang w:bidi="ar"/>
              </w:rPr>
              <w:t xml:space="preserve">扣分原因</w:t>
            </w:r>
            <w:r/>
          </w:p>
        </w:tc>
      </w:tr>
      <w:tr>
        <w:trPr>
          <w:jc w:val="center"/>
          <w:trHeight w:val="539"/>
        </w:trPr>
        <w:tc>
          <w:tcPr>
            <w:shd w:val="clear" w:color="auto" w:fill="ffffff"/>
            <w:tcBorders>
              <w:top w:val="none" w:color="000000" w:sz="4" w:space="0"/>
              <w:left w:val="single" w:color="auto" w:sz="4" w:space="0"/>
              <w:bottom w:val="single" w:color="000000"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eastAsia="zh-TW"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安全生产(10分)</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eastAsia="zh-TW" w:bidi="ar"/>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养护人员统一着装工作服，施工区域设置施工安全标识，确保安全。</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10</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着装不到位扣1分/人，施工区域无标识扣1分/处。</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572"/>
        </w:trPr>
        <w:tc>
          <w:tcPr>
            <w:shd w:val="clear" w:color="auto" w:fill="ffffff"/>
            <w:tcBorders>
              <w:top w:val="none" w:color="000000" w:sz="4" w:space="0"/>
              <w:left w:val="single" w:color="auto" w:sz="4" w:space="0"/>
              <w:bottom w:val="none" w:color="000000"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2</w:t>
            </w:r>
            <w:r/>
          </w:p>
        </w:tc>
        <w:tc>
          <w:tcPr>
            <w:shd w:val="clear" w:color="auto" w:fill="ffffff"/>
            <w:tcBorders>
              <w:top w:val="single" w:color="auto" w:sz="4" w:space="0"/>
              <w:left w:val="single" w:color="auto" w:sz="4" w:space="0"/>
              <w:bottom w:val="none" w:color="000000"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绿地排水和浇灌</w:t>
            </w:r>
            <w:r/>
          </w:p>
          <w:p>
            <w:pPr>
              <w:ind w:left="0" w:right="0"/>
              <w:keepLines w:val="0"/>
              <w:keepNext w:val="0"/>
              <w:spacing w:before="0" w:beforeAutospacing="0" w:after="0" w:afterAutospacing="0"/>
              <w:widowControl/>
              <w:rPr>
                <w:szCs w:val="21"/>
              </w:rPr>
              <w:suppressLineNumbers w:val="0"/>
            </w:pPr>
            <w:r>
              <w:rPr>
                <w:szCs w:val="21"/>
                <w:lang w:bidi="ar"/>
              </w:rPr>
              <w:t xml:space="preserve">(20分)</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如有绿化地块积水的，要合理开设纵横排水沟，沟渠整洁，排水通畅，无积水。根据天气情况定期、及时浇灌绿地及苗木。</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20</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积水视情况扣1-2分/处。干旱死亡扣1分/处。</w:t>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326"/>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keepLines w:val="0"/>
              <w:keepNext w:val="0"/>
              <w:spacing w:before="0" w:beforeAutospacing="0" w:after="0" w:afterAutospacing="0"/>
              <w:widowControl/>
              <w:rPr>
                <w:szCs w:val="21"/>
              </w:rPr>
              <w:suppressLineNumbers w:val="0"/>
            </w:pPr>
            <w:r>
              <w:rPr>
                <w:szCs w:val="21"/>
                <w:lang w:eastAsia="zh-TW" w:bidi="ar"/>
              </w:rPr>
              <w:t xml:space="preserve">3</w:t>
            </w:r>
            <w:r/>
          </w:p>
        </w:tc>
        <w:tc>
          <w:tcPr>
            <w:shd w:val="clear" w:color="auto" w:fill="ffffff"/>
            <w:tcBorders>
              <w:top w:val="single" w:color="auto" w:sz="4" w:space="0"/>
              <w:left w:val="single" w:color="auto" w:sz="4" w:space="0"/>
              <w:bottom w:val="none" w:color="000000" w:sz="4" w:space="0"/>
              <w:right w:val="single" w:color="auto" w:sz="4" w:space="0"/>
            </w:tcBorders>
            <w:tcW w:w="0" w:type="auto"/>
            <w:vAlign w:val="center"/>
            <w:vMerge w:val="restart"/>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补植、换植和施肥</w:t>
            </w:r>
            <w:r/>
          </w:p>
          <w:p>
            <w:pPr>
              <w:ind w:left="0" w:right="0"/>
              <w:keepLines w:val="0"/>
              <w:keepNext w:val="0"/>
              <w:spacing w:before="0" w:beforeAutospacing="0" w:after="0" w:afterAutospacing="0"/>
              <w:widowControl/>
              <w:rPr>
                <w:szCs w:val="21"/>
              </w:rPr>
              <w:suppressLineNumbers w:val="0"/>
            </w:pPr>
            <w:r>
              <w:rPr>
                <w:szCs w:val="21"/>
                <w:lang w:bidi="ar"/>
              </w:rPr>
              <w:t xml:space="preserve">(15分)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3</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绿化缺损处应及时补种，时令花卉应及时应季更换种植</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未及时补植、换植，扣1分/次。</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326"/>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ffffff"/>
            <w:tcBorders>
              <w:top w:val="single" w:color="auto" w:sz="4" w:space="0"/>
              <w:left w:val="single" w:color="auto" w:sz="4" w:space="0"/>
              <w:bottom w:val="none" w:color="000000"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4</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施肥：定期及时施肥，每亩30-35斤复合肥，树木每棵3-6两复合肥，无苗木因缺肥发黄、生长衰弱。（5分）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无效施肥扣1分/处，不施肥不得分。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433"/>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病虫害防治和杂草防除(15分)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5</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及时根据当年虫情做好病虫害防治工作。冬季对树木涂白，涂白高度整齐。杂草及时防除</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15</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病虫害绿化，树木扣1分/棵，地被扣0.5分/㎡。未按要求涂白扣1分/棵。见杂草扣1分/㎡。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502"/>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长势和修剪(30分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6</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园林植物长势良好：无歪斜树木、死株、枝叶枯黄、半死不活等现象</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长势不良扣0.5分/棵，歪斜树扣0.5分/棵，死株扣1分/棵。</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ight="0"/>
              <w:keepLines w:val="0"/>
              <w:keepNext w:val="0"/>
              <w:spacing w:before="0" w:beforeAutospacing="0" w:after="0" w:afterAutospacing="0"/>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7</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根据树木生长特点，修剪整形，要求树冠完整、树形美观。</w:t>
            </w:r>
            <w:r/>
          </w:p>
          <w:p>
            <w:pPr>
              <w:ind w:left="0" w:right="0"/>
              <w:keepLines w:val="0"/>
              <w:keepNext w:val="0"/>
              <w:spacing w:before="0" w:beforeAutospacing="0" w:after="0" w:afterAutospacing="0"/>
              <w:widowControl/>
              <w:rPr>
                <w:szCs w:val="21"/>
              </w:rPr>
              <w:suppressLineNumbers w:val="0"/>
            </w:pPr>
            <w:r>
              <w:rPr>
                <w:szCs w:val="21"/>
                <w:lang w:bidi="ar"/>
              </w:rPr>
              <w:t xml:space="preserve">色块修剪平整、轮廓分明，球类修剪要圆润，草坪修剪要平整。</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20</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未按要求及时修剪，树木扣1分/棵；草坪、色块扣1分/㎡。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326"/>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其他</w:t>
            </w:r>
            <w:r/>
          </w:p>
          <w:p>
            <w:pPr>
              <w:ind w:left="0" w:right="0"/>
              <w:keepLines w:val="0"/>
              <w:keepNext w:val="0"/>
              <w:spacing w:before="0" w:beforeAutospacing="0" w:after="0" w:afterAutospacing="0"/>
              <w:widowControl/>
              <w:rPr>
                <w:szCs w:val="21"/>
              </w:rPr>
              <w:suppressLineNumbers w:val="0"/>
            </w:pPr>
            <w:r>
              <w:rPr>
                <w:szCs w:val="21"/>
                <w:lang w:bidi="ar"/>
              </w:rPr>
              <w:t xml:space="preserve">（10分）</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8</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如遇突击任务，养护方应第一时间响应，无条件配合，并在规定时间内，保质保量完成任务。如有领导批示、媒体曝光、群众投诉、数字城管、联动工单等公众监督问题，以及上级交办、巡查发现、第三方测评采集、文明城市长效管理中发现的问题，未及时处置的。</w:t>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突击任务视完成情况扣分；其他情况扣2分/起。</w:t>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c>
          <w:tcPr>
            <w:shd w:val="clear" w:color="auto" w:fill="ffffff"/>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rPr>
            </w:r>
            <w:r/>
          </w:p>
        </w:tc>
      </w:tr>
      <w:tr>
        <w:trPr>
          <w:jc w:val="center"/>
          <w:trHeight w:val="286"/>
        </w:trPr>
        <w:tc>
          <w:tcPr>
            <w:gridSpan w:val="8"/>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keepLines w:val="0"/>
              <w:keepNext w:val="0"/>
              <w:spacing w:before="0" w:beforeAutospacing="0" w:after="0" w:afterAutospacing="0"/>
              <w:widowControl/>
              <w:rPr>
                <w:szCs w:val="21"/>
              </w:rPr>
              <w:suppressLineNumbers w:val="0"/>
            </w:pPr>
            <w:r>
              <w:rPr>
                <w:szCs w:val="21"/>
                <w:lang w:bidi="ar"/>
              </w:rPr>
              <w:t xml:space="preserve">最终得分：　    考核人签字：           管养单位签字：</w:t>
            </w:r>
            <w:r/>
          </w:p>
          <w:p>
            <w:pPr>
              <w:ind w:left="0" w:right="0"/>
              <w:keepLines w:val="0"/>
              <w:keepNext w:val="0"/>
              <w:spacing w:before="0" w:beforeAutospacing="0" w:after="0" w:afterAutospacing="0"/>
              <w:widowControl/>
              <w:rPr>
                <w:szCs w:val="21"/>
              </w:rPr>
              <w:suppressLineNumbers w:val="0"/>
            </w:pPr>
            <w:r>
              <w:rPr>
                <w:szCs w:val="21"/>
              </w:rPr>
            </w:r>
            <w:r/>
          </w:p>
        </w:tc>
      </w:tr>
    </w:tbl>
    <w:p>
      <w:pPr>
        <w:jc w:val="left"/>
        <w:widowControl/>
        <w:rPr>
          <w:szCs w:val="21"/>
        </w:rPr>
      </w:pPr>
      <w:r>
        <w:rPr>
          <w:szCs w:val="21"/>
        </w:rPr>
        <w:br w:type="page" w:clear="all"/>
      </w:r>
      <w:r/>
    </w:p>
    <w:p>
      <w:pPr>
        <w:pStyle w:val="773"/>
        <w:jc w:val="center"/>
        <w:spacing w:line="360" w:lineRule="auto"/>
        <w:rPr>
          <w:b/>
          <w:bCs/>
          <w:szCs w:val="21"/>
        </w:rPr>
      </w:pPr>
      <w:r>
        <w:rPr>
          <w:b/>
          <w:bCs/>
          <w:sz w:val="32"/>
          <w:szCs w:val="32"/>
        </w:rPr>
        <w:t xml:space="preserve">第六章 评标方法、评分标准</w:t>
      </w:r>
      <w:r/>
    </w:p>
    <w:p>
      <w:pPr>
        <w:spacing w:line="360" w:lineRule="auto"/>
        <w:rPr>
          <w:b/>
          <w:sz w:val="24"/>
          <w:szCs w:val="24"/>
        </w:rPr>
      </w:pPr>
      <w:r>
        <w:rPr>
          <w:b/>
          <w:sz w:val="24"/>
          <w:szCs w:val="24"/>
        </w:rPr>
        <w:t xml:space="preserve">一、评标办法：</w:t>
      </w:r>
      <w:r/>
    </w:p>
    <w:p>
      <w:pPr>
        <w:ind w:firstLine="480"/>
        <w:spacing w:line="360" w:lineRule="auto"/>
        <w:tabs>
          <w:tab w:val="left" w:pos="851" w:leader="none"/>
        </w:tabs>
        <w:rPr>
          <w:bCs/>
          <w:color w:val="000000"/>
          <w:sz w:val="24"/>
          <w:szCs w:val="24"/>
        </w:rPr>
      </w:pPr>
      <w:r>
        <w:rPr>
          <w:bCs/>
          <w:color w:val="000000"/>
          <w:sz w:val="24"/>
          <w:szCs w:val="24"/>
        </w:rPr>
        <w:t xml:space="preserve">1、</w:t>
      </w:r>
      <w:r>
        <w:rPr>
          <w:bCs/>
          <w:color w:val="000000"/>
          <w:sz w:val="24"/>
          <w:szCs w:val="24"/>
        </w:rPr>
        <w:t xml:space="preserve">本项目</w:t>
      </w:r>
      <w:r>
        <w:rPr>
          <w:bCs/>
          <w:color w:val="000000"/>
          <w:sz w:val="24"/>
          <w:szCs w:val="24"/>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851" w:leader="none"/>
        </w:tabs>
        <w:pBdr>
          <w:top w:val="none" w:color="000000" w:sz="4" w:space="0"/>
          <w:left w:val="none" w:color="000000" w:sz="4" w:space="0"/>
          <w:bottom w:val="none" w:color="000000" w:sz="4" w:space="0"/>
          <w:right w:val="none" w:color="000000" w:sz="4" w:space="0"/>
        </w:pBdr>
      </w:pPr>
      <w:r>
        <w:rPr>
          <w:color w:val="000000"/>
          <w:sz w:val="24"/>
          <w:szCs w:val="24"/>
        </w:rPr>
        <w:t xml:space="preserve">2、</w:t>
      </w:r>
      <w:r>
        <w:rPr>
          <w:color w:val="000000"/>
          <w:sz w:val="24"/>
          <w:szCs w:val="24"/>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color w:val="000000"/>
          <w:sz w:val="24"/>
          <w:szCs w:val="24"/>
        </w:rPr>
        <w:t xml:space="preserve">2</w:t>
      </w:r>
      <w:r>
        <w:rPr>
          <w:color w:val="000000"/>
          <w:sz w:val="24"/>
          <w:szCs w:val="24"/>
        </w:rPr>
        <w:t xml:space="preserve">个标段，允许一个投标单位报名多个标段，但一个投标单位最多只能就其中一个标段中标，标段开标顺序按标段号顺序确定。每个标段中标单位为一名。</w:t>
      </w:r>
      <w:r/>
    </w:p>
    <w:p>
      <w:pPr>
        <w:ind w:firstLine="480"/>
        <w:spacing w:line="360" w:lineRule="auto"/>
        <w:tabs>
          <w:tab w:val="left" w:pos="851" w:leader="none"/>
        </w:tabs>
        <w:rPr>
          <w:color w:val="000000"/>
          <w:sz w:val="24"/>
          <w:szCs w:val="24"/>
          <w:highlight w:val="none"/>
        </w:rPr>
      </w:pPr>
      <w:r>
        <w:rPr>
          <w:bCs/>
          <w:color w:val="000000"/>
          <w:sz w:val="24"/>
          <w:szCs w:val="24"/>
        </w:rPr>
        <w:t xml:space="preserve">3、评标委员会各成员独立对每个进入打分程序的有效投标人的标书技术和资质部分以打分的形式进行评审和评价</w:t>
      </w:r>
      <w:r>
        <w:rPr>
          <w:sz w:val="24"/>
          <w:szCs w:val="24"/>
          <w:lang w:bidi="ar"/>
        </w:rPr>
        <w:t xml:space="preserve">（计算结果均四舍五入保留两位小数）</w:t>
      </w:r>
      <w:r>
        <w:rPr>
          <w:bCs/>
          <w:color w:val="000000"/>
          <w:sz w:val="24"/>
          <w:szCs w:val="24"/>
        </w:rPr>
        <w:t xml:space="preserve">。</w:t>
      </w:r>
      <w:r/>
      <w:r>
        <w:rPr>
          <w:bCs/>
          <w:color w:val="000000"/>
          <w:sz w:val="24"/>
          <w:szCs w:val="24"/>
          <w:highlight w:val="none"/>
        </w:rPr>
      </w:r>
      <w:r>
        <w:rPr>
          <w:bCs/>
          <w:color w:val="000000"/>
          <w:sz w:val="24"/>
          <w:szCs w:val="24"/>
          <w:highlight w:val="none"/>
        </w:rPr>
      </w:r>
      <w:r>
        <w:rPr>
          <w:bCs/>
          <w:color w:val="000000"/>
          <w:sz w:val="24"/>
          <w:szCs w:val="24"/>
        </w:rPr>
      </w:r>
    </w:p>
    <w:p>
      <w:pPr>
        <w:ind w:firstLine="480"/>
        <w:jc w:val="left"/>
        <w:spacing w:line="360" w:lineRule="auto"/>
        <w:widowControl/>
        <w:rPr>
          <w:color w:val="000000"/>
          <w:sz w:val="24"/>
          <w:szCs w:val="24"/>
          <w:highlight w:val="none"/>
        </w:rPr>
      </w:pPr>
      <w:r>
        <w:rPr>
          <w:bCs/>
          <w:color w:val="000000"/>
          <w:sz w:val="24"/>
          <w:szCs w:val="24"/>
        </w:rPr>
        <w:t xml:space="preserve">4、对评委的评分（除价格分外）进行统计汇总，直接算术平均计算出每个投标人的得分，加上价格得分即为每个投标人的综合得分。如出现评标总得分最高的投标人有两个或两个以上的，以投标报价较低者优先作为中标候选人，如果投标报价也相同的，则由公证机构组织以抽签方式确定中标候选人。</w:t>
      </w:r>
      <w:r/>
    </w:p>
    <w:p>
      <w:pPr>
        <w:ind w:firstLine="480"/>
        <w:spacing w:line="360" w:lineRule="auto"/>
        <w:tabs>
          <w:tab w:val="left" w:pos="851" w:leader="none"/>
        </w:tabs>
        <w:rPr>
          <w:bCs/>
          <w:color w:val="000000"/>
          <w:sz w:val="24"/>
          <w:szCs w:val="24"/>
        </w:rPr>
      </w:pPr>
      <w:r>
        <w:rPr>
          <w:bCs/>
          <w:color w:val="000000"/>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tabs>
          <w:tab w:val="left" w:pos="851" w:leader="none"/>
        </w:tabs>
        <w:rPr>
          <w:rFonts w:hint="eastAsia"/>
          <w:bCs/>
          <w:color w:val="000000"/>
          <w:sz w:val="24"/>
          <w:szCs w:val="24"/>
          <w:lang w:val="en-US"/>
        </w:rPr>
      </w:pPr>
      <w:r>
        <w:rPr>
          <w:bCs/>
          <w:color w:val="000000"/>
          <w:sz w:val="24"/>
          <w:szCs w:val="24"/>
        </w:rPr>
        <w:t xml:space="preserve">6、</w:t>
      </w:r>
      <w:r>
        <w:rPr>
          <w:rFonts w:hint="eastAsia"/>
          <w:bCs/>
          <w:color w:val="000000"/>
          <w:sz w:val="24"/>
          <w:szCs w:val="24"/>
          <w:lang w:val="en-US" w:eastAsia="zh-CN"/>
        </w:rPr>
        <w:t xml:space="preserve">针对中小型企业、残疾人福利企业和监狱企业的评审：</w:t>
      </w:r>
      <w:r/>
    </w:p>
    <w:p>
      <w:pPr>
        <w:ind w:firstLine="480"/>
        <w:spacing w:line="360" w:lineRule="auto"/>
        <w:tabs>
          <w:tab w:val="left" w:pos="851" w:leader="none"/>
        </w:tabs>
        <w:rPr>
          <w:rFonts w:hint="eastAsia"/>
          <w:bCs/>
          <w:color w:val="000000"/>
          <w:sz w:val="24"/>
          <w:szCs w:val="24"/>
          <w:highlight w:val="yellow"/>
          <w:lang w:val="en-US"/>
        </w:rPr>
      </w:pPr>
      <w:r>
        <w:rPr>
          <w:rFonts w:hint="eastAsia"/>
          <w:bCs/>
          <w:color w:val="000000"/>
          <w:sz w:val="24"/>
          <w:szCs w:val="24"/>
          <w:lang w:val="en-US" w:eastAsia="zh-CN"/>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w:t>
      </w:r>
      <w:r>
        <w:rPr>
          <w:rFonts w:hint="eastAsia"/>
          <w:bCs/>
          <w:color w:val="000000"/>
          <w:sz w:val="24"/>
          <w:szCs w:val="24"/>
          <w:highlight w:val="none"/>
          <w:lang w:val="en-US" w:eastAsia="zh-CN"/>
        </w:rPr>
        <w:t xml:space="preserve">为最低价的，则作为评审基准价，成交金额则以实际响应报价为准。残疾人福利性单位属于小型、微型企业的，不重复享受政策。服务类项目中供应商若使用退休人员，将不享受中小企业扶持政策。</w:t>
      </w:r>
      <w:r/>
    </w:p>
    <w:p>
      <w:pPr>
        <w:ind w:firstLine="480"/>
        <w:spacing w:line="360" w:lineRule="auto"/>
        <w:tabs>
          <w:tab w:val="left" w:pos="851" w:leader="none"/>
        </w:tabs>
        <w:rPr>
          <w:rFonts w:hint="eastAsia"/>
          <w:bCs/>
          <w:color w:val="000000"/>
          <w:sz w:val="24"/>
          <w:szCs w:val="24"/>
          <w:lang w:val="en-US"/>
        </w:rPr>
      </w:pPr>
      <w:r>
        <w:rPr>
          <w:rFonts w:hint="eastAsia"/>
          <w:bCs/>
          <w:color w:val="000000"/>
          <w:sz w:val="24"/>
          <w:szCs w:val="24"/>
          <w:lang w:val="en-US" w:eastAsia="zh-CN"/>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tabs>
          <w:tab w:val="left" w:pos="851" w:leader="none"/>
        </w:tabs>
        <w:rPr>
          <w:rFonts w:hint="eastAsia"/>
          <w:bCs/>
          <w:color w:val="000000"/>
          <w:sz w:val="24"/>
          <w:szCs w:val="24"/>
          <w:lang w:val="en-US"/>
        </w:rPr>
      </w:pPr>
      <w:r>
        <w:rPr>
          <w:rFonts w:hint="eastAsia"/>
          <w:bCs/>
          <w:color w:val="000000"/>
          <w:sz w:val="24"/>
          <w:szCs w:val="24"/>
          <w:lang w:val="en-US" w:eastAsia="zh-CN"/>
        </w:rPr>
        <w:t xml:space="preserve">注：①填报“中小企业声明函”需严格按“工信部联企业〔2011〕300号通知中的《中小企业划型标准规定》进行。</w:t>
      </w:r>
      <w:r/>
    </w:p>
    <w:p>
      <w:pPr>
        <w:ind w:firstLine="480"/>
        <w:spacing w:line="360" w:lineRule="auto"/>
        <w:tabs>
          <w:tab w:val="left" w:pos="851" w:leader="none"/>
        </w:tabs>
        <w:rPr>
          <w:rFonts w:hint="eastAsia"/>
          <w:bCs/>
          <w:color w:val="000000"/>
          <w:sz w:val="24"/>
          <w:szCs w:val="24"/>
          <w:lang w:val="en-US"/>
        </w:rPr>
      </w:pPr>
      <w:r>
        <w:rPr>
          <w:rFonts w:hint="eastAsia"/>
          <w:bCs/>
          <w:color w:val="000000"/>
          <w:sz w:val="24"/>
          <w:szCs w:val="24"/>
          <w:lang w:val="en-US" w:eastAsia="zh-CN"/>
        </w:rPr>
        <w:t xml:space="preserve">②若供应商提供的声明函或认定证明为虚假材料，按“政府采购法”相关规定处理并报请政府监管部门给予行政处罚。</w:t>
      </w:r>
      <w:r/>
    </w:p>
    <w:p>
      <w:pPr>
        <w:ind w:firstLine="482"/>
        <w:spacing w:line="360" w:lineRule="auto"/>
        <w:rPr>
          <w:b/>
          <w:color w:val="000000"/>
          <w:sz w:val="24"/>
          <w:szCs w:val="24"/>
        </w:rPr>
        <w:outlineLvl w:val="1"/>
      </w:pPr>
      <w:r>
        <w:rPr>
          <w:b/>
          <w:color w:val="000000"/>
          <w:sz w:val="24"/>
          <w:szCs w:val="24"/>
        </w:rPr>
        <w:t xml:space="preserve">二、评分标准：</w:t>
      </w:r>
      <w:r/>
    </w:p>
    <w:p>
      <w:pPr>
        <w:ind w:firstLine="482"/>
        <w:spacing w:line="360" w:lineRule="auto"/>
        <w:rPr>
          <w:b/>
          <w:sz w:val="24"/>
          <w:szCs w:val="24"/>
        </w:rPr>
      </w:pPr>
      <w:r>
        <w:rPr>
          <w:b/>
          <w:bCs/>
          <w:sz w:val="24"/>
          <w:szCs w:val="24"/>
        </w:rPr>
        <w:t xml:space="preserve"> (一）价格分（10分）</w:t>
      </w:r>
      <w:r/>
    </w:p>
    <w:p>
      <w:pPr>
        <w:ind w:firstLine="480"/>
        <w:spacing w:line="360" w:lineRule="auto"/>
        <w:rPr>
          <w:b/>
          <w:sz w:val="24"/>
          <w:szCs w:val="24"/>
        </w:rPr>
      </w:pPr>
      <w:r>
        <w:rPr>
          <w:sz w:val="24"/>
          <w:szCs w:val="24"/>
        </w:rPr>
        <w:t xml:space="preserve">第一步：投标报价低于或等于财政预算价格的，为有效投标报价。超财政预算的投标报价为无效投标报价。</w:t>
      </w:r>
      <w:r/>
    </w:p>
    <w:p>
      <w:pPr>
        <w:ind w:firstLine="480"/>
        <w:spacing w:line="360" w:lineRule="auto"/>
        <w:rPr>
          <w:b/>
          <w:sz w:val="24"/>
          <w:szCs w:val="24"/>
        </w:rPr>
      </w:pPr>
      <w:r>
        <w:rPr>
          <w:sz w:val="24"/>
          <w:szCs w:val="24"/>
        </w:rPr>
        <w:t xml:space="preserve">第二步：在所有有效投标报价中满足招标文件要求，且投标价格最低的投标报价为评标基准价，其他投标人的价格分按照下列公式计算（计算结果四舍五入保留两位小数）。</w:t>
      </w:r>
      <w:r/>
    </w:p>
    <w:p>
      <w:pPr>
        <w:ind w:firstLine="480"/>
        <w:spacing w:line="360" w:lineRule="auto"/>
        <w:rPr>
          <w:b/>
          <w:sz w:val="24"/>
          <w:szCs w:val="24"/>
        </w:rPr>
      </w:pPr>
      <w:r>
        <w:rPr>
          <w:sz w:val="24"/>
          <w:szCs w:val="24"/>
        </w:rPr>
        <w:t xml:space="preserve">投标报价得分＝（评标基准价/投标报价）×10％×100</w:t>
      </w:r>
      <w:r/>
    </w:p>
    <w:p>
      <w:pPr>
        <w:ind w:firstLine="482"/>
        <w:spacing w:line="360" w:lineRule="auto"/>
        <w:rPr>
          <w:rStyle w:val="1100"/>
          <w:rFonts w:ascii="Times New Roman" w:hAnsi="Times New Roman"/>
          <w:b/>
          <w:sz w:val="24"/>
          <w:szCs w:val="24"/>
        </w:rPr>
        <w:outlineLvl w:val="2"/>
      </w:pPr>
      <w:r>
        <w:rPr>
          <w:rStyle w:val="1100"/>
          <w:rFonts w:ascii="Times New Roman" w:hAnsi="Times New Roman"/>
          <w:b/>
          <w:sz w:val="24"/>
          <w:szCs w:val="24"/>
        </w:rPr>
        <w:t xml:space="preserve">（二）养护管理技术方案（56分）：</w:t>
      </w:r>
      <w:r/>
    </w:p>
    <w:p>
      <w:pPr>
        <w:ind w:firstLine="480"/>
        <w:spacing w:line="360" w:lineRule="auto"/>
        <w:rPr>
          <w:bCs/>
          <w:sz w:val="24"/>
          <w:szCs w:val="24"/>
          <w:highlight w:val="none"/>
        </w:rPr>
        <w:outlineLvl w:val="2"/>
      </w:pPr>
      <w:r>
        <w:rPr>
          <w:bCs/>
          <w:sz w:val="24"/>
          <w:szCs w:val="24"/>
        </w:rPr>
        <w:t xml:space="preserve">1、投标人内部</w:t>
      </w:r>
      <w:r>
        <w:rPr>
          <w:bCs/>
          <w:sz w:val="24"/>
          <w:szCs w:val="24"/>
          <w:highlight w:val="none"/>
        </w:rPr>
        <w:t xml:space="preserve">管理制度，最高</w:t>
      </w:r>
      <w:r>
        <w:rPr>
          <w:rFonts w:hint="eastAsia"/>
          <w:bCs/>
          <w:sz w:val="24"/>
          <w:szCs w:val="24"/>
          <w:highlight w:val="none"/>
          <w:lang w:val="en-US" w:eastAsia="zh-CN"/>
        </w:rPr>
        <w:t xml:space="preserve">8</w:t>
      </w:r>
      <w:r>
        <w:rPr>
          <w:bCs/>
          <w:sz w:val="24"/>
          <w:szCs w:val="24"/>
          <w:highlight w:val="none"/>
        </w:rPr>
        <w:t xml:space="preserve">分；</w:t>
      </w:r>
      <w:r/>
    </w:p>
    <w:p>
      <w:pPr>
        <w:ind w:firstLine="480"/>
        <w:spacing w:line="360" w:lineRule="auto"/>
        <w:rPr>
          <w:bCs/>
          <w:sz w:val="24"/>
          <w:szCs w:val="24"/>
          <w:highlight w:val="none"/>
        </w:rPr>
        <w:outlineLvl w:val="2"/>
      </w:pPr>
      <w:r>
        <w:rPr>
          <w:bCs/>
          <w:sz w:val="24"/>
          <w:szCs w:val="24"/>
          <w:highlight w:val="none"/>
        </w:rPr>
        <w:t xml:space="preserve">说明：包括组织架构、内部养护检查考核制度、自查自纠制度、奖惩措施、养护档案管理制度、安全文明措施等。内容详细、有针对性的得</w:t>
      </w:r>
      <w:r>
        <w:rPr>
          <w:rFonts w:hint="eastAsia"/>
          <w:bCs/>
          <w:sz w:val="24"/>
          <w:szCs w:val="24"/>
          <w:highlight w:val="none"/>
          <w:lang w:val="en-US" w:eastAsia="zh-CN"/>
        </w:rPr>
        <w:t xml:space="preserve">8</w:t>
      </w:r>
      <w:r>
        <w:rPr>
          <w:bCs/>
          <w:sz w:val="24"/>
          <w:szCs w:val="24"/>
          <w:highlight w:val="none"/>
        </w:rPr>
        <w:t xml:space="preserve">分；内容相对充实，有一定合理性的得</w:t>
      </w:r>
      <w:r>
        <w:rPr>
          <w:rFonts w:hint="eastAsia"/>
          <w:bCs/>
          <w:sz w:val="24"/>
          <w:szCs w:val="24"/>
          <w:highlight w:val="none"/>
          <w:lang w:val="en-US" w:eastAsia="zh-CN"/>
        </w:rPr>
        <w:t xml:space="preserve">5</w:t>
      </w:r>
      <w:r>
        <w:rPr>
          <w:bCs/>
          <w:sz w:val="24"/>
          <w:szCs w:val="24"/>
          <w:highlight w:val="none"/>
        </w:rPr>
        <w:t xml:space="preserve">分；基本满足要求的可得</w:t>
      </w:r>
      <w:r>
        <w:rPr>
          <w:rFonts w:hint="eastAsia"/>
          <w:bCs/>
          <w:sz w:val="24"/>
          <w:szCs w:val="24"/>
          <w:highlight w:val="none"/>
          <w:lang w:val="en-US" w:eastAsia="zh-CN"/>
        </w:rPr>
        <w:t xml:space="preserve">2</w:t>
      </w:r>
      <w:r>
        <w:rPr>
          <w:bCs/>
          <w:sz w:val="24"/>
          <w:szCs w:val="24"/>
          <w:highlight w:val="none"/>
        </w:rPr>
        <w:t xml:space="preserve">分；未提供不得分。</w:t>
      </w:r>
      <w:r/>
    </w:p>
    <w:p>
      <w:pPr>
        <w:ind w:firstLine="480"/>
        <w:spacing w:line="360" w:lineRule="auto"/>
        <w:rPr>
          <w:bCs/>
          <w:sz w:val="24"/>
          <w:szCs w:val="24"/>
          <w:highlight w:val="none"/>
        </w:rPr>
        <w:outlineLvl w:val="2"/>
      </w:pPr>
      <w:r>
        <w:rPr>
          <w:bCs/>
          <w:sz w:val="24"/>
          <w:szCs w:val="24"/>
          <w:highlight w:val="none"/>
        </w:rPr>
        <w:t xml:space="preserve">2、人员管理方案，最高8分；</w:t>
      </w:r>
      <w:r/>
    </w:p>
    <w:p>
      <w:pPr>
        <w:ind w:firstLine="480"/>
        <w:spacing w:line="360" w:lineRule="auto"/>
        <w:rPr>
          <w:bCs/>
          <w:sz w:val="24"/>
          <w:szCs w:val="24"/>
          <w:highlight w:val="none"/>
        </w:rPr>
        <w:outlineLvl w:val="2"/>
      </w:pPr>
      <w:r>
        <w:rPr>
          <w:bCs/>
          <w:sz w:val="24"/>
          <w:szCs w:val="24"/>
          <w:highlight w:val="none"/>
        </w:rPr>
        <w:t xml:space="preserve">说明：方案内容中至少包含项目组人员分工、作业人员配置及其作业人员管理组成方案等内容，《配备人员表》。内容详细、有针对性的得8分；内容相对充实，有一定合理性的得5分；基本满足要求的得2分；未提供不得分。</w:t>
      </w:r>
      <w:r/>
    </w:p>
    <w:p>
      <w:pPr>
        <w:ind w:firstLine="480"/>
        <w:spacing w:line="360" w:lineRule="auto"/>
        <w:rPr>
          <w:bCs/>
          <w:sz w:val="24"/>
          <w:szCs w:val="24"/>
          <w:highlight w:val="none"/>
        </w:rPr>
        <w:outlineLvl w:val="2"/>
      </w:pPr>
      <w:r>
        <w:rPr>
          <w:bCs/>
          <w:sz w:val="24"/>
          <w:szCs w:val="24"/>
          <w:highlight w:val="none"/>
        </w:rPr>
        <w:t xml:space="preserve">3、设备设施作业管理维护方案，最高</w:t>
      </w:r>
      <w:r>
        <w:rPr>
          <w:rFonts w:hint="eastAsia"/>
          <w:bCs/>
          <w:sz w:val="24"/>
          <w:szCs w:val="24"/>
          <w:highlight w:val="none"/>
          <w:lang w:val="en-US" w:eastAsia="zh-CN"/>
        </w:rPr>
        <w:t xml:space="preserve">8</w:t>
      </w:r>
      <w:r>
        <w:rPr>
          <w:bCs/>
          <w:sz w:val="24"/>
          <w:szCs w:val="24"/>
          <w:highlight w:val="none"/>
        </w:rPr>
        <w:t xml:space="preserve">分；</w:t>
      </w:r>
      <w:r/>
    </w:p>
    <w:p>
      <w:pPr>
        <w:ind w:firstLine="480"/>
        <w:spacing w:line="360" w:lineRule="auto"/>
        <w:rPr>
          <w:bCs/>
          <w:sz w:val="24"/>
          <w:szCs w:val="24"/>
          <w:highlight w:val="none"/>
        </w:rPr>
        <w:outlineLvl w:val="2"/>
      </w:pPr>
      <w:r>
        <w:rPr>
          <w:bCs/>
          <w:sz w:val="24"/>
          <w:szCs w:val="24"/>
          <w:highlight w:val="none"/>
        </w:rPr>
        <w:t xml:space="preserve">说明：方案内容中至少包含设备配置、设备作业管理方案及设备后期维护保养方案等内容。内容详细、有针对性的得</w:t>
      </w:r>
      <w:r>
        <w:rPr>
          <w:rFonts w:hint="eastAsia"/>
          <w:bCs/>
          <w:sz w:val="24"/>
          <w:szCs w:val="24"/>
          <w:highlight w:val="none"/>
          <w:lang w:val="en-US" w:eastAsia="zh-CN"/>
        </w:rPr>
        <w:t xml:space="preserve">8</w:t>
      </w:r>
      <w:r>
        <w:rPr>
          <w:bCs/>
          <w:sz w:val="24"/>
          <w:szCs w:val="24"/>
          <w:highlight w:val="none"/>
        </w:rPr>
        <w:t xml:space="preserve">分；内容相对充实，有一定合理性的得5分；基本满足要求的可得2分；未提供不得分。</w:t>
      </w:r>
      <w:r/>
    </w:p>
    <w:p>
      <w:pPr>
        <w:ind w:firstLine="480"/>
        <w:spacing w:line="360" w:lineRule="auto"/>
        <w:rPr>
          <w:bCs/>
          <w:sz w:val="24"/>
          <w:szCs w:val="24"/>
          <w:highlight w:val="none"/>
        </w:rPr>
        <w:outlineLvl w:val="2"/>
      </w:pPr>
      <w:r>
        <w:rPr>
          <w:bCs/>
          <w:sz w:val="24"/>
          <w:szCs w:val="24"/>
          <w:highlight w:val="none"/>
        </w:rPr>
        <w:t xml:space="preserve">4、绿化养护技术方案，最高8分；</w:t>
      </w:r>
      <w:r/>
    </w:p>
    <w:p>
      <w:pPr>
        <w:ind w:firstLine="480"/>
        <w:spacing w:line="360" w:lineRule="auto"/>
        <w:rPr>
          <w:bCs/>
          <w:sz w:val="24"/>
          <w:szCs w:val="24"/>
          <w:highlight w:val="none"/>
        </w:rPr>
        <w:outlineLvl w:val="2"/>
      </w:pPr>
      <w:r>
        <w:rPr>
          <w:bCs/>
          <w:sz w:val="24"/>
          <w:szCs w:val="24"/>
          <w:highlight w:val="none"/>
        </w:rPr>
        <w:t xml:space="preserve">说明：包括养护计划、植物养护、设施维护、病虫害防治、树木修剪、抗旱排涝、安全作业、绿地保洁等。内容详细、有针对性的得8分；内容相对充实，有一定合理性的得</w:t>
      </w:r>
      <w:r>
        <w:rPr>
          <w:rFonts w:hint="eastAsia"/>
          <w:bCs/>
          <w:sz w:val="24"/>
          <w:szCs w:val="24"/>
          <w:highlight w:val="none"/>
          <w:lang w:val="en-US" w:eastAsia="zh-CN"/>
        </w:rPr>
        <w:t xml:space="preserve">5</w:t>
      </w:r>
      <w:r>
        <w:rPr>
          <w:bCs/>
          <w:sz w:val="24"/>
          <w:szCs w:val="24"/>
          <w:highlight w:val="none"/>
        </w:rPr>
        <w:t xml:space="preserve">分；基本满足要求的可得2分；未提供不得分。</w:t>
      </w:r>
      <w:r/>
    </w:p>
    <w:p>
      <w:pPr>
        <w:ind w:firstLine="480"/>
        <w:spacing w:line="360" w:lineRule="auto"/>
        <w:rPr>
          <w:bCs/>
          <w:sz w:val="24"/>
          <w:szCs w:val="24"/>
          <w:highlight w:val="none"/>
        </w:rPr>
        <w:outlineLvl w:val="2"/>
      </w:pPr>
      <w:r>
        <w:rPr>
          <w:bCs/>
          <w:sz w:val="24"/>
          <w:szCs w:val="24"/>
          <w:highlight w:val="none"/>
        </w:rPr>
        <w:t xml:space="preserve">5、绿化养护应急方案，最高</w:t>
      </w:r>
      <w:r>
        <w:rPr>
          <w:rFonts w:hint="eastAsia"/>
          <w:bCs/>
          <w:sz w:val="24"/>
          <w:szCs w:val="24"/>
          <w:highlight w:val="none"/>
          <w:lang w:val="en-US" w:eastAsia="zh-CN"/>
        </w:rPr>
        <w:t xml:space="preserve">8</w:t>
      </w:r>
      <w:r>
        <w:rPr>
          <w:bCs/>
          <w:sz w:val="24"/>
          <w:szCs w:val="24"/>
          <w:highlight w:val="none"/>
        </w:rPr>
        <w:t xml:space="preserve">分；</w:t>
      </w:r>
      <w:r/>
    </w:p>
    <w:p>
      <w:pPr>
        <w:ind w:firstLine="480"/>
        <w:spacing w:line="360" w:lineRule="auto"/>
        <w:rPr>
          <w:bCs/>
          <w:sz w:val="24"/>
          <w:szCs w:val="24"/>
        </w:rPr>
        <w:outlineLvl w:val="2"/>
      </w:pPr>
      <w:r>
        <w:rPr>
          <w:bCs/>
          <w:sz w:val="24"/>
          <w:szCs w:val="24"/>
        </w:rPr>
        <w:t xml:space="preserve">说明：一般突发事件应急措施，包括：抢险应急预案、抗台防汛等恶劣天气的应急措施及各类迎检保障工作等。内容详细、有针对性的得</w:t>
      </w:r>
      <w:r>
        <w:rPr>
          <w:rFonts w:hint="eastAsia"/>
          <w:bCs/>
          <w:sz w:val="24"/>
          <w:szCs w:val="24"/>
          <w:lang w:val="en-US" w:eastAsia="zh-CN"/>
        </w:rPr>
        <w:t xml:space="preserve">8</w:t>
      </w:r>
      <w:r>
        <w:rPr>
          <w:bCs/>
          <w:sz w:val="24"/>
          <w:szCs w:val="24"/>
        </w:rPr>
        <w:t xml:space="preserve">分；内容相对充实，有一定合理性的得5分；基本满足要求的可得2分；未提供不得分。</w:t>
      </w:r>
      <w:r/>
    </w:p>
    <w:p>
      <w:pPr>
        <w:ind w:firstLine="480"/>
        <w:spacing w:line="360" w:lineRule="auto"/>
        <w:rPr>
          <w:bCs/>
          <w:sz w:val="24"/>
          <w:szCs w:val="24"/>
        </w:rPr>
        <w:outlineLvl w:val="2"/>
      </w:pPr>
      <w:r>
        <w:rPr>
          <w:bCs/>
          <w:sz w:val="24"/>
          <w:szCs w:val="24"/>
        </w:rPr>
        <w:t xml:space="preserve">6、投标人进退场交接方案措施比较，最高</w:t>
      </w:r>
      <w:r>
        <w:rPr>
          <w:rFonts w:hint="eastAsia"/>
          <w:bCs/>
          <w:sz w:val="24"/>
          <w:szCs w:val="24"/>
          <w:lang w:val="en-US" w:eastAsia="zh-CN"/>
        </w:rPr>
        <w:t xml:space="preserve">8</w:t>
      </w:r>
      <w:r>
        <w:rPr>
          <w:bCs/>
          <w:sz w:val="24"/>
          <w:szCs w:val="24"/>
        </w:rPr>
        <w:t xml:space="preserve">分；</w:t>
      </w:r>
      <w:r/>
    </w:p>
    <w:p>
      <w:pPr>
        <w:ind w:firstLine="480"/>
        <w:spacing w:line="360" w:lineRule="auto"/>
        <w:rPr>
          <w:bCs/>
          <w:sz w:val="24"/>
          <w:szCs w:val="24"/>
        </w:rPr>
        <w:outlineLvl w:val="2"/>
      </w:pPr>
      <w:r>
        <w:rPr>
          <w:bCs/>
          <w:sz w:val="24"/>
          <w:szCs w:val="24"/>
        </w:rPr>
        <w:t xml:space="preserve">说明：方案内容完整，针对性适用性强的，得</w:t>
      </w:r>
      <w:r>
        <w:rPr>
          <w:rFonts w:hint="eastAsia"/>
          <w:bCs/>
          <w:sz w:val="24"/>
          <w:szCs w:val="24"/>
          <w:lang w:val="en-US" w:eastAsia="zh-CN"/>
        </w:rPr>
        <w:t xml:space="preserve">8</w:t>
      </w:r>
      <w:r>
        <w:rPr>
          <w:bCs/>
          <w:sz w:val="24"/>
          <w:szCs w:val="24"/>
        </w:rPr>
        <w:t xml:space="preserve">分；方案内容完整，针对性适用性较强的，得</w:t>
      </w:r>
      <w:r>
        <w:rPr>
          <w:rFonts w:hint="eastAsia"/>
          <w:bCs/>
          <w:sz w:val="24"/>
          <w:szCs w:val="24"/>
          <w:lang w:val="en-US" w:eastAsia="zh-CN"/>
        </w:rPr>
        <w:t xml:space="preserve">5</w:t>
      </w:r>
      <w:r>
        <w:rPr>
          <w:bCs/>
          <w:sz w:val="24"/>
          <w:szCs w:val="24"/>
        </w:rPr>
        <w:t xml:space="preserve">分；方案内容完整，针对性适用性一般的，得2分；未提供不得分。</w:t>
      </w:r>
      <w:r/>
    </w:p>
    <w:p>
      <w:pPr>
        <w:ind w:firstLine="480"/>
        <w:spacing w:line="360" w:lineRule="auto"/>
        <w:rPr>
          <w:bCs/>
          <w:sz w:val="24"/>
          <w:szCs w:val="24"/>
        </w:rPr>
        <w:outlineLvl w:val="2"/>
      </w:pPr>
      <w:r>
        <w:rPr>
          <w:bCs/>
          <w:sz w:val="24"/>
          <w:szCs w:val="24"/>
        </w:rPr>
        <w:t xml:space="preserve">7、安全文明作业方案，最高</w:t>
      </w:r>
      <w:r>
        <w:rPr>
          <w:rFonts w:hint="eastAsia"/>
          <w:bCs/>
          <w:sz w:val="24"/>
          <w:szCs w:val="24"/>
          <w:lang w:val="en-US" w:eastAsia="zh-CN"/>
        </w:rPr>
        <w:t xml:space="preserve">8</w:t>
      </w:r>
      <w:r>
        <w:rPr>
          <w:bCs/>
          <w:sz w:val="24"/>
          <w:szCs w:val="24"/>
        </w:rPr>
        <w:t xml:space="preserve">分；</w:t>
      </w:r>
      <w:r/>
    </w:p>
    <w:p>
      <w:pPr>
        <w:ind w:firstLine="480"/>
        <w:spacing w:line="360" w:lineRule="auto"/>
        <w:rPr>
          <w:sz w:val="24"/>
          <w:szCs w:val="24"/>
        </w:rPr>
      </w:pPr>
      <w:r>
        <w:rPr>
          <w:sz w:val="24"/>
          <w:szCs w:val="24"/>
        </w:rPr>
        <w:t xml:space="preserve">说明：方案内容中至少包含日常作业安全、作业标示标牌设置、垃圾清运、人员培训及作业如何减少对周边居民生活和出行的合理性、完善性、规范性、清晰性、可操作性强的得</w:t>
      </w:r>
      <w:r>
        <w:rPr>
          <w:rFonts w:hint="eastAsia"/>
          <w:sz w:val="24"/>
          <w:szCs w:val="24"/>
          <w:lang w:val="en-US" w:eastAsia="zh-CN"/>
        </w:rPr>
        <w:t xml:space="preserve">8</w:t>
      </w:r>
      <w:r>
        <w:rPr>
          <w:sz w:val="24"/>
          <w:szCs w:val="24"/>
        </w:rPr>
        <w:t xml:space="preserve">分；合理性、完善性、规范性、清晰性、可操作性较强的得</w:t>
      </w:r>
      <w:r>
        <w:rPr>
          <w:rFonts w:hint="eastAsia"/>
          <w:sz w:val="24"/>
          <w:szCs w:val="24"/>
          <w:lang w:val="en-US" w:eastAsia="zh-CN"/>
        </w:rPr>
        <w:t xml:space="preserve">5</w:t>
      </w:r>
      <w:r>
        <w:rPr>
          <w:sz w:val="24"/>
          <w:szCs w:val="24"/>
        </w:rPr>
        <w:t xml:space="preserve">分；合理性、完善性、规范性、清晰性、可操作性一般的得2分；</w:t>
      </w:r>
      <w:r>
        <w:rPr>
          <w:bCs/>
          <w:sz w:val="24"/>
          <w:szCs w:val="24"/>
        </w:rPr>
        <w:t xml:space="preserve">未提供不得分。</w:t>
      </w:r>
      <w:r/>
    </w:p>
    <w:p>
      <w:pPr>
        <w:ind w:firstLine="482"/>
        <w:jc w:val="left"/>
        <w:spacing w:line="360" w:lineRule="auto"/>
        <w:rPr>
          <w:b/>
          <w:bCs/>
          <w:sz w:val="24"/>
          <w:szCs w:val="24"/>
        </w:rPr>
      </w:pPr>
      <w:r>
        <w:rPr>
          <w:b/>
          <w:bCs/>
          <w:sz w:val="24"/>
          <w:szCs w:val="24"/>
        </w:rPr>
        <w:t xml:space="preserve">（三）投标人投入本项目人员要求（10分）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1、投入本项目的项目经理配置要求（2分）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具有园林绿化及相关专业本科以上学历（含本科）得1分；具有园林绿化高级职称</w:t>
      </w:r>
      <w:r>
        <w:rPr>
          <w:rFonts w:hint="default"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得1分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高级以下职称</w:t>
      </w:r>
      <w:r>
        <w:rPr>
          <w:rFonts w:hint="default"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0.5</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（上传毕业证及职称证原件彩色扫描件，</w:t>
      </w:r>
      <w:r>
        <w:rPr>
          <w:rFonts w:hint="default" w:ascii="Times New Roman" w:hAnsi="Times New Roman" w:eastAsia="宋体" w:cs="Times New Roman"/>
          <w:color w:val="auto"/>
          <w:sz w:val="24"/>
          <w:szCs w:val="24"/>
          <w:highlight w:val="none"/>
          <w:lang w:eastAsia="zh-CN"/>
        </w:rPr>
        <w:t xml:space="preserve">响应单位</w:t>
      </w:r>
      <w:r>
        <w:rPr>
          <w:rFonts w:hint="default" w:ascii="Times New Roman" w:hAnsi="Times New Roman" w:eastAsia="宋体" w:cs="Times New Roman"/>
          <w:color w:val="auto"/>
          <w:sz w:val="24"/>
          <w:szCs w:val="24"/>
          <w:highlight w:val="none"/>
        </w:rPr>
        <w:t xml:space="preserve">为其缴纳的最近一期社保证明彩色扫描件</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未提供不得分</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2、项目组其他人员要求，最高</w:t>
      </w: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p>
    <w:p>
      <w:pPr>
        <w:ind w:firstLine="480"/>
        <w:jc w:val="left"/>
        <w:spacing w:line="36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项目组人员中每具有一个园林绿化专业工程师或以上职称的得</w:t>
      </w:r>
      <w:r>
        <w:rPr>
          <w:rFonts w:hint="eastAsia"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rPr>
        <w:t xml:space="preserve">分，最高得</w:t>
      </w:r>
      <w:r>
        <w:rPr>
          <w:rFonts w:hint="eastAsia"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rPr>
        <w:t xml:space="preserve">分。</w:t>
      </w:r>
      <w:r/>
    </w:p>
    <w:p>
      <w:pPr>
        <w:ind w:firstLine="480"/>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（上传职称证书、</w:t>
      </w:r>
      <w:r>
        <w:rPr>
          <w:rFonts w:hint="default" w:ascii="Times New Roman" w:hAnsi="Times New Roman" w:eastAsia="宋体" w:cs="Times New Roman"/>
          <w:color w:val="auto"/>
          <w:sz w:val="24"/>
          <w:szCs w:val="24"/>
          <w:highlight w:val="none"/>
          <w:lang w:eastAsia="zh-CN"/>
        </w:rPr>
        <w:t xml:space="preserve">响应单位</w:t>
      </w:r>
      <w:r>
        <w:rPr>
          <w:rFonts w:hint="default" w:ascii="Times New Roman" w:hAnsi="Times New Roman" w:eastAsia="宋体" w:cs="Times New Roman"/>
          <w:color w:val="auto"/>
          <w:sz w:val="24"/>
          <w:szCs w:val="24"/>
          <w:highlight w:val="none"/>
        </w:rPr>
        <w:t xml:space="preserve">为其缴纳的最近一期社保证明彩色扫描件</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未提供不得分</w:t>
      </w:r>
      <w:r>
        <w:rPr>
          <w:rFonts w:hint="default" w:ascii="Times New Roman" w:hAnsi="Times New Roman" w:eastAsia="宋体" w:cs="Times New Roman"/>
          <w:color w:val="auto"/>
          <w:sz w:val="24"/>
          <w:szCs w:val="24"/>
          <w:highlight w:val="none"/>
        </w:rPr>
        <w:t xml:space="preserve">）</w:t>
      </w:r>
      <w:r/>
    </w:p>
    <w:p>
      <w:pPr>
        <w:pStyle w:val="768"/>
        <w:numPr>
          <w:ilvl w:val="0"/>
          <w:numId w:val="0"/>
        </w:numPr>
        <w:ind w:firstLine="480"/>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3、安全员具有政府安监部门（应急管理部门）或其认可的相关培训机构颁发的有效期内的安全管理员证书的得2分；具有红十字会颁发的有效期内的应急救护培训合格证得2分；本项最高4分。</w:t>
      </w:r>
      <w:r/>
    </w:p>
    <w:p>
      <w:pPr>
        <w:ind w:firstLine="480"/>
        <w:jc w:val="left"/>
        <w:spacing w:line="360" w:lineRule="auto"/>
        <w:rPr>
          <w:rFonts w:hint="eastAsia"/>
          <w:highlight w:val="none"/>
          <w:lang w:val="en-US" w:eastAsia="zh-CN"/>
        </w:rPr>
      </w:pPr>
      <w:r>
        <w:rPr>
          <w:rFonts w:hint="default" w:ascii="Times New Roman" w:hAnsi="Times New Roman" w:eastAsia="宋体" w:cs="Times New Roman"/>
          <w:color w:val="auto"/>
          <w:sz w:val="24"/>
          <w:szCs w:val="24"/>
          <w:highlight w:val="none"/>
        </w:rPr>
        <w:t xml:space="preserve">（上传</w:t>
      </w:r>
      <w:r>
        <w:rPr>
          <w:rFonts w:hint="eastAsia" w:cs="Times New Roman"/>
          <w:color w:val="auto"/>
          <w:sz w:val="24"/>
          <w:szCs w:val="24"/>
          <w:highlight w:val="none"/>
          <w:lang w:val="en-US" w:eastAsia="zh-CN"/>
        </w:rPr>
        <w:t xml:space="preserve">相关</w:t>
      </w:r>
      <w:r>
        <w:rPr>
          <w:rFonts w:hint="default" w:ascii="Times New Roman" w:hAnsi="Times New Roman" w:eastAsia="宋体" w:cs="Times New Roman"/>
          <w:color w:val="auto"/>
          <w:sz w:val="24"/>
          <w:szCs w:val="24"/>
          <w:highlight w:val="none"/>
        </w:rPr>
        <w:t xml:space="preserve">证书、</w:t>
      </w:r>
      <w:r>
        <w:rPr>
          <w:rFonts w:hint="default" w:ascii="Times New Roman" w:hAnsi="Times New Roman" w:eastAsia="宋体" w:cs="Times New Roman"/>
          <w:color w:val="auto"/>
          <w:sz w:val="24"/>
          <w:szCs w:val="24"/>
          <w:highlight w:val="none"/>
          <w:lang w:eastAsia="zh-CN"/>
        </w:rPr>
        <w:t xml:space="preserve">响应单位</w:t>
      </w:r>
      <w:r>
        <w:rPr>
          <w:rFonts w:hint="default" w:ascii="Times New Roman" w:hAnsi="Times New Roman" w:eastAsia="宋体" w:cs="Times New Roman"/>
          <w:color w:val="auto"/>
          <w:sz w:val="24"/>
          <w:szCs w:val="24"/>
          <w:highlight w:val="none"/>
        </w:rPr>
        <w:t xml:space="preserve">为其缴纳的最近一期社保证明彩色扫描件</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未提供不得分</w:t>
      </w:r>
      <w:r>
        <w:rPr>
          <w:rFonts w:hint="default" w:ascii="Times New Roman" w:hAnsi="Times New Roman" w:eastAsia="宋体" w:cs="Times New Roman"/>
          <w:color w:val="auto"/>
          <w:sz w:val="24"/>
          <w:szCs w:val="24"/>
          <w:highlight w:val="none"/>
        </w:rPr>
        <w:t xml:space="preserve">）</w:t>
      </w:r>
      <w:r/>
    </w:p>
    <w:p>
      <w:pPr>
        <w:pStyle w:val="768"/>
        <w:ind w:left="0" w:firstLine="480"/>
        <w:spacing w:line="360" w:lineRule="auto"/>
        <w:rPr>
          <w:rFonts w:hint="eastAsia" w:eastAsia="宋体"/>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园林绿化相关专业是指：与园林绿化工程规划、设计、施工及养护管理相关的专业，包括园林（含园林规划设计、园林植物、风景园林、园林绿化等）、园艺、城市规划、景观、植物（含植保、森保等）、风景旅游、环境艺术等专业。</w:t>
      </w:r>
      <w:r/>
    </w:p>
    <w:p>
      <w:pPr>
        <w:ind w:firstLine="482"/>
        <w:jc w:val="left"/>
        <w:spacing w:line="360" w:lineRule="auto"/>
        <w:rPr>
          <w:b/>
          <w:bCs/>
          <w:sz w:val="24"/>
          <w:szCs w:val="24"/>
        </w:rPr>
      </w:pPr>
      <w:r>
        <w:rPr>
          <w:b/>
          <w:bCs/>
          <w:sz w:val="24"/>
          <w:szCs w:val="24"/>
        </w:rPr>
        <w:t xml:space="preserve">（四）投标人增加绿化车辆情况比较（4分）</w:t>
      </w:r>
      <w:r/>
    </w:p>
    <w:p>
      <w:pPr>
        <w:ind w:firstLine="480"/>
        <w:jc w:val="left"/>
        <w:spacing w:line="360" w:lineRule="auto"/>
        <w:rPr>
          <w:sz w:val="24"/>
          <w:szCs w:val="24"/>
        </w:rPr>
      </w:pPr>
      <w:r>
        <w:rPr>
          <w:sz w:val="24"/>
          <w:szCs w:val="24"/>
        </w:rPr>
        <w:t xml:space="preserve">1、洒水车，最高1分</w:t>
      </w:r>
      <w:r/>
    </w:p>
    <w:p>
      <w:pPr>
        <w:ind w:firstLine="480"/>
        <w:jc w:val="left"/>
        <w:spacing w:line="360" w:lineRule="auto"/>
        <w:rPr>
          <w:sz w:val="24"/>
          <w:szCs w:val="24"/>
        </w:rPr>
      </w:pPr>
      <w:r>
        <w:rPr>
          <w:sz w:val="24"/>
          <w:szCs w:val="24"/>
        </w:rPr>
        <w:t xml:space="preserve">水车：车辆类型为专项作业车，核定载质量≥7吨，在最低配备要求上增加一辆得1分。</w:t>
      </w:r>
      <w:r/>
    </w:p>
    <w:p>
      <w:pPr>
        <w:ind w:firstLine="480"/>
        <w:jc w:val="left"/>
        <w:spacing w:line="360" w:lineRule="auto"/>
        <w:rPr>
          <w:sz w:val="24"/>
          <w:szCs w:val="24"/>
        </w:rPr>
      </w:pPr>
      <w:r>
        <w:rPr>
          <w:sz w:val="24"/>
          <w:szCs w:val="24"/>
        </w:rPr>
        <w:t xml:space="preserve">2、清运卡车, 最高1分</w:t>
      </w:r>
      <w:r/>
    </w:p>
    <w:p>
      <w:pPr>
        <w:ind w:firstLine="480"/>
        <w:jc w:val="left"/>
        <w:spacing w:line="360" w:lineRule="auto"/>
        <w:rPr>
          <w:sz w:val="24"/>
          <w:szCs w:val="24"/>
        </w:rPr>
      </w:pPr>
      <w:r>
        <w:rPr>
          <w:sz w:val="24"/>
          <w:szCs w:val="24"/>
        </w:rPr>
        <w:t xml:space="preserve">清运卡车: 车辆类型为货车，核定载质量≥1.5吨，在最低配备要求上增加一辆得1分。</w:t>
      </w:r>
      <w:r/>
    </w:p>
    <w:p>
      <w:pPr>
        <w:ind w:firstLine="480"/>
        <w:jc w:val="left"/>
        <w:spacing w:line="360" w:lineRule="auto"/>
        <w:rPr>
          <w:sz w:val="24"/>
          <w:szCs w:val="24"/>
        </w:rPr>
      </w:pPr>
      <w:r>
        <w:rPr>
          <w:sz w:val="24"/>
          <w:szCs w:val="24"/>
        </w:rPr>
        <w:t xml:space="preserve">3、巡视车，最高得1分</w:t>
      </w:r>
      <w:r/>
    </w:p>
    <w:p>
      <w:pPr>
        <w:ind w:firstLine="480"/>
        <w:jc w:val="left"/>
        <w:spacing w:line="360" w:lineRule="auto"/>
        <w:rPr>
          <w:sz w:val="24"/>
          <w:szCs w:val="24"/>
        </w:rPr>
      </w:pPr>
      <w:r>
        <w:rPr>
          <w:sz w:val="24"/>
          <w:szCs w:val="24"/>
        </w:rPr>
        <w:t xml:space="preserve">巡视车：车辆类型为轻型多用途货车，五座双排座皮卡，在最低配备要求上增加一辆得1分。</w:t>
      </w:r>
      <w:r/>
    </w:p>
    <w:p>
      <w:pPr>
        <w:ind w:firstLine="480"/>
        <w:jc w:val="left"/>
        <w:spacing w:line="360" w:lineRule="auto"/>
        <w:rPr>
          <w:sz w:val="24"/>
          <w:szCs w:val="24"/>
        </w:rPr>
      </w:pPr>
      <w:r>
        <w:rPr>
          <w:sz w:val="24"/>
          <w:szCs w:val="24"/>
        </w:rPr>
        <w:t xml:space="preserve">4、登高车，最高的1分</w:t>
      </w:r>
      <w:r/>
    </w:p>
    <w:p>
      <w:pPr>
        <w:ind w:firstLine="480"/>
        <w:jc w:val="left"/>
        <w:spacing w:line="360" w:lineRule="auto"/>
        <w:rPr>
          <w:sz w:val="24"/>
          <w:szCs w:val="24"/>
        </w:rPr>
      </w:pPr>
      <w:r>
        <w:rPr>
          <w:sz w:val="24"/>
          <w:szCs w:val="24"/>
        </w:rPr>
        <w:t xml:space="preserve">登高车：车辆类型为专项作业车，在最低配备要求上增加一辆得1分。</w:t>
      </w:r>
      <w:r/>
    </w:p>
    <w:p>
      <w:pPr>
        <w:ind w:firstLine="480"/>
        <w:jc w:val="left"/>
        <w:spacing w:line="360" w:lineRule="auto"/>
        <w:rPr>
          <w:sz w:val="24"/>
          <w:szCs w:val="24"/>
        </w:rPr>
      </w:pPr>
      <w:r>
        <w:rPr>
          <w:bCs/>
          <w:sz w:val="24"/>
          <w:szCs w:val="24"/>
        </w:rPr>
        <w:t xml:space="preserve">自有产权的须在响应文件中提供车辆正面照片、行驶证、车辆产证、交强险保单、购置发票等复印件，租赁的须在响应文件中提供租赁发票、租赁合同、车辆正面照片、行驶证、车辆产证、交强险保单、购置发票等复印件，承诺成交后租赁或成交后购买的，需提供承诺书</w:t>
      </w:r>
      <w:r>
        <w:rPr>
          <w:sz w:val="24"/>
          <w:szCs w:val="24"/>
        </w:rPr>
        <w:t xml:space="preserve">，否则不得分。</w:t>
      </w:r>
      <w:r/>
    </w:p>
    <w:p>
      <w:pPr>
        <w:ind w:firstLine="482"/>
        <w:spacing w:line="360" w:lineRule="auto"/>
        <w:rPr>
          <w:b/>
          <w:sz w:val="24"/>
          <w:szCs w:val="24"/>
        </w:rPr>
      </w:pPr>
      <w:r>
        <w:rPr>
          <w:b/>
          <w:sz w:val="24"/>
          <w:szCs w:val="24"/>
        </w:rPr>
        <w:t xml:space="preserve">（五）供应商业绩比较（8分）</w:t>
      </w:r>
      <w:r/>
    </w:p>
    <w:p>
      <w:pPr>
        <w:ind w:firstLine="480"/>
        <w:jc w:val="left"/>
        <w:spacing w:line="360" w:lineRule="auto"/>
        <w:rPr>
          <w:b/>
          <w:sz w:val="24"/>
          <w:szCs w:val="24"/>
          <w:highlight w:val="none"/>
        </w:rPr>
      </w:pPr>
      <w:r>
        <w:rPr>
          <w:sz w:val="24"/>
          <w:szCs w:val="24"/>
        </w:rPr>
        <w:t xml:space="preserve">1、类似业绩自2021年1月1日至今（以合同签订时间为准）已履约完成的公共绿地绿化专业养护项目（绿化施工附带的绿化养护除外）。每提供一个业绩得1分,</w:t>
      </w:r>
      <w:r>
        <w:rPr>
          <w:sz w:val="24"/>
          <w:szCs w:val="24"/>
          <w:highlight w:val="none"/>
        </w:rPr>
        <w:t xml:space="preserve">最高得8分。（提供项目合同扫描件、任意一期发票彩色扫描件</w:t>
      </w:r>
      <w:r>
        <w:rPr>
          <w:bCs/>
          <w:sz w:val="24"/>
          <w:szCs w:val="24"/>
          <w:highlight w:val="none"/>
        </w:rPr>
        <w:t xml:space="preserve">及完工证明扫描件</w:t>
      </w:r>
      <w:r>
        <w:rPr>
          <w:rFonts w:hint="eastAsia"/>
          <w:bCs/>
          <w:sz w:val="24"/>
          <w:szCs w:val="24"/>
          <w:highlight w:val="none"/>
        </w:rPr>
        <w:t xml:space="preserve">（如竣工验收单、移交单等证明材料）</w:t>
      </w:r>
      <w:r>
        <w:rPr>
          <w:sz w:val="24"/>
          <w:szCs w:val="24"/>
          <w:highlight w:val="none"/>
        </w:rPr>
        <w:t xml:space="preserve">，未提供或提供不全的不得分）</w:t>
      </w:r>
      <w:r/>
    </w:p>
    <w:p>
      <w:pPr>
        <w:ind w:firstLine="482"/>
        <w:spacing w:line="360" w:lineRule="auto"/>
        <w:rPr>
          <w:sz w:val="24"/>
          <w:szCs w:val="24"/>
          <w:highlight w:val="none"/>
        </w:rPr>
      </w:pPr>
      <w:r>
        <w:rPr>
          <w:b/>
          <w:sz w:val="24"/>
          <w:szCs w:val="24"/>
          <w:highlight w:val="none"/>
        </w:rPr>
        <w:t xml:space="preserve">（六）供应商综合实力比较（12分）</w:t>
      </w:r>
      <w:r/>
    </w:p>
    <w:p>
      <w:pPr>
        <w:ind w:firstLine="480"/>
        <w:jc w:val="left"/>
        <w:spacing w:line="360" w:lineRule="auto"/>
        <w:rPr>
          <w:sz w:val="24"/>
          <w:szCs w:val="24"/>
        </w:rPr>
      </w:pPr>
      <w:r>
        <w:rPr>
          <w:sz w:val="24"/>
          <w:szCs w:val="24"/>
        </w:rPr>
        <w:t xml:space="preserve">1、</w:t>
      </w:r>
      <w:bookmarkStart w:id="30" w:name="OLE_LINK3"/>
      <w:r>
        <w:rPr>
          <w:sz w:val="24"/>
          <w:szCs w:val="24"/>
        </w:rPr>
        <w:t xml:space="preserve">投标人具备有效期内的质量管理体系认证证书、环境管理体系认证证书、职业安全健康体系认证证书，有一个得2分，最高6分。（提供证书彩色扫描件及该证书在中国国家认证认可监督管理委员会网站http://www.cnca.gov.cn/上查询的页面截图，未提供或提供不全的不得分）</w:t>
      </w:r>
      <w:bookmarkEnd w:id="30"/>
      <w:r/>
      <w:r/>
    </w:p>
    <w:p>
      <w:pPr>
        <w:ind w:firstLine="480"/>
        <w:jc w:val="left"/>
        <w:spacing w:line="360" w:lineRule="auto"/>
        <w:rPr>
          <w:sz w:val="24"/>
          <w:szCs w:val="24"/>
          <w:highlight w:val="none"/>
        </w:rPr>
      </w:pPr>
      <w:r>
        <w:rPr>
          <w:sz w:val="24"/>
          <w:szCs w:val="24"/>
        </w:rPr>
        <w:t xml:space="preserve">2、投标人具有五星级售后服务认证证书的得2分，五星级（不含）以下认证证书的1分。提供证书彩色扫描件及该证书在中国国家认证认可监督管理委员会网站http://www.cnca.gov.cn/上查询的页面截图，未提供或提供不全的不得</w:t>
      </w:r>
      <w:r>
        <w:rPr>
          <w:sz w:val="24"/>
          <w:szCs w:val="24"/>
          <w:highlight w:val="none"/>
        </w:rPr>
        <w:t xml:space="preserve">分）</w:t>
      </w:r>
      <w:r/>
    </w:p>
    <w:p>
      <w:pPr>
        <w:ind w:firstLine="480"/>
        <w:jc w:val="left"/>
        <w:spacing w:line="360" w:lineRule="auto"/>
        <w:rPr>
          <w:sz w:val="24"/>
          <w:szCs w:val="24"/>
          <w:highlight w:val="none"/>
        </w:rPr>
      </w:pPr>
      <w:r>
        <w:rPr>
          <w:rFonts w:hint="eastAsia"/>
          <w:sz w:val="24"/>
          <w:szCs w:val="24"/>
          <w:highlight w:val="none"/>
        </w:rPr>
        <w:t xml:space="preserve">3、</w:t>
      </w:r>
      <w:r>
        <w:rPr>
          <w:sz w:val="24"/>
          <w:szCs w:val="24"/>
          <w:highlight w:val="none"/>
        </w:rPr>
        <w:t xml:space="preserve">投标人具备有效期内的</w:t>
      </w:r>
      <w:r>
        <w:rPr>
          <w:rFonts w:hint="eastAsia"/>
          <w:sz w:val="24"/>
          <w:szCs w:val="24"/>
          <w:highlight w:val="none"/>
        </w:rPr>
        <w:t xml:space="preserve">企业信用等级A</w:t>
      </w:r>
      <w:r>
        <w:rPr>
          <w:sz w:val="24"/>
          <w:szCs w:val="24"/>
          <w:highlight w:val="none"/>
        </w:rPr>
        <w:t xml:space="preserve">AA</w:t>
      </w:r>
      <w:r>
        <w:rPr>
          <w:rFonts w:hint="eastAsia"/>
          <w:sz w:val="24"/>
          <w:szCs w:val="24"/>
          <w:highlight w:val="none"/>
        </w:rPr>
        <w:t xml:space="preserve">级认证证书的得</w:t>
      </w:r>
      <w:r>
        <w:rPr>
          <w:sz w:val="24"/>
          <w:szCs w:val="24"/>
          <w:highlight w:val="none"/>
        </w:rPr>
        <w:t xml:space="preserve">2</w:t>
      </w:r>
      <w:r>
        <w:rPr>
          <w:rFonts w:hint="eastAsia"/>
          <w:sz w:val="24"/>
          <w:szCs w:val="24"/>
          <w:highlight w:val="none"/>
        </w:rPr>
        <w:t xml:space="preserve">分，</w:t>
      </w:r>
      <w:r>
        <w:rPr>
          <w:sz w:val="24"/>
          <w:szCs w:val="24"/>
          <w:highlight w:val="none"/>
        </w:rPr>
        <w:t xml:space="preserve">提供证书彩色扫描件及该证书在中国国家认证认可监督管理委员会网站http://www.cnca.gov.cn/上查询的页面截图，未提供或提供不全的不得分）</w:t>
      </w:r>
      <w:r/>
    </w:p>
    <w:p>
      <w:pPr>
        <w:ind w:firstLine="480"/>
        <w:jc w:val="left"/>
        <w:spacing w:line="360" w:lineRule="auto"/>
        <w:rPr>
          <w:bCs/>
          <w:sz w:val="24"/>
          <w:szCs w:val="24"/>
        </w:rPr>
      </w:pPr>
      <w:r>
        <w:rPr>
          <w:bCs/>
          <w:sz w:val="24"/>
          <w:szCs w:val="24"/>
          <w:highlight w:val="none"/>
        </w:rPr>
        <w:t xml:space="preserve">4、</w:t>
      </w:r>
      <w:r>
        <w:rPr>
          <w:sz w:val="24"/>
          <w:szCs w:val="24"/>
          <w:highlight w:val="none"/>
        </w:rPr>
        <w:t xml:space="preserve">投标人</w:t>
      </w:r>
      <w:r>
        <w:rPr>
          <w:bCs/>
          <w:sz w:val="24"/>
          <w:szCs w:val="24"/>
          <w:highlight w:val="none"/>
        </w:rPr>
        <w:t xml:space="preserve">2022年（含）以后被县（区）级及以上政府部门评定为年度劳动保障信用（诚信）等级A级的单位或获得县（区）级及</w:t>
      </w:r>
      <w:r>
        <w:rPr>
          <w:bCs/>
          <w:sz w:val="24"/>
          <w:szCs w:val="24"/>
        </w:rPr>
        <w:t xml:space="preserve">以上政府部门颁发的类似年度劳动保障信用（诚信）表彰的，得2分。</w:t>
      </w:r>
      <w:r>
        <w:rPr>
          <w:bCs/>
          <w:sz w:val="24"/>
          <w:szCs w:val="24"/>
        </w:rPr>
        <w:tab/>
      </w:r>
      <w:r/>
    </w:p>
    <w:p>
      <w:pPr>
        <w:ind w:firstLine="480"/>
        <w:spacing w:line="360" w:lineRule="auto"/>
        <w:rPr>
          <w:color w:val="000000"/>
        </w:rPr>
      </w:pPr>
      <w:r>
        <w:rPr>
          <w:color w:val="000000"/>
        </w:rPr>
      </w:r>
      <w:r/>
    </w:p>
    <w:p>
      <w:pPr>
        <w:ind w:firstLine="420"/>
        <w:jc w:val="left"/>
        <w:spacing w:line="360" w:lineRule="auto"/>
        <w:rPr>
          <w:color w:val="000000"/>
        </w:rPr>
      </w:pPr>
      <w:r>
        <w:rPr>
          <w:color w:val="000000"/>
        </w:rPr>
      </w:r>
      <w:r/>
    </w:p>
    <w:p>
      <w:pPr>
        <w:ind w:firstLine="482"/>
        <w:spacing w:line="360" w:lineRule="auto"/>
        <w:rPr>
          <w:b/>
          <w:sz w:val="24"/>
          <w:szCs w:val="24"/>
        </w:rPr>
      </w:pPr>
      <w:r>
        <w:rPr>
          <w:b/>
          <w:sz w:val="24"/>
          <w:szCs w:val="24"/>
        </w:rPr>
      </w:r>
      <w:r/>
    </w:p>
    <w:p>
      <w:pPr>
        <w:ind w:firstLine="482"/>
        <w:jc w:val="right"/>
        <w:spacing w:line="360" w:lineRule="auto"/>
      </w:pPr>
      <w:r>
        <w:rPr>
          <w:b/>
          <w:sz w:val="24"/>
          <w:szCs w:val="24"/>
        </w:rPr>
        <w:t xml:space="preserve">（全文完）</w:t>
      </w:r>
      <w:r/>
    </w:p>
    <w:sectPr>
      <w:headerReference w:type="default" r:id="rId10"/>
      <w:footerReference w:type="default" r:id="rId15"/>
      <w:footerReference w:type="even"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Calibri">
    <w:panose1 w:val="020F0502020204030204"/>
  </w:font>
  <w:font w:name="方正大黑简体">
    <w:panose1 w:val="020B050302020202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方正仿宋简体">
    <w:panose1 w:val="020B0503020202020204"/>
  </w:font>
  <w:font w:name="Tahoma">
    <w:panose1 w:val="020B0604030504040204"/>
  </w:font>
  <w:font w:name="等线">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lang w:eastAsia="zh-CN"/>
      </w:rPr>
    </w:pPr>
    <w:r>
      <w:rPr>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Pr>
      <w:framePr w:wrap="around" w:vAnchor="text" w:hAnchor="margin" w:xAlign="center" w:y="1"/>
    </w:pPr>
    <w:r>
      <w:rPr>
        <w:rStyle w:val="1030"/>
      </w:rPr>
      <w:fldChar w:fldCharType="begin"/>
    </w:r>
    <w:r>
      <w:rPr>
        <w:rStyle w:val="1030"/>
      </w:rPr>
      <w:instrText xml:space="preserve">PAGE  </w:instrText>
    </w:r>
    <w:r>
      <w:rPr>
        <w:rStyle w:val="1030"/>
      </w:rPr>
      <w:fldChar w:fldCharType="end"/>
    </w:r>
    <w:r/>
  </w:p>
  <w:p>
    <w:pPr>
      <w:pStyle w:val="10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lang w:eastAsia="zh-CN"/>
      </w:rPr>
    </w:pPr>
    <w:r>
      <w:rPr>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lang w:eastAsia="zh-CN"/>
      </w:rPr>
    </w:pPr>
    <w:r>
      <w:rPr>
        <w:lang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rPr>
        <w:b/>
        <w:sz w:val="24"/>
        <w:szCs w:val="24"/>
        <w:lang w:eastAsia="zh-CN"/>
      </w:rPr>
    </w:pPr>
    <w:r>
      <w:rPr>
        <w:sz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5095" cy="444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5095" cy="444500"/>
                      </a:xfrm>
                      <a:prstGeom prst="rect">
                        <a:avLst/>
                      </a:prstGeom>
                      <a:noFill/>
                      <a:ln>
                        <a:noFill/>
                      </a:ln>
                    </wps:spPr>
                    <wps:txbx>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8pt;height:35.0pt;mso-wrap-distance-left:9.0pt;mso-wrap-distance-top:0.0pt;mso-wrap-distance-right:9.0pt;mso-wrap-distance-bottom:0.0pt;visibility:visible;" filled="f" stroked="f">
              <v:textbox inset="0,0,0,0">
                <w:txbxContent>
                  <w:p>
                    <w:pPr>
                      <w:pStyle w:val="1008"/>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Style w:val="1030"/>
      </w:rPr>
      <w:framePr w:wrap="around" w:vAnchor="text" w:hAnchor="margin" w:xAlign="center" w:y="1"/>
    </w:pPr>
    <w:r>
      <w:fldChar w:fldCharType="begin"/>
    </w:r>
    <w:r>
      <w:rPr>
        <w:rStyle w:val="1030"/>
      </w:rPr>
      <w:instrText xml:space="preserve">PAGE  </w:instrText>
    </w:r>
    <w:r>
      <w:fldChar w:fldCharType="end"/>
    </w:r>
    <w:r/>
  </w:p>
  <w:p>
    <w:pPr>
      <w:pStyle w:val="10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
  </w:p>
  <w:p>
    <w:pPr>
      <w:pStyle w:val="1010"/>
    </w:pPr>
    <w:r/>
    <w:r/>
  </w:p>
  <w:p>
    <w:pPr>
      <w:pStyle w:val="1008"/>
      <w:rPr>
        <w:lang w:eastAsia="zh-CN"/>
      </w:rPr>
    </w:pPr>
    <w:r>
      <w:rPr>
        <w:lang w:eastAsia="zh-CN"/>
      </w:rPr>
    </w:r>
    <w:r/>
  </w:p>
  <w:p>
    <w:pPr>
      <w:pStyle w:val="1010"/>
      <w:jc w:val="both"/>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left"/>
      <w:rPr>
        <w:rFonts w:ascii="宋体" w:hAnsi="宋体" w:eastAsia="宋体"/>
        <w:bCs/>
        <w:sz w:val="15"/>
        <w:szCs w:val="15"/>
        <w:highlight w:val="red"/>
        <w:lang w:eastAsia="zh-CN"/>
      </w:rPr>
    </w:pPr>
    <w:r>
      <w:rPr>
        <w:rFonts w:ascii="宋体" w:hAnsi="宋体" w:eastAsia="宋体"/>
        <w:bCs/>
        <w:sz w:val="15"/>
        <w:szCs w:val="15"/>
        <w:highlight w:val="red"/>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pStyle w:val="1066"/>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upperLetter"/>
      <w:pStyle w:val="105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right"/>
      <w:pPr>
        <w:ind w:left="420" w:hanging="420"/>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upperLetter"/>
      <w:pStyle w:val="97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pStyle w:val="968"/>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japaneseCounting"/>
      <w:pStyle w:val="1063"/>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2"/>
    </w:lvlOverride>
  </w:num>
  <w:num w:numId="2">
    <w:abstractNumId w:val="5"/>
  </w:num>
  <w:num w:numId="3">
    <w:abstractNumId w:val="3"/>
  </w:num>
  <w:num w:numId="4">
    <w:abstractNumId w:val="8"/>
  </w:num>
  <w:num w:numId="5">
    <w:abstractNumId w:val="2"/>
  </w:num>
  <w:num w:numId="6">
    <w:abstractNumId w:val="6"/>
  </w:num>
  <w:num w:numId="7">
    <w:abstractNumId w:val="1"/>
  </w:num>
  <w:num w:numId="8">
    <w:abstractNumId w:val="10"/>
  </w:num>
  <w:num w:numId="9">
    <w:abstractNumId w:val="9"/>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57"/>
    <w:uiPriority w:val="9"/>
    <w:rPr>
      <w:rFonts w:ascii="Arial" w:hAnsi="Arial" w:eastAsia="Arial" w:cs="Arial"/>
      <w:sz w:val="40"/>
      <w:szCs w:val="40"/>
    </w:rPr>
  </w:style>
  <w:style w:type="character" w:styleId="15">
    <w:name w:val="Heading 2 Char"/>
    <w:basedOn w:val="766"/>
    <w:link w:val="758"/>
    <w:uiPriority w:val="9"/>
    <w:rPr>
      <w:rFonts w:ascii="Arial" w:hAnsi="Arial" w:eastAsia="Arial" w:cs="Arial"/>
      <w:sz w:val="34"/>
    </w:rPr>
  </w:style>
  <w:style w:type="character" w:styleId="17">
    <w:name w:val="Heading 3 Char"/>
    <w:basedOn w:val="766"/>
    <w:link w:val="759"/>
    <w:uiPriority w:val="9"/>
    <w:rPr>
      <w:rFonts w:ascii="Arial" w:hAnsi="Arial" w:eastAsia="Arial" w:cs="Arial"/>
      <w:sz w:val="30"/>
      <w:szCs w:val="30"/>
    </w:rPr>
  </w:style>
  <w:style w:type="character" w:styleId="19">
    <w:name w:val="Heading 4 Char"/>
    <w:basedOn w:val="766"/>
    <w:link w:val="760"/>
    <w:uiPriority w:val="9"/>
    <w:rPr>
      <w:rFonts w:ascii="Arial" w:hAnsi="Arial" w:eastAsia="Arial" w:cs="Arial"/>
      <w:b/>
      <w:bCs/>
      <w:sz w:val="26"/>
      <w:szCs w:val="26"/>
    </w:rPr>
  </w:style>
  <w:style w:type="character" w:styleId="21">
    <w:name w:val="Heading 5 Char"/>
    <w:basedOn w:val="766"/>
    <w:link w:val="761"/>
    <w:uiPriority w:val="9"/>
    <w:rPr>
      <w:rFonts w:ascii="Arial" w:hAnsi="Arial" w:eastAsia="Arial" w:cs="Arial"/>
      <w:b/>
      <w:bCs/>
      <w:sz w:val="24"/>
      <w:szCs w:val="24"/>
    </w:rPr>
  </w:style>
  <w:style w:type="character" w:styleId="23">
    <w:name w:val="Heading 6 Char"/>
    <w:basedOn w:val="766"/>
    <w:link w:val="762"/>
    <w:uiPriority w:val="9"/>
    <w:rPr>
      <w:rFonts w:ascii="Arial" w:hAnsi="Arial" w:eastAsia="Arial" w:cs="Arial"/>
      <w:b/>
      <w:bCs/>
      <w:sz w:val="22"/>
      <w:szCs w:val="22"/>
    </w:rPr>
  </w:style>
  <w:style w:type="character" w:styleId="25">
    <w:name w:val="Heading 7 Char"/>
    <w:basedOn w:val="766"/>
    <w:link w:val="763"/>
    <w:uiPriority w:val="9"/>
    <w:rPr>
      <w:rFonts w:ascii="Arial" w:hAnsi="Arial" w:eastAsia="Arial" w:cs="Arial"/>
      <w:b/>
      <w:bCs/>
      <w:i/>
      <w:iCs/>
      <w:sz w:val="22"/>
      <w:szCs w:val="22"/>
    </w:rPr>
  </w:style>
  <w:style w:type="character" w:styleId="27">
    <w:name w:val="Heading 8 Char"/>
    <w:basedOn w:val="766"/>
    <w:link w:val="764"/>
    <w:uiPriority w:val="9"/>
    <w:rPr>
      <w:rFonts w:ascii="Arial" w:hAnsi="Arial" w:eastAsia="Arial" w:cs="Arial"/>
      <w:i/>
      <w:iCs/>
      <w:sz w:val="22"/>
      <w:szCs w:val="22"/>
    </w:rPr>
  </w:style>
  <w:style w:type="character" w:styleId="29">
    <w:name w:val="Heading 9 Char"/>
    <w:basedOn w:val="766"/>
    <w:link w:val="765"/>
    <w:uiPriority w:val="9"/>
    <w:rPr>
      <w:rFonts w:ascii="Arial" w:hAnsi="Arial" w:eastAsia="Arial" w:cs="Arial"/>
      <w:i/>
      <w:iCs/>
      <w:sz w:val="21"/>
      <w:szCs w:val="21"/>
    </w:rPr>
  </w:style>
  <w:style w:type="character" w:styleId="46">
    <w:name w:val="Caption Char"/>
    <w:basedOn w:val="771"/>
    <w:link w:val="781"/>
    <w:uiPriority w:val="99"/>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56" w:default="1">
    <w:name w:val="Normal"/>
    <w:next w:val="768"/>
    <w:uiPriority w:val="0"/>
    <w:qFormat/>
    <w:pPr>
      <w:jc w:val="both"/>
      <w:widowControl w:val="off"/>
    </w:pPr>
    <w:rPr>
      <w:rFonts w:ascii="Times New Roman" w:hAnsi="Times New Roman" w:eastAsia="宋体" w:cs="Times New Roman"/>
      <w:sz w:val="21"/>
      <w:szCs w:val="22"/>
      <w:lang w:val="en-US" w:eastAsia="zh-CN" w:bidi="ar-SA"/>
    </w:rPr>
  </w:style>
  <w:style w:type="paragraph" w:styleId="757">
    <w:name w:val="Heading 1"/>
    <w:basedOn w:val="756"/>
    <w:next w:val="756"/>
    <w:link w:val="845"/>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4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47"/>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48"/>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49"/>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50"/>
    <w:uiPriority w:val="9"/>
    <w:unhideWhenUsed/>
    <w:qFormat/>
    <w:pPr>
      <w:keepLines/>
      <w:keepNext/>
      <w:spacing w:before="320" w:after="200"/>
      <w:outlineLvl w:val="5"/>
    </w:pPr>
    <w:rPr>
      <w:rFonts w:ascii="Arial" w:hAnsi="Arial" w:eastAsia="Arial" w:cs="Arial"/>
      <w:b/>
      <w:bCs/>
      <w:sz w:val="22"/>
    </w:rPr>
  </w:style>
  <w:style w:type="paragraph" w:styleId="763">
    <w:name w:val="Heading 7"/>
    <w:basedOn w:val="756"/>
    <w:next w:val="756"/>
    <w:link w:val="851"/>
    <w:uiPriority w:val="9"/>
    <w:unhideWhenUsed/>
    <w:qFormat/>
    <w:pPr>
      <w:keepLines/>
      <w:keepNext/>
      <w:spacing w:before="320" w:after="200"/>
      <w:outlineLvl w:val="6"/>
    </w:pPr>
    <w:rPr>
      <w:rFonts w:ascii="Arial" w:hAnsi="Arial" w:eastAsia="Arial" w:cs="Arial"/>
      <w:b/>
      <w:bCs/>
      <w:i/>
      <w:iCs/>
      <w:sz w:val="22"/>
    </w:rPr>
  </w:style>
  <w:style w:type="paragraph" w:styleId="764">
    <w:name w:val="Heading 8"/>
    <w:basedOn w:val="756"/>
    <w:next w:val="756"/>
    <w:link w:val="852"/>
    <w:uiPriority w:val="9"/>
    <w:unhideWhenUsed/>
    <w:qFormat/>
    <w:pPr>
      <w:keepLines/>
      <w:keepNext/>
      <w:spacing w:before="320" w:after="200"/>
      <w:outlineLvl w:val="7"/>
    </w:pPr>
    <w:rPr>
      <w:rFonts w:ascii="Arial" w:hAnsi="Arial" w:eastAsia="Arial" w:cs="Arial"/>
      <w:i/>
      <w:iCs/>
      <w:sz w:val="22"/>
    </w:rPr>
  </w:style>
  <w:style w:type="paragraph" w:styleId="765">
    <w:name w:val="Heading 9"/>
    <w:basedOn w:val="756"/>
    <w:next w:val="756"/>
    <w:link w:val="853"/>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pPr>
      <w:ind w:left="0" w:right="0"/>
      <w:keepLines w:val="0"/>
      <w:keepNext w:val="0"/>
      <w:spacing w:before="0" w:beforeAutospacing="0" w:after="0" w:afterAutospacing="0"/>
      <w:widowControl/>
      <w:suppressLineNumbers w:val="0"/>
    </w:pPr>
    <w:rPr>
      <w:rFonts w:ascii="等线" w:hAnsi="等线" w:eastAsia="宋体" w:cs="Times New Roman"/>
      <w:sz w:val="21"/>
      <w:szCs w:val="22"/>
    </w:rPr>
    <w:tblPr>
      <w:tblCellMar>
        <w:left w:w="108" w:type="dxa"/>
        <w:top w:w="0" w:type="dxa"/>
        <w:right w:w="108" w:type="dxa"/>
        <w:bottom w:w="0" w:type="dxa"/>
      </w:tblCellMar>
    </w:tblPr>
  </w:style>
  <w:style w:type="paragraph" w:styleId="768" w:customStyle="1">
    <w:name w:val="正文文本缩进1"/>
    <w:basedOn w:val="756"/>
    <w:next w:val="756"/>
    <w:link w:val="998"/>
    <w:uiPriority w:val="99"/>
    <w:qFormat/>
    <w:pPr>
      <w:ind w:left="570"/>
      <w:spacing w:line="520" w:lineRule="exact"/>
    </w:pPr>
    <w:rPr>
      <w:rFonts w:ascii="方正仿宋简体" w:hAnsi="创艺简仿宋" w:eastAsia="方正仿宋简体"/>
      <w:sz w:val="24"/>
      <w:szCs w:val="20"/>
      <w:lang w:eastAsia="en-US"/>
    </w:rPr>
  </w:style>
  <w:style w:type="paragraph" w:styleId="769">
    <w:name w:val="toc 7"/>
    <w:basedOn w:val="756"/>
    <w:next w:val="756"/>
    <w:uiPriority w:val="39"/>
    <w:unhideWhenUsed/>
    <w:qFormat/>
    <w:pPr>
      <w:ind w:left="1701"/>
      <w:spacing w:after="57"/>
    </w:pPr>
  </w:style>
  <w:style w:type="paragraph" w:styleId="770">
    <w:name w:val="Normal Indent"/>
    <w:basedOn w:val="756"/>
    <w:uiPriority w:val="99"/>
    <w:qFormat/>
    <w:pPr>
      <w:ind w:firstLine="420"/>
      <w:jc w:val="left"/>
    </w:pPr>
    <w:rPr>
      <w:rFonts w:ascii="宋体" w:hAnsi="宋体" w:eastAsia="楷体_GB2312" w:cs="宋体"/>
      <w:sz w:val="24"/>
      <w:szCs w:val="20"/>
      <w:lang w:eastAsia="en-US"/>
    </w:r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link w:val="834"/>
    <w:uiPriority w:val="99"/>
    <w:unhideWhenUsed/>
    <w:qFormat/>
    <w:pPr>
      <w:jc w:val="left"/>
    </w:pPr>
  </w:style>
  <w:style w:type="paragraph" w:styleId="773">
    <w:name w:val="Body Text"/>
    <w:basedOn w:val="756"/>
    <w:next w:val="756"/>
    <w:uiPriority w:val="99"/>
    <w:unhideWhenUsed/>
    <w:qFormat/>
    <w:pPr>
      <w:spacing w:after="120"/>
    </w:pPr>
    <w:rPr>
      <w:sz w:val="20"/>
      <w:lang w:val="zh-CN"/>
    </w:rPr>
  </w:style>
  <w:style w:type="paragraph" w:styleId="774">
    <w:name w:val="Body Text Indent"/>
    <w:basedOn w:val="756"/>
    <w:link w:val="1101"/>
    <w:uiPriority w:val="99"/>
    <w:unhideWhenUsed/>
    <w:qFormat/>
    <w:pPr>
      <w:ind w:left="420"/>
      <w:spacing w:after="120"/>
    </w:pPr>
  </w:style>
  <w:style w:type="paragraph" w:styleId="775">
    <w:name w:val="toc 5"/>
    <w:basedOn w:val="756"/>
    <w:next w:val="756"/>
    <w:uiPriority w:val="39"/>
    <w:unhideWhenUsed/>
    <w:qFormat/>
    <w:pPr>
      <w:ind w:left="1134"/>
      <w:spacing w:after="57"/>
    </w:pPr>
  </w:style>
  <w:style w:type="paragraph" w:styleId="776">
    <w:name w:val="toc 3"/>
    <w:basedOn w:val="756"/>
    <w:next w:val="756"/>
    <w:uiPriority w:val="39"/>
    <w:unhideWhenUsed/>
    <w:qFormat/>
    <w:pPr>
      <w:ind w:left="567"/>
      <w:spacing w:after="57"/>
    </w:pPr>
  </w:style>
  <w:style w:type="paragraph" w:styleId="777">
    <w:name w:val="Plain Text"/>
    <w:basedOn w:val="756"/>
    <w:uiPriority w:val="0"/>
    <w:qFormat/>
    <w:rPr>
      <w:rFonts w:hint="eastAsia" w:ascii="宋体" w:hAnsi="Courier New" w:eastAsia="楷体_GB2312" w:cs="宋体"/>
      <w:sz w:val="28"/>
      <w:szCs w:val="20"/>
      <w:lang w:eastAsia="en-US"/>
    </w:rPr>
  </w:style>
  <w:style w:type="paragraph" w:styleId="778">
    <w:name w:val="toc 8"/>
    <w:basedOn w:val="756"/>
    <w:next w:val="756"/>
    <w:uiPriority w:val="39"/>
    <w:unhideWhenUsed/>
    <w:qFormat/>
    <w:pPr>
      <w:ind w:left="1984"/>
      <w:spacing w:after="57"/>
    </w:pPr>
  </w:style>
  <w:style w:type="paragraph" w:styleId="779">
    <w:name w:val="endnote text"/>
    <w:basedOn w:val="756"/>
    <w:link w:val="836"/>
    <w:uiPriority w:val="99"/>
    <w:unhideWhenUsed/>
    <w:qFormat/>
    <w:rPr>
      <w:sz w:val="20"/>
    </w:rPr>
  </w:style>
  <w:style w:type="paragraph" w:styleId="780">
    <w:name w:val="Balloon Text"/>
    <w:basedOn w:val="756"/>
    <w:link w:val="837"/>
    <w:uiPriority w:val="99"/>
    <w:unhideWhenUsed/>
    <w:qFormat/>
    <w:rPr>
      <w:sz w:val="18"/>
      <w:szCs w:val="18"/>
    </w:rPr>
  </w:style>
  <w:style w:type="paragraph" w:styleId="781">
    <w:name w:val="Footer"/>
    <w:basedOn w:val="756"/>
    <w:link w:val="860"/>
    <w:uiPriority w:val="0"/>
    <w:qFormat/>
    <w:pPr>
      <w:jc w:val="left"/>
      <w:tabs>
        <w:tab w:val="center" w:pos="4153" w:leader="none"/>
        <w:tab w:val="right" w:pos="8306" w:leader="none"/>
      </w:tabs>
    </w:pPr>
    <w:rPr>
      <w:sz w:val="18"/>
      <w:szCs w:val="18"/>
    </w:rPr>
  </w:style>
  <w:style w:type="paragraph" w:styleId="782">
    <w:name w:val="Header"/>
    <w:basedOn w:val="756"/>
    <w:link w:val="83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3">
    <w:name w:val="toc 1"/>
    <w:basedOn w:val="756"/>
    <w:next w:val="756"/>
    <w:uiPriority w:val="39"/>
    <w:unhideWhenUsed/>
    <w:qFormat/>
    <w:pPr>
      <w:spacing w:after="57"/>
    </w:pPr>
  </w:style>
  <w:style w:type="paragraph" w:styleId="784">
    <w:name w:val="toc 4"/>
    <w:basedOn w:val="756"/>
    <w:next w:val="756"/>
    <w:uiPriority w:val="39"/>
    <w:unhideWhenUsed/>
    <w:qFormat/>
    <w:pPr>
      <w:ind w:left="850"/>
      <w:spacing w:after="57"/>
    </w:pPr>
  </w:style>
  <w:style w:type="paragraph" w:styleId="785">
    <w:name w:val="Subtitle"/>
    <w:basedOn w:val="756"/>
    <w:next w:val="756"/>
    <w:link w:val="839"/>
    <w:uiPriority w:val="11"/>
    <w:qFormat/>
    <w:pPr>
      <w:spacing w:before="200" w:after="200"/>
    </w:pPr>
    <w:rPr>
      <w:sz w:val="24"/>
      <w:szCs w:val="24"/>
    </w:rPr>
  </w:style>
  <w:style w:type="paragraph" w:styleId="786">
    <w:name w:val="footnote text"/>
    <w:basedOn w:val="756"/>
    <w:link w:val="840"/>
    <w:uiPriority w:val="99"/>
    <w:unhideWhenUsed/>
    <w:qFormat/>
    <w:pPr>
      <w:spacing w:after="40"/>
    </w:pPr>
    <w:rPr>
      <w:sz w:val="18"/>
    </w:rPr>
  </w:style>
  <w:style w:type="paragraph" w:styleId="787">
    <w:name w:val="toc 6"/>
    <w:basedOn w:val="756"/>
    <w:next w:val="756"/>
    <w:uiPriority w:val="39"/>
    <w:unhideWhenUsed/>
    <w:qFormat/>
    <w:pPr>
      <w:ind w:left="1417"/>
      <w:spacing w:after="57"/>
    </w:pPr>
  </w:style>
  <w:style w:type="paragraph" w:styleId="788">
    <w:name w:val="table of figures"/>
    <w:basedOn w:val="756"/>
    <w:next w:val="756"/>
    <w:uiPriority w:val="99"/>
    <w:unhideWhenUsed/>
    <w:qFormat/>
  </w:style>
  <w:style w:type="paragraph" w:styleId="789">
    <w:name w:val="toc 2"/>
    <w:basedOn w:val="756"/>
    <w:next w:val="756"/>
    <w:uiPriority w:val="39"/>
    <w:unhideWhenUsed/>
    <w:qFormat/>
    <w:pPr>
      <w:ind w:left="283"/>
      <w:spacing w:after="57"/>
    </w:pPr>
  </w:style>
  <w:style w:type="paragraph" w:styleId="790">
    <w:name w:val="toc 9"/>
    <w:basedOn w:val="756"/>
    <w:next w:val="756"/>
    <w:uiPriority w:val="39"/>
    <w:unhideWhenUsed/>
    <w:qFormat/>
    <w:pPr>
      <w:ind w:left="2268"/>
      <w:spacing w:after="57"/>
    </w:pPr>
  </w:style>
  <w:style w:type="paragraph" w:styleId="791">
    <w:name w:val="Normal (Web)"/>
    <w:basedOn w:val="756"/>
    <w:uiPriority w:val="99"/>
    <w:semiHidden/>
    <w:unhideWhenUsed/>
    <w:qFormat/>
    <w:rPr>
      <w:sz w:val="24"/>
    </w:rPr>
  </w:style>
  <w:style w:type="paragraph" w:styleId="792">
    <w:name w:val="Title"/>
    <w:basedOn w:val="756"/>
    <w:next w:val="756"/>
    <w:link w:val="841"/>
    <w:uiPriority w:val="10"/>
    <w:qFormat/>
    <w:pPr>
      <w:contextualSpacing/>
      <w:spacing w:before="300" w:after="200"/>
    </w:pPr>
    <w:rPr>
      <w:sz w:val="48"/>
      <w:szCs w:val="48"/>
    </w:rPr>
  </w:style>
  <w:style w:type="paragraph" w:styleId="793">
    <w:name w:val="annotation subject"/>
    <w:basedOn w:val="772"/>
    <w:next w:val="772"/>
    <w:link w:val="842"/>
    <w:uiPriority w:val="99"/>
    <w:unhideWhenUsed/>
    <w:qFormat/>
    <w:rPr>
      <w:b/>
      <w:bCs/>
    </w:rPr>
  </w:style>
  <w:style w:type="paragraph" w:styleId="794">
    <w:name w:val="Body Text First Indent"/>
    <w:basedOn w:val="795"/>
    <w:uiPriority w:val="0"/>
    <w:qFormat/>
    <w:pPr>
      <w:ind w:firstLine="420"/>
      <w:jc w:val="both"/>
      <w:spacing w:after="120"/>
    </w:pPr>
    <w:rPr>
      <w:rFonts w:ascii="Times New Roman" w:eastAsia="仿宋_GB2312"/>
      <w:position w:val="0"/>
    </w:rPr>
  </w:style>
  <w:style w:type="paragraph" w:styleId="795" w:customStyle="1">
    <w:name w:val="正文文本1"/>
    <w:basedOn w:val="756"/>
    <w:link w:val="843"/>
    <w:uiPriority w:val="0"/>
    <w:qFormat/>
    <w:pPr>
      <w:jc w:val="center"/>
    </w:pPr>
    <w:rPr>
      <w:rFonts w:ascii="方正大黑简体" w:hAnsi="Tahoma" w:eastAsia="方正大黑简体"/>
      <w:position w:val="6"/>
      <w:sz w:val="30"/>
      <w:szCs w:val="20"/>
      <w:lang w:eastAsia="en-US"/>
    </w:rPr>
  </w:style>
  <w:style w:type="paragraph" w:styleId="796">
    <w:name w:val="Body Text First Indent 2"/>
    <w:basedOn w:val="774"/>
    <w:link w:val="844"/>
    <w:uiPriority w:val="99"/>
    <w:unhideWhenUsed/>
    <w:qFormat/>
    <w:pPr>
      <w:ind w:firstLine="420"/>
    </w:pPr>
  </w:style>
  <w:style w:type="table" w:styleId="797">
    <w:name w:val="Table Grid"/>
    <w:uiPriority w:val="59"/>
    <w:qFormat/>
    <w:tblPr>
      <w:tblCellMar>
        <w:left w:w="0" w:type="dxa"/>
        <w:top w:w="0" w:type="dxa"/>
        <w:right w:w="0" w:type="dxa"/>
        <w:bottom w:w="0" w:type="dxa"/>
      </w:tblCellMar>
    </w:tblPr>
  </w:style>
  <w:style w:type="character" w:styleId="798">
    <w:name w:val="endnote reference"/>
    <w:uiPriority w:val="99"/>
    <w:unhideWhenUsed/>
    <w:qFormat/>
    <w:rPr>
      <w:vertAlign w:val="superscript"/>
    </w:rPr>
  </w:style>
  <w:style w:type="character" w:styleId="799">
    <w:name w:val="page number"/>
    <w:uiPriority w:val="99"/>
    <w:qFormat/>
    <w:rPr>
      <w:rFonts w:cs="Times New Roman"/>
    </w:rPr>
  </w:style>
  <w:style w:type="character" w:styleId="800">
    <w:name w:val="Emphasis"/>
    <w:uiPriority w:val="20"/>
    <w:qFormat/>
    <w:rPr>
      <w:i/>
      <w:iCs/>
    </w:rPr>
  </w:style>
  <w:style w:type="character" w:styleId="801">
    <w:name w:val="Hyperlink"/>
    <w:uiPriority w:val="99"/>
    <w:unhideWhenUsed/>
    <w:qFormat/>
    <w:rPr>
      <w:color w:val="0000ff"/>
      <w:u w:val="single"/>
    </w:rPr>
  </w:style>
  <w:style w:type="character" w:styleId="802">
    <w:name w:val="annotation reference"/>
    <w:uiPriority w:val="99"/>
    <w:unhideWhenUsed/>
    <w:qFormat/>
    <w:rPr>
      <w:sz w:val="21"/>
      <w:szCs w:val="21"/>
    </w:rPr>
  </w:style>
  <w:style w:type="character" w:styleId="803">
    <w:name w:val="footnote reference"/>
    <w:uiPriority w:val="99"/>
    <w:unhideWhenUsed/>
    <w:qFormat/>
    <w:rPr>
      <w:vertAlign w:val="superscript"/>
    </w:rPr>
  </w:style>
  <w:style w:type="paragraph" w:styleId="804">
    <w:name w:val="List Paragraph"/>
    <w:basedOn w:val="756"/>
    <w:link w:val="1079"/>
    <w:uiPriority w:val="34"/>
    <w:qFormat/>
    <w:pPr>
      <w:ind w:firstLine="420"/>
    </w:pPr>
    <w:rPr>
      <w:rFonts w:ascii="宋体" w:hAnsi="宋体" w:cs="宋体"/>
      <w:sz w:val="24"/>
      <w:szCs w:val="20"/>
      <w:lang w:eastAsia="en-US"/>
    </w:rPr>
  </w:style>
  <w:style w:type="paragraph" w:styleId="805">
    <w:name w:val="No Spacing"/>
    <w:uiPriority w:val="1"/>
    <w:qFormat/>
    <w:rPr>
      <w:rFonts w:ascii="Times New Roman" w:hAnsi="Times New Roman" w:eastAsia="宋体" w:cs="Times New Roman"/>
      <w:lang w:val="en-US" w:eastAsia="zh-CN" w:bidi="ar-SA"/>
    </w:rPr>
  </w:style>
  <w:style w:type="character" w:styleId="806" w:customStyle="1">
    <w:name w:val="Title Char"/>
    <w:uiPriority w:val="10"/>
    <w:qFormat/>
    <w:rPr>
      <w:sz w:val="48"/>
      <w:szCs w:val="48"/>
    </w:rPr>
  </w:style>
  <w:style w:type="character" w:styleId="807" w:customStyle="1">
    <w:name w:val="Subtitle Char"/>
    <w:uiPriority w:val="11"/>
    <w:qFormat/>
    <w:rPr>
      <w:sz w:val="24"/>
      <w:szCs w:val="24"/>
    </w:rPr>
  </w:style>
  <w:style w:type="paragraph" w:styleId="808">
    <w:name w:val="Quote"/>
    <w:basedOn w:val="756"/>
    <w:next w:val="756"/>
    <w:link w:val="854"/>
    <w:uiPriority w:val="29"/>
    <w:qFormat/>
    <w:pPr>
      <w:ind w:left="720" w:right="720"/>
    </w:pPr>
    <w:rPr>
      <w:i/>
    </w:rPr>
  </w:style>
  <w:style w:type="character" w:styleId="809" w:customStyle="1">
    <w:name w:val="Quote Char"/>
    <w:uiPriority w:val="29"/>
    <w:qFormat/>
    <w:rPr>
      <w:i/>
    </w:rPr>
  </w:style>
  <w:style w:type="paragraph" w:styleId="810">
    <w:name w:val="Intense Quote"/>
    <w:basedOn w:val="756"/>
    <w:next w:val="756"/>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uiPriority w:val="30"/>
    <w:qFormat/>
    <w:rPr>
      <w:i/>
    </w:rPr>
  </w:style>
  <w:style w:type="table" w:styleId="812" w:customStyle="1">
    <w:name w:val="无格式表格 11"/>
    <w:uiPriority w:val="59"/>
    <w:qFormat/>
    <w:tblPr>
      <w:tblCellMar>
        <w:left w:w="0" w:type="dxa"/>
        <w:top w:w="0" w:type="dxa"/>
        <w:right w:w="0" w:type="dxa"/>
        <w:bottom w:w="0" w:type="dxa"/>
      </w:tblCellMar>
    </w:tblPr>
  </w:style>
  <w:style w:type="table" w:styleId="813" w:customStyle="1">
    <w:name w:val="无格式表格 21"/>
    <w:uiPriority w:val="59"/>
    <w:qFormat/>
    <w:tblPr>
      <w:tblCellMar>
        <w:left w:w="0" w:type="dxa"/>
        <w:top w:w="0" w:type="dxa"/>
        <w:right w:w="0" w:type="dxa"/>
        <w:bottom w:w="0" w:type="dxa"/>
      </w:tblCellMar>
    </w:tblPr>
  </w:style>
  <w:style w:type="table" w:styleId="814" w:customStyle="1">
    <w:name w:val="无格式表格 31"/>
    <w:uiPriority w:val="99"/>
    <w:qFormat/>
    <w:tblPr>
      <w:tblCellMar>
        <w:left w:w="0" w:type="dxa"/>
        <w:top w:w="0" w:type="dxa"/>
        <w:right w:w="0" w:type="dxa"/>
        <w:bottom w:w="0" w:type="dxa"/>
      </w:tblCellMar>
    </w:tblPr>
  </w:style>
  <w:style w:type="table" w:styleId="815" w:customStyle="1">
    <w:name w:val="无格式表格 41"/>
    <w:uiPriority w:val="99"/>
    <w:qFormat/>
    <w:tblPr>
      <w:tblCellMar>
        <w:left w:w="0" w:type="dxa"/>
        <w:top w:w="0" w:type="dxa"/>
        <w:right w:w="0" w:type="dxa"/>
        <w:bottom w:w="0" w:type="dxa"/>
      </w:tblCellMar>
    </w:tblPr>
  </w:style>
  <w:style w:type="table" w:styleId="816" w:customStyle="1">
    <w:name w:val="无格式表格 51"/>
    <w:uiPriority w:val="99"/>
    <w:qFormat/>
    <w:tblPr>
      <w:tblCellMar>
        <w:left w:w="0" w:type="dxa"/>
        <w:top w:w="0" w:type="dxa"/>
        <w:right w:w="0" w:type="dxa"/>
        <w:bottom w:w="0" w:type="dxa"/>
      </w:tblCellMar>
    </w:tblPr>
  </w:style>
  <w:style w:type="table" w:styleId="817" w:customStyle="1">
    <w:name w:val="网格表 1 浅色1"/>
    <w:uiPriority w:val="99"/>
    <w:qFormat/>
    <w:tblPr>
      <w:tblCellMar>
        <w:left w:w="0" w:type="dxa"/>
        <w:top w:w="0" w:type="dxa"/>
        <w:right w:w="0" w:type="dxa"/>
        <w:bottom w:w="0" w:type="dxa"/>
      </w:tblCellMar>
    </w:tblPr>
  </w:style>
  <w:style w:type="table" w:styleId="818" w:customStyle="1">
    <w:name w:val="网格表 21"/>
    <w:uiPriority w:val="99"/>
    <w:qFormat/>
    <w:tblPr>
      <w:tblCellMar>
        <w:left w:w="0" w:type="dxa"/>
        <w:top w:w="0" w:type="dxa"/>
        <w:right w:w="0" w:type="dxa"/>
        <w:bottom w:w="0" w:type="dxa"/>
      </w:tblCellMar>
    </w:tblPr>
  </w:style>
  <w:style w:type="table" w:styleId="819" w:customStyle="1">
    <w:name w:val="网格表 31"/>
    <w:uiPriority w:val="99"/>
    <w:qFormat/>
    <w:tblPr>
      <w:tblCellMar>
        <w:left w:w="0" w:type="dxa"/>
        <w:top w:w="0" w:type="dxa"/>
        <w:right w:w="0" w:type="dxa"/>
        <w:bottom w:w="0" w:type="dxa"/>
      </w:tblCellMar>
    </w:tblPr>
  </w:style>
  <w:style w:type="table" w:styleId="820" w:customStyle="1">
    <w:name w:val="网格表 41"/>
    <w:uiPriority w:val="59"/>
    <w:qFormat/>
    <w:tblPr>
      <w:tblCellMar>
        <w:left w:w="0" w:type="dxa"/>
        <w:top w:w="0" w:type="dxa"/>
        <w:right w:w="0" w:type="dxa"/>
        <w:bottom w:w="0" w:type="dxa"/>
      </w:tblCellMar>
    </w:tblPr>
  </w:style>
  <w:style w:type="table" w:styleId="821" w:customStyle="1">
    <w:name w:val="网格表 5 深色1"/>
    <w:uiPriority w:val="99"/>
    <w:qFormat/>
    <w:tblPr>
      <w:tblCellMar>
        <w:left w:w="0" w:type="dxa"/>
        <w:top w:w="0" w:type="dxa"/>
        <w:right w:w="0" w:type="dxa"/>
        <w:bottom w:w="0" w:type="dxa"/>
      </w:tblCellMar>
    </w:tblPr>
  </w:style>
  <w:style w:type="table" w:styleId="822" w:customStyle="1">
    <w:name w:val="网格表 6 彩色1"/>
    <w:uiPriority w:val="99"/>
    <w:qFormat/>
    <w:tblPr>
      <w:tblCellMar>
        <w:left w:w="0" w:type="dxa"/>
        <w:top w:w="0" w:type="dxa"/>
        <w:right w:w="0" w:type="dxa"/>
        <w:bottom w:w="0" w:type="dxa"/>
      </w:tblCellMar>
    </w:tblPr>
  </w:style>
  <w:style w:type="table" w:styleId="823" w:customStyle="1">
    <w:name w:val="网格表 7 彩色1"/>
    <w:uiPriority w:val="99"/>
    <w:qFormat/>
    <w:tblPr>
      <w:tblCellMar>
        <w:left w:w="0" w:type="dxa"/>
        <w:top w:w="0" w:type="dxa"/>
        <w:right w:w="0" w:type="dxa"/>
        <w:bottom w:w="0" w:type="dxa"/>
      </w:tblCellMar>
    </w:tblPr>
  </w:style>
  <w:style w:type="table" w:styleId="824" w:customStyle="1">
    <w:name w:val="清单表 1 浅色1"/>
    <w:uiPriority w:val="99"/>
    <w:qFormat/>
    <w:tblPr>
      <w:tblCellMar>
        <w:left w:w="0" w:type="dxa"/>
        <w:top w:w="0" w:type="dxa"/>
        <w:right w:w="0" w:type="dxa"/>
        <w:bottom w:w="0" w:type="dxa"/>
      </w:tblCellMar>
    </w:tblPr>
  </w:style>
  <w:style w:type="table" w:styleId="825" w:customStyle="1">
    <w:name w:val="清单表 21"/>
    <w:uiPriority w:val="99"/>
    <w:qFormat/>
    <w:tblPr>
      <w:tblCellMar>
        <w:left w:w="0" w:type="dxa"/>
        <w:top w:w="0" w:type="dxa"/>
        <w:right w:w="0" w:type="dxa"/>
        <w:bottom w:w="0" w:type="dxa"/>
      </w:tblCellMar>
    </w:tblPr>
  </w:style>
  <w:style w:type="table" w:styleId="826" w:customStyle="1">
    <w:name w:val="清单表 31"/>
    <w:uiPriority w:val="99"/>
    <w:qFormat/>
    <w:tblPr>
      <w:tblCellMar>
        <w:left w:w="0" w:type="dxa"/>
        <w:top w:w="0" w:type="dxa"/>
        <w:right w:w="0" w:type="dxa"/>
        <w:bottom w:w="0" w:type="dxa"/>
      </w:tblCellMar>
    </w:tblPr>
  </w:style>
  <w:style w:type="table" w:styleId="827" w:customStyle="1">
    <w:name w:val="清单表 41"/>
    <w:uiPriority w:val="99"/>
    <w:qFormat/>
    <w:tblPr>
      <w:tblCellMar>
        <w:left w:w="0" w:type="dxa"/>
        <w:top w:w="0" w:type="dxa"/>
        <w:right w:w="0" w:type="dxa"/>
        <w:bottom w:w="0" w:type="dxa"/>
      </w:tblCellMar>
    </w:tblPr>
  </w:style>
  <w:style w:type="table" w:styleId="828" w:customStyle="1">
    <w:name w:val="清单表 5 深色1"/>
    <w:uiPriority w:val="99"/>
    <w:qFormat/>
    <w:tblPr>
      <w:tblCellMar>
        <w:left w:w="0" w:type="dxa"/>
        <w:top w:w="0" w:type="dxa"/>
        <w:right w:w="0" w:type="dxa"/>
        <w:bottom w:w="0" w:type="dxa"/>
      </w:tblCellMar>
    </w:tblPr>
  </w:style>
  <w:style w:type="table" w:styleId="829" w:customStyle="1">
    <w:name w:val="清单表 6 彩色1"/>
    <w:uiPriority w:val="99"/>
    <w:qFormat/>
    <w:tblPr>
      <w:tblCellMar>
        <w:left w:w="0" w:type="dxa"/>
        <w:top w:w="0" w:type="dxa"/>
        <w:right w:w="0" w:type="dxa"/>
        <w:bottom w:w="0" w:type="dxa"/>
      </w:tblCellMar>
    </w:tblPr>
  </w:style>
  <w:style w:type="table" w:styleId="830" w:customStyle="1">
    <w:name w:val="清单表 7 彩色1"/>
    <w:uiPriority w:val="99"/>
    <w:qFormat/>
    <w:tblPr>
      <w:tblCellMar>
        <w:left w:w="0" w:type="dxa"/>
        <w:top w:w="0" w:type="dxa"/>
        <w:right w:w="0" w:type="dxa"/>
        <w:bottom w:w="0" w:type="dxa"/>
      </w:tblCellMar>
    </w:tbl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
    <w:uiPriority w:val="39"/>
    <w:qFormat/>
    <w:rPr>
      <w:rFonts w:ascii="Times New Roman" w:hAnsi="Times New Roman" w:eastAsia="宋体" w:cs="Times New Roman"/>
      <w:lang w:val="en-US" w:eastAsia="zh-CN" w:bidi="ar-SA"/>
    </w:rPr>
  </w:style>
  <w:style w:type="character" w:styleId="834" w:customStyle="1">
    <w:name w:val="批注文字 字符1"/>
    <w:link w:val="772"/>
    <w:uiPriority w:val="99"/>
    <w:semiHidden/>
    <w:qFormat/>
    <w:rPr>
      <w:sz w:val="21"/>
      <w:szCs w:val="22"/>
    </w:rPr>
  </w:style>
  <w:style w:type="character" w:styleId="835" w:customStyle="1">
    <w:name w:val="正文文本缩进 字符1"/>
    <w:link w:val="774"/>
    <w:uiPriority w:val="99"/>
    <w:semiHidden/>
    <w:qFormat/>
    <w:rPr>
      <w:sz w:val="21"/>
      <w:szCs w:val="22"/>
    </w:rPr>
  </w:style>
  <w:style w:type="character" w:styleId="836" w:customStyle="1">
    <w:name w:val="尾注文本 字符"/>
    <w:link w:val="779"/>
    <w:uiPriority w:val="99"/>
    <w:qFormat/>
    <w:rPr>
      <w:sz w:val="20"/>
    </w:rPr>
  </w:style>
  <w:style w:type="character" w:styleId="837" w:customStyle="1">
    <w:name w:val="批注框文本 字符1"/>
    <w:link w:val="780"/>
    <w:uiPriority w:val="99"/>
    <w:semiHidden/>
    <w:qFormat/>
    <w:rPr>
      <w:sz w:val="18"/>
      <w:szCs w:val="18"/>
    </w:rPr>
  </w:style>
  <w:style w:type="character" w:styleId="838" w:customStyle="1">
    <w:name w:val="页眉 字符1"/>
    <w:link w:val="782"/>
    <w:uiPriority w:val="99"/>
    <w:qFormat/>
    <w:rPr>
      <w:sz w:val="18"/>
      <w:szCs w:val="18"/>
    </w:rPr>
  </w:style>
  <w:style w:type="character" w:styleId="839" w:customStyle="1">
    <w:name w:val="副标题 字符"/>
    <w:link w:val="785"/>
    <w:uiPriority w:val="11"/>
    <w:qFormat/>
    <w:rPr>
      <w:sz w:val="24"/>
      <w:szCs w:val="24"/>
    </w:rPr>
  </w:style>
  <w:style w:type="character" w:styleId="840" w:customStyle="1">
    <w:name w:val="脚注文本 字符"/>
    <w:link w:val="786"/>
    <w:uiPriority w:val="99"/>
    <w:qFormat/>
    <w:rPr>
      <w:sz w:val="18"/>
    </w:rPr>
  </w:style>
  <w:style w:type="character" w:styleId="841" w:customStyle="1">
    <w:name w:val="标题 字符1"/>
    <w:link w:val="792"/>
    <w:uiPriority w:val="10"/>
    <w:qFormat/>
    <w:rPr>
      <w:sz w:val="48"/>
      <w:szCs w:val="48"/>
    </w:rPr>
  </w:style>
  <w:style w:type="character" w:styleId="842" w:customStyle="1">
    <w:name w:val="批注主题 字符1"/>
    <w:link w:val="793"/>
    <w:uiPriority w:val="99"/>
    <w:semiHidden/>
    <w:qFormat/>
    <w:rPr>
      <w:b/>
      <w:bCs/>
      <w:sz w:val="21"/>
      <w:szCs w:val="22"/>
    </w:rPr>
  </w:style>
  <w:style w:type="character" w:styleId="843" w:customStyle="1">
    <w:name w:val="正文文本 字符"/>
    <w:link w:val="795"/>
    <w:uiPriority w:val="0"/>
    <w:qFormat/>
    <w:rPr>
      <w:rFonts w:ascii="方正大黑简体" w:hAnsi="Tahoma" w:eastAsia="方正大黑简体" w:cs="Times New Roman"/>
      <w:position w:val="6"/>
      <w:sz w:val="30"/>
      <w:szCs w:val="20"/>
      <w:lang w:eastAsia="en-US"/>
    </w:rPr>
  </w:style>
  <w:style w:type="character" w:styleId="844" w:customStyle="1">
    <w:name w:val="正文文本首行缩进 2 字符1"/>
    <w:link w:val="796"/>
    <w:uiPriority w:val="99"/>
    <w:semiHidden/>
    <w:qFormat/>
  </w:style>
  <w:style w:type="character" w:styleId="845" w:customStyle="1">
    <w:name w:val="标题 1 字符1"/>
    <w:link w:val="757"/>
    <w:uiPriority w:val="9"/>
    <w:qFormat/>
    <w:rPr>
      <w:rFonts w:ascii="Arial" w:hAnsi="Arial" w:eastAsia="Arial" w:cs="Arial"/>
      <w:sz w:val="40"/>
      <w:szCs w:val="40"/>
    </w:rPr>
  </w:style>
  <w:style w:type="character" w:styleId="846" w:customStyle="1">
    <w:name w:val="标题 2 字符1"/>
    <w:link w:val="758"/>
    <w:uiPriority w:val="9"/>
    <w:qFormat/>
    <w:rPr>
      <w:rFonts w:ascii="Arial" w:hAnsi="Arial" w:eastAsia="Arial" w:cs="Arial"/>
      <w:sz w:val="34"/>
    </w:rPr>
  </w:style>
  <w:style w:type="character" w:styleId="847" w:customStyle="1">
    <w:name w:val="标题 3 字符1"/>
    <w:link w:val="759"/>
    <w:uiPriority w:val="9"/>
    <w:qFormat/>
    <w:rPr>
      <w:rFonts w:ascii="Arial" w:hAnsi="Arial" w:eastAsia="Arial" w:cs="Arial"/>
      <w:sz w:val="30"/>
      <w:szCs w:val="30"/>
    </w:rPr>
  </w:style>
  <w:style w:type="character" w:styleId="848" w:customStyle="1">
    <w:name w:val="标题 4 字符1"/>
    <w:link w:val="760"/>
    <w:uiPriority w:val="9"/>
    <w:qFormat/>
    <w:rPr>
      <w:rFonts w:ascii="Arial" w:hAnsi="Arial" w:eastAsia="Arial" w:cs="Arial"/>
      <w:b/>
      <w:bCs/>
      <w:sz w:val="26"/>
      <w:szCs w:val="26"/>
    </w:rPr>
  </w:style>
  <w:style w:type="character" w:styleId="849" w:customStyle="1">
    <w:name w:val="标题 5 字符1"/>
    <w:link w:val="761"/>
    <w:uiPriority w:val="9"/>
    <w:qFormat/>
    <w:rPr>
      <w:rFonts w:ascii="Arial" w:hAnsi="Arial" w:eastAsia="Arial" w:cs="Arial"/>
      <w:b/>
      <w:bCs/>
      <w:sz w:val="24"/>
      <w:szCs w:val="24"/>
    </w:rPr>
  </w:style>
  <w:style w:type="character" w:styleId="850" w:customStyle="1">
    <w:name w:val="标题 6 字符1"/>
    <w:link w:val="762"/>
    <w:uiPriority w:val="9"/>
    <w:qFormat/>
    <w:rPr>
      <w:rFonts w:ascii="Arial" w:hAnsi="Arial" w:eastAsia="Arial" w:cs="Arial"/>
      <w:b/>
      <w:bCs/>
      <w:sz w:val="22"/>
      <w:szCs w:val="22"/>
    </w:rPr>
  </w:style>
  <w:style w:type="character" w:styleId="851" w:customStyle="1">
    <w:name w:val="标题 7 字符1"/>
    <w:link w:val="763"/>
    <w:uiPriority w:val="9"/>
    <w:qFormat/>
    <w:rPr>
      <w:rFonts w:ascii="Arial" w:hAnsi="Arial" w:eastAsia="Arial" w:cs="Arial"/>
      <w:b/>
      <w:bCs/>
      <w:i/>
      <w:iCs/>
      <w:sz w:val="22"/>
      <w:szCs w:val="22"/>
    </w:rPr>
  </w:style>
  <w:style w:type="character" w:styleId="852" w:customStyle="1">
    <w:name w:val="标题 8 字符1"/>
    <w:link w:val="764"/>
    <w:uiPriority w:val="9"/>
    <w:qFormat/>
    <w:rPr>
      <w:rFonts w:ascii="Arial" w:hAnsi="Arial" w:eastAsia="Arial" w:cs="Arial"/>
      <w:i/>
      <w:iCs/>
      <w:sz w:val="22"/>
      <w:szCs w:val="22"/>
    </w:rPr>
  </w:style>
  <w:style w:type="character" w:styleId="853" w:customStyle="1">
    <w:name w:val="标题 9 字符1"/>
    <w:link w:val="765"/>
    <w:uiPriority w:val="9"/>
    <w:qFormat/>
    <w:rPr>
      <w:rFonts w:ascii="Arial" w:hAnsi="Arial" w:eastAsia="Arial" w:cs="Arial"/>
      <w:i/>
      <w:iCs/>
      <w:sz w:val="21"/>
      <w:szCs w:val="21"/>
    </w:rPr>
  </w:style>
  <w:style w:type="character" w:styleId="854" w:customStyle="1">
    <w:name w:val="引用 字符"/>
    <w:link w:val="808"/>
    <w:uiPriority w:val="29"/>
    <w:qFormat/>
    <w:rPr>
      <w:i/>
    </w:rPr>
  </w:style>
  <w:style w:type="character" w:styleId="855" w:customStyle="1">
    <w:name w:val="明显引用 字符"/>
    <w:link w:val="810"/>
    <w:uiPriority w:val="30"/>
    <w:qFormat/>
    <w:rPr>
      <w:i/>
    </w:rPr>
  </w:style>
  <w:style w:type="paragraph" w:styleId="856" w:customStyle="1">
    <w:name w:val="Header1"/>
    <w:basedOn w:val="756"/>
    <w:link w:val="857"/>
    <w:uiPriority w:val="99"/>
    <w:unhideWhenUsed/>
    <w:qFormat/>
    <w:pPr>
      <w:tabs>
        <w:tab w:val="center" w:pos="7143" w:leader="none"/>
        <w:tab w:val="right" w:pos="14287" w:leader="none"/>
      </w:tabs>
    </w:pPr>
  </w:style>
  <w:style w:type="character" w:styleId="857" w:customStyle="1">
    <w:name w:val="Header Char"/>
    <w:link w:val="856"/>
    <w:uiPriority w:val="99"/>
    <w:qFormat/>
  </w:style>
  <w:style w:type="paragraph" w:styleId="858" w:customStyle="1">
    <w:name w:val="Footer1"/>
    <w:basedOn w:val="756"/>
    <w:link w:val="859"/>
    <w:uiPriority w:val="99"/>
    <w:unhideWhenUsed/>
    <w:qFormat/>
    <w:pPr>
      <w:tabs>
        <w:tab w:val="center" w:pos="7143" w:leader="none"/>
        <w:tab w:val="right" w:pos="14287" w:leader="none"/>
      </w:tabs>
    </w:pPr>
  </w:style>
  <w:style w:type="character" w:styleId="859" w:customStyle="1">
    <w:name w:val="Footer Char"/>
    <w:link w:val="858"/>
    <w:uiPriority w:val="99"/>
    <w:qFormat/>
  </w:style>
  <w:style w:type="character" w:styleId="860" w:customStyle="1">
    <w:name w:val="页脚 字符1"/>
    <w:link w:val="781"/>
    <w:uiPriority w:val="99"/>
    <w:qFormat/>
  </w:style>
  <w:style w:type="paragraph" w:styleId="861" w:customStyle="1">
    <w:name w:val="Caption1"/>
    <w:basedOn w:val="756"/>
    <w:next w:val="756"/>
    <w:uiPriority w:val="35"/>
    <w:unhideWhenUsed/>
    <w:qFormat/>
    <w:pPr>
      <w:spacing w:line="276" w:lineRule="auto"/>
    </w:pPr>
    <w:rPr>
      <w:b/>
      <w:bCs/>
      <w:color w:val="4f81bd"/>
      <w:sz w:val="18"/>
      <w:szCs w:val="18"/>
    </w:rPr>
  </w:style>
  <w:style w:type="table" w:styleId="862" w:customStyle="1">
    <w:name w:val="Table Grid Light"/>
    <w:uiPriority w:val="59"/>
    <w:qFormat/>
    <w:tblPr>
      <w:tblCellMar>
        <w:left w:w="0" w:type="dxa"/>
        <w:top w:w="0" w:type="dxa"/>
        <w:right w:w="0" w:type="dxa"/>
        <w:bottom w:w="0" w:type="dxa"/>
      </w:tblCellMar>
    </w:tblPr>
  </w:style>
  <w:style w:type="table" w:styleId="863" w:customStyle="1">
    <w:name w:val="Grid Table 1 Light - Accent 1"/>
    <w:uiPriority w:val="99"/>
    <w:qFormat/>
    <w:tblPr>
      <w:tblCellMar>
        <w:left w:w="0" w:type="dxa"/>
        <w:top w:w="0" w:type="dxa"/>
        <w:right w:w="0" w:type="dxa"/>
        <w:bottom w:w="0" w:type="dxa"/>
      </w:tblCellMar>
    </w:tblPr>
  </w:style>
  <w:style w:type="table" w:styleId="864" w:customStyle="1">
    <w:name w:val="Grid Table 1 Light - Accent 2"/>
    <w:uiPriority w:val="99"/>
    <w:qFormat/>
    <w:tblPr>
      <w:tblCellMar>
        <w:left w:w="0" w:type="dxa"/>
        <w:top w:w="0" w:type="dxa"/>
        <w:right w:w="0" w:type="dxa"/>
        <w:bottom w:w="0" w:type="dxa"/>
      </w:tblCellMar>
    </w:tblPr>
  </w:style>
  <w:style w:type="table" w:styleId="865" w:customStyle="1">
    <w:name w:val="Grid Table 1 Light - Accent 3"/>
    <w:uiPriority w:val="99"/>
    <w:qFormat/>
    <w:tblPr>
      <w:tblCellMar>
        <w:left w:w="0" w:type="dxa"/>
        <w:top w:w="0" w:type="dxa"/>
        <w:right w:w="0" w:type="dxa"/>
        <w:bottom w:w="0" w:type="dxa"/>
      </w:tblCellMar>
    </w:tblPr>
  </w:style>
  <w:style w:type="table" w:styleId="866" w:customStyle="1">
    <w:name w:val="Grid Table 1 Light - Accent 4"/>
    <w:uiPriority w:val="99"/>
    <w:qFormat/>
    <w:tblPr>
      <w:tblCellMar>
        <w:left w:w="0" w:type="dxa"/>
        <w:top w:w="0" w:type="dxa"/>
        <w:right w:w="0" w:type="dxa"/>
        <w:bottom w:w="0" w:type="dxa"/>
      </w:tblCellMar>
    </w:tblPr>
  </w:style>
  <w:style w:type="table" w:styleId="867" w:customStyle="1">
    <w:name w:val="Grid Table 1 Light - Accent 5"/>
    <w:uiPriority w:val="99"/>
    <w:qFormat/>
    <w:tblPr>
      <w:tblCellMar>
        <w:left w:w="0" w:type="dxa"/>
        <w:top w:w="0" w:type="dxa"/>
        <w:right w:w="0" w:type="dxa"/>
        <w:bottom w:w="0" w:type="dxa"/>
      </w:tblCellMar>
    </w:tblPr>
  </w:style>
  <w:style w:type="table" w:styleId="868" w:customStyle="1">
    <w:name w:val="Grid Table 1 Light - Accent 6"/>
    <w:uiPriority w:val="99"/>
    <w:qFormat/>
    <w:tblPr>
      <w:tblCellMar>
        <w:left w:w="0" w:type="dxa"/>
        <w:top w:w="0" w:type="dxa"/>
        <w:right w:w="0" w:type="dxa"/>
        <w:bottom w:w="0" w:type="dxa"/>
      </w:tblCellMar>
    </w:tblPr>
  </w:style>
  <w:style w:type="table" w:styleId="869" w:customStyle="1">
    <w:name w:val="Grid Table 2 - Accent 1"/>
    <w:uiPriority w:val="99"/>
    <w:qFormat/>
    <w:tblPr>
      <w:tblCellMar>
        <w:left w:w="0" w:type="dxa"/>
        <w:top w:w="0" w:type="dxa"/>
        <w:right w:w="0" w:type="dxa"/>
        <w:bottom w:w="0" w:type="dxa"/>
      </w:tblCellMar>
    </w:tblPr>
  </w:style>
  <w:style w:type="table" w:styleId="870" w:customStyle="1">
    <w:name w:val="Grid Table 2 - Accent 2"/>
    <w:uiPriority w:val="99"/>
    <w:qFormat/>
    <w:tblPr>
      <w:tblCellMar>
        <w:left w:w="0" w:type="dxa"/>
        <w:top w:w="0" w:type="dxa"/>
        <w:right w:w="0" w:type="dxa"/>
        <w:bottom w:w="0" w:type="dxa"/>
      </w:tblCellMar>
    </w:tblPr>
  </w:style>
  <w:style w:type="table" w:styleId="871" w:customStyle="1">
    <w:name w:val="Grid Table 2 - Accent 3"/>
    <w:uiPriority w:val="99"/>
    <w:qFormat/>
    <w:tblPr>
      <w:tblCellMar>
        <w:left w:w="0" w:type="dxa"/>
        <w:top w:w="0" w:type="dxa"/>
        <w:right w:w="0" w:type="dxa"/>
        <w:bottom w:w="0" w:type="dxa"/>
      </w:tblCellMar>
    </w:tblPr>
  </w:style>
  <w:style w:type="table" w:styleId="872" w:customStyle="1">
    <w:name w:val="Grid Table 2 - Accent 4"/>
    <w:uiPriority w:val="99"/>
    <w:qFormat/>
    <w:tblPr>
      <w:tblCellMar>
        <w:left w:w="0" w:type="dxa"/>
        <w:top w:w="0" w:type="dxa"/>
        <w:right w:w="0" w:type="dxa"/>
        <w:bottom w:w="0" w:type="dxa"/>
      </w:tblCellMar>
    </w:tblPr>
  </w:style>
  <w:style w:type="table" w:styleId="873" w:customStyle="1">
    <w:name w:val="Grid Table 2 - Accent 5"/>
    <w:uiPriority w:val="99"/>
    <w:qFormat/>
    <w:tblPr>
      <w:tblCellMar>
        <w:left w:w="0" w:type="dxa"/>
        <w:top w:w="0" w:type="dxa"/>
        <w:right w:w="0" w:type="dxa"/>
        <w:bottom w:w="0" w:type="dxa"/>
      </w:tblCellMar>
    </w:tblPr>
  </w:style>
  <w:style w:type="table" w:styleId="874" w:customStyle="1">
    <w:name w:val="Grid Table 2 - Accent 6"/>
    <w:uiPriority w:val="99"/>
    <w:qFormat/>
    <w:tblPr>
      <w:tblCellMar>
        <w:left w:w="0" w:type="dxa"/>
        <w:top w:w="0" w:type="dxa"/>
        <w:right w:w="0" w:type="dxa"/>
        <w:bottom w:w="0" w:type="dxa"/>
      </w:tblCellMar>
    </w:tblPr>
  </w:style>
  <w:style w:type="table" w:styleId="875" w:customStyle="1">
    <w:name w:val="Grid Table 3 - Accent 1"/>
    <w:uiPriority w:val="99"/>
    <w:qFormat/>
    <w:tblPr>
      <w:tblCellMar>
        <w:left w:w="0" w:type="dxa"/>
        <w:top w:w="0" w:type="dxa"/>
        <w:right w:w="0" w:type="dxa"/>
        <w:bottom w:w="0" w:type="dxa"/>
      </w:tblCellMar>
    </w:tblPr>
  </w:style>
  <w:style w:type="table" w:styleId="876" w:customStyle="1">
    <w:name w:val="Grid Table 3 - Accent 2"/>
    <w:uiPriority w:val="99"/>
    <w:qFormat/>
    <w:tblPr>
      <w:tblCellMar>
        <w:left w:w="0" w:type="dxa"/>
        <w:top w:w="0" w:type="dxa"/>
        <w:right w:w="0" w:type="dxa"/>
        <w:bottom w:w="0" w:type="dxa"/>
      </w:tblCellMar>
    </w:tblPr>
  </w:style>
  <w:style w:type="table" w:styleId="877" w:customStyle="1">
    <w:name w:val="Grid Table 3 - Accent 3"/>
    <w:uiPriority w:val="99"/>
    <w:qFormat/>
    <w:tblPr>
      <w:tblCellMar>
        <w:left w:w="0" w:type="dxa"/>
        <w:top w:w="0" w:type="dxa"/>
        <w:right w:w="0" w:type="dxa"/>
        <w:bottom w:w="0" w:type="dxa"/>
      </w:tblCellMar>
    </w:tblPr>
  </w:style>
  <w:style w:type="table" w:styleId="878" w:customStyle="1">
    <w:name w:val="Grid Table 3 - Accent 4"/>
    <w:uiPriority w:val="99"/>
    <w:qFormat/>
    <w:tblPr>
      <w:tblCellMar>
        <w:left w:w="0" w:type="dxa"/>
        <w:top w:w="0" w:type="dxa"/>
        <w:right w:w="0" w:type="dxa"/>
        <w:bottom w:w="0" w:type="dxa"/>
      </w:tblCellMar>
    </w:tblPr>
  </w:style>
  <w:style w:type="table" w:styleId="879" w:customStyle="1">
    <w:name w:val="Grid Table 3 - Accent 5"/>
    <w:uiPriority w:val="99"/>
    <w:qFormat/>
    <w:tblPr>
      <w:tblCellMar>
        <w:left w:w="0" w:type="dxa"/>
        <w:top w:w="0" w:type="dxa"/>
        <w:right w:w="0" w:type="dxa"/>
        <w:bottom w:w="0" w:type="dxa"/>
      </w:tblCellMar>
    </w:tblPr>
  </w:style>
  <w:style w:type="table" w:styleId="880" w:customStyle="1">
    <w:name w:val="Grid Table 3 - Accent 6"/>
    <w:uiPriority w:val="99"/>
    <w:qFormat/>
    <w:tblPr>
      <w:tblCellMar>
        <w:left w:w="0" w:type="dxa"/>
        <w:top w:w="0" w:type="dxa"/>
        <w:right w:w="0" w:type="dxa"/>
        <w:bottom w:w="0" w:type="dxa"/>
      </w:tblCellMar>
    </w:tblPr>
  </w:style>
  <w:style w:type="table" w:styleId="881" w:customStyle="1">
    <w:name w:val="Grid Table 4 - Accent 1"/>
    <w:uiPriority w:val="59"/>
    <w:qFormat/>
    <w:tblPr>
      <w:tblCellMar>
        <w:left w:w="0" w:type="dxa"/>
        <w:top w:w="0" w:type="dxa"/>
        <w:right w:w="0" w:type="dxa"/>
        <w:bottom w:w="0" w:type="dxa"/>
      </w:tblCellMar>
    </w:tblPr>
  </w:style>
  <w:style w:type="table" w:styleId="882" w:customStyle="1">
    <w:name w:val="Grid Table 4 - Accent 2"/>
    <w:uiPriority w:val="59"/>
    <w:qFormat/>
    <w:tblPr>
      <w:tblCellMar>
        <w:left w:w="0" w:type="dxa"/>
        <w:top w:w="0" w:type="dxa"/>
        <w:right w:w="0" w:type="dxa"/>
        <w:bottom w:w="0" w:type="dxa"/>
      </w:tblCellMar>
    </w:tblPr>
  </w:style>
  <w:style w:type="table" w:styleId="883" w:customStyle="1">
    <w:name w:val="Grid Table 4 - Accent 3"/>
    <w:uiPriority w:val="59"/>
    <w:qFormat/>
    <w:tblPr>
      <w:tblCellMar>
        <w:left w:w="0" w:type="dxa"/>
        <w:top w:w="0" w:type="dxa"/>
        <w:right w:w="0" w:type="dxa"/>
        <w:bottom w:w="0" w:type="dxa"/>
      </w:tblCellMar>
    </w:tblPr>
  </w:style>
  <w:style w:type="table" w:styleId="884" w:customStyle="1">
    <w:name w:val="Grid Table 4 - Accent 4"/>
    <w:uiPriority w:val="59"/>
    <w:qFormat/>
    <w:tblPr>
      <w:tblCellMar>
        <w:left w:w="0" w:type="dxa"/>
        <w:top w:w="0" w:type="dxa"/>
        <w:right w:w="0" w:type="dxa"/>
        <w:bottom w:w="0" w:type="dxa"/>
      </w:tblCellMar>
    </w:tblPr>
  </w:style>
  <w:style w:type="table" w:styleId="885" w:customStyle="1">
    <w:name w:val="Grid Table 4 - Accent 5"/>
    <w:uiPriority w:val="59"/>
    <w:qFormat/>
    <w:tblPr>
      <w:tblCellMar>
        <w:left w:w="0" w:type="dxa"/>
        <w:top w:w="0" w:type="dxa"/>
        <w:right w:w="0" w:type="dxa"/>
        <w:bottom w:w="0" w:type="dxa"/>
      </w:tblCellMar>
    </w:tblPr>
  </w:style>
  <w:style w:type="table" w:styleId="886" w:customStyle="1">
    <w:name w:val="Grid Table 4 - Accent 6"/>
    <w:uiPriority w:val="59"/>
    <w:qFormat/>
    <w:tblPr>
      <w:tblCellMar>
        <w:left w:w="0" w:type="dxa"/>
        <w:top w:w="0" w:type="dxa"/>
        <w:right w:w="0" w:type="dxa"/>
        <w:bottom w:w="0" w:type="dxa"/>
      </w:tblCellMar>
    </w:tblPr>
  </w:style>
  <w:style w:type="table" w:styleId="887" w:customStyle="1">
    <w:name w:val="Grid Table 5 Dark- Accent 1"/>
    <w:uiPriority w:val="99"/>
    <w:qFormat/>
    <w:tblPr>
      <w:tblCellMar>
        <w:left w:w="0" w:type="dxa"/>
        <w:top w:w="0" w:type="dxa"/>
        <w:right w:w="0" w:type="dxa"/>
        <w:bottom w:w="0" w:type="dxa"/>
      </w:tblCellMar>
    </w:tblPr>
  </w:style>
  <w:style w:type="table" w:styleId="888" w:customStyle="1">
    <w:name w:val="Grid Table 5 Dark - Accent 2"/>
    <w:uiPriority w:val="99"/>
    <w:qFormat/>
    <w:tblPr>
      <w:tblCellMar>
        <w:left w:w="0" w:type="dxa"/>
        <w:top w:w="0" w:type="dxa"/>
        <w:right w:w="0" w:type="dxa"/>
        <w:bottom w:w="0" w:type="dxa"/>
      </w:tblCellMar>
    </w:tblPr>
  </w:style>
  <w:style w:type="table" w:styleId="889" w:customStyle="1">
    <w:name w:val="Grid Table 5 Dark - Accent 3"/>
    <w:uiPriority w:val="99"/>
    <w:qFormat/>
    <w:tblPr>
      <w:tblCellMar>
        <w:left w:w="0" w:type="dxa"/>
        <w:top w:w="0" w:type="dxa"/>
        <w:right w:w="0" w:type="dxa"/>
        <w:bottom w:w="0" w:type="dxa"/>
      </w:tblCellMar>
    </w:tblPr>
  </w:style>
  <w:style w:type="table" w:styleId="890" w:customStyle="1">
    <w:name w:val="Grid Table 5 Dark- Accent 4"/>
    <w:uiPriority w:val="99"/>
    <w:qFormat/>
    <w:tblPr>
      <w:tblCellMar>
        <w:left w:w="0" w:type="dxa"/>
        <w:top w:w="0" w:type="dxa"/>
        <w:right w:w="0" w:type="dxa"/>
        <w:bottom w:w="0" w:type="dxa"/>
      </w:tblCellMar>
    </w:tblPr>
  </w:style>
  <w:style w:type="table" w:styleId="891" w:customStyle="1">
    <w:name w:val="Grid Table 5 Dark - Accent 5"/>
    <w:uiPriority w:val="99"/>
    <w:qFormat/>
    <w:tblPr>
      <w:tblCellMar>
        <w:left w:w="0" w:type="dxa"/>
        <w:top w:w="0" w:type="dxa"/>
        <w:right w:w="0" w:type="dxa"/>
        <w:bottom w:w="0" w:type="dxa"/>
      </w:tblCellMar>
    </w:tblPr>
  </w:style>
  <w:style w:type="table" w:styleId="892" w:customStyle="1">
    <w:name w:val="Grid Table 5 Dark - Accent 6"/>
    <w:uiPriority w:val="99"/>
    <w:qFormat/>
    <w:tblPr>
      <w:tblCellMar>
        <w:left w:w="0" w:type="dxa"/>
        <w:top w:w="0" w:type="dxa"/>
        <w:right w:w="0" w:type="dxa"/>
        <w:bottom w:w="0" w:type="dxa"/>
      </w:tblCellMar>
    </w:tblPr>
  </w:style>
  <w:style w:type="table" w:styleId="893" w:customStyle="1">
    <w:name w:val="Grid Table 6 Colorful - Accent 1"/>
    <w:uiPriority w:val="99"/>
    <w:qFormat/>
    <w:tblPr>
      <w:tblCellMar>
        <w:left w:w="0" w:type="dxa"/>
        <w:top w:w="0" w:type="dxa"/>
        <w:right w:w="0" w:type="dxa"/>
        <w:bottom w:w="0" w:type="dxa"/>
      </w:tblCellMar>
    </w:tblPr>
  </w:style>
  <w:style w:type="table" w:styleId="894" w:customStyle="1">
    <w:name w:val="Grid Table 6 Colorful - Accent 2"/>
    <w:uiPriority w:val="99"/>
    <w:qFormat/>
    <w:tblPr>
      <w:tblCellMar>
        <w:left w:w="0" w:type="dxa"/>
        <w:top w:w="0" w:type="dxa"/>
        <w:right w:w="0" w:type="dxa"/>
        <w:bottom w:w="0" w:type="dxa"/>
      </w:tblCellMar>
    </w:tblPr>
  </w:style>
  <w:style w:type="table" w:styleId="895" w:customStyle="1">
    <w:name w:val="Grid Table 6 Colorful - Accent 3"/>
    <w:uiPriority w:val="99"/>
    <w:qFormat/>
    <w:tblPr>
      <w:tblCellMar>
        <w:left w:w="0" w:type="dxa"/>
        <w:top w:w="0" w:type="dxa"/>
        <w:right w:w="0" w:type="dxa"/>
        <w:bottom w:w="0" w:type="dxa"/>
      </w:tblCellMar>
    </w:tblPr>
  </w:style>
  <w:style w:type="table" w:styleId="896" w:customStyle="1">
    <w:name w:val="Grid Table 6 Colorful - Accent 4"/>
    <w:uiPriority w:val="99"/>
    <w:qFormat/>
    <w:tblPr>
      <w:tblCellMar>
        <w:left w:w="0" w:type="dxa"/>
        <w:top w:w="0" w:type="dxa"/>
        <w:right w:w="0" w:type="dxa"/>
        <w:bottom w:w="0" w:type="dxa"/>
      </w:tblCellMar>
    </w:tblPr>
  </w:style>
  <w:style w:type="table" w:styleId="897" w:customStyle="1">
    <w:name w:val="Grid Table 6 Colorful - Accent 5"/>
    <w:uiPriority w:val="99"/>
    <w:qFormat/>
    <w:tblPr>
      <w:tblCellMar>
        <w:left w:w="0" w:type="dxa"/>
        <w:top w:w="0" w:type="dxa"/>
        <w:right w:w="0" w:type="dxa"/>
        <w:bottom w:w="0" w:type="dxa"/>
      </w:tblCellMar>
    </w:tblPr>
  </w:style>
  <w:style w:type="table" w:styleId="898" w:customStyle="1">
    <w:name w:val="Grid Table 6 Colorful - Accent 6"/>
    <w:uiPriority w:val="99"/>
    <w:qFormat/>
    <w:tblPr>
      <w:tblCellMar>
        <w:left w:w="0" w:type="dxa"/>
        <w:top w:w="0" w:type="dxa"/>
        <w:right w:w="0" w:type="dxa"/>
        <w:bottom w:w="0" w:type="dxa"/>
      </w:tblCellMar>
    </w:tblPr>
  </w:style>
  <w:style w:type="table" w:styleId="899" w:customStyle="1">
    <w:name w:val="Grid Table 7 Colorful - Accent 1"/>
    <w:uiPriority w:val="99"/>
    <w:qFormat/>
    <w:tblPr>
      <w:tblCellMar>
        <w:left w:w="0" w:type="dxa"/>
        <w:top w:w="0" w:type="dxa"/>
        <w:right w:w="0" w:type="dxa"/>
        <w:bottom w:w="0" w:type="dxa"/>
      </w:tblCellMar>
    </w:tblPr>
  </w:style>
  <w:style w:type="table" w:styleId="900" w:customStyle="1">
    <w:name w:val="Grid Table 7 Colorful - Accent 2"/>
    <w:uiPriority w:val="99"/>
    <w:qFormat/>
    <w:tblPr>
      <w:tblCellMar>
        <w:left w:w="0" w:type="dxa"/>
        <w:top w:w="0" w:type="dxa"/>
        <w:right w:w="0" w:type="dxa"/>
        <w:bottom w:w="0" w:type="dxa"/>
      </w:tblCellMar>
    </w:tblPr>
  </w:style>
  <w:style w:type="table" w:styleId="901" w:customStyle="1">
    <w:name w:val="Grid Table 7 Colorful - Accent 3"/>
    <w:uiPriority w:val="99"/>
    <w:qFormat/>
    <w:tblPr>
      <w:tblCellMar>
        <w:left w:w="0" w:type="dxa"/>
        <w:top w:w="0" w:type="dxa"/>
        <w:right w:w="0" w:type="dxa"/>
        <w:bottom w:w="0" w:type="dxa"/>
      </w:tblCellMar>
    </w:tblPr>
  </w:style>
  <w:style w:type="table" w:styleId="902" w:customStyle="1">
    <w:name w:val="Grid Table 7 Colorful - Accent 4"/>
    <w:uiPriority w:val="99"/>
    <w:qFormat/>
    <w:tblPr>
      <w:tblCellMar>
        <w:left w:w="0" w:type="dxa"/>
        <w:top w:w="0" w:type="dxa"/>
        <w:right w:w="0" w:type="dxa"/>
        <w:bottom w:w="0" w:type="dxa"/>
      </w:tblCellMar>
    </w:tblPr>
  </w:style>
  <w:style w:type="table" w:styleId="903" w:customStyle="1">
    <w:name w:val="Grid Table 7 Colorful - Accent 5"/>
    <w:uiPriority w:val="99"/>
    <w:qFormat/>
    <w:tblPr>
      <w:tblCellMar>
        <w:left w:w="0" w:type="dxa"/>
        <w:top w:w="0" w:type="dxa"/>
        <w:right w:w="0" w:type="dxa"/>
        <w:bottom w:w="0" w:type="dxa"/>
      </w:tblCellMar>
    </w:tblPr>
  </w:style>
  <w:style w:type="table" w:styleId="904" w:customStyle="1">
    <w:name w:val="Grid Table 7 Colorful - Accent 6"/>
    <w:uiPriority w:val="99"/>
    <w:qFormat/>
    <w:tblPr>
      <w:tblCellMar>
        <w:left w:w="0" w:type="dxa"/>
        <w:top w:w="0" w:type="dxa"/>
        <w:right w:w="0" w:type="dxa"/>
        <w:bottom w:w="0" w:type="dxa"/>
      </w:tblCellMar>
    </w:tblPr>
  </w:style>
  <w:style w:type="table" w:styleId="905" w:customStyle="1">
    <w:name w:val="List Table 1 Light - Accent 1"/>
    <w:uiPriority w:val="99"/>
    <w:qFormat/>
    <w:tblPr>
      <w:tblCellMar>
        <w:left w:w="0" w:type="dxa"/>
        <w:top w:w="0" w:type="dxa"/>
        <w:right w:w="0" w:type="dxa"/>
        <w:bottom w:w="0" w:type="dxa"/>
      </w:tblCellMar>
    </w:tblPr>
  </w:style>
  <w:style w:type="table" w:styleId="906" w:customStyle="1">
    <w:name w:val="List Table 1 Light - Accent 2"/>
    <w:uiPriority w:val="99"/>
    <w:qFormat/>
    <w:tblPr>
      <w:tblCellMar>
        <w:left w:w="0" w:type="dxa"/>
        <w:top w:w="0" w:type="dxa"/>
        <w:right w:w="0" w:type="dxa"/>
        <w:bottom w:w="0" w:type="dxa"/>
      </w:tblCellMar>
    </w:tblPr>
  </w:style>
  <w:style w:type="table" w:styleId="907" w:customStyle="1">
    <w:name w:val="List Table 1 Light - Accent 3"/>
    <w:uiPriority w:val="99"/>
    <w:qFormat/>
    <w:tblPr>
      <w:tblCellMar>
        <w:left w:w="0" w:type="dxa"/>
        <w:top w:w="0" w:type="dxa"/>
        <w:right w:w="0" w:type="dxa"/>
        <w:bottom w:w="0" w:type="dxa"/>
      </w:tblCellMar>
    </w:tblPr>
  </w:style>
  <w:style w:type="table" w:styleId="908" w:customStyle="1">
    <w:name w:val="List Table 1 Light - Accent 4"/>
    <w:uiPriority w:val="99"/>
    <w:qFormat/>
    <w:tblPr>
      <w:tblCellMar>
        <w:left w:w="0" w:type="dxa"/>
        <w:top w:w="0" w:type="dxa"/>
        <w:right w:w="0" w:type="dxa"/>
        <w:bottom w:w="0" w:type="dxa"/>
      </w:tblCellMar>
    </w:tblPr>
  </w:style>
  <w:style w:type="table" w:styleId="909" w:customStyle="1">
    <w:name w:val="List Table 1 Light - Accent 5"/>
    <w:uiPriority w:val="99"/>
    <w:qFormat/>
    <w:tblPr>
      <w:tblCellMar>
        <w:left w:w="0" w:type="dxa"/>
        <w:top w:w="0" w:type="dxa"/>
        <w:right w:w="0" w:type="dxa"/>
        <w:bottom w:w="0" w:type="dxa"/>
      </w:tblCellMar>
    </w:tblPr>
  </w:style>
  <w:style w:type="table" w:styleId="910" w:customStyle="1">
    <w:name w:val="List Table 1 Light - Accent 6"/>
    <w:uiPriority w:val="99"/>
    <w:qFormat/>
    <w:tblPr>
      <w:tblCellMar>
        <w:left w:w="0" w:type="dxa"/>
        <w:top w:w="0" w:type="dxa"/>
        <w:right w:w="0" w:type="dxa"/>
        <w:bottom w:w="0" w:type="dxa"/>
      </w:tblCellMar>
    </w:tblPr>
  </w:style>
  <w:style w:type="table" w:styleId="911" w:customStyle="1">
    <w:name w:val="List Table 2 - Accent 1"/>
    <w:uiPriority w:val="99"/>
    <w:qFormat/>
    <w:tblPr>
      <w:tblCellMar>
        <w:left w:w="0" w:type="dxa"/>
        <w:top w:w="0" w:type="dxa"/>
        <w:right w:w="0" w:type="dxa"/>
        <w:bottom w:w="0" w:type="dxa"/>
      </w:tblCellMar>
    </w:tblPr>
  </w:style>
  <w:style w:type="table" w:styleId="912" w:customStyle="1">
    <w:name w:val="List Table 2 - Accent 2"/>
    <w:uiPriority w:val="99"/>
    <w:qFormat/>
    <w:tblPr>
      <w:tblCellMar>
        <w:left w:w="0" w:type="dxa"/>
        <w:top w:w="0" w:type="dxa"/>
        <w:right w:w="0" w:type="dxa"/>
        <w:bottom w:w="0" w:type="dxa"/>
      </w:tblCellMar>
    </w:tblPr>
  </w:style>
  <w:style w:type="table" w:styleId="913" w:customStyle="1">
    <w:name w:val="List Table 2 - Accent 3"/>
    <w:uiPriority w:val="99"/>
    <w:qFormat/>
    <w:tblPr>
      <w:tblCellMar>
        <w:left w:w="0" w:type="dxa"/>
        <w:top w:w="0" w:type="dxa"/>
        <w:right w:w="0" w:type="dxa"/>
        <w:bottom w:w="0" w:type="dxa"/>
      </w:tblCellMar>
    </w:tblPr>
  </w:style>
  <w:style w:type="table" w:styleId="914" w:customStyle="1">
    <w:name w:val="List Table 2 - Accent 4"/>
    <w:uiPriority w:val="99"/>
    <w:qFormat/>
    <w:tblPr>
      <w:tblCellMar>
        <w:left w:w="0" w:type="dxa"/>
        <w:top w:w="0" w:type="dxa"/>
        <w:right w:w="0" w:type="dxa"/>
        <w:bottom w:w="0" w:type="dxa"/>
      </w:tblCellMar>
    </w:tblPr>
  </w:style>
  <w:style w:type="table" w:styleId="915" w:customStyle="1">
    <w:name w:val="List Table 2 - Accent 5"/>
    <w:uiPriority w:val="99"/>
    <w:qFormat/>
    <w:tblPr>
      <w:tblCellMar>
        <w:left w:w="0" w:type="dxa"/>
        <w:top w:w="0" w:type="dxa"/>
        <w:right w:w="0" w:type="dxa"/>
        <w:bottom w:w="0" w:type="dxa"/>
      </w:tblCellMar>
    </w:tblPr>
  </w:style>
  <w:style w:type="table" w:styleId="916" w:customStyle="1">
    <w:name w:val="List Table 2 - Accent 6"/>
    <w:uiPriority w:val="99"/>
    <w:qFormat/>
    <w:tblPr>
      <w:tblCellMar>
        <w:left w:w="0" w:type="dxa"/>
        <w:top w:w="0" w:type="dxa"/>
        <w:right w:w="0" w:type="dxa"/>
        <w:bottom w:w="0" w:type="dxa"/>
      </w:tblCellMar>
    </w:tblPr>
  </w:style>
  <w:style w:type="table" w:styleId="917" w:customStyle="1">
    <w:name w:val="List Table 3 - Accent 1"/>
    <w:uiPriority w:val="99"/>
    <w:qFormat/>
    <w:tblPr>
      <w:tblCellMar>
        <w:left w:w="0" w:type="dxa"/>
        <w:top w:w="0" w:type="dxa"/>
        <w:right w:w="0" w:type="dxa"/>
        <w:bottom w:w="0" w:type="dxa"/>
      </w:tblCellMar>
    </w:tblPr>
  </w:style>
  <w:style w:type="table" w:styleId="918" w:customStyle="1">
    <w:name w:val="List Table 3 - Accent 2"/>
    <w:uiPriority w:val="99"/>
    <w:qFormat/>
    <w:tblPr>
      <w:tblCellMar>
        <w:left w:w="0" w:type="dxa"/>
        <w:top w:w="0" w:type="dxa"/>
        <w:right w:w="0" w:type="dxa"/>
        <w:bottom w:w="0" w:type="dxa"/>
      </w:tblCellMar>
    </w:tblPr>
  </w:style>
  <w:style w:type="table" w:styleId="919" w:customStyle="1">
    <w:name w:val="List Table 3 - Accent 3"/>
    <w:uiPriority w:val="99"/>
    <w:qFormat/>
    <w:tblPr>
      <w:tblCellMar>
        <w:left w:w="0" w:type="dxa"/>
        <w:top w:w="0" w:type="dxa"/>
        <w:right w:w="0" w:type="dxa"/>
        <w:bottom w:w="0" w:type="dxa"/>
      </w:tblCellMar>
    </w:tblPr>
  </w:style>
  <w:style w:type="table" w:styleId="920" w:customStyle="1">
    <w:name w:val="List Table 3 - Accent 4"/>
    <w:uiPriority w:val="99"/>
    <w:qFormat/>
    <w:tblPr>
      <w:tblCellMar>
        <w:left w:w="0" w:type="dxa"/>
        <w:top w:w="0" w:type="dxa"/>
        <w:right w:w="0" w:type="dxa"/>
        <w:bottom w:w="0" w:type="dxa"/>
      </w:tblCellMar>
    </w:tblPr>
  </w:style>
  <w:style w:type="table" w:styleId="921" w:customStyle="1">
    <w:name w:val="List Table 3 - Accent 5"/>
    <w:uiPriority w:val="99"/>
    <w:qFormat/>
    <w:tblPr>
      <w:tblCellMar>
        <w:left w:w="0" w:type="dxa"/>
        <w:top w:w="0" w:type="dxa"/>
        <w:right w:w="0" w:type="dxa"/>
        <w:bottom w:w="0" w:type="dxa"/>
      </w:tblCellMar>
    </w:tblPr>
  </w:style>
  <w:style w:type="table" w:styleId="922" w:customStyle="1">
    <w:name w:val="List Table 3 - Accent 6"/>
    <w:uiPriority w:val="99"/>
    <w:qFormat/>
    <w:tblPr>
      <w:tblCellMar>
        <w:left w:w="0" w:type="dxa"/>
        <w:top w:w="0" w:type="dxa"/>
        <w:right w:w="0" w:type="dxa"/>
        <w:bottom w:w="0" w:type="dxa"/>
      </w:tblCellMar>
    </w:tblPr>
  </w:style>
  <w:style w:type="table" w:styleId="923" w:customStyle="1">
    <w:name w:val="List Table 4 - Accent 1"/>
    <w:uiPriority w:val="99"/>
    <w:qFormat/>
    <w:tblPr>
      <w:tblCellMar>
        <w:left w:w="0" w:type="dxa"/>
        <w:top w:w="0" w:type="dxa"/>
        <w:right w:w="0" w:type="dxa"/>
        <w:bottom w:w="0" w:type="dxa"/>
      </w:tblCellMar>
    </w:tblPr>
  </w:style>
  <w:style w:type="table" w:styleId="924" w:customStyle="1">
    <w:name w:val="List Table 4 - Accent 2"/>
    <w:uiPriority w:val="99"/>
    <w:qFormat/>
    <w:tblPr>
      <w:tblCellMar>
        <w:left w:w="0" w:type="dxa"/>
        <w:top w:w="0" w:type="dxa"/>
        <w:right w:w="0" w:type="dxa"/>
        <w:bottom w:w="0" w:type="dxa"/>
      </w:tblCellMar>
    </w:tblPr>
  </w:style>
  <w:style w:type="table" w:styleId="925" w:customStyle="1">
    <w:name w:val="List Table 4 - Accent 3"/>
    <w:uiPriority w:val="99"/>
    <w:qFormat/>
    <w:tblPr>
      <w:tblCellMar>
        <w:left w:w="0" w:type="dxa"/>
        <w:top w:w="0" w:type="dxa"/>
        <w:right w:w="0" w:type="dxa"/>
        <w:bottom w:w="0" w:type="dxa"/>
      </w:tblCellMar>
    </w:tblPr>
  </w:style>
  <w:style w:type="table" w:styleId="926" w:customStyle="1">
    <w:name w:val="List Table 4 - Accent 4"/>
    <w:uiPriority w:val="99"/>
    <w:qFormat/>
    <w:tblPr>
      <w:tblCellMar>
        <w:left w:w="0" w:type="dxa"/>
        <w:top w:w="0" w:type="dxa"/>
        <w:right w:w="0" w:type="dxa"/>
        <w:bottom w:w="0" w:type="dxa"/>
      </w:tblCellMar>
    </w:tblPr>
  </w:style>
  <w:style w:type="table" w:styleId="927" w:customStyle="1">
    <w:name w:val="List Table 4 - Accent 5"/>
    <w:uiPriority w:val="99"/>
    <w:qFormat/>
    <w:tblPr>
      <w:tblCellMar>
        <w:left w:w="0" w:type="dxa"/>
        <w:top w:w="0" w:type="dxa"/>
        <w:right w:w="0" w:type="dxa"/>
        <w:bottom w:w="0" w:type="dxa"/>
      </w:tblCellMar>
    </w:tblPr>
  </w:style>
  <w:style w:type="table" w:styleId="928" w:customStyle="1">
    <w:name w:val="List Table 4 - Accent 6"/>
    <w:uiPriority w:val="99"/>
    <w:qFormat/>
    <w:tblPr>
      <w:tblCellMar>
        <w:left w:w="0" w:type="dxa"/>
        <w:top w:w="0" w:type="dxa"/>
        <w:right w:w="0" w:type="dxa"/>
        <w:bottom w:w="0" w:type="dxa"/>
      </w:tblCellMar>
    </w:tblPr>
  </w:style>
  <w:style w:type="table" w:styleId="929" w:customStyle="1">
    <w:name w:val="List Table 5 Dark - Accent 1"/>
    <w:uiPriority w:val="99"/>
    <w:qFormat/>
    <w:tblPr>
      <w:tblCellMar>
        <w:left w:w="0" w:type="dxa"/>
        <w:top w:w="0" w:type="dxa"/>
        <w:right w:w="0" w:type="dxa"/>
        <w:bottom w:w="0" w:type="dxa"/>
      </w:tblCellMar>
    </w:tblPr>
  </w:style>
  <w:style w:type="table" w:styleId="930" w:customStyle="1">
    <w:name w:val="List Table 5 Dark - Accent 2"/>
    <w:uiPriority w:val="99"/>
    <w:qFormat/>
    <w:tblPr>
      <w:tblCellMar>
        <w:left w:w="0" w:type="dxa"/>
        <w:top w:w="0" w:type="dxa"/>
        <w:right w:w="0" w:type="dxa"/>
        <w:bottom w:w="0" w:type="dxa"/>
      </w:tblCellMar>
    </w:tblPr>
  </w:style>
  <w:style w:type="table" w:styleId="931" w:customStyle="1">
    <w:name w:val="List Table 5 Dark - Accent 3"/>
    <w:uiPriority w:val="99"/>
    <w:qFormat/>
    <w:tblPr>
      <w:tblCellMar>
        <w:left w:w="0" w:type="dxa"/>
        <w:top w:w="0" w:type="dxa"/>
        <w:right w:w="0" w:type="dxa"/>
        <w:bottom w:w="0" w:type="dxa"/>
      </w:tblCellMar>
    </w:tblPr>
  </w:style>
  <w:style w:type="table" w:styleId="932" w:customStyle="1">
    <w:name w:val="List Table 5 Dark - Accent 4"/>
    <w:uiPriority w:val="99"/>
    <w:qFormat/>
    <w:tblPr>
      <w:tblCellMar>
        <w:left w:w="0" w:type="dxa"/>
        <w:top w:w="0" w:type="dxa"/>
        <w:right w:w="0" w:type="dxa"/>
        <w:bottom w:w="0" w:type="dxa"/>
      </w:tblCellMar>
    </w:tblPr>
  </w:style>
  <w:style w:type="table" w:styleId="933" w:customStyle="1">
    <w:name w:val="List Table 5 Dark - Accent 5"/>
    <w:uiPriority w:val="99"/>
    <w:qFormat/>
    <w:tblPr>
      <w:tblCellMar>
        <w:left w:w="0" w:type="dxa"/>
        <w:top w:w="0" w:type="dxa"/>
        <w:right w:w="0" w:type="dxa"/>
        <w:bottom w:w="0" w:type="dxa"/>
      </w:tblCellMar>
    </w:tblPr>
  </w:style>
  <w:style w:type="table" w:styleId="934" w:customStyle="1">
    <w:name w:val="List Table 5 Dark - Accent 6"/>
    <w:uiPriority w:val="99"/>
    <w:qFormat/>
    <w:tblPr>
      <w:tblCellMar>
        <w:left w:w="0" w:type="dxa"/>
        <w:top w:w="0" w:type="dxa"/>
        <w:right w:w="0" w:type="dxa"/>
        <w:bottom w:w="0" w:type="dxa"/>
      </w:tblCellMar>
    </w:tblPr>
  </w:style>
  <w:style w:type="table" w:styleId="935" w:customStyle="1">
    <w:name w:val="List Table 6 Colorful - Accent 1"/>
    <w:uiPriority w:val="99"/>
    <w:qFormat/>
    <w:tblPr>
      <w:tblCellMar>
        <w:left w:w="0" w:type="dxa"/>
        <w:top w:w="0" w:type="dxa"/>
        <w:right w:w="0" w:type="dxa"/>
        <w:bottom w:w="0" w:type="dxa"/>
      </w:tblCellMar>
    </w:tblPr>
  </w:style>
  <w:style w:type="table" w:styleId="936" w:customStyle="1">
    <w:name w:val="List Table 6 Colorful - Accent 2"/>
    <w:uiPriority w:val="99"/>
    <w:qFormat/>
    <w:tblPr>
      <w:tblCellMar>
        <w:left w:w="0" w:type="dxa"/>
        <w:top w:w="0" w:type="dxa"/>
        <w:right w:w="0" w:type="dxa"/>
        <w:bottom w:w="0" w:type="dxa"/>
      </w:tblCellMar>
    </w:tblPr>
  </w:style>
  <w:style w:type="table" w:styleId="937" w:customStyle="1">
    <w:name w:val="List Table 6 Colorful - Accent 3"/>
    <w:uiPriority w:val="99"/>
    <w:qFormat/>
    <w:tblPr>
      <w:tblCellMar>
        <w:left w:w="0" w:type="dxa"/>
        <w:top w:w="0" w:type="dxa"/>
        <w:right w:w="0" w:type="dxa"/>
        <w:bottom w:w="0" w:type="dxa"/>
      </w:tblCellMar>
    </w:tblPr>
  </w:style>
  <w:style w:type="table" w:styleId="938" w:customStyle="1">
    <w:name w:val="List Table 6 Colorful - Accent 4"/>
    <w:uiPriority w:val="99"/>
    <w:qFormat/>
    <w:tblPr>
      <w:tblCellMar>
        <w:left w:w="0" w:type="dxa"/>
        <w:top w:w="0" w:type="dxa"/>
        <w:right w:w="0" w:type="dxa"/>
        <w:bottom w:w="0" w:type="dxa"/>
      </w:tblCellMar>
    </w:tblPr>
  </w:style>
  <w:style w:type="table" w:styleId="939" w:customStyle="1">
    <w:name w:val="List Table 6 Colorful - Accent 5"/>
    <w:uiPriority w:val="99"/>
    <w:qFormat/>
    <w:tblPr>
      <w:tblCellMar>
        <w:left w:w="0" w:type="dxa"/>
        <w:top w:w="0" w:type="dxa"/>
        <w:right w:w="0" w:type="dxa"/>
        <w:bottom w:w="0" w:type="dxa"/>
      </w:tblCellMar>
    </w:tblPr>
  </w:style>
  <w:style w:type="table" w:styleId="940" w:customStyle="1">
    <w:name w:val="List Table 6 Colorful - Accent 6"/>
    <w:uiPriority w:val="99"/>
    <w:qFormat/>
    <w:tblPr>
      <w:tblCellMar>
        <w:left w:w="0" w:type="dxa"/>
        <w:top w:w="0" w:type="dxa"/>
        <w:right w:w="0" w:type="dxa"/>
        <w:bottom w:w="0" w:type="dxa"/>
      </w:tblCellMar>
    </w:tblPr>
  </w:style>
  <w:style w:type="table" w:styleId="941" w:customStyle="1">
    <w:name w:val="List Table 7 Colorful - Accent 1"/>
    <w:uiPriority w:val="99"/>
    <w:qFormat/>
    <w:tblPr>
      <w:tblCellMar>
        <w:left w:w="0" w:type="dxa"/>
        <w:top w:w="0" w:type="dxa"/>
        <w:right w:w="0" w:type="dxa"/>
        <w:bottom w:w="0" w:type="dxa"/>
      </w:tblCellMar>
    </w:tblPr>
  </w:style>
  <w:style w:type="table" w:styleId="942" w:customStyle="1">
    <w:name w:val="List Table 7 Colorful - Accent 2"/>
    <w:uiPriority w:val="99"/>
    <w:qFormat/>
    <w:tblPr>
      <w:tblCellMar>
        <w:left w:w="0" w:type="dxa"/>
        <w:top w:w="0" w:type="dxa"/>
        <w:right w:w="0" w:type="dxa"/>
        <w:bottom w:w="0" w:type="dxa"/>
      </w:tblCellMar>
    </w:tblPr>
  </w:style>
  <w:style w:type="table" w:styleId="943" w:customStyle="1">
    <w:name w:val="List Table 7 Colorful - Accent 3"/>
    <w:uiPriority w:val="99"/>
    <w:qFormat/>
    <w:tblPr>
      <w:tblCellMar>
        <w:left w:w="0" w:type="dxa"/>
        <w:top w:w="0" w:type="dxa"/>
        <w:right w:w="0" w:type="dxa"/>
        <w:bottom w:w="0" w:type="dxa"/>
      </w:tblCellMar>
    </w:tblPr>
  </w:style>
  <w:style w:type="table" w:styleId="944" w:customStyle="1">
    <w:name w:val="List Table 7 Colorful - Accent 4"/>
    <w:uiPriority w:val="99"/>
    <w:qFormat/>
    <w:tblPr>
      <w:tblCellMar>
        <w:left w:w="0" w:type="dxa"/>
        <w:top w:w="0" w:type="dxa"/>
        <w:right w:w="0" w:type="dxa"/>
        <w:bottom w:w="0" w:type="dxa"/>
      </w:tblCellMar>
    </w:tblPr>
  </w:style>
  <w:style w:type="table" w:styleId="945" w:customStyle="1">
    <w:name w:val="List Table 7 Colorful - Accent 5"/>
    <w:uiPriority w:val="99"/>
    <w:qFormat/>
    <w:tblPr>
      <w:tblCellMar>
        <w:left w:w="0" w:type="dxa"/>
        <w:top w:w="0" w:type="dxa"/>
        <w:right w:w="0" w:type="dxa"/>
        <w:bottom w:w="0" w:type="dxa"/>
      </w:tblCellMar>
    </w:tblPr>
  </w:style>
  <w:style w:type="table" w:styleId="946" w:customStyle="1">
    <w:name w:val="List Table 7 Colorful - Accent 6"/>
    <w:uiPriority w:val="99"/>
    <w:qFormat/>
    <w:tblPr>
      <w:tblCellMar>
        <w:left w:w="0" w:type="dxa"/>
        <w:top w:w="0" w:type="dxa"/>
        <w:right w:w="0" w:type="dxa"/>
        <w:bottom w:w="0" w:type="dxa"/>
      </w:tblCellMar>
    </w:tblPr>
  </w:style>
  <w:style w:type="table" w:styleId="947" w:customStyle="1">
    <w:name w:val="Lined - Accent"/>
    <w:uiPriority w:val="99"/>
    <w:qFormat/>
    <w:rPr>
      <w:color w:val="404040"/>
    </w:rPr>
    <w:tblPr>
      <w:tblCellMar>
        <w:left w:w="0" w:type="dxa"/>
        <w:top w:w="0" w:type="dxa"/>
        <w:right w:w="0" w:type="dxa"/>
        <w:bottom w:w="0" w:type="dxa"/>
      </w:tblCellMar>
    </w:tblPr>
  </w:style>
  <w:style w:type="table" w:styleId="948" w:customStyle="1">
    <w:name w:val="Lined - Accent 1"/>
    <w:uiPriority w:val="99"/>
    <w:qFormat/>
    <w:rPr>
      <w:color w:val="404040"/>
    </w:rPr>
    <w:tblPr>
      <w:tblCellMar>
        <w:left w:w="0" w:type="dxa"/>
        <w:top w:w="0" w:type="dxa"/>
        <w:right w:w="0" w:type="dxa"/>
        <w:bottom w:w="0" w:type="dxa"/>
      </w:tblCellMar>
    </w:tblPr>
  </w:style>
  <w:style w:type="table" w:styleId="949" w:customStyle="1">
    <w:name w:val="Lined - Accent 2"/>
    <w:uiPriority w:val="99"/>
    <w:qFormat/>
    <w:rPr>
      <w:color w:val="404040"/>
    </w:rPr>
    <w:tblPr>
      <w:tblCellMar>
        <w:left w:w="0" w:type="dxa"/>
        <w:top w:w="0" w:type="dxa"/>
        <w:right w:w="0" w:type="dxa"/>
        <w:bottom w:w="0" w:type="dxa"/>
      </w:tblCellMar>
    </w:tblPr>
  </w:style>
  <w:style w:type="table" w:styleId="950" w:customStyle="1">
    <w:name w:val="Lined - Accent 3"/>
    <w:uiPriority w:val="99"/>
    <w:qFormat/>
    <w:rPr>
      <w:color w:val="404040"/>
    </w:rPr>
    <w:tblPr>
      <w:tblCellMar>
        <w:left w:w="0" w:type="dxa"/>
        <w:top w:w="0" w:type="dxa"/>
        <w:right w:w="0" w:type="dxa"/>
        <w:bottom w:w="0" w:type="dxa"/>
      </w:tblCellMar>
    </w:tblPr>
  </w:style>
  <w:style w:type="table" w:styleId="951" w:customStyle="1">
    <w:name w:val="Lined - Accent 4"/>
    <w:uiPriority w:val="99"/>
    <w:qFormat/>
    <w:rPr>
      <w:color w:val="404040"/>
    </w:rPr>
    <w:tblPr>
      <w:tblCellMar>
        <w:left w:w="0" w:type="dxa"/>
        <w:top w:w="0" w:type="dxa"/>
        <w:right w:w="0" w:type="dxa"/>
        <w:bottom w:w="0" w:type="dxa"/>
      </w:tblCellMar>
    </w:tblPr>
  </w:style>
  <w:style w:type="table" w:styleId="952" w:customStyle="1">
    <w:name w:val="Lined - Accent 5"/>
    <w:uiPriority w:val="99"/>
    <w:qFormat/>
    <w:rPr>
      <w:color w:val="404040"/>
    </w:rPr>
    <w:tblPr>
      <w:tblCellMar>
        <w:left w:w="0" w:type="dxa"/>
        <w:top w:w="0" w:type="dxa"/>
        <w:right w:w="0" w:type="dxa"/>
        <w:bottom w:w="0" w:type="dxa"/>
      </w:tblCellMar>
    </w:tblPr>
  </w:style>
  <w:style w:type="table" w:styleId="953" w:customStyle="1">
    <w:name w:val="Lined - Accent 6"/>
    <w:uiPriority w:val="99"/>
    <w:qFormat/>
    <w:rPr>
      <w:color w:val="404040"/>
    </w:rPr>
    <w:tblPr>
      <w:tblCellMar>
        <w:left w:w="0" w:type="dxa"/>
        <w:top w:w="0" w:type="dxa"/>
        <w:right w:w="0" w:type="dxa"/>
        <w:bottom w:w="0" w:type="dxa"/>
      </w:tblCellMar>
    </w:tblPr>
  </w:style>
  <w:style w:type="table" w:styleId="954" w:customStyle="1">
    <w:name w:val="Bordered &amp; Lined - Accent"/>
    <w:uiPriority w:val="99"/>
    <w:qFormat/>
    <w:rPr>
      <w:color w:val="404040"/>
    </w:rPr>
    <w:tblPr>
      <w:tblCellMar>
        <w:left w:w="0" w:type="dxa"/>
        <w:top w:w="0" w:type="dxa"/>
        <w:right w:w="0" w:type="dxa"/>
        <w:bottom w:w="0" w:type="dxa"/>
      </w:tblCellMar>
    </w:tblPr>
  </w:style>
  <w:style w:type="table" w:styleId="955" w:customStyle="1">
    <w:name w:val="Bordered &amp; Lined - Accent 1"/>
    <w:uiPriority w:val="99"/>
    <w:qFormat/>
    <w:rPr>
      <w:color w:val="404040"/>
    </w:rPr>
    <w:tblPr>
      <w:tblCellMar>
        <w:left w:w="0" w:type="dxa"/>
        <w:top w:w="0" w:type="dxa"/>
        <w:right w:w="0" w:type="dxa"/>
        <w:bottom w:w="0" w:type="dxa"/>
      </w:tblCellMar>
    </w:tblPr>
  </w:style>
  <w:style w:type="table" w:styleId="956" w:customStyle="1">
    <w:name w:val="Bordered &amp; Lined - Accent 2"/>
    <w:uiPriority w:val="99"/>
    <w:qFormat/>
    <w:rPr>
      <w:color w:val="404040"/>
    </w:rPr>
    <w:tblPr>
      <w:tblCellMar>
        <w:left w:w="0" w:type="dxa"/>
        <w:top w:w="0" w:type="dxa"/>
        <w:right w:w="0" w:type="dxa"/>
        <w:bottom w:w="0" w:type="dxa"/>
      </w:tblCellMar>
    </w:tblPr>
  </w:style>
  <w:style w:type="table" w:styleId="957" w:customStyle="1">
    <w:name w:val="Bordered &amp; Lined - Accent 3"/>
    <w:uiPriority w:val="99"/>
    <w:qFormat/>
    <w:rPr>
      <w:color w:val="404040"/>
    </w:rPr>
    <w:tblPr>
      <w:tblCellMar>
        <w:left w:w="0" w:type="dxa"/>
        <w:top w:w="0" w:type="dxa"/>
        <w:right w:w="0" w:type="dxa"/>
        <w:bottom w:w="0" w:type="dxa"/>
      </w:tblCellMar>
    </w:tblPr>
  </w:style>
  <w:style w:type="table" w:styleId="958" w:customStyle="1">
    <w:name w:val="Bordered &amp; Lined - Accent 4"/>
    <w:uiPriority w:val="99"/>
    <w:qFormat/>
    <w:rPr>
      <w:color w:val="404040"/>
    </w:rPr>
    <w:tblPr>
      <w:tblCellMar>
        <w:left w:w="0" w:type="dxa"/>
        <w:top w:w="0" w:type="dxa"/>
        <w:right w:w="0" w:type="dxa"/>
        <w:bottom w:w="0" w:type="dxa"/>
      </w:tblCellMar>
    </w:tblPr>
  </w:style>
  <w:style w:type="table" w:styleId="959" w:customStyle="1">
    <w:name w:val="Bordered &amp; Lined - Accent 5"/>
    <w:uiPriority w:val="99"/>
    <w:qFormat/>
    <w:rPr>
      <w:color w:val="404040"/>
    </w:rPr>
    <w:tblPr>
      <w:tblCellMar>
        <w:left w:w="0" w:type="dxa"/>
        <w:top w:w="0" w:type="dxa"/>
        <w:right w:w="0" w:type="dxa"/>
        <w:bottom w:w="0" w:type="dxa"/>
      </w:tblCellMar>
    </w:tblPr>
  </w:style>
  <w:style w:type="table" w:styleId="960" w:customStyle="1">
    <w:name w:val="Bordered &amp; Lined - Accent 6"/>
    <w:uiPriority w:val="99"/>
    <w:qFormat/>
    <w:rPr>
      <w:color w:val="404040"/>
    </w:rPr>
    <w:tblPr>
      <w:tblCellMar>
        <w:left w:w="0" w:type="dxa"/>
        <w:top w:w="0" w:type="dxa"/>
        <w:right w:w="0" w:type="dxa"/>
        <w:bottom w:w="0" w:type="dxa"/>
      </w:tblCellMar>
    </w:tblPr>
  </w:style>
  <w:style w:type="table" w:styleId="961" w:customStyle="1">
    <w:name w:val="Bordered"/>
    <w:uiPriority w:val="99"/>
    <w:qFormat/>
    <w:tblPr>
      <w:tblCellMar>
        <w:left w:w="0" w:type="dxa"/>
        <w:top w:w="0" w:type="dxa"/>
        <w:right w:w="0" w:type="dxa"/>
        <w:bottom w:w="0" w:type="dxa"/>
      </w:tblCellMar>
    </w:tblPr>
  </w:style>
  <w:style w:type="table" w:styleId="962" w:customStyle="1">
    <w:name w:val="Bordered - Accent 1"/>
    <w:uiPriority w:val="99"/>
    <w:qFormat/>
    <w:tblPr>
      <w:tblCellMar>
        <w:left w:w="0" w:type="dxa"/>
        <w:top w:w="0" w:type="dxa"/>
        <w:right w:w="0" w:type="dxa"/>
        <w:bottom w:w="0" w:type="dxa"/>
      </w:tblCellMar>
    </w:tblPr>
  </w:style>
  <w:style w:type="table" w:styleId="963" w:customStyle="1">
    <w:name w:val="Bordered - Accent 2"/>
    <w:uiPriority w:val="99"/>
    <w:qFormat/>
    <w:tblPr>
      <w:tblCellMar>
        <w:left w:w="0" w:type="dxa"/>
        <w:top w:w="0" w:type="dxa"/>
        <w:right w:w="0" w:type="dxa"/>
        <w:bottom w:w="0" w:type="dxa"/>
      </w:tblCellMar>
    </w:tblPr>
  </w:style>
  <w:style w:type="table" w:styleId="964" w:customStyle="1">
    <w:name w:val="Bordered - Accent 3"/>
    <w:uiPriority w:val="99"/>
    <w:qFormat/>
    <w:tblPr>
      <w:tblCellMar>
        <w:left w:w="0" w:type="dxa"/>
        <w:top w:w="0" w:type="dxa"/>
        <w:right w:w="0" w:type="dxa"/>
        <w:bottom w:w="0" w:type="dxa"/>
      </w:tblCellMar>
    </w:tblPr>
  </w:style>
  <w:style w:type="table" w:styleId="965" w:customStyle="1">
    <w:name w:val="Bordered - Accent 4"/>
    <w:uiPriority w:val="99"/>
    <w:qFormat/>
    <w:tblPr>
      <w:tblCellMar>
        <w:left w:w="0" w:type="dxa"/>
        <w:top w:w="0" w:type="dxa"/>
        <w:right w:w="0" w:type="dxa"/>
        <w:bottom w:w="0" w:type="dxa"/>
      </w:tblCellMar>
    </w:tblPr>
  </w:style>
  <w:style w:type="table" w:styleId="966" w:customStyle="1">
    <w:name w:val="Bordered - Accent 5"/>
    <w:uiPriority w:val="99"/>
    <w:qFormat/>
    <w:tblPr>
      <w:tblCellMar>
        <w:left w:w="0" w:type="dxa"/>
        <w:top w:w="0" w:type="dxa"/>
        <w:right w:w="0" w:type="dxa"/>
        <w:bottom w:w="0" w:type="dxa"/>
      </w:tblCellMar>
    </w:tblPr>
  </w:style>
  <w:style w:type="table" w:styleId="967" w:customStyle="1">
    <w:name w:val="Bordered - Accent 6"/>
    <w:uiPriority w:val="99"/>
    <w:qFormat/>
    <w:tblPr>
      <w:tblCellMar>
        <w:left w:w="0" w:type="dxa"/>
        <w:top w:w="0" w:type="dxa"/>
        <w:right w:w="0" w:type="dxa"/>
        <w:bottom w:w="0" w:type="dxa"/>
      </w:tblCellMar>
    </w:tblPr>
  </w:style>
  <w:style w:type="paragraph" w:styleId="968" w:customStyle="1">
    <w:name w:val="标题 11"/>
    <w:basedOn w:val="969"/>
    <w:next w:val="756"/>
    <w:link w:val="971"/>
    <w:uiPriority w:val="0"/>
    <w:qFormat/>
    <w:pPr>
      <w:numPr>
        <w:ilvl w:val="0"/>
        <w:numId w:val="1"/>
      </w:numPr>
      <w:jc w:val="left"/>
      <w:keepNext/>
      <w:spacing w:line="300" w:lineRule="auto"/>
      <w:tabs>
        <w:tab w:val="left" w:pos="405" w:leader="none"/>
      </w:tabs>
    </w:pPr>
    <w:rPr>
      <w:rFonts w:ascii="Tahoma" w:hAnsi="Tahoma"/>
      <w:b w:val="0"/>
      <w:bCs w:val="0"/>
      <w:sz w:val="28"/>
      <w:szCs w:val="24"/>
    </w:rPr>
  </w:style>
  <w:style w:type="paragraph" w:styleId="969" w:customStyle="1">
    <w:name w:val="标题1"/>
    <w:basedOn w:val="756"/>
    <w:next w:val="756"/>
    <w:link w:val="970"/>
    <w:uiPriority w:val="0"/>
    <w:qFormat/>
    <w:pPr>
      <w:jc w:val="center"/>
      <w:spacing w:before="240" w:after="60"/>
      <w:outlineLvl w:val="0"/>
    </w:pPr>
    <w:rPr>
      <w:rFonts w:ascii="Cambria" w:hAnsi="Cambria"/>
      <w:b/>
      <w:bCs/>
      <w:sz w:val="32"/>
      <w:szCs w:val="32"/>
      <w:lang w:eastAsia="en-US"/>
    </w:rPr>
  </w:style>
  <w:style w:type="character" w:styleId="970" w:customStyle="1">
    <w:name w:val="标题 字符"/>
    <w:link w:val="969"/>
    <w:uiPriority w:val="0"/>
    <w:rPr>
      <w:rFonts w:ascii="Cambria" w:hAnsi="Cambria" w:eastAsia="宋体" w:cs="Times New Roman"/>
      <w:b/>
      <w:bCs/>
      <w:sz w:val="32"/>
      <w:szCs w:val="32"/>
      <w:lang w:eastAsia="en-US"/>
    </w:rPr>
  </w:style>
  <w:style w:type="character" w:styleId="971" w:customStyle="1">
    <w:name w:val="标题 1 字符"/>
    <w:link w:val="968"/>
    <w:uiPriority w:val="0"/>
    <w:qFormat/>
    <w:rPr>
      <w:rFonts w:ascii="Tahoma" w:hAnsi="Tahoma" w:eastAsia="宋体" w:cs="Times New Roman"/>
      <w:sz w:val="28"/>
      <w:szCs w:val="24"/>
      <w:lang w:eastAsia="en-US"/>
    </w:rPr>
  </w:style>
  <w:style w:type="paragraph" w:styleId="972" w:customStyle="1">
    <w:name w:val="标题 21"/>
    <w:basedOn w:val="756"/>
    <w:next w:val="756"/>
    <w:link w:val="973"/>
    <w:uiPriority w:val="0"/>
    <w:qFormat/>
    <w:pPr>
      <w:keepNext/>
      <w:spacing w:before="240" w:after="60"/>
      <w:outlineLvl w:val="1"/>
    </w:pPr>
    <w:rPr>
      <w:rFonts w:ascii="Arial" w:hAnsi="Arial"/>
      <w:b/>
      <w:bCs/>
      <w:i/>
      <w:iCs/>
      <w:sz w:val="28"/>
      <w:szCs w:val="28"/>
      <w:lang w:eastAsia="en-US"/>
    </w:rPr>
  </w:style>
  <w:style w:type="character" w:styleId="973" w:customStyle="1">
    <w:name w:val="标题 2 字符"/>
    <w:link w:val="972"/>
    <w:uiPriority w:val="0"/>
    <w:qFormat/>
    <w:rPr>
      <w:rFonts w:ascii="Arial" w:hAnsi="Arial" w:eastAsia="宋体" w:cs="Times New Roman"/>
      <w:b/>
      <w:bCs/>
      <w:i/>
      <w:iCs/>
      <w:sz w:val="28"/>
      <w:szCs w:val="28"/>
      <w:lang w:eastAsia="en-US"/>
    </w:rPr>
  </w:style>
  <w:style w:type="paragraph" w:styleId="974" w:customStyle="1">
    <w:name w:val="标题 31"/>
    <w:basedOn w:val="756"/>
    <w:next w:val="756"/>
    <w:link w:val="975"/>
    <w:uiPriority w:val="0"/>
    <w:qFormat/>
    <w:pPr>
      <w:ind w:left="720" w:hanging="720"/>
      <w:keepNext/>
      <w:spacing w:before="240" w:after="60"/>
      <w:tabs>
        <w:tab w:val="left" w:pos="720" w:leader="none"/>
      </w:tabs>
      <w:outlineLvl w:val="2"/>
    </w:pPr>
    <w:rPr>
      <w:rFonts w:ascii="Arial" w:hAnsi="Arial"/>
      <w:b/>
      <w:bCs/>
      <w:sz w:val="26"/>
      <w:szCs w:val="26"/>
      <w:lang w:eastAsia="en-US"/>
    </w:rPr>
  </w:style>
  <w:style w:type="character" w:styleId="975" w:customStyle="1">
    <w:name w:val="标题 3 字符"/>
    <w:link w:val="974"/>
    <w:uiPriority w:val="0"/>
    <w:qFormat/>
    <w:rPr>
      <w:rFonts w:ascii="Arial" w:hAnsi="Arial" w:eastAsia="宋体" w:cs="Times New Roman"/>
      <w:b/>
      <w:bCs/>
      <w:sz w:val="26"/>
      <w:szCs w:val="26"/>
      <w:lang w:eastAsia="en-US"/>
    </w:rPr>
  </w:style>
  <w:style w:type="paragraph" w:styleId="976" w:customStyle="1">
    <w:name w:val="标题 41"/>
    <w:basedOn w:val="756"/>
    <w:next w:val="756"/>
    <w:link w:val="977"/>
    <w:uiPriority w:val="0"/>
    <w:qFormat/>
    <w:pPr>
      <w:numPr>
        <w:ilvl w:val="0"/>
        <w:numId w:val="2"/>
      </w:numPr>
      <w:ind w:hanging="720"/>
      <w:jc w:val="left"/>
      <w:keepNext/>
      <w:spacing w:line="360" w:lineRule="auto"/>
      <w:tabs>
        <w:tab w:val="left" w:pos="180" w:leader="none"/>
        <w:tab w:val="left" w:pos="3085" w:leader="none"/>
      </w:tabs>
      <w:outlineLvl w:val="3"/>
    </w:pPr>
    <w:rPr>
      <w:rFonts w:ascii="宋体" w:hAnsi="宋体" w:cs="宋体"/>
      <w:b/>
      <w:bCs/>
      <w:sz w:val="24"/>
      <w:szCs w:val="20"/>
      <w:u w:val="single"/>
      <w:lang w:eastAsia="en-US"/>
    </w:rPr>
  </w:style>
  <w:style w:type="character" w:styleId="977" w:customStyle="1">
    <w:name w:val="标题 4 字符"/>
    <w:link w:val="976"/>
    <w:uiPriority w:val="0"/>
    <w:qFormat/>
    <w:rPr>
      <w:rFonts w:ascii="宋体" w:hAnsi="宋体" w:eastAsia="宋体" w:cs="宋体"/>
      <w:b/>
      <w:bCs/>
      <w:sz w:val="24"/>
      <w:szCs w:val="20"/>
      <w:u w:val="single"/>
      <w:lang w:eastAsia="en-US"/>
    </w:rPr>
  </w:style>
  <w:style w:type="paragraph" w:styleId="978" w:customStyle="1">
    <w:name w:val="标题 51"/>
    <w:basedOn w:val="756"/>
    <w:next w:val="756"/>
    <w:link w:val="979"/>
    <w:uiPriority w:val="0"/>
    <w:qFormat/>
    <w:pPr>
      <w:ind w:left="1008" w:hanging="1008"/>
      <w:spacing w:before="240" w:after="60"/>
      <w:tabs>
        <w:tab w:val="left" w:pos="1008" w:leader="none"/>
      </w:tabs>
      <w:outlineLvl w:val="4"/>
    </w:pPr>
    <w:rPr>
      <w:rFonts w:ascii="Tahoma" w:hAnsi="Tahoma"/>
      <w:b/>
      <w:bCs/>
      <w:i/>
      <w:iCs/>
      <w:sz w:val="26"/>
      <w:szCs w:val="26"/>
      <w:lang w:eastAsia="en-US"/>
    </w:rPr>
  </w:style>
  <w:style w:type="character" w:styleId="979" w:customStyle="1">
    <w:name w:val="标题 5 字符"/>
    <w:link w:val="978"/>
    <w:uiPriority w:val="0"/>
    <w:qFormat/>
    <w:rPr>
      <w:rFonts w:ascii="Tahoma" w:hAnsi="Tahoma" w:eastAsia="宋体" w:cs="Times New Roman"/>
      <w:b/>
      <w:bCs/>
      <w:i/>
      <w:iCs/>
      <w:sz w:val="26"/>
      <w:szCs w:val="26"/>
      <w:lang w:eastAsia="en-US"/>
    </w:rPr>
  </w:style>
  <w:style w:type="paragraph" w:styleId="980" w:customStyle="1">
    <w:name w:val="标题 61"/>
    <w:basedOn w:val="756"/>
    <w:next w:val="756"/>
    <w:link w:val="981"/>
    <w:uiPriority w:val="0"/>
    <w:qFormat/>
    <w:pPr>
      <w:ind w:left="1152" w:hanging="1152"/>
      <w:spacing w:before="240" w:after="60"/>
      <w:tabs>
        <w:tab w:val="left" w:pos="1152" w:leader="none"/>
      </w:tabs>
      <w:outlineLvl w:val="5"/>
    </w:pPr>
    <w:rPr>
      <w:rFonts w:ascii="Tahoma" w:hAnsi="Tahoma"/>
      <w:b/>
      <w:bCs/>
      <w:sz w:val="22"/>
      <w:lang w:eastAsia="en-US"/>
    </w:rPr>
  </w:style>
  <w:style w:type="character" w:styleId="981" w:customStyle="1">
    <w:name w:val="标题 6 字符"/>
    <w:link w:val="980"/>
    <w:uiPriority w:val="0"/>
    <w:qFormat/>
    <w:rPr>
      <w:rFonts w:ascii="Tahoma" w:hAnsi="Tahoma" w:eastAsia="宋体" w:cs="Times New Roman"/>
      <w:b/>
      <w:bCs/>
      <w:sz w:val="22"/>
      <w:lang w:eastAsia="en-US"/>
    </w:rPr>
  </w:style>
  <w:style w:type="paragraph" w:styleId="982" w:customStyle="1">
    <w:name w:val="标题 71"/>
    <w:basedOn w:val="756"/>
    <w:next w:val="756"/>
    <w:link w:val="983"/>
    <w:uiPriority w:val="0"/>
    <w:qFormat/>
    <w:pPr>
      <w:ind w:left="1296" w:hanging="1296"/>
      <w:spacing w:before="240" w:after="60"/>
      <w:tabs>
        <w:tab w:val="left" w:pos="1296" w:leader="none"/>
      </w:tabs>
      <w:outlineLvl w:val="6"/>
    </w:pPr>
    <w:rPr>
      <w:rFonts w:ascii="Tahoma" w:hAnsi="Tahoma"/>
      <w:sz w:val="24"/>
      <w:szCs w:val="24"/>
      <w:lang w:eastAsia="en-US"/>
    </w:rPr>
  </w:style>
  <w:style w:type="character" w:styleId="983" w:customStyle="1">
    <w:name w:val="标题 7 字符"/>
    <w:link w:val="982"/>
    <w:uiPriority w:val="0"/>
    <w:qFormat/>
    <w:rPr>
      <w:rFonts w:ascii="Tahoma" w:hAnsi="Tahoma" w:eastAsia="宋体" w:cs="Times New Roman"/>
      <w:sz w:val="24"/>
      <w:szCs w:val="24"/>
      <w:lang w:eastAsia="en-US"/>
    </w:rPr>
  </w:style>
  <w:style w:type="paragraph" w:styleId="984" w:customStyle="1">
    <w:name w:val="标题 81"/>
    <w:basedOn w:val="756"/>
    <w:next w:val="756"/>
    <w:link w:val="985"/>
    <w:uiPriority w:val="0"/>
    <w:qFormat/>
    <w:pPr>
      <w:ind w:left="1440" w:hanging="1440"/>
      <w:spacing w:before="240" w:after="60"/>
      <w:tabs>
        <w:tab w:val="left" w:pos="1440" w:leader="none"/>
      </w:tabs>
      <w:outlineLvl w:val="7"/>
    </w:pPr>
    <w:rPr>
      <w:rFonts w:ascii="Tahoma" w:hAnsi="Tahoma"/>
      <w:i/>
      <w:iCs/>
      <w:sz w:val="24"/>
      <w:szCs w:val="24"/>
      <w:lang w:eastAsia="en-US"/>
    </w:rPr>
  </w:style>
  <w:style w:type="character" w:styleId="985" w:customStyle="1">
    <w:name w:val="标题 8 字符"/>
    <w:link w:val="984"/>
    <w:uiPriority w:val="0"/>
    <w:qFormat/>
    <w:rPr>
      <w:rFonts w:ascii="Tahoma" w:hAnsi="Tahoma" w:eastAsia="宋体" w:cs="Times New Roman"/>
      <w:i/>
      <w:iCs/>
      <w:sz w:val="24"/>
      <w:szCs w:val="24"/>
      <w:lang w:eastAsia="en-US"/>
    </w:rPr>
  </w:style>
  <w:style w:type="paragraph" w:styleId="986" w:customStyle="1">
    <w:name w:val="标题 91"/>
    <w:basedOn w:val="756"/>
    <w:next w:val="756"/>
    <w:link w:val="987"/>
    <w:uiPriority w:val="0"/>
    <w:qFormat/>
    <w:pPr>
      <w:ind w:left="1584" w:hanging="1584"/>
      <w:spacing w:before="240" w:after="60"/>
      <w:tabs>
        <w:tab w:val="left" w:pos="1584" w:leader="none"/>
      </w:tabs>
      <w:outlineLvl w:val="8"/>
    </w:pPr>
    <w:rPr>
      <w:rFonts w:ascii="Arial" w:hAnsi="Arial"/>
      <w:sz w:val="22"/>
      <w:lang w:eastAsia="en-US"/>
    </w:rPr>
  </w:style>
  <w:style w:type="character" w:styleId="987" w:customStyle="1">
    <w:name w:val="标题 9 字符"/>
    <w:link w:val="986"/>
    <w:uiPriority w:val="0"/>
    <w:qFormat/>
    <w:rPr>
      <w:rFonts w:ascii="Arial" w:hAnsi="Arial" w:eastAsia="宋体" w:cs="Times New Roman"/>
      <w:sz w:val="22"/>
      <w:lang w:eastAsia="en-US"/>
    </w:rPr>
  </w:style>
  <w:style w:type="character" w:styleId="988" w:customStyle="1">
    <w:name w:val="默认段落字体1"/>
    <w:uiPriority w:val="1"/>
    <w:unhideWhenUsed/>
    <w:qFormat/>
  </w:style>
  <w:style w:type="table" w:styleId="989" w:customStyle="1">
    <w:name w:val="普通表格1"/>
    <w:uiPriority w:val="99"/>
    <w:unhideWhenUsed/>
    <w:qFormat/>
    <w:tblPr>
      <w:tblCellMar>
        <w:left w:w="0" w:type="dxa"/>
        <w:top w:w="0" w:type="dxa"/>
        <w:right w:w="0" w:type="dxa"/>
        <w:bottom w:w="0" w:type="dxa"/>
      </w:tblCellMar>
    </w:tblPr>
  </w:style>
  <w:style w:type="paragraph" w:styleId="990" w:customStyle="1">
    <w:name w:val="目录 71"/>
    <w:basedOn w:val="756"/>
    <w:next w:val="756"/>
    <w:uiPriority w:val="0"/>
    <w:qFormat/>
    <w:pPr>
      <w:ind w:left="2520"/>
    </w:pPr>
    <w:rPr>
      <w:rFonts w:ascii="宋体" w:hAnsi="宋体" w:eastAsia="楷体_GB2312" w:cs="宋体"/>
      <w:sz w:val="26"/>
      <w:szCs w:val="20"/>
      <w:lang w:eastAsia="en-US"/>
    </w:rPr>
  </w:style>
  <w:style w:type="paragraph" w:styleId="991" w:customStyle="1">
    <w:name w:val="正文缩进11"/>
    <w:basedOn w:val="756"/>
    <w:link w:val="992"/>
    <w:uiPriority w:val="0"/>
    <w:qFormat/>
    <w:pPr>
      <w:ind w:firstLine="420"/>
      <w:jc w:val="left"/>
    </w:pPr>
    <w:rPr>
      <w:rFonts w:eastAsia="楷体_GB2312"/>
      <w:sz w:val="24"/>
      <w:szCs w:val="20"/>
      <w:lang w:eastAsia="en-US"/>
    </w:rPr>
  </w:style>
  <w:style w:type="character" w:styleId="992" w:customStyle="1">
    <w:name w:val="正文缩进 字符"/>
    <w:link w:val="991"/>
    <w:uiPriority w:val="99"/>
    <w:qFormat/>
    <w:rPr>
      <w:rFonts w:ascii="Times New Roman" w:hAnsi="Times New Roman" w:eastAsia="楷体_GB2312" w:cs="Times New Roman"/>
      <w:sz w:val="24"/>
      <w:szCs w:val="20"/>
      <w:lang w:eastAsia="en-US"/>
    </w:rPr>
  </w:style>
  <w:style w:type="paragraph" w:styleId="993" w:customStyle="1">
    <w:name w:val="文档结构图1"/>
    <w:basedOn w:val="756"/>
    <w:link w:val="994"/>
    <w:uiPriority w:val="0"/>
    <w:qFormat/>
    <w:pPr>
      <w:shd w:val="clear" w:color="auto" w:fill="000080"/>
    </w:pPr>
    <w:rPr>
      <w:rFonts w:ascii="Tahoma" w:hAnsi="Tahoma"/>
      <w:szCs w:val="24"/>
      <w:lang w:eastAsia="en-US"/>
    </w:rPr>
  </w:style>
  <w:style w:type="character" w:styleId="994" w:customStyle="1">
    <w:name w:val="文档结构图 字符"/>
    <w:link w:val="993"/>
    <w:uiPriority w:val="0"/>
    <w:qFormat/>
    <w:rPr>
      <w:rFonts w:ascii="Tahoma" w:hAnsi="Tahoma" w:eastAsia="宋体" w:cs="Times New Roman"/>
      <w:szCs w:val="24"/>
      <w:shd w:val="clear" w:color="auto" w:fill="000080"/>
      <w:lang w:eastAsia="en-US"/>
    </w:rPr>
  </w:style>
  <w:style w:type="paragraph" w:styleId="995" w:customStyle="1">
    <w:name w:val="批注文字1"/>
    <w:basedOn w:val="756"/>
    <w:link w:val="996"/>
    <w:uiPriority w:val="0"/>
    <w:qFormat/>
    <w:pPr>
      <w:jc w:val="left"/>
    </w:pPr>
    <w:rPr>
      <w:szCs w:val="24"/>
      <w:lang w:eastAsia="en-US"/>
    </w:rPr>
  </w:style>
  <w:style w:type="character" w:styleId="996" w:customStyle="1">
    <w:name w:val="批注文字 字符"/>
    <w:link w:val="995"/>
    <w:uiPriority w:val="0"/>
    <w:qFormat/>
    <w:rPr>
      <w:rFonts w:ascii="Times New Roman" w:hAnsi="Times New Roman" w:eastAsia="宋体" w:cs="Times New Roman"/>
      <w:szCs w:val="24"/>
      <w:lang w:eastAsia="en-US"/>
    </w:rPr>
  </w:style>
  <w:style w:type="paragraph" w:styleId="997" w:customStyle="1">
    <w:name w:val="寄信人地址1"/>
    <w:basedOn w:val="756"/>
    <w:uiPriority w:val="0"/>
    <w:qFormat/>
    <w:rPr>
      <w:rFonts w:ascii="Arial" w:hAnsi="Arial"/>
    </w:rPr>
  </w:style>
  <w:style w:type="character" w:styleId="998" w:customStyle="1">
    <w:name w:val="正文文本缩进 字符"/>
    <w:link w:val="768"/>
    <w:uiPriority w:val="99"/>
    <w:qFormat/>
    <w:rPr>
      <w:rFonts w:ascii="方正仿宋简体" w:hAnsi="创艺简仿宋" w:eastAsia="方正仿宋简体" w:cs="Times New Roman"/>
      <w:sz w:val="24"/>
      <w:szCs w:val="20"/>
      <w:lang w:eastAsia="en-US"/>
    </w:rPr>
  </w:style>
  <w:style w:type="paragraph" w:styleId="999" w:customStyle="1">
    <w:name w:val="目录 31"/>
    <w:basedOn w:val="756"/>
    <w:next w:val="756"/>
    <w:uiPriority w:val="39"/>
    <w:qFormat/>
    <w:pPr>
      <w:ind w:left="840"/>
    </w:pPr>
    <w:rPr>
      <w:rFonts w:ascii="宋体" w:hAnsi="宋体" w:cs="宋体"/>
      <w:sz w:val="24"/>
      <w:szCs w:val="20"/>
      <w:lang w:eastAsia="en-US"/>
    </w:rPr>
  </w:style>
  <w:style w:type="paragraph" w:styleId="1000" w:customStyle="1">
    <w:name w:val="纯文本11"/>
    <w:basedOn w:val="756"/>
    <w:link w:val="1001"/>
    <w:uiPriority w:val="0"/>
    <w:qFormat/>
    <w:rPr>
      <w:rFonts w:ascii="宋体" w:hAnsi="Courier New"/>
      <w:szCs w:val="20"/>
      <w:lang w:eastAsia="en-US"/>
    </w:rPr>
  </w:style>
  <w:style w:type="character" w:styleId="1001" w:customStyle="1">
    <w:name w:val="纯文本 字符"/>
    <w:link w:val="1000"/>
    <w:uiPriority w:val="0"/>
    <w:qFormat/>
    <w:rPr>
      <w:rFonts w:ascii="宋体" w:hAnsi="Courier New" w:eastAsia="宋体" w:cs="Times New Roman"/>
      <w:szCs w:val="20"/>
      <w:lang w:eastAsia="en-US"/>
    </w:rPr>
  </w:style>
  <w:style w:type="paragraph" w:styleId="1002" w:customStyle="1">
    <w:name w:val="日期1"/>
    <w:basedOn w:val="756"/>
    <w:next w:val="756"/>
    <w:link w:val="1003"/>
    <w:uiPriority w:val="0"/>
    <w:qFormat/>
    <w:rPr>
      <w:rFonts w:ascii="宋体" w:hAnsi="宋体" w:eastAsia="楷体_GB2312"/>
      <w:sz w:val="24"/>
      <w:szCs w:val="20"/>
    </w:rPr>
  </w:style>
  <w:style w:type="character" w:styleId="1003" w:customStyle="1">
    <w:name w:val="日期 字符"/>
    <w:link w:val="1002"/>
    <w:uiPriority w:val="0"/>
    <w:qFormat/>
    <w:rPr>
      <w:rFonts w:ascii="宋体" w:hAnsi="宋体" w:eastAsia="楷体_GB2312" w:cs="Times New Roman"/>
      <w:sz w:val="24"/>
      <w:szCs w:val="20"/>
    </w:rPr>
  </w:style>
  <w:style w:type="paragraph" w:styleId="1004" w:customStyle="1">
    <w:name w:val="正文文本缩进 21"/>
    <w:basedOn w:val="756"/>
    <w:link w:val="1005"/>
    <w:uiPriority w:val="0"/>
    <w:qFormat/>
    <w:pPr>
      <w:ind w:firstLine="540"/>
      <w:spacing w:line="360" w:lineRule="auto"/>
    </w:pPr>
    <w:rPr>
      <w:rFonts w:ascii="宋体" w:hAnsi="宋体"/>
      <w:sz w:val="24"/>
      <w:szCs w:val="24"/>
    </w:rPr>
  </w:style>
  <w:style w:type="character" w:styleId="1005" w:customStyle="1">
    <w:name w:val="正文文本缩进 2 字符"/>
    <w:link w:val="1004"/>
    <w:uiPriority w:val="0"/>
    <w:qFormat/>
    <w:rPr>
      <w:rFonts w:ascii="宋体" w:hAnsi="宋体" w:eastAsia="宋体" w:cs="Times New Roman"/>
      <w:sz w:val="24"/>
      <w:szCs w:val="24"/>
    </w:rPr>
  </w:style>
  <w:style w:type="paragraph" w:styleId="1006" w:customStyle="1">
    <w:name w:val="批注框文本1"/>
    <w:basedOn w:val="756"/>
    <w:link w:val="1007"/>
    <w:uiPriority w:val="0"/>
    <w:qFormat/>
    <w:rPr>
      <w:rFonts w:ascii="Tahoma" w:hAnsi="Tahoma"/>
      <w:sz w:val="18"/>
      <w:szCs w:val="18"/>
    </w:rPr>
  </w:style>
  <w:style w:type="character" w:styleId="1007" w:customStyle="1">
    <w:name w:val="批注框文本 字符"/>
    <w:link w:val="1006"/>
    <w:uiPriority w:val="99"/>
    <w:qFormat/>
    <w:rPr>
      <w:rFonts w:ascii="Tahoma" w:hAnsi="Tahoma" w:eastAsia="宋体" w:cs="Times New Roman"/>
      <w:sz w:val="18"/>
      <w:szCs w:val="18"/>
    </w:rPr>
  </w:style>
  <w:style w:type="paragraph" w:styleId="1008" w:customStyle="1">
    <w:name w:val="页脚1"/>
    <w:basedOn w:val="756"/>
    <w:link w:val="1009"/>
    <w:uiPriority w:val="99"/>
    <w:qFormat/>
    <w:pPr>
      <w:jc w:val="left"/>
      <w:tabs>
        <w:tab w:val="center" w:pos="4153" w:leader="none"/>
        <w:tab w:val="right" w:pos="8306" w:leader="none"/>
      </w:tabs>
    </w:pPr>
    <w:rPr>
      <w:rFonts w:ascii="Tahoma" w:hAnsi="Tahoma"/>
      <w:sz w:val="18"/>
      <w:szCs w:val="18"/>
      <w:lang w:eastAsia="en-US"/>
    </w:rPr>
  </w:style>
  <w:style w:type="character" w:styleId="1009" w:customStyle="1">
    <w:name w:val="页脚 字符"/>
    <w:link w:val="1008"/>
    <w:uiPriority w:val="99"/>
    <w:qFormat/>
    <w:rPr>
      <w:rFonts w:ascii="Tahoma" w:hAnsi="Tahoma" w:eastAsia="宋体" w:cs="Times New Roman"/>
      <w:sz w:val="18"/>
      <w:szCs w:val="18"/>
      <w:lang w:eastAsia="en-US"/>
    </w:rPr>
  </w:style>
  <w:style w:type="paragraph" w:styleId="1010" w:customStyle="1">
    <w:name w:val="页眉1"/>
    <w:basedOn w:val="756"/>
    <w:link w:val="1011"/>
    <w:uiPriority w:val="0"/>
    <w:qFormat/>
    <w:pPr>
      <w:jc w:val="center"/>
      <w:tabs>
        <w:tab w:val="center" w:pos="4153" w:leader="none"/>
        <w:tab w:val="right" w:pos="8306" w:leader="none"/>
      </w:tabs>
    </w:pPr>
    <w:rPr>
      <w:rFonts w:ascii="Tahoma" w:hAnsi="Tahoma" w:eastAsia="楷体_GB2312"/>
      <w:sz w:val="18"/>
      <w:szCs w:val="20"/>
      <w:lang w:eastAsia="en-US"/>
    </w:rPr>
  </w:style>
  <w:style w:type="character" w:styleId="1011" w:customStyle="1">
    <w:name w:val="页眉 字符"/>
    <w:link w:val="1010"/>
    <w:uiPriority w:val="0"/>
    <w:qFormat/>
    <w:rPr>
      <w:rFonts w:ascii="Tahoma" w:hAnsi="Tahoma" w:eastAsia="楷体_GB2312"/>
      <w:sz w:val="18"/>
      <w:lang w:eastAsia="en-US"/>
    </w:rPr>
  </w:style>
  <w:style w:type="paragraph" w:styleId="1012" w:customStyle="1">
    <w:name w:val="目录 11"/>
    <w:basedOn w:val="756"/>
    <w:next w:val="756"/>
    <w:uiPriority w:val="0"/>
    <w:qFormat/>
    <w:pPr>
      <w:jc w:val="left"/>
    </w:pPr>
    <w:rPr>
      <w:rFonts w:ascii="宋体" w:hAnsi="宋体" w:eastAsia="楷体_GB2312" w:cs="宋体"/>
      <w:sz w:val="24"/>
      <w:szCs w:val="20"/>
      <w:lang w:eastAsia="en-US"/>
    </w:rPr>
  </w:style>
  <w:style w:type="paragraph" w:styleId="1013" w:customStyle="1">
    <w:name w:val="目录 41"/>
    <w:basedOn w:val="756"/>
    <w:next w:val="756"/>
    <w:uiPriority w:val="39"/>
    <w:qFormat/>
    <w:pPr>
      <w:ind w:left="1260"/>
    </w:pPr>
    <w:rPr>
      <w:rFonts w:ascii="宋体" w:hAnsi="宋体" w:cs="宋体"/>
      <w:sz w:val="24"/>
      <w:szCs w:val="20"/>
      <w:lang w:eastAsia="en-US"/>
    </w:rPr>
  </w:style>
  <w:style w:type="paragraph" w:styleId="1014" w:customStyle="1">
    <w:name w:val="正文文本缩进 31"/>
    <w:basedOn w:val="756"/>
    <w:link w:val="1015"/>
    <w:uiPriority w:val="0"/>
    <w:qFormat/>
    <w:pPr>
      <w:ind w:left="360"/>
      <w:spacing w:line="360" w:lineRule="auto"/>
    </w:pPr>
    <w:rPr>
      <w:rFonts w:ascii="仿宋_GB2312" w:hAnsi="宋体" w:eastAsia="仿宋_GB2312" w:cs="宋体"/>
      <w:color w:val="ff0000"/>
      <w:sz w:val="24"/>
      <w:szCs w:val="20"/>
      <w:lang w:eastAsia="en-US"/>
    </w:rPr>
  </w:style>
  <w:style w:type="character" w:styleId="1015" w:customStyle="1">
    <w:name w:val="正文文本缩进 3 字符"/>
    <w:link w:val="1014"/>
    <w:uiPriority w:val="0"/>
    <w:qFormat/>
    <w:rPr>
      <w:rFonts w:ascii="仿宋_GB2312" w:hAnsi="宋体" w:eastAsia="仿宋_GB2312" w:cs="宋体"/>
      <w:color w:val="ff0000"/>
      <w:sz w:val="24"/>
      <w:szCs w:val="20"/>
      <w:lang w:eastAsia="en-US"/>
    </w:rPr>
  </w:style>
  <w:style w:type="paragraph" w:styleId="1016" w:customStyle="1">
    <w:name w:val="目录 21"/>
    <w:basedOn w:val="756"/>
    <w:next w:val="756"/>
    <w:uiPriority w:val="39"/>
    <w:qFormat/>
    <w:pPr>
      <w:ind w:left="420"/>
    </w:pPr>
    <w:rPr>
      <w:rFonts w:ascii="宋体" w:hAnsi="宋体" w:cs="宋体"/>
      <w:sz w:val="24"/>
      <w:szCs w:val="20"/>
      <w:lang w:eastAsia="en-US"/>
    </w:rPr>
  </w:style>
  <w:style w:type="paragraph" w:styleId="1017" w:customStyle="1">
    <w:name w:val="正文文本 21"/>
    <w:basedOn w:val="756"/>
    <w:link w:val="1018"/>
    <w:uiPriority w:val="0"/>
    <w:qFormat/>
    <w:rPr>
      <w:rFonts w:ascii="仿宋_GB2312" w:hAnsi="宋体" w:eastAsia="仿宋_GB2312"/>
      <w:bCs/>
      <w:spacing w:val="20"/>
      <w:sz w:val="24"/>
      <w:szCs w:val="20"/>
      <w:lang w:eastAsia="en-US"/>
    </w:rPr>
  </w:style>
  <w:style w:type="character" w:styleId="1018" w:customStyle="1">
    <w:name w:val="正文文本 2 字符"/>
    <w:link w:val="1017"/>
    <w:uiPriority w:val="0"/>
    <w:qFormat/>
    <w:rPr>
      <w:rFonts w:ascii="仿宋_GB2312" w:hAnsi="宋体" w:eastAsia="仿宋_GB2312" w:cs="Times New Roman"/>
      <w:bCs/>
      <w:spacing w:val="20"/>
      <w:sz w:val="24"/>
      <w:szCs w:val="20"/>
      <w:lang w:eastAsia="en-US"/>
    </w:rPr>
  </w:style>
  <w:style w:type="paragraph" w:styleId="1019" w:customStyle="1">
    <w:name w:val="HTML 预设格式1"/>
    <w:basedOn w:val="756"/>
    <w:link w:val="10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4"/>
      <w:szCs w:val="20"/>
      <w:lang w:eastAsia="en-US"/>
    </w:rPr>
  </w:style>
  <w:style w:type="character" w:styleId="1020" w:customStyle="1">
    <w:name w:val="HTML 预设格式 字符"/>
    <w:link w:val="1019"/>
    <w:uiPriority w:val="0"/>
    <w:qFormat/>
    <w:rPr>
      <w:rFonts w:ascii="Arial Unicode MS" w:hAnsi="Arial Unicode MS" w:eastAsia="Arial Unicode MS" w:cs="Times New Roman"/>
      <w:sz w:val="24"/>
      <w:szCs w:val="20"/>
      <w:lang w:eastAsia="en-US"/>
    </w:rPr>
  </w:style>
  <w:style w:type="paragraph" w:styleId="1021" w:customStyle="1">
    <w:name w:val="普通(网站)1"/>
    <w:basedOn w:val="756"/>
    <w:uiPriority w:val="0"/>
    <w:qFormat/>
    <w:pPr>
      <w:jc w:val="left"/>
      <w:spacing w:before="100" w:beforeAutospacing="1" w:after="100" w:afterAutospacing="1"/>
    </w:pPr>
    <w:rPr>
      <w:rFonts w:ascii="宋体" w:hAnsi="宋体"/>
      <w:sz w:val="24"/>
      <w:szCs w:val="20"/>
    </w:rPr>
  </w:style>
  <w:style w:type="paragraph" w:styleId="1022" w:customStyle="1">
    <w:name w:val="批注主题1"/>
    <w:basedOn w:val="995"/>
    <w:next w:val="995"/>
    <w:link w:val="1023"/>
    <w:uiPriority w:val="0"/>
    <w:qFormat/>
    <w:rPr>
      <w:rFonts w:ascii="宋体" w:hAnsi="Courier New"/>
    </w:rPr>
  </w:style>
  <w:style w:type="character" w:styleId="1023" w:customStyle="1">
    <w:name w:val="批注主题 字符"/>
    <w:link w:val="1022"/>
    <w:uiPriority w:val="0"/>
    <w:qFormat/>
    <w:rPr>
      <w:rFonts w:ascii="宋体" w:hAnsi="Courier New" w:eastAsia="宋体" w:cs="Times New Roman"/>
      <w:szCs w:val="24"/>
      <w:lang w:eastAsia="en-US"/>
    </w:rPr>
  </w:style>
  <w:style w:type="paragraph" w:styleId="1024" w:customStyle="1">
    <w:name w:val="正文首行缩进1"/>
    <w:basedOn w:val="795"/>
    <w:link w:val="1025"/>
    <w:uiPriority w:val="0"/>
    <w:qFormat/>
    <w:pPr>
      <w:ind w:firstLine="420"/>
      <w:jc w:val="both"/>
      <w:spacing w:after="120"/>
    </w:pPr>
    <w:rPr>
      <w:rFonts w:ascii="Times New Roman" w:eastAsia="楷体_GB2312"/>
      <w:position w:val="0"/>
      <w:sz w:val="26"/>
    </w:rPr>
  </w:style>
  <w:style w:type="character" w:styleId="1025" w:customStyle="1">
    <w:name w:val="正文文本首行缩进 字符"/>
    <w:link w:val="1024"/>
    <w:uiPriority w:val="0"/>
    <w:qFormat/>
    <w:rPr>
      <w:rFonts w:ascii="Times New Roman" w:hAnsi="Tahoma" w:eastAsia="楷体_GB2312" w:cs="Times New Roman"/>
      <w:position w:val="6"/>
      <w:sz w:val="26"/>
      <w:szCs w:val="20"/>
      <w:lang w:eastAsia="en-US"/>
    </w:rPr>
  </w:style>
  <w:style w:type="paragraph" w:styleId="1026" w:customStyle="1">
    <w:name w:val="正文首行缩进 21"/>
    <w:basedOn w:val="768"/>
    <w:link w:val="1027"/>
    <w:uiPriority w:val="0"/>
    <w:qFormat/>
    <w:pPr>
      <w:ind w:firstLine="420"/>
    </w:pPr>
  </w:style>
  <w:style w:type="character" w:styleId="1027" w:customStyle="1">
    <w:name w:val="正文文本首行缩进 2 字符"/>
    <w:link w:val="1026"/>
    <w:uiPriority w:val="0"/>
    <w:qFormat/>
    <w:rPr>
      <w:lang w:eastAsia="en-US"/>
    </w:rPr>
  </w:style>
  <w:style w:type="table" w:styleId="1028" w:customStyle="1">
    <w:name w:val="网格型1"/>
    <w:basedOn w:val="989"/>
    <w:uiPriority w:val="99"/>
    <w:unhideWhenUsed/>
    <w:qFormat/>
    <w:pPr>
      <w:jc w:val="both"/>
      <w:widowControl w:val="off"/>
    </w:pPr>
    <w:tblPr/>
  </w:style>
  <w:style w:type="character" w:styleId="1029" w:customStyle="1">
    <w:name w:val="要点1"/>
    <w:uiPriority w:val="0"/>
    <w:qFormat/>
    <w:rPr>
      <w:rFonts w:ascii="Calibri" w:hAnsi="Calibri" w:eastAsia="宋体" w:cs="Times New Roman"/>
      <w:b/>
    </w:rPr>
  </w:style>
  <w:style w:type="character" w:styleId="1030" w:customStyle="1">
    <w:name w:val="页码1"/>
    <w:uiPriority w:val="0"/>
    <w:qFormat/>
  </w:style>
  <w:style w:type="character" w:styleId="1031" w:customStyle="1">
    <w:name w:val="已访问的超链接1"/>
    <w:uiPriority w:val="99"/>
    <w:qFormat/>
    <w:rPr>
      <w:rFonts w:ascii="Tahoma" w:hAnsi="Tahoma" w:eastAsia="宋体"/>
      <w:color w:val="585858"/>
      <w:sz w:val="24"/>
      <w:u w:val="none"/>
    </w:rPr>
  </w:style>
  <w:style w:type="character" w:styleId="1032" w:customStyle="1">
    <w:name w:val="强调1"/>
    <w:uiPriority w:val="0"/>
    <w:qFormat/>
    <w:rPr>
      <w:rFonts w:ascii="Tahoma" w:hAnsi="Tahoma" w:eastAsia="宋体"/>
      <w:sz w:val="24"/>
    </w:rPr>
  </w:style>
  <w:style w:type="character" w:styleId="1033" w:customStyle="1">
    <w:name w:val="超链接1"/>
    <w:uiPriority w:val="99"/>
    <w:qFormat/>
    <w:rPr>
      <w:rFonts w:ascii="Tahoma" w:hAnsi="Tahoma" w:eastAsia="宋体"/>
      <w:color w:val="000000"/>
      <w:sz w:val="24"/>
      <w:u w:val="none"/>
    </w:rPr>
  </w:style>
  <w:style w:type="character" w:styleId="1034" w:customStyle="1">
    <w:name w:val="批注引用1"/>
    <w:uiPriority w:val="0"/>
    <w:qFormat/>
    <w:rPr>
      <w:rFonts w:ascii="Tahoma" w:hAnsi="Tahoma" w:eastAsia="宋体"/>
      <w:sz w:val="21"/>
      <w:szCs w:val="21"/>
    </w:rPr>
  </w:style>
  <w:style w:type="character" w:styleId="1035" w:customStyle="1">
    <w:name w:val="脚注引用1"/>
    <w:uiPriority w:val="0"/>
    <w:semiHidden/>
    <w:qFormat/>
    <w:rPr>
      <w:rFonts w:ascii="Tahoma" w:hAnsi="Tahoma" w:eastAsia="宋体"/>
      <w:sz w:val="24"/>
      <w:vertAlign w:val="superscript"/>
    </w:rPr>
  </w:style>
  <w:style w:type="paragraph" w:styleId="1036" w:customStyle="1">
    <w:name w:val="段"/>
    <w:next w:val="756"/>
    <w:uiPriority w:val="0"/>
    <w:qFormat/>
    <w:pPr>
      <w:ind w:firstLine="200"/>
      <w:jc w:val="both"/>
    </w:pPr>
    <w:rPr>
      <w:rFonts w:ascii="宋体" w:hAnsi="Times New Roman" w:eastAsia="宋体" w:cs="Times New Roman"/>
      <w:sz w:val="21"/>
      <w:lang w:val="en-US" w:eastAsia="zh-CN" w:bidi="ar-SA"/>
    </w:rPr>
  </w:style>
  <w:style w:type="paragraph" w:styleId="1037" w:customStyle="1">
    <w:name w:val="Table Paragraph"/>
    <w:basedOn w:val="756"/>
    <w:uiPriority w:val="1"/>
    <w:qFormat/>
    <w:pPr>
      <w:jc w:val="left"/>
    </w:pPr>
    <w:rPr>
      <w:rFonts w:ascii="宋体" w:hAnsi="宋体" w:cs="宋体"/>
      <w:sz w:val="22"/>
      <w:szCs w:val="21"/>
      <w:lang w:val="zh-CN" w:bidi="zh-CN"/>
    </w:rPr>
  </w:style>
  <w:style w:type="paragraph" w:styleId="1038" w:customStyle="1">
    <w:name w:val="纯文本7"/>
    <w:basedOn w:val="756"/>
    <w:uiPriority w:val="0"/>
    <w:qFormat/>
    <w:rPr>
      <w:rFonts w:hint="eastAsia" w:ascii="宋体" w:hAnsi="Courier New" w:eastAsia="楷体_GB2312"/>
      <w:sz w:val="28"/>
      <w:szCs w:val="20"/>
    </w:rPr>
  </w:style>
  <w:style w:type="character" w:styleId="1039" w:customStyle="1">
    <w:name w:val="z-窗体底端 字符"/>
    <w:link w:val="1040"/>
    <w:uiPriority w:val="99"/>
    <w:qFormat/>
    <w:rPr>
      <w:rFonts w:ascii="Arial" w:hAnsi="Arial" w:eastAsia="宋体" w:cs="Arial"/>
      <w:vanish/>
      <w:sz w:val="16"/>
      <w:szCs w:val="16"/>
    </w:rPr>
  </w:style>
  <w:style w:type="paragraph" w:styleId="1040" w:customStyle="1">
    <w:name w:val="z-窗体底端1"/>
    <w:basedOn w:val="756"/>
    <w:next w:val="756"/>
    <w:link w:val="1039"/>
    <w:uiPriority w:val="99"/>
    <w:unhideWhenUsed/>
    <w:qFormat/>
    <w:pPr>
      <w:jc w:val="center"/>
      <w:widowControl/>
      <w:pBdr>
        <w:top w:val="single" w:color="000000" w:sz="6" w:space="1"/>
      </w:pBdr>
    </w:pPr>
    <w:rPr>
      <w:rFonts w:ascii="Arial" w:hAnsi="Arial" w:cs="Arial"/>
      <w:vanish/>
      <w:sz w:val="16"/>
      <w:szCs w:val="16"/>
    </w:rPr>
  </w:style>
  <w:style w:type="character" w:styleId="1041" w:customStyle="1">
    <w:name w:val="z-窗体底端 Char1"/>
    <w:uiPriority w:val="99"/>
    <w:semiHidden/>
    <w:qFormat/>
    <w:rPr>
      <w:rFonts w:ascii="Arial" w:hAnsi="Arial" w:cs="Arial"/>
      <w:vanish/>
      <w:sz w:val="16"/>
      <w:szCs w:val="16"/>
    </w:rPr>
  </w:style>
  <w:style w:type="character" w:styleId="1042" w:customStyle="1">
    <w:name w:val="15"/>
    <w:uiPriority w:val="0"/>
    <w:qFormat/>
    <w:rPr>
      <w:rFonts w:ascii="Tahoma" w:hAnsi="Tahoma" w:eastAsia="宋体" w:cs="Tahoma"/>
      <w:sz w:val="24"/>
      <w:szCs w:val="24"/>
    </w:rPr>
  </w:style>
  <w:style w:type="character" w:styleId="1043" w:customStyle="1">
    <w:name w:val="10"/>
    <w:uiPriority w:val="0"/>
    <w:qFormat/>
    <w:rPr>
      <w:rFonts w:ascii="Tahoma" w:hAnsi="Tahoma" w:eastAsia="宋体" w:cs="Tahoma"/>
      <w:sz w:val="24"/>
      <w:szCs w:val="24"/>
    </w:rPr>
  </w:style>
  <w:style w:type="character" w:styleId="1044" w:customStyle="1">
    <w:name w:val="z-窗体顶端 字符"/>
    <w:link w:val="1045"/>
    <w:uiPriority w:val="99"/>
    <w:qFormat/>
    <w:rPr>
      <w:rFonts w:ascii="Arial" w:hAnsi="Arial" w:eastAsia="宋体" w:cs="Arial"/>
      <w:vanish/>
      <w:sz w:val="16"/>
      <w:szCs w:val="16"/>
    </w:rPr>
  </w:style>
  <w:style w:type="paragraph" w:styleId="1045" w:customStyle="1">
    <w:name w:val="z-窗体顶端1"/>
    <w:basedOn w:val="756"/>
    <w:next w:val="756"/>
    <w:link w:val="1044"/>
    <w:uiPriority w:val="99"/>
    <w:unhideWhenUsed/>
    <w:qFormat/>
    <w:pPr>
      <w:jc w:val="center"/>
      <w:widowControl/>
      <w:pBdr>
        <w:bottom w:val="single" w:color="000000" w:sz="6" w:space="1"/>
      </w:pBdr>
    </w:pPr>
    <w:rPr>
      <w:rFonts w:ascii="Arial" w:hAnsi="Arial" w:cs="Arial"/>
      <w:vanish/>
      <w:sz w:val="16"/>
      <w:szCs w:val="16"/>
    </w:rPr>
  </w:style>
  <w:style w:type="character" w:styleId="1046" w:customStyle="1">
    <w:name w:val="z-窗体顶端 Char1"/>
    <w:uiPriority w:val="99"/>
    <w:semiHidden/>
    <w:qFormat/>
    <w:rPr>
      <w:rFonts w:ascii="Arial" w:hAnsi="Arial" w:cs="Arial"/>
      <w:vanish/>
      <w:sz w:val="16"/>
      <w:szCs w:val="16"/>
    </w:rPr>
  </w:style>
  <w:style w:type="character" w:styleId="1047" w:customStyle="1">
    <w:name w:val="纯文本 Char1"/>
    <w:uiPriority w:val="0"/>
    <w:qFormat/>
    <w:rPr>
      <w:rFonts w:ascii="宋体" w:hAnsi="Courier New" w:eastAsia="宋体"/>
      <w:sz w:val="21"/>
      <w:szCs w:val="21"/>
      <w:lang w:val="en-US" w:eastAsia="zh-CN" w:bidi="ar-SA"/>
    </w:rPr>
  </w:style>
  <w:style w:type="character" w:styleId="1048" w:customStyle="1">
    <w:name w:val="sub_title s0"/>
    <w:uiPriority w:val="0"/>
    <w:qFormat/>
  </w:style>
  <w:style w:type="character" w:styleId="1049" w:customStyle="1">
    <w:name w:val="Plain Text Char Char"/>
    <w:link w:val="1050"/>
    <w:uiPriority w:val="0"/>
    <w:qFormat/>
    <w:rPr>
      <w:rFonts w:ascii="宋体" w:hAnsi="Courier New" w:eastAsia="楷体_GB2312"/>
      <w:sz w:val="28"/>
    </w:rPr>
  </w:style>
  <w:style w:type="paragraph" w:styleId="1050" w:customStyle="1">
    <w:name w:val="纯文本6"/>
    <w:basedOn w:val="756"/>
    <w:link w:val="1049"/>
    <w:uiPriority w:val="0"/>
    <w:qFormat/>
    <w:rPr>
      <w:rFonts w:ascii="宋体" w:hAnsi="Courier New" w:eastAsia="楷体_GB2312"/>
      <w:sz w:val="28"/>
    </w:rPr>
  </w:style>
  <w:style w:type="character" w:styleId="1051" w:customStyle="1">
    <w:name w:val="Char Char11"/>
    <w:uiPriority w:val="0"/>
    <w:qFormat/>
    <w:rPr>
      <w:rFonts w:ascii="宋体" w:hAnsi="宋体" w:eastAsia="楷体_GB2312"/>
      <w:sz w:val="24"/>
      <w:lang w:val="en-US" w:eastAsia="zh-CN" w:bidi="ar-SA"/>
    </w:rPr>
  </w:style>
  <w:style w:type="character" w:styleId="1052" w:customStyle="1">
    <w:name w:val="正文缩进 Char1"/>
    <w:uiPriority w:val="0"/>
    <w:qFormat/>
    <w:rPr>
      <w:rFonts w:ascii="Tahoma" w:hAnsi="Tahoma" w:eastAsia="楷体_GB2312"/>
      <w:sz w:val="24"/>
      <w:lang w:val="en-US" w:eastAsia="zh-CN" w:bidi="ar-SA"/>
    </w:rPr>
  </w:style>
  <w:style w:type="character" w:styleId="1053" w:customStyle="1">
    <w:name w:val="批注文字 Char1"/>
    <w:uiPriority w:val="0"/>
    <w:qFormat/>
    <w:rPr>
      <w:rFonts w:ascii="Tahoma" w:hAnsi="Tahoma" w:eastAsia="宋体"/>
      <w:sz w:val="21"/>
      <w:szCs w:val="24"/>
    </w:rPr>
  </w:style>
  <w:style w:type="paragraph" w:styleId="1054" w:customStyle="1">
    <w:name w:val="Char"/>
    <w:basedOn w:val="756"/>
    <w:uiPriority w:val="0"/>
    <w:qFormat/>
    <w:pPr>
      <w:numPr>
        <w:ilvl w:val="0"/>
        <w:numId w:val="3"/>
      </w:numPr>
      <w:tabs>
        <w:tab w:val="left" w:pos="960" w:leader="none"/>
      </w:tabs>
    </w:pPr>
    <w:rPr>
      <w:rFonts w:ascii="宋体" w:hAnsi="宋体" w:cs="宋体"/>
      <w:sz w:val="24"/>
      <w:szCs w:val="20"/>
      <w:lang w:eastAsia="en-US"/>
    </w:rPr>
  </w:style>
  <w:style w:type="paragraph" w:styleId="1055" w:customStyle="1">
    <w:name w:val="Date1"/>
    <w:basedOn w:val="756"/>
    <w:next w:val="756"/>
    <w:uiPriority w:val="0"/>
    <w:qFormat/>
    <w:rPr>
      <w:rFonts w:ascii="宋体" w:hAnsi="宋体" w:eastAsia="楷体_GB2312" w:cs="宋体"/>
      <w:sz w:val="24"/>
      <w:szCs w:val="20"/>
      <w:lang w:eastAsia="en-US"/>
    </w:rPr>
  </w:style>
  <w:style w:type="paragraph" w:styleId="1056" w:customStyle="1">
    <w:name w:val="用户2"/>
    <w:basedOn w:val="972"/>
    <w:uiPriority w:val="0"/>
    <w:qFormat/>
    <w:pPr>
      <w:keepLines/>
      <w:spacing w:before="260" w:after="260" w:line="416" w:lineRule="atLeast"/>
    </w:pPr>
    <w:rPr>
      <w:rFonts w:ascii="楷体_GB2312" w:hAnsi="Times New Roman" w:eastAsia="楷体_GB2312"/>
      <w:b w:val="0"/>
      <w:bCs w:val="0"/>
      <w:i w:val="0"/>
      <w:iCs w:val="0"/>
      <w:color w:val="000000"/>
      <w:sz w:val="30"/>
      <w:szCs w:val="20"/>
    </w:rPr>
  </w:style>
  <w:style w:type="paragraph" w:styleId="1057" w:customStyle="1">
    <w:name w:val="Normal1"/>
    <w:basedOn w:val="756"/>
    <w:uiPriority w:val="0"/>
    <w:qFormat/>
    <w:rPr>
      <w:rFonts w:ascii="宋体" w:hAnsi="宋体" w:cs="宋体"/>
      <w:sz w:val="24"/>
      <w:szCs w:val="20"/>
      <w:lang w:eastAsia="en-US"/>
    </w:rPr>
  </w:style>
  <w:style w:type="paragraph" w:styleId="1058" w:customStyle="1">
    <w:name w:val="p0"/>
    <w:basedOn w:val="756"/>
    <w:uiPriority w:val="0"/>
    <w:qFormat/>
    <w:pPr>
      <w:widowControl/>
    </w:pPr>
    <w:rPr>
      <w:rFonts w:ascii="宋体" w:hAnsi="宋体" w:cs="宋体"/>
      <w:sz w:val="24"/>
      <w:szCs w:val="21"/>
      <w:lang w:eastAsia="en-US"/>
    </w:rPr>
  </w:style>
  <w:style w:type="paragraph" w:styleId="1059" w:customStyle="1">
    <w:name w:val="_Style 12"/>
    <w:basedOn w:val="993"/>
    <w:uiPriority w:val="0"/>
    <w:qFormat/>
    <w:pPr>
      <w:spacing w:line="360" w:lineRule="auto"/>
    </w:pPr>
    <w:rPr>
      <w:szCs w:val="20"/>
    </w:rPr>
  </w:style>
  <w:style w:type="paragraph" w:styleId="1060" w:customStyle="1">
    <w:name w:val="修订1"/>
    <w:uiPriority w:val="99"/>
    <w:semiHidden/>
    <w:qFormat/>
    <w:rPr>
      <w:rFonts w:ascii="Times New Roman" w:hAnsi="Times New Roman" w:eastAsia="仿宋_GB2312" w:cs="Times New Roman"/>
      <w:sz w:val="28"/>
      <w:szCs w:val="24"/>
      <w:lang w:val="en-US" w:eastAsia="zh-CN" w:bidi="ar-SA"/>
    </w:rPr>
  </w:style>
  <w:style w:type="paragraph" w:styleId="1061" w:customStyle="1">
    <w:name w:val="首行缩进"/>
    <w:basedOn w:val="756"/>
    <w:uiPriority w:val="0"/>
    <w:qFormat/>
    <w:pPr>
      <w:ind w:firstLine="480"/>
    </w:pPr>
    <w:rPr>
      <w:rFonts w:ascii="宋体" w:hAnsi="宋体" w:cs="宋体"/>
      <w:szCs w:val="20"/>
      <w:lang w:val="zh-CN" w:eastAsia="en-US"/>
    </w:rPr>
  </w:style>
  <w:style w:type="paragraph" w:styleId="1062" w:customStyle="1">
    <w:name w:val="文档正文"/>
    <w:basedOn w:val="756"/>
    <w:uiPriority w:val="0"/>
    <w:qFormat/>
    <w:pPr>
      <w:ind w:firstLine="567"/>
      <w:spacing w:line="312" w:lineRule="atLeast"/>
    </w:pPr>
    <w:rPr>
      <w:rFonts w:ascii="长城仿宋" w:hAnsi="宋体" w:eastAsia="长城仿宋" w:cs="宋体"/>
      <w:sz w:val="28"/>
      <w:szCs w:val="20"/>
      <w:lang w:eastAsia="en-US"/>
    </w:rPr>
  </w:style>
  <w:style w:type="paragraph" w:styleId="1063" w:customStyle="1">
    <w:name w:val="Char Char Char Char Char Char Char Char Char Char"/>
    <w:basedOn w:val="756"/>
    <w:uiPriority w:val="0"/>
    <w:qFormat/>
    <w:pPr>
      <w:numPr>
        <w:ilvl w:val="0"/>
        <w:numId w:val="4"/>
      </w:numPr>
    </w:pPr>
    <w:rPr>
      <w:rFonts w:ascii="宋体" w:hAnsi="宋体" w:cs="宋体"/>
      <w:sz w:val="24"/>
      <w:szCs w:val="20"/>
      <w:lang w:eastAsia="en-US"/>
    </w:rPr>
  </w:style>
  <w:style w:type="paragraph" w:styleId="1064" w:customStyle="1">
    <w:name w:val="纯文本2"/>
    <w:basedOn w:val="756"/>
    <w:uiPriority w:val="0"/>
    <w:qFormat/>
    <w:rPr>
      <w:rFonts w:ascii="宋体" w:hAnsi="Courier New" w:cs="宋体"/>
      <w:sz w:val="26"/>
      <w:szCs w:val="20"/>
      <w:lang w:eastAsia="en-US"/>
    </w:rPr>
  </w:style>
  <w:style w:type="paragraph" w:styleId="1065" w:customStyle="1">
    <w:name w:val="[Normal]"/>
    <w:uiPriority w:val="0"/>
    <w:qFormat/>
    <w:pPr>
      <w:widowControl w:val="off"/>
    </w:pPr>
    <w:rPr>
      <w:rFonts w:ascii="宋体" w:hAnsi="宋体" w:eastAsia="宋体" w:cs="宋体"/>
      <w:sz w:val="24"/>
      <w:lang w:val="en-US" w:eastAsia="zh-CN" w:bidi="ar-SA"/>
    </w:rPr>
  </w:style>
  <w:style w:type="paragraph" w:styleId="1066" w:customStyle="1">
    <w:name w:val="3级标题"/>
    <w:basedOn w:val="1067"/>
    <w:uiPriority w:val="0"/>
    <w:qFormat/>
    <w:pPr>
      <w:numPr>
        <w:ilvl w:val="2"/>
        <w:numId w:val="5"/>
      </w:numPr>
      <w:contextualSpacing/>
      <w:jc w:val="left"/>
      <w:keepLines/>
      <w:spacing w:before="120" w:after="120" w:line="360" w:lineRule="auto"/>
      <w:outlineLvl w:val="2"/>
    </w:pPr>
    <w:rPr>
      <w:rFonts w:ascii="黑体" w:hAnsi="黑体"/>
      <w:sz w:val="32"/>
      <w:szCs w:val="36"/>
      <w:lang w:bidi="en-US"/>
    </w:rPr>
  </w:style>
  <w:style w:type="paragraph" w:styleId="1067" w:customStyle="1">
    <w:name w:val="列表段落1"/>
    <w:basedOn w:val="756"/>
    <w:uiPriority w:val="0"/>
    <w:qFormat/>
    <w:pPr>
      <w:ind w:firstLine="420"/>
    </w:pPr>
    <w:rPr>
      <w:rFonts w:ascii="Calibri" w:hAnsi="Calibri" w:cs="宋体"/>
      <w:sz w:val="24"/>
      <w:lang w:eastAsia="en-US"/>
    </w:rPr>
  </w:style>
  <w:style w:type="paragraph" w:styleId="1068" w:customStyle="1">
    <w:name w:val="纯文本1"/>
    <w:basedOn w:val="756"/>
    <w:uiPriority w:val="0"/>
    <w:qFormat/>
    <w:rPr>
      <w:rFonts w:hint="eastAsia" w:ascii="宋体" w:hAnsi="Courier New" w:eastAsia="楷体_GB2312" w:cs="宋体"/>
      <w:sz w:val="28"/>
      <w:szCs w:val="20"/>
      <w:lang w:eastAsia="en-US"/>
    </w:rPr>
  </w:style>
  <w:style w:type="paragraph" w:styleId="1069" w:customStyle="1">
    <w:name w:val="样式 首行缩进:  2 字符"/>
    <w:basedOn w:val="756"/>
    <w:uiPriority w:val="0"/>
    <w:qFormat/>
    <w:rPr>
      <w:rFonts w:ascii="宋体" w:hAnsi="宋体" w:cs="宋体"/>
      <w:sz w:val="28"/>
      <w:szCs w:val="20"/>
      <w:lang w:eastAsia="en-US"/>
    </w:rPr>
  </w:style>
  <w:style w:type="paragraph" w:styleId="1070" w:customStyle="1">
    <w:name w:val="Plain Text1"/>
    <w:basedOn w:val="756"/>
    <w:uiPriority w:val="0"/>
    <w:qFormat/>
    <w:rPr>
      <w:rFonts w:hint="eastAsia" w:ascii="宋体" w:hAnsi="Courier New" w:eastAsia="楷体_GB2312" w:cs="宋体"/>
      <w:sz w:val="28"/>
      <w:szCs w:val="20"/>
      <w:lang w:eastAsia="en-US"/>
    </w:rPr>
  </w:style>
  <w:style w:type="paragraph" w:styleId="1071" w:customStyle="1">
    <w:name w:val="列出段落1"/>
    <w:basedOn w:val="756"/>
    <w:uiPriority w:val="0"/>
    <w:qFormat/>
    <w:pPr>
      <w:ind w:firstLine="420"/>
    </w:pPr>
    <w:rPr>
      <w:rFonts w:ascii="宋体" w:hAnsi="宋体" w:cs="宋体"/>
      <w:sz w:val="24"/>
      <w:szCs w:val="20"/>
      <w:lang w:eastAsia="en-US"/>
    </w:rPr>
  </w:style>
  <w:style w:type="paragraph" w:styleId="1072" w:customStyle="1">
    <w:name w:val="无间隔1"/>
    <w:basedOn w:val="756"/>
    <w:uiPriority w:val="1"/>
    <w:qFormat/>
    <w:pPr>
      <w:spacing w:before="260" w:after="260" w:line="360" w:lineRule="auto"/>
    </w:pPr>
    <w:rPr>
      <w:rFonts w:ascii="Calibri" w:hAnsi="Calibri" w:cs="宋体"/>
      <w:szCs w:val="21"/>
      <w:lang w:eastAsia="en-US"/>
    </w:rPr>
  </w:style>
  <w:style w:type="paragraph" w:styleId="1073" w:customStyle="1">
    <w:name w:val="p17"/>
    <w:basedOn w:val="756"/>
    <w:uiPriority w:val="0"/>
    <w:qFormat/>
    <w:pPr>
      <w:ind w:left="420"/>
      <w:spacing w:after="120"/>
      <w:widowControl/>
    </w:pPr>
    <w:rPr>
      <w:rFonts w:ascii="宋体" w:hAnsi="宋体" w:cs="宋体"/>
      <w:sz w:val="28"/>
      <w:szCs w:val="28"/>
      <w:lang w:eastAsia="en-US"/>
    </w:rPr>
  </w:style>
  <w:style w:type="paragraph" w:styleId="1074" w:customStyle="1">
    <w:name w:val="Char1 Char Char Char"/>
    <w:basedOn w:val="756"/>
    <w:uiPriority w:val="0"/>
    <w:qFormat/>
    <w:rPr>
      <w:rFonts w:ascii="宋体" w:hAnsi="宋体" w:cs="宋体"/>
      <w:sz w:val="24"/>
      <w:szCs w:val="20"/>
      <w:lang w:eastAsia="en-US"/>
    </w:rPr>
  </w:style>
  <w:style w:type="paragraph" w:styleId="1075" w:customStyle="1">
    <w:name w:val="Char Char Char"/>
    <w:basedOn w:val="756"/>
    <w:uiPriority w:val="0"/>
    <w:qFormat/>
    <w:rPr>
      <w:rFonts w:ascii="Tahoma" w:hAnsi="Tahoma" w:cs="宋体"/>
      <w:sz w:val="24"/>
      <w:szCs w:val="20"/>
      <w:lang w:eastAsia="en-US"/>
    </w:rPr>
  </w:style>
  <w:style w:type="paragraph" w:styleId="107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Char Char4"/>
    <w:basedOn w:val="756"/>
    <w:uiPriority w:val="0"/>
    <w:qFormat/>
    <w:pPr>
      <w:jc w:val="left"/>
      <w:spacing w:after="160" w:line="240" w:lineRule="exact"/>
      <w:widowControl/>
    </w:pPr>
    <w:rPr>
      <w:rFonts w:ascii="Verdana" w:hAnsi="Verdana" w:cs="宋体"/>
      <w:sz w:val="20"/>
      <w:szCs w:val="20"/>
      <w:lang w:eastAsia="en-US"/>
    </w:rPr>
  </w:style>
  <w:style w:type="paragraph" w:styleId="1078"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character" w:styleId="1079" w:customStyle="1">
    <w:name w:val="列表段落 字符"/>
    <w:link w:val="804"/>
    <w:uiPriority w:val="34"/>
    <w:qFormat/>
    <w:rPr>
      <w:rFonts w:ascii="宋体" w:hAnsi="宋体" w:cs="宋体"/>
      <w:sz w:val="24"/>
      <w:lang w:eastAsia="en-US"/>
    </w:rPr>
  </w:style>
  <w:style w:type="paragraph" w:styleId="1080" w:customStyle="1">
    <w:name w:val="纯文本12"/>
    <w:basedOn w:val="756"/>
    <w:uiPriority w:val="0"/>
    <w:qFormat/>
    <w:rPr>
      <w:rFonts w:ascii="宋体" w:hAnsi="Courier New" w:cs="宋体"/>
      <w:sz w:val="24"/>
      <w:szCs w:val="20"/>
      <w:lang w:eastAsia="en-US"/>
    </w:rPr>
  </w:style>
  <w:style w:type="paragraph" w:styleId="1081" w:customStyle="1">
    <w:name w:val="Char1"/>
    <w:basedOn w:val="756"/>
    <w:uiPriority w:val="0"/>
    <w:qFormat/>
    <w:rPr>
      <w:rFonts w:ascii="Tahoma" w:hAnsi="Tahoma" w:cs="宋体"/>
      <w:sz w:val="24"/>
      <w:szCs w:val="20"/>
      <w:lang w:eastAsia="en-US"/>
    </w:rPr>
  </w:style>
  <w:style w:type="paragraph" w:styleId="1082" w:customStyle="1">
    <w:name w:val="Blockquote"/>
    <w:basedOn w:val="756"/>
    <w:uiPriority w:val="0"/>
    <w:qFormat/>
    <w:pPr>
      <w:ind w:left="360" w:right="360"/>
      <w:jc w:val="left"/>
      <w:spacing w:before="100" w:after="100"/>
    </w:pPr>
    <w:rPr>
      <w:rFonts w:ascii="宋体" w:hAnsi="宋体" w:cs="宋体"/>
      <w:sz w:val="24"/>
      <w:szCs w:val="21"/>
      <w:lang w:eastAsia="en-US"/>
    </w:rPr>
  </w:style>
  <w:style w:type="paragraph" w:styleId="1083"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084" w:customStyle="1">
    <w:name w:val="Char Char1 Char Char Char Char Char Char Char"/>
    <w:basedOn w:val="756"/>
    <w:uiPriority w:val="0"/>
    <w:qFormat/>
    <w:rPr>
      <w:rFonts w:ascii="宋体" w:hAnsi="宋体" w:cs="宋体"/>
      <w:sz w:val="24"/>
      <w:szCs w:val="20"/>
      <w:lang w:eastAsia="en-US"/>
    </w:rPr>
  </w:style>
  <w:style w:type="paragraph" w:styleId="1085" w:customStyle="1">
    <w:name w:val="Andy_正文"/>
    <w:basedOn w:val="756"/>
    <w:uiPriority w:val="0"/>
    <w:qFormat/>
    <w:pPr>
      <w:ind w:firstLine="480"/>
    </w:pPr>
    <w:rPr>
      <w:rFonts w:ascii="Calibri" w:hAnsi="Calibri" w:cs="宋体"/>
      <w:sz w:val="24"/>
      <w:szCs w:val="24"/>
      <w:lang w:eastAsia="en-US"/>
    </w:rPr>
  </w:style>
  <w:style w:type="paragraph" w:styleId="1086" w:customStyle="1">
    <w:name w:val="p15"/>
    <w:basedOn w:val="756"/>
    <w:uiPriority w:val="0"/>
    <w:qFormat/>
    <w:pPr>
      <w:ind w:firstLine="420"/>
      <w:widowControl/>
    </w:pPr>
    <w:rPr>
      <w:rFonts w:ascii="宋体" w:hAnsi="宋体" w:cs="宋体"/>
      <w:sz w:val="24"/>
      <w:szCs w:val="21"/>
      <w:lang w:eastAsia="en-US"/>
    </w:rPr>
  </w:style>
  <w:style w:type="paragraph" w:styleId="1087" w:customStyle="1">
    <w:name w:val="纯文本3"/>
    <w:basedOn w:val="756"/>
    <w:uiPriority w:val="0"/>
    <w:qFormat/>
    <w:rPr>
      <w:rFonts w:ascii="宋体" w:hAnsi="Courier New" w:eastAsia="楷体_GB2312" w:cs="宋体"/>
      <w:sz w:val="28"/>
      <w:szCs w:val="20"/>
      <w:lang w:eastAsia="en-US"/>
    </w:rPr>
  </w:style>
  <w:style w:type="paragraph" w:styleId="108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89" w:customStyle="1">
    <w:name w:val="纯文本5"/>
    <w:basedOn w:val="756"/>
    <w:uiPriority w:val="0"/>
    <w:qFormat/>
    <w:rPr>
      <w:rFonts w:ascii="宋体" w:hAnsi="Courier New" w:eastAsia="楷体_GB2312"/>
      <w:sz w:val="26"/>
      <w:szCs w:val="20"/>
    </w:rPr>
  </w:style>
  <w:style w:type="paragraph" w:styleId="1090" w:customStyle="1">
    <w:name w:val="reader-word-layer reader-word-s1-15"/>
    <w:basedOn w:val="756"/>
    <w:uiPriority w:val="0"/>
    <w:qFormat/>
    <w:pPr>
      <w:jc w:val="left"/>
      <w:spacing w:before="100" w:beforeAutospacing="1" w:after="100" w:afterAutospacing="1"/>
      <w:widowControl/>
    </w:pPr>
    <w:rPr>
      <w:rFonts w:ascii="宋体" w:hAnsi="宋体" w:cs="宋体"/>
      <w:sz w:val="24"/>
      <w:szCs w:val="20"/>
      <w:lang w:eastAsia="en-US"/>
    </w:rPr>
  </w:style>
  <w:style w:type="paragraph" w:styleId="1091" w:customStyle="1">
    <w:name w:val="正文缩进1"/>
    <w:basedOn w:val="756"/>
    <w:uiPriority w:val="0"/>
    <w:qFormat/>
    <w:pPr>
      <w:ind w:firstLine="420"/>
    </w:pPr>
    <w:rPr>
      <w:rFonts w:ascii="宋体" w:hAnsi="宋体" w:cs="宋体"/>
      <w:sz w:val="24"/>
      <w:szCs w:val="20"/>
      <w:lang w:eastAsia="en-US"/>
    </w:rPr>
  </w:style>
  <w:style w:type="paragraph" w:styleId="1092" w:customStyle="1">
    <w:name w:val="纯文本111"/>
    <w:basedOn w:val="756"/>
    <w:uiPriority w:val="0"/>
    <w:qFormat/>
    <w:rPr>
      <w:rFonts w:ascii="宋体" w:hAnsi="Courier New" w:eastAsia="楷体_GB2312"/>
      <w:sz w:val="28"/>
    </w:rPr>
  </w:style>
  <w:style w:type="paragraph" w:styleId="1093" w:customStyle="1">
    <w:name w:val="纯文本4"/>
    <w:basedOn w:val="756"/>
    <w:uiPriority w:val="0"/>
    <w:qFormat/>
    <w:rPr>
      <w:rFonts w:ascii="宋体" w:hAnsi="Courier New" w:eastAsia="楷体_GB2312"/>
      <w:sz w:val="26"/>
      <w:szCs w:val="20"/>
    </w:rPr>
  </w:style>
  <w:style w:type="paragraph" w:styleId="1094" w:customStyle="1">
    <w:name w:val="Plain Text2"/>
    <w:basedOn w:val="756"/>
    <w:uiPriority w:val="0"/>
    <w:qFormat/>
    <w:rPr>
      <w:rFonts w:hint="eastAsia" w:ascii="宋体" w:hAnsi="Courier New" w:eastAsia="楷体_GB2312"/>
      <w:sz w:val="28"/>
    </w:rPr>
  </w:style>
  <w:style w:type="character" w:styleId="1095" w:customStyle="1">
    <w:name w:val="NormalCharacter1"/>
    <w:uiPriority w:val="0"/>
    <w:semiHidden/>
    <w:qFormat/>
  </w:style>
  <w:style w:type="paragraph" w:styleId="1096" w:customStyle="1">
    <w:name w:val="UserStyle_62"/>
    <w:basedOn w:val="756"/>
    <w:uiPriority w:val="0"/>
    <w:qFormat/>
    <w:pPr>
      <w:widowControl/>
    </w:pPr>
    <w:rPr>
      <w:rFonts w:ascii="宋体" w:hAnsi="Courier New" w:eastAsia="楷体_GB2312"/>
      <w:sz w:val="26"/>
      <w:szCs w:val="20"/>
    </w:rPr>
  </w:style>
  <w:style w:type="paragraph" w:styleId="1097" w:customStyle="1">
    <w:name w:val="Body text|1"/>
    <w:basedOn w:val="756"/>
    <w:uiPriority w:val="0"/>
    <w:qFormat/>
    <w:pPr>
      <w:ind w:firstLine="320"/>
    </w:pPr>
    <w:rPr>
      <w:rFonts w:hint="eastAsia" w:ascii="宋体" w:hAnsi="宋体"/>
      <w:szCs w:val="24"/>
    </w:rPr>
  </w:style>
  <w:style w:type="paragraph" w:styleId="1098" w:customStyle="1">
    <w:name w:val="Body text|2"/>
    <w:basedOn w:val="756"/>
    <w:uiPriority w:val="0"/>
    <w:qFormat/>
    <w:pPr>
      <w:ind w:firstLine="660"/>
      <w:jc w:val="left"/>
      <w:spacing w:line="560" w:lineRule="exact"/>
    </w:pPr>
    <w:rPr>
      <w:rFonts w:hint="eastAsia" w:ascii="宋体" w:hAnsi="宋体"/>
      <w:color w:val="000000"/>
      <w:sz w:val="32"/>
      <w:szCs w:val="32"/>
    </w:rPr>
  </w:style>
  <w:style w:type="paragraph" w:styleId="1099" w:customStyle="1">
    <w:name w:val="paragraph"/>
    <w:basedOn w:val="756"/>
    <w:hidden/>
    <w:uiPriority w:val="0"/>
    <w:qFormat/>
    <w:pPr>
      <w:jc w:val="left"/>
      <w:spacing w:beforeAutospacing="1" w:afterAutospacing="1"/>
      <w:widowControl/>
    </w:pPr>
    <w:rPr>
      <w:rFonts w:hint="eastAsia" w:ascii="等线" w:hAnsi="等线" w:eastAsia="等线"/>
      <w:sz w:val="24"/>
      <w:szCs w:val="24"/>
    </w:rPr>
  </w:style>
  <w:style w:type="character" w:styleId="1100" w:customStyle="1">
    <w:name w:val="NormalCharacter"/>
    <w:uiPriority w:val="99"/>
    <w:qFormat/>
    <w:rPr>
      <w:rFonts w:ascii="Calibri" w:hAnsi="Calibri" w:eastAsia="宋体" w:cs="Times New Roman"/>
    </w:rPr>
  </w:style>
  <w:style w:type="character" w:styleId="1101" w:customStyle="1">
    <w:name w:val="正文文本缩进 Char"/>
    <w:basedOn w:val="766"/>
    <w:link w:val="774"/>
    <w:uiPriority w:val="0"/>
    <w:qFormat/>
    <w:rPr>
      <w:rFonts w:hint="default" w:ascii="Calibri" w:hAnsi="Calibri" w:cs="Times New Roman"/>
    </w:rPr>
  </w:style>
  <w:style w:type="numbering" w:styleId="336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中航技国际经贸</dc:creator>
  <cp:lastModifiedBy>王新东</cp:lastModifiedBy>
  <cp:revision>12</cp:revision>
  <dcterms:created xsi:type="dcterms:W3CDTF">2024-11-08T03:08:00Z</dcterms:created>
  <dcterms:modified xsi:type="dcterms:W3CDTF">2024-12-04T04:23:38Z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45C1F92FCF004ED38BF64A46E5B194D7_12</vt:lpwstr>
  </property>
</Properties>
</file>