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JSZC-320585-SZTZ-G2024-0018</w:t>
      </w:r>
      <w:r>
        <w:rPr>
          <w:rFonts w:hint="eastAsia" w:ascii="宋体" w:hAnsi="宋体" w:cs="宋体"/>
          <w:b/>
          <w:color w:val="auto"/>
          <w:sz w:val="30"/>
          <w:szCs w:val="30"/>
          <w:highlight w:val="none"/>
          <w:lang w:eastAsia="zh-CN"/>
        </w:rPr>
        <w:tab/>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太仓市耕地保护专项规划服务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rPr>
          <w:rFonts w:hint="eastAsia" w:ascii="宋体" w:hAnsi="宋体" w:cs="宋体"/>
          <w:color w:val="auto"/>
          <w:sz w:val="30"/>
          <w:highlight w:val="none"/>
        </w:rPr>
        <w:t xml:space="preserve">  </w:t>
      </w:r>
      <w:r/>
    </w:p>
    <w:p>
      <w:pPr>
        <w:ind w:left="480" w:right="-159"/>
        <w:spacing w:line="48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太仓市自然资源和规划局</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二〇二四年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50"/>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26"/>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3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太仓市自然资源和规划局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JSZC-320585-SZTZ-G2024-0018</w:t>
            </w:r>
            <w:r>
              <w:rPr>
                <w:rFonts w:hint="eastAsia" w:ascii="宋体" w:hAnsi="宋体" w:cs="宋体"/>
                <w:color w:val="auto"/>
                <w:sz w:val="21"/>
                <w:szCs w:val="21"/>
                <w:highlight w:val="none"/>
                <w:lang w:val="zh-CN"/>
              </w:rPr>
              <w:tab/>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3"/>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太仓市耕地保护专项规划服务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3"/>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2024年07月16日</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eastAsia="zh-CN" w:bidi="ar"/>
              </w:rPr>
              <w:t xml:space="preserve"> 2024年07月25日</w:t>
            </w:r>
            <w:r>
              <w:rPr>
                <w:rFonts w:hint="eastAsia" w:ascii="宋体" w:hAnsi="宋体" w:cs="宋体"/>
                <w:color w:val="auto"/>
                <w:sz w:val="21"/>
                <w:szCs w:val="21"/>
                <w:highlight w:val="none"/>
                <w:lang w:bidi="ar"/>
              </w:rPr>
              <w:t xml:space="preserve"> ，每天上午00:00-12:00,下午12:00-23:59 （北京时间，法定节假日除外）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17306187343。</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2024年08月08日14点00分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时间：2024年08月08日14点00分（北京时间）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18"/>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16"/>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eastAsia="zh-CN"/>
              </w:rPr>
              <w:t xml:space="preserve">无</w:t>
            </w:r>
            <w:r>
              <w:rPr>
                <w:rFonts w:hint="eastAsia" w:ascii="宋体" w:hAnsi="宋体" w:cs="宋体"/>
                <w:b w:val="0"/>
                <w:bCs w:val="0"/>
                <w:color w:val="auto"/>
                <w:sz w:val="21"/>
                <w:szCs w:val="21"/>
                <w:highlight w:val="none"/>
              </w:rPr>
              <w:t xml:space="preserve">。</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26"/>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3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太仓市耕地保护专项规划服务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JSZC-320585-SZTZ-G2024-0018</w:t>
            </w: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rPr>
              <w:t xml:space="preserve"> 招标项目的潜在投标人应在苏州市政府采购网，点击底部苏采云图标，登录苏采云政府采购一体化平台，对参与项目进行报名，并下载电子招标文件 获取招标文件，并于</w:t>
            </w:r>
            <w:r>
              <w:rPr>
                <w:rFonts w:hint="eastAsia" w:ascii="仿宋" w:hAnsi="仿宋" w:eastAsia="仿宋" w:cs="仿宋"/>
                <w:color w:val="auto"/>
                <w:sz w:val="21"/>
                <w:szCs w:val="21"/>
                <w:highlight w:val="none"/>
                <w:lang w:eastAsia="zh-CN"/>
              </w:rPr>
              <w:t xml:space="preserve">2024年08月08日14点00分</w:t>
            </w:r>
            <w:r>
              <w:rPr>
                <w:rFonts w:hint="eastAsia" w:ascii="仿宋" w:hAnsi="仿宋" w:eastAsia="仿宋" w:cs="仿宋"/>
                <w:color w:val="auto"/>
                <w:sz w:val="21"/>
                <w:szCs w:val="21"/>
                <w:highlight w:val="none"/>
              </w:rPr>
              <w:t xml:space="preserve"> （北京时间）前递交投标文件。</w:t>
            </w:r>
            <w:r/>
          </w:p>
        </w:tc>
      </w:tr>
    </w:tbl>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一、项目基本情况</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JSZC-320585-SZTZ-G2024-0018</w:t>
      </w: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太仓市耕地保护专项规划服务</w:t>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120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120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太仓市耕地保护专项规划服务</w:t>
      </w:r>
      <w:r>
        <w:rPr>
          <w:rFonts w:hint="eastAsia" w:ascii="仿宋" w:hAnsi="仿宋" w:eastAsia="仿宋" w:cs="仿宋"/>
          <w:color w:val="auto"/>
          <w:sz w:val="21"/>
          <w:szCs w:val="21"/>
          <w:highlight w:val="none"/>
        </w:rPr>
        <w:t xml:space="preserve">，其他要求详见采购文件。</w:t>
      </w:r>
      <w:r/>
    </w:p>
    <w:p>
      <w:pPr>
        <w:pStyle w:val="956"/>
        <w:ind w:firstLine="420"/>
        <w:spacing w:before="0" w:beforeAutospacing="0" w:after="0" w:afterAutospacing="0"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自合同签订之日起6个月内完成全部服务。</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二、申请人的资格要求</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pStyle w:val="956"/>
        <w:ind w:firstLine="420"/>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本项目要求拟投入的项目组</w:t>
      </w:r>
      <w:r>
        <w:rPr>
          <w:rFonts w:hint="eastAsia" w:ascii="仿宋" w:hAnsi="仿宋" w:eastAsia="仿宋" w:cs="仿宋"/>
          <w:color w:val="auto"/>
          <w:sz w:val="21"/>
          <w:szCs w:val="21"/>
          <w:highlight w:val="none"/>
          <w:lang w:val="en-US" w:eastAsia="zh-CN"/>
        </w:rPr>
        <w:t xml:space="preserve">技术</w:t>
      </w:r>
      <w:r>
        <w:rPr>
          <w:rFonts w:hint="eastAsia" w:ascii="仿宋" w:hAnsi="仿宋" w:eastAsia="仿宋" w:cs="仿宋"/>
          <w:color w:val="auto"/>
          <w:sz w:val="21"/>
          <w:szCs w:val="21"/>
          <w:highlight w:val="none"/>
        </w:rPr>
        <w:t xml:space="preserve">人员不少于</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人，其中项目负责人</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其他技术人员不少于6人。（提供投标单位为以上相关人员缴纳的社保证明）</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本项目要求投标单位</w:t>
      </w:r>
      <w:r>
        <w:rPr>
          <w:rFonts w:hint="eastAsia" w:ascii="仿宋" w:hAnsi="仿宋" w:eastAsia="仿宋" w:cs="仿宋"/>
          <w:color w:val="auto"/>
          <w:sz w:val="21"/>
          <w:szCs w:val="21"/>
          <w:highlight w:val="none"/>
        </w:rPr>
        <w:t xml:space="preserve">具有履行合同所必需的设备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能够满足项目工作要求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其中至少包含</w:t>
      </w:r>
      <w:r>
        <w:rPr>
          <w:rFonts w:hint="eastAsia" w:ascii="仿宋" w:hAnsi="仿宋" w:eastAsia="仿宋" w:cs="仿宋"/>
          <w:color w:val="auto"/>
          <w:sz w:val="21"/>
          <w:szCs w:val="21"/>
          <w:highlight w:val="none"/>
          <w:lang w:eastAsia="zh-CN"/>
        </w:rPr>
        <w:t xml:space="preserve">测量仪</w:t>
      </w:r>
      <w:r>
        <w:rPr>
          <w:rFonts w:hint="eastAsia" w:ascii="仿宋" w:hAnsi="仿宋" w:eastAsia="仿宋" w:cs="仿宋"/>
          <w:color w:val="auto"/>
          <w:sz w:val="21"/>
          <w:szCs w:val="21"/>
          <w:highlight w:val="none"/>
        </w:rPr>
        <w:t xml:space="preserve">、绘图仪。</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自有的提供购买发票，租赁的提供租赁合同及设备租赁发票</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956"/>
        <w:ind w:firstLine="422"/>
        <w:spacing w:before="0" w:beforeAutospacing="0" w:after="0" w:afterAutospacing="0" w:line="288" w:lineRule="auto"/>
        <w:rPr>
          <w:rFonts w:ascii="仿宋" w:hAnsi="仿宋" w:eastAsia="仿宋" w:cs="仿宋"/>
          <w:b/>
          <w:bCs/>
          <w:color w:val="auto"/>
          <w:sz w:val="21"/>
          <w:szCs w:val="21"/>
          <w:highlight w:val="none"/>
        </w:rPr>
      </w:pPr>
      <w:r>
        <w:rPr>
          <w:rStyle w:val="962"/>
          <w:rFonts w:hint="eastAsia" w:ascii="仿宋" w:hAnsi="仿宋" w:eastAsia="仿宋" w:cs="仿宋"/>
          <w:color w:val="auto"/>
          <w:sz w:val="21"/>
          <w:szCs w:val="21"/>
          <w:highlight w:val="none"/>
          <w:lang w:val="en-US" w:eastAsia="zh-CN"/>
        </w:rPr>
        <w:t xml:space="preserve">1</w:t>
      </w:r>
      <w:r>
        <w:rPr>
          <w:rStyle w:val="962"/>
          <w:rFonts w:hint="eastAsia" w:ascii="仿宋" w:hAnsi="仿宋" w:eastAsia="仿宋" w:cs="仿宋"/>
          <w:color w:val="auto"/>
          <w:sz w:val="21"/>
          <w:szCs w:val="21"/>
          <w:highlight w:val="none"/>
        </w:rPr>
        <w:t xml:space="preserve">.</w:t>
      </w:r>
      <w:r>
        <w:rPr>
          <w:rFonts w:hint="eastAsia" w:ascii="仿宋" w:hAnsi="仿宋" w:eastAsia="仿宋" w:cs="仿宋"/>
          <w:b/>
          <w:bCs/>
          <w:color w:val="auto"/>
          <w:sz w:val="21"/>
          <w:szCs w:val="21"/>
          <w:highlight w:val="none"/>
        </w:rPr>
        <w:t xml:space="preserve"> 本项目属于专门面向中小企业采购的项目</w:t>
      </w:r>
      <w:r/>
    </w:p>
    <w:p>
      <w:pPr>
        <w:pStyle w:val="956"/>
        <w:ind w:firstLine="420"/>
        <w:spacing w:before="0" w:beforeAutospacing="0" w:after="0" w:afterAutospacing="0" w:line="288"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（1）本项目属于专门面向中小企业采购的项目，投标人应为中小微企业，必须提供《中小企业声明函》，小微企业不享受价格扣除优惠。 </w:t>
      </w:r>
      <w:r/>
    </w:p>
    <w:p>
      <w:pPr>
        <w:pStyle w:val="956"/>
        <w:ind w:firstLine="420"/>
        <w:spacing w:before="0" w:beforeAutospacing="0" w:after="0" w:afterAutospacing="0" w:line="288"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（2）提供《残疾人福利性单位声明函》或出具由省级以上监狱管理局、戒毒管理局（含新疆生产建设兵团）出具的属于监狱企业的证明文件的视同小微企业。</w:t>
      </w:r>
      <w:r/>
    </w:p>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2024年07月16日</w:t>
      </w:r>
      <w:r>
        <w:rPr>
          <w:rFonts w:hint="eastAsia"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lang w:eastAsia="zh-CN" w:bidi="ar"/>
        </w:rPr>
        <w:t xml:space="preserve"> 2024年07月25日</w:t>
      </w:r>
      <w:r>
        <w:rPr>
          <w:rFonts w:hint="eastAsia" w:ascii="仿宋" w:hAnsi="仿宋" w:eastAsia="仿宋" w:cs="仿宋"/>
          <w:color w:val="auto"/>
          <w:sz w:val="21"/>
          <w:szCs w:val="21"/>
          <w:highlight w:val="none"/>
          <w:lang w:bidi="ar"/>
        </w:rPr>
        <w:t xml:space="preserve"> ，每天上午00:00-12:00,下午12:00-23:59 （北京时间，法定节假日除外）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27"/>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四、提交投标文件截止时间、开标时间和地点</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2024年08月08日14点00分</w:t>
      </w:r>
      <w:r>
        <w:rPr>
          <w:rFonts w:hint="eastAsia" w:ascii="仿宋" w:hAnsi="仿宋" w:eastAsia="仿宋" w:cs="仿宋"/>
          <w:color w:val="auto"/>
          <w:sz w:val="21"/>
          <w:szCs w:val="21"/>
          <w:highlight w:val="none"/>
        </w:rPr>
        <w:t xml:space="preserve"> （北京时间）</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五、公告期限</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62"/>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62"/>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62"/>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62"/>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62"/>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62"/>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62"/>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62"/>
          <w:rFonts w:hint="eastAsia" w:ascii="仿宋" w:hAnsi="仿宋" w:eastAsia="仿宋" w:cs="仿宋"/>
          <w:color w:val="auto"/>
          <w:sz w:val="21"/>
          <w:szCs w:val="21"/>
          <w:highlight w:val="none"/>
          <w:lang w:bidi="ar"/>
        </w:rPr>
        <w:t xml:space="preserve">。</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962"/>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帐户：苏州泰至鑫项目管理有限公司</w:t>
      </w:r>
      <w:r/>
    </w:p>
    <w:p>
      <w:pPr>
        <w:pStyle w:val="956"/>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开户行：中国建设银行股份有限公司太仓陆渡支行</w:t>
      </w:r>
      <w:r/>
    </w:p>
    <w:p>
      <w:pPr>
        <w:pStyle w:val="956"/>
        <w:ind w:firstLine="420"/>
        <w:jc w:val="both"/>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账户：3225 0199 7348 0000 0598</w:t>
      </w:r>
      <w:r/>
    </w:p>
    <w:p>
      <w:pPr>
        <w:ind w:firstLine="420"/>
        <w:jc w:val="both"/>
        <w:spacing w:line="360" w:lineRule="auto"/>
        <w:shd w:val="clear" w:color="auto" w:fill="ffffff"/>
        <w:rPr>
          <w:b w:val="0"/>
          <w:bCs w:val="0"/>
          <w:color w:val="auto"/>
          <w:sz w:val="21"/>
          <w:szCs w:val="21"/>
          <w:highlight w:val="none"/>
        </w:rPr>
      </w:pPr>
      <w:r>
        <w:rPr>
          <w:rStyle w:val="962"/>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927"/>
        <w:numPr>
          <w:ilvl w:val="1"/>
          <w:numId w:val="0"/>
        </w:numPr>
        <w:ind w:firstLine="420"/>
        <w:keepLines w:val="0"/>
        <w:keepNext w:val="0"/>
        <w:spacing w:before="0" w:after="0" w:line="360" w:lineRule="auto"/>
        <w:rPr>
          <w:rStyle w:val="962"/>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927"/>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七、对本次招标提出询问，请按以下方式联系</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太仓市自然资源和规划局</w:t>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太仓市上海东路96号</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黄俊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0512-53539189</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56"/>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苏州泰至鑫项目管理有限公司</w:t>
      </w:r>
      <w:r/>
    </w:p>
    <w:p>
      <w:pPr>
        <w:ind w:firstLine="420"/>
        <w:jc w:val="right"/>
        <w:spacing w:line="360" w:lineRule="auto"/>
        <w:shd w:val="clear" w:color="auto" w:fill="ffffff"/>
        <w:rPr>
          <w:rFonts w:hint="eastAsia" w:ascii="宋体" w:hAnsi="宋体" w:eastAsia="宋体" w:cs="宋体"/>
          <w:color w:val="auto"/>
          <w:sz w:val="21"/>
          <w:szCs w:val="21"/>
          <w:highlight w:val="none"/>
          <w:lang w:eastAsia="zh-CN"/>
        </w:rPr>
      </w:pPr>
      <w:r>
        <w:rPr>
          <w:rFonts w:hint="eastAsia" w:ascii="仿宋" w:hAnsi="仿宋" w:eastAsia="仿宋" w:cs="仿宋"/>
          <w:color w:val="auto"/>
          <w:sz w:val="21"/>
          <w:szCs w:val="21"/>
          <w:highlight w:val="none"/>
          <w:shd w:val="clear" w:color="auto" w:fill="ffffff"/>
          <w:lang w:eastAsia="zh-CN" w:bidi="ar"/>
        </w:rPr>
        <w:t xml:space="preserve">2024年07月16日</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41"/>
        <w:rPr>
          <w:color w:val="auto"/>
          <w:highlight w:val="none"/>
        </w:rPr>
      </w:pPr>
      <w:r>
        <w:rPr>
          <w:color w:val="auto"/>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969"/>
          <w:rFonts w:ascii="宋体" w:hAnsi="宋体" w:eastAsia="宋体" w:cs="宋体"/>
          <w:color w:val="auto"/>
          <w:sz w:val="32"/>
          <w:szCs w:val="32"/>
          <w:highlight w:val="none"/>
        </w:rPr>
      </w:pPr>
      <w:r/>
      <w:bookmarkStart w:id="2" w:name="_Toc15584"/>
      <w:r/>
      <w:r/>
    </w:p>
    <w:p>
      <w:pPr>
        <w:jc w:val="center"/>
        <w:widowControl w:val="off"/>
        <w:rPr>
          <w:rStyle w:val="969"/>
          <w:rFonts w:ascii="宋体" w:hAnsi="宋体" w:eastAsia="宋体" w:cs="宋体"/>
          <w:color w:val="auto"/>
          <w:sz w:val="32"/>
          <w:szCs w:val="32"/>
          <w:highlight w:val="none"/>
        </w:rPr>
      </w:pPr>
      <w:r>
        <w:rPr>
          <w:rStyle w:val="969"/>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13.1投标书一（报价部分）：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13.1.1 开标一览表（详见投标文件格式，用于唱标）；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投标书二：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13.2.1.1关于资格文件的声明函（详见投标文件格式）；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13.2.1.2投标人营业执照或独立法人证书副本或三证合一营业执照扫描件；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13.2.1.3投标人参加本次政府采购活动前的财务状况报告或者银行出具的资信证明；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13.2.1.4投标人根据项目需求提供履行合同所必需的设备和专业技术能力的证明材料；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13.2.1.5投标人参加本次政府采购活动前半年（至少一个月）依法缴纳税收和社会保障资金的证明材料；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13.2.1.6投标人参加政府采购活动前三年在经营活动中没有重大违法记录的书面申明（详见投标文件格式）；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13.2.1.7投标人证明其符合招标文件规定的投标人特定资格条件的证书、证明和文件材料；（如有）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13.2.1.8投标人基本情况表（详见投标文件格式）；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13.2.1.9投标人法定代表人身份证扫描件；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13.2.1.10投标人法定代表人授权委托书原件（如有授权）（详见投标文件格式）；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13.2.1.11投标人授权代理人身份证扫描件（如有授权）；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13.2.1.12中小企业声明函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13.2.1.13残疾人福利性单位声明函（如有）；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13.2.1.14其他可以证明投标人资信、资质和货物、服务质量的证书、文件、推荐信等资料；（如有）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13.2.2技术及商务部分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13.2.2.3相关业绩一览表及相关证明材料（详见投标文件格式）；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13.2.2.4相关证书一览表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13.2.2.5投入本项目技术（服务）人员一览表及相关证明材料（详见投标文件格式）；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13.2.2.6项目的技术及服务方案等；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13.2.2.7招标文件及评分标准中要求提供的其他相关材料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13.2.2.8其他需投标人对本次投标的详细说明（投标人视各自的情况自行编制）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eastAsia="宋体" w:cs="宋体"/>
          <w:color w:val="auto"/>
          <w:sz w:val="21"/>
          <w:szCs w:val="21"/>
          <w:highlight w:val="none"/>
        </w:rPr>
        <w:t xml:space="preserve">包括完成本项工作所需的一切费用，包括但不限于完成相应工作任务涉及的人工费、通讯费、交通费、资料费、调查费、报告及方案编制费（含印刷费）、咨询费、后续服务费、评审费、利润、税金、政策性文件规定及合同包含的所有风险、责任等完成本项目的各项应有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69"/>
          <w:rFonts w:hint="eastAsia" w:ascii="宋体" w:hAnsi="宋体" w:eastAsia="宋体" w:cs="宋体"/>
          <w:color w:val="auto"/>
          <w:sz w:val="32"/>
          <w:szCs w:val="32"/>
          <w:highlight w:val="none"/>
        </w:rPr>
      </w:pPr>
      <w:r/>
      <w:bookmarkStart w:id="4" w:name="_Toc28477"/>
      <w:r>
        <w:rPr>
          <w:rStyle w:val="969"/>
          <w:rFonts w:ascii="宋体" w:hAnsi="宋体" w:eastAsia="宋体" w:cs="宋体"/>
          <w:color w:val="auto"/>
          <w:sz w:val="32"/>
          <w:szCs w:val="32"/>
          <w:highlight w:val="none"/>
        </w:rPr>
        <w:br w:type="page" w:clear="all"/>
      </w:r>
      <w:r/>
    </w:p>
    <w:p>
      <w:pPr>
        <w:pStyle w:val="968"/>
        <w:jc w:val="center"/>
        <w:rPr>
          <w:color w:val="auto"/>
          <w:highlight w:val="none"/>
        </w:rPr>
      </w:pPr>
      <w:r>
        <w:rPr>
          <w:rStyle w:val="969"/>
          <w:rFonts w:hint="eastAsia" w:ascii="宋体" w:hAnsi="宋体" w:eastAsia="宋体" w:cs="宋体"/>
          <w:color w:val="auto"/>
          <w:sz w:val="32"/>
          <w:szCs w:val="32"/>
          <w:highlight w:val="none"/>
        </w:rPr>
        <w:t xml:space="preserve">第三章 </w:t>
      </w:r>
      <w:bookmarkEnd w:id="4"/>
      <w:r>
        <w:rPr>
          <w:rStyle w:val="969"/>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太仓市自然资源和规划局</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太仓市耕地保护专项规划服务</w:t>
      </w:r>
      <w:r>
        <w:rPr>
          <w:rFonts w:hint="eastAsia" w:ascii="宋体" w:hAnsi="宋体" w:cs="宋体"/>
          <w:color w:val="auto"/>
          <w:sz w:val="21"/>
          <w:szCs w:val="21"/>
          <w:highlight w:val="none"/>
        </w:rPr>
        <w:t xml:space="preserve">进行国内公开招标。欢迎符合资格条件的供应商前来报名参加投标。</w:t>
      </w:r>
      <w:r/>
    </w:p>
    <w:p>
      <w:pPr>
        <w:pStyle w:val="940"/>
        <w:ind w:firstLine="420"/>
        <w:rPr>
          <w:color w:val="auto"/>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JSZC-320585-SZTZ-G2024-0018</w:t>
      </w:r>
      <w:r>
        <w:rPr>
          <w:rFonts w:hint="eastAsia" w:ascii="宋体" w:hAnsi="宋体" w:cs="宋体"/>
          <w:color w:val="auto"/>
          <w:sz w:val="21"/>
          <w:szCs w:val="21"/>
          <w:highlight w:val="none"/>
          <w:lang w:val="zh-CN"/>
        </w:rPr>
        <w:tab/>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太仓市耕地保护专项规划服务</w:t>
      </w:r>
      <w:r/>
    </w:p>
    <w:p>
      <w:pPr>
        <w:ind w:firstLine="422"/>
        <w:spacing w:line="360" w:lineRule="auto"/>
        <w:tabs>
          <w:tab w:val="left" w:pos="3600" w:leader="none"/>
        </w:tabs>
        <w:rPr>
          <w:rFonts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自合同签订之日起6个月内完成全部服务。</w:t>
      </w:r>
      <w:r/>
    </w:p>
    <w:p>
      <w:pPr>
        <w:ind w:firstLine="422"/>
        <w:spacing w:line="360" w:lineRule="auto"/>
        <w:tabs>
          <w:tab w:val="left" w:pos="3600" w:leader="none"/>
        </w:tabs>
        <w:rPr>
          <w:rFonts w:ascii="仿宋" w:hAnsi="仿宋" w:eastAsia="仿宋" w:cs="仿宋"/>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仿宋" w:hAnsi="仿宋" w:eastAsia="仿宋" w:cs="仿宋"/>
          <w:color w:val="auto"/>
          <w:sz w:val="21"/>
          <w:szCs w:val="21"/>
          <w:highlight w:val="none"/>
          <w:lang w:val="en-US" w:eastAsia="zh-CN"/>
        </w:rPr>
        <w:t xml:space="preserve">120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 </w:t>
      </w:r>
      <w:r/>
    </w:p>
    <w:p>
      <w:pPr>
        <w:ind w:firstLine="422"/>
        <w:spacing w:line="360" w:lineRule="auto"/>
        <w:tabs>
          <w:tab w:val="left" w:pos="3600" w:leader="none"/>
        </w:tabs>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5、最高限价：</w:t>
      </w:r>
      <w:r>
        <w:rPr>
          <w:rFonts w:hint="eastAsia" w:ascii="仿宋" w:hAnsi="仿宋" w:eastAsia="仿宋" w:cs="仿宋"/>
          <w:color w:val="auto"/>
          <w:sz w:val="21"/>
          <w:szCs w:val="21"/>
          <w:highlight w:val="none"/>
          <w:lang w:val="en-US" w:eastAsia="zh-CN"/>
        </w:rPr>
        <w:t xml:space="preserve">120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00000万元</w:t>
      </w:r>
      <w:r/>
    </w:p>
    <w:p>
      <w:pPr>
        <w:ind w:firstLine="422"/>
        <w:spacing w:line="360" w:lineRule="auto"/>
        <w:tabs>
          <w:tab w:val="left" w:pos="3600" w:leader="none"/>
        </w:tabs>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、服务地点：</w:t>
      </w:r>
      <w:r>
        <w:rPr>
          <w:rFonts w:hint="eastAsia" w:ascii="宋体" w:hAnsi="宋体" w:cs="宋体"/>
          <w:color w:val="auto"/>
          <w:sz w:val="21"/>
          <w:szCs w:val="21"/>
          <w:highlight w:val="none"/>
        </w:rPr>
        <w:t xml:space="preserve">采购方指定</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contextualSpacing/>
        <w:ind w:firstLine="420"/>
        <w:jc w:val="both"/>
        <w:spacing w:before="0" w:after="0" w:line="360" w:lineRule="auto"/>
        <w:rPr>
          <w:rFonts w:hint="eastAsia" w:ascii="宋体" w:hAnsi="宋体" w:eastAsia="宋体" w:cs="宋体"/>
          <w:bCs/>
          <w:color w:val="auto"/>
          <w:sz w:val="21"/>
          <w:szCs w:val="21"/>
          <w:highlight w:val="none"/>
        </w:rPr>
      </w:pPr>
      <w:r/>
      <w:bookmarkStart w:id="5" w:name="_Toc25002"/>
      <w:r>
        <w:rPr>
          <w:rFonts w:hint="eastAsia" w:ascii="宋体" w:hAnsi="宋体" w:eastAsia="宋体" w:cs="宋体"/>
          <w:bCs/>
          <w:color w:val="auto"/>
          <w:sz w:val="21"/>
          <w:szCs w:val="21"/>
          <w:highlight w:val="none"/>
        </w:rPr>
        <w:t xml:space="preserve">（一）项目背景</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粮食安全是国家安全的重要基础，关乎民生大计、国家发展之根本，历来是国家发展最重视的问题之一。特别是党的十八大以来，更是将耕地保护放到了前所未有的重要位置，多次强调严防死守耕地保护红线、确保实有耕地面积基本稳定、实行耕地数量和质量保护并重，实行耕地保护党政同责。耕地保护事关国家粮食安全、生态安全和社会稳定，以保障粮食安全为目的的耕地安全，已成为国家资源安全保障体系建设的关键。</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太仓市耕地保护工作，通过多方努力，近年来取得了一定的成绩，但面对耕地保护的新形势和新挑战，在耕地保护工作的推进过程中也遇到了一些新情况、新问题，需要系统性、针对性地研究解决。为深入贯彻党中央、国务院关于耕地保护的重要决策部署，扛稳粮食安全的重任，全面压实耕地保护责任，以严守耕地红线为目标，构建耕地数量、质量、生态保护三位一体新格局。</w:t>
      </w:r>
      <w:r/>
    </w:p>
    <w:p>
      <w:pPr>
        <w:contextualSpacing/>
        <w:ind w:firstLine="42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（二）项目内容及要求：</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耕地保护和利用专项规划作为国土空间规划体系的重要组成部分，是实施和深化国土空间总体规划的重要手段。在全面总结全市耕地保护主要成效和分析当前耕地保护形势的基础上，按照“国家立场、保护优先，系统思维、多措并举，问题导向、精准施策，压实责任、全民保护”的规划原则，分解规划期各项耕地保护指标任务，明确现状耕地、永久基本农田、耕地后备资源和恢复耕地数量及空间布局，确定规划期耕地保护规划实施的专项行动和重大工程，作为全市规划期耕地保护工作的重要行动纲领。</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1、耕地保护现状情况评估。包括：梳理“十二五”以来耕地流入流出情况、评估耕地保护目标执行情况、评估耕地“非农化”、“非粮化”情况等。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耕地保护形势分析。包括：预测规划期耕地占用需求，结合耕地后备资源潜力状况，围绕经济社会发展与耕地保护矛盾突出、优质耕地后备资源数量不足及难以落实“占优补优”等问题，分析规划期内耕地占补平衡可能面临的严峻形势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3、布局优化研究。包括：城镇开发边界集中建设区等建设占用耕地的必要性论证研究、补充耕地潜力研究、规划实施的生态环境影响评价等。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耕地保护机制研究。包括：补充耕地、耕地恢复开发计划管理，耕地和永久基本农田连片整治工程管理，耕地保护共同责任机制等方面。摸清太仓市耕地资源本底，梳理耕地保护取得的成绩与问题，研判耕地保护新要求和新形势；规划耕地保护总体格局，引导耕地集中布局；规划土地整治、耕地恢复、高标准农田建设、耕地质量提升等重点项目；建立耕地规划管控和分类保护体系，落实耕地最严格保护。</w:t>
      </w:r>
      <w:r/>
    </w:p>
    <w:p>
      <w:pPr>
        <w:contextualSpacing/>
        <w:ind w:firstLine="42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人员及</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要求：</w:t>
      </w:r>
      <w:r/>
    </w:p>
    <w:p>
      <w:pPr>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1.本项目要求拟投入的项目组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人员不少于7人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其中含项目负责人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具有一定的工作经验，有一定的专业技术水平，能够对</w:t>
      </w:r>
      <w:r>
        <w:rPr>
          <w:rFonts w:hint="eastAsia" w:ascii="宋体" w:hAnsi="宋体" w:eastAsia="宋体" w:cs="宋体"/>
          <w:color w:val="auto"/>
          <w:sz w:val="21"/>
          <w:szCs w:val="21"/>
          <w:highlight w:val="none"/>
        </w:rPr>
        <w:t xml:space="preserve">项目的</w:t>
      </w:r>
      <w:r>
        <w:rPr>
          <w:rFonts w:hint="eastAsia" w:ascii="宋体" w:hAnsi="宋体" w:eastAsia="宋体" w:cs="宋体"/>
          <w:color w:val="auto"/>
          <w:sz w:val="21"/>
          <w:szCs w:val="21"/>
          <w:highlight w:val="none"/>
          <w:lang w:val="en-US" w:eastAsia="zh-CN"/>
        </w:rPr>
        <w:t xml:space="preserve">整体</w:t>
      </w:r>
      <w:r>
        <w:rPr>
          <w:rFonts w:hint="eastAsia" w:ascii="宋体" w:hAnsi="宋体" w:eastAsia="宋体" w:cs="宋体"/>
          <w:color w:val="auto"/>
          <w:sz w:val="21"/>
          <w:szCs w:val="21"/>
          <w:highlight w:val="none"/>
        </w:rPr>
        <w:t xml:space="preserve">进度</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rPr>
        <w:t xml:space="preserve">把控，</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项目成果</w:t>
      </w:r>
      <w:r>
        <w:rPr>
          <w:rFonts w:hint="eastAsia" w:ascii="宋体" w:hAnsi="宋体" w:eastAsia="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rPr>
        <w:t xml:space="preserve">审核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其他技术人员不少于6人，</w:t>
      </w:r>
      <w:r>
        <w:rPr>
          <w:rFonts w:hint="eastAsia" w:ascii="宋体" w:hAnsi="宋体" w:eastAsia="宋体" w:cs="宋体"/>
          <w:color w:val="auto"/>
          <w:sz w:val="21"/>
          <w:szCs w:val="21"/>
          <w:highlight w:val="none"/>
        </w:rPr>
        <w:t xml:space="preserve">接受过国土空间规划培训，了解国家在耕地保护和利用方面的最新政策、法规和技术要求，能够确保规划方案符合国家的发展战略和政策导向。</w:t>
      </w:r>
      <w:r/>
    </w:p>
    <w:p>
      <w:pPr>
        <w:contextualSpacing/>
        <w:ind w:firstLine="42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2.本项目要求供应商拟投入使用的仪器设备能够满足项目工作要求，其中至少包含</w:t>
      </w:r>
      <w:r>
        <w:rPr>
          <w:rFonts w:hint="eastAsia" w:ascii="宋体" w:hAnsi="宋体" w:cs="宋体"/>
          <w:color w:val="auto"/>
          <w:sz w:val="21"/>
          <w:szCs w:val="21"/>
          <w:highlight w:val="none"/>
          <w:lang w:eastAsia="zh-CN"/>
        </w:rPr>
        <w:t xml:space="preserve">测量仪</w:t>
      </w:r>
      <w:r>
        <w:rPr>
          <w:rFonts w:hint="eastAsia" w:ascii="宋体" w:hAnsi="宋体" w:eastAsia="宋体" w:cs="宋体"/>
          <w:color w:val="auto"/>
          <w:sz w:val="21"/>
          <w:szCs w:val="21"/>
          <w:highlight w:val="none"/>
        </w:rPr>
        <w:t xml:space="preserve">、绘图仪。</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rPr>
        <w:t xml:space="preserve">）成果提交</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1、太仓市耕地保护和利用专项规划（2021-2035年）文本</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2、太仓市耕地保护和利用专项规划（2021-2035年）图册</w:t>
      </w:r>
      <w:r/>
    </w:p>
    <w:p>
      <w:pPr>
        <w:contextualSpacing/>
        <w:ind w:firstLine="420"/>
        <w:jc w:val="both"/>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付款方式</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合同签订生效后支付合同款的</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%作为预付款；提交初步成果后支付合同款的40%；项目通过论证后支付合同款的</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、综合说明及其他要求：</w:t>
      </w:r>
      <w:r/>
    </w:p>
    <w:p>
      <w:pPr>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1、供应商需充分了解现状情况，充分收集相关资料，听取有关部门意见，外地供应商应深入本地开展调研工作。</w:t>
      </w:r>
      <w:r/>
    </w:p>
    <w:p>
      <w:pPr>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2、服务期间，按照采购单位要求提供编制方案，根据采购单位需要，提供方案成果相关数据。服务期满，供应商应为采购人提供本项目服务的后续咨询。</w:t>
      </w:r>
      <w:r/>
    </w:p>
    <w:p>
      <w:pPr>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为本项目能在采购人规定时间内保质保量地完成，要求投标人针对本项目制定组织实施方案和配备专业的实施团队，</w:t>
      </w:r>
      <w:r>
        <w:rPr>
          <w:rFonts w:hint="eastAsia" w:ascii="宋体" w:hAnsi="宋体" w:eastAsia="宋体" w:cs="宋体"/>
          <w:bCs/>
          <w:color w:val="auto"/>
          <w:sz w:val="21"/>
          <w:szCs w:val="21"/>
          <w:highlight w:val="none"/>
          <w:lang w:val="en-US" w:eastAsia="zh-CN"/>
        </w:rPr>
        <w:t xml:space="preserve">方案内容至少包括：</w:t>
      </w:r>
      <w:r>
        <w:rPr>
          <w:rFonts w:hint="eastAsia" w:ascii="宋体" w:hAnsi="宋体" w:eastAsia="宋体" w:cs="宋体"/>
          <w:color w:val="auto"/>
          <w:sz w:val="21"/>
          <w:szCs w:val="21"/>
          <w:highlight w:val="none"/>
        </w:rPr>
        <w:t xml:space="preserve">投标单位对项目认知及应对措施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具体实施方案、保障措施、</w:t>
      </w:r>
      <w:r>
        <w:rPr>
          <w:rFonts w:hint="eastAsia" w:ascii="宋体" w:hAnsi="宋体" w:eastAsia="宋体" w:cs="宋体"/>
          <w:color w:val="auto"/>
          <w:sz w:val="21"/>
          <w:szCs w:val="21"/>
          <w:highlight w:val="none"/>
        </w:rPr>
        <w:t xml:space="preserve">后续服务</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bCs/>
          <w:color w:val="auto"/>
          <w:sz w:val="21"/>
          <w:szCs w:val="21"/>
          <w:highlight w:val="none"/>
        </w:rPr>
        <w:t xml:space="preserve">分析本项目重难点问题，着眼于统筹谋划耕地、林地、建设用地和其他土地的空间布局，重点解决规划期内农业产业结构调整和耕地恢复、新增耕地潜力挖潜和占补平衡、耕地“非农化”“非粮化”、提高耕地产出和农民种植意愿等问题。</w:t>
      </w:r>
      <w:r>
        <w:rPr>
          <w:rFonts w:hint="eastAsia" w:ascii="宋体" w:hAnsi="宋体" w:eastAsia="宋体" w:cs="宋体"/>
          <w:color w:val="auto"/>
          <w:sz w:val="21"/>
          <w:szCs w:val="21"/>
          <w:highlight w:val="none"/>
        </w:rPr>
        <w:t xml:space="preserve">中标后，项目团队人员配备应按投标文件中承诺的实施，不经采购单位同意，不得更换。</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4、如因采购人原因、政策原因或其它不可抗力原因造成时间延误，则本项目服务期限相应顺延。</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5、中标人对服务缺陷不予更正，招标人有权另请其他单位更正，所发生的费用由中标人承担。</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6、中标人有责任配合招标人接受上级领导部门的监督、检查，提供必须的资料。</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8、招标人不接受投标人任何因遗漏报价而发生的费用追加，因投标人违反《劳动法》等法律法规而造成招标人的连带责任和损失全部由中标人承担。</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9、报价</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采用人民币报价，应包括完成本项工作所需的一切费用，包括但不限于完成相应工作任务涉及的人工费、通讯费、交通费、资料费、调查费、报告及方案编制费（含印刷费）、咨询费、后续服务费、评审费、利润、税金、政策性文件规定及合同包含的所有风险、责任等完成本项目的各项应有费用。</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10、技术成果和版权归属：中标方受采购人委托完成的方案编制成果文稿版权归采购人。未经采购人允许，中标方不得将技术成果、版权向第三方转让，否则采购人有权追究中标方的责任。</w:t>
      </w:r>
      <w:r/>
    </w:p>
    <w:p>
      <w:pPr>
        <w:contextualSpacing/>
        <w:ind w:firstLine="420"/>
        <w:jc w:val="both"/>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技术情况和资料的保密：未经采购人的许可，中标方不得向其它第三方单位或个人提供或透漏采购人提供的资料和数据，不得自行发布、发表成果；中标方不得将编制成果作为其它商业用途，否则采购人有权追究中标方的责任。</w:t>
      </w:r>
      <w:r/>
    </w:p>
    <w:p>
      <w:pPr>
        <w:pStyle w:val="941"/>
        <w:ind w:firstLine="0"/>
        <w:rPr>
          <w:rStyle w:val="969"/>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line="400" w:lineRule="exact"/>
        <w:rPr>
          <w:rStyle w:val="969"/>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69"/>
          <w:rFonts w:ascii="宋体" w:hAnsi="宋体" w:eastAsia="宋体" w:cs="宋体"/>
          <w:color w:val="auto"/>
          <w:sz w:val="32"/>
          <w:szCs w:val="32"/>
          <w:highlight w:val="none"/>
        </w:rPr>
      </w:pPr>
      <w:r>
        <w:rPr>
          <w:rStyle w:val="969"/>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28"/>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p>
    <w:p>
      <w:pPr>
        <w:pStyle w:val="986"/>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36"/>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rPr>
        <w:t xml:space="preserve">应包括完成本项工作所需的一切费用，包括但不限于完成相应工作任务涉及的人工费、通讯费、交通费、资料费、调查费、报告及方案编制费（含印刷费）、咨询费、后续服务费、评审费、利润、税金、政策性文件规定及合同包含的所有风险、责任等完成本项目的各项应有费用。</w:t>
      </w:r>
      <w:r/>
    </w:p>
    <w:p>
      <w:pPr>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16"/>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997"/>
        <w:ind w:left="0"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941"/>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941"/>
        <w:ind w:firstLine="251"/>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936"/>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056"/>
        <w:gridCol w:w="1204"/>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ascii="宋体" w:hAnsi="宋体" w:cs="宋体"/>
                <w:color w:val="auto"/>
                <w:sz w:val="21"/>
                <w:szCs w:val="21"/>
                <w:highlight w:val="none"/>
              </w:rPr>
            </w:pPr>
            <w:r>
              <w:rPr>
                <w:rFonts w:hint="eastAsia"/>
                <w:b/>
                <w:bCs/>
                <w:color w:val="auto"/>
                <w:sz w:val="21"/>
                <w:szCs w:val="21"/>
                <w:highlight w:val="none"/>
                <w:lang w:val="en-US" w:eastAsia="zh-CN"/>
              </w:rPr>
              <w:t xml:space="preserve">合</w:t>
            </w:r>
            <w:r>
              <w:rPr>
                <w:rFonts w:hint="eastAsia"/>
                <w:b/>
                <w:bCs/>
                <w:color w:val="auto"/>
                <w:sz w:val="21"/>
                <w:szCs w:val="21"/>
                <w:highlight w:val="none"/>
              </w:rPr>
              <w:t xml:space="preserve">价</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960"/>
        <w:ind w:firstLine="5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28"/>
        <w:numPr>
          <w:ilvl w:val="0"/>
          <w:numId w:val="0"/>
        </w:numPr>
        <w:ind w:left="403"/>
        <w:jc w:val="center"/>
        <w:spacing w:before="156" w:after="0" w:line="420" w:lineRule="exact"/>
        <w:rPr>
          <w:color w:val="auto"/>
          <w:sz w:val="44"/>
          <w:szCs w:val="44"/>
          <w:highlight w:val="none"/>
          <w:lang w:val="zh-CN"/>
        </w:rPr>
      </w:pPr>
      <w:r>
        <w:rPr>
          <w:color w:val="auto"/>
          <w:sz w:val="44"/>
          <w:szCs w:val="44"/>
          <w:highlight w:val="none"/>
          <w:lang w:val="zh-CN"/>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jc w:val="center"/>
        <w:spacing w:line="360" w:lineRule="auto"/>
        <w:widowControl w:val="off"/>
        <w:rPr>
          <w:b/>
          <w:color w:val="auto"/>
          <w:sz w:val="44"/>
          <w:szCs w:val="44"/>
          <w:highlight w:val="none"/>
        </w:rPr>
      </w:pPr>
      <w:r>
        <w:rPr>
          <w:b/>
          <w:color w:val="auto"/>
          <w:sz w:val="44"/>
          <w:szCs w:val="44"/>
          <w:highlight w:val="none"/>
        </w:rPr>
      </w:r>
      <w:r/>
    </w:p>
    <w:p>
      <w:pPr>
        <w:pStyle w:val="941"/>
        <w:rPr>
          <w:color w:val="auto"/>
          <w:highlight w:val="none"/>
        </w:rPr>
      </w:pPr>
      <w:r>
        <w:rPr>
          <w:color w:val="auto"/>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940"/>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pStyle w:val="940"/>
        <w:jc w:val="both"/>
        <w:rPr>
          <w:b/>
          <w:color w:val="auto"/>
          <w:sz w:val="44"/>
          <w:szCs w:val="44"/>
          <w:highlight w:val="none"/>
        </w:rPr>
      </w:pPr>
      <w:r>
        <w:rPr>
          <w:b/>
          <w:color w:val="auto"/>
          <w:sz w:val="44"/>
          <w:szCs w:val="44"/>
          <w:highlight w:val="none"/>
        </w:rPr>
      </w:r>
      <w:r/>
    </w:p>
    <w:p>
      <w:pPr>
        <w:pStyle w:val="937"/>
        <w:numPr>
          <w:ilvl w:val="0"/>
          <w:numId w:val="5"/>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7"/>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37"/>
        <w:ind w:firstLine="0"/>
        <w:rPr>
          <w:rFonts w:ascii="宋体" w:hAnsi="宋体" w:eastAsia="宋体" w:cs="宋体"/>
          <w:b/>
          <w:color w:val="auto"/>
          <w:highlight w:val="none"/>
        </w:rPr>
      </w:pPr>
      <w:r>
        <w:rPr>
          <w:rFonts w:ascii="宋体" w:hAnsi="宋体" w:eastAsia="宋体" w:cs="宋体"/>
          <w:b/>
          <w:color w:val="auto"/>
          <w:highlight w:val="none"/>
        </w:rPr>
      </w:r>
      <w:r/>
    </w:p>
    <w:p>
      <w:pPr>
        <w:pStyle w:val="937"/>
        <w:ind w:firstLine="0"/>
        <w:rPr>
          <w:rFonts w:ascii="宋体" w:hAnsi="宋体" w:eastAsia="宋体" w:cs="宋体"/>
          <w:color w:val="auto"/>
          <w:highlight w:val="none"/>
        </w:rPr>
      </w:pPr>
      <w:r>
        <w:rPr>
          <w:rFonts w:ascii="宋体" w:hAnsi="宋体" w:eastAsia="宋体" w:cs="宋体"/>
          <w:color w:val="auto"/>
          <w:highlight w:val="none"/>
        </w:rPr>
      </w:r>
      <w:r/>
    </w:p>
    <w:p>
      <w:pPr>
        <w:pStyle w:val="937"/>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7"/>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7"/>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86"/>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37"/>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投标人营业执照或独立法人证书副本或三证合一营业执照扫描件；</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986"/>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986"/>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Cs w:val="21"/>
          <w:highlight w:val="none"/>
        </w:rPr>
      </w:pPr>
      <w:r>
        <w:rPr>
          <w:b/>
          <w:bCs/>
          <w:color w:val="auto"/>
          <w:szCs w:val="21"/>
          <w:highlight w:val="none"/>
        </w:rPr>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937"/>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37"/>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3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549"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24626"/>
      <w:r/>
      <w:bookmarkStart w:id="7" w:name="_Toc29896"/>
      <w:r/>
      <w:bookmarkStart w:id="8" w:name="_Toc17310"/>
      <w:r/>
      <w:bookmarkStart w:id="9" w:name="_Toc14425"/>
      <w:r/>
      <w:bookmarkStart w:id="10" w:name="_Toc9742"/>
      <w:r/>
      <w:bookmarkStart w:id="11" w:name="_Toc5717"/>
      <w:r/>
      <w:bookmarkStart w:id="12" w:name="_Toc18702"/>
      <w:r/>
      <w:bookmarkStart w:id="13" w:name="_Toc20811"/>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4786"/>
      <w:r/>
      <w:bookmarkStart w:id="15" w:name="_Toc25556"/>
      <w:r/>
      <w:bookmarkStart w:id="16" w:name="_Toc30046"/>
      <w:r/>
      <w:bookmarkStart w:id="17" w:name="_Toc18588"/>
      <w:r/>
      <w:bookmarkStart w:id="18" w:name="_Toc11337"/>
      <w:r/>
      <w:bookmarkStart w:id="19" w:name="_Toc11973"/>
      <w:r/>
      <w:bookmarkStart w:id="20" w:name="_Toc25055"/>
      <w:r/>
      <w:bookmarkStart w:id="21" w:name="_Toc6794"/>
      <w:r/>
      <w:bookmarkStart w:id="22" w:name="_Toc7351"/>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37"/>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37"/>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7"/>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7"/>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7"/>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37"/>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28"/>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28"/>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994"/>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40"/>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22"/>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22"/>
        <w:numPr>
          <w:ilvl w:val="0"/>
          <w:numId w:val="6"/>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40"/>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40"/>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40"/>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13"/>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13"/>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13"/>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57"/>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7"/>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56"/>
        <w:spacing w:before="0" w:beforeAutospacing="0" w:after="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37"/>
        <w:numPr>
          <w:ilvl w:val="0"/>
          <w:numId w:val="5"/>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937"/>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937"/>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3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37"/>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3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3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32"/>
        <w:gridCol w:w="1547"/>
        <w:gridCol w:w="3000"/>
        <w:gridCol w:w="2819"/>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47"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w:t>
            </w:r>
            <w:r/>
          </w:p>
        </w:tc>
        <w:tc>
          <w:tcPr>
            <w:tcBorders>
              <w:top w:val="single" w:color="auto" w:sz="4"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服务地点</w:t>
            </w:r>
            <w:r/>
          </w:p>
        </w:tc>
        <w:tc>
          <w:tcPr>
            <w:tcBorders>
              <w:top w:val="single" w:color="auto" w:sz="4" w:space="0"/>
              <w:left w:val="single" w:color="auto" w:sz="4" w:space="0"/>
              <w:bottom w:val="single" w:color="auto" w:sz="8" w:space="0"/>
              <w:right w:val="single" w:color="auto" w:sz="8" w:space="0"/>
            </w:tcBorders>
            <w:tcW w:w="3000" w:type="dxa"/>
            <w:vAlign w:val="center"/>
            <w:textDirection w:val="lrTb"/>
            <w:noWrap w:val="false"/>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632"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47"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3000"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819"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格式13：相关证书一览表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575"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32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57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937"/>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格式14：</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合同签订时间</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37"/>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格式15：投入本项目技术（服务）人员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40"/>
        <w:rPr>
          <w:color w:val="auto"/>
          <w:highlight w:val="none"/>
        </w:rPr>
      </w:pPr>
      <w:r>
        <w:rPr>
          <w:color w:val="auto"/>
          <w:highlight w:val="none"/>
        </w:rPr>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13"/>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13"/>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格式16：服务方案及其他招标文件要求自行编写格式</w:t>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969"/>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969"/>
          <w:rFonts w:ascii="宋体" w:hAnsi="宋体" w:eastAsia="宋体" w:cs="宋体"/>
          <w:color w:val="auto"/>
          <w:sz w:val="32"/>
          <w:szCs w:val="32"/>
          <w:highlight w:val="none"/>
        </w:rPr>
      </w:pPr>
      <w:r>
        <w:rPr>
          <w:rStyle w:val="969"/>
          <w:rFonts w:hint="eastAsia" w:ascii="宋体" w:hAnsi="宋体" w:eastAsia="宋体" w:cs="宋体"/>
          <w:color w:val="auto"/>
          <w:sz w:val="32"/>
          <w:szCs w:val="32"/>
          <w:highlight w:val="none"/>
        </w:rPr>
        <w:t xml:space="preserve">第五章 评标办法及评分标准</w:t>
      </w:r>
      <w:bookmarkEnd w:id="24"/>
      <w:r/>
      <w:r/>
    </w:p>
    <w:p>
      <w:pPr>
        <w:pStyle w:val="994"/>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994"/>
        <w:numPr>
          <w:ilvl w:val="0"/>
          <w:numId w:val="7"/>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协议供货目录</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采购清单中的设备如属协议供货中规定的目录内产品将参照苏州市政府采购共享江苏省省级最新一期协议目录产品，同时还须满足协议供货承诺书中所作的承诺。投标人所响应产品型号</w:t>
      </w:r>
      <w:r>
        <w:rPr>
          <w:rFonts w:hint="eastAsia" w:ascii="宋体" w:hAnsi="宋体" w:cs="宋体"/>
          <w:b/>
          <w:bCs/>
          <w:color w:val="auto"/>
          <w:sz w:val="21"/>
          <w:szCs w:val="21"/>
          <w:highlight w:val="none"/>
          <w:lang w:bidi="ar"/>
        </w:rPr>
        <w:t xml:space="preserve">必须</w:t>
      </w:r>
      <w:r>
        <w:rPr>
          <w:rFonts w:hint="eastAsia" w:ascii="宋体" w:hAnsi="宋体" w:cs="宋体"/>
          <w:color w:val="auto"/>
          <w:sz w:val="21"/>
          <w:szCs w:val="21"/>
          <w:highlight w:val="none"/>
          <w:lang w:bidi="ar"/>
        </w:rPr>
        <w:t xml:space="preserve">为协议供货目录中有的品牌型号，</w:t>
      </w:r>
      <w:r>
        <w:rPr>
          <w:rFonts w:hint="eastAsia" w:ascii="宋体" w:hAnsi="宋体" w:cs="宋体"/>
          <w:b/>
          <w:bCs/>
          <w:color w:val="auto"/>
          <w:sz w:val="21"/>
          <w:szCs w:val="21"/>
          <w:highlight w:val="none"/>
          <w:lang w:bidi="ar"/>
        </w:rPr>
        <w:t xml:space="preserve">且单台设备报价不得高于最高限价</w:t>
      </w:r>
      <w:r>
        <w:rPr>
          <w:rFonts w:hint="eastAsia" w:ascii="宋体" w:hAnsi="宋体" w:cs="宋体"/>
          <w:color w:val="auto"/>
          <w:sz w:val="21"/>
          <w:szCs w:val="21"/>
          <w:highlight w:val="none"/>
          <w:lang w:bidi="ar"/>
        </w:rPr>
        <w:t xml:space="preserve">，</w:t>
      </w:r>
      <w:r>
        <w:rPr>
          <w:rFonts w:hint="eastAsia" w:ascii="宋体" w:hAnsi="宋体" w:cs="宋体"/>
          <w:b/>
          <w:bCs/>
          <w:color w:val="auto"/>
          <w:sz w:val="21"/>
          <w:szCs w:val="21"/>
          <w:highlight w:val="none"/>
          <w:lang w:bidi="ar"/>
        </w:rPr>
        <w:t xml:space="preserve">否则视为未实质性响应</w:t>
      </w:r>
      <w:r>
        <w:rPr>
          <w:rFonts w:hint="eastAsia" w:ascii="宋体" w:hAnsi="宋体" w:cs="宋体"/>
          <w:color w:val="auto"/>
          <w:sz w:val="21"/>
          <w:szCs w:val="21"/>
          <w:highlight w:val="none"/>
          <w:lang w:bidi="ar"/>
        </w:rPr>
        <w:t xml:space="preserve">。投标人可提供相关产品信息的截图资料以便评审，清单截图资料以递交投标文件截止时已正式公布的最近一期信息为准。</w:t>
      </w:r>
      <w:r/>
    </w:p>
    <w:p>
      <w:pPr>
        <w:ind w:firstLine="420"/>
        <w:spacing w:line="360" w:lineRule="auto"/>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在最新一期协议供货目录发布时已经开展但尚未进入评审环节的政府采购活动，可同时执行最新一期和其上期协议供货目录。</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 小微企业的价格分评审</w:t>
      </w:r>
      <w:r/>
    </w:p>
    <w:p>
      <w:pPr>
        <w:pStyle w:val="95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（1）本项目属于专门面向中小微企业，小微企业不享受价格扣除优惠。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5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4.4.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5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4.5.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价格</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在所有有效投标报价中选择报价最低的确定为基准报价；</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  （本次招标价格权值为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Start w:id="25" w:name="_Hlk166577857"/>
      <w:r/>
      <w:r/>
    </w:p>
    <w:p>
      <w:pPr>
        <w:ind w:firstLine="422"/>
        <w:jc w:val="both"/>
        <w:keepLines w:val="0"/>
        <w:keepNext w:val="0"/>
        <w:pageBreakBefore w:val="0"/>
        <w:spacing w:before="0" w:after="0"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color w:val="auto"/>
          <w:sz w:val="21"/>
          <w:szCs w:val="21"/>
          <w:highlight w:val="none"/>
        </w:rPr>
        <w:t xml:space="preserve">技术方案（</w:t>
      </w:r>
      <w:r>
        <w:rPr>
          <w:rFonts w:hint="eastAsia" w:ascii="宋体" w:hAnsi="宋体" w:eastAsia="宋体" w:cs="宋体"/>
          <w:b/>
          <w:color w:val="auto"/>
          <w:sz w:val="21"/>
          <w:szCs w:val="21"/>
          <w:highlight w:val="none"/>
          <w:lang w:val="en-US" w:eastAsia="zh-CN"/>
        </w:rPr>
        <w:t xml:space="preserve">50</w:t>
      </w:r>
      <w:r>
        <w:rPr>
          <w:rFonts w:hint="eastAsia" w:ascii="宋体" w:hAnsi="宋体" w:eastAsia="宋体" w:cs="宋体"/>
          <w:b/>
          <w:color w:val="auto"/>
          <w:sz w:val="21"/>
          <w:szCs w:val="21"/>
          <w:highlight w:val="none"/>
        </w:rPr>
        <w:t xml:space="preserve">分）</w:t>
      </w:r>
      <w:r/>
    </w:p>
    <w:p>
      <w:pPr>
        <w:ind w:firstLine="420"/>
        <w:jc w:val="both"/>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1、根据投标单位对项目认知及应对措施进行评分，方案内容至少包括：①项目宏观情况现状分析及存在的问题②工作重难点分析及解决应对措施等。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投标单位了解项目宏观情况，熟悉项目现状，对存在的问题与项目需求剖析深入且有针对性的，得7分；投标单位基本了解项目宏观情况，基本了解项目现状，对存在的问题与项目需求分析</w:t>
      </w:r>
      <w:r>
        <w:rPr>
          <w:rFonts w:hint="eastAsia" w:ascii="宋体" w:hAnsi="宋体" w:eastAsia="宋体" w:cs="宋体"/>
          <w:color w:val="auto"/>
          <w:sz w:val="21"/>
          <w:szCs w:val="21"/>
          <w:highlight w:val="none"/>
          <w:lang w:val="en-US" w:eastAsia="zh-CN"/>
        </w:rPr>
        <w:t xml:space="preserve">不到位</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分。不提供的不得分。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本项目工作重难点分析和解决应对措施条理较清晰、逻辑严密，可行性强的，得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分；对本项目工作重难点分析不到位</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解决应对措施</w:t>
      </w:r>
      <w:r>
        <w:rPr>
          <w:rFonts w:hint="eastAsia" w:ascii="宋体" w:hAnsi="宋体" w:eastAsia="宋体" w:cs="宋体"/>
          <w:color w:val="auto"/>
          <w:sz w:val="21"/>
          <w:szCs w:val="21"/>
          <w:highlight w:val="none"/>
          <w:lang w:val="en-US" w:eastAsia="zh-CN"/>
        </w:rPr>
        <w:t xml:space="preserve">不合理</w:t>
      </w:r>
      <w:r>
        <w:rPr>
          <w:rFonts w:hint="eastAsia" w:ascii="宋体" w:hAnsi="宋体" w:eastAsia="宋体" w:cs="宋体"/>
          <w:color w:val="auto"/>
          <w:sz w:val="21"/>
          <w:szCs w:val="21"/>
          <w:highlight w:val="none"/>
        </w:rPr>
        <w:t xml:space="preserve">，得3分；不提供的不得分。</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2、根据投标单位提供的实施方案进行评分，方案内容至少包括：①工作方法及技术路线②进度安排及各阶段工作成果③组织实施流程等。</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方案内容针对本项目且符合本项目实际需求的，得15分，每缺少一项内容，或内容明显错误，或内容非专门针对本项目，或内容不能满足本项目实际需求的，每一项扣5分。</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3、根据投标人提供的项目保障措施进行评分，方案内容至少包括：①进度保障措施②质量保障措施③安全保密措施等。</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方案内容针对本项目且符合本项目实际需求的，得15分，每缺少一项内容，或内容明显错误，或内容非专门针对本项目，或内容不能满足本项目实际需求的，每一项扣5分。</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4、根据投标单位提供的后续服务进行评分，方案内容至少包括：①服务内容②服务响应③服务流程等。</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方案内容针对本项目且符合本项目实际需求的，得6分，每缺少一项内容，或内容明显错误，或内容非专门针对本项目，或内容不能满足本项目实际需求的，每一项扣2分。</w:t>
      </w:r>
      <w:r/>
    </w:p>
    <w:p>
      <w:pPr>
        <w:ind w:firstLine="422"/>
        <w:jc w:val="both"/>
        <w:keepLines w:val="0"/>
        <w:keepNext w:val="0"/>
        <w:pageBreakBefore w:val="0"/>
        <w:spacing w:before="0" w:after="0" w:line="36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（三）企业综合实力比较（</w:t>
      </w:r>
      <w:r>
        <w:rPr>
          <w:rFonts w:hint="eastAsia" w:ascii="宋体" w:hAnsi="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bookmarkStart w:id="31" w:name="_GoBack"/>
      <w:r>
        <w:rPr>
          <w:rFonts w:hint="eastAsia" w:ascii="宋体" w:hAnsi="宋体" w:eastAsia="宋体" w:cs="宋体"/>
          <w:color w:val="auto"/>
          <w:sz w:val="21"/>
          <w:szCs w:val="21"/>
          <w:highlight w:val="none"/>
        </w:rPr>
        <w:t xml:space="preserve">1、项目团队（</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项目负责人具有土地相关专业且具有高级及以上职称得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分，土地相关专业</w:t>
      </w:r>
      <w:r>
        <w:rPr>
          <w:rFonts w:hint="eastAsia" w:ascii="宋体" w:hAnsi="宋体" w:cs="宋体"/>
          <w:color w:val="auto"/>
          <w:sz w:val="21"/>
          <w:szCs w:val="21"/>
          <w:highlight w:val="none"/>
          <w:lang w:val="en-US" w:eastAsia="zh-CN"/>
        </w:rPr>
        <w:t xml:space="preserve">且具有</w:t>
      </w:r>
      <w:r>
        <w:rPr>
          <w:rFonts w:hint="eastAsia" w:ascii="宋体" w:hAnsi="宋体" w:eastAsia="宋体" w:cs="宋体"/>
          <w:color w:val="auto"/>
          <w:sz w:val="21"/>
          <w:szCs w:val="21"/>
          <w:highlight w:val="none"/>
        </w:rPr>
        <w:t xml:space="preserve">中级职称得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w:t>
      </w:r>
      <w:r>
        <w:rPr>
          <w:rFonts w:hint="eastAsia" w:ascii="宋体" w:hAnsi="宋体" w:cs="宋体"/>
          <w:color w:val="auto"/>
          <w:sz w:val="21"/>
          <w:szCs w:val="21"/>
          <w:highlight w:val="none"/>
          <w:lang w:val="en-US" w:eastAsia="zh-CN"/>
        </w:rPr>
        <w:t xml:space="preserve">组技术人员</w:t>
      </w:r>
      <w:r>
        <w:rPr>
          <w:rFonts w:hint="eastAsia" w:ascii="宋体" w:hAnsi="宋体" w:eastAsia="宋体" w:cs="宋体"/>
          <w:color w:val="auto"/>
          <w:sz w:val="21"/>
          <w:szCs w:val="21"/>
          <w:highlight w:val="none"/>
        </w:rPr>
        <w:t xml:space="preserve">（除项目负责人外）（</w:t>
      </w: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1）项目组</w:t>
      </w:r>
      <w:r>
        <w:rPr>
          <w:rFonts w:hint="eastAsia" w:ascii="宋体" w:hAnsi="宋体" w:cs="宋体"/>
          <w:color w:val="auto"/>
          <w:sz w:val="21"/>
          <w:szCs w:val="21"/>
          <w:highlight w:val="none"/>
          <w:lang w:val="en-US" w:eastAsia="zh-CN"/>
        </w:rPr>
        <w:t xml:space="preserve">技术人员</w:t>
      </w:r>
      <w:r>
        <w:rPr>
          <w:rFonts w:hint="eastAsia" w:ascii="宋体" w:hAnsi="宋体" w:eastAsia="宋体" w:cs="宋体"/>
          <w:color w:val="auto"/>
          <w:sz w:val="21"/>
          <w:szCs w:val="21"/>
          <w:highlight w:val="none"/>
        </w:rPr>
        <w:t xml:space="preserve">具有土地</w:t>
      </w:r>
      <w:r>
        <w:rPr>
          <w:rFonts w:hint="eastAsia" w:ascii="宋体" w:hAnsi="宋体" w:cs="宋体"/>
          <w:color w:val="auto"/>
          <w:sz w:val="21"/>
          <w:szCs w:val="21"/>
          <w:highlight w:val="none"/>
          <w:lang w:val="en-US" w:eastAsia="zh-CN"/>
        </w:rPr>
        <w:t xml:space="preserve">或规划类</w:t>
      </w:r>
      <w:r>
        <w:rPr>
          <w:rFonts w:hint="eastAsia" w:ascii="宋体" w:hAnsi="宋体" w:eastAsia="宋体" w:cs="宋体"/>
          <w:color w:val="auto"/>
          <w:sz w:val="21"/>
          <w:szCs w:val="21"/>
          <w:highlight w:val="none"/>
        </w:rPr>
        <w:t xml:space="preserve">专业中级及以上职称，并同时具有土地学会颁发的国家国土空间规划培训（教育）合格证书的，每人得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2）项目组</w:t>
      </w:r>
      <w:r>
        <w:rPr>
          <w:rFonts w:hint="eastAsia" w:ascii="宋体" w:hAnsi="宋体" w:cs="宋体"/>
          <w:color w:val="auto"/>
          <w:sz w:val="21"/>
          <w:szCs w:val="21"/>
          <w:highlight w:val="none"/>
          <w:lang w:val="en-US" w:eastAsia="zh-CN"/>
        </w:rPr>
        <w:t xml:space="preserve">技术人员</w:t>
      </w:r>
      <w:r>
        <w:rPr>
          <w:rFonts w:hint="eastAsia" w:ascii="宋体" w:hAnsi="宋体" w:eastAsia="宋体" w:cs="宋体"/>
          <w:color w:val="auto"/>
          <w:sz w:val="21"/>
          <w:szCs w:val="21"/>
          <w:highlight w:val="none"/>
        </w:rPr>
        <w:t xml:space="preserve">具有土地、地理信息系统或测绘类专业中级及以上职称的，每人得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注：以上项目团队所有人员不可重复计分，为在职非退休人员，并提供最近一个月本单位缴纳的社保证明及对应证书原件扫描件并加盖投标单位公章，否则不得分。人员专业以职称证或毕业证为准。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2、体系认证（</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有效的ISO14001环境管理体系认证证书、职业健康安全管理体系认证证书、有1个得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3、类似业绩（</w:t>
      </w:r>
      <w:r>
        <w:rPr>
          <w:rFonts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w:t>
      </w:r>
      <w:r>
        <w:rPr>
          <w:rFonts w:ascii="宋体" w:hAnsi="宋体" w:eastAsia="宋体" w:cs="宋体"/>
          <w:color w:val="auto"/>
          <w:sz w:val="21"/>
          <w:szCs w:val="21"/>
          <w:highlight w:val="none"/>
        </w:rPr>
        <w:t xml:space="preserve">2021</w:t>
      </w:r>
      <w:r>
        <w:rPr>
          <w:rFonts w:hint="eastAsia" w:ascii="宋体" w:hAnsi="宋体" w:eastAsia="宋体" w:cs="宋体"/>
          <w:color w:val="auto"/>
          <w:sz w:val="21"/>
          <w:szCs w:val="21"/>
          <w:highlight w:val="none"/>
        </w:rPr>
        <w:t xml:space="preserve">年以来（以合同签订时间为准）具有与本次招标服务项目类似项目（如</w:t>
      </w:r>
      <w:r>
        <w:rPr>
          <w:rFonts w:ascii="宋体" w:hAnsi="宋体" w:eastAsia="宋体" w:cs="宋体"/>
          <w:color w:val="auto"/>
          <w:sz w:val="21"/>
          <w:szCs w:val="21"/>
          <w:highlight w:val="none"/>
        </w:rPr>
        <w:t xml:space="preserve">国土空间规划、增减挂</w:t>
      </w:r>
      <w:r>
        <w:rPr>
          <w:rFonts w:hint="eastAsia" w:ascii="宋体" w:hAnsi="宋体" w:eastAsia="宋体" w:cs="宋体"/>
          <w:color w:val="auto"/>
          <w:sz w:val="21"/>
          <w:szCs w:val="21"/>
          <w:highlight w:val="none"/>
        </w:rPr>
        <w:t xml:space="preserve">钩</w:t>
      </w:r>
      <w:r>
        <w:rPr>
          <w:rFonts w:ascii="宋体" w:hAnsi="宋体" w:eastAsia="宋体" w:cs="宋体"/>
          <w:color w:val="auto"/>
          <w:sz w:val="21"/>
          <w:szCs w:val="21"/>
          <w:highlight w:val="none"/>
        </w:rPr>
        <w:t xml:space="preserve">专项规划、耕地后备资源</w:t>
      </w:r>
      <w:r>
        <w:rPr>
          <w:rFonts w:hint="eastAsia" w:ascii="宋体" w:hAnsi="宋体" w:eastAsia="宋体" w:cs="宋体"/>
          <w:color w:val="auto"/>
          <w:sz w:val="21"/>
          <w:szCs w:val="21"/>
          <w:highlight w:val="none"/>
        </w:rPr>
        <w:t xml:space="preserve">等）业绩的，每提供一份项目合同得1分，最高得12分。</w:t>
      </w:r>
      <w:r/>
    </w:p>
    <w:p>
      <w:pPr>
        <w:ind w:firstLine="420"/>
        <w:jc w:val="both"/>
        <w:keepLines w:val="0"/>
        <w:keepNext w:val="0"/>
        <w:pageBreakBefore w:val="0"/>
        <w:spacing w:before="0"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注：需提供类似项目业绩合同扫描件，未提供不得分。</w:t>
      </w:r>
      <w:r/>
    </w:p>
    <w:p>
      <w:pPr>
        <w:pStyle w:val="994"/>
        <w:ind w:right="0"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bookmarkEnd w:id="25"/>
      <w:r/>
      <w:r/>
    </w:p>
    <w:p>
      <w:pPr>
        <w:pStyle w:val="994"/>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bookmarkEnd w:id="31"/>
      <w:r/>
      <w:r/>
    </w:p>
    <w:p>
      <w:pPr>
        <w:jc w:val="center"/>
        <w:spacing w:line="360" w:lineRule="auto"/>
        <w:widowControl w:val="off"/>
        <w:rPr>
          <w:rStyle w:val="969"/>
          <w:rFonts w:ascii="宋体" w:hAnsi="宋体" w:eastAsia="宋体" w:cs="宋体"/>
          <w:color w:val="auto"/>
          <w:sz w:val="32"/>
          <w:szCs w:val="32"/>
          <w:highlight w:val="none"/>
        </w:rPr>
      </w:pPr>
      <w:r>
        <w:rPr>
          <w:rStyle w:val="969"/>
          <w:rFonts w:hint="eastAsia" w:ascii="宋体" w:hAnsi="宋体" w:eastAsia="宋体" w:cs="宋体"/>
          <w:color w:val="auto"/>
          <w:sz w:val="32"/>
          <w:szCs w:val="32"/>
          <w:highlight w:val="none"/>
        </w:rPr>
        <w:br w:type="page" w:clear="all"/>
      </w:r>
      <w:bookmarkStart w:id="26" w:name="_Toc31315"/>
      <w:r>
        <w:rPr>
          <w:rStyle w:val="969"/>
          <w:rFonts w:hint="eastAsia" w:ascii="宋体" w:hAnsi="宋体" w:eastAsia="宋体" w:cs="宋体"/>
          <w:color w:val="auto"/>
          <w:sz w:val="32"/>
          <w:szCs w:val="32"/>
          <w:highlight w:val="none"/>
        </w:rPr>
        <w:t xml:space="preserve">第六章 合同格式</w:t>
      </w:r>
      <w:bookmarkEnd w:id="26"/>
      <w:r/>
      <w:r/>
    </w:p>
    <w:p>
      <w:pPr>
        <w:spacing w:line="440" w:lineRule="exact"/>
        <w:rPr>
          <w:rFonts w:ascii="宋体" w:hAnsi="宋体" w:cs="宋体"/>
          <w:color w:val="auto"/>
          <w:highlight w:val="none"/>
        </w:rPr>
      </w:pPr>
      <w:r/>
      <w:bookmarkStart w:id="27" w:name="_Toc479449569"/>
      <w:r/>
      <w:bookmarkStart w:id="28" w:name="_Toc479449483"/>
      <w:r/>
      <w:bookmarkStart w:id="29" w:name="_Toc480191160"/>
      <w:r/>
      <w:bookmarkEnd w:id="27"/>
      <w:r/>
      <w:bookmarkEnd w:id="28"/>
      <w:r/>
      <w:bookmarkEnd w:id="29"/>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986"/>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太仓市耕地保护专项规划服务</w:t>
      </w:r>
      <w:r/>
    </w:p>
    <w:tbl>
      <w:tblPr>
        <w:tblStyle w:val="93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lang w:eastAsia="zh-CN"/>
              </w:rPr>
              <w:t xml:space="preserve">太仓市自然资源和规划局</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JSZC-320585-SZTZ-G2024-0018</w:t>
      </w:r>
      <w:r>
        <w:rPr>
          <w:rFonts w:hint="eastAsia" w:cs="宋体"/>
          <w:color w:val="auto"/>
          <w:sz w:val="21"/>
          <w:szCs w:val="21"/>
          <w:highlight w:val="none"/>
          <w:u w:val="single"/>
          <w:lang w:eastAsia="zh-CN"/>
        </w:rPr>
        <w:tab/>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太仓市耕地保护专项规划服务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工作，签订本合同书。</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技术服务内容</w:t>
      </w:r>
      <w:r/>
    </w:p>
    <w:p>
      <w:pPr>
        <w:contextualSpacing/>
        <w:ind w:firstLine="420"/>
        <w:spacing w:before="0" w:after="0"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项目内容及要求：</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耕地保护和利用专项规划作为国土空间规划体系的重要组成部分，是实施和深化国土空间总体规划的重要手段。在全面总结全市耕地保护主要成效和分析当前耕地保护形势的基础上，按照“国家立场、保护优先，系统思维、多措并举，问题导向、精准施策，压实责任、全民保护”的规划原则，分解规划期各项耕地保护指标任务，明确现状耕地、永久基本农田、耕地后备资源和恢复耕地数量及空间布局，确定规划期耕地保护规划实施的专项行动和重大工程，作为全市规划期耕地保护工作的重要行动纲领。</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1、耕地保护现状情况评估。包括：梳理“十二五”以来耕地流入流出情况、评估耕地保护目标执行情况、评估耕地“非农化”、“非粮化”情况等。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耕地保护形势分析。包括：预测规划期耕地占用需求，结合耕地后备资源潜力状况，围绕经济社会发展与耕地保护矛盾突出、优质耕地后备资源数量不足及难以落实“占优补优”等问题，分析规划期内耕地占补平衡可能面临的严峻形势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3、布局优化研究。包括：城镇开发边界集中建设区等建设占用耕地的必要性论证研究、补充耕地潜力研究、规划实施的生态环境影响评价等。</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耕地保护机制研究。包括：补充耕地、耕地恢复开发计划管理，耕地和永久基本农田连片整治工程管理，耕地保护共同责任机制等方面。摸清太仓市耕地资源本底，梳理耕地保护取得的成绩与问题，研判耕地保护新要求和新形势；规划耕地保护总体格局，引导耕地集中布局；规划土地整治、耕地恢复、高标准农田建设、耕地质量提升等重点项目；建立耕地规划管控和分类保护体系，落实耕地最严格保护。</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）成果提交</w:t>
      </w:r>
      <w:r/>
    </w:p>
    <w:p>
      <w:pPr>
        <w:contextualSpacing/>
        <w:ind w:firstLine="420"/>
        <w:jc w:val="both"/>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1、太仓市耕地保护和利用专项规划（2021-2035年）文本</w:t>
      </w:r>
      <w:r/>
    </w:p>
    <w:p>
      <w:pPr>
        <w:contextualSpacing/>
        <w:ind w:firstLine="420"/>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2、太仓市耕地保护和利用专项规划（2021-2035年）图册</w:t>
      </w:r>
      <w:r/>
    </w:p>
    <w:p>
      <w:pPr>
        <w:pStyle w:val="968"/>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合同履约期限：</w:t>
      </w:r>
      <w:r>
        <w:rPr>
          <w:rFonts w:hint="eastAsia" w:ascii="宋体" w:hAnsi="宋体" w:eastAsia="宋体" w:cs="宋体"/>
          <w:color w:val="auto"/>
          <w:sz w:val="21"/>
          <w:szCs w:val="21"/>
          <w:highlight w:val="none"/>
          <w:lang w:eastAsia="zh-CN" w:bidi="ar"/>
        </w:rPr>
        <w:t xml:space="preserve">自合同签订之日起6个月内完成全部服务。</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（四）其他要求详见招标文件及乙方在投标文件中所做的承诺。</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双方的权利和义务</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协助、配合乙方收集工作区内相关资料</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为乙方工作提供便利条件，协调好</w:t>
      </w:r>
      <w:r>
        <w:rPr>
          <w:rFonts w:hint="eastAsia" w:ascii="宋体" w:hAnsi="宋体" w:eastAsia="宋体" w:cs="宋体"/>
          <w:color w:val="auto"/>
          <w:sz w:val="21"/>
          <w:szCs w:val="21"/>
          <w:highlight w:val="none"/>
          <w:lang w:val="en-US" w:eastAsia="zh-CN"/>
        </w:rPr>
        <w:t xml:space="preserve">各部门</w:t>
      </w:r>
      <w:r>
        <w:rPr>
          <w:rFonts w:hint="eastAsia" w:ascii="宋体" w:hAnsi="宋体" w:eastAsia="宋体" w:cs="宋体"/>
          <w:color w:val="auto"/>
          <w:sz w:val="21"/>
          <w:szCs w:val="21"/>
          <w:highlight w:val="none"/>
        </w:rPr>
        <w:t xml:space="preserve">关系。</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保证工作经费的及时到位。</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按照国家和江苏省相关法律法规、技术要求、标准规范等开展工作，</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及时向甲方汇报项目进展，工作中出现问题及时同甲方沟通解决。</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按时提交成果，并配合甲方要求做好成果应用服务工作。</w:t>
      </w:r>
      <w:r/>
    </w:p>
    <w:p>
      <w:pPr>
        <w:pStyle w:val="956"/>
        <w:ind w:left="0" w:right="0"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bottom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乙方承诺：乙方将对在甲方</w:t>
      </w:r>
      <w:r>
        <w:rPr>
          <w:rFonts w:hint="eastAsia" w:ascii="宋体" w:hAnsi="宋体" w:eastAsia="宋体" w:cs="宋体"/>
          <w:b w:val="0"/>
          <w:bCs w:val="0"/>
          <w:color w:val="auto"/>
          <w:sz w:val="21"/>
          <w:szCs w:val="21"/>
          <w:highlight w:val="none"/>
          <w:lang w:eastAsia="zh-CN"/>
        </w:rPr>
        <w:t xml:space="preserve">指定</w:t>
      </w:r>
      <w:r>
        <w:rPr>
          <w:rFonts w:hint="eastAsia" w:ascii="宋体" w:hAnsi="宋体" w:eastAsia="宋体" w:cs="宋体"/>
          <w:b w:val="0"/>
          <w:bCs w:val="0"/>
          <w:color w:val="auto"/>
          <w:sz w:val="21"/>
          <w:szCs w:val="21"/>
          <w:highlight w:val="none"/>
        </w:rPr>
        <w:t xml:space="preserve">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合同金额与支付</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1、根据本项目采购结果，合同总金额为人民币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付款方式</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合同签订生效后支付合同款的</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lang w:eastAsia="zh-CN"/>
        </w:rPr>
        <w:t xml:space="preserve">%作为预付款；提交初步成果后支付合同款的40%；项目通过论证后支付合同款的</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lang w:eastAsia="zh-CN"/>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3、乙方开户银行：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第四条、税费</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中国政府根据现行税法规定对乙方征收的、与本合同有关的一切税费，均由乙方负担。</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技术情报及资料的保管</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乙方负责对甲方所提供资料及最终成果的保密。</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技术成果的归属和分享</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968"/>
        <w:ind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第七条  </w:t>
      </w:r>
      <w:r>
        <w:rPr>
          <w:rFonts w:hint="eastAsia" w:ascii="宋体" w:hAnsi="宋体" w:eastAsia="宋体" w:cs="宋体"/>
          <w:b/>
          <w:bCs/>
          <w:color w:val="auto"/>
          <w:sz w:val="21"/>
          <w:szCs w:val="21"/>
          <w:highlight w:val="none"/>
        </w:rPr>
        <w:t xml:space="preserve">质量要求</w:t>
      </w:r>
      <w:r/>
    </w:p>
    <w:p>
      <w:pPr>
        <w:pStyle w:val="968"/>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各项成果应严格按照招标文件、行业规范、技术标准执行，确保满足相关要求。</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第八条  风险责任的承担：</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乙方需按期完成所承担的工作，若因乙方未按期完成应承担的工作造成项目延误，其风险责任由乙方承担。</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在合同生效后，甲方无正当理由要求解除合同的，应向乙方偿付合同总价款10%的违约金，</w:t>
      </w:r>
      <w:bookmarkStart w:id="30" w:name="_Hlk112854527"/>
      <w:r>
        <w:rPr>
          <w:rFonts w:hint="eastAsia" w:ascii="宋体" w:hAnsi="宋体" w:eastAsia="宋体" w:cs="宋体"/>
          <w:color w:val="auto"/>
          <w:sz w:val="21"/>
          <w:szCs w:val="21"/>
          <w:highlight w:val="none"/>
        </w:rPr>
        <w:t xml:space="preserve">违约金不足以补偿损失的，乙方有权要求甲方补足。</w:t>
      </w:r>
      <w:bookmarkEnd w:id="30"/>
      <w:r/>
      <w:r/>
    </w:p>
    <w:p>
      <w:pPr>
        <w:numPr>
          <w:ilvl w:val="0"/>
          <w:numId w:val="8"/>
        </w:num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乙方有权要求甲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4、不可抗力</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第十条  </w:t>
      </w:r>
      <w:r>
        <w:rPr>
          <w:rFonts w:hint="eastAsia" w:ascii="宋体" w:hAnsi="宋体" w:eastAsia="宋体" w:cs="宋体"/>
          <w:b/>
          <w:bCs/>
          <w:color w:val="auto"/>
          <w:sz w:val="21"/>
          <w:szCs w:val="21"/>
          <w:highlight w:val="none"/>
        </w:rPr>
        <w:t xml:space="preserve">索赔</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同意赔偿甲方生效司法或行政文书所确认的金额。</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第十一条  </w:t>
      </w:r>
      <w:r>
        <w:rPr>
          <w:rFonts w:hint="eastAsia" w:ascii="宋体" w:hAnsi="宋体" w:eastAsia="宋体" w:cs="宋体"/>
          <w:b/>
          <w:bCs/>
          <w:color w:val="auto"/>
          <w:sz w:val="21"/>
          <w:szCs w:val="21"/>
          <w:highlight w:val="none"/>
        </w:rPr>
        <w:t xml:space="preserve">合同的转让</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合同的部分和全部都不得擅自转让，否则甲方有权解除本合同。</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第十二条  </w:t>
      </w:r>
      <w:r>
        <w:rPr>
          <w:rFonts w:hint="eastAsia" w:ascii="宋体" w:hAnsi="宋体" w:eastAsia="宋体" w:cs="宋体"/>
          <w:b/>
          <w:bCs/>
          <w:color w:val="auto"/>
          <w:sz w:val="21"/>
          <w:szCs w:val="21"/>
          <w:highlight w:val="none"/>
        </w:rPr>
        <w:t xml:space="preserve">合同的解除：</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right="0" w:firstLine="420"/>
        <w:keepLines w:val="0"/>
        <w:keepNext w:val="0"/>
        <w:pageBreakBefore w:val="0"/>
        <w:spacing w:line="360" w:lineRule="auto"/>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right="0" w:firstLine="420"/>
        <w:keepLines w:val="0"/>
        <w:keepNext w:val="0"/>
        <w:pageBreakBefore w:val="0"/>
        <w:spacing w:line="360" w:lineRule="auto"/>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第十三条  </w:t>
      </w:r>
      <w:r>
        <w:rPr>
          <w:rFonts w:hint="eastAsia" w:ascii="宋体" w:hAnsi="宋体" w:eastAsia="宋体" w:cs="宋体"/>
          <w:b/>
          <w:bCs/>
          <w:color w:val="auto"/>
          <w:sz w:val="21"/>
          <w:szCs w:val="21"/>
          <w:highlight w:val="none"/>
        </w:rPr>
        <w:t xml:space="preserve">争议处置</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第十四条  </w:t>
      </w:r>
      <w:r>
        <w:rPr>
          <w:rFonts w:hint="eastAsia" w:ascii="宋体" w:hAnsi="宋体" w:eastAsia="宋体" w:cs="宋体"/>
          <w:b/>
          <w:bCs/>
          <w:color w:val="auto"/>
          <w:sz w:val="21"/>
          <w:szCs w:val="21"/>
          <w:highlight w:val="none"/>
        </w:rPr>
        <w:t xml:space="preserve">合同生效及其它：</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本合同经双方签字盖章后生效，并向招标代理机构备案。</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合同在执行过程中出现的未尽事宜，双方在不违背本合同的原则下协商解决，协商结果以书面形式记录在案，作为本合同附件，与本合同具有同等效力。</w:t>
      </w:r>
      <w:r/>
    </w:p>
    <w:p>
      <w:pPr>
        <w:ind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第十五条 特别条款</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双方签约人为各自法定代表人或被授权代表。</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份，代理机构</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份，各份具有同等法律效力。</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36"/>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vAlign w:val="top"/>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甲方（盖章）：太仓市自然资源和规划局</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46" w:type="dxa"/>
            <w:vAlign w:val="top"/>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代表人或委</w:t>
            </w:r>
            <w:r/>
          </w:p>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r>
    </w:tbl>
    <w:p>
      <w:pPr>
        <w:ind w:right="0" w:firstLine="420"/>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备案方</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全文完</w:t>
      </w:r>
      <w:r>
        <w:rPr>
          <w:rFonts w:hint="eastAsia" w:ascii="宋体" w:hAnsi="宋体" w:cs="宋体"/>
          <w:color w:val="auto"/>
          <w:sz w:val="21"/>
          <w:szCs w:val="21"/>
          <w:highlight w:val="none"/>
          <w:lang w:eastAsia="zh-CN"/>
        </w:rPr>
        <w:t xml:space="preserve">）</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25"/>
        <w:ind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3"/>
      </w:rPr>
      <w:framePr w:wrap="around" w:vAnchor="text" w:hAnchor="margin" w:xAlign="center" w:y="2"/>
    </w:pPr>
    <w:r>
      <w:fldChar w:fldCharType="begin"/>
    </w:r>
    <w:r>
      <w:rPr>
        <w:rStyle w:val="963"/>
      </w:rPr>
      <w:instrText xml:space="preserve">PAGE  </w:instrText>
    </w:r>
    <w:r>
      <w:fldChar w:fldCharType="separate"/>
    </w:r>
    <w:r>
      <w:rPr>
        <w:rStyle w:val="963"/>
      </w:rPr>
      <w:t xml:space="preserve">0</w:t>
    </w:r>
    <w:r>
      <w:fldChar w:fldCharType="end"/>
    </w:r>
    <w:r/>
  </w:p>
  <w:p>
    <w:pPr>
      <w:pStyle w:val="9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47</w:t>
    </w:r>
    <w:r>
      <w:fldChar w:fldCharType="end"/>
    </w:r>
    <w:r/>
  </w:p>
  <w:p>
    <w:pPr>
      <w:pStyle w:val="9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1</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JSZC-320585-SZTZ-G2024-0018</w:t>
    </w:r>
    <w:r>
      <w:rPr>
        <w:rFonts w:hint="eastAsia"/>
        <w:lang w:eastAsia="zh-CN"/>
      </w:rPr>
      <w:tab/>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JSZC-320585-SZTZ-G2024-0018</w:t>
    </w:r>
    <w:r>
      <w:rPr>
        <w:rFonts w:hint="eastAsia"/>
        <w:lang w:eastAsia="zh-CN"/>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926"/>
      <w:isLgl w:val="false"/>
      <w:suff w:val="nothing"/>
      <w:lvlText w:val="%1、"/>
      <w:lvlJc w:val="left"/>
      <w:pPr>
        <w:ind w:left="0" w:firstLine="0"/>
      </w:pPr>
      <w:rPr>
        <w:rFonts w:hint="eastAsia"/>
      </w:rPr>
    </w:lvl>
    <w:lvl w:ilvl="1">
      <w:start w:val="1"/>
      <w:numFmt w:val="chineseCounting"/>
      <w:pStyle w:val="927"/>
      <w:isLgl w:val="false"/>
      <w:suff w:val="nothing"/>
      <w:lvlText w:val="（%2）"/>
      <w:lvlJc w:val="left"/>
      <w:pPr>
        <w:ind w:left="0" w:firstLine="0"/>
      </w:pPr>
      <w:rPr>
        <w:rFonts w:hint="eastAsia"/>
      </w:rPr>
    </w:lvl>
    <w:lvl w:ilvl="2">
      <w:start w:val="1"/>
      <w:numFmt w:val="decimal"/>
      <w:pStyle w:val="928"/>
      <w:isLgl w:val="false"/>
      <w:suff w:val="nothing"/>
      <w:lvlText w:val="%3．"/>
      <w:lvlJc w:val="left"/>
      <w:pPr>
        <w:ind w:left="0" w:firstLine="400"/>
      </w:pPr>
      <w:rPr>
        <w:rFonts w:hint="eastAsia"/>
      </w:rPr>
    </w:lvl>
    <w:lvl w:ilvl="3">
      <w:start w:val="1"/>
      <w:numFmt w:val="decimal"/>
      <w:pStyle w:val="929"/>
      <w:isLgl w:val="false"/>
      <w:suff w:val="nothing"/>
      <w:lvlText w:val="（%4）"/>
      <w:lvlJc w:val="left"/>
      <w:pPr>
        <w:ind w:left="0" w:firstLine="402"/>
      </w:pPr>
      <w:rPr>
        <w:rFonts w:hint="eastAsia"/>
      </w:rPr>
    </w:lvl>
    <w:lvl w:ilvl="4">
      <w:start w:val="1"/>
      <w:numFmt w:val="decimalEnclosedCircleChinese"/>
      <w:pStyle w:val="930"/>
      <w:isLgl w:val="false"/>
      <w:suff w:val="nothing"/>
      <w:lvlText w:val="%5"/>
      <w:lvlJc w:val="left"/>
      <w:pPr>
        <w:ind w:left="0" w:firstLine="402"/>
      </w:pPr>
      <w:rPr>
        <w:rFonts w:hint="eastAsia"/>
      </w:rPr>
    </w:lvl>
    <w:lvl w:ilvl="5">
      <w:start w:val="1"/>
      <w:numFmt w:val="decimal"/>
      <w:pStyle w:val="931"/>
      <w:isLgl w:val="false"/>
      <w:suff w:val="nothing"/>
      <w:lvlText w:val="%6）"/>
      <w:lvlJc w:val="left"/>
      <w:pPr>
        <w:ind w:left="0" w:firstLine="402"/>
      </w:pPr>
      <w:rPr>
        <w:rFonts w:hint="eastAsia"/>
      </w:rPr>
    </w:lvl>
    <w:lvl w:ilvl="6">
      <w:start w:val="1"/>
      <w:numFmt w:val="lowerLetter"/>
      <w:pStyle w:val="932"/>
      <w:isLgl w:val="false"/>
      <w:suff w:val="nothing"/>
      <w:lvlText w:val="%7．"/>
      <w:lvlJc w:val="left"/>
      <w:pPr>
        <w:ind w:left="0" w:firstLine="402"/>
      </w:pPr>
      <w:rPr>
        <w:rFonts w:hint="eastAsia"/>
      </w:rPr>
    </w:lvl>
    <w:lvl w:ilvl="7">
      <w:start w:val="1"/>
      <w:numFmt w:val="lowerLetter"/>
      <w:pStyle w:val="933"/>
      <w:isLgl w:val="false"/>
      <w:suff w:val="nothing"/>
      <w:lvlText w:val="%8）"/>
      <w:lvlJc w:val="left"/>
      <w:pPr>
        <w:ind w:left="0" w:firstLine="402"/>
      </w:pPr>
      <w:rPr>
        <w:rFonts w:hint="eastAsia"/>
      </w:rPr>
    </w:lvl>
    <w:lvl w:ilvl="8">
      <w:start w:val="1"/>
      <w:numFmt w:val="lowerRoman"/>
      <w:pStyle w:val="934"/>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1023"/>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3"/>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2"/>
  </w:num>
  <w:num w:numId="5">
    <w:abstractNumId w:val="7"/>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5"/>
    <w:link w:val="926"/>
    <w:uiPriority w:val="9"/>
    <w:rPr>
      <w:rFonts w:ascii="Arial" w:hAnsi="Arial" w:eastAsia="Arial" w:cs="Arial"/>
      <w:sz w:val="40"/>
      <w:szCs w:val="40"/>
    </w:rPr>
  </w:style>
  <w:style w:type="character" w:styleId="766">
    <w:name w:val="Heading 2 Char"/>
    <w:basedOn w:val="935"/>
    <w:link w:val="927"/>
    <w:uiPriority w:val="9"/>
    <w:rPr>
      <w:rFonts w:ascii="Arial" w:hAnsi="Arial" w:eastAsia="Arial" w:cs="Arial"/>
      <w:sz w:val="34"/>
    </w:rPr>
  </w:style>
  <w:style w:type="character" w:styleId="767">
    <w:name w:val="Heading 3 Char"/>
    <w:basedOn w:val="935"/>
    <w:link w:val="928"/>
    <w:uiPriority w:val="9"/>
    <w:rPr>
      <w:rFonts w:ascii="Arial" w:hAnsi="Arial" w:eastAsia="Arial" w:cs="Arial"/>
      <w:sz w:val="30"/>
      <w:szCs w:val="30"/>
    </w:rPr>
  </w:style>
  <w:style w:type="character" w:styleId="768">
    <w:name w:val="Heading 4 Char"/>
    <w:basedOn w:val="935"/>
    <w:link w:val="929"/>
    <w:uiPriority w:val="9"/>
    <w:rPr>
      <w:rFonts w:ascii="Arial" w:hAnsi="Arial" w:eastAsia="Arial" w:cs="Arial"/>
      <w:b/>
      <w:bCs/>
      <w:sz w:val="26"/>
      <w:szCs w:val="26"/>
    </w:rPr>
  </w:style>
  <w:style w:type="character" w:styleId="769">
    <w:name w:val="Heading 5 Char"/>
    <w:basedOn w:val="935"/>
    <w:link w:val="930"/>
    <w:uiPriority w:val="9"/>
    <w:rPr>
      <w:rFonts w:ascii="Arial" w:hAnsi="Arial" w:eastAsia="Arial" w:cs="Arial"/>
      <w:b/>
      <w:bCs/>
      <w:sz w:val="24"/>
      <w:szCs w:val="24"/>
    </w:rPr>
  </w:style>
  <w:style w:type="character" w:styleId="770">
    <w:name w:val="Heading 6 Char"/>
    <w:basedOn w:val="935"/>
    <w:link w:val="931"/>
    <w:uiPriority w:val="9"/>
    <w:rPr>
      <w:rFonts w:ascii="Arial" w:hAnsi="Arial" w:eastAsia="Arial" w:cs="Arial"/>
      <w:b/>
      <w:bCs/>
      <w:sz w:val="22"/>
      <w:szCs w:val="22"/>
    </w:rPr>
  </w:style>
  <w:style w:type="character" w:styleId="771">
    <w:name w:val="Heading 7 Char"/>
    <w:basedOn w:val="935"/>
    <w:link w:val="932"/>
    <w:uiPriority w:val="9"/>
    <w:rPr>
      <w:rFonts w:ascii="Arial" w:hAnsi="Arial" w:eastAsia="Arial" w:cs="Arial"/>
      <w:b/>
      <w:bCs/>
      <w:i/>
      <w:iCs/>
      <w:sz w:val="22"/>
      <w:szCs w:val="22"/>
    </w:rPr>
  </w:style>
  <w:style w:type="character" w:styleId="772">
    <w:name w:val="Heading 8 Char"/>
    <w:basedOn w:val="935"/>
    <w:link w:val="933"/>
    <w:uiPriority w:val="9"/>
    <w:rPr>
      <w:rFonts w:ascii="Arial" w:hAnsi="Arial" w:eastAsia="Arial" w:cs="Arial"/>
      <w:i/>
      <w:iCs/>
      <w:sz w:val="22"/>
      <w:szCs w:val="22"/>
    </w:rPr>
  </w:style>
  <w:style w:type="character" w:styleId="773">
    <w:name w:val="Heading 9 Char"/>
    <w:basedOn w:val="935"/>
    <w:link w:val="934"/>
    <w:uiPriority w:val="9"/>
    <w:rPr>
      <w:rFonts w:ascii="Arial" w:hAnsi="Arial" w:eastAsia="Arial" w:cs="Arial"/>
      <w:i/>
      <w:iCs/>
      <w:sz w:val="21"/>
      <w:szCs w:val="21"/>
    </w:rPr>
  </w:style>
  <w:style w:type="paragraph" w:styleId="774">
    <w:name w:val="List Paragraph"/>
    <w:basedOn w:val="925"/>
    <w:uiPriority w:val="34"/>
    <w:qFormat/>
    <w:pPr>
      <w:contextualSpacing/>
      <w:ind w:left="720"/>
    </w:pPr>
  </w:style>
  <w:style w:type="character" w:styleId="775">
    <w:name w:val="Title Char"/>
    <w:basedOn w:val="935"/>
    <w:link w:val="957"/>
    <w:uiPriority w:val="10"/>
    <w:rPr>
      <w:sz w:val="48"/>
      <w:szCs w:val="48"/>
    </w:rPr>
  </w:style>
  <w:style w:type="character" w:styleId="776">
    <w:name w:val="Subtitle Char"/>
    <w:basedOn w:val="935"/>
    <w:link w:val="952"/>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5"/>
    <w:link w:val="949"/>
    <w:uiPriority w:val="99"/>
  </w:style>
  <w:style w:type="character" w:styleId="782">
    <w:name w:val="Footer Char"/>
    <w:basedOn w:val="935"/>
    <w:link w:val="947"/>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47"/>
    <w:uiPriority w:val="99"/>
  </w:style>
  <w:style w:type="table" w:styleId="785">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35"/>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5"/>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rPr>
      <w:rFonts w:ascii="Times New Roman" w:hAnsi="Times New Roman" w:eastAsia="宋体" w:cs="Times New Roman"/>
      <w:sz w:val="24"/>
      <w:szCs w:val="24"/>
      <w:lang w:val="en-US" w:eastAsia="zh-CN" w:bidi="ar-SA"/>
    </w:rPr>
  </w:style>
  <w:style w:type="paragraph" w:styleId="926">
    <w:name w:val="Heading 1"/>
    <w:basedOn w:val="925"/>
    <w:next w:val="925"/>
    <w:link w:val="969"/>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27">
    <w:name w:val="Heading 2"/>
    <w:basedOn w:val="925"/>
    <w:next w:val="925"/>
    <w:link w:val="970"/>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28">
    <w:name w:val="Heading 3"/>
    <w:basedOn w:val="925"/>
    <w:next w:val="937"/>
    <w:uiPriority w:val="0"/>
    <w:qFormat/>
    <w:pPr>
      <w:numPr>
        <w:ilvl w:val="2"/>
        <w:numId w:val="1"/>
      </w:numPr>
      <w:keepLines/>
      <w:keepNext/>
      <w:spacing w:before="260" w:after="260" w:line="416" w:lineRule="auto"/>
      <w:outlineLvl w:val="2"/>
    </w:pPr>
    <w:rPr>
      <w:b/>
      <w:bCs/>
      <w:sz w:val="32"/>
      <w:szCs w:val="32"/>
    </w:rPr>
  </w:style>
  <w:style w:type="paragraph" w:styleId="929">
    <w:name w:val="Heading 4"/>
    <w:basedOn w:val="925"/>
    <w:next w:val="92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30">
    <w:name w:val="Heading 5"/>
    <w:basedOn w:val="925"/>
    <w:next w:val="925"/>
    <w:uiPriority w:val="0"/>
    <w:qFormat/>
    <w:pPr>
      <w:numPr>
        <w:ilvl w:val="4"/>
        <w:numId w:val="1"/>
      </w:numPr>
      <w:keepLines/>
      <w:keepNext/>
      <w:spacing w:before="280" w:after="290" w:line="376" w:lineRule="auto"/>
      <w:outlineLvl w:val="4"/>
    </w:pPr>
    <w:rPr>
      <w:b/>
      <w:bCs/>
      <w:sz w:val="28"/>
      <w:szCs w:val="28"/>
    </w:rPr>
  </w:style>
  <w:style w:type="paragraph" w:styleId="931">
    <w:name w:val="Heading 6"/>
    <w:basedOn w:val="925"/>
    <w:next w:val="925"/>
    <w:uiPriority w:val="0"/>
    <w:qFormat/>
    <w:pPr>
      <w:numPr>
        <w:ilvl w:val="5"/>
        <w:numId w:val="1"/>
      </w:numPr>
      <w:keepLines/>
      <w:keepNext/>
      <w:spacing w:before="240" w:after="64" w:line="320" w:lineRule="auto"/>
      <w:outlineLvl w:val="5"/>
    </w:pPr>
    <w:rPr>
      <w:rFonts w:ascii="Arial" w:hAnsi="Arial" w:eastAsia="黑体"/>
      <w:b/>
      <w:bCs/>
    </w:rPr>
  </w:style>
  <w:style w:type="paragraph" w:styleId="932">
    <w:name w:val="Heading 7"/>
    <w:basedOn w:val="925"/>
    <w:next w:val="925"/>
    <w:uiPriority w:val="0"/>
    <w:qFormat/>
    <w:pPr>
      <w:numPr>
        <w:ilvl w:val="6"/>
        <w:numId w:val="1"/>
      </w:numPr>
      <w:jc w:val="center"/>
      <w:keepLines/>
      <w:keepNext/>
      <w:spacing w:before="30" w:after="10"/>
      <w:outlineLvl w:val="6"/>
    </w:pPr>
    <w:rPr>
      <w:rFonts w:eastAsia="黑体"/>
      <w:lang w:val="zh-CN"/>
    </w:rPr>
  </w:style>
  <w:style w:type="paragraph" w:styleId="933">
    <w:name w:val="Heading 8"/>
    <w:basedOn w:val="932"/>
    <w:next w:val="925"/>
    <w:uiPriority w:val="0"/>
    <w:qFormat/>
    <w:pPr>
      <w:numPr>
        <w:ilvl w:val="7"/>
      </w:numPr>
      <w:keepLines w:val="0"/>
      <w:keepNext w:val="0"/>
      <w:spacing w:before="10" w:after="30"/>
      <w:outlineLvl w:val="7"/>
    </w:pPr>
  </w:style>
  <w:style w:type="paragraph" w:styleId="934">
    <w:name w:val="Heading 9"/>
    <w:basedOn w:val="925"/>
    <w:next w:val="925"/>
    <w:uiPriority w:val="0"/>
    <w:qFormat/>
    <w:pPr>
      <w:numPr>
        <w:ilvl w:val="8"/>
        <w:numId w:val="1"/>
      </w:numPr>
      <w:keepLines/>
      <w:keepNext/>
      <w:spacing w:before="240" w:after="64" w:line="317" w:lineRule="auto"/>
      <w:outlineLvl w:val="8"/>
    </w:pPr>
    <w:rPr>
      <w:rFonts w:ascii="Arial" w:hAnsi="Arial" w:eastAsia="黑体"/>
      <w:sz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25"/>
    <w:uiPriority w:val="0"/>
    <w:qFormat/>
    <w:pPr>
      <w:ind w:firstLine="420"/>
      <w:widowControl w:val="off"/>
    </w:pPr>
    <w:rPr>
      <w:rFonts w:eastAsia="楷体_GB2312"/>
      <w:szCs w:val="20"/>
    </w:rPr>
  </w:style>
  <w:style w:type="paragraph" w:styleId="938">
    <w:name w:val="Document Map"/>
    <w:basedOn w:val="925"/>
    <w:link w:val="971"/>
    <w:uiPriority w:val="0"/>
    <w:qFormat/>
    <w:pPr>
      <w:shd w:val="clear" w:color="auto" w:fill="000080"/>
    </w:pPr>
  </w:style>
  <w:style w:type="paragraph" w:styleId="939">
    <w:name w:val="annotation text"/>
    <w:basedOn w:val="925"/>
    <w:uiPriority w:val="0"/>
    <w:qFormat/>
  </w:style>
  <w:style w:type="paragraph" w:styleId="940">
    <w:name w:val="Body Text"/>
    <w:basedOn w:val="925"/>
    <w:uiPriority w:val="0"/>
    <w:qFormat/>
    <w:pPr>
      <w:spacing w:after="120"/>
    </w:pPr>
  </w:style>
  <w:style w:type="paragraph" w:styleId="941">
    <w:name w:val="Body Text Indent"/>
    <w:basedOn w:val="925"/>
    <w:uiPriority w:val="0"/>
    <w:qFormat/>
    <w:pPr>
      <w:ind w:right="-159" w:firstLine="246"/>
      <w:jc w:val="both"/>
      <w:spacing w:line="240" w:lineRule="atLeast"/>
      <w:widowControl w:val="off"/>
    </w:pPr>
    <w:rPr>
      <w:spacing w:val="20"/>
      <w:sz w:val="21"/>
    </w:rPr>
  </w:style>
  <w:style w:type="paragraph" w:styleId="942">
    <w:name w:val="Block Text"/>
    <w:basedOn w:val="92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43">
    <w:name w:val="Plain Text"/>
    <w:basedOn w:val="925"/>
    <w:link w:val="972"/>
    <w:uiPriority w:val="0"/>
    <w:qFormat/>
    <w:rPr>
      <w:rFonts w:ascii="宋体" w:hAnsi="Courier New" w:eastAsia="楷体_GB2312"/>
      <w:sz w:val="26"/>
      <w:szCs w:val="20"/>
    </w:rPr>
  </w:style>
  <w:style w:type="paragraph" w:styleId="944">
    <w:name w:val="Date"/>
    <w:basedOn w:val="925"/>
    <w:next w:val="925"/>
    <w:link w:val="973"/>
    <w:uiPriority w:val="0"/>
    <w:qFormat/>
    <w:pPr>
      <w:ind w:left="100"/>
      <w:jc w:val="both"/>
      <w:widowControl w:val="off"/>
    </w:pPr>
    <w:rPr>
      <w:b/>
      <w:bCs/>
      <w:spacing w:val="20"/>
      <w:sz w:val="21"/>
    </w:rPr>
  </w:style>
  <w:style w:type="paragraph" w:styleId="945">
    <w:name w:val="Body Text Indent 2"/>
    <w:basedOn w:val="925"/>
    <w:uiPriority w:val="0"/>
    <w:qFormat/>
    <w:pPr>
      <w:ind w:firstLine="460"/>
      <w:spacing w:line="360" w:lineRule="auto"/>
    </w:pPr>
    <w:rPr>
      <w:spacing w:val="20"/>
      <w:sz w:val="21"/>
    </w:rPr>
  </w:style>
  <w:style w:type="paragraph" w:styleId="946">
    <w:name w:val="Balloon Text"/>
    <w:basedOn w:val="925"/>
    <w:uiPriority w:val="0"/>
    <w:qFormat/>
    <w:rPr>
      <w:sz w:val="18"/>
      <w:szCs w:val="18"/>
    </w:rPr>
  </w:style>
  <w:style w:type="paragraph" w:styleId="947">
    <w:name w:val="Footer"/>
    <w:basedOn w:val="925"/>
    <w:link w:val="974"/>
    <w:uiPriority w:val="99"/>
    <w:qFormat/>
    <w:pPr>
      <w:widowControl w:val="off"/>
      <w:tabs>
        <w:tab w:val="center" w:pos="4153" w:leader="none"/>
        <w:tab w:val="right" w:pos="8306" w:leader="none"/>
      </w:tabs>
    </w:pPr>
    <w:rPr>
      <w:sz w:val="18"/>
      <w:szCs w:val="18"/>
    </w:rPr>
  </w:style>
  <w:style w:type="paragraph" w:styleId="948">
    <w:name w:val="envelope return"/>
    <w:basedOn w:val="925"/>
    <w:uiPriority w:val="99"/>
    <w:unhideWhenUsed/>
    <w:qFormat/>
    <w:rPr>
      <w:rFonts w:ascii="Arial" w:hAnsi="Arial"/>
    </w:rPr>
  </w:style>
  <w:style w:type="paragraph" w:styleId="949">
    <w:name w:val="Header"/>
    <w:basedOn w:val="925"/>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50">
    <w:name w:val="toc 1"/>
    <w:basedOn w:val="925"/>
    <w:next w:val="925"/>
    <w:uiPriority w:val="0"/>
    <w:qFormat/>
    <w:pPr>
      <w:widowControl w:val="off"/>
    </w:pPr>
    <w:rPr>
      <w:rFonts w:eastAsia="楷体_GB2312"/>
      <w:szCs w:val="20"/>
    </w:rPr>
  </w:style>
  <w:style w:type="paragraph" w:styleId="951">
    <w:name w:val="toc 4"/>
    <w:basedOn w:val="925"/>
    <w:next w:val="925"/>
    <w:uiPriority w:val="39"/>
    <w:unhideWhenUsed/>
    <w:qFormat/>
    <w:pPr>
      <w:ind w:left="1260"/>
    </w:pPr>
  </w:style>
  <w:style w:type="paragraph" w:styleId="952">
    <w:name w:val="Subtitle"/>
    <w:basedOn w:val="925"/>
    <w:next w:val="925"/>
    <w:uiPriority w:val="0"/>
    <w:qFormat/>
    <w:pPr>
      <w:jc w:val="center"/>
      <w:spacing w:before="240" w:after="60" w:line="312" w:lineRule="auto"/>
      <w:outlineLvl w:val="1"/>
    </w:pPr>
    <w:rPr>
      <w:rFonts w:ascii="宋体" w:hAnsi="Courier New" w:eastAsia="楷体_GB2312"/>
      <w:sz w:val="26"/>
      <w:szCs w:val="20"/>
    </w:rPr>
  </w:style>
  <w:style w:type="paragraph" w:styleId="953">
    <w:name w:val="Body Text Indent 3"/>
    <w:basedOn w:val="925"/>
    <w:link w:val="975"/>
    <w:uiPriority w:val="0"/>
    <w:qFormat/>
    <w:pPr>
      <w:ind w:firstLine="480"/>
      <w:spacing w:line="300" w:lineRule="auto"/>
      <w:widowControl w:val="off"/>
    </w:pPr>
  </w:style>
  <w:style w:type="paragraph" w:styleId="954">
    <w:name w:val="Body Text 2"/>
    <w:basedOn w:val="925"/>
    <w:uiPriority w:val="0"/>
    <w:qFormat/>
    <w:pPr>
      <w:spacing w:after="120" w:line="480" w:lineRule="auto"/>
    </w:pPr>
  </w:style>
  <w:style w:type="paragraph" w:styleId="955">
    <w:name w:val="HTML Preformatted"/>
    <w:basedOn w:val="92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56">
    <w:name w:val="Normal (Web)"/>
    <w:basedOn w:val="925"/>
    <w:uiPriority w:val="0"/>
    <w:qFormat/>
    <w:pPr>
      <w:spacing w:before="100" w:beforeAutospacing="1" w:after="100" w:afterAutospacing="1"/>
    </w:pPr>
    <w:rPr>
      <w:rFonts w:ascii="宋体" w:hAnsi="宋体" w:cs="宋体"/>
    </w:rPr>
  </w:style>
  <w:style w:type="paragraph" w:styleId="957">
    <w:name w:val="Title"/>
    <w:basedOn w:val="925"/>
    <w:next w:val="925"/>
    <w:link w:val="976"/>
    <w:uiPriority w:val="0"/>
    <w:qFormat/>
    <w:pPr>
      <w:jc w:val="center"/>
      <w:spacing w:before="240" w:after="60"/>
      <w:outlineLvl w:val="0"/>
    </w:pPr>
    <w:rPr>
      <w:rFonts w:ascii="Cambria" w:hAnsi="Cambria"/>
      <w:b/>
      <w:bCs/>
      <w:sz w:val="32"/>
      <w:szCs w:val="32"/>
    </w:rPr>
  </w:style>
  <w:style w:type="paragraph" w:styleId="958">
    <w:name w:val="annotation subject"/>
    <w:basedOn w:val="939"/>
    <w:next w:val="939"/>
    <w:uiPriority w:val="0"/>
    <w:qFormat/>
    <w:rPr>
      <w:b/>
      <w:bCs/>
    </w:rPr>
  </w:style>
  <w:style w:type="paragraph" w:styleId="959">
    <w:name w:val="Body Text First Indent"/>
    <w:basedOn w:val="940"/>
    <w:uiPriority w:val="0"/>
    <w:qFormat/>
    <w:pPr>
      <w:ind w:firstLine="420"/>
      <w:tabs>
        <w:tab w:val="left" w:pos="5250" w:leader="none"/>
      </w:tabs>
    </w:pPr>
  </w:style>
  <w:style w:type="paragraph" w:styleId="960">
    <w:name w:val="Body Text First Indent 2"/>
    <w:basedOn w:val="941"/>
    <w:uiPriority w:val="99"/>
    <w:qFormat/>
    <w:pPr>
      <w:ind w:firstLine="420"/>
    </w:pPr>
  </w:style>
  <w:style w:type="table" w:styleId="961">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b/>
      <w:bCs/>
    </w:rPr>
  </w:style>
  <w:style w:type="character" w:styleId="963">
    <w:name w:val="page number"/>
    <w:uiPriority w:val="0"/>
    <w:qFormat/>
  </w:style>
  <w:style w:type="character" w:styleId="964">
    <w:name w:val="FollowedHyperlink"/>
    <w:uiPriority w:val="0"/>
    <w:qFormat/>
    <w:rPr>
      <w:color w:val="333333"/>
      <w:u w:val="none"/>
    </w:rPr>
  </w:style>
  <w:style w:type="character" w:styleId="965">
    <w:name w:val="Hyperlink"/>
    <w:uiPriority w:val="0"/>
    <w:qFormat/>
    <w:rPr>
      <w:color w:val="333333"/>
      <w:u w:val="none"/>
    </w:rPr>
  </w:style>
  <w:style w:type="character" w:styleId="966">
    <w:name w:val="annotation reference"/>
    <w:uiPriority w:val="0"/>
    <w:qFormat/>
    <w:rPr>
      <w:sz w:val="21"/>
      <w:szCs w:val="21"/>
    </w:rPr>
  </w:style>
  <w:style w:type="paragraph" w:styleId="967" w:customStyle="1">
    <w:name w:val="样式1"/>
    <w:basedOn w:val="925"/>
    <w:uiPriority w:val="0"/>
    <w:qFormat/>
    <w:pPr>
      <w:jc w:val="center"/>
    </w:pPr>
  </w:style>
  <w:style w:type="paragraph" w:styleId="968" w:customStyle="1">
    <w:name w:val="正文1"/>
    <w:basedOn w:val="925"/>
    <w:next w:val="925"/>
    <w:uiPriority w:val="0"/>
    <w:qFormat/>
    <w:pPr>
      <w:ind w:firstLine="540"/>
    </w:pPr>
    <w:rPr>
      <w:szCs w:val="20"/>
    </w:rPr>
  </w:style>
  <w:style w:type="character" w:styleId="969" w:customStyle="1">
    <w:name w:val="标题 1 字符"/>
    <w:link w:val="926"/>
    <w:uiPriority w:val="0"/>
    <w:qFormat/>
    <w:rPr>
      <w:rFonts w:eastAsia="楷体_GB2312"/>
      <w:b/>
      <w:sz w:val="44"/>
      <w:szCs w:val="20"/>
    </w:rPr>
  </w:style>
  <w:style w:type="character" w:styleId="970" w:customStyle="1">
    <w:name w:val="标题 2 字符"/>
    <w:basedOn w:val="935"/>
    <w:link w:val="927"/>
    <w:uiPriority w:val="9"/>
    <w:qFormat/>
    <w:rPr>
      <w:rFonts w:ascii="Cambria" w:hAnsi="Cambria" w:eastAsia="宋体" w:cs="Times New Roman"/>
      <w:b/>
      <w:bCs/>
      <w:sz w:val="32"/>
      <w:szCs w:val="32"/>
    </w:rPr>
  </w:style>
  <w:style w:type="character" w:styleId="971" w:customStyle="1">
    <w:name w:val="文档结构图 字符"/>
    <w:link w:val="938"/>
    <w:uiPriority w:val="0"/>
    <w:qFormat/>
    <w:rPr>
      <w:sz w:val="24"/>
      <w:szCs w:val="24"/>
      <w:shd w:val="clear" w:color="auto" w:fill="000080"/>
    </w:rPr>
  </w:style>
  <w:style w:type="character" w:styleId="972" w:customStyle="1">
    <w:name w:val="纯文本 字符"/>
    <w:link w:val="943"/>
    <w:uiPriority w:val="0"/>
    <w:qFormat/>
    <w:rPr>
      <w:rFonts w:ascii="宋体" w:hAnsi="Courier New" w:eastAsia="楷体_GB2312"/>
      <w:sz w:val="26"/>
    </w:rPr>
  </w:style>
  <w:style w:type="character" w:styleId="973" w:customStyle="1">
    <w:name w:val="日期 字符"/>
    <w:link w:val="944"/>
    <w:uiPriority w:val="0"/>
    <w:qFormat/>
    <w:rPr>
      <w:b/>
      <w:bCs/>
      <w:spacing w:val="20"/>
      <w:sz w:val="21"/>
      <w:szCs w:val="24"/>
    </w:rPr>
  </w:style>
  <w:style w:type="character" w:styleId="974" w:customStyle="1">
    <w:name w:val="页脚 字符"/>
    <w:link w:val="947"/>
    <w:uiPriority w:val="99"/>
    <w:qFormat/>
    <w:rPr>
      <w:sz w:val="18"/>
      <w:szCs w:val="18"/>
    </w:rPr>
  </w:style>
  <w:style w:type="character" w:styleId="975" w:customStyle="1">
    <w:name w:val="正文文本缩进 3 字符"/>
    <w:link w:val="953"/>
    <w:uiPriority w:val="0"/>
    <w:qFormat/>
    <w:rPr>
      <w:sz w:val="24"/>
      <w:szCs w:val="24"/>
    </w:rPr>
  </w:style>
  <w:style w:type="character" w:styleId="976" w:customStyle="1">
    <w:name w:val="标题 字符"/>
    <w:link w:val="957"/>
    <w:uiPriority w:val="0"/>
    <w:qFormat/>
    <w:rPr>
      <w:rFonts w:ascii="Cambria" w:hAnsi="Cambria" w:cs="Times New Roman"/>
      <w:b/>
      <w:bCs/>
      <w:sz w:val="32"/>
      <w:szCs w:val="32"/>
    </w:rPr>
  </w:style>
  <w:style w:type="character" w:styleId="977" w:customStyle="1">
    <w:name w:val="font31"/>
    <w:basedOn w:val="935"/>
    <w:uiPriority w:val="0"/>
    <w:qFormat/>
    <w:rPr>
      <w:rFonts w:hint="eastAsia" w:ascii="宋体" w:hAnsi="宋体" w:eastAsia="宋体" w:cs="宋体"/>
      <w:color w:val="000000"/>
      <w:sz w:val="21"/>
      <w:szCs w:val="21"/>
      <w:u w:val="none"/>
    </w:rPr>
  </w:style>
  <w:style w:type="character" w:styleId="978" w:customStyle="1">
    <w:name w:val="无"/>
    <w:uiPriority w:val="0"/>
    <w:qFormat/>
  </w:style>
  <w:style w:type="character" w:styleId="979" w:customStyle="1">
    <w:name w:val="apple-converted-space"/>
    <w:uiPriority w:val="0"/>
    <w:qFormat/>
  </w:style>
  <w:style w:type="character" w:styleId="980" w:customStyle="1">
    <w:name w:val="font21"/>
    <w:basedOn w:val="935"/>
    <w:uiPriority w:val="0"/>
    <w:qFormat/>
    <w:rPr>
      <w:rFonts w:hint="eastAsia" w:ascii="宋体" w:hAnsi="宋体" w:eastAsia="宋体" w:cs="宋体"/>
      <w:color w:val="000000"/>
      <w:sz w:val="24"/>
      <w:szCs w:val="24"/>
      <w:u w:val="none"/>
    </w:rPr>
  </w:style>
  <w:style w:type="character" w:styleId="981" w:customStyle="1">
    <w:name w:val="NormalCharacter"/>
    <w:uiPriority w:val="0"/>
    <w:qFormat/>
  </w:style>
  <w:style w:type="character" w:styleId="982" w:customStyle="1">
    <w:name w:val="font11"/>
    <w:uiPriority w:val="0"/>
    <w:qFormat/>
    <w:rPr>
      <w:rFonts w:hint="eastAsia" w:ascii="宋体" w:hAnsi="宋体" w:eastAsia="宋体" w:cs="宋体"/>
      <w:color w:val="000000"/>
      <w:sz w:val="24"/>
      <w:szCs w:val="24"/>
      <w:u w:val="none"/>
    </w:rPr>
  </w:style>
  <w:style w:type="character" w:styleId="983" w:customStyle="1">
    <w:name w:val="font01"/>
    <w:uiPriority w:val="0"/>
    <w:qFormat/>
    <w:rPr>
      <w:rFonts w:hint="eastAsia" w:ascii="宋体" w:hAnsi="宋体" w:eastAsia="宋体" w:cs="宋体"/>
      <w:color w:val="000000"/>
      <w:sz w:val="24"/>
      <w:szCs w:val="24"/>
      <w:u w:val="none"/>
    </w:rPr>
  </w:style>
  <w:style w:type="character" w:styleId="984" w:customStyle="1">
    <w:name w:val="font51"/>
    <w:basedOn w:val="935"/>
    <w:uiPriority w:val="0"/>
    <w:qFormat/>
    <w:rPr>
      <w:rFonts w:hint="eastAsia" w:ascii="宋体" w:hAnsi="宋体" w:eastAsia="宋体" w:cs="宋体"/>
      <w:color w:val="000000"/>
      <w:sz w:val="24"/>
      <w:szCs w:val="24"/>
      <w:u w:val="none"/>
    </w:rPr>
  </w:style>
  <w:style w:type="character" w:styleId="985" w:customStyle="1">
    <w:name w:val="Plain Text Char"/>
    <w:link w:val="986"/>
    <w:uiPriority w:val="0"/>
    <w:qFormat/>
    <w:rPr>
      <w:rFonts w:ascii="宋体" w:hAnsi="Courier New" w:eastAsia="楷体_GB2312"/>
      <w:sz w:val="26"/>
    </w:rPr>
  </w:style>
  <w:style w:type="paragraph" w:styleId="986" w:customStyle="1">
    <w:name w:val="纯文本1"/>
    <w:basedOn w:val="925"/>
    <w:link w:val="985"/>
    <w:uiPriority w:val="0"/>
    <w:qFormat/>
    <w:pPr>
      <w:jc w:val="both"/>
      <w:widowControl w:val="off"/>
    </w:pPr>
    <w:rPr>
      <w:rFonts w:ascii="宋体" w:hAnsi="Courier New" w:eastAsia="楷体_GB2312"/>
      <w:sz w:val="26"/>
      <w:szCs w:val="20"/>
    </w:rPr>
  </w:style>
  <w:style w:type="character" w:styleId="987" w:customStyle="1">
    <w:name w:val="Andy_正文 Char"/>
    <w:link w:val="988"/>
    <w:uiPriority w:val="0"/>
    <w:qFormat/>
    <w:rPr>
      <w:rFonts w:ascii="Calibri" w:hAnsi="Calibri"/>
      <w:sz w:val="24"/>
      <w:szCs w:val="24"/>
    </w:rPr>
  </w:style>
  <w:style w:type="paragraph" w:styleId="988" w:customStyle="1">
    <w:name w:val="Andy_正文"/>
    <w:basedOn w:val="925"/>
    <w:link w:val="987"/>
    <w:uiPriority w:val="0"/>
    <w:qFormat/>
    <w:pPr>
      <w:ind w:firstLine="480"/>
      <w:jc w:val="both"/>
      <w:spacing w:line="360" w:lineRule="auto"/>
      <w:widowControl w:val="off"/>
    </w:pPr>
    <w:rPr>
      <w:rFonts w:ascii="Calibri" w:hAnsi="Calibri"/>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Char1"/>
    <w:basedOn w:val="925"/>
    <w:uiPriority w:val="0"/>
    <w:qFormat/>
    <w:pPr>
      <w:jc w:val="both"/>
      <w:widowControl w:val="off"/>
    </w:pPr>
    <w:rPr>
      <w:rFonts w:ascii="Tahoma" w:hAnsi="Tahoma"/>
      <w:szCs w:val="20"/>
    </w:rPr>
  </w:style>
  <w:style w:type="paragraph" w:styleId="991" w:customStyle="1">
    <w:name w:val="_Style 12"/>
    <w:basedOn w:val="938"/>
    <w:uiPriority w:val="0"/>
    <w:qFormat/>
    <w:pPr>
      <w:spacing w:line="360" w:lineRule="auto"/>
    </w:pPr>
  </w:style>
  <w:style w:type="paragraph" w:styleId="992" w:customStyle="1">
    <w:name w:val="Table Paragraph"/>
    <w:basedOn w:val="925"/>
    <w:uiPriority w:val="1"/>
    <w:qFormat/>
    <w:pPr>
      <w:widowControl w:val="off"/>
    </w:pPr>
    <w:rPr>
      <w:rFonts w:ascii="宋体" w:hAnsi="宋体" w:cs="宋体"/>
      <w:sz w:val="22"/>
      <w:szCs w:val="22"/>
      <w:lang w:val="zh-CN" w:bidi="zh-CN"/>
    </w:rPr>
  </w:style>
  <w:style w:type="paragraph" w:styleId="993" w:customStyle="1">
    <w:name w:val="_Style 25"/>
    <w:basedOn w:val="925"/>
    <w:uiPriority w:val="0"/>
    <w:qFormat/>
    <w:pPr>
      <w:spacing w:after="160" w:line="240" w:lineRule="exact"/>
    </w:pPr>
    <w:rPr>
      <w:szCs w:val="20"/>
    </w:rPr>
  </w:style>
  <w:style w:type="paragraph" w:styleId="994" w:customStyle="1">
    <w:name w:val="纯文本11"/>
    <w:basedOn w:val="925"/>
    <w:uiPriority w:val="0"/>
    <w:qFormat/>
    <w:pPr>
      <w:jc w:val="both"/>
      <w:widowControl w:val="off"/>
    </w:pPr>
    <w:rPr>
      <w:rFonts w:ascii="宋体" w:hAnsi="Courier New" w:eastAsia="楷体_GB2312"/>
      <w:sz w:val="28"/>
      <w:szCs w:val="20"/>
    </w:rPr>
  </w:style>
  <w:style w:type="paragraph" w:styleId="995"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996" w:customStyle="1">
    <w:name w:val="Char Char Char1 Char Char Char Char"/>
    <w:basedOn w:val="925"/>
    <w:uiPriority w:val="0"/>
    <w:qFormat/>
    <w:pPr>
      <w:spacing w:after="160" w:line="240" w:lineRule="exact"/>
    </w:pPr>
  </w:style>
  <w:style w:type="paragraph" w:styleId="997" w:customStyle="1">
    <w:name w:val="表正文"/>
    <w:basedOn w:val="925"/>
    <w:next w:val="941"/>
    <w:uiPriority w:val="0"/>
    <w:qFormat/>
    <w:pPr>
      <w:ind w:left="420"/>
      <w:spacing w:after="120"/>
    </w:pPr>
    <w:rPr>
      <w:sz w:val="21"/>
    </w:rPr>
  </w:style>
  <w:style w:type="paragraph" w:styleId="998" w:customStyle="1">
    <w:name w:val="Char Char Char Char Char Char Char Char Char Char"/>
    <w:basedOn w:val="925"/>
    <w:uiPriority w:val="0"/>
    <w:qFormat/>
    <w:pPr>
      <w:ind w:left="795" w:hanging="360"/>
      <w:jc w:val="both"/>
      <w:widowControl w:val="off"/>
      <w:tabs>
        <w:tab w:val="left" w:pos="795" w:leader="none"/>
      </w:tabs>
    </w:pPr>
  </w:style>
  <w:style w:type="paragraph" w:styleId="999" w:customStyle="1">
    <w:name w:val="Char1 Char Char Char"/>
    <w:basedOn w:val="925"/>
    <w:uiPriority w:val="0"/>
    <w:qFormat/>
    <w:pPr>
      <w:jc w:val="both"/>
      <w:widowControl w:val="off"/>
    </w:pPr>
    <w:rPr>
      <w:sz w:val="21"/>
    </w:rPr>
  </w:style>
  <w:style w:type="paragraph" w:styleId="100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1">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03" w:customStyle="1">
    <w:name w:val="Andy_2级"/>
    <w:basedOn w:val="925"/>
    <w:uiPriority w:val="0"/>
    <w:qFormat/>
    <w:pPr>
      <w:numPr>
        <w:ilvl w:val="1"/>
        <w:numId w:val="2"/>
      </w:numPr>
      <w:ind w:left="0" w:firstLine="510"/>
      <w:spacing w:line="360" w:lineRule="auto"/>
    </w:pPr>
    <w:rPr>
      <w:rFonts w:ascii="Calibri" w:hAnsi="Calibri"/>
      <w:szCs w:val="20"/>
    </w:rPr>
  </w:style>
  <w:style w:type="paragraph" w:styleId="1004" w:customStyle="1">
    <w:name w:val="p16"/>
    <w:basedOn w:val="925"/>
    <w:uiPriority w:val="0"/>
    <w:qFormat/>
    <w:rPr>
      <w:rFonts w:ascii="宋体" w:hAnsi="宋体" w:cs="宋体"/>
      <w:sz w:val="26"/>
      <w:szCs w:val="26"/>
    </w:rPr>
  </w:style>
  <w:style w:type="paragraph" w:styleId="1005" w:customStyle="1">
    <w:name w:val="纯文本3"/>
    <w:basedOn w:val="925"/>
    <w:uiPriority w:val="0"/>
    <w:qFormat/>
    <w:rPr>
      <w:rFonts w:ascii="宋体" w:hAnsi="Courier New"/>
      <w:sz w:val="26"/>
    </w:rPr>
  </w:style>
  <w:style w:type="paragraph" w:styleId="1006" w:customStyle="1">
    <w:name w:val="Char Char Char"/>
    <w:basedOn w:val="925"/>
    <w:uiPriority w:val="0"/>
    <w:qFormat/>
    <w:pPr>
      <w:ind w:left="795" w:hanging="360"/>
      <w:jc w:val="both"/>
      <w:widowControl w:val="off"/>
      <w:tabs>
        <w:tab w:val="left" w:pos="795" w:leader="none"/>
      </w:tabs>
    </w:pPr>
  </w:style>
  <w:style w:type="paragraph" w:styleId="1007" w:customStyle="1">
    <w:name w:val="样式2"/>
    <w:basedOn w:val="967"/>
    <w:uiPriority w:val="0"/>
    <w:qFormat/>
    <w:rPr>
      <w:sz w:val="21"/>
    </w:rPr>
  </w:style>
  <w:style w:type="paragraph" w:styleId="1008" w:customStyle="1">
    <w:name w:val="f正文"/>
    <w:basedOn w:val="925"/>
    <w:uiPriority w:val="0"/>
    <w:qFormat/>
    <w:pPr>
      <w:ind w:firstLine="200"/>
    </w:pPr>
  </w:style>
  <w:style w:type="paragraph" w:styleId="1009" w:customStyle="1">
    <w:name w:val="_Style 3"/>
    <w:basedOn w:val="925"/>
    <w:uiPriority w:val="0"/>
    <w:qFormat/>
    <w:pPr>
      <w:ind w:left="795" w:hanging="360"/>
      <w:jc w:val="both"/>
      <w:widowControl w:val="off"/>
      <w:tabs>
        <w:tab w:val="left" w:pos="540" w:leader="none"/>
      </w:tabs>
    </w:pPr>
  </w:style>
  <w:style w:type="paragraph" w:styleId="1010" w:customStyle="1">
    <w:name w:val="Char Char Char Char Char Char Char Char Char1 Char"/>
    <w:basedOn w:val="938"/>
    <w:uiPriority w:val="0"/>
    <w:qFormat/>
    <w:pPr>
      <w:jc w:val="both"/>
      <w:spacing w:line="360" w:lineRule="auto"/>
      <w:widowControl w:val="off"/>
    </w:pPr>
    <w:rPr>
      <w:rFonts w:ascii="Tahoma" w:hAnsi="Tahoma"/>
    </w:rPr>
  </w:style>
  <w:style w:type="paragraph" w:styleId="1011" w:customStyle="1">
    <w:name w:val="纯文本5"/>
    <w:basedOn w:val="925"/>
    <w:uiPriority w:val="0"/>
    <w:qFormat/>
    <w:rPr>
      <w:rFonts w:ascii="宋体" w:hAnsi="Courier New" w:eastAsia="楷体_GB2312"/>
      <w:sz w:val="28"/>
      <w:szCs w:val="20"/>
    </w:rPr>
  </w:style>
  <w:style w:type="paragraph" w:styleId="1012" w:customStyle="1">
    <w:name w:val="p18"/>
    <w:basedOn w:val="925"/>
    <w:uiPriority w:val="0"/>
    <w:qFormat/>
    <w:pPr>
      <w:ind w:firstLine="420"/>
    </w:pPr>
  </w:style>
  <w:style w:type="paragraph" w:styleId="1013" w:customStyle="1">
    <w:name w:val="纯文本2"/>
    <w:basedOn w:val="925"/>
    <w:uiPriority w:val="0"/>
    <w:qFormat/>
    <w:rPr>
      <w:rFonts w:ascii="宋体" w:hAnsi="Courier New"/>
    </w:rPr>
  </w:style>
  <w:style w:type="paragraph" w:styleId="1014" w:customStyle="1">
    <w:name w:val="Char Char2"/>
    <w:basedOn w:val="938"/>
    <w:uiPriority w:val="0"/>
    <w:qFormat/>
    <w:pPr>
      <w:spacing w:line="360" w:lineRule="auto"/>
    </w:pPr>
  </w:style>
  <w:style w:type="paragraph" w:styleId="1015" w:customStyle="1">
    <w:name w:val="_Style 5"/>
    <w:basedOn w:val="925"/>
    <w:uiPriority w:val="0"/>
    <w:qFormat/>
    <w:pPr>
      <w:spacing w:after="160" w:line="240" w:lineRule="exact"/>
    </w:pPr>
    <w:rPr>
      <w:szCs w:val="20"/>
    </w:rPr>
  </w:style>
  <w:style w:type="paragraph" w:styleId="1016" w:customStyle="1">
    <w:name w:val="段"/>
    <w:next w:val="925"/>
    <w:uiPriority w:val="0"/>
    <w:qFormat/>
    <w:pPr>
      <w:ind w:firstLine="200"/>
      <w:jc w:val="both"/>
    </w:pPr>
    <w:rPr>
      <w:rFonts w:ascii="宋体" w:hAnsi="Times New Roman" w:eastAsia="宋体" w:cs="Times New Roman"/>
      <w:sz w:val="21"/>
      <w:szCs w:val="22"/>
      <w:lang w:val="en-US" w:eastAsia="zh-CN" w:bidi="ar-SA"/>
    </w:rPr>
  </w:style>
  <w:style w:type="paragraph" w:styleId="1017" w:customStyle="1">
    <w:name w:val="Char Char Char Char"/>
    <w:basedOn w:val="938"/>
    <w:uiPriority w:val="0"/>
    <w:qFormat/>
    <w:pPr>
      <w:jc w:val="both"/>
      <w:spacing w:line="360" w:lineRule="auto"/>
      <w:widowControl w:val="off"/>
    </w:pPr>
    <w:rPr>
      <w:szCs w:val="20"/>
    </w:rPr>
  </w:style>
  <w:style w:type="paragraph" w:styleId="1018" w:customStyle="1">
    <w:name w:val="p0"/>
    <w:basedOn w:val="925"/>
    <w:uiPriority w:val="0"/>
    <w:qFormat/>
  </w:style>
  <w:style w:type="paragraph" w:styleId="1019" w:customStyle="1">
    <w:name w:val="Char Char Char Char Char Char Char Char Char1 Char1"/>
    <w:basedOn w:val="938"/>
    <w:uiPriority w:val="0"/>
    <w:qFormat/>
    <w:pPr>
      <w:jc w:val="both"/>
      <w:spacing w:line="360" w:lineRule="auto"/>
      <w:widowControl w:val="off"/>
    </w:pPr>
    <w:rPr>
      <w:rFonts w:ascii="Tahoma" w:hAnsi="Tahoma"/>
    </w:rPr>
  </w:style>
  <w:style w:type="paragraph" w:styleId="1020" w:customStyle="1">
    <w:name w:val="列出段落1"/>
    <w:basedOn w:val="925"/>
    <w:uiPriority w:val="0"/>
    <w:qFormat/>
    <w:pPr>
      <w:ind w:firstLine="420"/>
    </w:pPr>
    <w:rPr>
      <w:rFonts w:ascii="Calibri" w:hAnsi="Calibri" w:cs="Calibri"/>
      <w:szCs w:val="22"/>
    </w:rPr>
  </w:style>
  <w:style w:type="paragraph" w:styleId="1021" w:customStyle="1">
    <w:name w:val="纯文本111"/>
    <w:basedOn w:val="925"/>
    <w:uiPriority w:val="0"/>
    <w:qFormat/>
    <w:rPr>
      <w:rFonts w:ascii="宋体" w:hAnsi="Courier New"/>
    </w:rPr>
  </w:style>
  <w:style w:type="paragraph" w:styleId="1022" w:customStyle="1">
    <w:name w:val="列表段落1"/>
    <w:basedOn w:val="925"/>
    <w:uiPriority w:val="0"/>
    <w:qFormat/>
    <w:pPr>
      <w:ind w:firstLine="420"/>
      <w:jc w:val="both"/>
      <w:widowControl w:val="off"/>
    </w:pPr>
    <w:rPr>
      <w:rFonts w:ascii="Calibri" w:hAnsi="Calibri"/>
      <w:sz w:val="21"/>
      <w:szCs w:val="22"/>
    </w:rPr>
  </w:style>
  <w:style w:type="paragraph" w:styleId="1023" w:customStyle="1">
    <w:name w:val="Char Char3"/>
    <w:basedOn w:val="925"/>
    <w:uiPriority w:val="0"/>
    <w:qFormat/>
    <w:pPr>
      <w:numPr>
        <w:ilvl w:val="0"/>
        <w:numId w:val="3"/>
      </w:numPr>
      <w:jc w:val="both"/>
      <w:widowControl w:val="off"/>
    </w:pPr>
  </w:style>
  <w:style w:type="paragraph" w:styleId="1024" w:customStyle="1">
    <w:name w:val="Char"/>
    <w:basedOn w:val="925"/>
    <w:uiPriority w:val="0"/>
    <w:qFormat/>
    <w:pPr>
      <w:jc w:val="both"/>
      <w:widowControl w:val="off"/>
    </w:pPr>
    <w:rPr>
      <w:rFonts w:ascii="Tahoma" w:hAnsi="Tahoma" w:cs="Tahoma"/>
    </w:rPr>
  </w:style>
  <w:style w:type="paragraph" w:styleId="1025" w:customStyle="1">
    <w:name w:val="01 章标"/>
    <w:basedOn w:val="925"/>
    <w:uiPriority w:val="0"/>
    <w:qFormat/>
    <w:pPr>
      <w:ind w:firstLine="883"/>
      <w:jc w:val="center"/>
      <w:outlineLvl w:val="0"/>
    </w:pPr>
    <w:rPr>
      <w:b/>
      <w:sz w:val="44"/>
      <w:szCs w:val="44"/>
    </w:rPr>
  </w:style>
  <w:style w:type="paragraph" w:styleId="1026" w:customStyle="1">
    <w:name w:val="首行缩进"/>
    <w:basedOn w:val="925"/>
    <w:uiPriority w:val="0"/>
    <w:qFormat/>
    <w:pPr>
      <w:ind w:firstLine="480"/>
    </w:pPr>
    <w:rPr>
      <w:rFonts w:eastAsia="楷体_GB2312"/>
      <w:sz w:val="26"/>
      <w:szCs w:val="20"/>
      <w:lang w:val="zh-CN"/>
    </w:rPr>
  </w:style>
  <w:style w:type="paragraph" w:styleId="1027" w:customStyle="1">
    <w:name w:val="Other|1"/>
    <w:basedOn w:val="925"/>
    <w:uiPriority w:val="0"/>
    <w:qFormat/>
    <w:pPr>
      <w:spacing w:line="306" w:lineRule="exact"/>
    </w:pPr>
    <w:rPr>
      <w:rFonts w:ascii="宋体" w:hAnsi="宋体" w:cs="宋体"/>
      <w:sz w:val="20"/>
      <w:szCs w:val="20"/>
      <w:lang w:val="zh-TW" w:eastAsia="zh-TW" w:bidi="zh-TW"/>
    </w:rPr>
  </w:style>
  <w:style w:type="paragraph" w:styleId="1028" w:customStyle="1">
    <w:name w:val="Plain Text1"/>
    <w:basedOn w:val="925"/>
    <w:uiPriority w:val="0"/>
    <w:qFormat/>
    <w:rPr>
      <w:rFonts w:hint="eastAsia" w:ascii="宋体" w:hAnsi="Courier New"/>
    </w:rPr>
  </w:style>
  <w:style w:type="paragraph" w:styleId="1029" w:customStyle="1">
    <w:name w:val="正文2"/>
    <w:basedOn w:val="925"/>
    <w:uiPriority w:val="0"/>
    <w:qFormat/>
    <w:pPr>
      <w:ind w:firstLine="200"/>
      <w:spacing w:after="160" w:line="360" w:lineRule="auto"/>
    </w:pPr>
    <w:rPr>
      <w:rFonts w:ascii="Verdana" w:hAnsi="Verdana" w:eastAsia="黑体"/>
      <w:sz w:val="21"/>
      <w:szCs w:val="20"/>
      <w:lang w:eastAsia="en-US"/>
    </w:rPr>
  </w:style>
  <w:style w:type="paragraph" w:styleId="1030" w:customStyle="1">
    <w:name w:val="图片格式"/>
    <w:basedOn w:val="925"/>
    <w:uiPriority w:val="0"/>
    <w:qFormat/>
    <w:pPr>
      <w:jc w:val="center"/>
      <w:tabs>
        <w:tab w:val="center" w:pos="4153" w:leader="none"/>
        <w:tab w:val="right" w:pos="8306" w:leader="none"/>
      </w:tabs>
    </w:pPr>
    <w:rPr>
      <w:rFonts w:cs="宋体"/>
      <w:szCs w:val="20"/>
    </w:rPr>
  </w:style>
  <w:style w:type="paragraph" w:styleId="1031" w:customStyle="1">
    <w:name w:val="p17"/>
    <w:basedOn w:val="925"/>
    <w:uiPriority w:val="0"/>
    <w:qFormat/>
    <w:pPr>
      <w:jc w:val="both"/>
    </w:pPr>
    <w:rPr>
      <w:rFonts w:ascii="宋体" w:hAnsi="宋体" w:cs="宋体"/>
      <w:sz w:val="26"/>
      <w:szCs w:val="26"/>
    </w:rPr>
  </w:style>
  <w:style w:type="paragraph" w:styleId="1032" w:customStyle="1">
    <w:name w:val="Char2"/>
    <w:basedOn w:val="938"/>
    <w:uiPriority w:val="0"/>
    <w:qFormat/>
    <w:pPr>
      <w:jc w:val="both"/>
      <w:spacing w:line="360" w:lineRule="auto"/>
      <w:widowControl w:val="off"/>
    </w:pPr>
    <w:rPr>
      <w:sz w:val="21"/>
    </w:rPr>
  </w:style>
  <w:style w:type="paragraph" w:styleId="1033" w:customStyle="1">
    <w:name w:val="无间隔1"/>
    <w:uiPriority w:val="1"/>
    <w:qFormat/>
    <w:rPr>
      <w:rFonts w:ascii="微软雅黑." w:hAnsi="微软雅黑." w:eastAsia="宋体" w:cs="Times New Roman"/>
      <w:sz w:val="22"/>
      <w:szCs w:val="22"/>
      <w:lang w:val="en-US" w:eastAsia="zh-CN" w:bidi="ar-SA"/>
    </w:rPr>
  </w:style>
  <w:style w:type="paragraph" w:styleId="1034" w:customStyle="1">
    <w:name w:val="方案正文"/>
    <w:basedOn w:val="925"/>
    <w:uiPriority w:val="0"/>
    <w:qFormat/>
    <w:pPr>
      <w:spacing w:line="440" w:lineRule="atLeast"/>
    </w:pPr>
  </w:style>
  <w:style w:type="paragraph" w:styleId="1035" w:customStyle="1">
    <w:name w:val="*正文"/>
    <w:basedOn w:val="925"/>
    <w:uiPriority w:val="0"/>
    <w:qFormat/>
    <w:rPr>
      <w:rFonts w:ascii="宋体" w:hAnsi="宋体"/>
      <w:lang w:val="zh-CN"/>
    </w:rPr>
  </w:style>
  <w:style w:type="paragraph" w:styleId="1036" w:customStyle="1">
    <w:name w:val="正文首行缩进 21"/>
    <w:basedOn w:val="941"/>
    <w:uiPriority w:val="99"/>
    <w:qFormat/>
    <w:pPr>
      <w:ind w:firstLine="420"/>
    </w:pPr>
  </w:style>
  <w:style w:type="paragraph" w:styleId="1037" w:customStyle="1">
    <w:name w:val="普通正文"/>
    <w:basedOn w:val="925"/>
    <w:uiPriority w:val="0"/>
    <w:qFormat/>
    <w:pPr>
      <w:ind w:firstLine="480"/>
      <w:spacing w:before="120" w:after="120" w:line="360" w:lineRule="auto"/>
    </w:pPr>
    <w:rPr>
      <w:rFonts w:ascii="Arial" w:hAnsi="Arial" w:cs="Arial"/>
    </w:rPr>
  </w:style>
  <w:style w:type="paragraph" w:styleId="1038" w:customStyle="1">
    <w:name w:val="_Style 7"/>
    <w:basedOn w:val="940"/>
    <w:next w:val="959"/>
    <w:uiPriority w:val="0"/>
    <w:qFormat/>
    <w:pPr>
      <w:ind w:firstLine="420"/>
    </w:pPr>
    <w:rPr>
      <w:rFonts w:ascii="Calibri" w:hAnsi="Calibri"/>
    </w:rPr>
  </w:style>
  <w:style w:type="paragraph" w:styleId="1039" w:customStyle="1">
    <w:name w:val="目录 51"/>
    <w:next w:val="925"/>
    <w:uiPriority w:val="0"/>
    <w:qFormat/>
    <w:pPr>
      <w:ind w:left="1275"/>
      <w:jc w:val="both"/>
    </w:pPr>
    <w:rPr>
      <w:rFonts w:ascii="Times New Roman" w:hAnsi="Times New Roman" w:eastAsia="宋体" w:cs="Times New Roman"/>
      <w:sz w:val="21"/>
      <w:lang w:val="en-US" w:eastAsia="zh-CN" w:bidi="ar-SA"/>
    </w:rPr>
  </w:style>
  <w:style w:type="paragraph" w:styleId="1040" w:customStyle="1">
    <w:name w:val="列表段落11"/>
    <w:basedOn w:val="925"/>
    <w:uiPriority w:val="34"/>
    <w:qFormat/>
    <w:pPr>
      <w:ind w:firstLine="420"/>
    </w:pPr>
  </w:style>
  <w:style w:type="paragraph" w:styleId="1041" w:customStyle="1">
    <w:name w:val="Plain Text"/>
    <w:basedOn w:val="925"/>
    <w:uiPriority w:val="0"/>
    <w:qFormat/>
    <w:pPr>
      <w:jc w:val="both"/>
      <w:widowControl w:val="off"/>
    </w:pPr>
    <w:rPr>
      <w:rFonts w:ascii="宋体" w:hAnsi="Courier New" w:eastAsia="楷体_GB2312"/>
      <w:sz w:val="26"/>
      <w:szCs w:val="20"/>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7</cp:revision>
  <dcterms:created xsi:type="dcterms:W3CDTF">2020-10-19T23:57:00Z</dcterms:created>
  <dcterms:modified xsi:type="dcterms:W3CDTF">2024-07-16T06:39:32Z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EFB7C0E790554E93A4E619E3B87C0E53_13</vt:lpwstr>
  </property>
</Properties>
</file>