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4"/>
        <w:spacing w:before="120" w:beforeAutospacing="0" w:after="120" w:afterAutospacing="0" w:line="360" w:lineRule="auto"/>
      </w:pPr>
      <w:r/>
      <w:bookmarkStart w:id="205" w:name="_GoBack"/>
      <w:r/>
      <w:bookmarkEnd w:id="205"/>
      <w:r>
        <w:t xml:space="preserve"> </w:t>
      </w:r>
      <w:r/>
    </w:p>
    <w:p>
      <w:pPr>
        <w:pStyle w:val="854"/>
        <w:jc w:val="center"/>
        <w:spacing w:before="120" w:beforeAutospacing="0" w:after="120" w:afterAutospacing="0" w:line="360" w:lineRule="auto"/>
      </w:pPr>
      <w:r>
        <w:rPr>
          <w:rFonts w:ascii="Arial" w:hAnsi="Arial" w:cs="Arial"/>
          <w:b/>
          <w:color w:val="000000"/>
          <w:sz w:val="84"/>
          <w:szCs w:val="84"/>
        </w:rPr>
        <w:t xml:space="preserve">招 标 文 件</w:t>
      </w:r>
      <w:r/>
    </w:p>
    <w:p>
      <w:pPr>
        <w:pStyle w:val="854"/>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4"/>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4"/>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4"/>
        <w:ind w:firstLine="964"/>
        <w:spacing w:before="120" w:beforeAutospacing="0" w:after="120" w:afterAutospacing="0" w:line="360" w:lineRule="auto"/>
        <w:rPr>
          <w:rFonts w:hint="eastAsia" w:ascii="Arial" w:hAnsi="Arial" w:cs="Arial"/>
          <w:b/>
          <w:color w:val="000000"/>
          <w:sz w:val="32"/>
          <w:szCs w:val="32"/>
          <w:lang w:eastAsia="zh-CN"/>
        </w:rPr>
      </w:pPr>
      <w:r>
        <w:rPr>
          <w:rFonts w:ascii="Arial" w:hAnsi="Arial" w:cs="Arial"/>
          <w:b/>
          <w:color w:val="000000"/>
          <w:sz w:val="32"/>
          <w:szCs w:val="32"/>
        </w:rPr>
        <w:t xml:space="preserve">项目名称：</w:t>
      </w:r>
      <w:r>
        <w:rPr>
          <w:rFonts w:hint="eastAsia" w:ascii="Arial" w:hAnsi="Arial" w:cs="Arial"/>
          <w:b/>
          <w:color w:val="000000"/>
          <w:sz w:val="32"/>
          <w:szCs w:val="32"/>
          <w:lang w:eastAsia="zh-CN"/>
        </w:rPr>
        <w:t xml:space="preserve">盐城市东台生态环境局非现场执法预警调度</w:t>
      </w:r>
      <w:r/>
    </w:p>
    <w:p>
      <w:pPr>
        <w:pStyle w:val="854"/>
        <w:ind w:firstLine="964"/>
        <w:spacing w:before="120" w:beforeAutospacing="0" w:after="120" w:afterAutospacing="0" w:line="360" w:lineRule="auto"/>
      </w:pPr>
      <w:r>
        <w:rPr>
          <w:rFonts w:hint="eastAsia" w:ascii="Arial" w:hAnsi="Arial" w:cs="Arial"/>
          <w:b/>
          <w:color w:val="000000"/>
          <w:sz w:val="32"/>
          <w:szCs w:val="32"/>
          <w:lang w:eastAsia="zh-CN"/>
        </w:rPr>
        <w:t xml:space="preserve">平台项目</w:t>
      </w:r>
      <w:r/>
    </w:p>
    <w:p>
      <w:pPr>
        <w:pStyle w:val="854"/>
        <w:ind w:firstLine="964"/>
        <w:jc w:val="both"/>
        <w:spacing w:beforeAutospacing="0" w:afterAutospacing="0"/>
      </w:pPr>
      <w:r>
        <w:rPr>
          <w:rFonts w:ascii="Times New Roman" w:hAnsi="Times New Roman"/>
          <w:b/>
          <w:color w:val="000000"/>
          <w:sz w:val="32"/>
          <w:szCs w:val="32"/>
        </w:rPr>
        <w:t xml:space="preserve">项目编号：</w:t>
      </w:r>
      <w:r>
        <w:rPr>
          <w:rFonts w:hint="eastAsia" w:ascii="Times New Roman" w:hAnsi="Times New Roman"/>
          <w:b/>
          <w:color w:val="000000"/>
          <w:sz w:val="32"/>
          <w:szCs w:val="32"/>
          <w:highlight w:val="none"/>
          <w:lang w:eastAsia="zh-CN"/>
        </w:rPr>
        <w:t xml:space="preserve">JSZC-320981-JZCG-G2024-0038</w:t>
      </w:r>
      <w:r/>
    </w:p>
    <w:p>
      <w:pPr>
        <w:pStyle w:val="854"/>
        <w:spacing w:beforeAutospacing="0" w:afterAutospacing="0" w:line="360" w:lineRule="auto"/>
      </w:pPr>
      <w:r>
        <w:t xml:space="preserve"> </w:t>
      </w:r>
      <w:r/>
    </w:p>
    <w:p>
      <w:pPr>
        <w:pStyle w:val="854"/>
        <w:spacing w:beforeAutospacing="0" w:afterAutospacing="0" w:line="360" w:lineRule="auto"/>
      </w:pPr>
      <w:r>
        <w:t xml:space="preserve"> </w:t>
      </w:r>
      <w:r/>
    </w:p>
    <w:p>
      <w:pPr>
        <w:pStyle w:val="854"/>
        <w:spacing w:beforeAutospacing="0" w:afterAutospacing="0" w:line="360" w:lineRule="auto"/>
      </w:pPr>
      <w:r>
        <w:t xml:space="preserve"> </w:t>
      </w:r>
      <w:r/>
    </w:p>
    <w:p>
      <w:pPr>
        <w:pStyle w:val="854"/>
        <w:spacing w:beforeAutospacing="0" w:afterAutospacing="0" w:line="360" w:lineRule="auto"/>
      </w:pPr>
      <w:r>
        <w:t xml:space="preserve"> </w:t>
      </w:r>
      <w:r/>
    </w:p>
    <w:p>
      <w:pPr>
        <w:pStyle w:val="854"/>
        <w:spacing w:beforeAutospacing="0" w:afterAutospacing="0" w:line="360" w:lineRule="auto"/>
      </w:pPr>
      <w:r/>
      <w:r/>
    </w:p>
    <w:p>
      <w:pPr>
        <w:pStyle w:val="854"/>
        <w:spacing w:beforeAutospacing="0" w:afterAutospacing="0" w:line="360" w:lineRule="auto"/>
      </w:pPr>
      <w:r/>
      <w:r/>
    </w:p>
    <w:p>
      <w:pPr>
        <w:pStyle w:val="854"/>
        <w:spacing w:beforeAutospacing="0" w:afterAutospacing="0" w:line="360" w:lineRule="auto"/>
      </w:pPr>
      <w:r>
        <w:t xml:space="preserve"> </w:t>
      </w:r>
      <w:r/>
    </w:p>
    <w:p>
      <w:pPr>
        <w:pStyle w:val="854"/>
        <w:spacing w:beforeAutospacing="0" w:afterAutospacing="0" w:line="360" w:lineRule="auto"/>
      </w:pPr>
      <w:r>
        <w:t xml:space="preserve"> </w:t>
      </w:r>
      <w:r/>
    </w:p>
    <w:p>
      <w:pPr>
        <w:pStyle w:val="854"/>
        <w:spacing w:beforeAutospacing="0" w:afterAutospacing="0" w:line="360" w:lineRule="auto"/>
      </w:pPr>
      <w:r>
        <w:t xml:space="preserve"> </w:t>
      </w:r>
      <w:r/>
    </w:p>
    <w:p>
      <w:pPr>
        <w:pStyle w:val="854"/>
        <w:jc w:val="center"/>
        <w:spacing w:before="120" w:beforeAutospacing="0" w:after="120" w:afterAutospacing="0" w:line="360" w:lineRule="auto"/>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lang w:eastAsia="zh-CN"/>
        </w:rPr>
        <w:t xml:space="preserve">盐城市东台生态环境局</w:t>
      </w:r>
      <w:r/>
    </w:p>
    <w:p>
      <w:pPr>
        <w:pStyle w:val="854"/>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sz w:val="32"/>
          <w:szCs w:val="32"/>
          <w:lang w:val="en-US" w:eastAsia="zh-CN"/>
        </w:rPr>
        <w:t xml:space="preserve">2024</w:t>
      </w:r>
      <w:r>
        <w:rPr>
          <w:rFonts w:hint="eastAsia" w:ascii="宋体" w:hAnsi="宋体" w:eastAsia="宋体" w:cs="宋体"/>
          <w:b/>
          <w:color w:val="000000"/>
          <w:sz w:val="32"/>
          <w:szCs w:val="32"/>
        </w:rPr>
        <w:t xml:space="preserve">年</w:t>
      </w:r>
      <w:r>
        <w:rPr>
          <w:rFonts w:hint="eastAsia" w:ascii="宋体" w:hAnsi="宋体" w:eastAsia="宋体" w:cs="宋体"/>
          <w:b/>
          <w:color w:val="000000"/>
          <w:sz w:val="32"/>
          <w:szCs w:val="32"/>
          <w:lang w:val="en-US" w:eastAsia="zh-CN"/>
        </w:rPr>
        <w:t xml:space="preserve">7</w:t>
      </w:r>
      <w:r>
        <w:rPr>
          <w:rFonts w:hint="eastAsia" w:ascii="宋体" w:hAnsi="宋体" w:eastAsia="宋体" w:cs="宋体"/>
          <w:b/>
          <w:color w:val="000000"/>
          <w:sz w:val="32"/>
          <w:szCs w:val="32"/>
        </w:rPr>
        <w:t xml:space="preserve">月</w:t>
      </w:r>
      <w:r>
        <w:rPr>
          <w:rFonts w:hint="eastAsia" w:ascii="宋体" w:hAnsi="宋体" w:eastAsia="宋体" w:cs="宋体"/>
          <w:b/>
          <w:color w:val="000000"/>
          <w:sz w:val="32"/>
          <w:szCs w:val="32"/>
          <w:lang w:val="en-US" w:eastAsia="zh-CN"/>
        </w:rPr>
        <w:t xml:space="preserve">17</w:t>
      </w:r>
      <w:r>
        <w:rPr>
          <w:rFonts w:hint="eastAsia" w:ascii="宋体" w:hAnsi="宋体" w:eastAsia="宋体" w:cs="宋体"/>
          <w:b/>
          <w:color w:val="000000"/>
          <w:sz w:val="32"/>
          <w:szCs w:val="32"/>
        </w:rPr>
        <w:t xml:space="preserve">日</w:t>
      </w:r>
      <w:r/>
    </w:p>
    <w:p>
      <w:pPr>
        <w:pStyle w:val="854"/>
        <w:spacing w:before="120" w:beforeAutospacing="0" w:after="120" w:afterAutospacing="0" w:line="360" w:lineRule="auto"/>
      </w:pPr>
      <w:r>
        <w:rPr>
          <w:rFonts w:ascii="Arial" w:hAnsi="Arial" w:cs="Arial"/>
          <w:color w:val="000000"/>
        </w:rPr>
        <w:t xml:space="preserve">                        </w:t>
      </w:r>
      <w:r/>
    </w:p>
    <w:p>
      <w:pPr>
        <w:pStyle w:val="854"/>
        <w:jc w:val="center"/>
        <w:spacing w:before="120" w:beforeAutospacing="0" w:after="120" w:afterAutospacing="0" w:line="360" w:lineRule="auto"/>
      </w:pPr>
      <w:r>
        <w:t xml:space="preserve"> </w:t>
      </w:r>
      <w:r/>
    </w:p>
    <w:p>
      <w:pPr>
        <w:pStyle w:val="854"/>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br w:type="page" w:clear="all"/>
      </w:r>
      <w:r/>
    </w:p>
    <w:p>
      <w:pPr>
        <w:pStyle w:val="854"/>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t xml:space="preserve"> </w:t>
      </w:r>
      <w:bookmarkStart w:id="0" w:name="_Toc523127445"/>
      <w:r/>
      <w:bookmarkStart w:id="1" w:name="_Toc16938516"/>
      <w:r/>
      <w:bookmarkStart w:id="2" w:name="_Toc20823272"/>
      <w:r/>
      <w:bookmarkStart w:id="3" w:name="_Toc120614210"/>
      <w:r/>
      <w:bookmarkStart w:id="4" w:name="_Toc479757206"/>
      <w:r/>
      <w:bookmarkStart w:id="5" w:name="_Toc513029200"/>
      <w:r>
        <w:rPr>
          <w:rFonts w:ascii="Times New Roman" w:hAnsi="Times New Roman"/>
          <w:color w:val="000000"/>
          <w:sz w:val="21"/>
          <w:szCs w:val="21"/>
        </w:rPr>
        <w:t xml:space="preserve"> </w:t>
      </w:r>
      <w:r/>
    </w:p>
    <w:p>
      <w:pPr>
        <w:pStyle w:val="854"/>
        <w:jc w:val="center"/>
        <w:spacing w:beforeAutospacing="0" w:afterAutospacing="0" w:line="480" w:lineRule="auto"/>
      </w:pP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54"/>
        <w:jc w:val="both"/>
        <w:spacing w:beforeAutospacing="0" w:afterAutospacing="0" w:line="480" w:lineRule="auto"/>
      </w:pPr>
      <w:r>
        <w:t xml:space="preserve"> </w:t>
      </w:r>
      <w:r/>
    </w:p>
    <w:p>
      <w:pPr>
        <w:pStyle w:val="854"/>
        <w:ind w:left="0" w:firstLine="1080"/>
        <w:jc w:val="both"/>
        <w:keepLines w:val="0"/>
        <w:keepNext w:val="0"/>
        <w:pageBreakBefore w:val="0"/>
        <w:spacing w:beforeAutospacing="0" w:afterAutospacing="0" w:line="480" w:lineRule="auto"/>
        <w:widowControl w:val="off"/>
        <w:tabs>
          <w:tab w:val="left" w:pos="1441" w:leader="none"/>
        </w:tabs>
      </w:pPr>
      <w:r>
        <w:rPr>
          <w:rFonts w:hint="eastAsia" w:ascii="黑体" w:hAnsi="宋体" w:eastAsia="黑体" w:cs="黑体"/>
          <w:color w:val="000000"/>
          <w:sz w:val="36"/>
          <w:szCs w:val="36"/>
          <w:lang w:val="en-US" w:eastAsia="zh-CN"/>
        </w:rPr>
        <w:t xml:space="preserve">招标公告</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lang w:val="en-US" w:eastAsia="zh-CN"/>
        </w:rPr>
        <w:t xml:space="preserve">01</w:t>
      </w:r>
      <w:r/>
    </w:p>
    <w:p>
      <w:pPr>
        <w:pStyle w:val="854"/>
        <w:ind w:left="0" w:firstLine="1080"/>
        <w:jc w:val="both"/>
        <w:keepLines w:val="0"/>
        <w:keepNext w:val="0"/>
        <w:pageBreakBefore w:val="0"/>
        <w:spacing w:beforeAutospacing="0" w:afterAutospacing="0" w:line="480" w:lineRule="auto"/>
        <w:widowControl w:val="off"/>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lang w:val="en-US" w:eastAsia="zh-CN"/>
        </w:rPr>
        <w:t xml:space="preserve">04</w:t>
      </w:r>
      <w:r/>
    </w:p>
    <w:p>
      <w:pPr>
        <w:pStyle w:val="854"/>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lang w:val="en-US" w:eastAsia="zh-CN"/>
        </w:rPr>
      </w:pPr>
      <w:r>
        <w:rPr>
          <w:rFonts w:hint="eastAsia" w:ascii="黑体" w:hAnsi="宋体" w:eastAsia="黑体" w:cs="黑体"/>
          <w:color w:val="000000"/>
          <w:sz w:val="36"/>
          <w:szCs w:val="36"/>
        </w:rPr>
        <w:t xml:space="preserve">合同文本……………………………………</w:t>
      </w:r>
      <w:r>
        <w:rPr>
          <w:rFonts w:hint="eastAsia" w:ascii="黑体" w:hAnsi="宋体" w:eastAsia="黑体" w:cs="黑体"/>
          <w:color w:val="000000"/>
          <w:sz w:val="36"/>
          <w:szCs w:val="36"/>
          <w:lang w:val="en-US" w:eastAsia="zh-CN"/>
        </w:rPr>
        <w:t xml:space="preserve">16</w:t>
      </w:r>
      <w:r/>
    </w:p>
    <w:p>
      <w:pPr>
        <w:pStyle w:val="854"/>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lang w:val="en-US" w:eastAsia="zh-CN"/>
        </w:rPr>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lang w:val="en-US" w:eastAsia="zh-CN"/>
        </w:rPr>
        <w:t xml:space="preserve">21</w:t>
      </w:r>
      <w:r/>
    </w:p>
    <w:p>
      <w:pPr>
        <w:pStyle w:val="854"/>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lang w:val="en-US" w:eastAsia="zh-CN"/>
        </w:rPr>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lang w:val="en-US" w:eastAsia="zh-CN"/>
        </w:rPr>
        <w:t xml:space="preserve">28</w:t>
      </w:r>
      <w:r/>
    </w:p>
    <w:p>
      <w:pPr>
        <w:pStyle w:val="854"/>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lang w:val="en-US" w:eastAsia="zh-CN"/>
        </w:rPr>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lang w:val="en-US" w:eastAsia="zh-CN"/>
        </w:rPr>
        <w:t xml:space="preserve">32</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r/>
    </w:p>
    <w:p>
      <w:pPr>
        <w:pStyle w:val="854"/>
        <w:jc w:val="center"/>
        <w:spacing w:beforeAutospacing="0" w:afterAutospacing="0"/>
        <w:rPr>
          <w:rFonts w:hint="eastAsia" w:ascii="黑体" w:hAnsi="黑体" w:eastAsia="黑体" w:cs="黑体"/>
          <w:color w:val="000000"/>
          <w:sz w:val="44"/>
          <w:szCs w:val="44"/>
        </w:rPr>
        <w:sectPr>
          <w:footnotePr/>
          <w:endnotePr/>
          <w:type w:val="nextPage"/>
          <w:pgSz w:w="11906" w:h="16838" w:orient="portrait"/>
          <w:pgMar w:top="1440" w:right="1080" w:bottom="1440" w:left="1080" w:header="851" w:footer="992" w:gutter="0"/>
          <w:pgNumType w:start="1"/>
          <w:cols w:num="1" w:sep="0" w:space="425" w:equalWidth="1"/>
          <w:docGrid w:linePitch="360"/>
        </w:sectPr>
      </w:pPr>
      <w:r>
        <w:rPr>
          <w:rFonts w:hint="eastAsia" w:ascii="黑体" w:hAnsi="黑体" w:eastAsia="黑体" w:cs="黑体"/>
          <w:color w:val="000000"/>
          <w:sz w:val="44"/>
          <w:szCs w:val="44"/>
        </w:rPr>
      </w:r>
      <w:r/>
    </w:p>
    <w:p>
      <w:pPr>
        <w:pStyle w:val="854"/>
        <w:jc w:val="center"/>
        <w:spacing w:beforeAutospacing="0" w:afterAutospacing="0"/>
        <w:rPr>
          <w:rFonts w:hint="default" w:eastAsia="黑体"/>
          <w:lang w:val="en-US" w:eastAsia="zh-CN"/>
        </w:rPr>
      </w:pPr>
      <w:r>
        <w:rPr>
          <w:rFonts w:hint="eastAsia" w:ascii="黑体" w:hAnsi="黑体" w:eastAsia="黑体" w:cs="黑体"/>
          <w:color w:val="000000"/>
          <w:sz w:val="44"/>
          <w:szCs w:val="44"/>
        </w:rPr>
        <w:t xml:space="preserve">第一章 </w:t>
      </w:r>
      <w:r>
        <w:rPr>
          <w:rFonts w:hint="eastAsia" w:ascii="黑体" w:hAnsi="黑体" w:eastAsia="黑体" w:cs="黑体"/>
          <w:color w:val="000000"/>
          <w:sz w:val="44"/>
          <w:szCs w:val="44"/>
          <w:lang w:val="en-US" w:eastAsia="zh-CN"/>
        </w:rPr>
        <w:t xml:space="preserve">招标公告</w:t>
      </w:r>
      <w:r/>
    </w:p>
    <w:p>
      <w:pPr>
        <w:pStyle w:val="854"/>
        <w:ind w:firstLine="480"/>
        <w:jc w:val="left"/>
        <w:pageBreakBefore w:val="0"/>
        <w:spacing w:beforeAutospacing="0" w:afterAutospacing="0" w:line="360" w:lineRule="auto"/>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pStyle w:val="854"/>
        <w:ind w:firstLine="480"/>
        <w:jc w:val="both"/>
        <w:pageBreakBefore w:val="0"/>
        <w:spacing w:beforeAutospacing="0" w:afterAutospacing="0" w:line="360" w:lineRule="auto"/>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lang w:eastAsia="zh-CN"/>
        </w:rPr>
        <w:t xml:space="preserve">盐城市东台生态环境局非现场执法预警调度平台项目</w:t>
      </w:r>
      <w:r>
        <w:rPr>
          <w:rFonts w:hint="eastAsia" w:ascii="宋体" w:hAnsi="宋体" w:eastAsia="宋体" w:cs="宋体"/>
          <w:color w:val="000000"/>
          <w:sz w:val="24"/>
          <w:szCs w:val="24"/>
          <w:u w:val="single"/>
          <w:lang w:val="en-US" w:eastAsia="zh-CN"/>
        </w:rPr>
        <w:t xml:space="preserve"> JSZC-320981-JZCG-G2024-0038</w:t>
      </w:r>
      <w:r>
        <w:rPr>
          <w:rFonts w:hint="eastAsia" w:ascii="宋体" w:hAnsi="宋体" w:eastAsia="宋体" w:cs="宋体"/>
          <w:color w:val="000000"/>
          <w:sz w:val="24"/>
          <w:szCs w:val="24"/>
        </w:rPr>
        <w:t xml:space="preserve">招标项目的潜在投标人</w:t>
      </w:r>
      <w:r>
        <w:rPr>
          <w:rFonts w:hint="eastAsia" w:ascii="宋体" w:hAnsi="宋体" w:eastAsia="宋体" w:cs="宋体"/>
          <w:color w:val="000000"/>
          <w:sz w:val="24"/>
          <w:szCs w:val="24"/>
        </w:rPr>
        <w:t xml:space="preserve">应</w:t>
      </w:r>
      <w:r>
        <w:rPr>
          <w:rFonts w:hint="eastAsia" w:ascii="宋体" w:hAnsi="宋体" w:eastAsia="宋体" w:cs="宋体"/>
          <w:color w:val="000000"/>
          <w:sz w:val="24"/>
          <w:szCs w:val="24"/>
        </w:rPr>
        <w:t xml:space="preserve">在</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bidi="ar-SA"/>
        </w:rPr>
        <w:t xml:space="preserve">中国政府采购网</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“江苏政府采购网、盐城市政府采购网”</w:t>
      </w:r>
      <w:r>
        <w:rPr>
          <w:rFonts w:hint="eastAsia" w:ascii="宋体" w:hAnsi="宋体" w:eastAsia="宋体" w:cs="宋体"/>
          <w:color w:val="000000"/>
          <w:sz w:val="24"/>
          <w:szCs w:val="24"/>
          <w:lang w:val="en-US" w:eastAsia="zh-CN"/>
        </w:rPr>
        <w:t xml:space="preserve">获取</w:t>
      </w:r>
      <w:r>
        <w:rPr>
          <w:rFonts w:hint="eastAsia" w:ascii="宋体" w:hAnsi="宋体" w:eastAsia="宋体" w:cs="宋体"/>
          <w:color w:val="000000"/>
          <w:sz w:val="24"/>
          <w:szCs w:val="24"/>
        </w:rPr>
        <w:t xml:space="preserve">招标文件，并于</w:t>
      </w:r>
      <w:r>
        <w:rPr>
          <w:rFonts w:hint="eastAsia" w:ascii="宋体" w:hAnsi="宋体" w:eastAsia="宋体" w:cs="宋体"/>
          <w:color w:val="000000"/>
          <w:sz w:val="24"/>
          <w:szCs w:val="24"/>
        </w:rPr>
        <w:t xml:space="preserve">2024-08-09 09:00</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rPr>
        <w:t xml:space="preserve">北京时间）前递交投标文件。</w:t>
      </w:r>
      <w:r/>
    </w:p>
    <w:p>
      <w:pPr>
        <w:pStyle w:val="854"/>
        <w:ind w:firstLine="482"/>
        <w:jc w:val="left"/>
        <w:keepLines/>
        <w:keepNext/>
        <w:pageBreakBefore w:val="0"/>
        <w:spacing w:beforeAutospacing="0" w:afterAutospacing="0" w:line="360" w:lineRule="auto"/>
        <w:rPr>
          <w:rFonts w:hint="eastAsia" w:ascii="宋体" w:hAnsi="宋体" w:eastAsia="宋体" w:cs="宋体"/>
          <w:sz w:val="24"/>
          <w:szCs w:val="24"/>
        </w:rPr>
      </w:pPr>
      <w:r/>
      <w:bookmarkStart w:id="6" w:name="_Hlk24379207"/>
      <w:r/>
      <w:bookmarkStart w:id="7" w:name="_Toc35393790"/>
      <w:r/>
      <w:bookmarkStart w:id="8" w:name="_Toc28359079"/>
      <w:r/>
      <w:bookmarkStart w:id="9" w:name="_Toc35393621"/>
      <w:r/>
      <w:bookmarkStart w:id="10" w:name="_Toc38985263"/>
      <w:r/>
      <w:bookmarkStart w:id="11" w:name="_Toc28359002"/>
      <w:r>
        <w:rPr>
          <w:rFonts w:hint="eastAsia" w:ascii="宋体" w:hAnsi="宋体" w:eastAsia="宋体" w:cs="宋体"/>
          <w:b/>
          <w:color w:val="000000"/>
          <w:sz w:val="24"/>
          <w:szCs w:val="24"/>
        </w:rPr>
        <w:t xml:space="preserve">一、项目基本情况</w:t>
      </w:r>
      <w:bookmarkEnd w:id="6"/>
      <w:r/>
      <w:bookmarkEnd w:id="7"/>
      <w:r/>
      <w:bookmarkEnd w:id="8"/>
      <w:r/>
      <w:bookmarkEnd w:id="9"/>
      <w:r/>
      <w:bookmarkEnd w:id="10"/>
      <w:r/>
      <w:bookmarkEnd w:id="11"/>
      <w:r/>
      <w:r/>
    </w:p>
    <w:p>
      <w:pPr>
        <w:pStyle w:val="854"/>
        <w:ind w:firstLine="480"/>
        <w:jc w:val="left"/>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val="en-US" w:eastAsia="zh-CN"/>
        </w:rPr>
        <w:t xml:space="preserve">JSZC-320981-JZCG-G2024-0038</w:t>
      </w:r>
      <w:r/>
    </w:p>
    <w:p>
      <w:pPr>
        <w:pStyle w:val="854"/>
        <w:ind w:firstLine="480"/>
        <w:jc w:val="left"/>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盐城市东台生态环境局非现场执法预警调度平台项目</w:t>
      </w:r>
      <w:r/>
    </w:p>
    <w:p>
      <w:pPr>
        <w:pStyle w:val="854"/>
        <w:ind w:firstLine="480"/>
        <w:jc w:val="left"/>
        <w:pageBreakBefore w:val="0"/>
        <w:spacing w:beforeAutospacing="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 xml:space="preserve">采购方式：</w:t>
      </w:r>
      <w:r>
        <w:rPr>
          <w:rFonts w:hint="eastAsia" w:ascii="宋体" w:hAnsi="宋体" w:eastAsia="宋体" w:cs="宋体"/>
          <w:i w:val="0"/>
          <w:iCs w:val="0"/>
          <w:caps w:val="0"/>
          <w:color w:val="333333"/>
          <w:spacing w:val="0"/>
          <w:sz w:val="24"/>
          <w:szCs w:val="24"/>
          <w:shd w:val="clear" w:color="auto" w:fill="ffffff"/>
          <w:lang w:val="en-US" w:eastAsia="zh-CN"/>
        </w:rPr>
        <w:t xml:space="preserve">公开招标</w:t>
      </w:r>
      <w:r/>
    </w:p>
    <w:p>
      <w:pPr>
        <w:pStyle w:val="854"/>
        <w:ind w:firstLine="480"/>
        <w:jc w:val="left"/>
        <w:pageBreakBefore w:val="0"/>
        <w:spacing w:beforeAutospacing="0" w:afterAutospacing="0" w:line="360" w:lineRule="auto"/>
        <w:rPr>
          <w:rFonts w:hint="eastAsia" w:ascii="宋体" w:hAnsi="宋体" w:eastAsia="宋体" w:cs="宋体"/>
          <w:color w:val="000000"/>
          <w:sz w:val="24"/>
          <w:szCs w:val="24"/>
          <w:shd w:val="clear" w:color="auto" w:fill="ffff00"/>
        </w:rPr>
      </w:pPr>
      <w:r>
        <w:rPr>
          <w:rFonts w:hint="eastAsia" w:ascii="宋体" w:hAnsi="宋体" w:eastAsia="宋体" w:cs="宋体"/>
          <w:color w:val="000000"/>
          <w:sz w:val="24"/>
          <w:szCs w:val="24"/>
        </w:rPr>
        <w:t xml:space="preserve">预算金额：</w:t>
      </w:r>
      <w:r>
        <w:rPr>
          <w:rFonts w:hint="eastAsia" w:ascii="宋体" w:hAnsi="宋体" w:eastAsia="宋体" w:cs="宋体"/>
          <w:color w:val="000000"/>
          <w:sz w:val="24"/>
          <w:szCs w:val="24"/>
          <w:lang w:val="en-US" w:eastAsia="zh-CN"/>
        </w:rPr>
        <w:t xml:space="preserve">50.000000万元</w:t>
      </w:r>
      <w:r/>
    </w:p>
    <w:p>
      <w:pPr>
        <w:pStyle w:val="854"/>
        <w:ind w:firstLine="480"/>
        <w:jc w:val="left"/>
        <w:pageBreakBefore w:val="0"/>
        <w:spacing w:beforeAutospacing="0" w:afterAutospacing="0" w:line="360" w:lineRule="auto"/>
        <w:rPr>
          <w:rFonts w:hint="eastAsia" w:ascii="宋体" w:hAnsi="宋体" w:eastAsia="宋体" w:cs="宋体"/>
          <w:color w:val="000000"/>
          <w:sz w:val="24"/>
          <w:szCs w:val="24"/>
          <w:shd w:val="clear" w:color="auto" w:fill="ffff00"/>
        </w:rPr>
      </w:pPr>
      <w:r>
        <w:rPr>
          <w:rFonts w:hint="eastAsia" w:ascii="宋体" w:hAnsi="宋体" w:eastAsia="宋体" w:cs="宋体"/>
          <w:i w:val="0"/>
          <w:iCs w:val="0"/>
          <w:caps w:val="0"/>
          <w:color w:val="333333"/>
          <w:spacing w:val="0"/>
          <w:sz w:val="24"/>
          <w:szCs w:val="24"/>
          <w:shd w:val="clear" w:color="auto" w:fill="ffffff"/>
        </w:rPr>
        <w:t xml:space="preserve">最高限价（如有）：</w:t>
      </w:r>
      <w:r>
        <w:rPr>
          <w:rFonts w:hint="eastAsia" w:ascii="宋体" w:hAnsi="宋体" w:eastAsia="宋体" w:cs="宋体"/>
          <w:i w:val="0"/>
          <w:iCs w:val="0"/>
          <w:caps w:val="0"/>
          <w:color w:val="333333"/>
          <w:spacing w:val="0"/>
          <w:sz w:val="24"/>
          <w:szCs w:val="24"/>
          <w:shd w:val="clear" w:color="auto" w:fill="ffffff"/>
          <w:lang w:val="en-US" w:eastAsia="zh-CN"/>
        </w:rPr>
        <w:t xml:space="preserve">50.000000万元</w:t>
      </w:r>
      <w:r/>
    </w:p>
    <w:p>
      <w:pPr>
        <w:pStyle w:val="854"/>
        <w:ind w:firstLine="480"/>
        <w:jc w:val="left"/>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采购需求：</w:t>
      </w:r>
      <w:r>
        <w:rPr>
          <w:rFonts w:hint="eastAsia" w:ascii="宋体" w:hAnsi="宋体" w:eastAsia="宋体" w:cs="宋体"/>
          <w:color w:val="000000"/>
          <w:sz w:val="24"/>
          <w:szCs w:val="24"/>
          <w:lang w:val="en-US" w:eastAsia="zh-CN"/>
        </w:rPr>
        <w:t xml:space="preserve">东台市生态环境非现场执法预警调度平台项目包括</w:t>
      </w:r>
      <w:r>
        <w:rPr>
          <w:rFonts w:hint="eastAsia" w:ascii="宋体" w:hAnsi="宋体" w:eastAsia="宋体" w:cs="宋体"/>
          <w:color w:val="000000"/>
          <w:sz w:val="24"/>
          <w:szCs w:val="24"/>
          <w:lang w:val="zh-CN" w:eastAsia="zh-CN"/>
        </w:rPr>
        <w:t xml:space="preserve">生态环境监测预警闭环管理系统、生态环境非现场执法监管系统、污染源数据异动分析研判系统、</w:t>
      </w:r>
      <w:r>
        <w:rPr>
          <w:rFonts w:hint="eastAsia" w:ascii="宋体" w:hAnsi="宋体" w:eastAsia="宋体" w:cs="宋体"/>
          <w:color w:val="000000"/>
          <w:sz w:val="24"/>
          <w:szCs w:val="24"/>
          <w:lang w:val="en-US" w:eastAsia="zh-CN"/>
        </w:rPr>
        <w:t xml:space="preserve">生态环境非现场执法预警调度APP、</w:t>
      </w:r>
      <w:r>
        <w:rPr>
          <w:rFonts w:hint="eastAsia" w:ascii="宋体" w:hAnsi="宋体" w:eastAsia="宋体" w:cs="宋体"/>
          <w:color w:val="000000"/>
          <w:sz w:val="24"/>
          <w:szCs w:val="24"/>
          <w:lang w:val="zh-CN" w:eastAsia="zh-CN"/>
        </w:rPr>
        <w:t xml:space="preserve">生态环境非现场执法预警</w:t>
      </w:r>
      <w:r>
        <w:rPr>
          <w:rFonts w:hint="eastAsia" w:ascii="宋体" w:hAnsi="宋体" w:eastAsia="宋体" w:cs="宋体"/>
          <w:color w:val="000000"/>
          <w:sz w:val="24"/>
          <w:szCs w:val="24"/>
          <w:lang w:val="en-US" w:eastAsia="zh-CN"/>
        </w:rPr>
        <w:t xml:space="preserve">指挥</w:t>
      </w:r>
      <w:r>
        <w:rPr>
          <w:rFonts w:hint="eastAsia" w:ascii="宋体" w:hAnsi="宋体" w:eastAsia="宋体" w:cs="宋体"/>
          <w:color w:val="000000"/>
          <w:sz w:val="24"/>
          <w:szCs w:val="24"/>
          <w:lang w:val="zh-CN" w:eastAsia="zh-CN"/>
        </w:rPr>
        <w:t xml:space="preserve">调度一张图、</w:t>
      </w:r>
      <w:r>
        <w:rPr>
          <w:rFonts w:hint="eastAsia" w:ascii="宋体" w:hAnsi="宋体" w:eastAsia="宋体" w:cs="宋体"/>
          <w:color w:val="000000"/>
          <w:sz w:val="24"/>
          <w:szCs w:val="24"/>
          <w:lang w:val="en-US" w:eastAsia="zh-CN"/>
        </w:rPr>
        <w:t xml:space="preserve">全景式生态环境研判系统等模块。</w:t>
      </w:r>
      <w:r>
        <w:rPr>
          <w:rFonts w:hint="eastAsia" w:ascii="宋体" w:hAnsi="宋体" w:eastAsia="宋体" w:cs="宋体"/>
          <w:color w:val="000000"/>
          <w:sz w:val="24"/>
          <w:szCs w:val="24"/>
        </w:rPr>
        <w:t xml:space="preserve">（详细内容见本招标文件第四章） </w:t>
      </w:r>
      <w:r/>
    </w:p>
    <w:p>
      <w:pPr>
        <w:pStyle w:val="854"/>
        <w:ind w:firstLine="480"/>
        <w:jc w:val="left"/>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合同履行期限：</w:t>
      </w:r>
      <w:r>
        <w:rPr>
          <w:rFonts w:hint="eastAsia" w:ascii="宋体" w:hAnsi="宋体" w:eastAsia="宋体" w:cs="宋体"/>
          <w:color w:val="000000"/>
          <w:sz w:val="24"/>
          <w:szCs w:val="24"/>
          <w:lang w:val="en-US" w:eastAsia="zh-CN"/>
        </w:rPr>
        <w:t xml:space="preserve">4个月内开发完成并上线试运行（自签订合同之日起），免费运维期为1年（自验收合格之日起计）。</w:t>
      </w:r>
      <w:r/>
    </w:p>
    <w:p>
      <w:pPr>
        <w:pStyle w:val="854"/>
        <w:ind w:firstLine="480"/>
        <w:jc w:val="left"/>
        <w:pageBreakBefore w:val="0"/>
        <w:spacing w:beforeAutospacing="0" w:afterAutospacing="0" w:line="360" w:lineRule="auto"/>
        <w:rPr>
          <w:rFonts w:hint="default" w:ascii="宋体" w:hAnsi="宋体" w:eastAsia="宋体" w:cs="宋体"/>
          <w:color w:val="000000"/>
          <w:sz w:val="24"/>
          <w:szCs w:val="24"/>
          <w:shd w:val="clear" w:color="auto" w:fill="ffff00"/>
          <w:lang w:val="en-US"/>
        </w:rPr>
      </w:pPr>
      <w:r>
        <w:rPr>
          <w:rFonts w:hint="eastAsia" w:ascii="宋体" w:hAnsi="宋体" w:eastAsia="宋体" w:cs="宋体"/>
          <w:i w:val="0"/>
          <w:iCs w:val="0"/>
          <w:caps w:val="0"/>
          <w:color w:val="333333"/>
          <w:spacing w:val="0"/>
          <w:sz w:val="24"/>
          <w:szCs w:val="24"/>
          <w:shd w:val="clear" w:color="auto" w:fill="ffffff"/>
          <w:lang w:val="en-US" w:eastAsia="zh-CN"/>
        </w:rPr>
        <w:t xml:space="preserve">本项目（是/否）接受联合体投标：不接受联合体。</w:t>
      </w:r>
      <w:r/>
    </w:p>
    <w:p>
      <w:pPr>
        <w:pStyle w:val="854"/>
        <w:ind w:firstLine="482"/>
        <w:jc w:val="left"/>
        <w:keepLines/>
        <w:keepNext/>
        <w:pageBreakBefore w:val="0"/>
        <w:spacing w:beforeAutospacing="0" w:afterAutospacing="0" w:line="360" w:lineRule="auto"/>
        <w:rPr>
          <w:rFonts w:hint="eastAsia" w:ascii="宋体" w:hAnsi="宋体" w:eastAsia="宋体" w:cs="宋体"/>
          <w:sz w:val="24"/>
          <w:szCs w:val="24"/>
        </w:rPr>
      </w:pPr>
      <w:r/>
      <w:bookmarkStart w:id="12" w:name="_Toc38985264"/>
      <w:r/>
      <w:bookmarkStart w:id="13" w:name="_Toc28359003"/>
      <w:r/>
      <w:bookmarkStart w:id="14" w:name="_Toc35393622"/>
      <w:r/>
      <w:bookmarkStart w:id="15" w:name="_Toc35393791"/>
      <w:r/>
      <w:bookmarkStart w:id="16" w:name="_Toc28359080"/>
      <w:r>
        <w:rPr>
          <w:rFonts w:hint="eastAsia" w:ascii="宋体" w:hAnsi="宋体" w:eastAsia="宋体" w:cs="宋体"/>
          <w:b/>
          <w:color w:val="000000"/>
          <w:sz w:val="24"/>
          <w:szCs w:val="24"/>
        </w:rPr>
        <w:t xml:space="preserve">二、申请人的资格要求：</w:t>
      </w:r>
      <w:bookmarkEnd w:id="12"/>
      <w:r/>
      <w:bookmarkEnd w:id="13"/>
      <w:r/>
      <w:bookmarkEnd w:id="14"/>
      <w:r/>
      <w:bookmarkEnd w:id="15"/>
      <w:r/>
      <w:bookmarkEnd w:id="16"/>
      <w:r/>
      <w:r/>
    </w:p>
    <w:p>
      <w:pPr>
        <w:pStyle w:val="854"/>
        <w:ind w:firstLine="480"/>
        <w:jc w:val="left"/>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（一）满足《中华人民共和国政府采购法》第二十二条规定，并提供下列材料：</w:t>
      </w:r>
      <w:r/>
    </w:p>
    <w:p>
      <w:pPr>
        <w:pStyle w:val="854"/>
        <w:ind w:firstLine="480"/>
        <w:jc w:val="left"/>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法人或者其他组织的营业执照等证明文件，自然人的身份证明</w:t>
      </w:r>
      <w:r>
        <w:rPr>
          <w:rFonts w:hint="eastAsia" w:ascii="宋体" w:hAnsi="宋体" w:eastAsia="宋体" w:cs="宋体"/>
          <w:color w:val="000000"/>
          <w:sz w:val="24"/>
          <w:szCs w:val="24"/>
        </w:rPr>
        <w:t xml:space="preserve">。</w:t>
      </w:r>
      <w:r/>
    </w:p>
    <w:p>
      <w:pPr>
        <w:pStyle w:val="854"/>
        <w:ind w:firstLine="480"/>
        <w:jc w:val="left"/>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上一年度（或上上年度）经审计的财务报告（投标人成立不满一年无需提供）</w:t>
      </w:r>
      <w:r>
        <w:rPr>
          <w:rFonts w:hint="eastAsia" w:ascii="宋体" w:hAnsi="宋体" w:eastAsia="宋体" w:cs="宋体"/>
          <w:color w:val="000000"/>
          <w:sz w:val="24"/>
          <w:szCs w:val="24"/>
        </w:rPr>
        <w:t xml:space="preserve">。</w:t>
      </w:r>
      <w:r/>
    </w:p>
    <w:p>
      <w:pPr>
        <w:pStyle w:val="854"/>
        <w:ind w:firstLine="480"/>
        <w:jc w:val="left"/>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000000"/>
          <w:sz w:val="24"/>
          <w:szCs w:val="24"/>
        </w:rPr>
        <w:t xml:space="preserve">。</w:t>
      </w:r>
      <w:r/>
    </w:p>
    <w:p>
      <w:pPr>
        <w:pStyle w:val="854"/>
        <w:ind w:firstLine="480"/>
        <w:jc w:val="left"/>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具备履行合同所必需的设备和专业技术能力的书面声明</w:t>
      </w:r>
      <w:r>
        <w:rPr>
          <w:rFonts w:hint="eastAsia" w:ascii="宋体" w:hAnsi="宋体" w:eastAsia="宋体" w:cs="宋体"/>
          <w:color w:val="000000"/>
          <w:sz w:val="24"/>
          <w:szCs w:val="24"/>
        </w:rPr>
        <w:t xml:space="preserve">。</w:t>
      </w:r>
      <w:r/>
    </w:p>
    <w:p>
      <w:pPr>
        <w:pStyle w:val="854"/>
        <w:ind w:firstLine="480"/>
        <w:jc w:val="left"/>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参加政府采购活动前3年内在经营活动中没有重大违法记录的书面声明</w:t>
      </w:r>
      <w:r>
        <w:rPr>
          <w:rFonts w:hint="eastAsia" w:ascii="宋体" w:hAnsi="宋体" w:eastAsia="宋体" w:cs="宋体"/>
          <w:color w:val="000000"/>
          <w:sz w:val="24"/>
          <w:szCs w:val="24"/>
        </w:rPr>
        <w:t xml:space="preserve">。</w:t>
      </w:r>
      <w:r/>
    </w:p>
    <w:p>
      <w:pPr>
        <w:pStyle w:val="854"/>
        <w:ind w:firstLine="480"/>
        <w:jc w:val="left"/>
        <w:pageBreakBefore w:val="0"/>
        <w:spacing w:beforeAutospacing="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（二）落实政府采购政策需满足的资格要求：无。</w:t>
      </w:r>
      <w:r/>
    </w:p>
    <w:p>
      <w:pPr>
        <w:pStyle w:val="854"/>
        <w:ind w:firstLine="480"/>
        <w:jc w:val="left"/>
        <w:pageBreakBefore w:val="0"/>
        <w:spacing w:beforeAutospacing="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（三）本项目的特定资格要求：</w:t>
      </w:r>
      <w:r/>
    </w:p>
    <w:p>
      <w:pPr>
        <w:pStyle w:val="854"/>
        <w:ind w:firstLine="480"/>
        <w:jc w:val="left"/>
        <w:pageBreakBefore w:val="0"/>
        <w:spacing w:beforeAutospacing="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54"/>
        <w:ind w:firstLine="480"/>
        <w:jc w:val="left"/>
        <w:pageBreakBefore w:val="0"/>
        <w:spacing w:beforeAutospacing="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2.单位负责人为同一人或者存在直接控股、管理关系的不同供应商，不得参加同一合同项下的政府采购活动。</w:t>
      </w:r>
      <w:r/>
    </w:p>
    <w:p>
      <w:pPr>
        <w:pStyle w:val="854"/>
        <w:ind w:firstLine="480"/>
        <w:jc w:val="left"/>
        <w:pageBreakBefore w:val="0"/>
        <w:spacing w:beforeAutospacing="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3.投标人如委托被授权人参与，则被授权人须为本单位正式职工并提供投标人为被授权人缴纳的社会养老保险证明。</w:t>
      </w:r>
      <w:r/>
    </w:p>
    <w:p>
      <w:pPr>
        <w:pStyle w:val="854"/>
        <w:ind w:firstLine="482"/>
        <w:jc w:val="left"/>
        <w:keepLines/>
        <w:keepNext/>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bookmarkStart w:id="17" w:name="_Toc35393624"/>
      <w:r/>
      <w:bookmarkStart w:id="18" w:name="_Toc35393793"/>
      <w:r/>
      <w:bookmarkStart w:id="19" w:name="_Toc38985266"/>
      <w:r/>
      <w:bookmarkStart w:id="20" w:name="_Toc28359082"/>
      <w:r/>
      <w:bookmarkStart w:id="21" w:name="_Toc28359005"/>
      <w:r>
        <w:rPr>
          <w:rFonts w:hint="eastAsia" w:ascii="宋体" w:hAnsi="宋体" w:eastAsia="宋体" w:cs="宋体"/>
          <w:color w:val="auto"/>
          <w:sz w:val="24"/>
          <w:szCs w:val="24"/>
        </w:rPr>
        <w:t xml:space="preserve">时间：</w:t>
      </w:r>
      <w:bookmarkEnd w:id="17"/>
      <w:r/>
      <w:bookmarkEnd w:id="18"/>
      <w:r/>
      <w:bookmarkEnd w:id="19"/>
      <w:r/>
      <w:bookmarkEnd w:id="20"/>
      <w:r/>
      <w:bookmarkEnd w:id="21"/>
      <w:r>
        <w:rPr>
          <w:rFonts w:hint="eastAsia" w:ascii="宋体" w:hAnsi="宋体" w:eastAsia="宋体" w:cs="宋体"/>
          <w:sz w:val="24"/>
          <w:szCs w:val="24"/>
        </w:rPr>
        <w:t xml:space="preserve">2024年</w:t>
      </w:r>
      <w:r>
        <w:rPr>
          <w:rFonts w:hint="eastAsia" w:ascii="宋体" w:hAnsi="宋体" w:eastAsia="宋体" w:cs="宋体"/>
          <w:sz w:val="24"/>
          <w:szCs w:val="24"/>
          <w:u w:val="single"/>
          <w:lang w:val="en-US" w:eastAsia="zh-CN"/>
        </w:rPr>
        <w:t xml:space="preserve">07</w:t>
      </w:r>
      <w:r>
        <w:rPr>
          <w:rFonts w:hint="eastAsia" w:ascii="宋体" w:hAnsi="宋体" w:eastAsia="宋体" w:cs="宋体"/>
          <w:sz w:val="24"/>
          <w:szCs w:val="24"/>
        </w:rPr>
        <w:t xml:space="preserve">月</w:t>
      </w:r>
      <w:r>
        <w:rPr>
          <w:rFonts w:hint="eastAsia" w:ascii="宋体" w:hAnsi="宋体" w:eastAsia="宋体" w:cs="宋体"/>
          <w:sz w:val="24"/>
          <w:szCs w:val="24"/>
          <w:u w:val="single"/>
          <w:lang w:val="en-US" w:eastAsia="zh-CN"/>
        </w:rPr>
        <w:t xml:space="preserve">17</w:t>
      </w:r>
      <w:r>
        <w:rPr>
          <w:rFonts w:hint="eastAsia" w:ascii="宋体" w:hAnsi="宋体" w:eastAsia="宋体" w:cs="宋体"/>
          <w:sz w:val="24"/>
          <w:szCs w:val="24"/>
        </w:rPr>
        <w:t xml:space="preserve">日至2024年</w:t>
      </w:r>
      <w:r>
        <w:rPr>
          <w:rFonts w:hint="eastAsia" w:ascii="宋体" w:hAnsi="宋体" w:eastAsia="宋体" w:cs="宋体"/>
          <w:sz w:val="24"/>
          <w:szCs w:val="24"/>
          <w:u w:val="single"/>
          <w:lang w:val="en-US" w:eastAsia="zh-CN"/>
        </w:rPr>
        <w:t xml:space="preserve">07</w:t>
      </w:r>
      <w:r>
        <w:rPr>
          <w:rFonts w:hint="eastAsia" w:ascii="宋体" w:hAnsi="宋体" w:eastAsia="宋体" w:cs="宋体"/>
          <w:sz w:val="24"/>
          <w:szCs w:val="24"/>
        </w:rPr>
        <w:t xml:space="preserve">月</w:t>
      </w:r>
      <w:r>
        <w:rPr>
          <w:rFonts w:hint="eastAsia" w:ascii="宋体" w:hAnsi="宋体" w:eastAsia="宋体" w:cs="宋体"/>
          <w:sz w:val="24"/>
          <w:szCs w:val="24"/>
          <w:u w:val="single"/>
          <w:lang w:val="en-US" w:eastAsia="zh-CN"/>
        </w:rPr>
        <w:t xml:space="preserve">24</w:t>
      </w:r>
      <w:r>
        <w:rPr>
          <w:rFonts w:hint="eastAsia" w:ascii="宋体" w:hAnsi="宋体" w:eastAsia="宋体" w:cs="宋体"/>
          <w:sz w:val="24"/>
          <w:szCs w:val="24"/>
        </w:rPr>
        <w:t xml:space="preserve">日，每天上午00:00-12:00，下午12:00-23:59（北京时间，法定节假日除外）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w:t>
      </w:r>
      <w:r>
        <w:rPr>
          <w:rFonts w:hint="eastAsia" w:ascii="宋体" w:hAnsi="宋体" w:eastAsia="宋体" w:cs="宋体"/>
          <w:color w:val="auto"/>
          <w:sz w:val="24"/>
          <w:szCs w:val="24"/>
          <w:lang w:val="en-US" w:eastAsia="zh-CN"/>
        </w:rPr>
        <w:t xml:space="preserve">中国</w:t>
      </w:r>
      <w:r>
        <w:rPr>
          <w:rFonts w:hint="eastAsia" w:ascii="宋体" w:hAnsi="宋体" w:eastAsia="宋体" w:cs="宋体"/>
          <w:color w:val="auto"/>
          <w:sz w:val="24"/>
          <w:szCs w:val="24"/>
        </w:rPr>
        <w:t xml:space="preserve">政府采购网、江苏政府采购网、盐城市政府采购网”</w:t>
      </w:r>
      <w:r/>
    </w:p>
    <w:p>
      <w:pPr>
        <w:ind w:firstLine="480"/>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方式：在“</w:t>
      </w:r>
      <w:r>
        <w:rPr>
          <w:rFonts w:hint="eastAsia" w:ascii="宋体" w:hAnsi="宋体" w:eastAsia="宋体" w:cs="宋体"/>
          <w:color w:val="auto"/>
          <w:sz w:val="24"/>
          <w:szCs w:val="24"/>
          <w:lang w:val="en-US" w:eastAsia="zh-CN"/>
        </w:rPr>
        <w:t xml:space="preserve">中国</w:t>
      </w:r>
      <w:r>
        <w:rPr>
          <w:rFonts w:hint="eastAsia" w:ascii="宋体" w:hAnsi="宋体" w:eastAsia="宋体" w:cs="宋体"/>
          <w:color w:val="auto"/>
          <w:sz w:val="24"/>
          <w:szCs w:val="24"/>
        </w:rPr>
        <w:t xml:space="preserve">政府采购网、江苏政府采购网、盐城市政府采购网”自行免费下载招标文件。</w:t>
      </w:r>
      <w:r>
        <w:rPr>
          <w:rFonts w:hint="eastAsia" w:ascii="宋体" w:hAnsi="宋体" w:eastAsia="宋体" w:cs="宋体"/>
          <w:color w:val="auto"/>
          <w:sz w:val="24"/>
          <w:szCs w:val="24"/>
          <w:lang w:val="en-US" w:eastAsia="zh-CN"/>
        </w:rPr>
        <w:t xml:space="preserve">同时供应商登录</w:t>
      </w:r>
      <w:r>
        <w:rPr>
          <w:rFonts w:hint="eastAsia" w:ascii="宋体" w:hAnsi="宋体" w:eastAsia="宋体" w:cs="宋体"/>
          <w:color w:val="auto"/>
          <w:sz w:val="24"/>
          <w:szCs w:val="24"/>
        </w:rPr>
        <w:t xml:space="preserve">“苏采云”</w:t>
      </w:r>
      <w:r>
        <w:rPr>
          <w:rFonts w:hint="eastAsia" w:ascii="宋体" w:hAnsi="宋体" w:eastAsia="宋体" w:cs="宋体"/>
          <w:color w:val="auto"/>
          <w:sz w:val="24"/>
          <w:szCs w:val="24"/>
          <w:lang w:val="en-US" w:eastAsia="zh-CN"/>
        </w:rPr>
        <w:t xml:space="preserve">系统上进行项目参与。</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售价：0.00元</w:t>
      </w:r>
      <w:r/>
    </w:p>
    <w:p>
      <w:pPr>
        <w:pStyle w:val="854"/>
        <w:ind w:firstLine="482"/>
        <w:jc w:val="left"/>
        <w:keepLines/>
        <w:keepNext/>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四、提交投标文件截止时间、开标时间和地点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bookmarkStart w:id="22" w:name="_Toc35393794"/>
      <w:r/>
      <w:bookmarkStart w:id="23" w:name="_Toc28359007"/>
      <w:r/>
      <w:bookmarkStart w:id="24" w:name="_Toc35393625"/>
      <w:r/>
      <w:bookmarkStart w:id="25" w:name="_Toc38985267"/>
      <w:r/>
      <w:bookmarkStart w:id="26" w:name="_Toc28359084"/>
      <w:r>
        <w:rPr>
          <w:rFonts w:hint="eastAsia" w:ascii="宋体" w:hAnsi="宋体" w:eastAsia="宋体" w:cs="宋体"/>
          <w:color w:val="auto"/>
          <w:sz w:val="24"/>
          <w:szCs w:val="24"/>
        </w:rPr>
        <w:t xml:space="preserve">2024-</w:t>
      </w:r>
      <w:r>
        <w:rPr>
          <w:rFonts w:hint="eastAsia" w:ascii="宋体" w:hAnsi="宋体" w:eastAsia="宋体" w:cs="宋体"/>
          <w:color w:val="auto"/>
          <w:sz w:val="24"/>
          <w:szCs w:val="24"/>
          <w:u w:val="single"/>
          <w:lang w:val="en-US" w:eastAsia="zh-CN"/>
        </w:rPr>
        <w:t xml:space="preserve">08</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lang w:val="en-US" w:eastAsia="zh-CN"/>
        </w:rPr>
        <w:t xml:space="preserve">09</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09</w:t>
      </w:r>
      <w:r>
        <w:rPr>
          <w:rFonts w:hint="eastAsia" w:ascii="宋体" w:hAnsi="宋体" w:eastAsia="宋体" w:cs="宋体"/>
          <w:color w:val="auto"/>
          <w:sz w:val="24"/>
          <w:szCs w:val="24"/>
        </w:rPr>
        <w:t xml:space="preserve">:00 （北京时间）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地点：“苏采云”政府采购交易系统网上开标大厅。</w:t>
      </w:r>
      <w:r/>
    </w:p>
    <w:p>
      <w:pPr>
        <w:pStyle w:val="854"/>
        <w:ind w:firstLine="482"/>
        <w:jc w:val="left"/>
        <w:keepLines/>
        <w:keepNext/>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五、公告期限</w:t>
      </w:r>
      <w:bookmarkEnd w:id="22"/>
      <w:r/>
      <w:bookmarkEnd w:id="23"/>
      <w:r/>
      <w:bookmarkEnd w:id="24"/>
      <w:r/>
      <w:bookmarkEnd w:id="25"/>
      <w:r/>
      <w:bookmarkEnd w:id="26"/>
      <w:r/>
      <w:r/>
    </w:p>
    <w:p>
      <w:pPr>
        <w:pStyle w:val="854"/>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8985268"/>
      <w:r/>
      <w:bookmarkStart w:id="28" w:name="_Toc35393626"/>
      <w:r/>
      <w:bookmarkStart w:id="29" w:name="_Toc35393795"/>
      <w:r>
        <w:rPr>
          <w:rFonts w:hint="eastAsia" w:ascii="宋体" w:hAnsi="宋体" w:eastAsia="宋体" w:cs="宋体"/>
          <w:i w:val="0"/>
          <w:iCs w:val="0"/>
          <w:caps w:val="0"/>
          <w:color w:val="333333"/>
          <w:spacing w:val="0"/>
          <w:sz w:val="24"/>
          <w:szCs w:val="24"/>
          <w:shd w:val="clear" w:color="auto" w:fill="ffffff"/>
          <w:lang w:val="en-US" w:eastAsia="zh-CN"/>
        </w:rPr>
        <w:t xml:space="preserve">自本公告发布之日起5个工作日。</w:t>
      </w:r>
      <w:bookmarkEnd w:id="27"/>
      <w:r/>
      <w:bookmarkEnd w:id="28"/>
      <w:r/>
      <w:bookmarkEnd w:id="29"/>
      <w:r/>
      <w:r/>
    </w:p>
    <w:p>
      <w:pPr>
        <w:pStyle w:val="854"/>
        <w:ind w:firstLine="482"/>
        <w:jc w:val="left"/>
        <w:keepLines/>
        <w:keepNext/>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六、其他补充事宜</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bookmarkStart w:id="30" w:name="_Toc28359018"/>
      <w:r>
        <w:rPr>
          <w:rFonts w:hint="eastAsia" w:ascii="宋体" w:hAnsi="宋体" w:eastAsia="宋体" w:cs="宋体"/>
          <w:color w:val="auto"/>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http://www.ccgp-jiangsu.gov.cn/jiangsu/zlxz/ee/ee3a4bc5a3454aa2b0d9312230633ce9.html。</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2.有关本次招标的事项若存在变动或修改，敬请及时关注“</w:t>
      </w:r>
      <w:r>
        <w:rPr>
          <w:rFonts w:hint="eastAsia" w:ascii="宋体" w:hAnsi="宋体" w:eastAsia="宋体" w:cs="宋体"/>
          <w:color w:val="auto"/>
          <w:sz w:val="24"/>
          <w:szCs w:val="24"/>
          <w:lang w:val="en-US" w:eastAsia="zh-CN"/>
        </w:rPr>
        <w:t xml:space="preserve">中国</w:t>
      </w:r>
      <w:r>
        <w:rPr>
          <w:rFonts w:hint="eastAsia" w:ascii="宋体" w:hAnsi="宋体" w:eastAsia="宋体" w:cs="宋体"/>
          <w:color w:val="auto"/>
          <w:sz w:val="24"/>
          <w:szCs w:val="24"/>
        </w:rPr>
        <w:t xml:space="preserve">政府采购网”、“江苏政府采购网”、“盐城市政府采购网”发布的更正公告。</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3.本次招标不收取投标保证金，不收取质量保证金。</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4.本项目（是/否）接受银行、保险、石油石化、电力、电信等行业的分支机构参与：</w:t>
      </w:r>
      <w:r>
        <w:rPr>
          <w:rFonts w:hint="eastAsia" w:ascii="宋体" w:hAnsi="宋体" w:eastAsia="宋体" w:cs="宋体"/>
          <w:color w:val="auto"/>
          <w:sz w:val="24"/>
          <w:szCs w:val="24"/>
          <w:u w:val="single"/>
          <w:lang w:val="en-US" w:eastAsia="zh-CN"/>
        </w:rPr>
        <w:t xml:space="preserve">否</w:t>
      </w:r>
      <w:r>
        <w:rPr>
          <w:rFonts w:hint="eastAsia" w:ascii="宋体" w:hAnsi="宋体" w:eastAsia="宋体" w:cs="宋体"/>
          <w:color w:val="auto"/>
          <w:sz w:val="24"/>
          <w:szCs w:val="24"/>
          <w:lang w:val="en-US" w:eastAsia="zh-CN"/>
        </w:rPr>
        <w:t xml:space="preserve">。【如接受，则分支机构的负责人视同为供应商法定代表人。】</w:t>
      </w:r>
      <w:r/>
    </w:p>
    <w:p>
      <w:pPr>
        <w:ind w:firstLine="480"/>
        <w:keepLines w:val="0"/>
        <w:keepNext w:val="0"/>
        <w:pageBreakBefore w:val="0"/>
        <w:spacing w:line="360" w:lineRule="auto"/>
        <w:widowControl w:val="off"/>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color w:val="auto"/>
          <w:sz w:val="24"/>
          <w:szCs w:val="24"/>
          <w:lang w:val="en-US" w:eastAsia="zh-CN"/>
        </w:rPr>
        <w:t xml:space="preserve">5.供应商成交后打印纸质响应文件（正本壹份、副本贰份），在领取成交通知书前与用普通光盘或U盘拷贝的电子响应文件一并送至采购人。</w:t>
      </w:r>
      <w:r/>
    </w:p>
    <w:p>
      <w:pPr>
        <w:pStyle w:val="846"/>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u w:val="none"/>
          <w:shd w:val="clear" w:color="auto" w:fill="ffffff"/>
        </w:rPr>
        <w:t xml:space="preserve">提出询问，请按以下方式联系。</w:t>
      </w:r>
      <w:bookmarkEnd w:id="30"/>
      <w:r/>
      <w:r/>
    </w:p>
    <w:p>
      <w:pPr>
        <w:pStyle w:val="854"/>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333333"/>
          <w:spacing w:val="0"/>
          <w:sz w:val="24"/>
          <w:szCs w:val="24"/>
          <w:shd w:val="clear" w:color="auto" w:fill="ffffff"/>
          <w:lang w:val="en-US" w:eastAsia="zh-CN"/>
        </w:rPr>
        <w:t xml:space="preserve">1.采购人信息</w:t>
      </w:r>
      <w:r/>
    </w:p>
    <w:p>
      <w:pPr>
        <w:ind w:firstLine="480"/>
        <w:pageBreakBefore w:val="0"/>
        <w:spacing w:line="360" w:lineRule="auto"/>
        <w:widowControl/>
        <w:rPr>
          <w:rStyle w:val="859"/>
          <w:rFonts w:hint="eastAsia" w:ascii="宋体" w:hAnsi="宋体" w:eastAsia="宋体" w:cs="Times New Roman"/>
          <w:color w:val="auto"/>
          <w:sz w:val="24"/>
          <w:szCs w:val="24"/>
        </w:rPr>
      </w:pPr>
      <w:r>
        <w:rPr>
          <w:rStyle w:val="859"/>
          <w:rFonts w:hint="eastAsia" w:ascii="宋体" w:hAnsi="宋体" w:eastAsia="宋体" w:cs="Times New Roman"/>
          <w:color w:val="auto"/>
          <w:sz w:val="24"/>
          <w:szCs w:val="24"/>
        </w:rPr>
      </w:r>
      <w:r>
        <w:rPr>
          <w:rStyle w:val="859"/>
          <w:rFonts w:hint="eastAsia" w:ascii="宋体" w:hAnsi="宋体" w:eastAsia="宋体" w:cs="Times New Roman"/>
          <w:color w:val="auto"/>
          <w:sz w:val="24"/>
          <w:szCs w:val="24"/>
        </w:rPr>
        <w:t xml:space="preserve">采购包1</w:t>
      </w:r>
      <w:r>
        <w:rPr>
          <w:rStyle w:val="859"/>
          <w:rFonts w:hint="eastAsia" w:ascii="宋体" w:hAnsi="宋体" w:eastAsia="宋体" w:cs="Times New Roman"/>
          <w:color w:val="auto"/>
          <w:sz w:val="24"/>
          <w:szCs w:val="24"/>
        </w:rPr>
      </w:r>
      <w:r>
        <w:rPr>
          <w:rStyle w:val="859"/>
          <w:rFonts w:hint="eastAsia" w:ascii="宋体" w:hAnsi="宋体" w:eastAsia="宋体" w:cs="Times New Roman"/>
          <w:color w:val="auto"/>
          <w:sz w:val="24"/>
          <w:szCs w:val="24"/>
        </w:rPr>
      </w:r>
    </w:p>
    <w:p>
      <w:pPr>
        <w:ind w:firstLine="480"/>
        <w:pageBreakBefore w:val="0"/>
        <w:spacing w:line="360" w:lineRule="auto"/>
        <w:widowControl/>
        <w:rPr>
          <w:rStyle w:val="859"/>
          <w:rFonts w:hint="eastAsia" w:ascii="宋体" w:hAnsi="宋体" w:eastAsia="宋体" w:cs="Times New Roman"/>
          <w:color w:val="auto"/>
          <w:sz w:val="24"/>
          <w:szCs w:val="24"/>
        </w:rPr>
      </w:pPr>
      <w:r>
        <w:rPr>
          <w:rStyle w:val="859"/>
          <w:rFonts w:hint="eastAsia" w:ascii="宋体" w:hAnsi="宋体" w:eastAsia="宋体" w:cs="Times New Roman"/>
          <w:color w:val="auto"/>
          <w:sz w:val="24"/>
          <w:szCs w:val="24"/>
        </w:rPr>
        <w:t xml:space="preserve">单位名称：</w:t>
      </w:r>
      <w:r>
        <w:rPr>
          <w:rStyle w:val="859"/>
          <w:rFonts w:hint="eastAsia" w:ascii="宋体" w:hAnsi="宋体" w:eastAsia="宋体" w:cs="Times New Roman"/>
          <w:color w:val="auto"/>
          <w:sz w:val="24"/>
          <w:szCs w:val="24"/>
          <w:lang w:val="en-US" w:eastAsia="zh-CN"/>
        </w:rPr>
        <w:t xml:space="preserve">盐城市东台生态环境局</w:t>
      </w:r>
      <w:r/>
      <w:r/>
    </w:p>
    <w:p>
      <w:pPr>
        <w:ind w:firstLine="480"/>
        <w:pageBreakBefore w:val="0"/>
        <w:spacing w:line="360" w:lineRule="auto"/>
        <w:widowControl/>
        <w:rPr>
          <w:rStyle w:val="859"/>
          <w:rFonts w:hint="eastAsia" w:ascii="宋体" w:hAnsi="宋体" w:eastAsia="宋体" w:cs="Times New Roman"/>
          <w:color w:val="auto"/>
          <w:sz w:val="24"/>
          <w:szCs w:val="24"/>
        </w:rPr>
      </w:pPr>
      <w:r>
        <w:rPr>
          <w:rStyle w:val="859"/>
          <w:rFonts w:hint="eastAsia" w:ascii="宋体" w:hAnsi="宋体" w:eastAsia="宋体" w:cs="Times New Roman"/>
          <w:color w:val="auto"/>
          <w:sz w:val="24"/>
          <w:szCs w:val="24"/>
        </w:rPr>
        <w:t xml:space="preserve">单位地址：</w:t>
      </w:r>
      <w:r>
        <w:rPr>
          <w:rStyle w:val="859"/>
          <w:rFonts w:hint="eastAsia" w:ascii="宋体" w:hAnsi="宋体" w:eastAsia="宋体" w:cs="Times New Roman"/>
          <w:color w:val="auto"/>
          <w:sz w:val="24"/>
          <w:szCs w:val="24"/>
          <w:lang w:val="en-US" w:eastAsia="zh-CN"/>
        </w:rPr>
        <w:t xml:space="preserve">东台市金海东路1号</w:t>
      </w:r>
      <w:r/>
    </w:p>
    <w:p>
      <w:pPr>
        <w:ind w:firstLine="480"/>
        <w:pageBreakBefore w:val="0"/>
        <w:spacing w:line="360" w:lineRule="auto"/>
        <w:widowControl/>
        <w:rPr>
          <w:rStyle w:val="859"/>
          <w:rFonts w:hint="eastAsia" w:ascii="宋体" w:hAnsi="宋体" w:eastAsia="宋体" w:cs="Times New Roman"/>
          <w:color w:val="auto"/>
          <w:sz w:val="24"/>
          <w:szCs w:val="24"/>
        </w:rPr>
      </w:pPr>
      <w:r>
        <w:rPr>
          <w:rStyle w:val="859"/>
          <w:rFonts w:hint="eastAsia" w:ascii="宋体" w:hAnsi="宋体" w:eastAsia="宋体" w:cs="Times New Roman"/>
          <w:color w:val="auto"/>
          <w:sz w:val="24"/>
          <w:szCs w:val="24"/>
        </w:rPr>
        <w:t xml:space="preserve">联</w:t>
      </w:r>
      <w:r>
        <w:rPr>
          <w:rStyle w:val="859"/>
          <w:rFonts w:hint="eastAsia" w:ascii="宋体" w:hAnsi="宋体" w:eastAsia="宋体" w:cs="Times New Roman"/>
          <w:color w:val="auto"/>
          <w:sz w:val="24"/>
          <w:szCs w:val="24"/>
          <w:lang w:val="en-US" w:eastAsia="zh-CN"/>
        </w:rPr>
        <w:t xml:space="preserve"> </w:t>
      </w:r>
      <w:r>
        <w:rPr>
          <w:rStyle w:val="859"/>
          <w:rFonts w:hint="eastAsia" w:ascii="宋体" w:hAnsi="宋体" w:eastAsia="宋体" w:cs="Times New Roman"/>
          <w:color w:val="auto"/>
          <w:sz w:val="24"/>
          <w:szCs w:val="24"/>
        </w:rPr>
        <w:t xml:space="preserve">系</w:t>
      </w:r>
      <w:r>
        <w:rPr>
          <w:rStyle w:val="859"/>
          <w:rFonts w:hint="eastAsia" w:ascii="宋体" w:hAnsi="宋体" w:eastAsia="宋体" w:cs="Times New Roman"/>
          <w:color w:val="auto"/>
          <w:sz w:val="24"/>
          <w:szCs w:val="24"/>
          <w:lang w:val="en-US" w:eastAsia="zh-CN"/>
        </w:rPr>
        <w:t xml:space="preserve"> </w:t>
      </w:r>
      <w:r>
        <w:rPr>
          <w:rStyle w:val="859"/>
          <w:rFonts w:hint="eastAsia" w:ascii="宋体" w:hAnsi="宋体" w:eastAsia="宋体" w:cs="Times New Roman"/>
          <w:color w:val="auto"/>
          <w:sz w:val="24"/>
          <w:szCs w:val="24"/>
        </w:rPr>
        <w:t xml:space="preserve">人：</w:t>
      </w:r>
      <w:r>
        <w:rPr>
          <w:rStyle w:val="859"/>
          <w:rFonts w:hint="eastAsia" w:ascii="宋体" w:hAnsi="宋体" w:eastAsia="宋体" w:cs="Times New Roman"/>
          <w:color w:val="auto"/>
          <w:sz w:val="24"/>
          <w:szCs w:val="24"/>
          <w:lang w:val="en-US" w:eastAsia="zh-CN"/>
        </w:rPr>
        <w:t xml:space="preserve">孙先生</w:t>
      </w:r>
      <w:r/>
    </w:p>
    <w:p>
      <w:pPr>
        <w:ind w:firstLine="480"/>
        <w:pageBreakBefore w:val="0"/>
        <w:spacing w:line="360" w:lineRule="auto"/>
        <w:widowControl/>
        <w:rPr>
          <w:rFonts w:hint="eastAsia" w:ascii="宋体" w:hAnsi="宋体" w:eastAsia="宋体" w:cs="宋体"/>
          <w:i w:val="0"/>
          <w:iCs w:val="0"/>
          <w:caps w:val="0"/>
          <w:color w:val="333333"/>
          <w:spacing w:val="0"/>
          <w:sz w:val="24"/>
          <w:szCs w:val="24"/>
          <w:shd w:val="clear" w:color="auto" w:fill="ffffff"/>
          <w:lang w:val="en-US" w:eastAsia="zh-CN"/>
        </w:rPr>
      </w:pPr>
      <w:r>
        <w:rPr>
          <w:rStyle w:val="859"/>
          <w:rFonts w:hint="eastAsia" w:ascii="宋体" w:hAnsi="宋体" w:eastAsia="宋体" w:cs="Times New Roman"/>
          <w:color w:val="auto"/>
          <w:sz w:val="24"/>
          <w:szCs w:val="24"/>
        </w:rPr>
        <w:t xml:space="preserve">联系电话：</w:t>
      </w:r>
      <w:r>
        <w:rPr>
          <w:rStyle w:val="859"/>
          <w:rFonts w:hint="eastAsia" w:ascii="宋体" w:hAnsi="宋体" w:eastAsia="宋体" w:cs="Times New Roman"/>
          <w:color w:val="auto"/>
          <w:sz w:val="24"/>
          <w:szCs w:val="24"/>
          <w:lang w:val="en-US" w:eastAsia="zh-CN"/>
        </w:rPr>
        <w:t xml:space="preserve">0515-85100285</w:t>
      </w:r>
      <w:r/>
    </w:p>
    <w:p>
      <w:pPr>
        <w:pStyle w:val="854"/>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2.采购代理机构信息</w:t>
      </w:r>
      <w:r/>
    </w:p>
    <w:p>
      <w:pPr>
        <w:ind w:firstLine="480"/>
        <w:pageBreakBefore w:val="0"/>
        <w:spacing w:line="360" w:lineRule="auto"/>
        <w:widowControl/>
        <w:rPr>
          <w:rStyle w:val="859"/>
          <w:rFonts w:hint="eastAsia" w:ascii="宋体" w:hAnsi="宋体" w:eastAsia="宋体" w:cs="Times New Roman"/>
          <w:color w:val="auto"/>
          <w:sz w:val="24"/>
          <w:szCs w:val="24"/>
          <w:lang w:eastAsia="zh-CN"/>
        </w:rPr>
      </w:pPr>
      <w:r/>
      <w:bookmarkStart w:id="32" w:name="_Toc28359010"/>
      <w:r/>
      <w:bookmarkStart w:id="33" w:name="_Toc28359087"/>
      <w:r>
        <w:rPr>
          <w:rStyle w:val="859"/>
          <w:rFonts w:hint="eastAsia" w:ascii="宋体" w:hAnsi="宋体" w:eastAsia="宋体" w:cs="Times New Roman"/>
          <w:color w:val="auto"/>
          <w:sz w:val="24"/>
          <w:szCs w:val="24"/>
        </w:rPr>
        <w:t xml:space="preserve">单位名称：东台市公共资源交易中心</w:t>
      </w:r>
      <w:r/>
    </w:p>
    <w:p>
      <w:pPr>
        <w:ind w:firstLine="480"/>
        <w:pageBreakBefore w:val="0"/>
        <w:spacing w:line="360" w:lineRule="auto"/>
        <w:widowControl/>
        <w:rPr>
          <w:rStyle w:val="859"/>
          <w:rFonts w:hint="eastAsia" w:ascii="宋体" w:hAnsi="宋体" w:eastAsia="宋体" w:cs="Times New Roman"/>
          <w:color w:val="auto"/>
          <w:sz w:val="24"/>
          <w:szCs w:val="24"/>
        </w:rPr>
      </w:pPr>
      <w:r>
        <w:rPr>
          <w:rStyle w:val="859"/>
          <w:rFonts w:hint="eastAsia" w:ascii="宋体" w:hAnsi="宋体" w:eastAsia="宋体" w:cs="Times New Roman"/>
          <w:color w:val="auto"/>
          <w:sz w:val="24"/>
          <w:szCs w:val="24"/>
        </w:rPr>
        <w:t xml:space="preserve">单位地址：东台市北海西路8号</w:t>
      </w:r>
      <w:r/>
    </w:p>
    <w:p>
      <w:pPr>
        <w:ind w:firstLine="480"/>
        <w:pageBreakBefore w:val="0"/>
        <w:spacing w:line="360" w:lineRule="auto"/>
        <w:widowControl/>
        <w:rPr>
          <w:rStyle w:val="859"/>
          <w:rFonts w:hint="eastAsia" w:ascii="宋体" w:hAnsi="宋体" w:eastAsia="宋体" w:cs="Times New Roman"/>
          <w:color w:val="auto"/>
          <w:sz w:val="24"/>
          <w:szCs w:val="24"/>
        </w:rPr>
      </w:pPr>
      <w:r>
        <w:rPr>
          <w:rStyle w:val="859"/>
          <w:rFonts w:hint="eastAsia" w:ascii="宋体" w:hAnsi="宋体" w:eastAsia="宋体" w:cs="Times New Roman"/>
          <w:color w:val="auto"/>
          <w:sz w:val="24"/>
          <w:szCs w:val="24"/>
        </w:rPr>
        <w:t xml:space="preserve">联</w:t>
      </w:r>
      <w:r>
        <w:rPr>
          <w:rStyle w:val="859"/>
          <w:rFonts w:hint="eastAsia" w:ascii="宋体" w:hAnsi="宋体" w:eastAsia="宋体" w:cs="Times New Roman"/>
          <w:color w:val="auto"/>
          <w:sz w:val="24"/>
          <w:szCs w:val="24"/>
          <w:lang w:val="en-US" w:eastAsia="zh-CN"/>
        </w:rPr>
        <w:t xml:space="preserve"> </w:t>
      </w:r>
      <w:r>
        <w:rPr>
          <w:rStyle w:val="859"/>
          <w:rFonts w:hint="eastAsia" w:ascii="宋体" w:hAnsi="宋体" w:eastAsia="宋体" w:cs="Times New Roman"/>
          <w:color w:val="auto"/>
          <w:sz w:val="24"/>
          <w:szCs w:val="24"/>
        </w:rPr>
        <w:t xml:space="preserve">系</w:t>
      </w:r>
      <w:r>
        <w:rPr>
          <w:rStyle w:val="859"/>
          <w:rFonts w:hint="eastAsia" w:ascii="宋体" w:hAnsi="宋体" w:eastAsia="宋体" w:cs="Times New Roman"/>
          <w:color w:val="auto"/>
          <w:sz w:val="24"/>
          <w:szCs w:val="24"/>
          <w:lang w:val="en-US" w:eastAsia="zh-CN"/>
        </w:rPr>
        <w:t xml:space="preserve"> </w:t>
      </w:r>
      <w:r>
        <w:rPr>
          <w:rStyle w:val="859"/>
          <w:rFonts w:hint="eastAsia" w:ascii="宋体" w:hAnsi="宋体" w:eastAsia="宋体" w:cs="Times New Roman"/>
          <w:color w:val="auto"/>
          <w:sz w:val="24"/>
          <w:szCs w:val="24"/>
        </w:rPr>
        <w:t xml:space="preserve">人：</w:t>
      </w:r>
      <w:r>
        <w:rPr>
          <w:rStyle w:val="859"/>
          <w:rFonts w:hint="eastAsia" w:ascii="宋体" w:hAnsi="宋体" w:eastAsia="宋体" w:cs="Times New Roman"/>
          <w:color w:val="auto"/>
          <w:sz w:val="24"/>
          <w:szCs w:val="24"/>
          <w:lang w:val="en-US" w:eastAsia="zh-CN"/>
        </w:rPr>
        <w:t xml:space="preserve">朱先生</w:t>
      </w:r>
      <w:r/>
    </w:p>
    <w:p>
      <w:pPr>
        <w:pStyle w:val="854"/>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Style w:val="859"/>
          <w:rFonts w:hint="eastAsia" w:ascii="宋体" w:hAnsi="宋体" w:eastAsia="宋体" w:cs="Times New Roman"/>
          <w:color w:val="auto"/>
          <w:sz w:val="24"/>
          <w:szCs w:val="24"/>
        </w:rPr>
        <w:t xml:space="preserve">联系电话：</w:t>
      </w:r>
      <w:r>
        <w:rPr>
          <w:rStyle w:val="859"/>
          <w:rFonts w:hint="eastAsia" w:ascii="宋体" w:hAnsi="宋体" w:eastAsia="宋体" w:cs="Times New Roman"/>
          <w:color w:val="auto"/>
          <w:sz w:val="24"/>
          <w:szCs w:val="24"/>
          <w:lang w:val="en-US" w:eastAsia="zh-CN"/>
        </w:rPr>
        <w:t xml:space="preserve">18932281510</w:t>
      </w:r>
      <w:bookmarkEnd w:id="32"/>
      <w:r/>
      <w:bookmarkEnd w:id="33"/>
      <w:r/>
      <w:r/>
    </w:p>
    <w:p>
      <w:pPr>
        <w:pStyle w:val="854"/>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shd w:val="clear" w:color="auto" w:fill="ffffff"/>
          <w:lang w:val="en-US" w:eastAsia="zh-CN"/>
        </w:rPr>
        <w:t xml:space="preserve">项目联系方式</w:t>
      </w:r>
      <w:r/>
    </w:p>
    <w:p>
      <w:pPr>
        <w:pStyle w:val="854"/>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项目联系人：孙先生</w:t>
      </w:r>
      <w:r/>
    </w:p>
    <w:p>
      <w:pPr>
        <w:pStyle w:val="854"/>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电      话：0515-85100285</w:t>
      </w:r>
      <w:r/>
    </w:p>
    <w:p>
      <w:r>
        <w:t xml:space="preserve"> </w:t>
      </w:r>
      <w:r/>
    </w:p>
    <w:p>
      <w:pPr>
        <w:pStyle w:val="854"/>
        <w:ind w:right="840"/>
        <w:jc w:val="center"/>
        <w:spacing w:beforeAutospacing="0" w:afterAutospacing="0"/>
        <w:rPr>
          <w:rFonts w:hint="eastAsia" w:ascii="黑体" w:hAnsi="黑体" w:eastAsia="黑体" w:cs="黑体"/>
          <w:color w:val="000000"/>
          <w:sz w:val="44"/>
          <w:szCs w:val="44"/>
          <w:lang w:val="en-US" w:eastAsia="zh-CN"/>
        </w:rPr>
      </w:pPr>
      <w:r>
        <w:rPr>
          <w:rFonts w:hint="eastAsia" w:ascii="宋体" w:hAnsi="宋体" w:eastAsia="宋体" w:cs="宋体"/>
          <w:color w:val="000000"/>
        </w:rPr>
        <w:br w:type="page" w:clear="all"/>
      </w:r>
      <w:bookmarkStart w:id="35" w:name="_Toc120614211"/>
      <w:r>
        <w:rPr>
          <w:rFonts w:hint="eastAsia" w:ascii="黑体" w:hAnsi="黑体" w:eastAsia="黑体" w:cs="黑体"/>
          <w:color w:val="000000"/>
          <w:sz w:val="44"/>
          <w:szCs w:val="44"/>
          <w:lang w:val="en-US" w:eastAsia="zh-CN"/>
        </w:rPr>
        <w:t xml:space="preserve">第二章  </w:t>
      </w:r>
      <w:bookmarkEnd w:id="35"/>
      <w:r/>
      <w:bookmarkStart w:id="36" w:name="_Toc513029202"/>
      <w:r/>
      <w:bookmarkStart w:id="37" w:name="_Toc16938518"/>
      <w:r/>
      <w:bookmarkStart w:id="38" w:name="_Toc20823274"/>
      <w:r/>
      <w:bookmarkStart w:id="39" w:name="_Toc120614213"/>
      <w:r>
        <w:rPr>
          <w:rFonts w:hint="eastAsia" w:ascii="黑体" w:hAnsi="黑体" w:eastAsia="黑体" w:cs="黑体"/>
          <w:color w:val="000000"/>
          <w:sz w:val="44"/>
          <w:szCs w:val="44"/>
          <w:lang w:val="en-US" w:eastAsia="zh-CN"/>
        </w:rPr>
        <w:t xml:space="preserve">投标人须知</w:t>
      </w:r>
      <w:bookmarkEnd w:id="36"/>
      <w:r/>
      <w:bookmarkEnd w:id="37"/>
      <w:r/>
      <w:bookmarkEnd w:id="38"/>
      <w:r/>
      <w:bookmarkEnd w:id="39"/>
      <w:r/>
      <w:r/>
    </w:p>
    <w:p>
      <w:pPr>
        <w:pStyle w:val="854"/>
        <w:ind w:left="0" w:firstLine="482"/>
        <w:jc w:val="left"/>
        <w:keepLines w:val="0"/>
        <w:keepNext w:val="0"/>
        <w:pageBreakBefore w:val="0"/>
        <w:spacing w:before="157" w:beforeAutospacing="0" w:after="157" w:afterAutospacing="0" w:line="360" w:lineRule="auto"/>
        <w:widowControl w:val="off"/>
        <w:rPr>
          <w:rFonts w:hint="eastAsia" w:ascii="宋体" w:hAnsi="宋体" w:eastAsia="宋体" w:cs="宋体"/>
          <w:color w:val="auto"/>
          <w:sz w:val="24"/>
          <w:szCs w:val="24"/>
        </w:rPr>
      </w:pPr>
      <w:r/>
      <w:bookmarkStart w:id="40" w:name="_Toc513029203"/>
      <w:r/>
      <w:bookmarkStart w:id="41" w:name="_Toc120614214"/>
      <w:r/>
      <w:bookmarkStart w:id="42" w:name="_Toc16938519"/>
      <w:r/>
      <w:bookmarkStart w:id="43" w:name="_Toc20823275"/>
      <w:r>
        <w:rPr>
          <w:rFonts w:hint="eastAsia" w:ascii="宋体" w:hAnsi="宋体" w:eastAsia="宋体" w:cs="宋体"/>
          <w:b/>
          <w:color w:val="auto"/>
          <w:sz w:val="24"/>
          <w:szCs w:val="24"/>
        </w:rPr>
        <w:t xml:space="preserve">一、总则</w:t>
      </w:r>
      <w:bookmarkEnd w:id="40"/>
      <w:r/>
      <w:bookmarkEnd w:id="41"/>
      <w:r/>
      <w:bookmarkEnd w:id="42"/>
      <w:r/>
      <w:bookmarkEnd w:id="43"/>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44" w:name="_Toc16938520"/>
      <w:r/>
      <w:bookmarkStart w:id="45" w:name="_Toc458694821"/>
      <w:r/>
      <w:bookmarkStart w:id="46" w:name="_Toc20823276"/>
      <w:r/>
      <w:bookmarkStart w:id="47" w:name="_Toc513029204"/>
      <w:r/>
      <w:bookmarkStart w:id="48" w:name="_Hlt16619475"/>
      <w:r>
        <w:rPr>
          <w:rFonts w:hint="eastAsia" w:ascii="宋体" w:hAnsi="宋体" w:eastAsia="宋体" w:cs="宋体"/>
          <w:color w:val="auto"/>
          <w:sz w:val="24"/>
          <w:szCs w:val="24"/>
        </w:rPr>
        <w:t xml:space="preserve">1</w:t>
      </w:r>
      <w:bookmarkEnd w:id="44"/>
      <w:r>
        <w:rPr>
          <w:rFonts w:hint="eastAsia" w:ascii="宋体" w:hAnsi="宋体" w:eastAsia="宋体" w:cs="宋体"/>
          <w:color w:val="auto"/>
          <w:sz w:val="24"/>
          <w:szCs w:val="24"/>
        </w:rPr>
        <w:t xml:space="preserve">、招标方式</w:t>
      </w:r>
      <w:bookmarkEnd w:id="45"/>
      <w:r/>
      <w:bookmarkEnd w:id="46"/>
      <w:r/>
      <w:bookmarkEnd w:id="47"/>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1.1本次招标采取公开招标方式，本招标文件仅适用于招标公告中所述项目。</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49" w:name="_Toc20823277"/>
      <w:r/>
      <w:bookmarkStart w:id="50" w:name="_Toc16938521"/>
      <w:r/>
      <w:bookmarkStart w:id="51" w:name="_Toc513029205"/>
      <w:r>
        <w:rPr>
          <w:rFonts w:hint="eastAsia" w:ascii="宋体" w:hAnsi="宋体" w:eastAsia="宋体" w:cs="宋体"/>
          <w:color w:val="auto"/>
          <w:sz w:val="24"/>
          <w:szCs w:val="24"/>
        </w:rPr>
        <w:t xml:space="preserve">2、合格的投标人</w:t>
      </w:r>
      <w:bookmarkEnd w:id="49"/>
      <w:r/>
      <w:bookmarkEnd w:id="50"/>
      <w:r/>
      <w:bookmarkEnd w:id="51"/>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2.1满足招标公告中供应商的资格要求的规定。</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2.2满足本文件实质性要求和条件的规定。</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52" w:name="_Toc513029206"/>
      <w:r/>
      <w:bookmarkStart w:id="53" w:name="_Toc16938522"/>
      <w:r/>
      <w:bookmarkStart w:id="54" w:name="_Toc20823278"/>
      <w:r>
        <w:rPr>
          <w:rFonts w:hint="eastAsia" w:ascii="宋体" w:hAnsi="宋体" w:eastAsia="宋体" w:cs="宋体"/>
          <w:color w:val="auto"/>
          <w:sz w:val="24"/>
          <w:szCs w:val="24"/>
        </w:rPr>
        <w:t xml:space="preserve">3、适用法律</w:t>
      </w:r>
      <w:bookmarkEnd w:id="52"/>
      <w:r/>
      <w:bookmarkEnd w:id="53"/>
      <w:r/>
      <w:bookmarkEnd w:id="54"/>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3.1本次招标及由此产生的合同受中华人民共和国有关的法律法规制约和保护。</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55" w:name="_Toc20823279"/>
      <w:r/>
      <w:bookmarkStart w:id="56" w:name="_Toc462564067"/>
      <w:r/>
      <w:bookmarkStart w:id="57" w:name="_Toc16938523"/>
      <w:r/>
      <w:bookmarkStart w:id="58" w:name="_Toc513029207"/>
      <w:r>
        <w:rPr>
          <w:rFonts w:hint="eastAsia" w:ascii="宋体" w:hAnsi="宋体" w:eastAsia="宋体" w:cs="宋体"/>
          <w:color w:val="auto"/>
          <w:sz w:val="24"/>
          <w:szCs w:val="24"/>
        </w:rPr>
        <w:t xml:space="preserve">4、投标费用</w:t>
      </w:r>
      <w:bookmarkEnd w:id="55"/>
      <w:r/>
      <w:bookmarkEnd w:id="56"/>
      <w:r/>
      <w:bookmarkEnd w:id="57"/>
      <w:r/>
      <w:bookmarkEnd w:id="58"/>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4.1投标人应自行承担所有与参加投标有关的费用，无论投标过程中的做法和结果如何，</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在任何情况下均无义务和责任承担这些费用。</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4.2本次招标采购人不收取标书工本费与中标服务费。</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val="0"/>
          <w:bCs/>
          <w:color w:val="auto"/>
          <w:sz w:val="24"/>
          <w:szCs w:val="24"/>
        </w:rPr>
        <w:t xml:space="preserve">5、</w:t>
      </w:r>
      <w:r>
        <w:rPr>
          <w:rFonts w:hint="eastAsia" w:ascii="宋体" w:hAnsi="宋体" w:eastAsia="宋体" w:cs="宋体"/>
          <w:color w:val="auto"/>
          <w:sz w:val="24"/>
          <w:szCs w:val="24"/>
        </w:rPr>
        <w:t xml:space="preserve">招标文件的约束力</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5.1投标人一旦参加本项目采购活动，即被认为接受了本招标文件的规定和约束。</w:t>
      </w:r>
      <w:r/>
    </w:p>
    <w:p>
      <w:pPr>
        <w:pStyle w:val="854"/>
        <w:ind w:left="0" w:firstLine="482"/>
        <w:jc w:val="left"/>
        <w:keepLines w:val="0"/>
        <w:keepNext w:val="0"/>
        <w:pageBreakBefore w:val="0"/>
        <w:spacing w:before="157" w:beforeAutospacing="0" w:after="157" w:afterAutospacing="0" w:line="360" w:lineRule="auto"/>
        <w:widowControl w:val="off"/>
        <w:rPr>
          <w:rFonts w:hint="eastAsia" w:ascii="宋体" w:hAnsi="宋体" w:eastAsia="宋体" w:cs="宋体"/>
          <w:b/>
          <w:color w:val="auto"/>
          <w:sz w:val="24"/>
          <w:szCs w:val="24"/>
        </w:rPr>
      </w:pPr>
      <w:r/>
      <w:bookmarkStart w:id="59" w:name="_Toc513029209"/>
      <w:r/>
      <w:bookmarkStart w:id="60" w:name="_Toc16938525"/>
      <w:r/>
      <w:bookmarkStart w:id="61" w:name="_Toc120614215"/>
      <w:r/>
      <w:bookmarkStart w:id="62" w:name="_Toc20823281"/>
      <w:r>
        <w:rPr>
          <w:rFonts w:hint="eastAsia" w:ascii="宋体" w:hAnsi="宋体" w:eastAsia="宋体" w:cs="宋体"/>
          <w:b/>
          <w:color w:val="auto"/>
          <w:sz w:val="24"/>
          <w:szCs w:val="24"/>
        </w:rPr>
        <w:t xml:space="preserve">二、招标文件</w:t>
      </w:r>
      <w:bookmarkEnd w:id="59"/>
      <w:r/>
      <w:bookmarkEnd w:id="60"/>
      <w:r/>
      <w:bookmarkEnd w:id="61"/>
      <w:r/>
      <w:bookmarkEnd w:id="62"/>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63" w:name="_Toc16938526"/>
      <w:r/>
      <w:bookmarkStart w:id="64" w:name="_Toc20823282"/>
      <w:r/>
      <w:bookmarkStart w:id="65" w:name="_Toc513029210"/>
      <w:r>
        <w:rPr>
          <w:rFonts w:hint="eastAsia" w:ascii="宋体" w:hAnsi="宋体" w:eastAsia="宋体" w:cs="宋体"/>
          <w:color w:val="auto"/>
          <w:sz w:val="24"/>
          <w:szCs w:val="24"/>
        </w:rPr>
        <w:t xml:space="preserve">6、招标文件构成</w:t>
      </w:r>
      <w:bookmarkEnd w:id="63"/>
      <w:r/>
      <w:bookmarkEnd w:id="64"/>
      <w:r/>
      <w:bookmarkEnd w:id="65"/>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6.1招标文件由以下部分组成：</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招标公告</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（2）投标人须知</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（3）合同文本</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（4）采购需求</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（5）评标方法与评标标准</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（6）投标文件格式</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请仔细检查招标文件是否齐全，如有缺漏请立即与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联系解决。</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66" w:name="_Toc513029211"/>
      <w:r/>
      <w:bookmarkStart w:id="67" w:name="_Toc16938527"/>
      <w:r/>
      <w:bookmarkStart w:id="68" w:name="_Toc20823283"/>
      <w:r/>
      <w:bookmarkStart w:id="69" w:name="_Toc462564070"/>
      <w:r>
        <w:rPr>
          <w:rFonts w:hint="eastAsia" w:ascii="宋体" w:hAnsi="宋体" w:eastAsia="宋体" w:cs="宋体"/>
          <w:color w:val="auto"/>
          <w:sz w:val="24"/>
          <w:szCs w:val="24"/>
        </w:rPr>
        <w:t xml:space="preserve">7、招标文件的澄清</w:t>
      </w:r>
      <w:bookmarkEnd w:id="66"/>
      <w:r/>
      <w:bookmarkEnd w:id="67"/>
      <w:r/>
      <w:bookmarkEnd w:id="68"/>
      <w:r/>
      <w:bookmarkEnd w:id="69"/>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7.1任何要求对招标文件进行澄清的投标人，应在投标截止期</w:t>
      </w:r>
      <w:r>
        <w:rPr>
          <w:rFonts w:hint="eastAsia" w:ascii="宋体" w:hAnsi="宋体" w:eastAsia="宋体" w:cs="宋体"/>
          <w:b/>
          <w:color w:val="auto"/>
          <w:sz w:val="24"/>
          <w:szCs w:val="24"/>
        </w:rPr>
        <w:t xml:space="preserve">十日</w:t>
      </w:r>
      <w:r>
        <w:rPr>
          <w:rFonts w:hint="eastAsia" w:ascii="宋体" w:hAnsi="宋体" w:eastAsia="宋体" w:cs="宋体"/>
          <w:color w:val="auto"/>
          <w:sz w:val="24"/>
          <w:szCs w:val="24"/>
        </w:rPr>
        <w:t xml:space="preserve">前按招标公告中的通讯地址，以书面形式通知</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70" w:name="_Toc20823284"/>
      <w:r/>
      <w:bookmarkStart w:id="71" w:name="_Toc462564071"/>
      <w:r/>
      <w:bookmarkStart w:id="72" w:name="_Toc16938528"/>
      <w:r/>
      <w:bookmarkStart w:id="73" w:name="_Toc513029212"/>
      <w:r>
        <w:rPr>
          <w:rFonts w:hint="eastAsia" w:ascii="宋体" w:hAnsi="宋体" w:eastAsia="宋体" w:cs="宋体"/>
          <w:color w:val="auto"/>
          <w:sz w:val="24"/>
          <w:szCs w:val="24"/>
        </w:rPr>
        <w:t xml:space="preserve">8、招标文件的修改</w:t>
      </w:r>
      <w:bookmarkEnd w:id="70"/>
      <w:r/>
      <w:bookmarkEnd w:id="71"/>
      <w:r/>
      <w:bookmarkEnd w:id="72"/>
      <w:r/>
      <w:bookmarkEnd w:id="73"/>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8.1在投标截止时间前，</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可以对招标文件进行修改。</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8.2</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有权按照法定的要求推迟投标截止日期和开标日期。</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8.3招标文件的修改将在</w:t>
      </w:r>
      <w:r>
        <w:rPr>
          <w:rFonts w:hint="eastAsia" w:ascii="宋体" w:hAnsi="宋体" w:eastAsia="宋体" w:cs="宋体"/>
          <w:color w:val="auto"/>
          <w:sz w:val="24"/>
          <w:szCs w:val="24"/>
          <w:lang w:val="en-US" w:eastAsia="zh-CN" w:bidi="ar-SA"/>
        </w:rPr>
        <w:t xml:space="preserve">中国政府采购网</w:t>
      </w:r>
      <w:r>
        <w:rPr>
          <w:rFonts w:hint="eastAsia" w:ascii="宋体" w:hAnsi="宋体" w:eastAsia="宋体" w:cs="宋体"/>
          <w:i w:val="0"/>
          <w:iCs w:val="0"/>
          <w:caps w:val="0"/>
          <w:color w:val="auto"/>
          <w:spacing w:val="0"/>
          <w:sz w:val="24"/>
          <w:szCs w:val="24"/>
          <w:shd w:val="clear" w:color="auto" w:fill="ffffff"/>
          <w:lang w:val="en-US" w:eastAsia="zh-CN"/>
        </w:rPr>
        <w:t xml:space="preserve">、</w:t>
      </w:r>
      <w:r>
        <w:rPr>
          <w:rFonts w:hint="eastAsia" w:ascii="宋体" w:hAnsi="宋体" w:eastAsia="宋体" w:cs="宋体"/>
          <w:color w:val="auto"/>
          <w:sz w:val="24"/>
          <w:szCs w:val="24"/>
        </w:rPr>
        <w:t xml:space="preserve">江苏政府采购网</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rPr>
        <w:t xml:space="preserve">盐城市政府采购网</w:t>
      </w:r>
      <w:r>
        <w:rPr>
          <w:rFonts w:hint="eastAsia" w:ascii="宋体" w:hAnsi="宋体" w:eastAsia="宋体" w:cs="宋体"/>
          <w:color w:val="auto"/>
          <w:sz w:val="24"/>
          <w:szCs w:val="24"/>
        </w:rPr>
        <w:t xml:space="preserve">公布，补充文件将作为招标文件的组成部分，并对投标人具有约束力。</w:t>
      </w:r>
      <w:r/>
    </w:p>
    <w:p>
      <w:pPr>
        <w:pStyle w:val="854"/>
        <w:ind w:left="0" w:firstLine="482"/>
        <w:jc w:val="left"/>
        <w:keepLines w:val="0"/>
        <w:keepNext w:val="0"/>
        <w:pageBreakBefore w:val="0"/>
        <w:spacing w:before="157" w:beforeAutospacing="0" w:after="157" w:afterAutospacing="0" w:line="360" w:lineRule="auto"/>
        <w:widowControl w:val="off"/>
        <w:rPr>
          <w:rFonts w:hint="eastAsia" w:ascii="宋体" w:hAnsi="宋体" w:eastAsia="宋体" w:cs="宋体"/>
          <w:b/>
          <w:color w:val="auto"/>
          <w:sz w:val="24"/>
          <w:szCs w:val="24"/>
        </w:rPr>
      </w:pPr>
      <w:r/>
      <w:bookmarkStart w:id="74" w:name="_Toc16938529"/>
      <w:r/>
      <w:bookmarkStart w:id="75" w:name="_Toc20823285"/>
      <w:r/>
      <w:bookmarkStart w:id="76" w:name="_Toc513029213"/>
      <w:r/>
      <w:bookmarkStart w:id="77" w:name="_Toc462564072"/>
      <w:r/>
      <w:bookmarkStart w:id="78" w:name="_Toc120614216"/>
      <w:r>
        <w:rPr>
          <w:rFonts w:hint="eastAsia" w:ascii="宋体" w:hAnsi="宋体" w:eastAsia="宋体" w:cs="宋体"/>
          <w:b/>
          <w:color w:val="auto"/>
          <w:sz w:val="24"/>
          <w:szCs w:val="24"/>
        </w:rPr>
        <w:t xml:space="preserve">三、投标文件的编制</w:t>
      </w:r>
      <w:bookmarkEnd w:id="74"/>
      <w:r/>
      <w:bookmarkEnd w:id="75"/>
      <w:r/>
      <w:bookmarkEnd w:id="76"/>
      <w:r/>
      <w:bookmarkEnd w:id="77"/>
      <w:r/>
      <w:bookmarkEnd w:id="78"/>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79" w:name="_Toc20823286"/>
      <w:r/>
      <w:bookmarkStart w:id="80" w:name="_Toc462564073"/>
      <w:r/>
      <w:bookmarkStart w:id="81" w:name="_Toc16938530"/>
      <w:r/>
      <w:bookmarkStart w:id="82" w:name="_Toc513029214"/>
      <w:r>
        <w:rPr>
          <w:rFonts w:hint="eastAsia" w:ascii="宋体" w:hAnsi="宋体" w:eastAsia="宋体" w:cs="宋体"/>
          <w:color w:val="auto"/>
          <w:sz w:val="24"/>
          <w:szCs w:val="24"/>
        </w:rPr>
        <w:t xml:space="preserve">9、投标文件的语言及度量衡单位</w:t>
      </w:r>
      <w:bookmarkEnd w:id="79"/>
      <w:r/>
      <w:bookmarkEnd w:id="80"/>
      <w:r/>
      <w:bookmarkEnd w:id="81"/>
      <w:r/>
      <w:bookmarkEnd w:id="82"/>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9.1投标人提交的投标文件以及投标人与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就有关投标的所有来往通知、函件和文件均应使用</w:t>
      </w:r>
      <w:r>
        <w:rPr>
          <w:rFonts w:hint="eastAsia" w:ascii="宋体" w:hAnsi="宋体" w:eastAsia="宋体" w:cs="宋体"/>
          <w:b/>
          <w:color w:val="auto"/>
          <w:sz w:val="24"/>
          <w:szCs w:val="24"/>
        </w:rPr>
        <w:t xml:space="preserve">简体中文</w:t>
      </w:r>
      <w:r>
        <w:rPr>
          <w:rFonts w:hint="eastAsia" w:ascii="宋体" w:hAnsi="宋体" w:eastAsia="宋体" w:cs="宋体"/>
          <w:color w:val="auto"/>
          <w:sz w:val="24"/>
          <w:szCs w:val="24"/>
        </w:rPr>
        <w:t xml:space="preserve">。</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9.2除技术性能另有规定外，投标文件所使用的度量衡单位，均须采用国家法定计量单位。</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83" w:name="_Toc513029215"/>
      <w:r/>
      <w:bookmarkStart w:id="84" w:name="_Toc462564074"/>
      <w:r/>
      <w:bookmarkStart w:id="85" w:name="_Toc20823287"/>
      <w:r/>
      <w:bookmarkStart w:id="86" w:name="_Toc16938531"/>
      <w:r>
        <w:rPr>
          <w:rFonts w:hint="eastAsia" w:ascii="宋体" w:hAnsi="宋体" w:eastAsia="宋体" w:cs="宋体"/>
          <w:color w:val="auto"/>
          <w:sz w:val="24"/>
          <w:szCs w:val="24"/>
        </w:rPr>
        <w:t xml:space="preserve">10、投标文件构成</w:t>
      </w:r>
      <w:bookmarkEnd w:id="83"/>
      <w:r/>
      <w:bookmarkEnd w:id="84"/>
      <w:r/>
      <w:bookmarkEnd w:id="85"/>
      <w:r/>
      <w:bookmarkEnd w:id="86"/>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10.1 开标一览表（系统固定格式）</w:t>
      </w:r>
      <w:r/>
    </w:p>
    <w:p>
      <w:pPr>
        <w:pStyle w:val="854"/>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 资格审查资料</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10.2.1 法人或者其他组织的营业执照等证明文件，自然人的身份证明；</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10.2.2 上一年度（或上上年度）经审计的财务报告（投标人成立不满一年无需提供）；</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10.2.3 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10.2.4 具备履行合同所必需的设备和专业技术能力的书面声明；</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10.2.5 参加政府采购活动前 3 年内在经营活动中没有重大违法记录的书面声明；</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10.2.6 投标人法定代表人身份证明和投标文件签署授权委托书（另附法定代表人和被授权人的身份证复印件或扫描件）；</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10.2.7 投标人为被授权人缴纳的社会养老保险证明；</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10.2.8 与资格审查有关的其他资料（如有）。</w:t>
      </w:r>
      <w:r/>
    </w:p>
    <w:p>
      <w:pPr>
        <w:pStyle w:val="854"/>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10.3 符合性资料</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10.3.1 投标报价明细表；</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10.3.2 投标函；</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10.3.3 所供服务（服务附带的产品）内容及服务要求偏离表；</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10.3.4 投标人的服务承诺；</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10.3.5 东台市政府采购事前信用承诺书；</w:t>
      </w:r>
      <w:r/>
    </w:p>
    <w:p>
      <w:pPr>
        <w:pStyle w:val="854"/>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10.4 综合评审相关资料</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10.5 价格折扣文件（如有）</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注：1）以上材料须按顺序进行排列。</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2）如为法定代表人参与公开招标的无须提供“投标文件签署授权委托书”和“被授权人缴纳的社会养老保险证明”。</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3）与本次公开招标无关的资料不要求提供。</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“江苏政府采购网”、“盐城市政府采购网”发布的招标文件为准。</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87" w:name="_Toc49090509"/>
      <w:r/>
      <w:bookmarkStart w:id="88" w:name="_Toc14577354"/>
      <w:r/>
      <w:bookmarkStart w:id="89" w:name="_Toc14577357"/>
      <w:r/>
      <w:bookmarkStart w:id="90" w:name="_Toc513029219"/>
      <w:r/>
      <w:bookmarkStart w:id="91" w:name="_Toc513029216"/>
      <w:r/>
      <w:bookmarkStart w:id="92" w:name="_Toc49090507"/>
      <w:r/>
      <w:bookmarkStart w:id="93" w:name="_Hlt26668975"/>
      <w:r/>
      <w:bookmarkStart w:id="94" w:name="_Hlt26670360"/>
      <w:r/>
      <w:bookmarkStart w:id="95" w:name="_Hlt26954838"/>
      <w:r>
        <w:rPr>
          <w:rFonts w:hint="eastAsia" w:ascii="宋体" w:hAnsi="宋体" w:eastAsia="宋体" w:cs="宋体"/>
          <w:color w:val="auto"/>
          <w:sz w:val="24"/>
          <w:szCs w:val="24"/>
        </w:rPr>
        <w:t xml:space="preserve">11、证明投标人及投标标的符合招标文件规定的文件</w:t>
      </w:r>
      <w:bookmarkEnd w:id="87"/>
      <w:r/>
      <w:bookmarkEnd w:id="88"/>
      <w:r/>
      <w:bookmarkEnd w:id="89"/>
      <w:r/>
      <w:bookmarkEnd w:id="90"/>
      <w:r/>
      <w:bookmarkEnd w:id="91"/>
      <w:r/>
      <w:bookmarkEnd w:id="92"/>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96" w:name="_Toc49090508"/>
      <w:r/>
      <w:bookmarkStart w:id="97" w:name="_Toc14577355"/>
      <w:r>
        <w:rPr>
          <w:rFonts w:hint="eastAsia" w:ascii="宋体" w:hAnsi="宋体" w:eastAsia="宋体" w:cs="宋体"/>
          <w:color w:val="auto"/>
          <w:sz w:val="24"/>
          <w:szCs w:val="24"/>
        </w:rPr>
        <w:t xml:space="preserve">11.1投标人应按照法律、法规、规章和规范性文件以及招标文件要求提交证明文件，证明其及投标标的符合招标文件规定。</w:t>
      </w:r>
      <w:bookmarkEnd w:id="96"/>
      <w:r/>
      <w:bookmarkEnd w:id="97"/>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11.2招标文件对证明文件无明确形式要求的，证明文件可以以文字资料、图纸和数据等形式提交。</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11.3 “上一年度（或上上年度）的财务报告”，投标人应提供经审计的财务报告，或银行出具的资信证明。</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11.4 “依法缴纳税收的相关材料”，投标人应提供近期缴纳税收的凭据。</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11.5 “依法缴纳社会保障资金的相关材料”，投标人应提供近期缴纳社会保险的凭据。</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11.6 依法免税或不需要缴纳社会保障资金的投标人，应提供相应文件证明其依法免税或不需要缴纳社会保障资金。</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11.7 “申请人的资格要求”和“资格审查资料”中的“近期”是指近两年以来的任一时间段。</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bookmarkStart w:id="98" w:name="_Hlt26670373"/>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lang w:eastAsia="zh-CN"/>
        </w:rPr>
        <w:t xml:space="preserve">报价明细表</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99" w:name="_Hlt26954840"/>
      <w:r/>
      <w:bookmarkStart w:id="100" w:name="_Hlt26670399"/>
      <w:r>
        <w:rPr>
          <w:rFonts w:hint="eastAsia" w:ascii="宋体" w:hAnsi="宋体" w:eastAsia="宋体" w:cs="宋体"/>
          <w:color w:val="auto"/>
          <w:sz w:val="24"/>
          <w:szCs w:val="24"/>
        </w:rPr>
        <w:t xml:space="preserve">12.1投标人应按照招标文件规定格式填报投标</w:t>
      </w:r>
      <w:r>
        <w:rPr>
          <w:rFonts w:hint="eastAsia" w:ascii="宋体" w:hAnsi="宋体" w:eastAsia="宋体" w:cs="宋体"/>
          <w:color w:val="auto"/>
          <w:sz w:val="24"/>
          <w:szCs w:val="24"/>
          <w:lang w:eastAsia="zh-CN"/>
        </w:rPr>
        <w:t xml:space="preserve">报价明细表</w:t>
      </w:r>
      <w:r>
        <w:rPr>
          <w:rFonts w:hint="eastAsia" w:ascii="宋体" w:hAnsi="宋体" w:eastAsia="宋体" w:cs="宋体"/>
          <w:color w:val="auto"/>
          <w:sz w:val="24"/>
          <w:szCs w:val="24"/>
        </w:rPr>
        <w:t xml:space="preserve">。</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12.2投标货币。投标文件中的单价和总价无特殊规定的采用人民币报价，以元为单位标注。招标文件中另有规定的按规定执行。</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13.3 投标人应按照第六章投标文件格式完整地填写投标报价明细表，说明其拟提供服务的名称、服务内容、数量、价格等，采购人要求投标人明确填写的相关内容的，也应填写。</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13.4 每项服务内容只允许有一个报价，任何有选择的报价将不予接受。</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13.5 报价除标的物的价款外还应包括全部工作内容的价格体现，以及为完成全部工作内容所必须的人工费、材料费、机械及仪器费、检测费、运输费、保险费、技术服务费、验收费、代理服务费、投标费用、管理费、税金、利润、各类风险费、不可预见费和文件规定的其他各项应有的全部费用（综合报价）。</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01" w:name="_Hlt26954731"/>
      <w:r/>
      <w:bookmarkStart w:id="102" w:name="_Hlt26954846"/>
      <w:r/>
      <w:bookmarkStart w:id="103" w:name="_Hlt26954844"/>
      <w:r/>
      <w:bookmarkStart w:id="104" w:name="_Hlt26670425"/>
      <w:r/>
      <w:bookmarkStart w:id="105" w:name="_Hlt26668983"/>
      <w:r/>
      <w:bookmarkStart w:id="106" w:name="_Hlt26670482"/>
      <w:r/>
      <w:bookmarkStart w:id="107" w:name="_Hlt26670403"/>
      <w:r/>
      <w:bookmarkStart w:id="108" w:name="_Hlt26670486"/>
      <w:r/>
      <w:bookmarkStart w:id="109" w:name="_Hlt26954842"/>
      <w:r/>
      <w:bookmarkStart w:id="110" w:name="_Hlt26954848"/>
      <w:r>
        <w:rPr>
          <w:rFonts w:hint="eastAsia" w:ascii="宋体" w:hAnsi="宋体" w:eastAsia="宋体" w:cs="宋体"/>
          <w:color w:val="auto"/>
          <w:sz w:val="24"/>
          <w:szCs w:val="24"/>
        </w:rPr>
        <w:t xml:space="preserve">13、</w:t>
      </w:r>
      <w:r>
        <w:rPr>
          <w:rFonts w:hint="eastAsia" w:ascii="宋体" w:hAnsi="宋体" w:eastAsia="宋体" w:cs="宋体"/>
          <w:color w:val="auto"/>
          <w:sz w:val="24"/>
          <w:szCs w:val="24"/>
          <w:lang w:val="en-US" w:eastAsia="zh-CN"/>
        </w:rPr>
        <w:t xml:space="preserve">所供服务（服务附带的产品）内容及服务要求偏离表</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zh-CN"/>
        </w:rPr>
      </w:pPr>
      <w:r/>
      <w:bookmarkStart w:id="111" w:name="_Toc14577359"/>
      <w:r/>
      <w:bookmarkStart w:id="112" w:name="_Toc49090510"/>
      <w:r>
        <w:rPr>
          <w:rFonts w:hint="eastAsia" w:ascii="宋体" w:hAnsi="宋体" w:eastAsia="宋体" w:cs="宋体"/>
          <w:color w:val="auto"/>
          <w:sz w:val="24"/>
          <w:szCs w:val="24"/>
          <w:lang w:val="zh-CN"/>
        </w:rPr>
        <w:t xml:space="preserve">1</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zh-CN"/>
        </w:rPr>
        <w:t xml:space="preserve">.1 投标人需对招标文件中的</w:t>
      </w:r>
      <w:r>
        <w:rPr>
          <w:rFonts w:hint="eastAsia" w:ascii="宋体" w:hAnsi="宋体" w:eastAsia="宋体" w:cs="宋体"/>
          <w:color w:val="auto"/>
          <w:sz w:val="24"/>
          <w:szCs w:val="24"/>
          <w:lang w:val="en-US" w:eastAsia="zh-CN"/>
        </w:rPr>
        <w:t xml:space="preserve">服务内容及服务要求</w:t>
      </w:r>
      <w:r>
        <w:rPr>
          <w:rFonts w:hint="eastAsia" w:ascii="宋体" w:hAnsi="宋体" w:eastAsia="宋体" w:cs="宋体"/>
          <w:color w:val="auto"/>
          <w:sz w:val="24"/>
          <w:szCs w:val="24"/>
          <w:lang w:val="zh-CN"/>
        </w:rPr>
        <w:t xml:space="preserve">逐项作出响应或偏离，并说明原因。</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zh-CN"/>
        </w:rPr>
        <w:t xml:space="preserve">.2 投标人可在投标文件中提供认为需要的其他技术文件或说明。</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14、投标函和开标一览表</w:t>
      </w:r>
      <w:bookmarkEnd w:id="111"/>
      <w:r/>
      <w:bookmarkEnd w:id="112"/>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14.1投标人应按照招标文件中提供的格式完整、正确填写投标函、开标一览表。</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rPr>
        <w:t xml:space="preserve">。</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13" w:name="_Toc14577360"/>
      <w:r/>
      <w:bookmarkStart w:id="114" w:name="_Toc49090511"/>
      <w:r/>
      <w:bookmarkStart w:id="115" w:name="_Hlt26954850"/>
      <w:r/>
      <w:bookmarkStart w:id="116" w:name="_Hlt26954734"/>
      <w:r/>
      <w:bookmarkStart w:id="117" w:name="_Hlt26670489"/>
      <w:r>
        <w:rPr>
          <w:rFonts w:hint="eastAsia" w:ascii="宋体" w:hAnsi="宋体" w:eastAsia="宋体" w:cs="宋体"/>
          <w:color w:val="auto"/>
          <w:sz w:val="24"/>
          <w:szCs w:val="24"/>
        </w:rPr>
        <w:t xml:space="preserve">15、投标有效期</w:t>
      </w:r>
      <w:bookmarkEnd w:id="113"/>
      <w:r/>
      <w:bookmarkEnd w:id="114"/>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15.1投标有效期为</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规定的开标之日后</w:t>
      </w:r>
      <w:r>
        <w:rPr>
          <w:rFonts w:hint="eastAsia" w:ascii="宋体" w:hAnsi="宋体" w:eastAsia="宋体" w:cs="宋体"/>
          <w:b/>
          <w:color w:val="auto"/>
          <w:sz w:val="24"/>
          <w:szCs w:val="24"/>
          <w:u w:val="single"/>
        </w:rPr>
        <w:t xml:space="preserve">六十（60）天</w:t>
      </w:r>
      <w:r>
        <w:rPr>
          <w:rFonts w:hint="eastAsia" w:ascii="宋体" w:hAnsi="宋体" w:eastAsia="宋体" w:cs="宋体"/>
          <w:color w:val="auto"/>
          <w:sz w:val="24"/>
          <w:szCs w:val="24"/>
        </w:rPr>
        <w:t xml:space="preserve">。投标有效期比规定短的将被视为未实质性响应招标文件而予以拒绝。</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16、投标有效期的延长</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16.1在特殊情况下，</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的这一要求而放弃投标。同意延长投标有效期的投标人既不能要求也不允许修改其投标文件，同时受投标有效期约束的所有权利与义务均延长至新的有效期。</w:t>
      </w:r>
      <w:r/>
    </w:p>
    <w:p>
      <w:pPr>
        <w:pStyle w:val="854"/>
        <w:ind w:left="0" w:firstLine="482"/>
        <w:jc w:val="left"/>
        <w:keepLines w:val="0"/>
        <w:keepNext w:val="0"/>
        <w:pageBreakBefore w:val="0"/>
        <w:spacing w:before="157" w:beforeAutospacing="0" w:after="157" w:afterAutospacing="0" w:line="360" w:lineRule="auto"/>
        <w:widowControl w:val="off"/>
        <w:rPr>
          <w:rFonts w:hint="eastAsia" w:ascii="宋体" w:hAnsi="宋体" w:eastAsia="宋体" w:cs="宋体"/>
          <w:b/>
          <w:color w:val="auto"/>
          <w:sz w:val="24"/>
          <w:szCs w:val="24"/>
        </w:rPr>
      </w:pPr>
      <w:r/>
      <w:bookmarkStart w:id="118" w:name="_Toc513029224"/>
      <w:r/>
      <w:bookmarkStart w:id="119" w:name="_Toc16938540"/>
      <w:r/>
      <w:bookmarkStart w:id="120" w:name="_Toc20823296"/>
      <w:r/>
      <w:bookmarkStart w:id="121" w:name="_Toc120614217"/>
      <w:r/>
      <w:bookmarkStart w:id="122" w:name="_Hlt26954739"/>
      <w:r/>
      <w:bookmarkStart w:id="123" w:name="_Hlt26954852"/>
      <w:r>
        <w:rPr>
          <w:rFonts w:hint="eastAsia" w:ascii="宋体" w:hAnsi="宋体" w:eastAsia="宋体" w:cs="宋体"/>
          <w:b/>
          <w:color w:val="auto"/>
          <w:sz w:val="24"/>
          <w:szCs w:val="24"/>
        </w:rPr>
        <w:t xml:space="preserve">四、投标文件的递交</w:t>
      </w:r>
      <w:bookmarkEnd w:id="118"/>
      <w:r/>
      <w:bookmarkEnd w:id="119"/>
      <w:r/>
      <w:bookmarkEnd w:id="120"/>
      <w:r/>
      <w:bookmarkEnd w:id="121"/>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24" w:name="_Toc513029225"/>
      <w:r/>
      <w:bookmarkStart w:id="125" w:name="_Toc462564084"/>
      <w:r/>
      <w:bookmarkStart w:id="126" w:name="_Toc16938541"/>
      <w:r/>
      <w:bookmarkStart w:id="127" w:name="_Toc20823297"/>
      <w:r>
        <w:rPr>
          <w:rFonts w:hint="eastAsia" w:ascii="宋体" w:hAnsi="宋体" w:eastAsia="宋体" w:cs="宋体"/>
          <w:color w:val="auto"/>
          <w:sz w:val="24"/>
          <w:szCs w:val="24"/>
        </w:rPr>
        <w:t xml:space="preserve">17、投标文件</w:t>
      </w:r>
      <w:bookmarkEnd w:id="124"/>
      <w:r/>
      <w:bookmarkEnd w:id="125"/>
      <w:r/>
      <w:bookmarkEnd w:id="126"/>
      <w:r/>
      <w:bookmarkEnd w:id="127"/>
      <w:r>
        <w:rPr>
          <w:rFonts w:hint="eastAsia" w:ascii="宋体" w:hAnsi="宋体" w:eastAsia="宋体" w:cs="宋体"/>
          <w:color w:val="auto"/>
          <w:sz w:val="24"/>
          <w:szCs w:val="24"/>
        </w:rPr>
        <w:t xml:space="preserve">的递交</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17.1电子投标文件的递交</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18、投标截止时间</w:t>
      </w:r>
      <w:r/>
    </w:p>
    <w:p>
      <w:pPr>
        <w:pStyle w:val="854"/>
        <w:ind w:left="0" w:firstLine="480"/>
        <w:jc w:val="left"/>
        <w:keepLines w:val="0"/>
        <w:keepNext w:val="0"/>
        <w:pageBreakBefore w:val="0"/>
        <w:spacing w:beforeAutospacing="0" w:afterAutospacing="0" w:line="360" w:lineRule="auto"/>
        <w:widowControl w:val="off"/>
        <w:rPr>
          <w:rFonts w:hint="eastAsia" w:ascii="黑体" w:hAnsi="黑体" w:eastAsia="黑体" w:cs="黑体"/>
          <w:color w:val="auto"/>
          <w:sz w:val="24"/>
          <w:szCs w:val="24"/>
        </w:rPr>
      </w:pPr>
      <w:r>
        <w:rPr>
          <w:rFonts w:hint="eastAsia" w:ascii="黑体" w:hAnsi="黑体" w:eastAsia="黑体" w:cs="黑体"/>
          <w:i/>
          <w:color w:val="auto"/>
          <w:sz w:val="24"/>
          <w:szCs w:val="24"/>
          <w:u w:val="single"/>
        </w:rPr>
        <w:t xml:space="preserve">18.1投标人上传电子投标文件的时间不得迟于招标公告中规定的投标截止时间。</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投标人应充分考虑到网络环境、网络带宽等风险因素，如因投标人自身原因造成的电子投标文件上传不成功的按照本招标文件第二章第26.1.2条规定做无效投标处理。</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18.2</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可以按照规定，通过修改招标文件酌情延长投标截止时间，在此情况下，投标人的所有权利和义务以及投标人受制的截止时间均应以延长后新的截止时间为准。</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31" w:name="_Toc20823299"/>
      <w:r/>
      <w:bookmarkStart w:id="132" w:name="_Toc513029227"/>
      <w:r/>
      <w:bookmarkStart w:id="133" w:name="_Toc16938543"/>
      <w:r>
        <w:rPr>
          <w:rFonts w:hint="eastAsia" w:ascii="宋体" w:hAnsi="宋体" w:eastAsia="宋体" w:cs="宋体"/>
          <w:color w:val="auto"/>
          <w:sz w:val="24"/>
          <w:szCs w:val="24"/>
        </w:rPr>
        <w:t xml:space="preserve">19、投标文件</w:t>
      </w:r>
      <w:bookmarkEnd w:id="131"/>
      <w:r/>
      <w:bookmarkEnd w:id="132"/>
      <w:r/>
      <w:bookmarkEnd w:id="133"/>
      <w:r>
        <w:rPr>
          <w:rFonts w:hint="eastAsia" w:ascii="宋体" w:hAnsi="宋体" w:eastAsia="宋体" w:cs="宋体"/>
          <w:color w:val="auto"/>
          <w:sz w:val="24"/>
          <w:szCs w:val="24"/>
        </w:rPr>
        <w:t xml:space="preserve">的拒收</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拒绝接收在其规定的投标截止时间后上传的任何投标文件。</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34" w:name="_Toc513029228"/>
      <w:r/>
      <w:bookmarkStart w:id="135" w:name="_Toc16938544"/>
      <w:r/>
      <w:bookmarkStart w:id="136" w:name="_Toc20823300"/>
      <w:r>
        <w:rPr>
          <w:rFonts w:hint="eastAsia" w:ascii="宋体" w:hAnsi="宋体" w:eastAsia="宋体" w:cs="宋体"/>
          <w:color w:val="auto"/>
          <w:sz w:val="24"/>
          <w:szCs w:val="24"/>
        </w:rPr>
        <w:t xml:space="preserve">20、投标文件的撤回和修改</w:t>
      </w:r>
      <w:bookmarkEnd w:id="134"/>
      <w:r/>
      <w:bookmarkEnd w:id="135"/>
      <w:r/>
      <w:bookmarkEnd w:id="136"/>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20.1投标文件的撤回</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21.1.1电子投标文件的撤回</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投标人可在投标截止时间前，撤回其电子投标文件，具体操作方法见《操作手册》。</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21.1.2投标人撤回电子投标文件，则认为其不再参与本项目投标活动。</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20.2投标文件的修改</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20.2.1投标人可在投标截止时间前，对其电子投标文件进行修改，具体操作方法见《操作手册》。</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20.2.2在投标截止时间之后，投标人不得对其电子投标文件作任何修改。</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20.3在投标截止时间至招标文件中规定的投标有效期满之间的这段时间内，投标人不得撤回其投标。</w:t>
      </w:r>
      <w:r/>
    </w:p>
    <w:p>
      <w:pPr>
        <w:pStyle w:val="854"/>
        <w:ind w:left="0" w:firstLine="482"/>
        <w:jc w:val="left"/>
        <w:keepLines w:val="0"/>
        <w:keepNext w:val="0"/>
        <w:pageBreakBefore w:val="0"/>
        <w:spacing w:before="157" w:beforeAutospacing="0" w:after="157" w:afterAutospacing="0" w:line="360" w:lineRule="auto"/>
        <w:widowControl w:val="off"/>
        <w:rPr>
          <w:rFonts w:hint="eastAsia" w:ascii="宋体" w:hAnsi="宋体" w:eastAsia="宋体" w:cs="宋体"/>
          <w:b/>
          <w:color w:val="auto"/>
          <w:sz w:val="24"/>
          <w:szCs w:val="24"/>
        </w:rPr>
      </w:pPr>
      <w:r/>
      <w:bookmarkStart w:id="137" w:name="_Toc20823301"/>
      <w:r/>
      <w:bookmarkStart w:id="138" w:name="_Toc513029229"/>
      <w:r/>
      <w:bookmarkStart w:id="139" w:name="_Toc120614218"/>
      <w:r/>
      <w:bookmarkStart w:id="140" w:name="_Toc16938545"/>
      <w:r>
        <w:rPr>
          <w:rFonts w:hint="eastAsia" w:ascii="宋体" w:hAnsi="宋体" w:eastAsia="宋体" w:cs="宋体"/>
          <w:b/>
          <w:color w:val="auto"/>
          <w:sz w:val="24"/>
          <w:szCs w:val="24"/>
        </w:rPr>
        <w:t xml:space="preserve">五、开标与评标</w:t>
      </w:r>
      <w:bookmarkEnd w:id="137"/>
      <w:r/>
      <w:bookmarkEnd w:id="138"/>
      <w:r/>
      <w:bookmarkEnd w:id="139"/>
      <w:r/>
      <w:bookmarkEnd w:id="140"/>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41" w:name="_Toc16938546"/>
      <w:r/>
      <w:bookmarkStart w:id="142" w:name="_Toc513029230"/>
      <w:r/>
      <w:bookmarkStart w:id="143" w:name="_Toc20823302"/>
      <w:r>
        <w:rPr>
          <w:rFonts w:hint="eastAsia" w:ascii="宋体" w:hAnsi="宋体" w:eastAsia="宋体" w:cs="宋体"/>
          <w:color w:val="auto"/>
          <w:sz w:val="24"/>
          <w:szCs w:val="24"/>
        </w:rPr>
        <w:t xml:space="preserve">21、开标</w:t>
      </w:r>
      <w:bookmarkEnd w:id="141"/>
      <w:r/>
      <w:bookmarkEnd w:id="142"/>
      <w:r/>
      <w:bookmarkEnd w:id="143"/>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将在招标公告中规定的时间和地点组织公开开标。投标人应当按照《操作手册》规定，参加开标活动和在苏采云系统规定的时间内对投标文件进行解密。</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21.2开标仪式由</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组织。苏采云系统将自动对项目进行开标，并宣布各投标人名称和投标价格。</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21.3投标人在开标过程中涉及到的投标文件解密、开标结果确认等工作，应按照《操作手册》规定执行。</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21.4投标人如果对开标过程和开标记录有疑义，应当根据《操作手册》规定提出，如苏采云系统中《开标记录表》宣布后5分钟内未提出的，视同认可开标结果。</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44" w:name="_Toc20823303"/>
      <w:r/>
      <w:bookmarkStart w:id="145" w:name="_Toc513029231"/>
      <w:r/>
      <w:bookmarkStart w:id="146" w:name="_Toc16938547"/>
      <w:r>
        <w:rPr>
          <w:rFonts w:hint="eastAsia" w:ascii="宋体" w:hAnsi="宋体" w:eastAsia="宋体" w:cs="宋体"/>
          <w:color w:val="auto"/>
          <w:sz w:val="24"/>
          <w:szCs w:val="24"/>
        </w:rPr>
        <w:t xml:space="preserve">22、评标委员会</w:t>
      </w:r>
      <w:bookmarkEnd w:id="144"/>
      <w:r/>
      <w:bookmarkEnd w:id="145"/>
      <w:r/>
      <w:bookmarkEnd w:id="146"/>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22.1开标后，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将立即组织评标委员会（以下简称评委会）进行评标。</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22.2评委会由采购人代表和有关技术、经济等方面的专家组成，且人员构成符合政府采购有关规定。</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22.3评委会独立工作，负责评审所有投标文件并确定中标侯选人。</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23、评标过程的保密与公正</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23.1凡是与审查、澄清、评价和比较投标的有关资料以及授标建议等，采购人、评委均不得向投标人或与评标无关的其他人员透露。</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23.2在评标过程中，投标人不得以任何行为影响评标过程，否则其投标文件将被作为无效投标文件。</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23.3</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和评标委员会不向未中标的投标人解释未中标原因，也不公布评标过程中的相关细节。</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23.4采用综合评分法的项目，未中标的投标人可于中标结果公告期限届满之日起通过苏采云系统查看自己的评审得分及排序情况。</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47" w:name="_Toc20823304"/>
      <w:r/>
      <w:bookmarkStart w:id="148" w:name="_Toc16938548"/>
      <w:r/>
      <w:bookmarkStart w:id="149" w:name="_Toc513029232"/>
      <w:r>
        <w:rPr>
          <w:rFonts w:hint="eastAsia" w:ascii="宋体" w:hAnsi="宋体" w:eastAsia="宋体" w:cs="宋体"/>
          <w:color w:val="auto"/>
          <w:sz w:val="24"/>
          <w:szCs w:val="24"/>
        </w:rPr>
        <w:t xml:space="preserve">24、投标文件的澄清</w:t>
      </w:r>
      <w:bookmarkEnd w:id="147"/>
      <w:r/>
      <w:bookmarkEnd w:id="148"/>
      <w:r/>
      <w:bookmarkEnd w:id="149"/>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24.1评标期间，评委会对投标文件中含义不明确、同类问题表述不一致或者有明显文字和计算错误的内容，有权要求投标人作出必要的澄清、说明或者补正。</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投标人的澄清、说明或者补正不得超出投标文件的范围或者改变投标文件的实质性内容。</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评标委员会并非对每个投标人都做澄清要求。</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24.3接到评委会澄清、说明和补正要求的投标人如未按规定做出澄清、说明和补正，其风险由投标人自行承担。</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50" w:name="_Toc16938549"/>
      <w:r/>
      <w:bookmarkStart w:id="151" w:name="_Toc20823305"/>
      <w:r/>
      <w:bookmarkStart w:id="152" w:name="_Toc513029233"/>
      <w:r>
        <w:rPr>
          <w:rFonts w:hint="eastAsia" w:ascii="宋体" w:hAnsi="宋体" w:eastAsia="宋体" w:cs="宋体"/>
          <w:color w:val="auto"/>
          <w:sz w:val="24"/>
          <w:szCs w:val="24"/>
        </w:rPr>
        <w:t xml:space="preserve">25、对投标文件的初审</w:t>
      </w:r>
      <w:bookmarkEnd w:id="150"/>
      <w:r/>
      <w:bookmarkEnd w:id="151"/>
      <w:r/>
      <w:bookmarkEnd w:id="152"/>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25.1投标文件初审分为资格审查和符合性审查。</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25.1.1资格审查：依据法律法规和招标文件的规定，由采购人对投标文件中的资格证明文件进行审查。资格审查的结论，采购人以书面形式向评委会进行反馈。</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采购人在进行资格性审查的同时，将在“信用中国”网站（www.creditchina.gov.cn）查询投标人的信用记录，以确定投标人是否具备投标资格,查询结果留存并归档。</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25.1.2符合性审查：依据招标文件的规定，由评委会从投标文件的有效性、完整性和对招标文件的响应程度进行审查，以确定是否对招标文件的实质性要求作出响应。</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25.1.3未通过资格审查或符合性审查的投标人，</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将在苏采云系统中告知未通过资格审查或符合性审查的原因，评标结束后，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将不再告知未通过资格审查和符合性审查的原因。</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25.3如果投标文件实质上没有响应招标文件的要求，评委会将予以拒绝，投标人不得通过修改或撤销不合要求的偏离或保留而使其投标成为实质性响应的投标。</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25.4评委会将对确定为实质性响应的投标进行进一步审核，确定其是否有计算上或累加上的算术错误，修正错误的原则如下：</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（1）投标文件中开标一览表内容与投标文件中相应内容不一致的，以开标一览表为准。</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（2）大写金额和小写金额不一致的，以大写金额为准。</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（3）单价金额小数点或者百分比有明显错位的，以开标一览表的总价为准，并修改单价。</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（4）总价金额与按单价汇总金额不一致的，以单价金额计算结果为准。</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同时出现两种以上错误的，按照前款规定的顺序修正。</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53" w:name="_Toc16938550"/>
      <w:r/>
      <w:bookmarkStart w:id="154" w:name="_Toc20823306"/>
      <w:r/>
      <w:bookmarkStart w:id="155" w:name="_Toc513029234"/>
      <w:r>
        <w:rPr>
          <w:rFonts w:hint="eastAsia" w:ascii="宋体" w:hAnsi="宋体" w:eastAsia="宋体" w:cs="宋体"/>
          <w:color w:val="auto"/>
          <w:sz w:val="24"/>
          <w:szCs w:val="24"/>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及评标委员会联系。</w:t>
      </w:r>
      <w:bookmarkEnd w:id="153"/>
      <w:r/>
      <w:bookmarkEnd w:id="154"/>
      <w:r/>
      <w:bookmarkEnd w:id="155"/>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26、无效投标条款和废标条款</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56" w:name="_Toc20823307"/>
      <w:r/>
      <w:bookmarkStart w:id="157" w:name="_Toc513029235"/>
      <w:r/>
      <w:bookmarkStart w:id="158" w:name="_Toc16938551"/>
      <w:r>
        <w:rPr>
          <w:rFonts w:hint="eastAsia" w:ascii="宋体" w:hAnsi="宋体" w:eastAsia="宋体" w:cs="宋体"/>
          <w:color w:val="auto"/>
          <w:sz w:val="24"/>
          <w:szCs w:val="24"/>
        </w:rPr>
        <w:t xml:space="preserve">26.1无效投标条款</w:t>
      </w:r>
      <w:bookmarkEnd w:id="156"/>
      <w:r/>
      <w:bookmarkEnd w:id="157"/>
      <w:r/>
      <w:bookmarkEnd w:id="158"/>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.1 投标人在苏采云系统规定的时间内未成功解密电子投标文件的。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.2 投标人未按照招标文件要求上传电子投标文件的。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同一投标人投标人递交两份或多份内容不同的投标文件，或在一份投标文件中对同一采购项目报有两个或多个报价，且未声明哪一个有效，按招标文件规定提交备选方案的除外。</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5 </w:t>
      </w:r>
      <w:r>
        <w:rPr>
          <w:rFonts w:hint="eastAsia" w:ascii="宋体" w:hAnsi="宋体" w:eastAsia="宋体" w:cs="宋体"/>
          <w:color w:val="auto"/>
          <w:sz w:val="24"/>
          <w:szCs w:val="24"/>
        </w:rPr>
        <w:t xml:space="preserve">投标人不具备招标文件中规定资格要求的。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 </w:t>
      </w:r>
      <w:r>
        <w:rPr>
          <w:rFonts w:hint="eastAsia" w:ascii="宋体" w:hAnsi="宋体" w:eastAsia="宋体" w:cs="宋体"/>
          <w:color w:val="auto"/>
          <w:sz w:val="24"/>
          <w:szCs w:val="24"/>
        </w:rPr>
        <w:t xml:space="preserve">投标人的报价超过了采购预算或最高限价的。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lang w:val="en-US" w:eastAsia="zh-CN"/>
        </w:rPr>
        <w:t xml:space="preserve">.7 被授权人无法提供证明其为本单位正式职工的社会养老保险缴费证明的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26.1.8 由被授权人参加，但未随投标文件一起提交合法、有效的“授权委托书”的；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9 投标文件内容不全或关键字迹模糊、无法辨认的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10投标文件修改处未加盖投标人公章的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26.1.</w:t>
      </w: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未通过符合性审查的。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26.1.</w:t>
      </w: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不符合招标文件中规定的实质性要求和条件的</w:t>
      </w:r>
      <w:r>
        <w:rPr>
          <w:rFonts w:hint="eastAsia" w:ascii="黑体" w:hAnsi="黑体" w:eastAsia="黑体" w:cs="黑体"/>
          <w:b/>
          <w:bCs/>
          <w:color w:val="auto"/>
          <w:sz w:val="24"/>
          <w:szCs w:val="24"/>
        </w:rPr>
        <w:t xml:space="preserve">（</w:t>
      </w:r>
      <w:r>
        <w:rPr>
          <w:rFonts w:hint="eastAsia" w:ascii="黑体" w:hAnsi="黑体" w:eastAsia="黑体" w:cs="黑体"/>
          <w:b/>
          <w:bCs/>
          <w:i/>
          <w:color w:val="auto"/>
          <w:sz w:val="24"/>
          <w:szCs w:val="24"/>
          <w:u w:val="single"/>
        </w:rPr>
        <w:t xml:space="preserve">本招标文件中斜体且有下划线部分为实质性要求和条件）。</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rPr>
        <w:t xml:space="preserve">投标文件含有采购人不能接受的附加条件的。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rPr>
          <w:rFonts w:hint="eastAsia" w:ascii="宋体" w:hAnsi="宋体" w:eastAsia="宋体" w:cs="宋体"/>
          <w:color w:val="auto"/>
          <w:sz w:val="24"/>
          <w:szCs w:val="24"/>
          <w:lang w:val="en-US" w:eastAsia="zh-CN"/>
        </w:rPr>
        <w:t xml:space="preserve">或虽说明理由但评标委员会认为其理由不能成立的</w:t>
      </w:r>
      <w:r>
        <w:rPr>
          <w:rFonts w:hint="eastAsia" w:ascii="宋体" w:hAnsi="宋体" w:eastAsia="宋体" w:cs="宋体"/>
          <w:color w:val="auto"/>
          <w:sz w:val="24"/>
          <w:szCs w:val="24"/>
        </w:rPr>
        <w:t xml:space="preserve">。</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26.1.16投标文件中所供产品供货期限（服务周期）、售后服务条款不符合招标文件相关条款要求或技术指标要求、货物的包装方式、检验标准等低于招标文件规定指标、要求的；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26.1.17以他人的名义投标、串通投标、以行贿手段谋取中标或者以其他弄虚作假方式投标的；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26.1.18组成联合体，投标文件未附联合体协议的。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26.1.19投标文件未按照招标文件要求签署或加盖CA电子公章的。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其他法律、法规及本招标文件规定的属无效投标的情形。</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26.2废标条款</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26.2.1符合专业条件的供应商或者对招标文件作实质响应的供应商不足三家的。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26.2.2出现影响采购公正的违法、违规行为的。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26.2.3因重大变故，采购任务取消的。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26.2.4评标委员会认定招标文件存在歧义、重大缺陷导致评审工作无法进行。</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26.2.5因苏采云系统系统故障原因造成开标不成功的。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26.3投标截止时间结束后参加投标的供应商不足三家的处理：</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26.3.1如出现投标截止时间结束后参加投标的供应商或者在评标期间对招标文件做出实质响应的供应商不足三家情况，按政府采购相关规定执行。</w:t>
      </w:r>
      <w:r/>
    </w:p>
    <w:p>
      <w:pPr>
        <w:pStyle w:val="854"/>
        <w:ind w:left="0" w:firstLine="482"/>
        <w:jc w:val="left"/>
        <w:keepLines w:val="0"/>
        <w:keepNext w:val="0"/>
        <w:pageBreakBefore w:val="0"/>
        <w:spacing w:before="157" w:beforeAutospacing="0" w:after="157" w:afterAutospacing="0" w:line="360" w:lineRule="auto"/>
        <w:widowControl w:val="off"/>
        <w:rPr>
          <w:rFonts w:hint="eastAsia" w:ascii="宋体" w:hAnsi="宋体" w:eastAsia="宋体" w:cs="宋体"/>
          <w:b/>
          <w:color w:val="auto"/>
          <w:sz w:val="24"/>
          <w:szCs w:val="24"/>
        </w:rPr>
      </w:pPr>
      <w:r/>
      <w:bookmarkStart w:id="159" w:name="_Toc120614219"/>
      <w:r>
        <w:rPr>
          <w:rFonts w:hint="eastAsia" w:ascii="宋体" w:hAnsi="宋体" w:eastAsia="宋体" w:cs="宋体"/>
          <w:b/>
          <w:color w:val="auto"/>
          <w:sz w:val="24"/>
          <w:szCs w:val="24"/>
        </w:rPr>
        <w:t xml:space="preserve">六、定标</w:t>
      </w:r>
      <w:bookmarkEnd w:id="159"/>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60" w:name="_Toc20823310"/>
      <w:r/>
      <w:bookmarkStart w:id="161" w:name="_Toc16938554"/>
      <w:r/>
      <w:bookmarkStart w:id="162" w:name="_Toc513029238"/>
      <w:r>
        <w:rPr>
          <w:rFonts w:hint="eastAsia" w:ascii="宋体" w:hAnsi="宋体" w:eastAsia="宋体" w:cs="宋体"/>
          <w:color w:val="auto"/>
          <w:sz w:val="24"/>
          <w:szCs w:val="24"/>
        </w:rPr>
        <w:t xml:space="preserve">27、</w:t>
      </w:r>
      <w:bookmarkEnd w:id="160"/>
      <w:r>
        <w:rPr>
          <w:rFonts w:hint="eastAsia" w:ascii="宋体" w:hAnsi="宋体" w:eastAsia="宋体" w:cs="宋体"/>
          <w:color w:val="auto"/>
          <w:sz w:val="24"/>
          <w:szCs w:val="24"/>
        </w:rPr>
        <w:t xml:space="preserve">确定</w:t>
      </w:r>
      <w:bookmarkEnd w:id="161"/>
      <w:r/>
      <w:bookmarkEnd w:id="162"/>
      <w:r>
        <w:rPr>
          <w:rFonts w:hint="eastAsia" w:ascii="宋体" w:hAnsi="宋体" w:eastAsia="宋体" w:cs="宋体"/>
          <w:color w:val="auto"/>
          <w:sz w:val="24"/>
          <w:szCs w:val="24"/>
        </w:rPr>
        <w:t xml:space="preserve">中标单位</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27.1中标候选人的选取原则和数量见招标文件第五章规定。</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27.2采购人应根据评委会推荐的中标候选人确定中标人。</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27.3</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“江苏政府采购网”、“盐城市政府采购网”发布中标公告，公告期限为1个工作日。</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27.4若有充分证据证明，中标人出现下列情况之一的，一经查实，将被取消中标资格：</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27.4.1提供虚假材料谋取中标的。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27.4.2向</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行贿或者提供其他不正当利益的。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27.4.3属于本文件规定的无效条件，但在评标过程中又未被评委会发现的。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27.4.4与采购人或者其他供应商恶意串通的。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27.4.5采取不正当手段诋毁、排挤其他供应商的。</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63" w:name="_Toc200451960"/>
      <w:r>
        <w:rPr>
          <w:rFonts w:hint="eastAsia" w:ascii="宋体" w:hAnsi="宋体" w:eastAsia="宋体" w:cs="宋体"/>
          <w:color w:val="auto"/>
          <w:sz w:val="24"/>
          <w:szCs w:val="24"/>
        </w:rPr>
        <w:t xml:space="preserve">27.5有下列情形之一的，视为投标人串通投标，投标无效：</w:t>
      </w:r>
      <w:bookmarkEnd w:id="163"/>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27.5.1不同投标人的投标文件由同一单位或者个人编制。</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27.5.2不同投标人委托同一单位或者个人办理投标事宜。</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27.5.3不同投标人的投标文件载明的项目管理成员或者联系人员为同一人。</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27.5.4不同投标人的投标文件异常一致或者投标报价呈规律性差异。</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28、质疑处理</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28.1提出质疑的供应商应当是参与所质疑项目采购活动的供应商。潜在供应商依法获取其可质疑的采购文件的，可以对采购文件提出质疑。</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提出质疑。上述应知其权益受到损害之日，是指：</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28.2.1对可以质疑的采购文件提出质疑的，为收到采购文件之日或者采购文件公告期限届满之日；</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28.2.2对采购过程提出质疑的，为各采购程序环节结束之日；</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28.2.3对中标或者成交结果提出质疑的，为中标或者成交结果公告期限届满之日。</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将只对供应商第一次质疑作出答复。</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提出，由</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负责答复。</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采购人只接收以纸质原件形式送达的质疑,建议供应商尽量通过邮寄方式提交质疑（采购人不接受未填写快递运单的快件）</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质疑受理部门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盐城市东台生态环境局         </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联系地址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东台市金海东路1号         </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lang w:val="en-US" w:eastAsia="zh-CN"/>
        </w:rPr>
        <w:t xml:space="preserve">0515-85100285</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28.5以下情形的质疑不予受理</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28.5.1内容不符合《政府采购质疑和投诉办法》第十二条规定的质疑。</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28.5.2超出政府采购法定期限的质疑。</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28.5.3以传真、电子邮件等方式递交的非原件形式的质疑。</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28.5.4未参加投标活动的供应商或在投标活动中自身权益未受到损害的供应商所提出的质疑。</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28.5.5供应商组成联合体参加投标，联合体中任何一方或多方未按要求签字、盖章、加盖公章的质疑。</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28.6供应商提出书面质疑必须有理、有据，不得捏造事实、提供虚假材料进行恶意质疑。否则，一经查实，</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有权依据政府采购的有关规定，报请政府采购监管部门对该供应商进行相应的行政处罚和记录该供应商的失信信息。</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29、中标通知书</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29.l中标结果确定后，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bookmarkStart w:id="164" w:name="_Toc513029236"/>
      <w:r/>
      <w:bookmarkStart w:id="165" w:name="_Toc16938552"/>
      <w:r/>
      <w:bookmarkStart w:id="166" w:name="_Toc120614220"/>
      <w:r/>
      <w:bookmarkStart w:id="167" w:name="_Toc20823308"/>
      <w:r>
        <w:rPr>
          <w:rFonts w:hint="eastAsia" w:ascii="宋体" w:hAnsi="宋体" w:eastAsia="宋体" w:cs="宋体"/>
          <w:color w:val="auto"/>
          <w:sz w:val="24"/>
          <w:szCs w:val="24"/>
          <w:lang w:val="en-US" w:eastAsia="zh-CN"/>
        </w:rPr>
        <w:t xml:space="preserve">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pStyle w:val="854"/>
        <w:ind w:left="0" w:firstLine="482"/>
        <w:jc w:val="left"/>
        <w:keepLines w:val="0"/>
        <w:keepNext w:val="0"/>
        <w:pageBreakBefore w:val="0"/>
        <w:spacing w:before="157" w:beforeAutospacing="0" w:after="157" w:afterAutospacing="0"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七、授予合同</w:t>
      </w:r>
      <w:bookmarkEnd w:id="164"/>
      <w:r/>
      <w:bookmarkEnd w:id="165"/>
      <w:r/>
      <w:bookmarkEnd w:id="166"/>
      <w:r/>
      <w:bookmarkEnd w:id="167"/>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68" w:name="_Toc16938553"/>
      <w:r/>
      <w:bookmarkStart w:id="169" w:name="_Toc513029237"/>
      <w:r/>
      <w:bookmarkStart w:id="170" w:name="_Toc20823309"/>
      <w:r>
        <w:rPr>
          <w:rFonts w:hint="eastAsia" w:ascii="宋体" w:hAnsi="宋体" w:eastAsia="宋体" w:cs="宋体"/>
          <w:color w:val="auto"/>
          <w:sz w:val="24"/>
          <w:szCs w:val="24"/>
        </w:rPr>
        <w:t xml:space="preserve">30.签订合同</w:t>
      </w:r>
      <w:bookmarkEnd w:id="168"/>
      <w:r/>
      <w:bookmarkEnd w:id="169"/>
      <w:r/>
      <w:bookmarkEnd w:id="170"/>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30.l中标人应当在中标通知书发出之日起三十日内，按照招标文件确定的事项与采购人签订政府采购合同。</w:t>
      </w:r>
      <w:r>
        <w:rPr>
          <w:rFonts w:hint="eastAsia" w:ascii="宋体" w:hAnsi="宋体" w:eastAsia="宋体" w:cs="宋体"/>
          <w:color w:val="auto"/>
          <w:sz w:val="24"/>
          <w:szCs w:val="24"/>
          <w:lang w:val="en-US" w:eastAsia="zh-CN"/>
        </w:rPr>
        <w:t xml:space="preserve">所签订的合同不得对招标文件确定的事项和中标人投标文件作实质性修改。招标文件、中标人的投标文件及其澄清文件等均作为签订合同的依据。</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30.2 采购人应当自政府采购合同签订之日起2个工作日内，将政府采购合同的扫描件（PDF格式）传送《苏采云系统》实施网上备案公示。</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30.3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30.4 中标人放弃中标或不按招标文件和中标通知书规定与采购人订立合同，或者在订立合同时提出附加条件或者更改合同实质性内容的，采购人将取消中标人中标资格，作为不良行为予以记载。给采购人造成损失的应予以赔偿，同时承担相应的法律责任。</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30.5 中标人拒绝签订政府采购合同的，采购人可以从评审报告提出的中标候选投标人中，按照排序由高到低的原则确定下一候选人为中标人，也可以重新开展采购活动。拒绝签订政府采购合同的中标人不得参加对本项目重新开展的采购活动。</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30.</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招标文件、中标人的投标文件及招标过程中有关澄清、承诺文件均应作为合同附件。</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31、服务（包含与服务相关的货物）的追加</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71" w:name="_Toc20823314"/>
      <w:r/>
      <w:bookmarkStart w:id="172" w:name="_Toc513029242"/>
      <w:r/>
      <w:bookmarkStart w:id="173" w:name="_Toc479757207"/>
      <w:r/>
      <w:bookmarkStart w:id="174" w:name="_Toc16938558"/>
      <w:r/>
      <w:bookmarkStart w:id="175" w:name="_Toc120614221"/>
      <w:r>
        <w:rPr>
          <w:rFonts w:hint="eastAsia" w:ascii="宋体" w:hAnsi="宋体" w:eastAsia="宋体" w:cs="宋体"/>
          <w:color w:val="auto"/>
          <w:sz w:val="24"/>
          <w:szCs w:val="24"/>
        </w:rPr>
        <w:t xml:space="preserve">32、政府采购履约资金扶持政策</w:t>
      </w:r>
      <w:bookmarkEnd w:id="171"/>
      <w:r/>
      <w:bookmarkEnd w:id="172"/>
      <w:r/>
      <w:bookmarkEnd w:id="173"/>
      <w:r/>
      <w:bookmarkEnd w:id="174"/>
      <w:r/>
      <w:bookmarkEnd w:id="175"/>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pStyle w:val="854"/>
        <w:ind w:firstLine="480"/>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center"/>
        <w:keepNext/>
        <w:spacing w:beforeAutospacing="0" w:afterAutospacing="0"/>
      </w:pPr>
      <w:r>
        <w:t xml:space="preserve"> </w:t>
      </w:r>
      <w:r/>
    </w:p>
    <w:p>
      <w:pPr>
        <w:pStyle w:val="854"/>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54"/>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54"/>
        <w:ind w:right="840"/>
        <w:jc w:val="center"/>
        <w:spacing w:beforeAutospacing="0" w:afterAutospacing="0"/>
        <w:rPr>
          <w:rFonts w:hint="eastAsia" w:ascii="黑体" w:hAnsi="黑体" w:eastAsia="黑体" w:cs="黑体"/>
          <w:color w:val="000000"/>
          <w:sz w:val="44"/>
          <w:szCs w:val="44"/>
          <w:lang w:val="en-US" w:eastAsia="zh-CN"/>
        </w:rPr>
      </w:pPr>
      <w:r>
        <w:rPr>
          <w:rFonts w:hint="eastAsia" w:ascii="黑体" w:hAnsi="黑体" w:eastAsia="黑体" w:cs="黑体"/>
          <w:color w:val="000000"/>
          <w:sz w:val="44"/>
          <w:szCs w:val="44"/>
          <w:lang w:val="en-US" w:eastAsia="zh-CN"/>
        </w:rPr>
        <w:t xml:space="preserve">第三章  合同文本</w:t>
      </w:r>
      <w:r/>
    </w:p>
    <w:p>
      <w:pPr>
        <w:pStyle w:val="854"/>
        <w:ind w:firstLine="480"/>
        <w:jc w:val="both"/>
        <w:spacing w:beforeAutospacing="0" w:afterAutospacing="0" w:line="360" w:lineRule="auto"/>
        <w:rPr>
          <w:color w:val="auto"/>
        </w:rPr>
      </w:pPr>
      <w:r/>
      <w:bookmarkStart w:id="176" w:name="_Toc20823315"/>
      <w:r/>
      <w:bookmarkStart w:id="177" w:name="_Toc513029243"/>
      <w:r/>
      <w:bookmarkStart w:id="178" w:name="_Toc16938559"/>
      <w:r/>
      <w:bookmarkStart w:id="179" w:name="_Toc479757211"/>
      <w:r/>
      <w:bookmarkStart w:id="180" w:name="_Toc462564139"/>
      <w:r/>
      <w:bookmarkStart w:id="181" w:name="_Hlt16619350"/>
      <w:r/>
      <w:bookmarkStart w:id="182" w:name="_Toc20823346"/>
      <w:r/>
      <w:bookmarkStart w:id="183" w:name="_Toc120614244"/>
      <w:r/>
      <w:bookmarkStart w:id="184" w:name="_Toc16938590"/>
      <w:r/>
      <w:bookmarkStart w:id="185" w:name="_Hlt16619369"/>
      <w:r>
        <w:rPr>
          <w:rFonts w:hint="eastAsia" w:ascii="宋体" w:hAnsi="宋体" w:eastAsia="宋体" w:cs="宋体"/>
          <w:color w:val="auto"/>
        </w:rPr>
        <w:t xml:space="preserve">以下为中标后</w:t>
      </w:r>
      <w:r>
        <w:rPr>
          <w:rFonts w:hint="eastAsia" w:ascii="宋体" w:hAnsi="宋体" w:eastAsia="宋体" w:cs="宋体"/>
          <w:color w:val="auto"/>
          <w:lang w:eastAsia="zh-CN"/>
        </w:rPr>
        <w:t xml:space="preserve">签订</w:t>
      </w:r>
      <w:r>
        <w:rPr>
          <w:rFonts w:hint="eastAsia" w:ascii="宋体" w:hAnsi="宋体" w:eastAsia="宋体" w:cs="宋体"/>
          <w:color w:val="auto"/>
        </w:rPr>
        <w:t xml:space="preserve">本项目合同的通用条款，中标人不得提出实质性的修改。</w:t>
      </w:r>
      <w:bookmarkEnd w:id="176"/>
      <w:r/>
      <w:bookmarkEnd w:id="177"/>
      <w:r/>
      <w:bookmarkEnd w:id="178"/>
      <w:r>
        <w:rPr>
          <w:color w:val="auto"/>
        </w:rPr>
        <w:t xml:space="preserve"> </w:t>
      </w:r>
      <w:r/>
    </w:p>
    <w:p>
      <w:pPr>
        <w:pStyle w:val="854"/>
        <w:jc w:val="center"/>
        <w:spacing w:before="145" w:beforeAutospacing="0" w:after="145" w:afterAutospacing="0"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盐城市政府采购合同（服务）（合同编号）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 xml:space="preserve">项</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目</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名</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称：</w:t>
      </w:r>
      <w:r>
        <w:rPr>
          <w:rFonts w:hint="eastAsia" w:ascii="宋体" w:hAnsi="宋体" w:eastAsia="宋体" w:cs="宋体"/>
          <w:color w:val="auto"/>
          <w:sz w:val="24"/>
          <w:szCs w:val="24"/>
          <w:u w:val="single"/>
          <w:lang w:eastAsia="zh-CN"/>
        </w:rPr>
        <w:t xml:space="preserve">盐城市东台生态环境局非现场执法预警调度平台项目</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目</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编</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号：</w:t>
      </w:r>
      <w:r>
        <w:rPr>
          <w:rFonts w:hint="eastAsia" w:ascii="宋体" w:hAnsi="宋体" w:eastAsia="宋体" w:cs="宋体"/>
          <w:color w:val="auto"/>
          <w:sz w:val="24"/>
          <w:szCs w:val="24"/>
          <w:u w:val="single"/>
        </w:rPr>
        <w:t xml:space="preserve">JSZC-320981-JZCG-G2024-0038</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甲方（买方）：</w:t>
      </w:r>
      <w:r>
        <w:rPr>
          <w:rFonts w:hint="eastAsia" w:ascii="宋体" w:hAnsi="宋体" w:eastAsia="宋体" w:cs="宋体"/>
          <w:color w:val="auto"/>
          <w:sz w:val="24"/>
          <w:szCs w:val="24"/>
          <w:u w:val="single"/>
          <w:lang w:val="en-US" w:eastAsia="zh-CN"/>
        </w:rPr>
        <w:t xml:space="preserve">盐城市东台生态环境局</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乙方（卖方）：</w:t>
      </w:r>
      <w:r>
        <w:rPr>
          <w:rFonts w:hint="eastAsia" w:ascii="宋体" w:hAnsi="宋体" w:eastAsia="宋体" w:cs="宋体"/>
          <w:color w:val="auto"/>
          <w:sz w:val="24"/>
          <w:szCs w:val="24"/>
          <w:u w:val="single"/>
        </w:rPr>
        <w:t xml:space="preserve">            </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   </w:t>
      </w:r>
      <w:r>
        <w:rPr>
          <w:rFonts w:hint="eastAsia" w:ascii="宋体" w:hAnsi="宋体" w:eastAsia="宋体" w:cs="宋体"/>
          <w:color w:val="auto"/>
          <w:sz w:val="24"/>
          <w:szCs w:val="24"/>
        </w:rPr>
        <w:t xml:space="preserve">甲、乙双方根据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盐城市东台生态环境局非现场执法预警调度平台项目</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公开招标的结果，签署本合同。</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一、合同内容</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1.1 标的名称：</w:t>
      </w:r>
      <w:r>
        <w:rPr>
          <w:rFonts w:hint="eastAsia" w:ascii="宋体" w:hAnsi="宋体" w:eastAsia="宋体" w:cs="宋体"/>
          <w:color w:val="auto"/>
          <w:sz w:val="24"/>
          <w:szCs w:val="24"/>
          <w:lang w:eastAsia="zh-CN"/>
        </w:rPr>
        <w:t xml:space="preserve">盐城市东台生态环境局非现场执法预警调度平台项目</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1.2标的质量：</w:t>
      </w:r>
      <w:r>
        <w:rPr>
          <w:rFonts w:hint="eastAsia" w:ascii="宋体" w:hAnsi="宋体" w:eastAsia="宋体" w:cs="宋体"/>
          <w:color w:val="auto"/>
          <w:sz w:val="24"/>
          <w:szCs w:val="24"/>
          <w:lang w:val="en-US" w:eastAsia="zh-CN"/>
        </w:rPr>
        <w:t xml:space="preserve">符合国家、省、市相关标准、强制性标准，并通过相关部门审查，通过相关行政主管部门评审。</w:t>
      </w:r>
      <w:r/>
    </w:p>
    <w:p>
      <w:pPr>
        <w:pStyle w:val="854"/>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1.3 标的数量（规模）：</w:t>
      </w:r>
      <w:r>
        <w:rPr>
          <w:rFonts w:hint="eastAsia" w:ascii="宋体" w:hAnsi="宋体" w:eastAsia="宋体" w:cs="宋体"/>
          <w:color w:val="auto"/>
          <w:sz w:val="24"/>
          <w:szCs w:val="24"/>
          <w:lang w:val="en-US" w:eastAsia="zh-CN"/>
        </w:rPr>
        <w:t xml:space="preserve">1项。</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 履行时间（期限）：</w:t>
      </w:r>
      <w:r>
        <w:rPr>
          <w:rFonts w:hint="eastAsia" w:ascii="宋体" w:hAnsi="宋体" w:eastAsia="宋体" w:cs="宋体"/>
          <w:color w:val="auto"/>
          <w:sz w:val="24"/>
          <w:szCs w:val="24"/>
          <w:lang w:val="en-US" w:eastAsia="zh-CN"/>
        </w:rPr>
        <w:t xml:space="preserve">4个月内开发完成并上线试运行（自签订合同之日起），免费运维期为1年（自验收合格之日起计）。</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 履行地点：</w:t>
      </w:r>
      <w:r>
        <w:rPr>
          <w:rFonts w:hint="eastAsia" w:ascii="宋体" w:hAnsi="宋体" w:eastAsia="宋体" w:cs="宋体"/>
          <w:color w:val="auto"/>
          <w:sz w:val="24"/>
          <w:szCs w:val="24"/>
          <w:lang w:val="en-US" w:eastAsia="zh-CN"/>
        </w:rPr>
        <w:t xml:space="preserve">江苏省盐城市东台市境内。</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1.6履行方式：</w:t>
      </w:r>
      <w:r>
        <w:rPr>
          <w:rFonts w:hint="eastAsia" w:ascii="宋体" w:hAnsi="宋体" w:eastAsia="宋体" w:cs="宋体"/>
          <w:color w:val="auto"/>
          <w:sz w:val="24"/>
          <w:szCs w:val="24"/>
          <w:lang w:val="en-US" w:eastAsia="zh-CN"/>
        </w:rPr>
        <w:t xml:space="preserve">详见招标文件采购需求。</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1.7其他</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成果要求：根据应用系统开发有关国家软件工程规范，根据开发进度及时提供有关材料和文档，包括：《项目实施方案》、《项目管理计划》、《平台产品说明书》、《上线测试报告》、《试运行报告》《培训计划》、《培训记录》、《培训报告》、《用户操作手册》、《系统安装维护手册》。</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（2）验收方法：项目通过盐城市东台生态环境局组织的验收。</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二、合同金额</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2.1本合同金额为（大写）：______________元整（￥_______元）人民币。</w:t>
      </w:r>
      <w:r/>
    </w:p>
    <w:p>
      <w:pPr>
        <w:ind w:firstLine="480"/>
        <w:spacing w:line="360" w:lineRule="auto"/>
        <w:rPr>
          <w:color w:val="auto"/>
          <w:sz w:val="24"/>
          <w:szCs w:val="24"/>
        </w:rPr>
      </w:pPr>
      <w:r>
        <w:rPr>
          <w:rFonts w:hint="eastAsia"/>
          <w:color w:val="auto"/>
          <w:sz w:val="24"/>
          <w:szCs w:val="24"/>
        </w:rPr>
        <w:t xml:space="preserve">本合同价款包含所有乙方提供合同约定的服务报酬及乙方提供合同中服务所支出的所有费用</w:t>
      </w:r>
      <w:r>
        <w:rPr>
          <w:rFonts w:hint="eastAsia"/>
          <w:color w:val="auto"/>
          <w:sz w:val="24"/>
          <w:szCs w:val="24"/>
          <w:lang w:eastAsia="zh-CN"/>
        </w:rPr>
        <w:t xml:space="preserve">（含税费）</w:t>
      </w:r>
      <w:r>
        <w:rPr>
          <w:rFonts w:hint="eastAsia"/>
          <w:color w:val="auto"/>
          <w:sz w:val="24"/>
          <w:szCs w:val="24"/>
        </w:rPr>
        <w:t xml:space="preserve">，甲方在上述合同价款之外不再向乙方支付其他任何费用。</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三、技术资料</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3.1乙方应按招标文件规定的时间向甲方提供服务（包含与服务相关的货物）的有关技术资料。</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四、知识产权</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五、产权担保</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5.1乙方保证所交付的服务（包含与服务相关的货物）的所有权完全属于乙方且无任何抵押、查封等产权瑕疵。</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六、履约保证金</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6.1乙方交纳人民币</w:t>
      </w:r>
      <w:r>
        <w:rPr>
          <w:rFonts w:hint="eastAsia" w:ascii="宋体" w:hAnsi="宋体" w:eastAsia="宋体" w:cs="宋体"/>
          <w:color w:val="auto"/>
          <w:sz w:val="24"/>
          <w:szCs w:val="24"/>
          <w:u w:val="single"/>
          <w:lang w:val="en-US" w:eastAsia="zh-CN"/>
        </w:rPr>
        <w:t xml:space="preserve"> 中标</w:t>
      </w:r>
      <w:r>
        <w:rPr>
          <w:rFonts w:hint="eastAsia" w:ascii="宋体" w:hAnsi="宋体" w:eastAsia="宋体" w:cs="宋体"/>
          <w:color w:val="auto"/>
          <w:sz w:val="24"/>
          <w:szCs w:val="24"/>
          <w:u w:val="single"/>
        </w:rPr>
        <w:t xml:space="preserve">金额的10%</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元作为本合同的履约保证金。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color w:val="auto"/>
          <w:sz w:val="24"/>
          <w:szCs w:val="24"/>
          <w:u w:val="single"/>
          <w:lang w:val="en-US" w:eastAsia="zh-CN"/>
        </w:rPr>
        <w:t xml:space="preserve"> 否 </w:t>
      </w:r>
      <w:r>
        <w:rPr>
          <w:rFonts w:hint="eastAsia" w:ascii="宋体" w:hAnsi="宋体" w:eastAsia="宋体" w:cs="宋体"/>
          <w:color w:val="auto"/>
          <w:sz w:val="24"/>
          <w:szCs w:val="24"/>
        </w:rPr>
        <w:t xml:space="preserve">免收 ，降低履约保证金缴纳比例</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5</w:t>
      </w:r>
      <w:r>
        <w:rPr>
          <w:rFonts w:hint="eastAsia" w:ascii="宋体" w:hAnsi="宋体" w:eastAsia="宋体" w:cs="宋体"/>
          <w:color w:val="auto"/>
          <w:sz w:val="24"/>
          <w:szCs w:val="24"/>
          <w:u w:val="single"/>
        </w:rPr>
        <w:t xml:space="preserve">0% </w:t>
      </w:r>
      <w:r>
        <w:rPr>
          <w:rFonts w:hint="eastAsia" w:ascii="宋体" w:hAnsi="宋体" w:eastAsia="宋体" w:cs="宋体"/>
          <w:color w:val="auto"/>
          <w:sz w:val="24"/>
          <w:szCs w:val="24"/>
        </w:rPr>
        <w:t xml:space="preserve">。</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6.2合同履行结束后，甲方应及时退还交纳的履约保证金。</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6.3履约保证金的退还：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6.3.1方式：无息退还至投标人缴纳履约保证金的账户。如为保函，在到期时自行失效。</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6.3.2时间：</w:t>
      </w:r>
      <w:r>
        <w:rPr>
          <w:rFonts w:hint="eastAsia" w:ascii="宋体" w:hAnsi="宋体" w:eastAsia="宋体" w:cs="宋体"/>
          <w:color w:val="auto"/>
          <w:sz w:val="24"/>
          <w:szCs w:val="24"/>
          <w:lang w:val="en-US" w:eastAsia="zh-CN"/>
        </w:rPr>
        <w:t xml:space="preserve">合同履行结束后</w:t>
      </w:r>
      <w:r>
        <w:rPr>
          <w:rFonts w:hint="eastAsia" w:ascii="宋体" w:hAnsi="宋体" w:eastAsia="宋体" w:cs="宋体"/>
          <w:color w:val="auto"/>
          <w:sz w:val="24"/>
          <w:szCs w:val="24"/>
          <w:highlight w:val="none"/>
        </w:rPr>
        <w:t xml:space="preserve">且采购人收到发票后30日内。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6.3.3条件：按合同要求全部履约完成，且采购人收到中标人出具的发票。</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6.3.4不予退还情形：</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七、合同转包或分包</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7.1乙方不得将合同标的转包给他人履行。</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7.2乙方不得将合同标的分包给他人履行。</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7.3乙方如有转包或未经甲方同意的分包行为，甲方有权解除合同。</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八、合同款项支付</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8.1合同款项的支付方式及进度安排</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u w:val="single"/>
          <w:lang w:val="zh-CN" w:eastAsia="zh-CN"/>
        </w:rPr>
      </w:pPr>
      <w:r>
        <w:rPr>
          <w:rFonts w:hint="eastAsia" w:ascii="宋体" w:hAnsi="宋体" w:eastAsia="宋体" w:cs="宋体"/>
          <w:color w:val="auto"/>
          <w:sz w:val="24"/>
          <w:szCs w:val="24"/>
          <w:u w:val="single"/>
          <w:lang w:val="zh-CN" w:eastAsia="zh-CN"/>
        </w:rPr>
        <w:t xml:space="preserve">8.1.1 合同签订后10工作日内（自收到发票之日起），</w:t>
      </w:r>
      <w:r>
        <w:rPr>
          <w:rFonts w:hint="eastAsia" w:ascii="宋体" w:hAnsi="宋体" w:eastAsia="宋体" w:cs="宋体"/>
          <w:color w:val="auto"/>
          <w:sz w:val="24"/>
          <w:szCs w:val="24"/>
          <w:u w:val="single"/>
          <w:lang w:val="en-US" w:eastAsia="zh-CN"/>
        </w:rPr>
        <w:t xml:space="preserve">甲方</w:t>
      </w:r>
      <w:r>
        <w:rPr>
          <w:rFonts w:hint="eastAsia" w:ascii="宋体" w:hAnsi="宋体" w:eastAsia="宋体" w:cs="宋体"/>
          <w:color w:val="auto"/>
          <w:sz w:val="24"/>
          <w:szCs w:val="24"/>
          <w:u w:val="single"/>
          <w:lang w:val="zh-CN" w:eastAsia="zh-CN"/>
        </w:rPr>
        <w:t xml:space="preserve">支付</w:t>
      </w:r>
      <w:r>
        <w:rPr>
          <w:rFonts w:hint="eastAsia" w:ascii="宋体" w:hAnsi="宋体" w:eastAsia="宋体" w:cs="宋体"/>
          <w:color w:val="auto"/>
          <w:sz w:val="24"/>
          <w:szCs w:val="24"/>
          <w:u w:val="single"/>
          <w:lang w:val="en-US" w:eastAsia="zh-CN"/>
        </w:rPr>
        <w:t xml:space="preserve">乙方</w:t>
      </w:r>
      <w:r>
        <w:rPr>
          <w:rFonts w:hint="eastAsia" w:ascii="宋体" w:hAnsi="宋体" w:eastAsia="宋体" w:cs="宋体"/>
          <w:color w:val="auto"/>
          <w:sz w:val="24"/>
          <w:szCs w:val="24"/>
          <w:u w:val="single"/>
          <w:lang w:val="zh-CN" w:eastAsia="zh-CN"/>
        </w:rPr>
        <w:t xml:space="preserve">合同总价的30％作为预付款；</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u w:val="single"/>
          <w:lang w:val="zh-CN" w:eastAsia="zh-CN"/>
        </w:rPr>
      </w:pPr>
      <w:r>
        <w:rPr>
          <w:rFonts w:hint="eastAsia" w:ascii="宋体" w:hAnsi="宋体" w:eastAsia="宋体" w:cs="宋体"/>
          <w:color w:val="auto"/>
          <w:sz w:val="24"/>
          <w:szCs w:val="24"/>
          <w:u w:val="single"/>
          <w:lang w:val="zh-CN" w:eastAsia="zh-CN"/>
        </w:rPr>
        <w:t xml:space="preserve">8.1.2 按照合同要求及建设期限完成上线，试运行1个月后，并经甲方验收合格后10个工作日内（自收到发票之日起），甲方支付乙方应结算金额的100%（扣除项目已支付的金额）。</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rPr>
      </w:pPr>
      <w:r>
        <w:rPr>
          <w:rFonts w:hint="eastAsia" w:ascii="宋体" w:hAnsi="宋体" w:eastAsia="宋体" w:cs="宋体"/>
          <w:color w:val="auto"/>
          <w:sz w:val="24"/>
          <w:szCs w:val="24"/>
          <w:u w:val="single"/>
          <w:lang w:val="en-US" w:eastAsia="zh-CN"/>
        </w:rPr>
        <w:t xml:space="preserve">8.1.3</w:t>
      </w:r>
      <w:r>
        <w:rPr>
          <w:rFonts w:hint="eastAsia" w:ascii="宋体" w:hAnsi="宋体" w:eastAsia="宋体" w:cs="宋体"/>
          <w:color w:val="auto"/>
          <w:sz w:val="24"/>
          <w:szCs w:val="24"/>
          <w:u w:val="single"/>
          <w:lang w:val="zh-CN" w:eastAsia="zh-CN"/>
        </w:rPr>
        <w:t xml:space="preserve">每次付款前</w:t>
      </w:r>
      <w:r>
        <w:rPr>
          <w:rFonts w:hint="eastAsia" w:ascii="宋体" w:hAnsi="宋体" w:eastAsia="宋体" w:cs="宋体"/>
          <w:color w:val="auto"/>
          <w:sz w:val="24"/>
          <w:szCs w:val="24"/>
          <w:u w:val="single"/>
          <w:lang w:val="en-US" w:eastAsia="zh-CN"/>
        </w:rPr>
        <w:t xml:space="preserve">乙方</w:t>
      </w:r>
      <w:r>
        <w:rPr>
          <w:rFonts w:hint="eastAsia" w:ascii="宋体" w:hAnsi="宋体" w:eastAsia="宋体" w:cs="宋体"/>
          <w:color w:val="auto"/>
          <w:sz w:val="24"/>
          <w:szCs w:val="24"/>
          <w:u w:val="single"/>
          <w:lang w:val="zh-CN" w:eastAsia="zh-CN"/>
        </w:rPr>
        <w:t xml:space="preserve">需开具合法有效的增值税发票（开具付款金额）给</w:t>
      </w:r>
      <w:r>
        <w:rPr>
          <w:rFonts w:hint="eastAsia" w:ascii="宋体" w:hAnsi="宋体" w:eastAsia="宋体" w:cs="宋体"/>
          <w:color w:val="auto"/>
          <w:sz w:val="24"/>
          <w:szCs w:val="24"/>
          <w:u w:val="single"/>
          <w:lang w:val="en-US" w:eastAsia="zh-CN"/>
        </w:rPr>
        <w:t xml:space="preserve">甲方</w:t>
      </w:r>
      <w:r>
        <w:rPr>
          <w:rFonts w:hint="eastAsia" w:ascii="宋体" w:hAnsi="宋体" w:eastAsia="宋体" w:cs="宋体"/>
          <w:color w:val="auto"/>
          <w:sz w:val="24"/>
          <w:szCs w:val="24"/>
          <w:u w:val="single"/>
          <w:lang w:val="zh-CN" w:eastAsia="zh-CN"/>
        </w:rPr>
        <w:t xml:space="preserve">，以上付款均无银行利息，一律通过银行结转。乙方未按上述前提条件申请付款，甲方有权暂缓支付费用，且不视为甲方违约。</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九、税费</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9.1本合同执行中相关的一切税费均由乙方负担。</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十、项目验收</w:t>
      </w:r>
      <w:r/>
    </w:p>
    <w:p>
      <w:pPr>
        <w:pStyle w:val="860"/>
        <w:ind w:left="0" w:firstLine="480"/>
        <w:keepLines w:val="0"/>
        <w:keepNext w:val="0"/>
        <w:pageBreakBefore w:val="0"/>
        <w:spacing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10.1甲方依法组织履约验收工作。甲方组织对合同履行情况进行确认，乙方应当将合同履行的成果提交甲方。采购合同的履行、违约责任和解决争议的方式等适用《民法典》。乙方在履约过程中有政府采购法律法规规定的违法违规情形的,甲方将及时报告本级财政部门。</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十一、违约责任</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11.1</w:t>
      </w:r>
      <w:r>
        <w:rPr>
          <w:rFonts w:hint="eastAsia" w:ascii="宋体" w:hAnsi="宋体" w:eastAsia="宋体" w:cs="宋体"/>
          <w:color w:val="auto"/>
          <w:sz w:val="24"/>
          <w:szCs w:val="24"/>
          <w:lang w:val="en-US" w:eastAsia="zh-CN"/>
        </w:rPr>
        <w:t xml:space="preserve">由于乙方原因，未能按约定期限提供技术服务或提供的技术服务未能实现合同需求的，每逾期一日按合同总价款的5‰向甲方支付违约金。逾期达15日，甲方有权解除合同，并要求乙方除每逾期一日按合同总价款的5‰向甲方支付违约金外，再按照合同总价款的1%支付违约金。由此给甲方造成损失的，乙方还应当赔偿损失</w:t>
      </w:r>
      <w:r>
        <w:rPr>
          <w:rFonts w:hint="eastAsia" w:ascii="宋体" w:hAnsi="宋体" w:eastAsia="宋体" w:cs="宋体"/>
          <w:color w:val="auto"/>
          <w:sz w:val="24"/>
          <w:szCs w:val="24"/>
        </w:rPr>
        <w:t xml:space="preserve">。</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11.2甲方未能及时配合提供资料或提供资料错误，造成乙方工作延期的，乙方不需支付违约金；增加工作量，甲方适当赔偿乙方损失。甲方应提供资料包含：站点建设资料。</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11.3乙方所提供服务的标准不符合合同规定及招标文件规定标准的，甲方有权拒绝接受服务，并可单方面解除合同。</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4其它未尽事宜，以《民法典》和《政府采购法》等有关法律法规规定为准，无相关规定的，双方协商解决。</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十二、不可抗力事件处理</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12.1在合同有效期内，任何一方因不可抗力事件导致不能履行合同，则合同履行期可延长，其延长期与不可抗力影响期相同。</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12.2不可抗力事件发生后，应立即通知对方，并寄送有关权威机构出具的证明。</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12.3不可抗力事件延续120天以上，双方应通过友好协商，确定是否继续履行合同。</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十</w:t>
      </w:r>
      <w:r>
        <w:rPr>
          <w:rFonts w:hint="eastAsia" w:ascii="宋体" w:hAnsi="宋体" w:eastAsia="宋体" w:cs="宋体"/>
          <w:b/>
          <w:color w:val="auto"/>
          <w:sz w:val="24"/>
          <w:szCs w:val="24"/>
          <w:lang w:val="en-US" w:eastAsia="zh-CN"/>
        </w:rPr>
        <w:t xml:space="preserve">三</w:t>
      </w:r>
      <w:r>
        <w:rPr>
          <w:rFonts w:hint="eastAsia" w:ascii="宋体" w:hAnsi="宋体" w:eastAsia="宋体" w:cs="宋体"/>
          <w:b/>
          <w:color w:val="auto"/>
          <w:sz w:val="24"/>
          <w:szCs w:val="24"/>
          <w:lang w:val="zh-CN"/>
        </w:rPr>
        <w:t xml:space="preserve">、项目服务成果的权利归属</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zh-CN"/>
        </w:rPr>
        <w:t xml:space="preserve">.1双方确定，乙方所完成的服务成果的所有权利，包括但不限于知识产权、专利申请权和所有权，归甲方所有。</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zh-CN"/>
        </w:rPr>
        <w:t xml:space="preserve">.2双方确定，甲方利用乙方的服务成果所完成的新的技术成果的所有权利，包括但不限于知识产权、专利申请权和所有权，归甲方所有。</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zh-CN"/>
        </w:rPr>
        <w:t xml:space="preserve">.3乙方有义务根据甲方和/或采购方要求配合甲方相关知识产权的登记或申请工作。</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w:t>
      </w:r>
      <w:r>
        <w:rPr>
          <w:rFonts w:hint="eastAsia" w:ascii="宋体" w:hAnsi="宋体" w:eastAsia="宋体" w:cs="宋体"/>
          <w:b/>
          <w:color w:val="auto"/>
          <w:sz w:val="24"/>
          <w:szCs w:val="24"/>
          <w:lang w:val="en-US" w:eastAsia="zh-CN"/>
        </w:rPr>
        <w:t xml:space="preserve">四</w:t>
      </w:r>
      <w:r>
        <w:rPr>
          <w:rFonts w:hint="eastAsia" w:ascii="宋体" w:hAnsi="宋体" w:eastAsia="宋体" w:cs="宋体"/>
          <w:b/>
          <w:color w:val="auto"/>
          <w:sz w:val="24"/>
          <w:szCs w:val="24"/>
        </w:rPr>
        <w:t xml:space="preserve">、解决争议的方法</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.1双方在签订、履行合同中所发生的一切争议，应通过友好协商解决。如协商不成，由甲方住所地人民法院管辖。</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rPr>
        <w:t xml:space="preserve">十</w:t>
      </w:r>
      <w:r>
        <w:rPr>
          <w:rFonts w:hint="eastAsia" w:ascii="宋体" w:hAnsi="宋体" w:eastAsia="宋体" w:cs="宋体"/>
          <w:b/>
          <w:color w:val="auto"/>
          <w:sz w:val="24"/>
          <w:szCs w:val="24"/>
          <w:lang w:val="en-US" w:eastAsia="zh-CN"/>
        </w:rPr>
        <w:t xml:space="preserve">五</w:t>
      </w:r>
      <w:r>
        <w:rPr>
          <w:rFonts w:hint="eastAsia" w:ascii="宋体" w:hAnsi="宋体" w:eastAsia="宋体" w:cs="宋体"/>
          <w:b/>
          <w:color w:val="auto"/>
          <w:sz w:val="24"/>
          <w:szCs w:val="24"/>
        </w:rPr>
        <w:t xml:space="preserve">、</w:t>
      </w:r>
      <w:r>
        <w:rPr>
          <w:rFonts w:hint="eastAsia" w:ascii="宋体" w:hAnsi="宋体" w:eastAsia="宋体" w:cs="宋体"/>
          <w:b/>
          <w:color w:val="auto"/>
          <w:sz w:val="24"/>
          <w:szCs w:val="24"/>
          <w:lang w:val="zh-CN" w:eastAsia="zh-CN"/>
        </w:rPr>
        <w:t xml:space="preserve">售后服务</w:t>
      </w:r>
      <w:r>
        <w:rPr>
          <w:rFonts w:hint="eastAsia" w:ascii="宋体" w:hAnsi="宋体" w:eastAsia="宋体" w:cs="宋体"/>
          <w:b/>
          <w:color w:val="auto"/>
          <w:sz w:val="24"/>
          <w:szCs w:val="24"/>
          <w:lang w:val="en-US" w:eastAsia="zh-CN"/>
        </w:rPr>
        <w:t xml:space="preserve">内容、要求和期限：</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15.1</w:t>
      </w:r>
      <w:r>
        <w:rPr>
          <w:rFonts w:hint="eastAsia" w:ascii="宋体" w:hAnsi="宋体" w:eastAsia="宋体" w:cs="宋体"/>
          <w:color w:val="auto"/>
          <w:sz w:val="24"/>
          <w:szCs w:val="24"/>
          <w:lang w:val="zh-CN" w:eastAsia="zh-CN"/>
        </w:rPr>
        <w:t xml:space="preserve">平台系统免费的运行维护时间为</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eastAsia="zh-CN"/>
        </w:rPr>
        <w:t xml:space="preserve">年，开始时间为验收通过之日起。所有软件质保</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eastAsia="zh-CN"/>
        </w:rPr>
        <w:t xml:space="preserve">年；质保期内，甲方有任何需求或问题可要求中标方1小时内到达现场并于24小时内解决，在合理范围内为本项目软件平台提供免费升级服务。</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15.2</w:t>
      </w:r>
      <w:r>
        <w:rPr>
          <w:rFonts w:hint="eastAsia" w:ascii="宋体" w:hAnsi="宋体" w:eastAsia="宋体" w:cs="宋体"/>
          <w:color w:val="auto"/>
          <w:sz w:val="24"/>
          <w:szCs w:val="24"/>
          <w:lang w:val="zh-CN" w:eastAsia="zh-CN"/>
        </w:rPr>
        <w:t xml:space="preserve">中标单位应配备技术维护人员负责相应的后台运营维护工作，确保业务的正常运营。针对日常运行维护需求，中标单位应提供足够的技术维护及调试人员。</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15.3</w:t>
      </w:r>
      <w:r>
        <w:rPr>
          <w:rFonts w:hint="eastAsia" w:ascii="宋体" w:hAnsi="宋体" w:eastAsia="宋体" w:cs="宋体"/>
          <w:color w:val="auto"/>
          <w:sz w:val="24"/>
          <w:szCs w:val="24"/>
          <w:lang w:val="zh-CN" w:eastAsia="zh-CN"/>
        </w:rPr>
        <w:t xml:space="preserve">免费运维期内中标单位提供平台的维护、修复、免费升级服务。技术支持和售后服务的范围包括但不限于解决软件产品安装、调试、维护、使用、管理、配置、问题、故障根源分析与诊断以及提供修正性软件等。</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15.4</w:t>
      </w:r>
      <w:r>
        <w:rPr>
          <w:rFonts w:hint="eastAsia" w:ascii="宋体" w:hAnsi="宋体" w:eastAsia="宋体" w:cs="宋体"/>
          <w:color w:val="auto"/>
          <w:sz w:val="24"/>
          <w:szCs w:val="24"/>
          <w:lang w:val="zh-CN" w:eastAsia="zh-CN"/>
        </w:rPr>
        <w:t xml:space="preserve">中标单位具有质量控制、风险控制、投诉等管理制度。承诺免费运维期内提供不少于1名专人负责售后支持维护服务，用于提供包括系统维护、更新等技术支撑的协调和故障处理。</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15.5</w:t>
      </w:r>
      <w:r>
        <w:rPr>
          <w:rFonts w:hint="eastAsia" w:ascii="宋体" w:hAnsi="宋体" w:eastAsia="宋体" w:cs="宋体"/>
          <w:color w:val="auto"/>
          <w:sz w:val="24"/>
          <w:szCs w:val="24"/>
          <w:lang w:val="zh-CN" w:eastAsia="zh-CN"/>
        </w:rPr>
        <w:t xml:space="preserve">系统安装调试完成后，对采购方所有的系统使用者进行培训，对系统涉及到的各类使用人员开展分步式培训工作，无法确定培训对象的，需要在系统中通过帮助的形式提供快速入门和详细操作指导文件。培训内容包含系统日常维护、操作、流程等方面的培训，提供针对性的课时安排，确保采购方实际使用人员在一个月内熟练掌握系统运行操作。</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15.6</w:t>
      </w:r>
      <w:r>
        <w:rPr>
          <w:rFonts w:hint="eastAsia" w:ascii="宋体" w:hAnsi="宋体" w:eastAsia="宋体" w:cs="宋体"/>
          <w:color w:val="auto"/>
          <w:sz w:val="24"/>
          <w:szCs w:val="24"/>
          <w:lang w:val="zh-CN" w:eastAsia="zh-CN"/>
        </w:rPr>
        <w:t xml:space="preserve">在免费运维期内，乙方所提供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lang w:val="zh-CN" w:eastAsia="zh-CN"/>
        </w:rPr>
        <w:t xml:space="preserve">运维服务不符合合同规定及招标文件规定标准的，甲方有权拒绝接受服务，并可单方面解除合同。</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w:t>
      </w:r>
      <w:r>
        <w:rPr>
          <w:rFonts w:hint="eastAsia" w:ascii="宋体" w:hAnsi="宋体" w:eastAsia="宋体" w:cs="宋体"/>
          <w:b/>
          <w:color w:val="auto"/>
          <w:sz w:val="24"/>
          <w:szCs w:val="24"/>
          <w:lang w:val="en-US" w:eastAsia="zh-CN"/>
        </w:rPr>
        <w:t xml:space="preserve">六</w:t>
      </w:r>
      <w:r>
        <w:rPr>
          <w:rFonts w:hint="eastAsia" w:ascii="宋体" w:hAnsi="宋体" w:eastAsia="宋体" w:cs="宋体"/>
          <w:b/>
          <w:color w:val="auto"/>
          <w:sz w:val="24"/>
          <w:szCs w:val="24"/>
        </w:rPr>
        <w:t xml:space="preserve">、合同生效及其它</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.1合同经双方法定代表人或授权委托代表人签字并加盖单位公章后生效。</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2本合同未尽事宜，遵照《民法典》、《政府采购法》有关条文执行。</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.3 本合同正本一式两份，具有同等法律效力，甲方、乙方各执一份。</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               乙方： </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地址： </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       法定代表人或授权代表：</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             联系电话：          </w:t>
      </w:r>
      <w:r/>
    </w:p>
    <w:p>
      <w:pPr>
        <w:pStyle w:val="854"/>
        <w:ind w:left="0" w:firstLine="480"/>
        <w:jc w:val="righ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54"/>
        <w:ind w:left="0" w:firstLine="480"/>
        <w:jc w:val="righ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签订日期：      年    月   日</w:t>
      </w:r>
      <w:r/>
    </w:p>
    <w:p>
      <w:pPr>
        <w:rPr>
          <w:rFonts w:hint="eastAsia" w:ascii="黑体" w:hAnsi="宋体" w:eastAsia="黑体" w:cs="黑体"/>
          <w:color w:val="auto"/>
          <w:sz w:val="44"/>
          <w:szCs w:val="44"/>
        </w:rPr>
      </w:pPr>
      <w:r>
        <w:rPr>
          <w:rFonts w:hint="eastAsia" w:ascii="黑体" w:hAnsi="宋体" w:eastAsia="黑体" w:cs="黑体"/>
          <w:color w:val="auto"/>
          <w:sz w:val="44"/>
          <w:szCs w:val="44"/>
        </w:rPr>
        <w:br w:type="page" w:clear="all"/>
      </w:r>
      <w:r/>
    </w:p>
    <w:p>
      <w:pPr>
        <w:pStyle w:val="854"/>
        <w:ind w:right="840"/>
        <w:jc w:val="center"/>
        <w:spacing w:beforeAutospacing="0" w:afterAutospacing="0"/>
        <w:rPr>
          <w:rFonts w:hint="eastAsia" w:ascii="黑体" w:hAnsi="黑体" w:eastAsia="黑体" w:cs="黑体"/>
          <w:color w:val="000000"/>
          <w:sz w:val="44"/>
          <w:szCs w:val="44"/>
          <w:lang w:val="en-US" w:eastAsia="zh-CN"/>
        </w:rPr>
      </w:pPr>
      <w:r>
        <w:rPr>
          <w:rFonts w:hint="eastAsia" w:ascii="黑体" w:hAnsi="黑体" w:eastAsia="黑体" w:cs="黑体"/>
          <w:color w:val="000000"/>
          <w:sz w:val="44"/>
          <w:szCs w:val="44"/>
          <w:lang w:val="en-US" w:eastAsia="zh-CN"/>
        </w:rPr>
        <w:t xml:space="preserve">第</w:t>
      </w:r>
      <w:bookmarkEnd w:id="179"/>
      <w:r>
        <w:rPr>
          <w:rFonts w:hint="eastAsia" w:ascii="黑体" w:hAnsi="黑体" w:eastAsia="黑体" w:cs="黑体"/>
          <w:color w:val="000000"/>
          <w:sz w:val="44"/>
          <w:szCs w:val="44"/>
          <w:lang w:val="en-US" w:eastAsia="zh-CN"/>
        </w:rPr>
        <w:t xml:space="preserve">四章 采购需求</w:t>
      </w:r>
      <w:bookmarkEnd w:id="180"/>
      <w:r/>
      <w:bookmarkEnd w:id="181"/>
      <w:r/>
      <w:bookmarkEnd w:id="182"/>
      <w:r/>
      <w:bookmarkEnd w:id="183"/>
      <w:r/>
      <w:bookmarkEnd w:id="184"/>
      <w:r/>
      <w:r/>
    </w:p>
    <w:p>
      <w:pPr>
        <w:pStyle w:val="854"/>
        <w:jc w:val="both"/>
        <w:keepLines w:val="0"/>
        <w:keepNext w:val="0"/>
        <w:pageBreakBefore w:val="0"/>
        <w:spacing w:beforeAutospacing="0" w:afterAutospacing="0" w:line="360" w:lineRule="auto"/>
        <w:rPr>
          <w:rFonts w:hint="eastAsia" w:asciiTheme="minorEastAsia" w:hAnsiTheme="minorEastAsia" w:eastAsiaTheme="minorEastAsia" w:cstheme="minorEastAsia"/>
          <w:color w:val="auto"/>
        </w:rPr>
      </w:pPr>
      <w:r/>
      <w:bookmarkStart w:id="186" w:name="_Toc26554093"/>
      <w:r/>
      <w:bookmarkStart w:id="187" w:name="_Toc49090575"/>
      <w:r>
        <w:rPr>
          <w:rFonts w:hint="eastAsia" w:asciiTheme="minorEastAsia" w:hAnsiTheme="minorEastAsia" w:eastAsiaTheme="minorEastAsia" w:cstheme="minorEastAsia"/>
          <w:color w:val="auto"/>
        </w:rPr>
        <w:t xml:space="preserve">项目属性:服务类项目。</w:t>
      </w:r>
      <w:bookmarkEnd w:id="186"/>
      <w:r/>
      <w:bookmarkEnd w:id="187"/>
      <w:r/>
      <w:r/>
    </w:p>
    <w:p>
      <w:pPr>
        <w:pStyle w:val="854"/>
        <w:jc w:val="both"/>
        <w:keepLines w:val="0"/>
        <w:keepNext w:val="0"/>
        <w:pageBreakBefore w:val="0"/>
        <w:spacing w:beforeAutospacing="0" w:afterAutospacing="0" w:line="360" w:lineRule="auto"/>
        <w:rPr>
          <w:rFonts w:hint="eastAsia" w:asciiTheme="minorEastAsia" w:hAnsiTheme="minorEastAsia" w:eastAsiaTheme="minorEastAsia" w:cstheme="minorEastAsia"/>
          <w:b/>
          <w:bCs/>
          <w:color w:val="auto"/>
          <w:lang w:val="en-US" w:eastAsia="zh-CN"/>
        </w:rPr>
      </w:pPr>
      <w:r>
        <w:rPr>
          <w:rFonts w:hint="eastAsia" w:asciiTheme="minorEastAsia" w:hAnsiTheme="minorEastAsia" w:eastAsiaTheme="minorEastAsia" w:cstheme="minorEastAsia"/>
          <w:b/>
          <w:bCs/>
          <w:color w:val="auto"/>
          <w:lang w:val="en-US" w:eastAsia="zh-CN"/>
        </w:rPr>
        <w:t xml:space="preserve">一、项目概述</w:t>
      </w:r>
      <w:r/>
    </w:p>
    <w:p>
      <w:pPr>
        <w:pStyle w:val="854"/>
        <w:ind w:firstLine="480"/>
        <w:jc w:val="both"/>
        <w:keepLines w:val="0"/>
        <w:keepNext w:val="0"/>
        <w:pageBreakBefore w:val="0"/>
        <w:spacing w:beforeAutospacing="0" w:afterAutospacing="0" w:line="360" w:lineRule="auto"/>
        <w:rPr>
          <w:rFonts w:hint="eastAsia" w:asciiTheme="minorEastAsia" w:hAnsiTheme="minorEastAsia" w:eastAsiaTheme="minorEastAsia" w:cstheme="minorEastAsia"/>
          <w:color w:val="auto"/>
          <w:highlight w:val="none"/>
          <w:lang w:val="en-US" w:eastAsia="zh-CN"/>
        </w:rPr>
      </w:pPr>
      <w:r/>
      <w:bookmarkStart w:id="188" w:name="_Toc97295831"/>
      <w:r>
        <w:rPr>
          <w:rFonts w:hint="eastAsia" w:asciiTheme="minorEastAsia" w:hAnsiTheme="minorEastAsia" w:eastAsiaTheme="minorEastAsia" w:cstheme="minorEastAsia"/>
          <w:color w:val="auto"/>
          <w:highlight w:val="none"/>
          <w:lang w:val="en-US" w:eastAsia="zh-CN"/>
        </w:rPr>
        <w:t xml:space="preserve">1.1项目名称</w:t>
      </w:r>
      <w:bookmarkEnd w:id="188"/>
      <w:r>
        <w:rPr>
          <w:rFonts w:hint="eastAsia" w:asciiTheme="minorEastAsia" w:hAnsiTheme="minorEastAsia" w:eastAsiaTheme="minorEastAsia" w:cstheme="minorEastAsia"/>
          <w:color w:val="auto"/>
          <w:highlight w:val="none"/>
          <w:lang w:val="en-US" w:eastAsia="zh-CN"/>
        </w:rPr>
        <w:t xml:space="preserve">：盐城市东台生态环境局非现场执法预警调度平台项目</w:t>
      </w:r>
      <w:r/>
    </w:p>
    <w:p>
      <w:pPr>
        <w:pStyle w:val="854"/>
        <w:ind w:firstLine="480"/>
        <w:jc w:val="both"/>
        <w:keepLines w:val="0"/>
        <w:keepNext w:val="0"/>
        <w:pageBreakBefore w:val="0"/>
        <w:spacing w:beforeAutospacing="0" w:afterAutospacing="0"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1.2项目背景：响应《江苏省生态环境监测条例》、《关于加快推进生态环境非现场监管的意见》，为东台市生态环境局建设生态环境非现场执法预警调度平台，优化执法方式，高效统筹行政执法资源，建立“1+N”制度体系，对线索归集分析、远程问询调查、证据整理固定、数据执法应用、行政立案处罚等进行全流程改造，让非现场执法监管真正落地成效。</w:t>
      </w:r>
      <w:r/>
    </w:p>
    <w:p>
      <w:pPr>
        <w:pStyle w:val="854"/>
        <w:ind w:firstLine="480"/>
        <w:jc w:val="both"/>
        <w:keepLines w:val="0"/>
        <w:keepNext w:val="0"/>
        <w:pageBreakBefore w:val="0"/>
        <w:spacing w:beforeAutospacing="0" w:afterAutospacing="0"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1.3建设目标：建设东台市生态环境非现场执法预警调度平台，构建“正面清单”差异化监管模式，监管部门实现精准执法、合理调度，引导企业主动整改、自律守法；构建分级预警调度闭环管理执法体系，预警体系上，实现分级预警，责任人第一时间了解警情、快速反映，工作分工上，实现“监测-预警-处置-改进”闭环管理；利用大数据研判分析“非现场”执法手段开展数据研判，并进行现场验证实验和效果评估，不断提高“非现场”手段的准确性。</w:t>
      </w:r>
      <w:r/>
    </w:p>
    <w:p>
      <w:pPr>
        <w:pStyle w:val="854"/>
        <w:ind w:firstLine="480"/>
        <w:jc w:val="both"/>
        <w:keepLines w:val="0"/>
        <w:keepNext w:val="0"/>
        <w:pageBreakBefore w:val="0"/>
        <w:spacing w:beforeAutospacing="0" w:afterAutospacing="0"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1.4项目目标：优化东台市生态环境保护执法方式、提高执法效能，让非现场执法监管真正落地成效，提升执法规范化精准化水平，促进东台市环境质量改善。</w:t>
      </w:r>
      <w:r/>
    </w:p>
    <w:p>
      <w:pPr>
        <w:pStyle w:val="854"/>
        <w:ind w:firstLine="480"/>
        <w:jc w:val="both"/>
        <w:keepLines w:val="0"/>
        <w:keepNext w:val="0"/>
        <w:pageBreakBefore w:val="0"/>
        <w:spacing w:beforeAutospacing="0" w:afterAutospacing="0"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1.5预算金额及最高限价：50万元（人民币）。</w:t>
      </w:r>
      <w:r/>
    </w:p>
    <w:p>
      <w:pPr>
        <w:pStyle w:val="854"/>
        <w:ind w:firstLine="480"/>
        <w:jc w:val="both"/>
        <w:keepLines w:val="0"/>
        <w:keepNext w:val="0"/>
        <w:pageBreakBefore w:val="0"/>
        <w:spacing w:beforeAutospacing="0" w:afterAutospacing="0" w:line="360" w:lineRule="auto"/>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lang w:val="en-US" w:eastAsia="zh-CN"/>
        </w:rPr>
        <w:t xml:space="preserve">项目</w:t>
      </w:r>
      <w:r>
        <w:rPr>
          <w:rFonts w:hint="eastAsia" w:asciiTheme="minorEastAsia" w:hAnsiTheme="minorEastAsia" w:eastAsiaTheme="minorEastAsia" w:cstheme="minorEastAsia"/>
          <w:color w:val="auto"/>
          <w:highlight w:val="none"/>
          <w:lang w:val="zh-CN" w:eastAsia="zh-CN"/>
        </w:rPr>
        <w:t xml:space="preserve">清单：</w:t>
      </w:r>
      <w:r/>
    </w:p>
    <w:tbl>
      <w:tblPr>
        <w:tblStyle w:val="85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4124"/>
        <w:gridCol w:w="2939"/>
        <w:gridCol w:w="1106"/>
        <w:gridCol w:w="958"/>
      </w:tblGrid>
      <w:tr>
        <w:trPr>
          <w:jc w:val="center"/>
          <w:trHeight w:val="567"/>
        </w:trPr>
        <w:tc>
          <w:tcPr>
            <w:tcW w:w="417"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tcW w:w="207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标的名称</w:t>
            </w:r>
            <w:r/>
          </w:p>
        </w:tc>
        <w:tc>
          <w:tcPr>
            <w:tcW w:w="14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品目</w:t>
            </w:r>
            <w:r/>
          </w:p>
        </w:tc>
        <w:tc>
          <w:tcPr>
            <w:tcW w:w="55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tcW w:w="481"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r>
      <w:tr>
        <w:trPr>
          <w:jc w:val="center"/>
          <w:trHeight w:val="567"/>
        </w:trPr>
        <w:tc>
          <w:tcPr>
            <w:tcW w:w="417"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W w:w="3526"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东台市生态环境非现场执法预警调度平台项目</w:t>
            </w:r>
            <w:r/>
          </w:p>
        </w:tc>
        <w:tc>
          <w:tcPr>
            <w:tcW w:w="251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zh-CN" w:eastAsia="zh-CN" w:bidi="ar"/>
              </w:rPr>
              <w:t xml:space="preserve">C16020300软件集成实施服务</w:t>
            </w:r>
            <w:r/>
          </w:p>
        </w:tc>
        <w:tc>
          <w:tcPr>
            <w:tcW w:w="55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W w:w="481"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r>
    </w:tbl>
    <w:p>
      <w:pPr>
        <w:pStyle w:val="854"/>
        <w:jc w:val="both"/>
        <w:keepLines w:val="0"/>
        <w:keepNext w:val="0"/>
        <w:pageBreakBefore w:val="0"/>
        <w:spacing w:beforeAutospacing="0" w:afterAutospacing="0" w:line="360" w:lineRule="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二、项目执行的相关标准：符合国家、省、市相关标准、强制性标准，并通过相关部门审查，通过相关行政主管部门评审。</w:t>
      </w:r>
      <w:r/>
    </w:p>
    <w:p>
      <w:pPr>
        <w:pStyle w:val="854"/>
        <w:jc w:val="both"/>
        <w:keepLines w:val="0"/>
        <w:keepNext w:val="0"/>
        <w:pageBreakBefore w:val="0"/>
        <w:spacing w:beforeAutospacing="0" w:afterAutospacing="0" w:line="360" w:lineRule="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三、技术要求：</w:t>
      </w:r>
      <w:r/>
    </w:p>
    <w:p>
      <w:pPr>
        <w:pStyle w:val="851"/>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highlight w:val="none"/>
          <w:lang w:val="en-US" w:eastAsia="zh-CN"/>
        </w:rPr>
        <w:t xml:space="preserve">东台市生态环境非现场执法预警调度平台项目包括</w:t>
      </w:r>
      <w:r>
        <w:rPr>
          <w:rFonts w:hint="eastAsia" w:ascii="宋体" w:hAnsi="宋体" w:eastAsia="宋体" w:cs="宋体"/>
          <w:color w:val="auto"/>
          <w:sz w:val="24"/>
          <w:szCs w:val="24"/>
          <w:highlight w:val="none"/>
          <w:lang w:val="zh-CN" w:eastAsia="zh-CN"/>
        </w:rPr>
        <w:t xml:space="preserve">生态环境监测预警闭环管理系统、生态环境非现场执法监管系统、污染源数据异动分析研判系统、</w:t>
      </w:r>
      <w:r>
        <w:rPr>
          <w:rFonts w:hint="eastAsia" w:ascii="宋体" w:hAnsi="宋体" w:eastAsia="宋体" w:cs="宋体"/>
          <w:color w:val="auto"/>
          <w:sz w:val="24"/>
          <w:szCs w:val="24"/>
          <w:highlight w:val="none"/>
          <w:lang w:val="en-US" w:eastAsia="zh-CN"/>
        </w:rPr>
        <w:t xml:space="preserve">生态环境非现场执法预警调度APP、</w:t>
      </w:r>
      <w:r>
        <w:rPr>
          <w:rFonts w:hint="eastAsia" w:ascii="宋体" w:hAnsi="宋体" w:eastAsia="宋体" w:cs="宋体"/>
          <w:color w:val="auto"/>
          <w:sz w:val="24"/>
          <w:szCs w:val="24"/>
          <w:highlight w:val="none"/>
          <w:lang w:val="zh-CN" w:eastAsia="zh-CN"/>
        </w:rPr>
        <w:t xml:space="preserve">生态环境非现场执法预警</w:t>
      </w:r>
      <w:r>
        <w:rPr>
          <w:rFonts w:hint="eastAsia" w:ascii="宋体" w:hAnsi="宋体" w:eastAsia="宋体" w:cs="宋体"/>
          <w:color w:val="auto"/>
          <w:sz w:val="24"/>
          <w:szCs w:val="24"/>
          <w:highlight w:val="none"/>
          <w:lang w:val="en-US" w:eastAsia="zh-CN"/>
        </w:rPr>
        <w:t xml:space="preserve">指挥</w:t>
      </w:r>
      <w:r>
        <w:rPr>
          <w:rFonts w:hint="eastAsia" w:ascii="宋体" w:hAnsi="宋体" w:eastAsia="宋体" w:cs="宋体"/>
          <w:color w:val="auto"/>
          <w:sz w:val="24"/>
          <w:szCs w:val="24"/>
          <w:highlight w:val="none"/>
          <w:lang w:val="zh-CN" w:eastAsia="zh-CN"/>
        </w:rPr>
        <w:t xml:space="preserve">调度一张图、</w:t>
      </w:r>
      <w:r>
        <w:rPr>
          <w:rFonts w:hint="eastAsia" w:ascii="宋体" w:hAnsi="宋体" w:eastAsia="宋体" w:cs="宋体"/>
          <w:color w:val="auto"/>
          <w:sz w:val="24"/>
          <w:szCs w:val="24"/>
          <w:highlight w:val="none"/>
          <w:lang w:val="en-US" w:eastAsia="zh-CN"/>
        </w:rPr>
        <w:t xml:space="preserve">全景式生态环境研判系统等模块，具体功能要求如下：</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生态环境监测预警闭环管理系统</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预警闭环管理系统实现各类在线监控数据联网，形成统一的在线数据监控预警中心。基于东台市生态环境监控与大数据服务平台污染源管控、生态环境质量监测等业务数据，制定超标、异常、故障、离线、工况等各类分级预警策略，实现自动预警，并能利用手机短信等形式进行预警信息的即时推送。通知到监管单位、企业责任人，进行预警的处置、反馈。</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）实时总览</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将各类警情信息在统一的工作台页面集中展示，可以查询累计报警数量和待处理报警数量，并对报警分布、报警趋势进行统计分析。能够根据报警类型、报警时间、站点类型等查询历史报警记录，可分时段、分类型对报警数量进行统计。</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）预警响应</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查询待处理报警信息，对各类警情进行集中处理，包括污染物超标报警、浓度偏移报警、数据异常报警、设备故障报警、站点离线报警等。</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可对同类型的多条报警记录合并处理，填写报警原因和处理结果，支持上传附件。</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）考核管理</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支持对警情处理结果生成每日报表，展示处理单号、报警原因、处理结果、处理时间、处理人等。支持查询任意考核周期内的报警处理率，报表可以导出。</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）指挥调度</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针对警情及处置结果，可以生成监管任务，推送给对应责任区域的责任部门或责任人。实现任务的现场执行、后督察，以及跟踪反馈，记录任务的执行状态，形成报警处置与指挥调度的完整闭环。</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）系统设置</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维护监管责任区域、责任人，设置短信联系人接收警情信息的策略方案。</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生态环境非现场执法监管系统</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非现场执法监管系统是以自动监控为主要手段，科学建立大数据采集分析、违法风险监测预警等工作程序，明确数据审核、证据链固定、立案调查、问题整改的衔接机制。系统向监管部门输出分级监管清单，提供排放不正常线索，实现精准执法、合理调度；向企业输出问题清单，实时提醒、主动服务，引导企业主动整改、自律守法。</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）线索归集</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根据非现场执法数据研判规则，系统自动归集污染物排放浓度超标、自动监测设备不正常运行、自动监测监控数据弄虚作假、未执行大气管控要求等线索，并提供线索的详情证据链查询。</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）数据审核</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系统支持对非现场执法线索数据进行人工审核，分析违法线索的严重程度，是否需要立案调查。支持多级审核策略，由数据审核专人小组对各相关部门移送的涉嫌违法问题线索的关联性、真实性、完整性、合法性进行审核，并出具审核意见。</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）立案调查</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符合立案条件的转入现场调查，系统支持上报调查记录，形成执法台账。</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）问题整改</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支持向企业发出问题清单，包括非现场执法或现场调查中发现的问题，记录问题类型、问题描述、整改目标、整改措施、整改责任人、整改进展等内容。</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污染源数据异动分析研判系统</w:t>
      </w:r>
      <w:r/>
    </w:p>
    <w:p>
      <w:pPr>
        <w:pStyle w:val="851"/>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污染源数据分析研判系统对收集到的污染源数据进行深度分析和研判的工具，旨在提高环境管理的精准度和效率。系统通过整合、挖掘和分析污染源数据，识别出企业异常排污行为，为环境决策提供数据支持。</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）异常分析</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★支持超标临界异常监测、波动检验、箱体检验三种异常分析方法。</w:t>
      </w:r>
      <w:r>
        <w:rPr>
          <w:rFonts w:hint="eastAsia" w:ascii="宋体" w:hAnsi="宋体" w:eastAsia="宋体" w:cs="宋体"/>
          <w:b/>
          <w:bCs/>
          <w:color w:val="auto"/>
          <w:sz w:val="24"/>
          <w:szCs w:val="24"/>
          <w:highlight w:val="none"/>
          <w:lang w:val="en-US" w:eastAsia="zh-CN"/>
        </w:rPr>
        <w:t xml:space="preserve">（投标时提供工业和信息化部下属实验室出具的检测报告证明） </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结合专家经验和机器学习算法，对企业不同排口、不同污染物在线监测数据进行多项检验，预判企业违规行为。</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超标临界异常监测：研判监测因子长期处于上限值附近但不超标的情形，支持通过图表进行展示分析。</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波动检验：研判突然出现异常高值或异常低值后又立刻回归正常的异常情形，或者在一段时间内呈现小范围的规律性波动的异常情形，支持通过图表进行展示分析。</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箱体检验：研判离群的数据或者异常的指标，支持通过图表进行展示分析。</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）权值分析</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突出问题分析：可以通过不同的维度，包括污染物类型，企业名称，污染物名称来对三类数据异常情况进行统计，得出检测时间段内，三类数据异常问题的占比及排名情况，对占比较高的数据异常类型做重点关注。</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企业权值排名：系统支持从近7天，近一个月，近半年这三个时间维度，统计所有企业的三类数据异常问题的数量，并分析其单个数据异常问题的权值及企业数据异常问题的总权值，按总权值由高到低展示排列，对列表排名靠前的企业予以重点关注。</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）关联分析</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企业环境质量关联分析：</w:t>
      </w:r>
      <w:r>
        <w:rPr>
          <w:rFonts w:hint="eastAsia" w:ascii="宋体" w:hAnsi="宋体" w:eastAsia="宋体" w:cs="宋体"/>
          <w:color w:val="auto"/>
          <w:sz w:val="24"/>
          <w:szCs w:val="24"/>
          <w:highlight w:val="none"/>
          <w:lang w:val="en-US" w:eastAsia="zh-CN"/>
        </w:rPr>
        <w:t xml:space="preserve">通过比对企业周边环境监测站监测因子浓度数据及企业排口监测污染物因子浓度数据，以图表展示企业周边环境变化与企业污染物排放的关系；</w:t>
      </w:r>
      <w:r>
        <w:rPr>
          <w:rFonts w:hint="eastAsia" w:ascii="宋体" w:hAnsi="宋体" w:eastAsia="宋体" w:cs="宋体"/>
          <w:color w:val="auto"/>
          <w:sz w:val="24"/>
          <w:szCs w:val="24"/>
          <w:highlight w:val="none"/>
          <w:lang w:val="zh-CN" w:eastAsia="zh-CN"/>
        </w:rPr>
        <w:t xml:space="preserve">工况检验关联分析：</w:t>
      </w:r>
      <w:r>
        <w:rPr>
          <w:rFonts w:hint="eastAsia" w:ascii="宋体" w:hAnsi="宋体" w:eastAsia="宋体" w:cs="宋体"/>
          <w:color w:val="auto"/>
          <w:sz w:val="24"/>
          <w:szCs w:val="24"/>
          <w:highlight w:val="none"/>
          <w:lang w:val="en-US" w:eastAsia="zh-CN"/>
        </w:rPr>
        <w:t xml:space="preserve">通过对比企业污染物因子的排放量数据及企业总的用电量，以图表图表分析展示企业污染物排放与企业用电量之间的关系。</w:t>
      </w:r>
      <w:r>
        <w:rPr>
          <w:rFonts w:hint="eastAsia" w:ascii="宋体" w:hAnsi="宋体" w:eastAsia="宋体" w:cs="宋体"/>
          <w:b/>
          <w:bCs/>
          <w:color w:val="auto"/>
          <w:sz w:val="24"/>
          <w:szCs w:val="24"/>
          <w:highlight w:val="none"/>
          <w:lang w:val="en-US" w:eastAsia="zh-CN"/>
        </w:rPr>
        <w:t xml:space="preserve">（投标时提供工业和信息化部下属实验室出具的检测报告证明） </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区域环境质量关联分析：通过比对区域环境监测站监测因子浓度数据及区域内所有企业排口监测污染物因子浓度数据总和，通过图表分析展示区域环境质量变化与企业污染物排放的关系。</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4、生态环境非现场执法预警调度APP</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）预警闭环管理</w:t>
      </w:r>
      <w:r>
        <w:rPr>
          <w:rFonts w:hint="eastAsia" w:ascii="宋体" w:hAnsi="宋体" w:eastAsia="宋体" w:cs="宋体"/>
          <w:color w:val="auto"/>
          <w:sz w:val="24"/>
          <w:szCs w:val="24"/>
          <w:highlight w:val="none"/>
          <w:lang w:val="en-US" w:eastAsia="zh-CN"/>
        </w:rPr>
        <w:t xml:space="preserve">模块</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通过移动端应用执行“预警处理-结果核查-任务指派-任务跟踪”闭环管理流程，实现污染问题第一时间发现、第一时间处理。</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报警处理</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支持查询待处理报警和已处理报警消息，选中报警消息，填写报警原因、处理结果提交报警处理，支持上传图片。</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处理单核查</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对提交的报警处理结果进行核查确认，核查通过完成管理闭环，或派发任务单进行跟踪处置。</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任务跟踪</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支持指挥调度任务列表及详细信息查询，任务标题、任务编号、任务状态、任务时间、任务描述、任务执行情况等内容。</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任务指派</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支持创建新任务并指派任务执行人，任务指派可以关联报警单号、设置任务截止时间。</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任务执行</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支持现场任务执行，录入检查对象、执行地点、现场基本情况、任务执行结果、后督察类型等内容并提交。</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后督察</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支持创建督办单，落实督办整改内容，填写整改情况、后督察结论等内容并提交。</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区域考核</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支持任意考核周期内报警处理率、工单完结率的统计查询，可以根据行政区域、报警类型分别统计。</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）非现场执法</w:t>
      </w:r>
      <w:r>
        <w:rPr>
          <w:rFonts w:hint="eastAsia" w:ascii="宋体" w:hAnsi="宋体" w:eastAsia="宋体" w:cs="宋体"/>
          <w:color w:val="auto"/>
          <w:sz w:val="24"/>
          <w:szCs w:val="24"/>
          <w:highlight w:val="none"/>
          <w:lang w:val="en-US" w:eastAsia="zh-CN"/>
        </w:rPr>
        <w:t xml:space="preserve">模块</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通过移动端查询非现场执法问题线索，开展现场调查工作。</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非现场执法</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支持非现场执法问题线索及详情信息展示，通过数据表、图表等形式完整展示证据链，可以及时进行数据审核。</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现场调查</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支持现场巡检调查工作记录，支持定位当前位置，记录调查结果，拍照上传图片。</w:t>
      </w:r>
      <w:r/>
    </w:p>
    <w:p>
      <w:pPr>
        <w:pStyle w:val="851"/>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（3）APP须在现有已建成的移动环境管理系统基础上升级，确保在同一个APP下统一管理。</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生态环境非现场执法预警</w:t>
      </w:r>
      <w:r>
        <w:rPr>
          <w:rFonts w:hint="eastAsia" w:ascii="宋体" w:hAnsi="宋体" w:eastAsia="宋体" w:cs="宋体"/>
          <w:color w:val="auto"/>
          <w:sz w:val="24"/>
          <w:szCs w:val="24"/>
          <w:highlight w:val="none"/>
          <w:lang w:val="en-US" w:eastAsia="zh-CN"/>
        </w:rPr>
        <w:t xml:space="preserve">指挥</w:t>
      </w:r>
      <w:r>
        <w:rPr>
          <w:rFonts w:hint="eastAsia" w:ascii="宋体" w:hAnsi="宋体" w:eastAsia="宋体" w:cs="宋体"/>
          <w:color w:val="auto"/>
          <w:sz w:val="24"/>
          <w:szCs w:val="24"/>
          <w:highlight w:val="none"/>
          <w:lang w:val="zh-CN" w:eastAsia="zh-CN"/>
        </w:rPr>
        <w:t xml:space="preserve">调度一张图</w:t>
      </w:r>
      <w:r/>
    </w:p>
    <w:p>
      <w:pPr>
        <w:pStyle w:val="851"/>
        <w:ind w:left="0" w:firstLine="480"/>
        <w:keepLines w:val="0"/>
        <w:keepNext w:val="0"/>
        <w:pageBreakBefore w:val="0"/>
        <w:spacing w:line="360" w:lineRule="auto"/>
        <w:widowControl w:val="off"/>
        <w:rPr>
          <w:rFonts w:hint="eastAsia"/>
          <w:lang w:val="zh-CN" w:eastAsia="zh-CN"/>
        </w:rPr>
      </w:pPr>
      <w:r>
        <w:rPr>
          <w:rFonts w:hint="eastAsia" w:ascii="宋体" w:hAnsi="宋体" w:eastAsia="宋体" w:cs="宋体"/>
          <w:color w:val="auto"/>
          <w:sz w:val="24"/>
          <w:szCs w:val="24"/>
          <w:highlight w:val="none"/>
          <w:lang w:val="zh-CN" w:eastAsia="zh-CN"/>
        </w:rPr>
        <w:t xml:space="preserve">生态环境非现场执法预警调度一张图，集成污染源污染物排放总量分析、数据异动分析研判结果，根据预警策略和数据分析研判结果，对污染物排放浓度超标、自动监测设备不正常运行、自动监测监控数据弄虚作假、未执行大气管控要求等问题进行预警。系统实现分级预警处理响应、指挥调度，包括问题识别、资源调配、处置应对等，通过可视化指挥界面，实现对问题的快速响应和高效处理。</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6、全景式生态环境研判系统（现有系统升级）</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东台市生态环境局此前已建成生态环境一张图可视化平台，包括工业污染源专题一张图、大气环境专题一张图、水环境专题一张图、风险监管专题一张图等内容，在此基础上，整合各类环保业务数据，建立环境全要素研判专题视图，达到直观、形象、全局性的领导视图。生态环境研判系统为环保部门展示全局大气环境、水环境、生态</w:t>
      </w:r>
      <w:r>
        <w:rPr>
          <w:rFonts w:hint="eastAsia" w:ascii="宋体" w:hAnsi="宋体" w:eastAsia="宋体" w:cs="宋体"/>
          <w:color w:val="auto"/>
          <w:sz w:val="24"/>
          <w:szCs w:val="24"/>
          <w:highlight w:val="none"/>
          <w:lang w:val="en-US" w:eastAsia="zh-CN"/>
        </w:rPr>
        <w:t xml:space="preserve">环境、工业污染源等要素的统计数据、空间分布规律和变化趋势，及时准确了解环境污染现状和发展趋势。系统提供污染源污染物排放总量统计分析、数据异动分析研判结果，进行报警趋势分析、排污大户分析，展示监控点实时状态。系统能够查看区域空气质量实况、历史AQI走势分析、空气质量预报预测，进行站点空气质量排名。系统实时统计地表水站点监测水质情况，水质达标情况排名分析。整合生态环境数据，包括物种多样性、重点保护物种名录、生态空间保护、森林资源等。系统从全局宏观维度分析研判污染趋势和对环境的影响，为领导决策提供可靠的数据支撑。</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其他要求：</w:t>
      </w:r>
      <w:r/>
    </w:p>
    <w:p>
      <w:pPr>
        <w:pStyle w:val="851"/>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★1.与已建成的东台市生态环境监控中心能力建设项目平台充分对接，实现账号、权限、数据统一管理。</w:t>
      </w:r>
      <w:r>
        <w:rPr>
          <w:rFonts w:hint="eastAsia" w:ascii="宋体" w:hAnsi="宋体" w:eastAsia="宋体" w:cs="宋体"/>
          <w:b/>
          <w:bCs/>
          <w:color w:val="auto"/>
          <w:sz w:val="24"/>
          <w:szCs w:val="24"/>
          <w:highlight w:val="none"/>
          <w:lang w:val="en-US" w:eastAsia="zh-CN"/>
        </w:rPr>
        <w:t xml:space="preserve">投标时须提供承诺函和详细对接技术方案。</w:t>
      </w:r>
      <w:r/>
    </w:p>
    <w:p>
      <w:pPr>
        <w:pStyle w:val="851"/>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2.平台软件建设从部署到运行支持国产化客户端使用环境和服务端运行环境，后期如有管理要求，投标人免费提供程序迁移服务。</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3.性能要求</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（1）响应速度：响应速度：地图服务响应时间不大于1秒，一般空间数据查询响应时间小于3秒，非空间数据操作响应时间小于1秒。数据量较大、响应时间超过要求时间的，必须有响应进度指示标志。</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★（2）软件具有用户权限限制，具有基本的数据容错能力。</w:t>
      </w:r>
      <w:r>
        <w:rPr>
          <w:rFonts w:hint="eastAsia" w:ascii="宋体" w:hAnsi="宋体" w:eastAsia="宋体" w:cs="宋体"/>
          <w:b/>
          <w:bCs/>
          <w:color w:val="auto"/>
          <w:sz w:val="24"/>
          <w:szCs w:val="24"/>
          <w:highlight w:val="none"/>
          <w:lang w:val="en-US" w:eastAsia="zh-CN"/>
        </w:rPr>
        <w:t xml:space="preserve">（投标时提供工业和信息化部下属实验室出具的检测报告证明） </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（3）可操作性和兼容性：软件应该操作简便，界面清晰；对话窗口的提示简单准确，功能设计符合用户的普遍习惯；并且与其他软件相互兼容。</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适应性：适应用户的电脑硬件和网络环境及现场工作环境，当系统与其他软件的接口发生变化，用户的操作方式、运行环境、对信息获取方式以及对期望获取的信息结果发生变化时，软件系统要做到易于调整，拥有高度的灵活性。</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（5）可维护性：系统具有健全的维护性功能。</w:t>
      </w:r>
      <w:r/>
    </w:p>
    <w:p>
      <w:pPr>
        <w:pStyle w:val="851"/>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（6）可移植性：系统利用开发系统提供的数据转换功能，可以实现跨系统数据转换，实现不同数据库间的数据转换。</w:t>
      </w:r>
      <w:r/>
    </w:p>
    <w:p>
      <w:pPr>
        <w:pStyle w:val="851"/>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四、商务要求</w:t>
      </w:r>
      <w:r/>
    </w:p>
    <w:p>
      <w:pPr>
        <w:pStyle w:val="851"/>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eastAsia="zh-CN"/>
        </w:rPr>
        <w:t xml:space="preserve">（一）</w:t>
      </w:r>
      <w:r>
        <w:rPr>
          <w:rFonts w:hint="eastAsia" w:asciiTheme="minorEastAsia" w:hAnsiTheme="minorEastAsia" w:eastAsiaTheme="minorEastAsia" w:cstheme="minorEastAsia"/>
          <w:color w:val="auto"/>
          <w:sz w:val="24"/>
          <w:szCs w:val="24"/>
          <w:highlight w:val="none"/>
          <w:lang w:val="en-US" w:eastAsia="zh-CN"/>
        </w:rPr>
        <w:t xml:space="preserve">服务期限：4个月内开发完成并上线试运行（自签订合同之日起），免费运维期为1年（自验收合格之日起计）。</w:t>
      </w:r>
      <w:r/>
    </w:p>
    <w:p>
      <w:pPr>
        <w:pStyle w:val="851"/>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服务</w:t>
      </w:r>
      <w:r>
        <w:rPr>
          <w:rFonts w:hint="eastAsia" w:asciiTheme="minorEastAsia" w:hAnsiTheme="minorEastAsia" w:eastAsiaTheme="minorEastAsia" w:cstheme="minorEastAsia"/>
          <w:color w:val="auto"/>
          <w:sz w:val="24"/>
          <w:szCs w:val="24"/>
          <w:highlight w:val="none"/>
          <w:lang w:val="zh-CN" w:eastAsia="zh-CN"/>
        </w:rPr>
        <w:t xml:space="preserve">地点：</w:t>
      </w:r>
      <w:r>
        <w:rPr>
          <w:rFonts w:hint="eastAsia" w:asciiTheme="minorEastAsia" w:hAnsiTheme="minorEastAsia" w:eastAsiaTheme="minorEastAsia" w:cstheme="minorEastAsia"/>
          <w:color w:val="auto"/>
          <w:sz w:val="24"/>
          <w:szCs w:val="24"/>
          <w:highlight w:val="none"/>
          <w:lang w:val="en-US" w:eastAsia="zh-CN"/>
        </w:rPr>
        <w:t xml:space="preserve">江苏省盐城市东台市境内。</w:t>
      </w:r>
      <w:r/>
    </w:p>
    <w:p>
      <w:pPr>
        <w:pStyle w:val="851"/>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lang w:val="zh-CN" w:eastAsia="zh-CN"/>
        </w:rPr>
        <w:t xml:space="preserve">）付款</w:t>
      </w:r>
      <w:r>
        <w:rPr>
          <w:rFonts w:hint="eastAsia" w:asciiTheme="minorEastAsia" w:hAnsiTheme="minorEastAsia" w:eastAsiaTheme="minorEastAsia" w:cstheme="minorEastAsia"/>
          <w:color w:val="auto"/>
          <w:sz w:val="24"/>
          <w:szCs w:val="24"/>
          <w:highlight w:val="none"/>
          <w:lang w:val="en-US" w:eastAsia="zh-CN"/>
        </w:rPr>
        <w:t xml:space="preserve">方式</w:t>
      </w:r>
      <w:r>
        <w:rPr>
          <w:rFonts w:hint="eastAsia" w:asciiTheme="minorEastAsia" w:hAnsiTheme="minorEastAsia" w:eastAsiaTheme="minorEastAsia" w:cstheme="minorEastAsia"/>
          <w:color w:val="auto"/>
          <w:sz w:val="24"/>
          <w:szCs w:val="24"/>
          <w:highlight w:val="none"/>
          <w:lang w:val="zh-CN" w:eastAsia="zh-CN"/>
        </w:rPr>
        <w:t xml:space="preserve">：</w:t>
      </w:r>
      <w:r/>
    </w:p>
    <w:p>
      <w:pPr>
        <w:pStyle w:val="851"/>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（1）合同签订后10工作日内（自收到发票之日起），采购人支付供应商合同总价的30％作为预付款；</w:t>
      </w:r>
      <w:r/>
    </w:p>
    <w:p>
      <w:pPr>
        <w:pStyle w:val="851"/>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（2）按照合同要求及建设期限完成上线，试运行1个月后</w:t>
      </w:r>
      <w:r>
        <w:rPr>
          <w:rFonts w:hint="eastAsia" w:asciiTheme="minorEastAsia" w:hAnsiTheme="minorEastAsia" w:eastAsiaTheme="minorEastAsia" w:cstheme="minorEastAsia"/>
          <w:color w:val="auto"/>
          <w:sz w:val="24"/>
          <w:szCs w:val="24"/>
          <w:u w:val="none"/>
          <w:lang w:val="zh-CN" w:eastAsia="zh-CN"/>
        </w:rPr>
        <w:t xml:space="preserve">，并经采购人验收</w:t>
      </w:r>
      <w:r>
        <w:rPr>
          <w:rFonts w:hint="eastAsia" w:asciiTheme="minorEastAsia" w:hAnsiTheme="minorEastAsia" w:eastAsiaTheme="minorEastAsia" w:cstheme="minorEastAsia"/>
          <w:color w:val="auto"/>
          <w:sz w:val="24"/>
          <w:szCs w:val="24"/>
          <w:u w:val="none"/>
          <w:lang w:val="en-US" w:eastAsia="zh-CN"/>
        </w:rPr>
        <w:t xml:space="preserve">合格</w:t>
      </w:r>
      <w:r>
        <w:rPr>
          <w:rFonts w:hint="eastAsia" w:asciiTheme="minorEastAsia" w:hAnsiTheme="minorEastAsia" w:eastAsiaTheme="minorEastAsia" w:cstheme="minorEastAsia"/>
          <w:color w:val="auto"/>
          <w:sz w:val="24"/>
          <w:szCs w:val="24"/>
          <w:highlight w:val="none"/>
          <w:lang w:val="zh-CN" w:eastAsia="zh-CN"/>
        </w:rPr>
        <w:t xml:space="preserve">后10个工作日内（自收到发票之日起），采购人支付供应商应结算金额的100%（扣除项目已支付的金额）。</w:t>
      </w:r>
      <w:r/>
    </w:p>
    <w:p>
      <w:pPr>
        <w:pStyle w:val="851"/>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每次付款前供应商需开具合法有效的增值税发票（开具付款金额）给采购人，以上付款均无银行利息，一律通过银行结转。</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zh-CN" w:eastAsia="zh-CN"/>
        </w:rPr>
        <w:t xml:space="preserve">）售后服务</w:t>
      </w:r>
      <w:r>
        <w:rPr>
          <w:rFonts w:hint="eastAsia" w:ascii="宋体" w:hAnsi="宋体" w:eastAsia="宋体" w:cs="宋体"/>
          <w:color w:val="auto"/>
          <w:sz w:val="24"/>
          <w:szCs w:val="24"/>
          <w:highlight w:val="none"/>
          <w:lang w:val="en-US" w:eastAsia="zh-CN"/>
        </w:rPr>
        <w:t xml:space="preserve">内容、要求和期限：</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平台系统免费的运行维护时间为</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年，开始时间为验收通过之日起。所有软件质保</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年；质保期内，甲方有任何需求或问题可要求中标方1小时内到达现场并于24小时内解决，在合理范围内为本项目软件平台提供免费升级服务。</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中标单位应配备技术维护人员负责相应的后台运营维护工作，确保业务的正常运营。针对日常运行维护需求，中标单位应提供足够的技术维护及调试人员。</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免费运维期内中标单位提供平台的维护、修复、免费升级服务。技术支持和售后服务的范围包括但不限于解决软件产品安装、调试、维护、使用、管理、配置、问题、故障根源分析与诊断以及提供修正性软件等。</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中标单位具有质量控制、风险控制、投诉等管理制度。承诺免费运维期内提供不少于1名专人负责售后支持维护服务，用于提供包括系统维护、更新等技术支撑的协调和故障处理。</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系统安装调试完成后，对采购方所有的系统使用者进行培训，对系统涉及到的各类使用人员开展分步式培训工作，无法确定培训对象的，需要在系统中通过帮助的形式提供快速入门和详细操作指导文件。培训内容包含系统日常维护、操作、流程等方面的培训，提供针对性的课时安排，确保采购方实际使用人员在一个月内熟练掌握系统运行操作。</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在免费运维期内，乙方所提供的运维服务不符合合同规定及招标文件规定标准的，甲方有权拒绝接受服务，并可单方面解除合同。</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zh-CN" w:eastAsia="zh-CN"/>
        </w:rPr>
        <w:t xml:space="preserve">）结算方式：采购人应结算金额按中标供应商合同价结算。</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zh-CN" w:eastAsia="zh-CN"/>
        </w:rPr>
        <w:t xml:space="preserve">）其他</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成果要求</w:t>
      </w: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根据应</w:t>
      </w:r>
      <w:r>
        <w:rPr>
          <w:rFonts w:hint="eastAsia" w:ascii="宋体" w:hAnsi="宋体" w:eastAsia="宋体" w:cs="宋体"/>
          <w:color w:val="auto"/>
          <w:sz w:val="24"/>
          <w:szCs w:val="24"/>
          <w:highlight w:val="none"/>
          <w:lang w:val="en-US" w:eastAsia="zh-CN"/>
        </w:rPr>
        <w:t xml:space="preserve">用系统开发有关国家软件工程规范，根据开发进度及时提供有关材料和文档，包括：《项目实施方案》、《项目管理计划》、《平台产品说明书》、《上线测试报告》、《试运行报告》《培训计划》、《培训记录》、《培训报告》、《用户操作手册》、《系统安装维护手册》。</w:t>
      </w:r>
      <w:r/>
    </w:p>
    <w:p>
      <w:pPr>
        <w:pStyle w:val="851"/>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验收方法：</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val="zh-CN" w:eastAsia="zh-CN"/>
        </w:rPr>
        <w:t xml:space="preserve">通过盐城市东台生态环境局</w:t>
      </w:r>
      <w:r>
        <w:rPr>
          <w:rFonts w:hint="eastAsia" w:ascii="宋体" w:hAnsi="宋体" w:eastAsia="宋体" w:cs="宋体"/>
          <w:color w:val="auto"/>
          <w:sz w:val="24"/>
          <w:szCs w:val="24"/>
          <w:highlight w:val="none"/>
          <w:lang w:val="en-US" w:eastAsia="zh-CN"/>
        </w:rPr>
        <w:t xml:space="preserve">组织的验收。</w:t>
      </w:r>
      <w:r/>
    </w:p>
    <w:p>
      <w:pPr>
        <w:pStyle w:val="851"/>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五、采购标的对应的中小企业划分标准所属行业一览表</w:t>
      </w:r>
      <w:r/>
    </w:p>
    <w:tbl>
      <w:tblPr>
        <w:tblStyle w:val="848"/>
        <w:tblW w:w="5000"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681"/>
        <w:gridCol w:w="6136"/>
        <w:gridCol w:w="3165"/>
      </w:tblGrid>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pStyle w:val="854"/>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73" w:type="pct"/>
            <w:vAlign w:val="center"/>
            <w:textDirection w:val="lrTb"/>
            <w:noWrap w:val="false"/>
          </w:tcPr>
          <w:p>
            <w:pPr>
              <w:pStyle w:val="854"/>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854"/>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pStyle w:val="854"/>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3" w:type="pct"/>
            <w:vAlign w:val="center"/>
            <w:textDirection w:val="lrTb"/>
            <w:noWrap w:val="false"/>
          </w:tcPr>
          <w:p>
            <w:pPr>
              <w:pStyle w:val="854"/>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rPr>
            </w:pPr>
            <w:r>
              <w:rPr>
                <w:rFonts w:hint="eastAsia" w:asciiTheme="minorEastAsia" w:hAnsiTheme="minorEastAsia" w:cstheme="minorEastAsia"/>
                <w:color w:val="auto"/>
                <w:lang w:eastAsia="zh-CN"/>
              </w:rPr>
              <w:t xml:space="preserve">盐城市东台生态环境局非现场执法预警调度平台项目</w:t>
            </w:r>
            <w:r>
              <w:rPr>
                <w:rFonts w:hint="eastAsia" w:asciiTheme="minorEastAsia" w:hAnsiTheme="minorEastAsia" w:eastAsiaTheme="minorEastAsia" w:cstheme="minor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854"/>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 软件和信息技术服务业</w:t>
            </w:r>
            <w:r/>
          </w:p>
        </w:tc>
      </w:tr>
    </w:tbl>
    <w:p>
      <w:pPr>
        <w:rPr>
          <w:color w:val="auto"/>
        </w:rPr>
      </w:pPr>
      <w:r>
        <w:rPr>
          <w:color w:val="auto"/>
        </w:rPr>
      </w:r>
      <w:r/>
    </w:p>
    <w:p>
      <w:pPr>
        <w:rPr>
          <w:rFonts w:hint="eastAsia" w:ascii="黑体" w:hAnsi="黑体" w:eastAsia="黑体" w:cs="黑体"/>
          <w:color w:val="000000"/>
          <w:sz w:val="44"/>
          <w:szCs w:val="44"/>
          <w:lang w:val="en-US" w:eastAsia="zh-CN" w:bidi="ar-SA"/>
        </w:rPr>
      </w:pPr>
      <w:r/>
      <w:bookmarkStart w:id="189" w:name="_Toc120614281"/>
      <w:r>
        <w:rPr>
          <w:rFonts w:hint="eastAsia" w:ascii="黑体" w:hAnsi="黑体" w:eastAsia="黑体" w:cs="黑体"/>
          <w:color w:val="000000"/>
          <w:sz w:val="44"/>
          <w:szCs w:val="44"/>
          <w:lang w:val="en-US" w:eastAsia="zh-CN" w:bidi="ar-SA"/>
        </w:rPr>
        <w:br w:type="page" w:clear="all"/>
      </w:r>
      <w:r/>
    </w:p>
    <w:p>
      <w:pPr>
        <w:jc w:val="center"/>
        <w:rPr>
          <w:rFonts w:hint="eastAsia" w:ascii="黑体" w:hAnsi="黑体" w:eastAsia="黑体" w:cs="黑体"/>
          <w:color w:val="000000"/>
          <w:sz w:val="44"/>
          <w:szCs w:val="44"/>
          <w:lang w:val="en-US" w:eastAsia="zh-CN" w:bidi="ar-SA"/>
        </w:rPr>
      </w:pPr>
      <w:r>
        <w:rPr>
          <w:rFonts w:hint="eastAsia" w:ascii="黑体" w:hAnsi="黑体" w:eastAsia="黑体" w:cs="黑体"/>
          <w:color w:val="000000"/>
          <w:sz w:val="44"/>
          <w:szCs w:val="44"/>
          <w:lang w:val="en-US" w:eastAsia="zh-CN" w:bidi="ar-SA"/>
        </w:rPr>
        <w:t xml:space="preserve">第五章  评标方法与评标标准</w:t>
      </w:r>
      <w:r/>
    </w:p>
    <w:p>
      <w:pPr>
        <w:pStyle w:val="854"/>
        <w:jc w:val="both"/>
        <w:spacing w:beforeAutospacing="0" w:afterAutospacing="0"/>
      </w:pPr>
      <w:r>
        <w:t xml:space="preserve"> </w:t>
      </w:r>
      <w:r/>
    </w:p>
    <w:p>
      <w:pPr>
        <w:pStyle w:val="854"/>
        <w:ind w:left="0" w:firstLine="480"/>
        <w:keepLines w:val="0"/>
        <w:keepNext w:val="0"/>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color w:val="auto"/>
          <w:highlight w:val="none"/>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1家中标候选人。</w:t>
      </w:r>
      <w:r/>
    </w:p>
    <w:p>
      <w:pPr>
        <w:pStyle w:val="854"/>
        <w:ind w:left="0" w:firstLine="482"/>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854"/>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854"/>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（1）本项目对小型和微型企业提供的服务给予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的扣除价格，用扣除后的价格参与评审。</w:t>
      </w:r>
      <w:r/>
    </w:p>
    <w:p>
      <w:pPr>
        <w:pStyle w:val="854"/>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（2）供应商需按照采购文件的要求提供相应的《中小企业声明函》。</w:t>
      </w:r>
      <w:r/>
    </w:p>
    <w:p>
      <w:pPr>
        <w:pStyle w:val="854"/>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pStyle w:val="854"/>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854"/>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p>
    <w:p>
      <w:pPr>
        <w:pStyle w:val="854"/>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854"/>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854"/>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854"/>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p>
    <w:p>
      <w:pPr>
        <w:pStyle w:val="854"/>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4"/>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854"/>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854"/>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854"/>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6、联合体各方均为小型、微型企业（残疾人福利单位、监狱企业）的，联合体享受</w:t>
      </w:r>
      <w:r>
        <w:rPr>
          <w:rFonts w:hint="eastAsia" w:ascii="宋体" w:hAnsi="宋体" w:eastAsia="宋体" w:cs="宋体"/>
          <w:color w:val="auto"/>
          <w:highlight w:val="none"/>
          <w:u w:val="single"/>
        </w:rPr>
        <w:t xml:space="preserve">20%。</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黑体" w:hAnsi="黑体" w:eastAsia="黑体" w:cs="黑体"/>
          <w:b/>
          <w:i/>
          <w:color w:val="auto"/>
          <w:sz w:val="24"/>
          <w:highlight w:val="none"/>
          <w:u w:val="single"/>
        </w:rPr>
        <w:t xml:space="preserve">如属政府强制采购产品未提供认证证书的或认证证书提供不全的将视为未实质性响应采购要求</w:t>
      </w:r>
      <w:r>
        <w:rPr>
          <w:rFonts w:hint="eastAsia" w:ascii="黑体" w:hAnsi="黑体" w:eastAsia="黑体" w:cs="黑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8、供应商对于投标产品的商品包装、快递包装应按照“财办库〔2020〕123号《关于印发《商品包装政府采购需求标准（试行）》、《快递包装政府采购需求标准（试行）》的通知》”执行。</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9、本文件中若涉及到数据中心采购，应按照《&lt;绿色数据中心政府采购需求标准（试行）&gt;的通知》（财库〔2023〕7号）执行。</w:t>
      </w:r>
      <w:r/>
    </w:p>
    <w:p>
      <w:pPr>
        <w:pStyle w:val="854"/>
        <w:ind w:left="0" w:firstLine="480"/>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10、根据《江苏省政府采购信用管理暂行办法》的规定，供应商信用评价结果为三星的扣2分，评价结果为二星的扣3分，评价结果为一星的扣4分。</w:t>
      </w:r>
      <w:r/>
    </w:p>
    <w:p>
      <w:pPr>
        <w:pStyle w:val="854"/>
        <w:ind w:left="0" w:firstLine="482"/>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b/>
          <w:color w:val="auto"/>
        </w:rPr>
        <w:t xml:space="preserve">评标方法与评标标准</w:t>
      </w:r>
      <w:r/>
    </w:p>
    <w:p>
      <w:pPr>
        <w:pStyle w:val="854"/>
        <w:ind w:left="0" w:firstLine="480"/>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本项目评分总分值为100分。 </w:t>
      </w:r>
      <w:r/>
    </w:p>
    <w:tbl>
      <w:tblPr>
        <w:tblStyle w:val="84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1442"/>
        <w:gridCol w:w="1442"/>
        <w:gridCol w:w="993"/>
        <w:gridCol w:w="5386"/>
      </w:tblGrid>
      <w:tr>
        <w:trPr>
          <w:jc w:val="center"/>
          <w:trHeight w:val="544"/>
          <w:tblHeader/>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序</w:t>
            </w:r>
            <w:r>
              <w:rPr>
                <w:rFonts w:hint="eastAsia" w:ascii="宋体" w:hAnsi="宋体" w:eastAsia="宋体" w:cs="宋体"/>
                <w:b w:val="0"/>
                <w:bCs w:val="0"/>
                <w:color w:val="auto"/>
                <w:sz w:val="24"/>
                <w:szCs w:val="24"/>
                <w:highlight w:val="none"/>
                <w:lang w:val="en-US" w:eastAsia="zh-CN"/>
              </w:rPr>
              <w:t xml:space="preserve">号</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分部内容</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分项内容</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2703" w:type="pct"/>
            <w:vAlign w:val="center"/>
            <w:textDirection w:val="lrTb"/>
            <w:noWrap w:val="false"/>
          </w:tcPr>
          <w:p>
            <w:pPr>
              <w:ind w:firstLine="480"/>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打分要求</w:t>
            </w:r>
            <w:r/>
          </w:p>
        </w:tc>
      </w:tr>
      <w:tr>
        <w:trPr>
          <w:jc w:val="center"/>
          <w:trHeight w:val="854"/>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价格分</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703" w:type="pct"/>
            <w:vAlign w:val="center"/>
            <w:textDirection w:val="lrTb"/>
            <w:noWrap w:val="false"/>
          </w:tcPr>
          <w:p>
            <w:pPr>
              <w:ind w:firstLine="480"/>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满足招标文件要求且投标价格最低的投标报价为基准价，其价格分为满分。报价得分=(评标基准价/投标报价)×</w:t>
            </w:r>
            <w:r>
              <w:rPr>
                <w:rFonts w:hint="default"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w:t>
            </w:r>
            <w:r/>
          </w:p>
        </w:tc>
      </w:tr>
      <w:tr>
        <w:trPr>
          <w:jc w:val="center"/>
          <w:trHeight w:val="659"/>
        </w:trPr>
        <w:tc>
          <w:tcPr>
            <w:tcBorders>
              <w:top w:val="single" w:color="auto" w:sz="4" w:space="0"/>
              <w:left w:val="single" w:color="auto" w:sz="4" w:space="0"/>
              <w:right w:val="single" w:color="auto" w:sz="4" w:space="0"/>
            </w:tcBorders>
            <w:tcW w:w="349" w:type="pct"/>
            <w:vAlign w:val="center"/>
            <w:vMerge w:val="restart"/>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724" w:type="pct"/>
            <w:vAlign w:val="center"/>
            <w:vMerge w:val="restart"/>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技术</w:t>
            </w:r>
            <w:r>
              <w:rPr>
                <w:rFonts w:hint="eastAsia" w:ascii="宋体" w:hAnsi="宋体" w:eastAsia="宋体" w:cs="宋体"/>
                <w:b w:val="0"/>
                <w:bCs w:val="0"/>
                <w:color w:val="auto"/>
                <w:sz w:val="24"/>
                <w:szCs w:val="24"/>
                <w:highlight w:val="none"/>
              </w:rPr>
              <w:t xml:space="preserve">部分</w:t>
            </w:r>
            <w:r/>
          </w:p>
        </w:tc>
        <w:tc>
          <w:tcPr>
            <w:tcBorders>
              <w:top w:val="single" w:color="auto" w:sz="4" w:space="0"/>
              <w:left w:val="single" w:color="auto" w:sz="4" w:space="0"/>
              <w:right w:val="single" w:color="auto" w:sz="4" w:space="0"/>
            </w:tcBorders>
            <w:tcW w:w="724" w:type="pct"/>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技术响应</w:t>
            </w:r>
            <w:r/>
          </w:p>
        </w:tc>
        <w:tc>
          <w:tcPr>
            <w:tcBorders>
              <w:top w:val="single" w:color="auto" w:sz="4" w:space="0"/>
              <w:left w:val="single" w:color="auto" w:sz="4" w:space="0"/>
              <w:right w:val="single" w:color="auto" w:sz="4" w:space="0"/>
            </w:tcBorders>
            <w:tcW w:w="498" w:type="pct"/>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703" w:type="pct"/>
            <w:vAlign w:val="center"/>
            <w:textDirection w:val="lrTb"/>
            <w:noWrap w:val="false"/>
          </w:tcPr>
          <w:p>
            <w:pPr>
              <w:ind w:firstLine="480"/>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1、响应程度：根据所投产品的配置与性能指标、技术参数符合性、技术偏离项等对招标文件的响应程度进行评审。投标人所投产品满足招标文件采购需求全部要求的得1</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分；标“★”的技术参数或要求有一项不满足（或负偏离）的，每项扣3分；未标“★”的技术参数或要求有一项不满足（或负偏离）的，每项扣1分，扣完为止。</w:t>
            </w:r>
            <w:r/>
          </w:p>
          <w:p>
            <w:pPr>
              <w:ind w:firstLine="480"/>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采购需求中要求提供截图或检测报告等以投标人提供的相关证明材料为准，未按要求提供相关证明材料的视不满足只扣除相应分值，不作为无效投标条款。其他未作要求的以投标人提供的技术参数响应及偏离表为准。</w:t>
            </w:r>
            <w:r/>
          </w:p>
        </w:tc>
      </w:tr>
      <w:tr>
        <w:trPr>
          <w:jc w:val="center"/>
          <w:trHeight w:val="6273"/>
        </w:trPr>
        <w:tc>
          <w:tcPr>
            <w:tcBorders>
              <w:left w:val="single" w:color="auto" w:sz="4" w:space="0"/>
              <w:right w:val="single" w:color="auto" w:sz="4" w:space="0"/>
            </w:tcBorders>
            <w:tcW w:w="349" w:type="pct"/>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left w:val="single" w:color="auto" w:sz="4" w:space="0"/>
              <w:right w:val="single" w:color="auto" w:sz="4" w:space="0"/>
            </w:tcBorders>
            <w:tcW w:w="724" w:type="pct"/>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auto" w:sz="4" w:space="0"/>
              <w:left w:val="single" w:color="auto" w:sz="4" w:space="0"/>
              <w:right w:val="single" w:color="auto" w:sz="4" w:space="0"/>
            </w:tcBorders>
            <w:tcW w:w="724"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技术方案</w:t>
            </w:r>
            <w:r/>
          </w:p>
        </w:tc>
        <w:tc>
          <w:tcPr>
            <w:tcBorders>
              <w:top w:val="single" w:color="auto" w:sz="4" w:space="0"/>
              <w:left w:val="single" w:color="auto" w:sz="4" w:space="0"/>
              <w:right w:val="single" w:color="auto" w:sz="4" w:space="0"/>
            </w:tcBorders>
            <w:tcW w:w="498" w:type="pct"/>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703" w:type="pct"/>
            <w:vAlign w:val="center"/>
            <w:textDirection w:val="lrTb"/>
            <w:noWrap w:val="false"/>
          </w:tcPr>
          <w:p>
            <w:pPr>
              <w:ind w:firstLine="480"/>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1.项目技术及组织实施（</w:t>
            </w:r>
            <w:r>
              <w:rPr>
                <w:rFonts w:hint="default"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val="en-US" w:eastAsia="zh-CN"/>
              </w:rPr>
              <w:t xml:space="preserve">分）：切合本次项目需求制定软件架构方案（技术框架、数据库设计）、软件设计方案（依据采购需求各项软件功能设计）、项目实施方案。方案完整，合理可行，针对性强，得</w:t>
            </w:r>
            <w:r>
              <w:rPr>
                <w:rFonts w:hint="eastAsia" w:ascii="宋体" w:hAnsi="宋体" w:cs="宋体"/>
                <w:b w:val="0"/>
                <w:bCs w:val="0"/>
                <w:color w:val="auto"/>
                <w:sz w:val="24"/>
                <w:szCs w:val="24"/>
                <w:highlight w:val="none"/>
                <w:lang w:val="en-US" w:eastAsia="zh-CN"/>
              </w:rPr>
              <w:t xml:space="preserve">8-</w:t>
            </w:r>
            <w:r>
              <w:rPr>
                <w:rFonts w:hint="default"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val="en-US" w:eastAsia="zh-CN"/>
              </w:rPr>
              <w:t xml:space="preserve">分；方案全面，合理可行，有一定针对性，得</w:t>
            </w:r>
            <w:r>
              <w:rPr>
                <w:rFonts w:hint="eastAsia" w:ascii="宋体" w:hAnsi="宋体" w:cs="宋体"/>
                <w:b w:val="0"/>
                <w:bCs w:val="0"/>
                <w:color w:val="auto"/>
                <w:sz w:val="24"/>
                <w:szCs w:val="24"/>
                <w:highlight w:val="none"/>
                <w:lang w:val="en-US" w:eastAsia="zh-CN"/>
              </w:rPr>
              <w:t xml:space="preserve">5-</w:t>
            </w:r>
            <w:r>
              <w:rPr>
                <w:rFonts w:hint="default"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分；方案简单，但基本满足招标需求，得</w:t>
            </w:r>
            <w:r>
              <w:rPr>
                <w:rFonts w:hint="eastAsia" w:ascii="宋体" w:hAnsi="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分；方案有欠缺或部分不可行，得</w:t>
            </w:r>
            <w:r>
              <w:rPr>
                <w:rFonts w:hint="default"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w:t>
            </w:r>
            <w:r/>
          </w:p>
          <w:p>
            <w:pPr>
              <w:ind w:firstLine="480"/>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人员与进度计划（3分）：专业人员配备有保证，分工与职责明确，进度安排合理，且相关保障措施得力，得3分；专业人员配备及进度安排基本能够满足项目需求，得2分；专业人员配备较差，且进度计划安排及无具体保障措施，得1分。</w:t>
            </w:r>
            <w:r/>
          </w:p>
          <w:p>
            <w:pPr>
              <w:ind w:firstLine="480"/>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3.质量与安全保证措施（3分）：质量与安全保证措施得力，针对性强，得3分；保证措施合理、可行，得2分；措施不齐全或部分内容不可行，得1分。</w:t>
            </w:r>
            <w:r/>
          </w:p>
          <w:p>
            <w:pPr>
              <w:ind w:firstLine="480"/>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技术培训（3分）：技术培训方案叙述详尽、内容全面、计划合理、形式多样、措施得当，针对性强，且配备的师资力量雄厚，有一定的培训经验，得3分；技术培训方案合理、可行，基本满足本项目实际需求，得2分；技术培训方案不全面或不齐全，得1分。</w:t>
            </w:r>
            <w:r/>
          </w:p>
          <w:p>
            <w:pPr>
              <w:ind w:firstLine="480"/>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5.售后服务（3分）：售后服务范围广泛、响应及时、反应快捷、处理迅速，且售后服务措施全面、维护人员稳定, 得3分；售后服务合理、可行，基本满足本项目实际需求，得2分；售后服务一般，有欠缺，得1分。</w:t>
            </w:r>
            <w:r/>
          </w:p>
        </w:tc>
      </w:tr>
      <w:tr>
        <w:trPr>
          <w:jc w:val="center"/>
          <w:trHeight w:val="601"/>
        </w:trPr>
        <w:tc>
          <w:tcPr>
            <w:tcBorders>
              <w:left w:val="single" w:color="auto" w:sz="4" w:space="0"/>
              <w:right w:val="single" w:color="auto" w:sz="4" w:space="0"/>
            </w:tcBorders>
            <w:tcW w:w="349" w:type="pct"/>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left w:val="single" w:color="auto" w:sz="4" w:space="0"/>
              <w:right w:val="single" w:color="auto" w:sz="4" w:space="0"/>
            </w:tcBorders>
            <w:tcW w:w="724" w:type="pct"/>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auto" w:sz="4" w:space="0"/>
              <w:left w:val="single" w:color="auto" w:sz="4" w:space="0"/>
              <w:right w:val="single" w:color="auto" w:sz="4" w:space="0"/>
            </w:tcBorders>
            <w:tcW w:w="724" w:type="pct"/>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综合实力</w:t>
            </w:r>
            <w:r/>
          </w:p>
        </w:tc>
        <w:tc>
          <w:tcPr>
            <w:tcBorders>
              <w:top w:val="single" w:color="auto" w:sz="4" w:space="0"/>
              <w:left w:val="single" w:color="auto" w:sz="4" w:space="0"/>
              <w:right w:val="single" w:color="auto" w:sz="4" w:space="0"/>
            </w:tcBorders>
            <w:tcW w:w="498" w:type="pct"/>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703" w:type="pct"/>
            <w:vAlign w:val="center"/>
            <w:textDirection w:val="lrTb"/>
            <w:noWrap w:val="false"/>
          </w:tcPr>
          <w:p>
            <w:pPr>
              <w:ind w:firstLine="480"/>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1.所投生态环境非现场执法预警调度平台具有与本项目相关的计算机软件著作权登记证书，证书须包含“监测预警”、“非现场执法”、“</w:t>
            </w:r>
            <w:r>
              <w:rPr>
                <w:rFonts w:hint="eastAsia" w:ascii="宋体" w:hAnsi="宋体" w:eastAsia="宋体" w:cs="宋体"/>
                <w:b w:val="0"/>
                <w:bCs w:val="0"/>
                <w:color w:val="auto"/>
                <w:sz w:val="24"/>
                <w:szCs w:val="24"/>
                <w:highlight w:val="none"/>
                <w:lang w:val="zh-CN" w:eastAsia="zh-CN"/>
              </w:rPr>
              <w:t xml:space="preserve">预警</w:t>
            </w:r>
            <w:r>
              <w:rPr>
                <w:rFonts w:hint="eastAsia" w:ascii="宋体" w:hAnsi="宋体" w:eastAsia="宋体" w:cs="宋体"/>
                <w:b w:val="0"/>
                <w:bCs w:val="0"/>
                <w:color w:val="auto"/>
                <w:sz w:val="24"/>
                <w:szCs w:val="24"/>
                <w:highlight w:val="none"/>
                <w:lang w:val="en-US" w:eastAsia="zh-CN"/>
              </w:rPr>
              <w:t xml:space="preserve">指挥</w:t>
            </w:r>
            <w:r>
              <w:rPr>
                <w:rFonts w:hint="eastAsia" w:ascii="宋体" w:hAnsi="宋体" w:eastAsia="宋体" w:cs="宋体"/>
                <w:b w:val="0"/>
                <w:bCs w:val="0"/>
                <w:color w:val="auto"/>
                <w:sz w:val="24"/>
                <w:szCs w:val="24"/>
                <w:highlight w:val="none"/>
                <w:lang w:val="zh-CN" w:eastAsia="zh-CN"/>
              </w:rPr>
              <w:t xml:space="preserve">调度</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eastAsia="zh-CN"/>
              </w:rPr>
              <w:t xml:space="preserve">污染源数据异动</w:t>
            </w:r>
            <w:r>
              <w:rPr>
                <w:rFonts w:hint="eastAsia" w:ascii="宋体" w:hAnsi="宋体" w:eastAsia="宋体" w:cs="宋体"/>
                <w:b w:val="0"/>
                <w:bCs w:val="0"/>
                <w:color w:val="auto"/>
                <w:sz w:val="24"/>
                <w:szCs w:val="24"/>
                <w:highlight w:val="none"/>
                <w:lang w:val="en-US" w:eastAsia="zh-CN"/>
              </w:rPr>
              <w:t xml:space="preserve">分析”字样或同义字样的，每提供任一个得1分，最多得4分。</w:t>
            </w:r>
            <w:r/>
          </w:p>
          <w:p>
            <w:pPr>
              <w:ind w:firstLine="480"/>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2.为保证生态环境非现场执法预警调度平台数据查询效率和对接技术能力，生态环境预警调度的及时准确性，</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具有海量数据搜索引擎系统、大数据决策分析平台、生态环境预警预测系统、智慧环保门户统一认证接口软件著作权证书的，每提供任一个得</w:t>
            </w:r>
            <w:r>
              <w:rPr>
                <w:rFonts w:hint="default"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分，最高得</w:t>
            </w:r>
            <w:r>
              <w:rPr>
                <w:rFonts w:hint="default"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分。</w:t>
            </w:r>
            <w:r/>
          </w:p>
          <w:p>
            <w:pPr>
              <w:ind w:firstLine="480"/>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3.所投生态环境非现场执法预警调度平台具有信创国产化技术认证（麒麟、龙芯、飞腾、达梦等），</w:t>
            </w:r>
            <w:r>
              <w:rPr>
                <w:rFonts w:hint="eastAsia" w:ascii="宋体" w:hAnsi="宋体" w:cs="宋体"/>
                <w:b w:val="0"/>
                <w:bCs w:val="0"/>
                <w:color w:val="auto"/>
                <w:sz w:val="24"/>
                <w:szCs w:val="24"/>
                <w:highlight w:val="none"/>
                <w:lang w:val="en-US" w:eastAsia="zh-CN"/>
              </w:rPr>
              <w:t xml:space="preserve">提供证明文件，</w:t>
            </w:r>
            <w:r>
              <w:rPr>
                <w:rFonts w:hint="eastAsia" w:ascii="宋体" w:hAnsi="宋体" w:eastAsia="宋体" w:cs="宋体"/>
                <w:b w:val="0"/>
                <w:bCs w:val="0"/>
                <w:color w:val="auto"/>
                <w:sz w:val="24"/>
                <w:szCs w:val="24"/>
                <w:highlight w:val="none"/>
                <w:lang w:val="en-US" w:eastAsia="zh-CN"/>
              </w:rPr>
              <w:t xml:space="preserve">每提供任一个得0.5分，最高得2分。</w:t>
            </w:r>
            <w:r/>
          </w:p>
        </w:tc>
      </w:tr>
      <w:tr>
        <w:trPr>
          <w:jc w:val="center"/>
          <w:trHeight w:val="1788"/>
        </w:trPr>
        <w:tc>
          <w:tcPr>
            <w:tcBorders>
              <w:left w:val="single" w:color="auto" w:sz="4" w:space="0"/>
              <w:right w:val="single" w:color="auto" w:sz="4" w:space="0"/>
            </w:tcBorders>
            <w:tcW w:w="349" w:type="pct"/>
            <w:vAlign w:val="center"/>
            <w:vMerge w:val="restart"/>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724" w:type="pct"/>
            <w:vAlign w:val="center"/>
            <w:vMerge w:val="restart"/>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履约能力</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人员</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2703" w:type="pct"/>
            <w:vAlign w:val="center"/>
            <w:textDirection w:val="lrTb"/>
            <w:noWrap w:val="false"/>
          </w:tcPr>
          <w:p>
            <w:pPr>
              <w:ind w:firstLine="480"/>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1、项目负责人具有</w:t>
            </w:r>
            <w:r>
              <w:rPr>
                <w:rFonts w:hint="eastAsia" w:ascii="宋体" w:hAnsi="宋体" w:cs="宋体"/>
                <w:b w:val="0"/>
                <w:bCs w:val="0"/>
                <w:color w:val="auto"/>
                <w:sz w:val="24"/>
                <w:szCs w:val="24"/>
                <w:highlight w:val="none"/>
                <w:lang w:val="en-US" w:eastAsia="zh-CN"/>
              </w:rPr>
              <w:t xml:space="preserve">电子信息工程中级职称、</w:t>
            </w:r>
            <w:r>
              <w:rPr>
                <w:rFonts w:hint="eastAsia" w:ascii="宋体" w:hAnsi="宋体" w:eastAsia="宋体" w:cs="宋体"/>
                <w:b w:val="0"/>
                <w:bCs w:val="0"/>
                <w:color w:val="auto"/>
                <w:sz w:val="24"/>
                <w:szCs w:val="24"/>
                <w:highlight w:val="none"/>
                <w:lang w:val="en-US" w:eastAsia="zh-CN"/>
              </w:rPr>
              <w:t xml:space="preserve">国家人力资源和社会保障部门颁发的系统集成项目管理工程师</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cs="宋体"/>
                <w:b w:val="0"/>
                <w:bCs w:val="0"/>
                <w:color w:val="auto"/>
                <w:sz w:val="24"/>
                <w:szCs w:val="24"/>
                <w:highlight w:val="none"/>
                <w:lang w:val="en-US" w:eastAsia="zh-CN"/>
              </w:rPr>
              <w:t xml:space="preserve">中国信息安全测评中心颁发的</w:t>
            </w:r>
            <w:r>
              <w:rPr>
                <w:rFonts w:hint="eastAsia" w:ascii="宋体" w:hAnsi="宋体" w:eastAsia="宋体" w:cs="宋体"/>
                <w:b w:val="0"/>
                <w:bCs w:val="0"/>
                <w:color w:val="auto"/>
                <w:sz w:val="24"/>
                <w:szCs w:val="24"/>
                <w:highlight w:val="none"/>
                <w:lang w:val="en-US" w:eastAsia="zh-CN"/>
              </w:rPr>
              <w:t xml:space="preserve">注册信息安全工程师CISP证书</w:t>
            </w:r>
            <w:r>
              <w:rPr>
                <w:rFonts w:hint="eastAsia" w:ascii="宋体" w:hAnsi="宋体" w:eastAsia="宋体" w:cs="宋体"/>
                <w:b w:val="0"/>
                <w:bCs w:val="0"/>
                <w:color w:val="auto"/>
                <w:sz w:val="24"/>
                <w:szCs w:val="24"/>
                <w:highlight w:val="none"/>
                <w:lang w:val="zh-CN" w:eastAsia="zh-CN"/>
              </w:rPr>
              <w:t xml:space="preserve">，每有1项得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eastAsia="zh-CN"/>
              </w:rPr>
              <w:t xml:space="preserve">分，最高得</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zh-CN" w:eastAsia="zh-CN"/>
              </w:rPr>
              <w:t xml:space="preserve">分</w:t>
            </w:r>
            <w:r>
              <w:rPr>
                <w:rFonts w:hint="eastAsia" w:ascii="宋体" w:hAnsi="宋体" w:eastAsia="宋体" w:cs="宋体"/>
                <w:b w:val="0"/>
                <w:bCs w:val="0"/>
                <w:color w:val="auto"/>
                <w:sz w:val="24"/>
                <w:szCs w:val="24"/>
                <w:highlight w:val="none"/>
                <w:lang w:val="en-US" w:eastAsia="zh-CN"/>
              </w:rPr>
              <w:t xml:space="preserve">，未提供不得分。</w:t>
            </w:r>
            <w:r/>
          </w:p>
          <w:p>
            <w:pPr>
              <w:ind w:firstLine="480"/>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2、为本项目配备的技术负责人具有国家人力资源和社会保障部门颁发的信息系统项目管理师、中国网络安全审查技术与认证中心颁发的信息安全保障人员认证（安全集成）证书</w:t>
            </w:r>
            <w:r>
              <w:rPr>
                <w:rFonts w:hint="eastAsia" w:ascii="宋体" w:hAnsi="宋体" w:eastAsia="宋体" w:cs="宋体"/>
                <w:b w:val="0"/>
                <w:bCs w:val="0"/>
                <w:color w:val="auto"/>
                <w:sz w:val="24"/>
                <w:szCs w:val="24"/>
                <w:highlight w:val="none"/>
                <w:lang w:val="zh-CN" w:eastAsia="zh-CN"/>
              </w:rPr>
              <w:t xml:space="preserve">，每有1项得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eastAsia="zh-CN"/>
              </w:rPr>
              <w:t xml:space="preserve">分，最高得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eastAsia="zh-CN"/>
              </w:rPr>
              <w:t xml:space="preserve">分。</w:t>
            </w:r>
            <w:r>
              <w:rPr>
                <w:rFonts w:hint="eastAsia" w:ascii="宋体" w:hAnsi="宋体" w:eastAsia="宋体" w:cs="宋体"/>
                <w:b w:val="0"/>
                <w:bCs w:val="0"/>
                <w:color w:val="auto"/>
                <w:sz w:val="24"/>
                <w:szCs w:val="24"/>
                <w:highlight w:val="none"/>
                <w:lang w:val="en-US" w:eastAsia="zh-CN"/>
              </w:rPr>
              <w:t xml:space="preserve">（项目负责人和技术负责人不得为同一人）</w:t>
            </w:r>
            <w:r/>
          </w:p>
          <w:p>
            <w:pPr>
              <w:ind w:firstLine="480"/>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2、为本项目配备的项目组成员中（不包含项目负责人和技术负责人）具有①信息系统项目管理师、②</w:t>
            </w:r>
            <w:r>
              <w:rPr>
                <w:rFonts w:hint="eastAsia" w:ascii="宋体" w:hAnsi="宋体" w:eastAsia="宋体" w:cs="宋体"/>
                <w:b w:val="0"/>
                <w:bCs w:val="0"/>
                <w:color w:val="auto"/>
                <w:sz w:val="24"/>
                <w:szCs w:val="24"/>
                <w:highlight w:val="none"/>
                <w:lang w:val="zh-CN" w:eastAsia="zh-CN"/>
              </w:rPr>
              <w:t xml:space="preserve">环保类专业高级工程师</w:t>
            </w:r>
            <w:r>
              <w:rPr>
                <w:rFonts w:hint="eastAsia" w:ascii="宋体" w:hAnsi="宋体" w:cs="宋体"/>
                <w:b w:val="0"/>
                <w:bCs w:val="0"/>
                <w:color w:val="auto"/>
                <w:sz w:val="24"/>
                <w:szCs w:val="24"/>
                <w:highlight w:val="none"/>
                <w:lang w:val="en-US" w:eastAsia="zh-CN"/>
              </w:rPr>
              <w:t xml:space="preserve">职称</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③中级数据库系统工程师、④注册信息安全工程师CISP、⑤环保类中级工程师</w:t>
            </w:r>
            <w:r>
              <w:rPr>
                <w:rFonts w:hint="eastAsia" w:ascii="宋体" w:hAnsi="宋体" w:cs="宋体"/>
                <w:b w:val="0"/>
                <w:bCs w:val="0"/>
                <w:color w:val="auto"/>
                <w:sz w:val="24"/>
                <w:szCs w:val="24"/>
                <w:highlight w:val="none"/>
                <w:lang w:val="en-US" w:eastAsia="zh-CN"/>
              </w:rPr>
              <w:t xml:space="preserve">职称</w:t>
            </w:r>
            <w:r>
              <w:rPr>
                <w:rFonts w:hint="eastAsia" w:ascii="宋体" w:hAnsi="宋体" w:eastAsia="宋体" w:cs="宋体"/>
                <w:b w:val="0"/>
                <w:bCs w:val="0"/>
                <w:color w:val="auto"/>
                <w:sz w:val="24"/>
                <w:szCs w:val="24"/>
                <w:highlight w:val="none"/>
                <w:lang w:val="en-US" w:eastAsia="zh-CN"/>
              </w:rPr>
              <w:t xml:space="preserve">、⑥信息安全运维认证CISAW，以上证书种类每具备一项得1分，同一人员具有多项资质认证证书不重复加分，</w:t>
            </w:r>
            <w:r>
              <w:rPr>
                <w:rFonts w:hint="eastAsia" w:ascii="宋体" w:hAnsi="宋体" w:eastAsia="宋体" w:cs="宋体"/>
                <w:b w:val="0"/>
                <w:bCs w:val="0"/>
                <w:color w:val="auto"/>
                <w:sz w:val="24"/>
                <w:szCs w:val="24"/>
                <w:highlight w:val="none"/>
                <w:lang w:val="zh-CN" w:eastAsia="zh-CN"/>
              </w:rPr>
              <w:t xml:space="preserve">最高得</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zh-CN" w:eastAsia="zh-CN"/>
              </w:rPr>
              <w:t xml:space="preserve">分</w:t>
            </w:r>
            <w:r>
              <w:rPr>
                <w:rFonts w:hint="eastAsia" w:ascii="宋体" w:hAnsi="宋体" w:eastAsia="宋体" w:cs="宋体"/>
                <w:b w:val="0"/>
                <w:bCs w:val="0"/>
                <w:color w:val="auto"/>
                <w:sz w:val="24"/>
                <w:szCs w:val="24"/>
                <w:highlight w:val="none"/>
                <w:lang w:val="en-US" w:eastAsia="zh-CN"/>
              </w:rPr>
              <w:t xml:space="preserve">，未提供不得分。</w:t>
            </w:r>
            <w:r/>
          </w:p>
          <w:p>
            <w:pPr>
              <w:ind w:firstLine="480"/>
              <w:keepLines w:val="0"/>
              <w:keepNext w:val="0"/>
              <w:pageBreakBefore w:val="0"/>
              <w:spacing w:line="3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（上述条款需提供项目组人员一览表，相应的证书原件彩色扫描件、投标单位为其缴纳的近三个月任意一个月（不含投标当月）的社保证明材料或退休返聘证明原件彩色扫描件）。</w:t>
            </w:r>
            <w:r/>
          </w:p>
        </w:tc>
      </w:tr>
      <w:tr>
        <w:trPr>
          <w:jc w:val="center"/>
          <w:trHeight w:val="1036"/>
        </w:trPr>
        <w:tc>
          <w:tcPr>
            <w:tcBorders>
              <w:left w:val="single" w:color="auto" w:sz="4" w:space="0"/>
              <w:right w:val="single" w:color="auto" w:sz="4" w:space="0"/>
            </w:tcBorders>
            <w:tcW w:w="349" w:type="pct"/>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left w:val="single" w:color="auto" w:sz="4" w:space="0"/>
              <w:right w:val="single" w:color="auto" w:sz="4" w:space="0"/>
            </w:tcBorders>
            <w:tcW w:w="724" w:type="pct"/>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企业</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703" w:type="pct"/>
            <w:vAlign w:val="center"/>
            <w:textDirection w:val="lrTb"/>
            <w:noWrap w:val="false"/>
          </w:tcPr>
          <w:p>
            <w:pPr>
              <w:ind w:firstLine="480"/>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1、投标人具有CMMI和SPCA软件成熟度模型五级的得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分，四级得2分，三级得 1分；</w:t>
            </w:r>
            <w:r/>
          </w:p>
          <w:p>
            <w:pPr>
              <w:ind w:firstLine="480"/>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2、投标人具有信息系统安全集成服务二级及以上证书的得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w:t>
            </w:r>
            <w:r/>
          </w:p>
          <w:p>
            <w:pPr>
              <w:ind w:firstLine="480"/>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投标人具有ISO9001质量管理体系认证、ISO27001信息安全管理体系认证、ISO20001信息技术服务管理体系认证、ISO22301业务连续性管理体系认证（认证范围须包含智慧平台相关内容），每提供一个符合要求的有效证书得1分，本项最高得4分；</w:t>
            </w:r>
            <w:r/>
          </w:p>
          <w:p>
            <w:pPr>
              <w:ind w:firstLine="480"/>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、投标人具有省级及以上工信部门认定的物联网示范项目得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w:t>
            </w:r>
            <w:r>
              <w:rPr>
                <w:rFonts w:hint="eastAsia" w:ascii="宋体" w:hAnsi="宋体" w:cs="宋体"/>
                <w:b w:val="0"/>
                <w:bCs w:val="0"/>
                <w:color w:val="auto"/>
                <w:sz w:val="24"/>
                <w:szCs w:val="24"/>
                <w:highlight w:val="none"/>
                <w:lang w:val="en-US" w:eastAsia="zh-CN"/>
              </w:rPr>
              <w:t xml:space="preserve">；具有省级及以上工信部门认定的大数据优秀典型应用得</w:t>
            </w:r>
            <w:r>
              <w:rPr>
                <w:rFonts w:hint="default"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分。</w:t>
            </w:r>
            <w:r/>
          </w:p>
        </w:tc>
      </w:tr>
      <w:tr>
        <w:trPr>
          <w:jc w:val="center"/>
          <w:trHeight w:val="533"/>
        </w:trPr>
        <w:tc>
          <w:tcPr>
            <w:tcBorders>
              <w:left w:val="single" w:color="auto" w:sz="4" w:space="0"/>
              <w:right w:val="single" w:color="auto" w:sz="4" w:space="0"/>
            </w:tcBorders>
            <w:tcW w:w="349"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p>
        </w:tc>
        <w:tc>
          <w:tcPr>
            <w:tcBorders>
              <w:left w:val="single" w:color="auto" w:sz="4" w:space="0"/>
              <w:right w:val="single" w:color="auto" w:sz="4" w:space="0"/>
            </w:tcBorders>
            <w:tcW w:w="724"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其他</w:t>
            </w:r>
            <w:r/>
          </w:p>
        </w:tc>
        <w:tc>
          <w:tcPr>
            <w:tcBorders>
              <w:top w:val="single" w:color="auto" w:sz="4" w:space="0"/>
              <w:left w:val="single" w:color="auto" w:sz="4" w:space="0"/>
              <w:right w:val="single" w:color="auto" w:sz="4" w:space="0"/>
            </w:tcBorders>
            <w:tcW w:w="724"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业绩</w:t>
            </w:r>
            <w:r/>
          </w:p>
        </w:tc>
        <w:tc>
          <w:tcPr>
            <w:tcBorders>
              <w:top w:val="single" w:color="auto" w:sz="4" w:space="0"/>
              <w:left w:val="single" w:color="auto" w:sz="4" w:space="0"/>
              <w:right w:val="single" w:color="auto" w:sz="4" w:space="0"/>
            </w:tcBorders>
            <w:tcW w:w="498" w:type="pct"/>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9</w:t>
            </w:r>
            <w:r/>
          </w:p>
        </w:tc>
        <w:tc>
          <w:tcPr>
            <w:tcBorders>
              <w:top w:val="single" w:color="auto" w:sz="4" w:space="0"/>
              <w:left w:val="single" w:color="auto" w:sz="4" w:space="0"/>
              <w:right w:val="single" w:color="auto" w:sz="4" w:space="0"/>
            </w:tcBorders>
            <w:tcW w:w="2703" w:type="pct"/>
            <w:vAlign w:val="center"/>
            <w:textDirection w:val="lrTb"/>
            <w:noWrap w:val="false"/>
          </w:tcPr>
          <w:p>
            <w:pPr>
              <w:ind w:firstLine="480"/>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投标人自2021年1月1日起至今（以合同签署日期为准）完成过环境信息化类似业绩的，每提供一份得1分，满分9分。</w:t>
            </w:r>
            <w:r/>
          </w:p>
          <w:p>
            <w:pPr>
              <w:keepLines w:val="0"/>
              <w:keepNext w:val="0"/>
              <w:pageBreakBefore w:val="0"/>
              <w:spacing w:line="3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（投标时提供中标</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val="en-US" w:eastAsia="zh-CN"/>
              </w:rPr>
              <w:t xml:space="preserve">通知书、合同、验收证明。未提供不得分）</w:t>
            </w:r>
            <w:r/>
          </w:p>
        </w:tc>
      </w:tr>
    </w:tbl>
    <w:p>
      <w:pPr>
        <w:rPr>
          <w:color w:val="auto"/>
        </w:rPr>
      </w:pPr>
      <w:r>
        <w:rPr>
          <w:color w:val="auto"/>
        </w:rPr>
        <w:t xml:space="preserve"> </w:t>
      </w:r>
      <w:r>
        <w:rPr>
          <w:rFonts w:hint="eastAsia"/>
          <w:color w:val="auto"/>
          <w:lang w:val="en-US" w:eastAsia="zh-CN"/>
        </w:rPr>
        <w:t xml:space="preserve">说明：（1）所有打分项均以投标人所提供的投标文件进行打分，投标文件中未提及的不予认可，投标文件提交截止时间后不得修改或补充投标文件。（2）投标人的最终得分为所有评委打分的平均值，计算结果保留至小数点后两位。</w:t>
      </w:r>
      <w:r/>
    </w:p>
    <w:p>
      <w:pPr>
        <w:jc w:val="center"/>
        <w:rPr>
          <w:rFonts w:hint="eastAsia" w:ascii="黑体" w:hAnsi="黑体" w:eastAsia="黑体" w:cs="黑体"/>
          <w:color w:val="000000"/>
          <w:sz w:val="44"/>
          <w:szCs w:val="44"/>
          <w:lang w:val="en-US" w:eastAsia="zh-CN" w:bidi="ar-SA"/>
        </w:rPr>
      </w:pPr>
      <w:r>
        <w:rPr>
          <w:rFonts w:hint="eastAsia" w:ascii="黑体" w:hAnsi="黑体" w:eastAsia="黑体" w:cs="黑体"/>
          <w:color w:val="000000"/>
          <w:sz w:val="44"/>
          <w:szCs w:val="44"/>
          <w:lang w:val="en-US" w:eastAsia="zh-CN" w:bidi="ar-SA"/>
        </w:rPr>
        <w:t xml:space="preserve">第六章  投标文件格式 </w:t>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5"/>
      <w:r/>
      <w:bookmarkEnd w:id="189"/>
      <w:r/>
      <w:r/>
    </w:p>
    <w:p>
      <w:pPr>
        <w:pStyle w:val="854"/>
        <w:jc w:val="center"/>
        <w:keepNext/>
        <w:spacing w:beforeAutospacing="0" w:afterAutospacing="0"/>
        <w:rPr>
          <w:rFonts w:hint="eastAsia" w:ascii="黑体" w:hAnsi="宋体" w:eastAsia="黑体" w:cs="黑体"/>
          <w:color w:val="auto"/>
          <w:sz w:val="44"/>
          <w:szCs w:val="44"/>
        </w:rPr>
      </w:pPr>
      <w:r/>
      <w:bookmarkStart w:id="190" w:name="_Hlt26671244"/>
      <w:r/>
      <w:bookmarkEnd w:id="190"/>
      <w:r/>
      <w:bookmarkStart w:id="191" w:name="_Toc26554094"/>
      <w:r/>
      <w:bookmarkEnd w:id="191"/>
      <w:r/>
      <w:bookmarkStart w:id="192" w:name="_Hlt26955039"/>
      <w:r/>
      <w:bookmarkEnd w:id="192"/>
      <w:r/>
      <w:r/>
    </w:p>
    <w:p>
      <w:pPr>
        <w:pStyle w:val="854"/>
        <w:jc w:val="center"/>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54"/>
        <w:jc w:val="center"/>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54"/>
        <w:jc w:val="center"/>
        <w:keepNext/>
        <w:spacing w:beforeAutospacing="0" w:afterAutospacing="0"/>
        <w:rPr>
          <w:color w:val="auto"/>
        </w:rPr>
      </w:pPr>
      <w:r>
        <w:rPr>
          <w:rFonts w:hint="eastAsia" w:ascii="黑体" w:hAnsi="宋体" w:eastAsia="黑体" w:cs="黑体"/>
          <w:color w:val="auto"/>
          <w:sz w:val="44"/>
          <w:szCs w:val="44"/>
        </w:rPr>
        <w:t xml:space="preserve"> </w:t>
      </w:r>
      <w:r/>
    </w:p>
    <w:p>
      <w:pPr>
        <w:pStyle w:val="854"/>
        <w:jc w:val="center"/>
        <w:spacing w:beforeAutospacing="0" w:afterAutospacing="0"/>
        <w:rPr>
          <w:color w:val="auto"/>
        </w:rPr>
      </w:pPr>
      <w:r/>
      <w:bookmarkStart w:id="193" w:name="_Toc49090576"/>
      <w:r/>
      <w:bookmarkStart w:id="194" w:name="_Toc120614282"/>
      <w:r>
        <w:rPr>
          <w:rFonts w:hint="eastAsia" w:ascii="宋体" w:hAnsi="宋体" w:eastAsia="宋体" w:cs="宋体"/>
          <w:b/>
          <w:color w:val="auto"/>
          <w:sz w:val="72"/>
          <w:szCs w:val="72"/>
        </w:rPr>
        <w:t xml:space="preserve">投  标  文  件</w:t>
      </w:r>
      <w:r/>
    </w:p>
    <w:p>
      <w:pPr>
        <w:pStyle w:val="854"/>
        <w:jc w:val="center"/>
        <w:spacing w:beforeAutospacing="0" w:afterAutospacing="0"/>
        <w:rPr>
          <w:color w:val="auto"/>
        </w:rPr>
      </w:pPr>
      <w:r>
        <w:rPr>
          <w:color w:val="auto"/>
        </w:rPr>
        <w:t xml:space="preserve"> </w:t>
      </w:r>
      <w:r/>
    </w:p>
    <w:p>
      <w:pPr>
        <w:pStyle w:val="854"/>
        <w:jc w:val="center"/>
        <w:spacing w:beforeAutospacing="0" w:afterAutospacing="0"/>
        <w:rPr>
          <w:color w:val="auto"/>
        </w:rPr>
      </w:pPr>
      <w:r>
        <w:rPr>
          <w:color w:val="auto"/>
        </w:rPr>
        <w:t xml:space="preserve"> </w:t>
      </w:r>
      <w:r/>
    </w:p>
    <w:p>
      <w:pPr>
        <w:pStyle w:val="854"/>
        <w:jc w:val="center"/>
        <w:spacing w:beforeAutospacing="0" w:afterAutospacing="0"/>
        <w:rPr>
          <w:color w:val="auto"/>
        </w:rPr>
      </w:pPr>
      <w:r>
        <w:rPr>
          <w:color w:val="auto"/>
        </w:rPr>
        <w:t xml:space="preserve"> </w:t>
      </w:r>
      <w:r/>
    </w:p>
    <w:p>
      <w:pPr>
        <w:pStyle w:val="854"/>
        <w:jc w:val="center"/>
        <w:spacing w:beforeAutospacing="0" w:afterAutospacing="0"/>
        <w:rPr>
          <w:color w:val="auto"/>
        </w:rPr>
      </w:pPr>
      <w:r>
        <w:rPr>
          <w:color w:val="auto"/>
        </w:rPr>
      </w:r>
      <w:r/>
    </w:p>
    <w:p>
      <w:pPr>
        <w:pStyle w:val="854"/>
        <w:jc w:val="center"/>
        <w:spacing w:beforeAutospacing="0" w:afterAutospacing="0"/>
        <w:rPr>
          <w:color w:val="auto"/>
        </w:rPr>
      </w:pPr>
      <w:r>
        <w:rPr>
          <w:color w:val="auto"/>
        </w:rPr>
      </w:r>
      <w:r/>
    </w:p>
    <w:p>
      <w:pPr>
        <w:pStyle w:val="854"/>
        <w:jc w:val="center"/>
        <w:spacing w:beforeAutospacing="0" w:afterAutospacing="0"/>
        <w:rPr>
          <w:color w:val="auto"/>
        </w:rPr>
      </w:pPr>
      <w:r>
        <w:rPr>
          <w:color w:val="auto"/>
        </w:rPr>
      </w:r>
      <w:r/>
    </w:p>
    <w:p>
      <w:pPr>
        <w:pStyle w:val="854"/>
        <w:jc w:val="center"/>
        <w:spacing w:beforeAutospacing="0" w:afterAutospacing="0"/>
        <w:rPr>
          <w:color w:val="auto"/>
        </w:rPr>
      </w:pPr>
      <w:r>
        <w:rPr>
          <w:color w:val="auto"/>
        </w:rPr>
      </w:r>
      <w:r/>
    </w:p>
    <w:p>
      <w:pPr>
        <w:pStyle w:val="854"/>
        <w:jc w:val="center"/>
        <w:spacing w:beforeAutospacing="0" w:afterAutospacing="0"/>
        <w:rPr>
          <w:color w:val="auto"/>
        </w:rPr>
      </w:pPr>
      <w:r>
        <w:rPr>
          <w:color w:val="auto"/>
        </w:rPr>
      </w:r>
      <w:r/>
    </w:p>
    <w:p>
      <w:pPr>
        <w:pStyle w:val="854"/>
        <w:jc w:val="center"/>
        <w:spacing w:beforeAutospacing="0" w:afterAutospacing="0"/>
        <w:rPr>
          <w:color w:val="auto"/>
        </w:rPr>
      </w:pPr>
      <w:r>
        <w:rPr>
          <w:color w:val="auto"/>
        </w:rPr>
      </w:r>
      <w:r/>
    </w:p>
    <w:p>
      <w:pPr>
        <w:pStyle w:val="854"/>
        <w:jc w:val="center"/>
        <w:spacing w:beforeAutospacing="0" w:afterAutospacing="0"/>
        <w:rPr>
          <w:color w:val="auto"/>
        </w:rPr>
      </w:pPr>
      <w:r>
        <w:rPr>
          <w:color w:val="auto"/>
        </w:rPr>
      </w:r>
      <w:r/>
    </w:p>
    <w:p>
      <w:pPr>
        <w:pStyle w:val="854"/>
        <w:jc w:val="center"/>
        <w:spacing w:beforeAutospacing="0" w:afterAutospacing="0"/>
        <w:rPr>
          <w:color w:val="auto"/>
        </w:rPr>
      </w:pPr>
      <w:r>
        <w:rPr>
          <w:color w:val="auto"/>
        </w:rPr>
      </w:r>
      <w:r/>
    </w:p>
    <w:p>
      <w:pPr>
        <w:pStyle w:val="854"/>
        <w:jc w:val="center"/>
        <w:spacing w:beforeAutospacing="0" w:afterAutospacing="0"/>
        <w:rPr>
          <w:color w:val="auto"/>
        </w:rPr>
      </w:pPr>
      <w:r>
        <w:rPr>
          <w:color w:val="auto"/>
        </w:rPr>
      </w:r>
      <w:r/>
    </w:p>
    <w:p>
      <w:pPr>
        <w:pStyle w:val="854"/>
        <w:jc w:val="center"/>
        <w:spacing w:beforeAutospacing="0" w:afterAutospacing="0"/>
        <w:rPr>
          <w:color w:val="auto"/>
        </w:rPr>
      </w:pPr>
      <w:r>
        <w:rPr>
          <w:color w:val="auto"/>
        </w:rPr>
      </w:r>
      <w:r/>
    </w:p>
    <w:p>
      <w:pPr>
        <w:pStyle w:val="854"/>
        <w:jc w:val="center"/>
        <w:spacing w:beforeAutospacing="0" w:afterAutospacing="0"/>
        <w:rPr>
          <w:color w:val="auto"/>
        </w:rPr>
      </w:pPr>
      <w:r>
        <w:rPr>
          <w:color w:val="auto"/>
        </w:rPr>
      </w:r>
      <w:r/>
    </w:p>
    <w:p>
      <w:pPr>
        <w:pStyle w:val="854"/>
        <w:jc w:val="center"/>
        <w:spacing w:beforeAutospacing="0" w:afterAutospacing="0"/>
        <w:rPr>
          <w:color w:val="auto"/>
        </w:rPr>
      </w:pPr>
      <w:r>
        <w:rPr>
          <w:color w:val="auto"/>
        </w:rPr>
      </w:r>
      <w:r/>
    </w:p>
    <w:p>
      <w:pPr>
        <w:pStyle w:val="854"/>
        <w:jc w:val="center"/>
        <w:spacing w:beforeAutospacing="0" w:afterAutospacing="0"/>
        <w:rPr>
          <w:color w:val="auto"/>
        </w:rPr>
      </w:pPr>
      <w:r>
        <w:rPr>
          <w:color w:val="auto"/>
        </w:rPr>
      </w:r>
      <w:r/>
    </w:p>
    <w:p>
      <w:pPr>
        <w:pStyle w:val="854"/>
        <w:jc w:val="center"/>
        <w:spacing w:beforeAutospacing="0" w:afterAutospacing="0"/>
        <w:rPr>
          <w:color w:val="auto"/>
        </w:rPr>
      </w:pPr>
      <w:r>
        <w:rPr>
          <w:color w:val="auto"/>
        </w:rPr>
      </w:r>
      <w:r/>
    </w:p>
    <w:p>
      <w:pPr>
        <w:pStyle w:val="854"/>
        <w:jc w:val="center"/>
        <w:spacing w:beforeAutospacing="0" w:afterAutospacing="0"/>
        <w:rPr>
          <w:color w:val="auto"/>
        </w:rPr>
      </w:pPr>
      <w:r>
        <w:rPr>
          <w:color w:val="auto"/>
        </w:rPr>
      </w:r>
      <w:r/>
    </w:p>
    <w:p>
      <w:pPr>
        <w:pStyle w:val="854"/>
        <w:jc w:val="center"/>
        <w:spacing w:beforeAutospacing="0" w:afterAutospacing="0"/>
        <w:rPr>
          <w:color w:val="auto"/>
        </w:rPr>
      </w:pPr>
      <w:r>
        <w:rPr>
          <w:color w:val="auto"/>
        </w:rPr>
      </w:r>
      <w:r/>
    </w:p>
    <w:p>
      <w:pPr>
        <w:pStyle w:val="854"/>
        <w:jc w:val="center"/>
        <w:spacing w:beforeAutospacing="0" w:afterAutospacing="0"/>
        <w:rPr>
          <w:color w:val="auto"/>
        </w:rPr>
      </w:pPr>
      <w:r>
        <w:rPr>
          <w:color w:val="auto"/>
        </w:rPr>
      </w:r>
      <w:r/>
    </w:p>
    <w:p>
      <w:pPr>
        <w:pStyle w:val="854"/>
        <w:jc w:val="center"/>
        <w:spacing w:beforeAutospacing="0" w:afterAutospacing="0"/>
        <w:rPr>
          <w:color w:val="auto"/>
        </w:rPr>
      </w:pPr>
      <w:r>
        <w:rPr>
          <w:color w:val="auto"/>
        </w:rPr>
        <w:t xml:space="preserve"> </w:t>
      </w:r>
      <w:r/>
    </w:p>
    <w:p>
      <w:pPr>
        <w:pStyle w:val="854"/>
        <w:jc w:val="center"/>
        <w:spacing w:beforeAutospacing="0" w:afterAutospacing="0"/>
        <w:rPr>
          <w:color w:val="auto"/>
        </w:rPr>
      </w:pPr>
      <w:r>
        <w:rPr>
          <w:color w:val="auto"/>
        </w:rPr>
        <w:t xml:space="preserve"> </w:t>
      </w:r>
      <w:r/>
    </w:p>
    <w:p>
      <w:pPr>
        <w:pStyle w:val="854"/>
        <w:ind w:firstLine="1084"/>
        <w:jc w:val="both"/>
        <w:spacing w:beforeAutospacing="0" w:afterAutospacing="0"/>
        <w:rPr>
          <w:color w:val="auto"/>
        </w:rPr>
      </w:pPr>
      <w:r>
        <w:rPr>
          <w:rFonts w:hint="eastAsia" w:ascii="宋体" w:hAnsi="宋体" w:eastAsia="宋体" w:cs="宋体"/>
          <w:b/>
          <w:color w:val="auto"/>
          <w:sz w:val="36"/>
          <w:szCs w:val="36"/>
        </w:rPr>
        <w:t xml:space="preserve">项目 名 称：</w:t>
      </w:r>
      <w:r>
        <w:rPr>
          <w:rFonts w:hint="eastAsia" w:ascii="宋体" w:hAnsi="宋体" w:eastAsia="宋体" w:cs="宋体"/>
          <w:b/>
          <w:color w:val="auto"/>
          <w:sz w:val="36"/>
          <w:szCs w:val="36"/>
          <w:u w:val="single"/>
        </w:rPr>
        <w:t xml:space="preserve">               </w:t>
      </w:r>
      <w:r/>
    </w:p>
    <w:p>
      <w:pPr>
        <w:pStyle w:val="854"/>
        <w:ind w:firstLine="1084"/>
        <w:jc w:val="both"/>
        <w:spacing w:beforeAutospacing="0" w:afterAutospacing="0"/>
        <w:rPr>
          <w:color w:val="auto"/>
        </w:rPr>
      </w:pPr>
      <w:r>
        <w:rPr>
          <w:rFonts w:hint="eastAsia" w:ascii="宋体" w:hAnsi="宋体" w:eastAsia="宋体" w:cs="宋体"/>
          <w:b/>
          <w:color w:val="auto"/>
          <w:sz w:val="36"/>
          <w:szCs w:val="36"/>
        </w:rPr>
        <w:t xml:space="preserve">项目 编 号：</w:t>
      </w:r>
      <w:r>
        <w:rPr>
          <w:rFonts w:hint="eastAsia" w:ascii="宋体" w:hAnsi="宋体" w:eastAsia="宋体" w:cs="宋体"/>
          <w:b/>
          <w:color w:val="auto"/>
          <w:sz w:val="36"/>
          <w:szCs w:val="36"/>
          <w:u w:val="single"/>
        </w:rPr>
        <w:t xml:space="preserve">               </w:t>
      </w:r>
      <w:r/>
    </w:p>
    <w:p>
      <w:pPr>
        <w:pStyle w:val="854"/>
        <w:jc w:val="both"/>
        <w:spacing w:beforeAutospacing="0" w:afterAutospacing="0"/>
        <w:rPr>
          <w:color w:val="auto"/>
        </w:rPr>
      </w:pPr>
      <w:r>
        <w:rPr>
          <w:rFonts w:hint="eastAsia" w:ascii="宋体" w:hAnsi="宋体" w:eastAsia="宋体" w:cs="宋体"/>
          <w:b/>
          <w:color w:val="auto"/>
          <w:sz w:val="36"/>
          <w:szCs w:val="36"/>
        </w:rPr>
        <w:t xml:space="preserve">   投标人名称 ：</w:t>
      </w:r>
      <w:r>
        <w:rPr>
          <w:rFonts w:hint="eastAsia" w:ascii="宋体" w:hAnsi="宋体" w:eastAsia="宋体" w:cs="宋体"/>
          <w:b/>
          <w:color w:val="auto"/>
          <w:sz w:val="36"/>
          <w:szCs w:val="36"/>
          <w:u w:val="single"/>
        </w:rPr>
        <w:t xml:space="preserve">（加盖CA电子公章）        </w:t>
      </w:r>
      <w:r/>
    </w:p>
    <w:p>
      <w:pPr>
        <w:pStyle w:val="854"/>
        <w:jc w:val="both"/>
        <w:spacing w:beforeAutospacing="0" w:afterAutospacing="0"/>
        <w:rPr>
          <w:color w:val="auto"/>
        </w:rPr>
      </w:pPr>
      <w:r>
        <w:rPr>
          <w:rFonts w:hint="eastAsia" w:ascii="宋体" w:hAnsi="宋体" w:eastAsia="宋体" w:cs="宋体"/>
          <w:b/>
          <w:color w:val="auto"/>
          <w:sz w:val="36"/>
          <w:szCs w:val="36"/>
        </w:rPr>
        <w:t xml:space="preserve">   日   期 ：</w:t>
      </w:r>
      <w:r>
        <w:rPr>
          <w:rFonts w:hint="eastAsia" w:ascii="宋体" w:hAnsi="宋体" w:eastAsia="宋体" w:cs="宋体"/>
          <w:b/>
          <w:color w:val="auto"/>
          <w:sz w:val="36"/>
          <w:szCs w:val="36"/>
          <w:u w:val="single"/>
        </w:rPr>
        <w:t xml:space="preserve">                     </w:t>
      </w:r>
      <w:r/>
    </w:p>
    <w:p>
      <w:pPr>
        <w:pStyle w:val="854"/>
        <w:jc w:val="center"/>
        <w:spacing w:beforeAutospacing="0" w:afterAutospacing="0" w:line="0" w:lineRule="atLeast"/>
        <w:rPr>
          <w:color w:val="auto"/>
        </w:rPr>
      </w:pPr>
      <w:r>
        <w:rPr>
          <w:color w:val="auto"/>
        </w:rPr>
        <w:t xml:space="preserve"> </w:t>
      </w:r>
      <w:r/>
    </w:p>
    <w:p>
      <w:pPr>
        <w:pStyle w:val="854"/>
        <w:jc w:val="both"/>
        <w:spacing w:beforeAutospacing="0" w:afterAutospacing="0" w:line="0" w:lineRule="atLeast"/>
        <w:rPr>
          <w:color w:val="auto"/>
        </w:rPr>
      </w:pPr>
      <w:r>
        <w:rPr>
          <w:color w:val="auto"/>
        </w:rPr>
        <w:t xml:space="preserve"> </w:t>
      </w:r>
      <w:r/>
    </w:p>
    <w:p>
      <w:pPr>
        <w:ind w:firstLine="0"/>
        <w:jc w:val="center"/>
        <w:spacing w:line="240" w:lineRule="auto"/>
        <w:rPr>
          <w:rFonts w:hint="eastAsia" w:ascii="宋体" w:hAnsi="宋体"/>
          <w:b/>
          <w:bCs/>
          <w:color w:val="auto"/>
          <w:sz w:val="32"/>
          <w:szCs w:val="32"/>
        </w:rPr>
      </w:pPr>
      <w:r/>
      <w:bookmarkStart w:id="195" w:name="_Hlt26609389"/>
      <w:r/>
      <w:bookmarkStart w:id="196" w:name="_Hlt26955054"/>
      <w:r/>
      <w:bookmarkStart w:id="197" w:name="_Toc462564146"/>
      <w:r/>
      <w:bookmarkStart w:id="198" w:name="_Hlt26955070"/>
      <w:r/>
      <w:bookmarkStart w:id="199" w:name="_格式2__法定代表人授权书"/>
      <w:r/>
      <w:bookmarkStart w:id="200" w:name="_Hlt26955066"/>
      <w:r/>
      <w:bookmarkStart w:id="201" w:name="_格式3__银行出具的资信证明"/>
      <w:r/>
      <w:bookmarkStart w:id="202" w:name="_Hlt26671374"/>
      <w:r/>
      <w:bookmarkStart w:id="203" w:name="_Hlt26671380"/>
      <w:r>
        <w:rPr>
          <w:rFonts w:hint="eastAsia" w:ascii="宋体" w:hAnsi="宋体"/>
          <w:b/>
          <w:bCs/>
          <w:color w:val="auto"/>
          <w:sz w:val="32"/>
          <w:szCs w:val="32"/>
        </w:rPr>
        <w:t xml:space="preserve">投标文件目录</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一、开标一览表（系统固定格式）</w:t>
      </w:r>
      <w:r/>
    </w:p>
    <w:p>
      <w:pPr>
        <w:ind w:firstLine="480"/>
        <w:spacing w:line="440" w:lineRule="exact"/>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二、资格审查资料</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（1）法人或者其他组织的营业执照等证明文件，自然人的身份证明。</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（2）上一年度（或上上年度）经审计的财务报告（投标人成立不满一年无需提供）。</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（4）具备履行合同所必需的设备和专业技术能力的书面声明。</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（5）参加政府采购活动前 3 年内在经营活动中没有重大违法记录的书面声明。</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（6）投标人法定代表人身份证明和投标文件签署授权委托书（另附法定代表人和被授权人的身份证复印件或扫描件）。</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（7）投标人为被授权人缴纳的社会养老保险证明。</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（8）与资格审查有关的其他资料（如有）。</w:t>
      </w:r>
      <w:r/>
    </w:p>
    <w:p>
      <w:pPr>
        <w:ind w:firstLine="480"/>
        <w:spacing w:line="440" w:lineRule="exact"/>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三、符合性资料</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（1）投标报价明细表；</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（2）投标函；</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（3）所供服务（服务附带的产品）内容及服务要求偏离表；</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（4）投标人的服务承诺；</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（5）东台市政府采购事前信用承诺书；</w:t>
      </w:r>
      <w:r/>
    </w:p>
    <w:p>
      <w:pPr>
        <w:ind w:firstLine="480"/>
        <w:spacing w:line="440" w:lineRule="exact"/>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四、综合评审相关资料</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五、价格折扣文件</w:t>
      </w:r>
      <w:r/>
    </w:p>
    <w:p>
      <w:pPr>
        <w:jc w:val="center"/>
        <w:rPr>
          <w:rFonts w:hint="eastAsia" w:ascii="黑体" w:eastAsia="黑体"/>
          <w:b/>
          <w:bCs/>
          <w:color w:val="auto"/>
          <w:sz w:val="32"/>
          <w:szCs w:val="32"/>
          <w:highlight w:val="none"/>
        </w:rPr>
      </w:pPr>
      <w:r>
        <w:rPr>
          <w:rFonts w:hint="eastAsia" w:ascii="黑体" w:hAnsi="黑体" w:eastAsia="黑体"/>
          <w:i/>
          <w:color w:val="auto"/>
          <w:sz w:val="32"/>
          <w:szCs w:val="32"/>
          <w:u w:val="single"/>
        </w:rPr>
        <w:br w:type="page" w:clear="all"/>
      </w:r>
      <w:bookmarkStart w:id="204" w:name="_Toc120614284"/>
      <w:r>
        <w:rPr>
          <w:rFonts w:hint="eastAsia" w:ascii="黑体" w:hAnsi="Times New Roman" w:eastAsia="黑体" w:cs="Times New Roman"/>
          <w:b/>
          <w:bCs/>
          <w:i w:val="0"/>
          <w:color w:val="auto"/>
          <w:sz w:val="32"/>
          <w:szCs w:val="32"/>
          <w:highlight w:val="none"/>
          <w:u w:val="none"/>
          <w:lang w:val="en-US" w:eastAsia="zh-CN"/>
        </w:rPr>
        <w:t xml:space="preserve">1.</w:t>
      </w:r>
      <w:r>
        <w:rPr>
          <w:rFonts w:hint="eastAsia" w:ascii="黑体" w:hAnsi="Times New Roman" w:eastAsia="黑体" w:cs="Times New Roman"/>
          <w:b/>
          <w:bCs/>
          <w:color w:val="auto"/>
          <w:sz w:val="32"/>
          <w:szCs w:val="32"/>
          <w:highlight w:val="none"/>
        </w:rPr>
        <w:t xml:space="preserve">具有履</w:t>
      </w:r>
      <w:r>
        <w:rPr>
          <w:rFonts w:hint="eastAsia" w:ascii="黑体" w:eastAsia="黑体"/>
          <w:b/>
          <w:bCs/>
          <w:color w:val="auto"/>
          <w:sz w:val="32"/>
          <w:szCs w:val="32"/>
          <w:highlight w:val="none"/>
        </w:rPr>
        <w:t xml:space="preserve">行合同所必需的设备和专业技术能力的书面声明</w:t>
      </w:r>
      <w:r/>
    </w:p>
    <w:p>
      <w:pPr>
        <w:rPr>
          <w:rFonts w:hint="eastAsia" w:ascii="仿宋" w:eastAsia="仿宋"/>
          <w:color w:val="auto"/>
          <w:sz w:val="24"/>
          <w:highlight w:val="none"/>
        </w:rPr>
      </w:pPr>
      <w:r>
        <w:rPr>
          <w:rFonts w:hint="eastAsia" w:ascii="仿宋" w:eastAsia="仿宋"/>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92"/>
        <w:spacing w:line="460" w:lineRule="exact"/>
        <w:rPr>
          <w:rFonts w:hint="eastAsia" w:ascii="宋体" w:hAnsi="宋体" w:eastAsia="宋体" w:cs="宋体"/>
          <w:bCs/>
          <w:color w:val="auto"/>
          <w:sz w:val="24"/>
        </w:rPr>
      </w:pPr>
      <w:r>
        <w:rPr>
          <w:rFonts w:hint="eastAsia" w:ascii="宋体" w:hAnsi="宋体" w:eastAsia="宋体" w:cs="宋体"/>
          <w:bCs/>
          <w:color w:val="auto"/>
          <w:sz w:val="24"/>
        </w:rPr>
      </w:r>
      <w:r/>
    </w:p>
    <w:p>
      <w:pPr>
        <w:spacing w:line="460" w:lineRule="exact"/>
        <w:rPr>
          <w:rFonts w:hint="eastAsia" w:ascii="宋体" w:hAnsi="宋体"/>
          <w:bCs/>
          <w:color w:val="auto"/>
          <w:sz w:val="24"/>
        </w:rPr>
      </w:pPr>
      <w:r>
        <w:rPr>
          <w:rFonts w:hint="eastAsia" w:ascii="宋体" w:hAnsi="宋体"/>
          <w:bCs/>
          <w:color w:val="auto"/>
          <w:sz w:val="24"/>
        </w:rPr>
        <w:t xml:space="preserve">                                     </w:t>
      </w:r>
      <w:r/>
    </w:p>
    <w:p>
      <w:pPr>
        <w:pStyle w:val="849"/>
        <w:ind w:firstLine="0"/>
        <w:rPr>
          <w:rFonts w:hint="eastAsia"/>
          <w:color w:val="auto"/>
        </w:rPr>
      </w:pPr>
      <w:r>
        <w:rPr>
          <w:rFonts w:hint="eastAsia"/>
          <w:color w:val="auto"/>
        </w:rPr>
      </w:r>
      <w:r/>
    </w:p>
    <w:p>
      <w:pPr>
        <w:jc w:val="center"/>
        <w:spacing w:line="600" w:lineRule="exact"/>
        <w:rPr>
          <w:rFonts w:hint="eastAsia" w:ascii="黑体" w:eastAsia="黑体"/>
          <w:b/>
          <w:bCs/>
          <w:color w:val="auto"/>
          <w:sz w:val="32"/>
          <w:szCs w:val="32"/>
          <w:highlight w:val="none"/>
        </w:rPr>
      </w:pPr>
      <w:r>
        <w:rPr>
          <w:rFonts w:hint="eastAsia" w:ascii="黑体" w:hAnsi="黑体" w:eastAsia="黑体"/>
          <w:i/>
          <w:color w:val="auto"/>
          <w:sz w:val="32"/>
          <w:szCs w:val="32"/>
          <w:u w:val="single"/>
        </w:rPr>
        <w:br w:type="page" w:clear="all"/>
      </w:r>
      <w:r>
        <w:rPr>
          <w:rFonts w:hint="eastAsia" w:ascii="黑体" w:hAnsi="Calibri" w:eastAsia="黑体" w:cs="Times New Roman"/>
          <w:b/>
          <w:bCs/>
          <w:i w:val="0"/>
          <w:color w:val="auto"/>
          <w:sz w:val="32"/>
          <w:szCs w:val="32"/>
          <w:highlight w:val="none"/>
          <w:u w:val="none"/>
          <w:lang w:val="en-US" w:eastAsia="zh-CN"/>
        </w:rPr>
        <w:t xml:space="preserve">2.</w:t>
      </w:r>
      <w:r>
        <w:rPr>
          <w:rFonts w:hint="eastAsia" w:ascii="黑体" w:hAnsi="Calibri" w:eastAsia="黑体" w:cs="Times New Roman"/>
          <w:b/>
          <w:bCs/>
          <w:color w:val="auto"/>
          <w:sz w:val="32"/>
          <w:szCs w:val="32"/>
          <w:highlight w:val="none"/>
        </w:rPr>
        <w:t xml:space="preserve">参加政</w:t>
      </w:r>
      <w:r>
        <w:rPr>
          <w:rFonts w:hint="eastAsia" w:ascii="黑体" w:eastAsia="黑体"/>
          <w:b/>
          <w:bCs/>
          <w:color w:val="auto"/>
          <w:sz w:val="32"/>
          <w:szCs w:val="32"/>
          <w:highlight w:val="none"/>
        </w:rPr>
        <w:t xml:space="preserve">府采购活动前3年内在经营活动中</w:t>
      </w:r>
      <w:r/>
    </w:p>
    <w:p>
      <w:pPr>
        <w:jc w:val="center"/>
        <w:spacing w:line="600" w:lineRule="exact"/>
        <w:rPr>
          <w:rFonts w:hint="eastAsia" w:ascii="黑体" w:eastAsia="黑体"/>
          <w:b/>
          <w:bCs/>
          <w:color w:val="auto"/>
          <w:sz w:val="32"/>
          <w:szCs w:val="32"/>
          <w:highlight w:val="none"/>
        </w:rPr>
      </w:pPr>
      <w:r>
        <w:rPr>
          <w:rFonts w:hint="eastAsia" w:ascii="黑体" w:eastAsia="黑体"/>
          <w:b/>
          <w:bCs/>
          <w:color w:val="auto"/>
          <w:sz w:val="32"/>
          <w:szCs w:val="32"/>
          <w:highlight w:val="none"/>
        </w:rPr>
        <w:t xml:space="preserve">没有重大违法记录的书面声明</w:t>
      </w:r>
      <w:r/>
    </w:p>
    <w:p>
      <w:pPr>
        <w:spacing w:line="600" w:lineRule="exact"/>
        <w:rPr>
          <w:rFonts w:hint="eastAsia" w:ascii="仿宋" w:eastAsia="仿宋"/>
          <w:color w:val="auto"/>
          <w:sz w:val="24"/>
          <w:highlight w:val="none"/>
        </w:rPr>
      </w:pPr>
      <w:r>
        <w:rPr>
          <w:rFonts w:hint="eastAsia" w:ascii="仿宋" w:eastAsia="仿宋"/>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460" w:lineRule="exact"/>
        <w:rPr>
          <w:rFonts w:hint="eastAsia" w:ascii="宋体" w:hAnsi="宋体"/>
          <w:bCs/>
          <w:color w:val="auto"/>
          <w:sz w:val="24"/>
        </w:rPr>
      </w:pPr>
      <w:r>
        <w:rPr>
          <w:rFonts w:hint="eastAsia" w:ascii="宋体" w:hAnsi="宋体"/>
          <w:bCs/>
          <w:color w:val="auto"/>
          <w:sz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jc w:val="center"/>
        <w:spacing w:line="600" w:lineRule="exact"/>
        <w:rPr>
          <w:rFonts w:hint="eastAsia" w:ascii="黑体" w:eastAsia="黑体"/>
          <w:b/>
          <w:bCs/>
          <w:color w:val="auto"/>
          <w:sz w:val="32"/>
          <w:szCs w:val="32"/>
          <w:highlight w:val="none"/>
        </w:rPr>
        <w:outlineLvl w:val="1"/>
      </w:pPr>
      <w:r>
        <w:rPr>
          <w:rFonts w:hint="eastAsia" w:ascii="黑体" w:hAnsi="黑体" w:eastAsia="黑体"/>
          <w:i/>
          <w:color w:val="auto"/>
          <w:sz w:val="32"/>
          <w:szCs w:val="32"/>
          <w:u w:val="single"/>
        </w:rPr>
        <w:br w:type="page" w:clear="all"/>
      </w:r>
      <w:r>
        <w:rPr>
          <w:rFonts w:hint="eastAsia" w:ascii="黑体" w:hAnsi="Calibri" w:eastAsia="黑体" w:cs="Times New Roman"/>
          <w:b/>
          <w:bCs/>
          <w:color w:val="auto"/>
          <w:sz w:val="32"/>
          <w:szCs w:val="32"/>
          <w:highlight w:val="none"/>
          <w:lang w:val="en-US" w:eastAsia="zh-CN"/>
        </w:rPr>
        <w:t xml:space="preserve">3.</w:t>
      </w:r>
      <w:r>
        <w:rPr>
          <w:rFonts w:hint="eastAsia" w:ascii="黑体" w:hAnsi="Calibri" w:eastAsia="黑体" w:cs="Times New Roman"/>
          <w:b/>
          <w:bCs/>
          <w:color w:val="auto"/>
          <w:sz w:val="32"/>
          <w:szCs w:val="32"/>
          <w:highlight w:val="none"/>
        </w:rPr>
        <w:t xml:space="preserve">法</w:t>
      </w:r>
      <w:r>
        <w:rPr>
          <w:rFonts w:hint="eastAsia" w:ascii="黑体" w:eastAsia="黑体"/>
          <w:b/>
          <w:bCs/>
          <w:color w:val="auto"/>
          <w:sz w:val="32"/>
          <w:szCs w:val="32"/>
          <w:highlight w:val="none"/>
        </w:rPr>
        <w:t xml:space="preserve">定代表人身份证明书</w:t>
      </w:r>
      <w:r/>
    </w:p>
    <w:p>
      <w:pPr>
        <w:jc w:val="center"/>
        <w:spacing w:line="600" w:lineRule="exact"/>
        <w:rPr>
          <w:rFonts w:hint="eastAsia" w:ascii="黑体" w:eastAsia="黑体"/>
          <w:b/>
          <w:color w:val="auto"/>
          <w:sz w:val="28"/>
          <w:highlight w:val="none"/>
        </w:rPr>
      </w:pPr>
      <w:r>
        <w:rPr>
          <w:rFonts w:hint="eastAsia" w:ascii="黑体" w:eastAsia="黑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联系电话（手机号码）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highlight w:val="none"/>
        </w:rPr>
        <w:t xml:space="preserve">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jc w:val="center"/>
        <w:spacing w:line="400" w:lineRule="exact"/>
        <w:rPr>
          <w:rFonts w:hint="eastAsia" w:ascii="黑体" w:eastAsia="黑体"/>
          <w:color w:val="auto"/>
          <w:sz w:val="28"/>
          <w:highlight w:val="none"/>
        </w:rPr>
      </w:pPr>
      <w:r>
        <w:rPr>
          <w:rFonts w:hint="eastAsia" w:ascii="黑体" w:hAnsi="黑体" w:eastAsia="黑体"/>
          <w:i/>
          <w:color w:val="auto"/>
          <w:sz w:val="32"/>
          <w:szCs w:val="32"/>
          <w:u w:val="single"/>
        </w:rPr>
        <w:br w:type="page" w:clear="all"/>
      </w:r>
      <w:r>
        <w:rPr>
          <w:rFonts w:hint="eastAsia" w:ascii="黑体" w:hAnsi="Times New Roman" w:eastAsia="黑体" w:cs="Times New Roman"/>
          <w:b/>
          <w:bCs/>
          <w:i w:val="0"/>
          <w:color w:val="auto"/>
          <w:sz w:val="32"/>
          <w:szCs w:val="32"/>
          <w:highlight w:val="none"/>
          <w:u w:val="none"/>
          <w:lang w:val="en-US" w:eastAsia="zh-CN"/>
        </w:rPr>
        <w:t xml:space="preserve">4.</w:t>
      </w:r>
      <w:r>
        <w:rPr>
          <w:rFonts w:hint="eastAsia" w:ascii="黑体" w:hAnsi="Times New Roman" w:eastAsia="黑体" w:cs="Times New Roman"/>
          <w:b/>
          <w:bCs/>
          <w:color w:val="auto"/>
          <w:sz w:val="32"/>
          <w:szCs w:val="32"/>
          <w:highlight w:val="none"/>
        </w:rPr>
        <w:t xml:space="preserve">授权委托</w:t>
      </w:r>
      <w:r>
        <w:rPr>
          <w:rFonts w:hint="eastAsia" w:ascii="黑体" w:eastAsia="黑体"/>
          <w:b/>
          <w:bCs/>
          <w:color w:val="auto"/>
          <w:sz w:val="32"/>
          <w:szCs w:val="32"/>
          <w:highlight w:val="none"/>
        </w:rPr>
        <w:t xml:space="preserve">书</w:t>
      </w:r>
      <w:r/>
    </w:p>
    <w:p>
      <w:pPr>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本授权书声明：</w:t>
      </w:r>
      <w:r>
        <w:rPr>
          <w:rFonts w:hint="eastAsia" w:ascii="宋体" w:hAnsi="宋体" w:eastAsia="宋体" w:cs="宋体"/>
          <w:color w:val="auto"/>
          <w:sz w:val="24"/>
          <w:highlight w:val="none"/>
        </w:rPr>
        <w:t xml:space="preserve">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szCs w:val="24"/>
        </w:rPr>
        <w:t xml:space="preserve">____________（投标人名称）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szCs w:val="24"/>
        </w:rPr>
        <w:t xml:space="preserve">________________（被授权人的姓名）为</w:t>
      </w:r>
      <w:r>
        <w:rPr>
          <w:rFonts w:hint="eastAsia" w:ascii="宋体" w:hAnsi="宋体" w:eastAsia="宋体" w:cs="宋体"/>
          <w:color w:val="auto"/>
          <w:sz w:val="24"/>
          <w:szCs w:val="24"/>
          <w:lang w:val="en-US" w:eastAsia="zh-CN"/>
        </w:rPr>
        <w:t xml:space="preserve">我单位</w:t>
      </w:r>
      <w:r>
        <w:rPr>
          <w:rFonts w:hint="eastAsia" w:ascii="宋体" w:hAnsi="宋体" w:eastAsia="宋体" w:cs="宋体"/>
          <w:color w:val="auto"/>
          <w:sz w:val="24"/>
          <w:szCs w:val="24"/>
        </w:rPr>
        <w:t xml:space="preserve">就JSZC-</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号项目的</w:t>
      </w:r>
      <w:r>
        <w:rPr>
          <w:rFonts w:hint="eastAsia" w:ascii="宋体" w:hAnsi="宋体" w:eastAsia="宋体" w:cs="宋体"/>
          <w:color w:val="auto"/>
          <w:sz w:val="24"/>
          <w:szCs w:val="24"/>
          <w:lang w:eastAsia="zh-CN"/>
        </w:rPr>
        <w:t xml:space="preserve">投标文件</w:t>
      </w:r>
      <w:r>
        <w:rPr>
          <w:rFonts w:hint="eastAsia" w:ascii="宋体" w:hAnsi="宋体" w:eastAsia="宋体" w:cs="宋体"/>
          <w:color w:val="auto"/>
          <w:sz w:val="24"/>
          <w:szCs w:val="24"/>
        </w:rPr>
        <w:t xml:space="preserve">的法定代表人授权委托代理，</w:t>
      </w:r>
      <w:r>
        <w:rPr>
          <w:rFonts w:hint="eastAsia" w:ascii="宋体" w:hAnsi="宋体" w:eastAsia="宋体" w:cs="宋体"/>
          <w:color w:val="auto"/>
          <w:sz w:val="24"/>
          <w:highlight w:val="none"/>
        </w:rPr>
        <w:t xml:space="preserve">我承认</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rPr>
          <w:rFonts w:hint="eastAsia" w:ascii="宋体" w:hAnsi="宋体" w:eastAsia="宋体" w:cs="宋体"/>
          <w:color w:val="auto"/>
          <w:sz w:val="24"/>
          <w:szCs w:val="24"/>
        </w:rPr>
        <w:t xml:space="preserve">以本单位名义全权处理一切与该项目采购有关的事务。</w:t>
      </w:r>
      <w:r/>
    </w:p>
    <w:p>
      <w:pPr>
        <w:pStyle w:val="864"/>
        <w:ind w:firstLine="48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本授权书于______年____月____日起生效，特此声明。</w:t>
      </w:r>
      <w:r/>
    </w:p>
    <w:p>
      <w:pPr>
        <w:pStyle w:val="864"/>
        <w:ind w:firstLine="0"/>
        <w:spacing w:line="48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w:t>
      </w:r>
      <w:r>
        <w:rPr>
          <w:rFonts w:hint="eastAsia" w:ascii="宋体" w:hAnsi="宋体" w:eastAsia="宋体" w:cs="宋体"/>
          <w:color w:val="auto"/>
          <w:sz w:val="24"/>
          <w:highlight w:val="none"/>
        </w:rPr>
        <w:t xml:space="preserve">代理</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szCs w:val="24"/>
        </w:rPr>
        <w:t xml:space="preserve">被授权人身份证号码：</w:t>
      </w:r>
      <w:r>
        <w:rPr>
          <w:rFonts w:hint="eastAsia" w:ascii="宋体" w:hAnsi="宋体" w:eastAsia="宋体" w:cs="宋体"/>
          <w:color w:val="auto"/>
          <w:sz w:val="24"/>
          <w:szCs w:val="24"/>
          <w:u w:val="single"/>
        </w:rPr>
        <w:t xml:space="preserve">                              </w:t>
      </w:r>
      <w:r/>
    </w:p>
    <w:p>
      <w:pPr>
        <w:pStyle w:val="864"/>
        <w:ind w:firstLine="0"/>
        <w:spacing w:line="48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被授权人联系电话：（手机）</w:t>
      </w:r>
      <w:r>
        <w:rPr>
          <w:rFonts w:hint="eastAsia" w:ascii="宋体" w:hAnsi="宋体" w:eastAsia="宋体" w:cs="宋体"/>
          <w:color w:val="auto"/>
          <w:sz w:val="24"/>
          <w:szCs w:val="24"/>
          <w:u w:val="single"/>
        </w:rPr>
        <w:t xml:space="preserve">                          </w:t>
      </w:r>
      <w:r/>
    </w:p>
    <w:p>
      <w:pPr>
        <w:pStyle w:val="864"/>
        <w:ind w:firstLine="120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授权单位名称：</w:t>
      </w:r>
      <w:r>
        <w:rPr>
          <w:rFonts w:hint="eastAsia" w:ascii="宋体" w:hAnsi="宋体" w:eastAsia="宋体" w:cs="宋体"/>
          <w:color w:val="auto"/>
          <w:sz w:val="24"/>
          <w:szCs w:val="24"/>
          <w:u w:val="single"/>
        </w:rPr>
        <w:t xml:space="preserve">（加盖CA电子公章）</w:t>
      </w:r>
      <w:r/>
    </w:p>
    <w:p>
      <w:pPr>
        <w:pStyle w:val="864"/>
        <w:ind w:firstLine="480"/>
        <w:spacing w:line="48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单位地址：</w:t>
      </w:r>
      <w:r>
        <w:rPr>
          <w:rFonts w:hint="eastAsia" w:ascii="宋体" w:hAnsi="宋体" w:eastAsia="宋体" w:cs="宋体"/>
          <w:color w:val="auto"/>
          <w:sz w:val="24"/>
          <w:szCs w:val="24"/>
          <w:u w:val="single"/>
        </w:rPr>
        <w:t xml:space="preserve">                                         </w:t>
      </w:r>
      <w:r/>
    </w:p>
    <w:p>
      <w:pPr>
        <w:pStyle w:val="864"/>
        <w:ind w:firstLine="4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u w:val="single"/>
        </w:rPr>
        <w:t xml:space="preserve">（加盖CA电子公章）</w:t>
      </w:r>
      <w:r/>
    </w:p>
    <w:p>
      <w:pPr>
        <w:pStyle w:val="864"/>
        <w:ind w:firstLine="120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rPr>
          <w:rFonts w:hint="eastAsia" w:ascii="宋体" w:hAnsi="宋体" w:eastAsia="宋体" w:cs="宋体"/>
          <w:color w:val="auto"/>
          <w:sz w:val="24"/>
          <w:szCs w:val="24"/>
          <w:u w:val="single"/>
        </w:rPr>
        <w:t xml:space="preserve">                                         </w:t>
      </w:r>
      <w:r/>
    </w:p>
    <w:p>
      <w:pPr>
        <w:jc w:val="left"/>
        <w:spacing w:line="48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w:t>
      </w:r>
      <w:r>
        <w:rPr>
          <w:rFonts w:hint="eastAsia" w:ascii="宋体" w:hAnsi="宋体" w:eastAsia="宋体" w:cs="宋体"/>
          <w:b/>
          <w:bCs/>
          <w:color w:val="auto"/>
          <w:sz w:val="24"/>
          <w:highlight w:val="none"/>
          <w:lang w:eastAsia="zh-CN"/>
        </w:rPr>
        <w:t xml:space="preserve">被授权人</w:t>
      </w:r>
      <w:r>
        <w:rPr>
          <w:rFonts w:hint="eastAsia" w:ascii="宋体" w:hAnsi="宋体" w:eastAsia="宋体" w:cs="宋体"/>
          <w:b/>
          <w:bCs/>
          <w:color w:val="auto"/>
          <w:sz w:val="24"/>
          <w:highlight w:val="none"/>
        </w:rPr>
        <w:t xml:space="preserve">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pStyle w:val="849"/>
        <w:spacing w:line="480" w:lineRule="auto"/>
        <w:rPr>
          <w:rFonts w:hint="eastAsia" w:ascii="宋体" w:hAnsi="宋体" w:eastAsia="宋体" w:cs="宋体"/>
          <w:i/>
          <w:color w:val="auto"/>
          <w:sz w:val="24"/>
          <w:szCs w:val="24"/>
          <w:u w:val="single"/>
        </w:rPr>
      </w:pPr>
      <w:r>
        <w:rPr>
          <w:rFonts w:hint="eastAsia" w:ascii="宋体" w:hAnsi="宋体" w:eastAsia="宋体" w:cs="宋体"/>
          <w:i/>
          <w:color w:val="auto"/>
          <w:sz w:val="24"/>
          <w:szCs w:val="24"/>
          <w:u w:val="single"/>
        </w:rPr>
      </w:r>
      <w:r/>
    </w:p>
    <w:p>
      <w:pPr>
        <w:spacing w:line="48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注：</w:t>
      </w:r>
      <w:r>
        <w:rPr>
          <w:rFonts w:hint="eastAsia" w:ascii="宋体" w:hAnsi="宋体" w:eastAsia="宋体" w:cs="宋体"/>
          <w:color w:val="auto"/>
          <w:sz w:val="24"/>
          <w:szCs w:val="24"/>
          <w:highlight w:val="none"/>
          <w:lang w:val="en-US" w:eastAsia="zh-CN"/>
        </w:rPr>
        <w:t xml:space="preserve">被授权人</w:t>
      </w:r>
      <w:r>
        <w:rPr>
          <w:rFonts w:hint="eastAsia" w:ascii="宋体" w:hAnsi="宋体" w:eastAsia="宋体" w:cs="宋体"/>
          <w:color w:val="auto"/>
          <w:sz w:val="24"/>
          <w:szCs w:val="24"/>
          <w:highlight w:val="none"/>
          <w:lang w:eastAsia="zh-CN"/>
        </w:rPr>
        <w:t xml:space="preserve">须为本单位正式职工</w:t>
      </w:r>
      <w:r>
        <w:rPr>
          <w:rFonts w:hint="eastAsia" w:ascii="宋体" w:hAnsi="宋体" w:eastAsia="宋体" w:cs="宋体"/>
          <w:color w:val="auto"/>
          <w:sz w:val="24"/>
          <w:szCs w:val="24"/>
          <w:highlight w:val="none"/>
          <w:lang w:val="en-US" w:eastAsia="zh-CN"/>
        </w:rPr>
        <w:t xml:space="preserve">并提供投标人为被授权人缴纳的社会养老保险证明。</w:t>
      </w:r>
      <w:r/>
    </w:p>
    <w:p>
      <w:pPr>
        <w:spacing w:line="460" w:lineRule="exact"/>
        <w:rPr>
          <w:rFonts w:hint="eastAsia" w:ascii="宋体" w:hAnsi="宋体"/>
          <w:bCs/>
          <w:color w:val="auto"/>
          <w:sz w:val="24"/>
        </w:rPr>
      </w:pPr>
      <w:r>
        <w:rPr>
          <w:rFonts w:hint="eastAsia" w:ascii="宋体" w:hAnsi="宋体"/>
          <w:bCs/>
          <w:color w:val="auto"/>
          <w:sz w:val="24"/>
        </w:rPr>
      </w:r>
      <w:r/>
    </w:p>
    <w:p>
      <w:pPr>
        <w:jc w:val="center"/>
        <w:spacing w:before="50" w:after="50"/>
        <w:rPr>
          <w:rFonts w:hint="eastAsia" w:ascii="黑体" w:hAnsi="Times New Roman" w:eastAsia="黑体" w:cs="Times New Roman"/>
          <w:b/>
          <w:bCs/>
          <w:color w:val="auto"/>
          <w:sz w:val="32"/>
          <w:szCs w:val="32"/>
          <w:highlight w:val="none"/>
        </w:rPr>
      </w:pPr>
      <w:r>
        <w:rPr>
          <w:rFonts w:ascii="宋体" w:hAnsi="宋体"/>
          <w:bCs/>
          <w:color w:val="auto"/>
          <w:sz w:val="24"/>
        </w:rPr>
        <w:br w:type="page" w:clear="all"/>
      </w:r>
      <w:r>
        <w:rPr>
          <w:rFonts w:hint="eastAsia" w:ascii="黑体" w:hAnsi="Times New Roman" w:eastAsia="黑体" w:cs="Times New Roman"/>
          <w:b/>
          <w:bCs/>
          <w:color w:val="auto"/>
          <w:sz w:val="32"/>
          <w:szCs w:val="32"/>
          <w:highlight w:val="none"/>
          <w:lang w:val="en-US" w:eastAsia="zh-CN"/>
        </w:rPr>
        <w:t xml:space="preserve">5.</w:t>
      </w:r>
      <w:r>
        <w:rPr>
          <w:rFonts w:hint="eastAsia" w:ascii="黑体" w:hAnsi="Times New Roman" w:eastAsia="黑体" w:cs="Times New Roman"/>
          <w:b/>
          <w:bCs/>
          <w:color w:val="auto"/>
          <w:sz w:val="32"/>
          <w:szCs w:val="32"/>
          <w:highlight w:val="none"/>
        </w:rPr>
        <w:t xml:space="preserve">开标一览表（格式）</w:t>
      </w:r>
      <w:r/>
    </w:p>
    <w:p>
      <w:pPr>
        <w:jc w:val="center"/>
        <w:spacing w:before="50" w:after="50"/>
        <w:rPr>
          <w:rFonts w:hint="eastAsia" w:ascii="黑体" w:eastAsia="黑体"/>
          <w:color w:val="auto"/>
          <w:sz w:val="32"/>
          <w:szCs w:val="32"/>
        </w:rPr>
      </w:pPr>
      <w:r>
        <w:rPr>
          <w:rFonts w:hint="eastAsia" w:ascii="黑体" w:eastAsia="黑体"/>
          <w:color w:val="auto"/>
          <w:sz w:val="32"/>
          <w:szCs w:val="32"/>
        </w:rPr>
      </w:r>
      <w:r/>
    </w:p>
    <w:tbl>
      <w:tblPr>
        <w:tblStyle w:val="848"/>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W w:w="2700" w:type="dxa"/>
            <w:vAlign w:val="center"/>
            <w:textDirection w:val="lrTb"/>
            <w:noWrap w:val="false"/>
          </w:tcPr>
          <w:p>
            <w:pPr>
              <w:ind w:firstLine="420"/>
              <w:rPr>
                <w:rFonts w:hint="eastAsia" w:ascii="宋体"/>
                <w:color w:val="auto"/>
                <w:szCs w:val="28"/>
              </w:rPr>
            </w:pPr>
            <w:r>
              <w:rPr>
                <w:rFonts w:hint="eastAsia" w:ascii="宋体"/>
                <w:color w:val="auto"/>
                <w:szCs w:val="28"/>
              </w:rPr>
              <w:t xml:space="preserve">项 目 编 号</w:t>
            </w:r>
            <w:r/>
          </w:p>
        </w:tc>
        <w:tc>
          <w:tcPr>
            <w:tcW w:w="7445" w:type="dxa"/>
            <w:vAlign w:val="center"/>
            <w:textDirection w:val="lrTb"/>
            <w:noWrap w:val="false"/>
          </w:tcPr>
          <w:p>
            <w:pPr>
              <w:pStyle w:val="846"/>
              <w:ind w:firstLine="689"/>
              <w:jc w:val="both"/>
              <w:rPr>
                <w:rFonts w:hint="eastAsia" w:ascii="宋体" w:hAnsi="宋体" w:eastAsia="宋体"/>
                <w:color w:val="auto"/>
                <w:sz w:val="28"/>
                <w:szCs w:val="28"/>
              </w:rPr>
            </w:pPr>
            <w:r>
              <w:rPr>
                <w:rFonts w:hint="eastAsia" w:ascii="宋体" w:hAnsi="宋体" w:eastAsia="宋体"/>
                <w:color w:val="auto"/>
                <w:sz w:val="28"/>
                <w:szCs w:val="28"/>
              </w:rPr>
            </w:r>
            <w:r/>
          </w:p>
        </w:tc>
      </w:tr>
      <w:tr>
        <w:trPr>
          <w:cantSplit/>
          <w:trHeight w:val="789"/>
        </w:trPr>
        <w:tc>
          <w:tcPr>
            <w:tcW w:w="2700" w:type="dxa"/>
            <w:vAlign w:val="center"/>
            <w:textDirection w:val="lrTb"/>
            <w:noWrap w:val="false"/>
          </w:tcPr>
          <w:p>
            <w:pPr>
              <w:ind w:firstLine="420"/>
              <w:rPr>
                <w:rFonts w:hint="eastAsia" w:ascii="宋体"/>
                <w:color w:val="auto"/>
                <w:szCs w:val="28"/>
              </w:rPr>
            </w:pPr>
            <w:r>
              <w:rPr>
                <w:rFonts w:hint="eastAsia" w:ascii="宋体"/>
                <w:color w:val="auto"/>
                <w:szCs w:val="28"/>
              </w:rPr>
              <w:t xml:space="preserve">项 目 名 称</w:t>
            </w:r>
            <w:r/>
          </w:p>
        </w:tc>
        <w:tc>
          <w:tcPr>
            <w:tcW w:w="7445" w:type="dxa"/>
            <w:vAlign w:val="center"/>
            <w:textDirection w:val="lrTb"/>
            <w:noWrap w:val="false"/>
          </w:tcPr>
          <w:p>
            <w:pPr>
              <w:pStyle w:val="846"/>
              <w:jc w:val="both"/>
              <w:rPr>
                <w:rFonts w:hint="eastAsia"/>
                <w:color w:val="auto"/>
                <w:sz w:val="28"/>
                <w:szCs w:val="28"/>
              </w:rPr>
            </w:pPr>
            <w:r>
              <w:rPr>
                <w:rFonts w:hint="eastAsia"/>
                <w:color w:val="auto"/>
                <w:sz w:val="28"/>
                <w:szCs w:val="28"/>
              </w:rPr>
            </w:r>
            <w:r/>
          </w:p>
        </w:tc>
      </w:tr>
      <w:tr>
        <w:trPr>
          <w:cantSplit/>
          <w:trHeight w:val="821"/>
        </w:trPr>
        <w:tc>
          <w:tcPr>
            <w:gridSpan w:val="2"/>
            <w:tcW w:w="10145" w:type="dxa"/>
            <w:vAlign w:val="center"/>
            <w:textDirection w:val="lrTb"/>
            <w:noWrap w:val="false"/>
          </w:tcPr>
          <w:p>
            <w:pPr>
              <w:rPr>
                <w:rFonts w:hint="eastAsia" w:ascii="宋体"/>
                <w:color w:val="auto"/>
                <w:szCs w:val="28"/>
              </w:rPr>
            </w:pPr>
            <w:r>
              <w:rPr>
                <w:rFonts w:hint="eastAsia" w:ascii="宋体"/>
                <w:b/>
                <w:bCs/>
                <w:color w:val="auto"/>
                <w:szCs w:val="28"/>
              </w:rPr>
              <w:t xml:space="preserve">项目投标报价：（大写）</w:t>
            </w:r>
            <w:r>
              <w:rPr>
                <w:rFonts w:hint="eastAsia" w:ascii="宋体"/>
                <w:b/>
                <w:bCs/>
                <w:color w:val="auto"/>
                <w:szCs w:val="28"/>
                <w:u w:val="single"/>
              </w:rPr>
              <w:t xml:space="preserve">                       </w:t>
            </w:r>
            <w:r>
              <w:rPr>
                <w:rFonts w:hint="eastAsia" w:ascii="宋体"/>
                <w:b/>
                <w:bCs/>
                <w:color w:val="auto"/>
                <w:szCs w:val="28"/>
              </w:rPr>
              <w:t xml:space="preserve">，小写：</w:t>
            </w:r>
            <w:r>
              <w:rPr>
                <w:rFonts w:hint="eastAsia" w:ascii="宋体"/>
                <w:b/>
                <w:bCs/>
                <w:color w:val="auto"/>
                <w:szCs w:val="28"/>
                <w:u w:val="single"/>
              </w:rPr>
              <w:t xml:space="preserve">                     </w:t>
            </w:r>
            <w:r>
              <w:rPr>
                <w:rFonts w:hint="eastAsia" w:ascii="宋体"/>
                <w:b/>
                <w:bCs/>
                <w:color w:val="auto"/>
                <w:szCs w:val="28"/>
              </w:rPr>
              <w:t xml:space="preserve"> </w:t>
            </w:r>
            <w:r/>
          </w:p>
        </w:tc>
      </w:tr>
      <w:tr>
        <w:trPr>
          <w:cantSplit/>
          <w:trHeight w:val="821"/>
        </w:trPr>
        <w:tc>
          <w:tcPr>
            <w:gridSpan w:val="2"/>
            <w:tcW w:w="10145" w:type="dxa"/>
            <w:vAlign w:val="center"/>
            <w:textDirection w:val="lrTb"/>
            <w:noWrap w:val="false"/>
          </w:tcPr>
          <w:p>
            <w:pPr>
              <w:rPr>
                <w:rFonts w:hint="eastAsia" w:ascii="宋体"/>
                <w:b/>
                <w:bCs/>
                <w:color w:val="auto"/>
                <w:szCs w:val="28"/>
              </w:rPr>
            </w:pPr>
            <w:r>
              <w:rPr>
                <w:rFonts w:hint="eastAsia" w:ascii="宋体"/>
                <w:b/>
                <w:bCs/>
                <w:color w:val="auto"/>
                <w:szCs w:val="28"/>
              </w:rPr>
              <w:t xml:space="preserve">是否提供《企业类型声明函》：</w:t>
            </w:r>
            <w:r>
              <w:rPr>
                <w:rFonts w:hint="eastAsia" w:ascii="宋体"/>
                <w:b/>
                <w:bCs/>
                <w:color w:val="auto"/>
                <w:szCs w:val="28"/>
                <w:u w:val="single"/>
              </w:rPr>
              <w:t xml:space="preserve">  是/否   </w:t>
            </w:r>
            <w:r/>
          </w:p>
        </w:tc>
      </w:tr>
    </w:tbl>
    <w:p>
      <w:pPr>
        <w:spacing w:line="180" w:lineRule="atLeast"/>
        <w:rPr>
          <w:rFonts w:hint="eastAsia" w:ascii="宋体" w:hAnsi="宋体"/>
          <w:color w:val="auto"/>
          <w:szCs w:val="28"/>
        </w:rPr>
      </w:pPr>
      <w:r>
        <w:rPr>
          <w:rFonts w:hint="eastAsia" w:ascii="宋体" w:hAnsi="宋体"/>
          <w:color w:val="auto"/>
          <w:szCs w:val="28"/>
        </w:rPr>
        <w:t xml:space="preserve">填写说明：</w:t>
      </w:r>
      <w:r/>
    </w:p>
    <w:p>
      <w:pPr>
        <w:numPr>
          <w:ilvl w:val="0"/>
          <w:numId w:val="1"/>
        </w:numPr>
        <w:rPr>
          <w:rStyle w:val="859"/>
          <w:rFonts w:hint="eastAsia" w:ascii="宋体" w:hAnsi="宋体"/>
          <w:color w:val="auto"/>
          <w:sz w:val="24"/>
        </w:rPr>
      </w:pPr>
      <w:r>
        <w:rPr>
          <w:rStyle w:val="859"/>
          <w:rFonts w:ascii="宋体" w:hAnsi="宋体"/>
          <w:color w:val="auto"/>
          <w:sz w:val="24"/>
        </w:rPr>
        <w:t xml:space="preserve">开标一览表不得填报选择性报价，否则将作为无效投标</w:t>
      </w:r>
      <w:r>
        <w:rPr>
          <w:rStyle w:val="859"/>
          <w:rFonts w:hint="eastAsia" w:ascii="宋体" w:hAnsi="宋体"/>
          <w:color w:val="auto"/>
          <w:sz w:val="24"/>
        </w:rPr>
        <w:t xml:space="preserve">。</w:t>
      </w:r>
      <w:r/>
    </w:p>
    <w:p>
      <w:pPr>
        <w:numPr>
          <w:ilvl w:val="0"/>
          <w:numId w:val="1"/>
        </w:numPr>
        <w:rPr>
          <w:rStyle w:val="859"/>
          <w:rFonts w:hint="eastAsia" w:ascii="宋体" w:hAnsi="宋体"/>
          <w:color w:val="auto"/>
          <w:sz w:val="24"/>
        </w:rPr>
      </w:pPr>
      <w:r>
        <w:rPr>
          <w:rFonts w:hint="eastAsia" w:ascii="宋体" w:hAnsi="宋体" w:cs="宋体"/>
          <w:color w:val="auto"/>
          <w:sz w:val="24"/>
          <w:szCs w:val="24"/>
        </w:rPr>
        <w:t xml:space="preserve">投标报价保留两位小数。</w:t>
      </w:r>
      <w:r/>
    </w:p>
    <w:p>
      <w:pPr>
        <w:pStyle w:val="851"/>
        <w:rPr>
          <w:rFonts w:hint="eastAsia" w:ascii="宋体" w:hAnsi="宋体"/>
          <w:b/>
          <w:color w:val="auto"/>
          <w:sz w:val="24"/>
        </w:rPr>
      </w:pPr>
      <w:r>
        <w:rPr>
          <w:rFonts w:hint="eastAsia" w:ascii="宋体" w:hAnsi="宋体"/>
          <w:b/>
          <w:color w:val="auto"/>
          <w:sz w:val="24"/>
        </w:rPr>
      </w:r>
      <w:r/>
    </w:p>
    <w:p>
      <w:pPr>
        <w:ind w:firstLine="2400"/>
        <w:spacing w:line="600" w:lineRule="exact"/>
        <w:rPr>
          <w:rFonts w:hint="eastAsia" w:ascii="仿宋" w:eastAsia="仿宋"/>
          <w:color w:val="auto"/>
          <w:sz w:val="24"/>
        </w:rPr>
      </w:pPr>
      <w:r>
        <w:rPr>
          <w:rFonts w:hint="eastAsia" w:ascii="仿宋" w:eastAsia="仿宋"/>
          <w:color w:val="auto"/>
          <w:sz w:val="24"/>
        </w:rPr>
      </w:r>
      <w:r/>
    </w:p>
    <w:p>
      <w:pPr>
        <w:ind w:firstLine="3360"/>
        <w:spacing w:line="6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w:t>
      </w:r>
      <w:r>
        <w:rPr>
          <w:rFonts w:hint="eastAsia" w:ascii="宋体" w:hAnsi="宋体" w:eastAsia="宋体" w:cs="宋体"/>
          <w:color w:val="auto"/>
          <w:sz w:val="24"/>
          <w:lang w:val="en-US" w:eastAsia="zh-CN"/>
        </w:rPr>
        <w:t xml:space="preserve">被授权人（</w:t>
      </w:r>
      <w:r>
        <w:rPr>
          <w:rFonts w:hint="eastAsia" w:ascii="宋体" w:hAnsi="宋体" w:eastAsia="宋体" w:cs="宋体"/>
          <w:color w:val="auto"/>
          <w:sz w:val="24"/>
        </w:rPr>
        <w:t xml:space="preserve">签字</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w:t>
      </w:r>
      <w:r/>
    </w:p>
    <w:p>
      <w:pPr>
        <w:ind w:firstLine="1680"/>
        <w:spacing w:line="6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3360"/>
        <w:spacing w:line="6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rPr>
        <w:t xml:space="preserve">：</w:t>
      </w:r>
      <w:r/>
    </w:p>
    <w:p>
      <w:pPr>
        <w:ind w:firstLine="1200"/>
        <w:spacing w:line="600" w:lineRule="exact"/>
        <w:rPr>
          <w:rFonts w:hint="eastAsia" w:ascii="仿宋" w:eastAsia="仿宋"/>
          <w:color w:val="auto"/>
          <w:sz w:val="24"/>
        </w:rPr>
      </w:pPr>
      <w:r>
        <w:rPr>
          <w:rFonts w:hint="eastAsia" w:ascii="仿宋" w:eastAsia="仿宋"/>
          <w:color w:val="auto"/>
          <w:sz w:val="24"/>
        </w:rPr>
        <w:t xml:space="preserve">      </w:t>
      </w:r>
      <w:r/>
    </w:p>
    <w:p>
      <w:pPr>
        <w:jc w:val="right"/>
        <w:rPr>
          <w:rFonts w:ascii="仿宋" w:eastAsia="仿宋"/>
          <w:color w:val="auto"/>
          <w:sz w:val="24"/>
          <w:highlight w:val="none"/>
        </w:rPr>
        <w:outlineLvl w:val="1"/>
      </w:pPr>
      <w:r>
        <w:rPr>
          <w:rFonts w:hint="eastAsia" w:ascii="仿宋" w:eastAsia="仿宋"/>
          <w:color w:val="auto"/>
          <w:sz w:val="24"/>
          <w:u w:val="single"/>
        </w:rPr>
        <w:t xml:space="preserve">            </w:t>
      </w:r>
      <w:r>
        <w:rPr>
          <w:rFonts w:hint="eastAsia" w:ascii="仿宋" w:eastAsia="仿宋"/>
          <w:color w:val="auto"/>
          <w:sz w:val="24"/>
        </w:rPr>
        <w:t xml:space="preserve">年</w:t>
      </w:r>
      <w:r>
        <w:rPr>
          <w:rFonts w:hint="eastAsia" w:ascii="仿宋" w:eastAsia="仿宋"/>
          <w:color w:val="auto"/>
          <w:sz w:val="24"/>
          <w:u w:val="single"/>
        </w:rPr>
        <w:t xml:space="preserve">    </w:t>
      </w:r>
      <w:r>
        <w:rPr>
          <w:rFonts w:hint="eastAsia" w:ascii="仿宋" w:eastAsia="仿宋"/>
          <w:color w:val="auto"/>
          <w:sz w:val="24"/>
        </w:rPr>
        <w:t xml:space="preserve">月</w:t>
      </w:r>
      <w:r>
        <w:rPr>
          <w:rFonts w:hint="eastAsia" w:ascii="仿宋" w:eastAsia="仿宋"/>
          <w:color w:val="auto"/>
          <w:sz w:val="24"/>
          <w:u w:val="single"/>
        </w:rPr>
        <w:t xml:space="preserve">    </w:t>
      </w:r>
      <w:r>
        <w:rPr>
          <w:rFonts w:hint="eastAsia" w:ascii="仿宋" w:eastAsia="仿宋"/>
          <w:color w:val="auto"/>
          <w:sz w:val="24"/>
        </w:rPr>
        <w:t xml:space="preserve">日</w:t>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黑体" w:eastAsia="黑体"/>
          <w:i/>
          <w:color w:val="auto"/>
          <w:sz w:val="32"/>
          <w:szCs w:val="32"/>
          <w:u w:val="single"/>
        </w:rPr>
        <w:br w:type="page" w:clear="all"/>
      </w:r>
      <w:r>
        <w:rPr>
          <w:rFonts w:hint="eastAsia" w:ascii="黑体" w:hAnsi="Times New Roman" w:eastAsia="黑体" w:cs="Times New Roman"/>
          <w:b/>
          <w:bCs/>
          <w:color w:val="auto"/>
          <w:sz w:val="32"/>
          <w:szCs w:val="32"/>
          <w:highlight w:val="none"/>
          <w:lang w:val="en-US" w:eastAsia="zh-CN"/>
        </w:rPr>
        <w:t xml:space="preserve">6.投标报价明细表（格式）</w:t>
      </w:r>
      <w:r/>
    </w:p>
    <w:tbl>
      <w:tblPr>
        <w:tblStyle w:val="848"/>
        <w:tblW w:w="9057" w:type="dxa"/>
        <w:jc w:val="center"/>
        <w:tblLayout w:type="fixed"/>
        <w:tblCellMar>
          <w:left w:w="0" w:type="dxa"/>
          <w:top w:w="0" w:type="dxa"/>
          <w:right w:w="0" w:type="dxa"/>
          <w:bottom w:w="0" w:type="dxa"/>
        </w:tblCellMar>
        <w:tblLook w:val="04A0" w:firstRow="1" w:lastRow="0" w:firstColumn="1" w:lastColumn="0" w:noHBand="0" w:noVBand="1"/>
      </w:tblPr>
      <w:tblGrid>
        <w:gridCol w:w="520"/>
        <w:gridCol w:w="2124"/>
        <w:gridCol w:w="2045"/>
        <w:gridCol w:w="1034"/>
        <w:gridCol w:w="809"/>
        <w:gridCol w:w="1142"/>
        <w:gridCol w:w="1383"/>
      </w:tblGrid>
      <w:tr>
        <w:trPr>
          <w:jc w:val="center"/>
          <w:trHeight w:val="68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0"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24"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服务项目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45"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34"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单位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09"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数量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42" w:type="dxa"/>
            <w:vAlign w:val="center"/>
            <w:textDirection w:val="lrTb"/>
            <w:noWrap w:val="false"/>
          </w:tcPr>
          <w:p>
            <w:pPr>
              <w:jc w:val="center"/>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rPr>
              <w:t xml:space="preserve">单价</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lang w:val="en-US" w:eastAsia="zh-CN"/>
              </w:rPr>
              <w:t xml:space="preserve">元</w:t>
            </w:r>
            <w:r>
              <w:rPr>
                <w:rFonts w:hint="eastAsia" w:asciiTheme="minorEastAsia" w:hAnsiTheme="minorEastAsia" w:eastAsiaTheme="minorEastAsia" w:cstheme="minorEastAsia"/>
                <w:color w:val="auto"/>
                <w:sz w:val="24"/>
                <w:lang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83" w:type="dxa"/>
            <w:vAlign w:val="center"/>
            <w:textDirection w:val="lrTb"/>
            <w:noWrap w:val="false"/>
          </w:tcPr>
          <w:p>
            <w:pPr>
              <w:jc w:val="center"/>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rPr>
              <w:t xml:space="preserve">合价</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lang w:val="en-US" w:eastAsia="zh-CN"/>
              </w:rPr>
              <w:t xml:space="preserve">元</w:t>
            </w:r>
            <w:r>
              <w:rPr>
                <w:rFonts w:hint="eastAsia" w:asciiTheme="minorEastAsia" w:hAnsiTheme="minorEastAsia" w:eastAsiaTheme="minorEastAsia" w:cstheme="minorEastAsia"/>
                <w:color w:val="auto"/>
                <w:sz w:val="24"/>
                <w:lang w:eastAsia="zh-CN"/>
              </w:rPr>
              <w:t xml:space="preserve">）</w:t>
            </w:r>
            <w:r/>
          </w:p>
        </w:tc>
      </w:tr>
      <w:tr>
        <w:trPr>
          <w:jc w:val="center"/>
          <w:trHeight w:val="6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0"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24"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45"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34"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09"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8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jc w:val="center"/>
          <w:trHeight w:val="69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0"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24"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45"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34"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09"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8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jc w:val="center"/>
          <w:trHeight w:val="69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0"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24"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45"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34"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09"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8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0"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24"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45"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34"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09"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8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cantSplit/>
          <w:jc w:val="center"/>
          <w:trHeight w:val="645"/>
        </w:trPr>
        <w:tc>
          <w:tcPr>
            <w:gridSpan w:val="2"/>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2644" w:type="dxa"/>
            <w:vAlign w:val="center"/>
            <w:textDirection w:val="lrTb"/>
            <w:noWrap w:val="false"/>
          </w:tcPr>
          <w:p>
            <w:pPr>
              <w:jc w:val="center"/>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rPr>
              <w:t xml:space="preserve">总价</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lang w:val="en-US" w:eastAsia="zh-CN"/>
              </w:rPr>
              <w:t xml:space="preserve">大写</w:t>
            </w:r>
            <w:r>
              <w:rPr>
                <w:rFonts w:hint="eastAsia" w:asciiTheme="minorEastAsia" w:hAnsiTheme="minorEastAsia" w:eastAsiaTheme="minorEastAsia" w:cstheme="minorEastAsia"/>
                <w:color w:val="auto"/>
                <w:sz w:val="24"/>
                <w:lang w:eastAsia="zh-CN"/>
              </w:rPr>
              <w:t xml:space="preserve">）</w:t>
            </w:r>
            <w:r/>
          </w:p>
        </w:tc>
        <w:tc>
          <w:tcPr>
            <w:gridSpan w:val="5"/>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6413" w:type="dxa"/>
            <w:vAlign w:val="top"/>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bl>
    <w:p>
      <w:pPr>
        <w:ind w:firstLine="420"/>
        <w:spacing w:line="600" w:lineRule="exact"/>
        <w:rPr>
          <w:rFonts w:hint="eastAsia" w:ascii="宋体" w:hAnsi="宋体" w:eastAsia="宋体" w:cs="宋体"/>
          <w:color w:val="auto"/>
          <w:sz w:val="24"/>
          <w:lang w:val="en-US" w:eastAsia="zh-CN"/>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1.投标报价应是招标范围内全部工作内容的价格体现，投标报价明细表中的报价应包括全部工作内容的价格体现，以及为完成上述内容所必须的人工费、材料费、机械及仪器费、检测费、运输费、保险费、技术服务费、验收费、代理服务费、投标费用、管理费、税金、利润、各类风险费、不可预见费和文件规定的其他各项应有的全部费用（综合报价）。</w:t>
      </w:r>
      <w:r/>
    </w:p>
    <w:p>
      <w:pPr>
        <w:ind w:firstLine="420"/>
        <w:spacing w:line="60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此表可以根据需要自行增减行数。</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r>
      <w:r/>
    </w:p>
    <w:p>
      <w:pPr>
        <w:spacing w:line="6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3360"/>
        <w:spacing w:line="6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w:t>
      </w:r>
      <w:r>
        <w:rPr>
          <w:rFonts w:hint="eastAsia" w:ascii="宋体" w:hAnsi="宋体" w:eastAsia="宋体" w:cs="宋体"/>
          <w:color w:val="auto"/>
          <w:sz w:val="24"/>
          <w:lang w:val="en-US" w:eastAsia="zh-CN"/>
        </w:rPr>
        <w:t xml:space="preserve">被授权人（</w:t>
      </w:r>
      <w:r>
        <w:rPr>
          <w:rFonts w:hint="eastAsia" w:ascii="宋体" w:hAnsi="宋体" w:eastAsia="宋体" w:cs="宋体"/>
          <w:color w:val="auto"/>
          <w:sz w:val="24"/>
        </w:rPr>
        <w:t xml:space="preserve">签字</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w:t>
      </w:r>
      <w:r/>
    </w:p>
    <w:p>
      <w:pPr>
        <w:ind w:firstLine="1680"/>
        <w:spacing w:line="6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3360"/>
        <w:spacing w:line="6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rPr>
        <w:t xml:space="preserve">：</w:t>
      </w:r>
      <w:r/>
    </w:p>
    <w:p>
      <w:pPr>
        <w:ind w:firstLine="1200"/>
        <w:spacing w:line="600" w:lineRule="exact"/>
        <w:rPr>
          <w:rFonts w:hint="eastAsia" w:ascii="宋体" w:hAnsi="宋体" w:eastAsia="宋体" w:cs="宋体"/>
          <w:color w:val="auto"/>
          <w:sz w:val="24"/>
        </w:rPr>
      </w:pPr>
      <w:r>
        <w:rPr>
          <w:rFonts w:hint="eastAsia" w:ascii="宋体" w:hAnsi="宋体" w:eastAsia="宋体" w:cs="宋体"/>
          <w:color w:val="auto"/>
          <w:sz w:val="24"/>
        </w:rPr>
        <w:t xml:space="preserve">      </w:t>
      </w:r>
      <w:r/>
    </w:p>
    <w:p>
      <w:pPr>
        <w:jc w:val="right"/>
        <w:rPr>
          <w:rFonts w:hint="eastAsia" w:ascii="宋体" w:hAnsi="宋体" w:eastAsia="宋体" w:cs="宋体"/>
          <w:color w:val="auto"/>
          <w:sz w:val="24"/>
          <w:highlight w:val="none"/>
        </w:rPr>
        <w:outlineLvl w:val="1"/>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7.投标函</w:t>
      </w:r>
      <w:r/>
    </w:p>
    <w:p>
      <w:pPr>
        <w:pStyle w:val="865"/>
        <w:ind w:firstLine="0"/>
        <w:spacing w:before="0" w:after="0" w:line="420" w:lineRule="exact"/>
        <w:rPr>
          <w:rFonts w:hint="default" w:ascii="宋体" w:hAnsi="宋体" w:eastAsia="宋体"/>
          <w:color w:val="auto"/>
          <w:szCs w:val="21"/>
          <w:u w:val="single"/>
          <w:lang w:val="en-US" w:eastAsia="zh-CN"/>
        </w:rPr>
      </w:pPr>
      <w:r>
        <w:rPr>
          <w:rFonts w:hint="eastAsia" w:ascii="宋体" w:hAnsi="宋体"/>
          <w:color w:val="auto"/>
          <w:szCs w:val="21"/>
        </w:rPr>
        <w:t xml:space="preserve">致：</w:t>
      </w:r>
      <w:r>
        <w:rPr>
          <w:rFonts w:hint="eastAsia" w:ascii="宋体" w:hAnsi="宋体"/>
          <w:color w:val="auto"/>
          <w:szCs w:val="21"/>
          <w:u w:val="single"/>
          <w:lang w:val="en-US" w:eastAsia="zh-CN"/>
        </w:rPr>
        <w:t xml:space="preserve">                </w:t>
      </w:r>
      <w:r/>
    </w:p>
    <w:p>
      <w:pPr>
        <w:pStyle w:val="865"/>
        <w:spacing w:before="0" w:after="0" w:line="420" w:lineRule="exact"/>
        <w:rPr>
          <w:rFonts w:hint="eastAsia" w:ascii="宋体" w:hAnsi="宋体"/>
          <w:color w:val="auto"/>
          <w:szCs w:val="21"/>
        </w:rPr>
      </w:pPr>
      <w:r>
        <w:rPr>
          <w:rFonts w:hint="eastAsia" w:ascii="宋体" w:hAnsi="宋体"/>
          <w:color w:val="auto"/>
          <w:szCs w:val="21"/>
        </w:rPr>
      </w:r>
      <w:r/>
    </w:p>
    <w:p>
      <w:pPr>
        <w:pStyle w:val="865"/>
        <w:spacing w:before="0" w:after="0" w:line="420" w:lineRule="exact"/>
        <w:rPr>
          <w:rFonts w:hint="eastAsia" w:ascii="宋体" w:hAnsi="宋体"/>
          <w:color w:val="auto"/>
          <w:szCs w:val="21"/>
        </w:rPr>
      </w:pPr>
      <w:r>
        <w:rPr>
          <w:rFonts w:hint="eastAsia" w:ascii="宋体" w:hAnsi="宋体"/>
          <w:color w:val="auto"/>
          <w:szCs w:val="21"/>
        </w:rPr>
        <w:t xml:space="preserve">根据贵方的JSZC-</w:t>
      </w:r>
      <w:r>
        <w:rPr>
          <w:rFonts w:ascii="宋体" w:hAnsi="宋体"/>
          <w:color w:val="auto"/>
          <w:szCs w:val="21"/>
        </w:rPr>
        <w:t xml:space="preserve">320000-***</w:t>
      </w:r>
      <w:r>
        <w:rPr>
          <w:rFonts w:hint="eastAsia" w:ascii="宋体" w:hAnsi="宋体"/>
          <w:color w:val="auto"/>
          <w:szCs w:val="21"/>
        </w:rPr>
        <w:t xml:space="preserve">号招标文件，正式授权下述签字人______(姓名)代表我方______________（投标人的名称），全权处理本次项目投标的有关事宜。</w:t>
      </w:r>
      <w:r/>
    </w:p>
    <w:p>
      <w:pPr>
        <w:pStyle w:val="865"/>
        <w:spacing w:before="0" w:after="0" w:line="420" w:lineRule="exact"/>
        <w:rPr>
          <w:rFonts w:hint="eastAsia" w:ascii="宋体" w:hAnsi="宋体"/>
          <w:color w:val="auto"/>
          <w:szCs w:val="21"/>
        </w:rPr>
      </w:pPr>
      <w:r>
        <w:rPr>
          <w:rFonts w:hint="eastAsia" w:ascii="宋体" w:hAnsi="宋体"/>
          <w:color w:val="auto"/>
          <w:szCs w:val="21"/>
        </w:rPr>
        <w:t xml:space="preserve">据此函，__________签字人兹宣布同意如下：</w:t>
      </w:r>
      <w:r/>
    </w:p>
    <w:p>
      <w:pPr>
        <w:pStyle w:val="865"/>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1.按招标文件规定的各项要求，向买方提供所需服务（包含与服务相关的货物）。</w:t>
      </w:r>
      <w:r/>
    </w:p>
    <w:p>
      <w:pPr>
        <w:pStyle w:val="865"/>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1.按招标文件规定的各项要求，向买方提供所需</w:t>
      </w:r>
      <w:r>
        <w:rPr>
          <w:rFonts w:hint="eastAsia" w:ascii="宋体" w:hAnsi="宋体"/>
          <w:color w:val="auto"/>
          <w:szCs w:val="21"/>
          <w:lang w:val="en-US" w:eastAsia="zh-CN"/>
        </w:rPr>
        <w:t xml:space="preserve">货物</w:t>
      </w:r>
      <w:r>
        <w:rPr>
          <w:rFonts w:hint="eastAsia" w:ascii="宋体" w:hAnsi="宋体"/>
          <w:color w:val="auto"/>
          <w:szCs w:val="21"/>
        </w:rPr>
        <w:t xml:space="preserve">（包含与</w:t>
      </w:r>
      <w:r>
        <w:rPr>
          <w:rFonts w:hint="eastAsia" w:ascii="宋体" w:hAnsi="宋体"/>
          <w:color w:val="auto"/>
          <w:szCs w:val="21"/>
          <w:lang w:val="en-US" w:eastAsia="zh-CN"/>
        </w:rPr>
        <w:t xml:space="preserve">货物</w:t>
      </w:r>
      <w:r>
        <w:rPr>
          <w:rFonts w:hint="eastAsia" w:ascii="宋体" w:hAnsi="宋体"/>
          <w:color w:val="auto"/>
          <w:szCs w:val="21"/>
        </w:rPr>
        <w:t xml:space="preserve">相关的</w:t>
      </w:r>
      <w:r>
        <w:rPr>
          <w:rFonts w:hint="eastAsia" w:ascii="宋体" w:hAnsi="宋体"/>
          <w:color w:val="auto"/>
          <w:szCs w:val="21"/>
          <w:lang w:val="en-US" w:eastAsia="zh-CN"/>
        </w:rPr>
        <w:t xml:space="preserve">服务</w:t>
      </w:r>
      <w:r>
        <w:rPr>
          <w:rFonts w:hint="eastAsia" w:ascii="宋体" w:hAnsi="宋体"/>
          <w:color w:val="auto"/>
          <w:szCs w:val="21"/>
        </w:rPr>
        <w:t xml:space="preserve">）。</w:t>
      </w:r>
      <w:r/>
    </w:p>
    <w:p>
      <w:pPr>
        <w:pStyle w:val="865"/>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2.我们完全理解贵方不一定将合同授予最低报价的投标人。</w:t>
      </w:r>
      <w:r/>
    </w:p>
    <w:p>
      <w:pPr>
        <w:pStyle w:val="865"/>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3.我们已详细审核全部招标文件及其有效补充文件，我们知道必须放弃提出含糊不清或误解问题的权利。</w:t>
      </w:r>
      <w:r/>
    </w:p>
    <w:p>
      <w:pPr>
        <w:pStyle w:val="865"/>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4.我们同意从规定的开标日期起遵循本投标文件，并在规定的投标有效期期满之前均具有约束力。</w:t>
      </w:r>
      <w:r/>
    </w:p>
    <w:p>
      <w:pPr>
        <w:pStyle w:val="865"/>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5.同意向贵方提供贵方可能另外要求的与投标有关的任何证据或资料，并保证我方已提供和将要提供的文件是真实的、准确的。</w:t>
      </w:r>
      <w:r/>
    </w:p>
    <w:p>
      <w:pPr>
        <w:pStyle w:val="865"/>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6.一旦我方中标,我方将根据招标文件的规定，严格履行合同的责任和义务,并保证在招标文件规定的时间完成项目，交付买方验收、使用。</w:t>
      </w:r>
      <w:r/>
    </w:p>
    <w:p>
      <w:pPr>
        <w:pStyle w:val="865"/>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7.与本投标有关的正式通讯地址为：</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邮编：</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电话：</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传真：</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投标人开户行：</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账户：</w:t>
      </w:r>
      <w:r>
        <w:rPr>
          <w:rFonts w:hint="eastAsia" w:ascii="宋体" w:hAnsi="宋体" w:eastAsia="宋体" w:cs="宋体"/>
          <w:color w:val="auto"/>
          <w:sz w:val="24"/>
          <w:highlight w:val="none"/>
        </w:rPr>
        <w:t xml:space="preserve">                                      </w:t>
      </w:r>
      <w:r/>
    </w:p>
    <w:p>
      <w:pPr>
        <w:ind w:firstLine="924"/>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法定代表人或被授权人（签字）：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right"/>
        <w:keepLines w:val="0"/>
        <w:keepNext w:val="0"/>
        <w:pageBreakBefore w:val="0"/>
        <w:spacing w:line="480" w:lineRule="exact"/>
        <w:widowControl w:val="off"/>
        <w:rPr>
          <w:rFonts w:hint="eastAsia" w:ascii="仿宋" w:eastAsia="仿宋"/>
          <w:color w:val="auto"/>
          <w:sz w:val="24"/>
          <w:highlight w:val="none"/>
        </w:rPr>
        <w:outlineLvl w:val="1"/>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仿宋" w:eastAsia="仿宋"/>
          <w:color w:val="auto"/>
          <w:sz w:val="24"/>
          <w:highlight w:val="none"/>
          <w:lang w:val="en-US" w:eastAsia="zh-CN"/>
        </w:rPr>
        <w:t xml:space="preserve"> </w:t>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numPr>
          <w:ilvl w:val="0"/>
          <w:numId w:val="0"/>
        </w:numPr>
        <w:ind w:left="480"/>
        <w:jc w:val="center"/>
        <w:rPr>
          <w:rFonts w:hint="eastAsia" w:ascii="黑体" w:hAnsi="Times New Roman" w:eastAsia="黑体" w:cs="Times New Roman"/>
          <w:b/>
          <w:bCs/>
          <w:color w:val="auto"/>
          <w:sz w:val="32"/>
          <w:szCs w:val="32"/>
          <w:highlight w:val="none"/>
          <w:lang w:val="en-US" w:eastAsia="zh-CN"/>
        </w:rPr>
        <w:outlineLvl w:val="1"/>
      </w:pPr>
      <w:r>
        <w:rPr>
          <w:rFonts w:hint="eastAsia" w:ascii="黑体" w:hAnsi="Times New Roman" w:eastAsia="黑体" w:cs="Times New Roman"/>
          <w:b/>
          <w:bCs/>
          <w:color w:val="auto"/>
          <w:sz w:val="32"/>
          <w:szCs w:val="32"/>
          <w:highlight w:val="none"/>
          <w:lang w:val="en-US" w:eastAsia="zh-CN"/>
        </w:rPr>
        <w:t xml:space="preserve">8.所供服务（服务附带的产品）内容及服务要求偏离表</w:t>
      </w:r>
      <w:r/>
    </w:p>
    <w:p>
      <w:pPr>
        <w:pStyle w:val="851"/>
        <w:numPr>
          <w:ilvl w:val="0"/>
          <w:numId w:val="0"/>
        </w:numPr>
        <w:ind w:left="480"/>
        <w:rPr>
          <w:rFonts w:hint="eastAsia"/>
          <w:color w:val="auto"/>
          <w:highlight w:val="none"/>
        </w:rPr>
      </w:pPr>
      <w:r>
        <w:rPr>
          <w:rFonts w:hint="eastAsia"/>
          <w:color w:val="auto"/>
          <w:highlight w:val="none"/>
        </w:rPr>
      </w:r>
      <w:r/>
    </w:p>
    <w:tbl>
      <w:tblPr>
        <w:tblStyle w:val="848"/>
        <w:tblW w:w="0" w:type="auto"/>
        <w:jc w:val="center"/>
        <w:tblLayout w:type="fixed"/>
        <w:tblCellMar>
          <w:left w:w="0" w:type="dxa"/>
          <w:top w:w="0" w:type="dxa"/>
          <w:right w:w="0" w:type="dxa"/>
          <w:bottom w:w="0" w:type="dxa"/>
        </w:tblCellMar>
        <w:tblLook w:val="04A0" w:firstRow="1" w:lastRow="0" w:firstColumn="1" w:lastColumn="0" w:noHBand="0" w:noVBand="1"/>
      </w:tblPr>
      <w:tblGrid>
        <w:gridCol w:w="724"/>
        <w:gridCol w:w="1760"/>
        <w:gridCol w:w="2493"/>
        <w:gridCol w:w="2268"/>
        <w:gridCol w:w="1067"/>
      </w:tblGrid>
      <w:tr>
        <w:trPr>
          <w:jc w:val="center"/>
          <w:trHeight w:val="55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采购</w:t>
            </w:r>
            <w:r>
              <w:rPr>
                <w:rFonts w:hint="eastAsia" w:ascii="宋体" w:hAnsi="宋体" w:eastAsia="宋体" w:cs="宋体"/>
                <w:color w:val="auto"/>
                <w:sz w:val="24"/>
                <w:highlight w:val="none"/>
                <w:lang w:val="en-US" w:eastAsia="zh-CN"/>
              </w:rPr>
              <w:t xml:space="preserve">服务（服务附带的产品）内容及服务要求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所供服务（服务附带的产品）内容及服务要求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 w:hAnsi="宋体" w:eastAsia="仿宋"/>
                <w:color w:val="auto"/>
                <w:sz w:val="24"/>
                <w:highlight w:val="none"/>
                <w:lang w:val="en-US" w:eastAsia="zh-CN"/>
              </w:rPr>
            </w:pPr>
            <w:r>
              <w:rPr>
                <w:rFonts w:hint="eastAsia" w:ascii="仿宋" w:hAnsi="宋体"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 w:hAnsi="宋体" w:eastAsia="仿宋"/>
                <w:color w:val="auto"/>
                <w:sz w:val="24"/>
                <w:highlight w:val="none"/>
              </w:rPr>
            </w:pPr>
            <w:r>
              <w:rPr>
                <w:rFonts w:hint="eastAsia" w:ascii="仿宋" w:hAnsi="宋体"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 w:hAnsi="宋体" w:eastAsia="仿宋"/>
                <w:color w:val="auto"/>
                <w:sz w:val="24"/>
                <w:highlight w:val="none"/>
              </w:rPr>
            </w:pPr>
            <w:r>
              <w:rPr>
                <w:rFonts w:hint="eastAsia" w:ascii="仿宋" w:hAnsi="宋体"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 w:hAnsi="宋体" w:eastAsia="仿宋"/>
                <w:color w:val="auto"/>
                <w:sz w:val="24"/>
                <w:highlight w:val="none"/>
                <w:lang w:val="en-US" w:eastAsia="zh-CN"/>
              </w:rPr>
            </w:pPr>
            <w:r>
              <w:rPr>
                <w:rFonts w:hint="eastAsia" w:ascii="仿宋" w:hAnsi="宋体"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ascii="仿宋" w:eastAsia="仿宋"/>
                <w:color w:val="auto"/>
                <w:sz w:val="24"/>
                <w:highlight w:val="none"/>
              </w:rPr>
            </w:pPr>
            <w:r>
              <w:rPr>
                <w:rFonts w:asci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ascii="仿宋" w:eastAsia="仿宋"/>
                <w:color w:val="auto"/>
                <w:sz w:val="24"/>
                <w:highlight w:val="none"/>
              </w:rPr>
            </w:pPr>
            <w:r>
              <w:rPr>
                <w:rFonts w:asci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 w:hAnsi="宋体" w:eastAsia="仿宋"/>
                <w:color w:val="auto"/>
                <w:sz w:val="24"/>
                <w:highlight w:val="none"/>
                <w:lang w:val="en-US" w:eastAsia="zh-CN"/>
              </w:rPr>
            </w:pPr>
            <w:r>
              <w:rPr>
                <w:rFonts w:hint="eastAsia" w:ascii="仿宋" w:hAnsi="宋体"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 w:hAnsi="宋体" w:eastAsia="仿宋"/>
                <w:color w:val="auto"/>
                <w:sz w:val="24"/>
                <w:highlight w:val="none"/>
              </w:rPr>
            </w:pPr>
            <w:r>
              <w:rPr>
                <w:rFonts w:hint="eastAsia" w:ascii="仿宋" w:hAnsi="宋体"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 w:hAnsi="宋体" w:eastAsia="仿宋"/>
                <w:color w:val="auto"/>
                <w:sz w:val="24"/>
                <w:highlight w:val="none"/>
              </w:rPr>
            </w:pPr>
            <w:r>
              <w:rPr>
                <w:rFonts w:hint="eastAsia" w:ascii="仿宋" w:hAnsi="宋体"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 w:hAnsi="宋体" w:eastAsia="仿宋"/>
                <w:color w:val="auto"/>
                <w:sz w:val="24"/>
                <w:highlight w:val="none"/>
                <w:lang w:val="en-US" w:eastAsia="zh-CN"/>
              </w:rPr>
            </w:pPr>
            <w:r>
              <w:rPr>
                <w:rFonts w:hint="eastAsia" w:ascii="仿宋" w:hAnsi="宋体"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 w:hAnsi="宋体" w:eastAsia="仿宋"/>
                <w:color w:val="auto"/>
                <w:sz w:val="24"/>
                <w:highlight w:val="none"/>
              </w:rPr>
            </w:pPr>
            <w:r>
              <w:rPr>
                <w:rFonts w:hint="eastAsia" w:ascii="仿宋" w:hAnsi="宋体"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 w:hAnsi="宋体" w:eastAsia="仿宋"/>
                <w:color w:val="auto"/>
                <w:sz w:val="24"/>
                <w:highlight w:val="none"/>
              </w:rPr>
            </w:pPr>
            <w:r>
              <w:rPr>
                <w:rFonts w:hint="eastAsia" w:ascii="仿宋" w:hAnsi="宋体"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 w:hAnsi="宋体" w:eastAsia="仿宋"/>
                <w:color w:val="auto"/>
                <w:sz w:val="24"/>
                <w:highlight w:val="none"/>
                <w:lang w:val="en-US" w:eastAsia="zh-CN"/>
              </w:rPr>
            </w:pPr>
            <w:r>
              <w:rPr>
                <w:rFonts w:hint="eastAsia" w:ascii="仿宋" w:hAnsi="宋体" w:eastAsia="仿宋"/>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 w:hAnsi="宋体" w:eastAsia="仿宋"/>
                <w:color w:val="auto"/>
                <w:sz w:val="24"/>
                <w:highlight w:val="none"/>
              </w:rPr>
            </w:pPr>
            <w:r>
              <w:rPr>
                <w:rFonts w:hint="eastAsia" w:ascii="仿宋" w:hAnsi="宋体"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 w:hAnsi="宋体" w:eastAsia="仿宋"/>
                <w:color w:val="auto"/>
                <w:sz w:val="24"/>
                <w:highlight w:val="none"/>
              </w:rPr>
            </w:pPr>
            <w:r>
              <w:rPr>
                <w:rFonts w:hint="eastAsia" w:ascii="仿宋" w:hAnsi="宋体"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 w:hAnsi="宋体" w:eastAsia="仿宋"/>
                <w:color w:val="auto"/>
                <w:sz w:val="24"/>
                <w:highlight w:val="none"/>
                <w:lang w:eastAsia="zh-CN"/>
              </w:rPr>
            </w:pPr>
            <w:r>
              <w:rPr>
                <w:rFonts w:hint="eastAsia" w:ascii="仿宋" w:hAnsi="宋体" w:eastAsia="仿宋"/>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 w:hAnsi="宋体" w:eastAsia="仿宋"/>
                <w:color w:val="auto"/>
                <w:sz w:val="24"/>
                <w:highlight w:val="none"/>
              </w:rPr>
            </w:pPr>
            <w:r>
              <w:rPr>
                <w:rFonts w:hint="eastAsia" w:ascii="仿宋" w:hAnsi="宋体"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 w:hAnsi="宋体" w:eastAsia="仿宋"/>
                <w:color w:val="auto"/>
                <w:sz w:val="24"/>
                <w:highlight w:val="none"/>
              </w:rPr>
            </w:pPr>
            <w:r>
              <w:rPr>
                <w:rFonts w:hint="eastAsia" w:ascii="仿宋" w:hAnsi="宋体"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r>
    </w:tbl>
    <w:p>
      <w:pPr>
        <w:ind w:firstLine="420"/>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p>
      <w:pPr>
        <w:ind w:firstLine="42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注：该表必须按照</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要求逐条如实填写，根据</w:t>
      </w:r>
      <w:r>
        <w:rPr>
          <w:rFonts w:hint="eastAsia" w:ascii="宋体" w:hAnsi="宋体" w:eastAsia="宋体" w:cs="宋体"/>
          <w:color w:val="auto"/>
          <w:sz w:val="24"/>
          <w:highlight w:val="none"/>
          <w:lang w:eastAsia="zh-CN"/>
        </w:rPr>
        <w:t xml:space="preserve">所供产品</w:t>
      </w:r>
      <w:r>
        <w:rPr>
          <w:rFonts w:hint="eastAsia" w:ascii="宋体" w:hAnsi="宋体" w:eastAsia="宋体" w:cs="宋体"/>
          <w:color w:val="auto"/>
          <w:sz w:val="24"/>
          <w:highlight w:val="none"/>
        </w:rPr>
        <w:t xml:space="preserve">情况在“偏离说明”项填写正偏离或负偏离及原因，完全符合的填写“无偏离”。</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法定代表人或</w:t>
      </w:r>
      <w:r>
        <w:rPr>
          <w:rFonts w:hint="eastAsia" w:asciiTheme="minorEastAsia" w:hAnsiTheme="minorEastAsia" w:eastAsiaTheme="minorEastAsia" w:cstheme="minorEastAsia"/>
          <w:color w:val="auto"/>
          <w:sz w:val="24"/>
          <w:highlight w:val="none"/>
          <w:lang w:val="en-US" w:eastAsia="zh-CN"/>
        </w:rPr>
        <w:t xml:space="preserve">被授权人</w:t>
      </w:r>
      <w:r>
        <w:rPr>
          <w:rFonts w:hint="eastAsia" w:asciiTheme="minorEastAsia" w:hAnsiTheme="minorEastAsia" w:eastAsiaTheme="minorEastAsia" w:cstheme="minorEastAsia"/>
          <w:color w:val="auto"/>
          <w:sz w:val="24"/>
          <w:highlight w:val="none"/>
        </w:rPr>
        <w:t xml:space="preserve">签字：</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szCs w:val="24"/>
        </w:rPr>
        <w:t xml:space="preserve">企业名称（加盖CA电子公章）</w:t>
      </w:r>
      <w:r>
        <w:rPr>
          <w:rFonts w:hint="eastAsia" w:asciiTheme="minorEastAsia" w:hAnsiTheme="minorEastAsia" w:eastAsiaTheme="minorEastAsia" w:cstheme="minorEastAsia"/>
          <w:color w:val="auto"/>
          <w:sz w:val="24"/>
          <w:highlight w:val="none"/>
        </w:rPr>
        <w:t xml:space="preserve">：</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jc w:val="right"/>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9.服  务  承  诺</w:t>
      </w:r>
      <w:r/>
    </w:p>
    <w:p>
      <w:pPr>
        <w:rPr>
          <w:rFonts w:hint="eastAsia" w:ascii="仿宋" w:eastAsia="仿宋"/>
          <w:color w:val="auto"/>
          <w:sz w:val="24"/>
          <w:highlight w:val="none"/>
        </w:rPr>
      </w:pPr>
      <w:r>
        <w:rPr>
          <w:rFonts w:hint="eastAsia" w:ascii="仿宋" w:eastAsia="仿宋"/>
          <w:color w:val="auto"/>
          <w:sz w:val="24"/>
          <w:highlight w:val="none"/>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如我方</w:t>
      </w:r>
      <w:r>
        <w:rPr>
          <w:rFonts w:hint="eastAsia" w:asciiTheme="minorEastAsia" w:hAnsiTheme="minorEastAsia" w:eastAsiaTheme="minorEastAsia" w:cstheme="minorEastAsia"/>
          <w:color w:val="auto"/>
          <w:sz w:val="24"/>
          <w:highlight w:val="none"/>
          <w:lang w:eastAsia="zh-CN"/>
        </w:rPr>
        <w:t xml:space="preserve">中标</w:t>
      </w:r>
      <w:r>
        <w:rPr>
          <w:rFonts w:hint="eastAsia" w:asciiTheme="minorEastAsia" w:hAnsiTheme="minorEastAsia" w:eastAsiaTheme="minorEastAsia" w:cstheme="minorEastAsia"/>
          <w:color w:val="auto"/>
          <w:sz w:val="24"/>
          <w:highlight w:val="none"/>
        </w:rPr>
        <w:t xml:space="preserve">，郑重承诺如下：</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（1）按照招标文件的要求，我方将在合同履行期限</w:t>
      </w:r>
      <w:r>
        <w:rPr>
          <w:rFonts w:hint="eastAsia" w:asciiTheme="minorEastAsia" w:hAnsiTheme="minorEastAsia" w:cstheme="minorEastAsia"/>
          <w:color w:val="auto"/>
          <w:sz w:val="24"/>
          <w:highlight w:val="none"/>
          <w:lang w:val="en-US" w:eastAsia="zh-CN"/>
        </w:rPr>
        <w:t xml:space="preserve">内</w:t>
      </w:r>
      <w:r>
        <w:rPr>
          <w:rFonts w:hint="eastAsia" w:asciiTheme="minorEastAsia" w:hAnsiTheme="minorEastAsia" w:eastAsiaTheme="minorEastAsia" w:cstheme="minorEastAsia"/>
          <w:color w:val="auto"/>
          <w:sz w:val="24"/>
          <w:highlight w:val="none"/>
          <w:lang w:val="zh-CN" w:eastAsia="zh-CN"/>
        </w:rPr>
        <w:t xml:space="preserve">按照要求及时完成各阶段工作</w:t>
      </w:r>
      <w:r>
        <w:rPr>
          <w:rFonts w:hint="eastAsia" w:asciiTheme="minorEastAsia" w:hAnsiTheme="minorEastAsia" w:eastAsiaTheme="minorEastAsia" w:cstheme="minorEastAsia"/>
          <w:color w:val="auto"/>
          <w:sz w:val="24"/>
          <w:highlight w:val="none"/>
          <w:lang w:eastAsia="zh-CN"/>
        </w:rPr>
        <w:t xml:space="preserve">；</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（2）若我方中标，我方将成立负责实施本项目的专项工作小组，明确专人负责本项目的实施；</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lang w:eastAsia="zh-CN"/>
        </w:rPr>
        <w:t xml:space="preserve">）…………。</w:t>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法定代表人或</w:t>
      </w:r>
      <w:r>
        <w:rPr>
          <w:rFonts w:hint="eastAsia" w:asciiTheme="minorEastAsia" w:hAnsiTheme="minorEastAsia" w:eastAsiaTheme="minorEastAsia" w:cstheme="minorEastAsia"/>
          <w:color w:val="auto"/>
          <w:sz w:val="24"/>
          <w:highlight w:val="none"/>
          <w:lang w:val="en-US" w:eastAsia="zh-CN"/>
        </w:rPr>
        <w:t xml:space="preserve">被授权人</w:t>
      </w:r>
      <w:r>
        <w:rPr>
          <w:rFonts w:hint="eastAsia" w:asciiTheme="minorEastAsia" w:hAnsiTheme="minorEastAsia" w:eastAsiaTheme="minorEastAsia" w:cstheme="minorEastAsia"/>
          <w:color w:val="auto"/>
          <w:sz w:val="24"/>
          <w:highlight w:val="none"/>
        </w:rPr>
        <w:t xml:space="preserve">签字：</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szCs w:val="24"/>
        </w:rPr>
        <w:t xml:space="preserve">企业名称（加盖CA电子公章）</w:t>
      </w:r>
      <w:r>
        <w:rPr>
          <w:rFonts w:hint="eastAsia" w:asciiTheme="minorEastAsia" w:hAnsiTheme="minorEastAsia" w:eastAsiaTheme="minorEastAsia" w:cstheme="minorEastAsia"/>
          <w:color w:val="auto"/>
          <w:sz w:val="24"/>
          <w:highlight w:val="none"/>
        </w:rPr>
        <w:t xml:space="preserve">：</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jc w:val="right"/>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jc w:val="center"/>
        <w:spacing w:line="4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hint="eastAsia" w:ascii="黑体" w:hAnsi="Times New Roman" w:eastAsia="黑体" w:cs="Times New Roman"/>
          <w:b/>
          <w:bCs/>
          <w:color w:val="auto"/>
          <w:sz w:val="32"/>
          <w:szCs w:val="32"/>
          <w:highlight w:val="none"/>
          <w:lang w:val="en-US" w:eastAsia="zh-CN"/>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10.中小企业声明函（工程、服务）</w:t>
      </w:r>
      <w:r/>
    </w:p>
    <w:p>
      <w:pPr>
        <w:spacing w:line="56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firstLine="480"/>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i/>
          <w:iCs/>
          <w:color w:val="auto"/>
          <w:sz w:val="24"/>
          <w:szCs w:val="24"/>
          <w:u w:val="single"/>
        </w:rPr>
        <w:t xml:space="preserve">（标的名称） </w:t>
      </w:r>
      <w:r>
        <w:rPr>
          <w:rFonts w:hint="eastAsia" w:ascii="宋体" w:hAnsi="宋体" w:eastAsia="宋体" w:cs="宋体"/>
          <w:color w:val="auto"/>
          <w:sz w:val="24"/>
          <w:szCs w:val="24"/>
        </w:rPr>
        <w:t xml:space="preserve">，属于</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lang w:val="en-US" w:eastAsia="zh-CN"/>
        </w:rPr>
        <w:t xml:space="preserve">采购文件中明确的所属行业</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color w:val="auto"/>
          <w:sz w:val="24"/>
          <w:szCs w:val="24"/>
        </w:rPr>
        <w:t xml:space="preserve">行业；制造商为</w:t>
      </w:r>
      <w:r>
        <w:rPr>
          <w:rFonts w:hint="eastAsia" w:ascii="宋体" w:hAnsi="宋体" w:eastAsia="宋体" w:cs="宋体"/>
          <w:i/>
          <w:iCs/>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i/>
          <w:iCs/>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i/>
          <w:iCs/>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i/>
          <w:iCs/>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i/>
          <w:iCs/>
          <w:color w:val="auto"/>
          <w:sz w:val="24"/>
          <w:szCs w:val="24"/>
          <w:u w:val="single"/>
        </w:rPr>
        <w:t xml:space="preserve">（中型企业、小型企业、微型企业）</w:t>
      </w:r>
      <w:r>
        <w:rPr>
          <w:rFonts w:hint="eastAsia" w:ascii="宋体" w:hAnsi="宋体" w:eastAsia="宋体" w:cs="宋体"/>
          <w:color w:val="auto"/>
          <w:sz w:val="24"/>
          <w:szCs w:val="24"/>
        </w:rPr>
        <w:t xml:space="preserve">；</w:t>
      </w:r>
      <w:r/>
    </w:p>
    <w:p>
      <w:pPr>
        <w:ind w:firstLine="480"/>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i/>
          <w:iCs/>
          <w:color w:val="auto"/>
          <w:sz w:val="24"/>
          <w:szCs w:val="24"/>
          <w:u w:val="single"/>
        </w:rPr>
        <w:t xml:space="preserve">（标的名称） </w:t>
      </w:r>
      <w:r>
        <w:rPr>
          <w:rFonts w:hint="eastAsia" w:ascii="宋体" w:hAnsi="宋体" w:eastAsia="宋体" w:cs="宋体"/>
          <w:color w:val="auto"/>
          <w:sz w:val="24"/>
          <w:szCs w:val="24"/>
        </w:rPr>
        <w:t xml:space="preserve">，属于</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lang w:val="en-US" w:eastAsia="zh-CN"/>
        </w:rPr>
        <w:t xml:space="preserve">采购文件中明确的所属行业</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color w:val="auto"/>
          <w:sz w:val="24"/>
          <w:szCs w:val="24"/>
        </w:rPr>
        <w:t xml:space="preserve">行业；制造商为</w:t>
      </w:r>
      <w:r>
        <w:rPr>
          <w:rFonts w:hint="eastAsia" w:ascii="宋体" w:hAnsi="宋体" w:eastAsia="宋体" w:cs="宋体"/>
          <w:i/>
          <w:iCs/>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i/>
          <w:iCs/>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i/>
          <w:iCs/>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i/>
          <w:iCs/>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i/>
          <w:iCs/>
          <w:color w:val="auto"/>
          <w:sz w:val="24"/>
          <w:szCs w:val="24"/>
          <w:u w:val="single"/>
        </w:rPr>
        <w:t xml:space="preserve">（中型企业、小型企业、微型企业）</w:t>
      </w:r>
      <w:r>
        <w:rPr>
          <w:rFonts w:hint="eastAsia" w:ascii="宋体" w:hAnsi="宋体" w:eastAsia="宋体" w:cs="宋体"/>
          <w:color w:val="auto"/>
          <w:sz w:val="24"/>
          <w:szCs w:val="24"/>
        </w:rPr>
        <w:t xml:space="preserve">；</w:t>
      </w:r>
      <w:r/>
    </w:p>
    <w:p>
      <w:pPr>
        <w:ind w:firstLine="480"/>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80"/>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ind w:firstLine="4080"/>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企业名称（盖章）：</w:t>
      </w:r>
      <w:r/>
    </w:p>
    <w:p>
      <w:pPr>
        <w:ind w:firstLine="4080"/>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p>
    <w:p>
      <w:pPr>
        <w:jc w:val="left"/>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从业人员、营业收入、资产总额填报上一年度数据，无上一年度数据的新成立企业可不填报。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60" w:lineRule="exact"/>
        <w:rPr>
          <w:rFonts w:hint="eastAsia" w:ascii="黑体" w:hAnsi="Times New Roman" w:eastAsia="黑体" w:cs="Times New Roman"/>
          <w:b/>
          <w:bCs/>
          <w:color w:val="auto"/>
          <w:sz w:val="32"/>
          <w:szCs w:val="32"/>
          <w:highlight w:val="none"/>
          <w:lang w:val="en-US" w:eastAsia="zh-CN"/>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11.残疾人福利性单位声明函（分包号：**）</w:t>
      </w:r>
      <w:r/>
    </w:p>
    <w:p>
      <w:pPr>
        <w:ind w:firstLine="480"/>
        <w:spacing w:line="588" w:lineRule="exact"/>
        <w:rPr>
          <w:rFonts w:hint="eastAsia"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u w:val="single"/>
        </w:rPr>
        <w:t xml:space="preserve">       </w:t>
      </w:r>
      <w:r>
        <w:rPr>
          <w:rFonts w:hint="eastAsia" w:ascii="宋体" w:hAnsi="宋体"/>
          <w:color w:val="auto"/>
          <w:sz w:val="24"/>
        </w:rPr>
        <w:t xml:space="preserve">项目（分包号：**）采购活动由本单位提供服务</w:t>
      </w:r>
      <w:r>
        <w:rPr>
          <w:rFonts w:hint="eastAsia" w:ascii="宋体" w:hAnsi="宋体"/>
          <w:color w:val="auto"/>
          <w:sz w:val="24"/>
          <w:lang w:eastAsia="zh-CN"/>
        </w:rPr>
        <w:t xml:space="preserve">。（</w:t>
      </w:r>
      <w:r>
        <w:rPr>
          <w:rFonts w:hint="eastAsia" w:ascii="宋体" w:hAnsi="宋体"/>
          <w:color w:val="auto"/>
          <w:sz w:val="24"/>
          <w:szCs w:val="21"/>
        </w:rPr>
        <w:t xml:space="preserve">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auto"/>
          <w:sz w:val="24"/>
        </w:rPr>
      </w:pPr>
      <w:r>
        <w:rPr>
          <w:rFonts w:hint="eastAsia" w:ascii="宋体" w:hAnsi="宋体"/>
          <w:color w:val="auto"/>
          <w:sz w:val="24"/>
        </w:rPr>
        <w:t xml:space="preserve">本单位对上述声明的真实性负责。如有虚假，将依法承担相应责任。</w:t>
      </w:r>
      <w:r/>
    </w:p>
    <w:p>
      <w:pPr>
        <w:ind w:firstLine="480"/>
        <w:spacing w:line="588" w:lineRule="exact"/>
        <w:rPr>
          <w:rFonts w:hint="eastAsia" w:ascii="宋体" w:hAnsi="宋体"/>
          <w:color w:val="auto"/>
          <w:sz w:val="24"/>
        </w:rPr>
      </w:pPr>
      <w:r>
        <w:rPr>
          <w:rFonts w:hint="eastAsia" w:ascii="宋体" w:hAnsi="宋体"/>
          <w:color w:val="auto"/>
          <w:sz w:val="24"/>
        </w:rPr>
      </w:r>
      <w:r/>
    </w:p>
    <w:p>
      <w:pPr>
        <w:ind w:firstLine="480"/>
        <w:spacing w:line="588" w:lineRule="exact"/>
        <w:rPr>
          <w:rFonts w:ascii="宋体" w:hAnsi="宋体"/>
          <w:color w:val="auto"/>
          <w:sz w:val="24"/>
        </w:rPr>
      </w:pPr>
      <w:r>
        <w:rPr>
          <w:rFonts w:hint="eastAsia" w:ascii="宋体" w:hAnsi="宋体"/>
          <w:color w:val="auto"/>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 w:eastAsia="仿宋"/>
          <w:color w:val="auto"/>
          <w:spacing w:val="6"/>
          <w:sz w:val="30"/>
          <w:szCs w:val="30"/>
        </w:rPr>
      </w:pPr>
      <w:r>
        <w:rPr>
          <w:rFonts w:ascii="仿宋" w:eastAsia="仿宋"/>
          <w:color w:val="auto"/>
          <w:spacing w:val="6"/>
          <w:sz w:val="30"/>
          <w:szCs w:val="30"/>
        </w:rPr>
      </w:r>
      <w:r/>
    </w:p>
    <w:p>
      <w:pPr>
        <w:ind w:right="1560" w:firstLine="624"/>
        <w:jc w:val="center"/>
        <w:spacing w:line="588" w:lineRule="exact"/>
        <w:tabs>
          <w:tab w:val="left" w:pos="4860" w:leader="none"/>
        </w:tabs>
        <w:rPr>
          <w:rFonts w:ascii="宋体" w:hAnsi="宋体"/>
          <w:color w:val="auto"/>
          <w:sz w:val="24"/>
        </w:rPr>
      </w:pPr>
      <w:r>
        <w:rPr>
          <w:rFonts w:hint="eastAsia" w:ascii="仿宋" w:eastAsia="仿宋"/>
          <w:color w:val="auto"/>
          <w:spacing w:val="6"/>
          <w:sz w:val="30"/>
          <w:szCs w:val="30"/>
        </w:rPr>
        <w:t xml:space="preserve">             </w:t>
      </w:r>
      <w:r>
        <w:rPr>
          <w:rFonts w:hint="eastAsia" w:ascii="宋体" w:hAnsi="宋体"/>
          <w:color w:val="auto"/>
          <w:sz w:val="24"/>
        </w:rPr>
        <w:t xml:space="preserve">          供应商全称（加盖CA电子公章）：</w:t>
      </w:r>
      <w:r/>
    </w:p>
    <w:p>
      <w:pPr>
        <w:ind w:right="1560" w:firstLine="480"/>
        <w:jc w:val="center"/>
        <w:spacing w:line="588" w:lineRule="exact"/>
        <w:tabs>
          <w:tab w:val="left" w:pos="4860" w:leader="none"/>
        </w:tabs>
        <w:rPr>
          <w:rFonts w:ascii="宋体" w:hAnsi="宋体"/>
          <w:color w:val="auto"/>
          <w:sz w:val="24"/>
        </w:rPr>
      </w:pPr>
      <w:r>
        <w:rPr>
          <w:rFonts w:hint="eastAsia" w:ascii="宋体" w:hAnsi="宋体"/>
          <w:color w:val="auto"/>
          <w:sz w:val="24"/>
        </w:rPr>
        <w:t xml:space="preserve">        日  期：</w:t>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default" w:ascii="黑体" w:hAnsi="Times New Roman" w:eastAsia="黑体" w:cs="Times New Roman"/>
          <w:b/>
          <w:bCs/>
          <w:color w:val="auto"/>
          <w:sz w:val="32"/>
          <w:szCs w:val="32"/>
          <w:highlight w:val="none"/>
          <w:lang w:val="en-US" w:eastAsia="zh-CN"/>
        </w:rPr>
        <w:outlineLvl w:val="1"/>
      </w:pPr>
      <w:r>
        <w:rPr>
          <w:rFonts w:hint="eastAsia" w:ascii="黑体" w:hAnsi="Times New Roman" w:eastAsia="黑体" w:cs="Times New Roman"/>
          <w:b/>
          <w:bCs/>
          <w:color w:val="auto"/>
          <w:sz w:val="32"/>
          <w:szCs w:val="32"/>
          <w:highlight w:val="none"/>
          <w:lang w:val="en-US" w:eastAsia="zh-CN"/>
        </w:rPr>
        <w:t xml:space="preserve">12.</w:t>
      </w:r>
      <w:bookmarkEnd w:id="204"/>
      <w:r>
        <w:rPr>
          <w:rFonts w:hint="eastAsia" w:ascii="黑体" w:hAnsi="Times New Roman" w:eastAsia="黑体" w:cs="Times New Roman"/>
          <w:b/>
          <w:bCs/>
          <w:color w:val="auto"/>
          <w:sz w:val="32"/>
          <w:szCs w:val="32"/>
          <w:highlight w:val="none"/>
          <w:lang w:val="en-US" w:eastAsia="zh-CN"/>
        </w:rPr>
        <w:t xml:space="preserve">东台市政府采购事前信用承诺书</w:t>
      </w:r>
      <w:r/>
    </w:p>
    <w:p>
      <w:pPr>
        <w:ind w:firstLine="640"/>
        <w:jc w:val="left"/>
        <w:spacing w:line="499" w:lineRule="atLeast"/>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为营造我市公开、公平、公正、诚实守信的政府采购交易环境，树立诚信守法的投标人形象，本人代表本单位作出以下承诺：</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（三）严格依照国家和省、市关于政府采购的法律、法规、规章、规范性文件，参加政府采购活动；积极履行社会责任，促进廉政建设； </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（四）严格遵守即时信息公示规定，及时维护和更新与本单位相关的信息；</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（六）自觉接受政府、行业组织、社会公众、新闻舆论的监督；</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56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法定代表人签名：</w:t>
      </w:r>
      <w:r/>
    </w:p>
    <w:p>
      <w:pPr>
        <w:ind w:right="1560" w:firstLine="480"/>
        <w:jc w:val="center"/>
        <w:spacing w:line="588" w:lineRule="exact"/>
        <w:tabs>
          <w:tab w:val="left" w:pos="4860" w:leader="none"/>
        </w:tabs>
        <w:rPr>
          <w:rFonts w:ascii="宋体" w:hAnsi="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color w:val="auto"/>
          <w:sz w:val="24"/>
        </w:rPr>
        <w:t xml:space="preserve">供应商全称（加盖CA电子公章）：</w:t>
      </w:r>
      <w:r/>
    </w:p>
    <w:p>
      <w:pPr>
        <w:ind w:right="1560" w:firstLine="480"/>
        <w:jc w:val="center"/>
        <w:spacing w:line="588" w:lineRule="exact"/>
        <w:tabs>
          <w:tab w:val="left" w:pos="4860" w:leader="none"/>
        </w:tabs>
        <w:rPr>
          <w:rFonts w:ascii="宋体" w:hAnsi="宋体" w:eastAsia="宋体" w:cs="宋体"/>
          <w:color w:val="auto"/>
          <w:sz w:val="24"/>
        </w:rPr>
      </w:pP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rPr>
        <w:t xml:space="preserve">日  期：</w:t>
      </w:r>
      <w:r/>
    </w:p>
    <w:p>
      <w:pPr>
        <w:pStyle w:val="854"/>
        <w:jc w:val="center"/>
        <w:spacing w:beforeAutospacing="0" w:afterAutospacing="0"/>
        <w:rPr>
          <w:color w:val="auto"/>
        </w:rPr>
      </w:pPr>
      <w:r>
        <w:rPr>
          <w:color w:val="auto"/>
        </w:rPr>
      </w:r>
      <w:bookmarkEnd w:id="193"/>
      <w:r/>
      <w:bookmarkEnd w:id="194"/>
      <w:r/>
      <w:bookmarkEnd w:id="195"/>
      <w:r/>
      <w:bookmarkEnd w:id="196"/>
      <w:r/>
      <w:bookmarkEnd w:id="197"/>
      <w:r/>
      <w:bookmarkEnd w:id="198"/>
      <w:r/>
      <w:bookmarkEnd w:id="199"/>
      <w:r/>
      <w:bookmarkEnd w:id="200"/>
      <w:r/>
      <w:bookmarkEnd w:id="201"/>
      <w:r/>
      <w:bookmarkEnd w:id="202"/>
      <w:r/>
      <w:bookmarkEnd w:id="203"/>
      <w:r/>
      <w:r/>
    </w:p>
    <w:p>
      <w:pPr>
        <w:rPr>
          <w:color w:val="auto"/>
        </w:rPr>
      </w:pPr>
      <w:r>
        <w:rPr>
          <w:color w:val="auto"/>
        </w:rPr>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pStyle w:val="854"/>
        <w:jc w:val="center"/>
        <w:spacing w:beforeAutospacing="0" w:afterAutospacing="0"/>
        <w:rPr>
          <w:rFonts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854"/>
        <w:jc w:val="both"/>
        <w:spacing w:before="290" w:beforeAutospacing="0" w:afterAutospacing="0" w:line="360" w:lineRule="auto"/>
        <w:rPr>
          <w:rFonts w:ascii="宋体" w:hAnsi="宋体" w:eastAsia="宋体" w:cs="宋体"/>
          <w:color w:val="auto"/>
        </w:rPr>
      </w:pPr>
      <w:r>
        <w:rPr>
          <w:rFonts w:hint="eastAsia" w:ascii="宋体" w:hAnsi="宋体" w:eastAsia="宋体" w:cs="宋体"/>
          <w:color w:val="auto"/>
        </w:rPr>
        <w:t xml:space="preserve">一、质疑供应商基本信息</w:t>
      </w:r>
      <w:r/>
    </w:p>
    <w:p>
      <w:pPr>
        <w:pStyle w:val="85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质疑供应商：</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4"/>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地址：</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4"/>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联系人：</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p>
    <w:p>
      <w:pPr>
        <w:pStyle w:val="85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授权代表：</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4"/>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地址： </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p>
    <w:p>
      <w:pPr>
        <w:pStyle w:val="85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二、质疑项目基本情况</w:t>
      </w:r>
      <w:r/>
    </w:p>
    <w:p>
      <w:pPr>
        <w:pStyle w:val="85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质疑项目的名称：</w:t>
      </w:r>
      <w:r>
        <w:rPr>
          <w:rFonts w:hint="eastAsia" w:ascii="宋体" w:hAnsi="宋体" w:eastAsia="宋体" w:cs="宋体"/>
          <w:color w:val="auto"/>
          <w:u w:val="single"/>
        </w:rPr>
        <w:t xml:space="preserve">                            </w:t>
      </w:r>
      <w:r/>
    </w:p>
    <w:p>
      <w:pPr>
        <w:pStyle w:val="854"/>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质疑项目的编号：</w:t>
      </w:r>
      <w:r>
        <w:rPr>
          <w:rFonts w:hint="eastAsia" w:ascii="宋体" w:hAnsi="宋体" w:eastAsia="宋体" w:cs="宋体"/>
          <w:color w:val="auto"/>
          <w:u w:val="single"/>
        </w:rPr>
        <w:t xml:space="preserve">                          </w:t>
      </w:r>
      <w:r/>
    </w:p>
    <w:p>
      <w:pPr>
        <w:pStyle w:val="85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包号：</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采购人名称：</w:t>
      </w:r>
      <w:r>
        <w:rPr>
          <w:rFonts w:hint="eastAsia" w:ascii="宋体" w:hAnsi="宋体" w:eastAsia="宋体" w:cs="宋体"/>
          <w:color w:val="auto"/>
          <w:u w:val="single"/>
        </w:rPr>
        <w:t xml:space="preserve">                            </w:t>
      </w:r>
      <w:r/>
    </w:p>
    <w:p>
      <w:pPr>
        <w:pStyle w:val="85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采购文件获取日期：</w:t>
      </w:r>
      <w:r>
        <w:rPr>
          <w:rFonts w:hint="eastAsia" w:ascii="宋体" w:hAnsi="宋体" w:eastAsia="宋体" w:cs="宋体"/>
          <w:color w:val="auto"/>
          <w:u w:val="single"/>
        </w:rPr>
        <w:t xml:space="preserve">                             </w:t>
      </w:r>
      <w:r/>
    </w:p>
    <w:p>
      <w:pPr>
        <w:pStyle w:val="85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三、质疑事项具体内容</w:t>
      </w:r>
      <w:r/>
    </w:p>
    <w:p>
      <w:pPr>
        <w:pStyle w:val="85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质疑事项1：</w:t>
      </w:r>
      <w:r>
        <w:rPr>
          <w:rFonts w:hint="eastAsia" w:ascii="宋体" w:hAnsi="宋体" w:eastAsia="宋体" w:cs="宋体"/>
          <w:color w:val="auto"/>
          <w:u w:val="single"/>
        </w:rPr>
        <w:t xml:space="preserve">                             </w:t>
      </w:r>
      <w:r/>
    </w:p>
    <w:p>
      <w:pPr>
        <w:pStyle w:val="854"/>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事实依据：</w:t>
      </w:r>
      <w:r>
        <w:rPr>
          <w:rFonts w:hint="eastAsia" w:ascii="宋体" w:hAnsi="宋体" w:eastAsia="宋体" w:cs="宋体"/>
          <w:color w:val="auto"/>
          <w:u w:val="single"/>
        </w:rPr>
        <w:t xml:space="preserve">                                                   </w:t>
      </w:r>
      <w:r/>
    </w:p>
    <w:p>
      <w:pPr>
        <w:pStyle w:val="85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法律依据：</w:t>
      </w:r>
      <w:r>
        <w:rPr>
          <w:rFonts w:hint="eastAsia" w:ascii="宋体" w:hAnsi="宋体" w:eastAsia="宋体" w:cs="宋体"/>
          <w:color w:val="auto"/>
          <w:u w:val="single"/>
        </w:rPr>
        <w:t xml:space="preserve">                                                    </w:t>
      </w:r>
      <w:r/>
    </w:p>
    <w:p>
      <w:pPr>
        <w:pStyle w:val="85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质疑事项2</w:t>
      </w:r>
      <w:r/>
    </w:p>
    <w:p>
      <w:pPr>
        <w:pStyle w:val="85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w:t>
      </w:r>
      <w:r/>
    </w:p>
    <w:p>
      <w:pPr>
        <w:pStyle w:val="85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四、与质疑事项相关的质疑请求</w:t>
      </w:r>
      <w:r/>
    </w:p>
    <w:p>
      <w:pPr>
        <w:pStyle w:val="85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请求：</w:t>
      </w:r>
      <w:r>
        <w:rPr>
          <w:rFonts w:hint="eastAsia" w:ascii="宋体" w:hAnsi="宋体" w:eastAsia="宋体" w:cs="宋体"/>
          <w:color w:val="auto"/>
          <w:u w:val="single"/>
        </w:rPr>
        <w:t xml:space="preserve">                                                          </w:t>
      </w:r>
      <w:r/>
    </w:p>
    <w:p>
      <w:pPr>
        <w:pStyle w:val="854"/>
        <w:jc w:val="both"/>
        <w:spacing w:beforeAutospacing="0" w:afterAutospacing="0"/>
        <w:rPr>
          <w:rFonts w:ascii="宋体" w:hAnsi="宋体" w:eastAsia="宋体" w:cs="宋体"/>
          <w:color w:val="auto"/>
        </w:rPr>
      </w:pPr>
      <w:r>
        <w:rPr>
          <w:rFonts w:hint="eastAsia" w:ascii="宋体" w:hAnsi="宋体" w:eastAsia="宋体" w:cs="宋体"/>
          <w:color w:val="auto"/>
        </w:rPr>
        <w:t xml:space="preserve">签字(签章)：                 公章：               日期：    </w:t>
      </w:r>
      <w:r/>
    </w:p>
    <w:p>
      <w:pPr>
        <w:pStyle w:val="854"/>
        <w:jc w:val="both"/>
        <w:spacing w:beforeAutospacing="0" w:afterAutospacing="0" w:line="0" w:lineRule="atLeast"/>
        <w:rPr>
          <w:rFonts w:ascii="宋体" w:hAnsi="宋体" w:eastAsia="宋体" w:cs="宋体"/>
          <w:color w:val="auto"/>
        </w:rPr>
      </w:pPr>
      <w:r>
        <w:rPr>
          <w:rFonts w:hint="eastAsia" w:ascii="宋体" w:hAnsi="宋体" w:eastAsia="宋体" w:cs="宋体"/>
          <w:b/>
          <w:color w:val="auto"/>
        </w:rPr>
        <w:t xml:space="preserve">质疑函制作说明：</w:t>
      </w:r>
      <w:r/>
    </w:p>
    <w:p>
      <w:pPr>
        <w:pStyle w:val="854"/>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1.供应商提出质疑时，应提交质疑函和必要的证明材料。</w:t>
      </w:r>
      <w:r/>
    </w:p>
    <w:p>
      <w:pPr>
        <w:pStyle w:val="854"/>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4"/>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3.质疑供应商若对项目的某一分包进行质疑，质疑函中应列明具体分包号。</w:t>
      </w:r>
      <w:r/>
    </w:p>
    <w:p>
      <w:pPr>
        <w:pStyle w:val="854"/>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4.质疑函的质疑事项应具体、明确，并有必要的事实依据和法律依据。</w:t>
      </w:r>
      <w:r/>
    </w:p>
    <w:p>
      <w:pPr>
        <w:pStyle w:val="854"/>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5.质疑函的质疑请求应与质疑事项相关。</w:t>
      </w:r>
      <w:r/>
    </w:p>
    <w:p>
      <w:pPr>
        <w:pStyle w:val="854"/>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6.质疑供应商为自然人的，质疑函应由本人签字；质疑供应商为法人或者其他组织的，质疑函应由法定代表人、主要负责人，或者其授权代表签字或者盖章，并加盖公章。</w:t>
      </w:r>
      <w:r/>
    </w:p>
    <w:p>
      <w:pPr>
        <w:pStyle w:val="854"/>
        <w:ind w:firstLine="420"/>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r/>
      <w:r/>
    </w:p>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黑体">
    <w:panose1 w:val="02010609060101010101"/>
  </w:font>
  <w:font w:name="Wingdings">
    <w:panose1 w:val="05000000000000000000"/>
  </w:font>
  <w:font w:name="Courier New">
    <w:panose1 w:val="02070309020205020404"/>
  </w:font>
  <w:font w:name="仿宋">
    <w:panose1 w:val="02010609060101010101"/>
  </w:font>
  <w:font w:name="Symbol">
    <w:panose1 w:val="05050102010706020507"/>
  </w:font>
  <w:font w:name="楷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3</w:t>
                          </w:r>
                          <w:r>
                            <w:rPr>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3</w:t>
                    </w:r>
                    <w:r>
                      <w:rPr>
                        <w:sz w:val="21"/>
                        <w:szCs w:val="21"/>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1">
    <w:name w:val="Heading 1"/>
    <w:basedOn w:val="845"/>
    <w:next w:val="845"/>
    <w:link w:val="672"/>
    <w:uiPriority w:val="9"/>
    <w:qFormat/>
    <w:pPr>
      <w:keepLines/>
      <w:keepNext/>
      <w:spacing w:before="480" w:after="200"/>
      <w:outlineLvl w:val="0"/>
    </w:pPr>
    <w:rPr>
      <w:rFonts w:ascii="Arial" w:hAnsi="Arial" w:eastAsia="Arial" w:cs="Arial"/>
      <w:sz w:val="40"/>
      <w:szCs w:val="40"/>
    </w:rPr>
  </w:style>
  <w:style w:type="character" w:styleId="672">
    <w:name w:val="Heading 1 Char"/>
    <w:basedOn w:val="847"/>
    <w:link w:val="671"/>
    <w:uiPriority w:val="9"/>
    <w:rPr>
      <w:rFonts w:ascii="Arial" w:hAnsi="Arial" w:eastAsia="Arial" w:cs="Arial"/>
      <w:sz w:val="40"/>
      <w:szCs w:val="40"/>
    </w:rPr>
  </w:style>
  <w:style w:type="character" w:styleId="673">
    <w:name w:val="Heading 2 Char"/>
    <w:basedOn w:val="847"/>
    <w:link w:val="846"/>
    <w:uiPriority w:val="9"/>
    <w:rPr>
      <w:rFonts w:ascii="Arial" w:hAnsi="Arial" w:eastAsia="Arial" w:cs="Arial"/>
      <w:sz w:val="34"/>
    </w:rPr>
  </w:style>
  <w:style w:type="paragraph" w:styleId="674">
    <w:name w:val="Heading 3"/>
    <w:basedOn w:val="845"/>
    <w:next w:val="845"/>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basedOn w:val="847"/>
    <w:link w:val="674"/>
    <w:uiPriority w:val="9"/>
    <w:rPr>
      <w:rFonts w:ascii="Arial" w:hAnsi="Arial" w:eastAsia="Arial" w:cs="Arial"/>
      <w:sz w:val="30"/>
      <w:szCs w:val="30"/>
    </w:rPr>
  </w:style>
  <w:style w:type="paragraph" w:styleId="676">
    <w:name w:val="Heading 4"/>
    <w:basedOn w:val="845"/>
    <w:next w:val="845"/>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basedOn w:val="847"/>
    <w:link w:val="676"/>
    <w:uiPriority w:val="9"/>
    <w:rPr>
      <w:rFonts w:ascii="Arial" w:hAnsi="Arial" w:eastAsia="Arial" w:cs="Arial"/>
      <w:b/>
      <w:bCs/>
      <w:sz w:val="26"/>
      <w:szCs w:val="26"/>
    </w:rPr>
  </w:style>
  <w:style w:type="paragraph" w:styleId="678">
    <w:name w:val="Heading 5"/>
    <w:basedOn w:val="845"/>
    <w:next w:val="845"/>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basedOn w:val="847"/>
    <w:link w:val="678"/>
    <w:uiPriority w:val="9"/>
    <w:rPr>
      <w:rFonts w:ascii="Arial" w:hAnsi="Arial" w:eastAsia="Arial" w:cs="Arial"/>
      <w:b/>
      <w:bCs/>
      <w:sz w:val="24"/>
      <w:szCs w:val="24"/>
    </w:rPr>
  </w:style>
  <w:style w:type="paragraph" w:styleId="680">
    <w:name w:val="Heading 6"/>
    <w:basedOn w:val="845"/>
    <w:next w:val="845"/>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basedOn w:val="847"/>
    <w:link w:val="680"/>
    <w:uiPriority w:val="9"/>
    <w:rPr>
      <w:rFonts w:ascii="Arial" w:hAnsi="Arial" w:eastAsia="Arial" w:cs="Arial"/>
      <w:b/>
      <w:bCs/>
      <w:sz w:val="22"/>
      <w:szCs w:val="22"/>
    </w:rPr>
  </w:style>
  <w:style w:type="paragraph" w:styleId="682">
    <w:name w:val="Heading 7"/>
    <w:basedOn w:val="845"/>
    <w:next w:val="845"/>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basedOn w:val="847"/>
    <w:link w:val="682"/>
    <w:uiPriority w:val="9"/>
    <w:rPr>
      <w:rFonts w:ascii="Arial" w:hAnsi="Arial" w:eastAsia="Arial" w:cs="Arial"/>
      <w:b/>
      <w:bCs/>
      <w:i/>
      <w:iCs/>
      <w:sz w:val="22"/>
      <w:szCs w:val="22"/>
    </w:rPr>
  </w:style>
  <w:style w:type="paragraph" w:styleId="684">
    <w:name w:val="Heading 8"/>
    <w:basedOn w:val="845"/>
    <w:next w:val="845"/>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basedOn w:val="847"/>
    <w:link w:val="684"/>
    <w:uiPriority w:val="9"/>
    <w:rPr>
      <w:rFonts w:ascii="Arial" w:hAnsi="Arial" w:eastAsia="Arial" w:cs="Arial"/>
      <w:i/>
      <w:iCs/>
      <w:sz w:val="22"/>
      <w:szCs w:val="22"/>
    </w:rPr>
  </w:style>
  <w:style w:type="paragraph" w:styleId="686">
    <w:name w:val="Heading 9"/>
    <w:basedOn w:val="845"/>
    <w:next w:val="845"/>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basedOn w:val="847"/>
    <w:link w:val="686"/>
    <w:uiPriority w:val="9"/>
    <w:rPr>
      <w:rFonts w:ascii="Arial" w:hAnsi="Arial" w:eastAsia="Arial" w:cs="Arial"/>
      <w:i/>
      <w:iCs/>
      <w:sz w:val="21"/>
      <w:szCs w:val="21"/>
    </w:rPr>
  </w:style>
  <w:style w:type="paragraph" w:styleId="688">
    <w:name w:val="List Paragraph"/>
    <w:basedOn w:val="845"/>
    <w:uiPriority w:val="34"/>
    <w:qFormat/>
    <w:pPr>
      <w:contextualSpacing/>
      <w:ind w:left="720"/>
    </w:pPr>
  </w:style>
  <w:style w:type="paragraph" w:styleId="689">
    <w:name w:val="No Spacing"/>
    <w:uiPriority w:val="1"/>
    <w:qFormat/>
    <w:pPr>
      <w:spacing w:before="0" w:after="0" w:line="240" w:lineRule="auto"/>
    </w:pPr>
  </w:style>
  <w:style w:type="paragraph" w:styleId="690">
    <w:name w:val="Title"/>
    <w:basedOn w:val="845"/>
    <w:next w:val="845"/>
    <w:link w:val="691"/>
    <w:uiPriority w:val="10"/>
    <w:qFormat/>
    <w:pPr>
      <w:contextualSpacing/>
      <w:spacing w:before="300" w:after="200"/>
    </w:pPr>
    <w:rPr>
      <w:sz w:val="48"/>
      <w:szCs w:val="48"/>
    </w:rPr>
  </w:style>
  <w:style w:type="character" w:styleId="691">
    <w:name w:val="Title Char"/>
    <w:basedOn w:val="847"/>
    <w:link w:val="690"/>
    <w:uiPriority w:val="10"/>
    <w:rPr>
      <w:sz w:val="48"/>
      <w:szCs w:val="48"/>
    </w:rPr>
  </w:style>
  <w:style w:type="paragraph" w:styleId="692">
    <w:name w:val="Subtitle"/>
    <w:basedOn w:val="845"/>
    <w:next w:val="845"/>
    <w:link w:val="693"/>
    <w:uiPriority w:val="11"/>
    <w:qFormat/>
    <w:pPr>
      <w:spacing w:before="200" w:after="200"/>
    </w:pPr>
    <w:rPr>
      <w:sz w:val="24"/>
      <w:szCs w:val="24"/>
    </w:rPr>
  </w:style>
  <w:style w:type="character" w:styleId="693">
    <w:name w:val="Subtitle Char"/>
    <w:basedOn w:val="847"/>
    <w:link w:val="692"/>
    <w:uiPriority w:val="11"/>
    <w:rPr>
      <w:sz w:val="24"/>
      <w:szCs w:val="24"/>
    </w:rPr>
  </w:style>
  <w:style w:type="paragraph" w:styleId="694">
    <w:name w:val="Quote"/>
    <w:basedOn w:val="845"/>
    <w:next w:val="845"/>
    <w:link w:val="695"/>
    <w:uiPriority w:val="29"/>
    <w:qFormat/>
    <w:pPr>
      <w:ind w:left="720" w:right="720"/>
    </w:pPr>
    <w:rPr>
      <w:i/>
    </w:rPr>
  </w:style>
  <w:style w:type="character" w:styleId="695">
    <w:name w:val="Quote Char"/>
    <w:link w:val="694"/>
    <w:uiPriority w:val="29"/>
    <w:rPr>
      <w:i/>
    </w:rPr>
  </w:style>
  <w:style w:type="paragraph" w:styleId="696">
    <w:name w:val="Intense Quote"/>
    <w:basedOn w:val="845"/>
    <w:next w:val="845"/>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character" w:styleId="698">
    <w:name w:val="Header Char"/>
    <w:basedOn w:val="847"/>
    <w:link w:val="853"/>
    <w:uiPriority w:val="99"/>
  </w:style>
  <w:style w:type="character" w:styleId="699">
    <w:name w:val="Footer Char"/>
    <w:basedOn w:val="847"/>
    <w:link w:val="852"/>
    <w:uiPriority w:val="99"/>
  </w:style>
  <w:style w:type="paragraph" w:styleId="700">
    <w:name w:val="Caption"/>
    <w:basedOn w:val="845"/>
    <w:next w:val="845"/>
    <w:uiPriority w:val="35"/>
    <w:semiHidden/>
    <w:unhideWhenUsed/>
    <w:qFormat/>
    <w:pPr>
      <w:spacing w:line="276" w:lineRule="auto"/>
    </w:pPr>
    <w:rPr>
      <w:b/>
      <w:bCs/>
      <w:color w:val="4f81bd" w:themeColor="accent1"/>
      <w:sz w:val="18"/>
      <w:szCs w:val="18"/>
    </w:rPr>
  </w:style>
  <w:style w:type="character" w:styleId="701">
    <w:name w:val="Caption Char"/>
    <w:basedOn w:val="700"/>
    <w:link w:val="852"/>
    <w:uiPriority w:val="99"/>
  </w:style>
  <w:style w:type="table" w:styleId="702">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3">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0">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1">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2">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3">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4">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5">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7">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8">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9">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0">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1">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2">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1">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2">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3">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4">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5">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6">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8">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9">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0">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1">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2">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3">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5">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6">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7">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8">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9">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0">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2">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6">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7">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9">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0">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1">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2">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3">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4">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6">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7">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8">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9">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0">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1">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3">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4">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5">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6">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7">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8">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0">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1">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2">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3">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4">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5">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4">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5">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6">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7">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8">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9">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0">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1">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2">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3">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4">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5">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6">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8">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9">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0">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1">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2">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3">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5">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9">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1">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2">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3">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4">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5">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6">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7">
    <w:name w:val="Hyperlink"/>
    <w:uiPriority w:val="99"/>
    <w:unhideWhenUsed/>
    <w:rPr>
      <w:color w:val="0000ff" w:themeColor="hyperlink"/>
      <w:u w:val="single"/>
    </w:rPr>
  </w:style>
  <w:style w:type="paragraph" w:styleId="828">
    <w:name w:val="footnote text"/>
    <w:basedOn w:val="845"/>
    <w:link w:val="829"/>
    <w:uiPriority w:val="99"/>
    <w:semiHidden/>
    <w:unhideWhenUsed/>
    <w:pPr>
      <w:spacing w:after="40" w:line="240" w:lineRule="auto"/>
    </w:pPr>
    <w:rPr>
      <w:sz w:val="18"/>
    </w:rPr>
  </w:style>
  <w:style w:type="character" w:styleId="829">
    <w:name w:val="Footnote Text Char"/>
    <w:link w:val="828"/>
    <w:uiPriority w:val="99"/>
    <w:rPr>
      <w:sz w:val="18"/>
    </w:rPr>
  </w:style>
  <w:style w:type="character" w:styleId="830">
    <w:name w:val="footnote reference"/>
    <w:basedOn w:val="847"/>
    <w:uiPriority w:val="99"/>
    <w:unhideWhenUsed/>
    <w:rPr>
      <w:vertAlign w:val="superscript"/>
    </w:rPr>
  </w:style>
  <w:style w:type="paragraph" w:styleId="831">
    <w:name w:val="endnote text"/>
    <w:basedOn w:val="845"/>
    <w:link w:val="832"/>
    <w:uiPriority w:val="99"/>
    <w:semiHidden/>
    <w:unhideWhenUsed/>
    <w:pPr>
      <w:spacing w:after="0" w:line="240" w:lineRule="auto"/>
    </w:pPr>
    <w:rPr>
      <w:sz w:val="20"/>
    </w:rPr>
  </w:style>
  <w:style w:type="character" w:styleId="832">
    <w:name w:val="Endnote Text Char"/>
    <w:link w:val="831"/>
    <w:uiPriority w:val="99"/>
    <w:rPr>
      <w:sz w:val="20"/>
    </w:rPr>
  </w:style>
  <w:style w:type="character" w:styleId="833">
    <w:name w:val="endnote reference"/>
    <w:basedOn w:val="847"/>
    <w:uiPriority w:val="99"/>
    <w:semiHidden/>
    <w:unhideWhenUsed/>
    <w:rPr>
      <w:vertAlign w:val="superscript"/>
    </w:rPr>
  </w:style>
  <w:style w:type="paragraph" w:styleId="834">
    <w:name w:val="toc 1"/>
    <w:basedOn w:val="845"/>
    <w:next w:val="845"/>
    <w:uiPriority w:val="39"/>
    <w:unhideWhenUsed/>
    <w:pPr>
      <w:ind w:left="0" w:right="0" w:firstLine="0"/>
      <w:spacing w:after="57"/>
    </w:pPr>
  </w:style>
  <w:style w:type="paragraph" w:styleId="835">
    <w:name w:val="toc 2"/>
    <w:basedOn w:val="845"/>
    <w:next w:val="845"/>
    <w:uiPriority w:val="39"/>
    <w:unhideWhenUsed/>
    <w:pPr>
      <w:ind w:left="283" w:right="0" w:firstLine="0"/>
      <w:spacing w:after="57"/>
    </w:pPr>
  </w:style>
  <w:style w:type="paragraph" w:styleId="836">
    <w:name w:val="toc 3"/>
    <w:basedOn w:val="845"/>
    <w:next w:val="845"/>
    <w:uiPriority w:val="39"/>
    <w:unhideWhenUsed/>
    <w:pPr>
      <w:ind w:left="567" w:right="0" w:firstLine="0"/>
      <w:spacing w:after="57"/>
    </w:pPr>
  </w:style>
  <w:style w:type="paragraph" w:styleId="837">
    <w:name w:val="toc 4"/>
    <w:basedOn w:val="845"/>
    <w:next w:val="845"/>
    <w:uiPriority w:val="39"/>
    <w:unhideWhenUsed/>
    <w:pPr>
      <w:ind w:left="850" w:right="0" w:firstLine="0"/>
      <w:spacing w:after="57"/>
    </w:pPr>
  </w:style>
  <w:style w:type="paragraph" w:styleId="838">
    <w:name w:val="toc 5"/>
    <w:basedOn w:val="845"/>
    <w:next w:val="845"/>
    <w:uiPriority w:val="39"/>
    <w:unhideWhenUsed/>
    <w:pPr>
      <w:ind w:left="1134" w:right="0" w:firstLine="0"/>
      <w:spacing w:after="57"/>
    </w:pPr>
  </w:style>
  <w:style w:type="paragraph" w:styleId="839">
    <w:name w:val="toc 6"/>
    <w:basedOn w:val="845"/>
    <w:next w:val="845"/>
    <w:uiPriority w:val="39"/>
    <w:unhideWhenUsed/>
    <w:pPr>
      <w:ind w:left="1417" w:right="0" w:firstLine="0"/>
      <w:spacing w:after="57"/>
    </w:pPr>
  </w:style>
  <w:style w:type="paragraph" w:styleId="840">
    <w:name w:val="toc 7"/>
    <w:basedOn w:val="845"/>
    <w:next w:val="845"/>
    <w:uiPriority w:val="39"/>
    <w:unhideWhenUsed/>
    <w:pPr>
      <w:ind w:left="1701" w:right="0" w:firstLine="0"/>
      <w:spacing w:after="57"/>
    </w:pPr>
  </w:style>
  <w:style w:type="paragraph" w:styleId="841">
    <w:name w:val="toc 8"/>
    <w:basedOn w:val="845"/>
    <w:next w:val="845"/>
    <w:uiPriority w:val="39"/>
    <w:unhideWhenUsed/>
    <w:pPr>
      <w:ind w:left="1984" w:right="0" w:firstLine="0"/>
      <w:spacing w:after="57"/>
    </w:pPr>
  </w:style>
  <w:style w:type="paragraph" w:styleId="842">
    <w:name w:val="toc 9"/>
    <w:basedOn w:val="845"/>
    <w:next w:val="845"/>
    <w:uiPriority w:val="39"/>
    <w:unhideWhenUsed/>
    <w:pPr>
      <w:ind w:left="2268" w:right="0" w:firstLine="0"/>
      <w:spacing w:after="57"/>
    </w:pPr>
  </w:style>
  <w:style w:type="paragraph" w:styleId="843">
    <w:name w:val="TOC Heading"/>
    <w:uiPriority w:val="39"/>
    <w:unhideWhenUsed/>
  </w:style>
  <w:style w:type="paragraph" w:styleId="844">
    <w:name w:val="table of figures"/>
    <w:basedOn w:val="845"/>
    <w:next w:val="845"/>
    <w:uiPriority w:val="99"/>
    <w:unhideWhenUsed/>
    <w:pPr>
      <w:spacing w:after="0" w:afterAutospacing="0"/>
    </w:pPr>
  </w:style>
  <w:style w:type="paragraph" w:styleId="84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6">
    <w:name w:val="Heading 2"/>
    <w:basedOn w:val="845"/>
    <w:next w:val="84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Normal Indent"/>
    <w:basedOn w:val="845"/>
    <w:uiPriority w:val="0"/>
    <w:qFormat/>
    <w:pPr>
      <w:ind w:firstLine="420"/>
    </w:pPr>
  </w:style>
  <w:style w:type="paragraph" w:styleId="850">
    <w:name w:val="Body Text"/>
    <w:basedOn w:val="845"/>
    <w:next w:val="851"/>
    <w:uiPriority w:val="0"/>
    <w:qFormat/>
    <w:rPr>
      <w:rFonts w:ascii="楷体" w:hAnsi="Arial" w:eastAsia="楷体"/>
      <w:sz w:val="28"/>
      <w:szCs w:val="20"/>
    </w:rPr>
  </w:style>
  <w:style w:type="paragraph" w:styleId="851" w:customStyle="1">
    <w:name w:val="Default"/>
    <w:uiPriority w:val="99"/>
    <w:unhideWhenUsed/>
    <w:qFormat/>
    <w:pPr>
      <w:widowControl w:val="off"/>
    </w:pPr>
    <w:rPr>
      <w:rFonts w:hint="eastAsia" w:ascii="仿宋" w:hAnsi="仿宋" w:eastAsia="仿宋" w:cs="Times New Roman"/>
      <w:color w:val="000000"/>
      <w:sz w:val="24"/>
      <w:lang w:val="en-US" w:eastAsia="zh-CN" w:bidi="ar-SA"/>
    </w:rPr>
  </w:style>
  <w:style w:type="paragraph" w:styleId="852">
    <w:name w:val="Footer"/>
    <w:basedOn w:val="845"/>
    <w:link w:val="858"/>
    <w:uiPriority w:val="0"/>
    <w:qFormat/>
    <w:pPr>
      <w:jc w:val="left"/>
      <w:tabs>
        <w:tab w:val="center" w:pos="4153" w:leader="none"/>
        <w:tab w:val="right" w:pos="8306" w:leader="none"/>
      </w:tabs>
    </w:pPr>
    <w:rPr>
      <w:sz w:val="18"/>
      <w:szCs w:val="18"/>
    </w:rPr>
  </w:style>
  <w:style w:type="paragraph" w:styleId="853">
    <w:name w:val="Header"/>
    <w:basedOn w:val="845"/>
    <w:link w:val="857"/>
    <w:uiPriority w:val="0"/>
    <w:qFormat/>
    <w:pPr>
      <w:jc w:val="center"/>
      <w:tabs>
        <w:tab w:val="center" w:pos="4153" w:leader="none"/>
        <w:tab w:val="right" w:pos="8306" w:leader="none"/>
      </w:tabs>
      <w:pBdr>
        <w:bottom w:val="single" w:color="auto" w:sz="6" w:space="1"/>
      </w:pBdr>
    </w:pPr>
    <w:rPr>
      <w:sz w:val="18"/>
      <w:szCs w:val="18"/>
    </w:rPr>
  </w:style>
  <w:style w:type="paragraph" w:styleId="854">
    <w:name w:val="Normal (Web)"/>
    <w:basedOn w:val="845"/>
    <w:uiPriority w:val="0"/>
    <w:qFormat/>
    <w:pPr>
      <w:jc w:val="left"/>
      <w:spacing w:beforeAutospacing="1" w:afterAutospacing="1"/>
    </w:pPr>
    <w:rPr>
      <w:rFonts w:cs="Times New Roman"/>
      <w:sz w:val="24"/>
    </w:rPr>
  </w:style>
  <w:style w:type="paragraph" w:styleId="855">
    <w:name w:val="Body Text First Indent"/>
    <w:basedOn w:val="850"/>
    <w:uiPriority w:val="0"/>
    <w:qFormat/>
    <w:pPr>
      <w:ind w:firstLine="420"/>
    </w:pPr>
  </w:style>
  <w:style w:type="table" w:styleId="856">
    <w:name w:val="Table Grid"/>
    <w:basedOn w:val="848"/>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7" w:customStyle="1">
    <w:name w:val="页眉 Char"/>
    <w:basedOn w:val="847"/>
    <w:link w:val="853"/>
    <w:uiPriority w:val="0"/>
    <w:qFormat/>
    <w:rPr>
      <w:rFonts w:asciiTheme="minorHAnsi" w:hAnsiTheme="minorHAnsi" w:eastAsiaTheme="minorEastAsia" w:cstheme="minorBidi"/>
      <w:sz w:val="18"/>
      <w:szCs w:val="18"/>
    </w:rPr>
  </w:style>
  <w:style w:type="character" w:styleId="858" w:customStyle="1">
    <w:name w:val="页脚 Char"/>
    <w:basedOn w:val="847"/>
    <w:link w:val="852"/>
    <w:uiPriority w:val="0"/>
    <w:qFormat/>
    <w:rPr>
      <w:rFonts w:asciiTheme="minorHAnsi" w:hAnsiTheme="minorHAnsi" w:eastAsiaTheme="minorEastAsia" w:cstheme="minorBidi"/>
      <w:sz w:val="18"/>
      <w:szCs w:val="18"/>
    </w:rPr>
  </w:style>
  <w:style w:type="character" w:styleId="859" w:customStyle="1">
    <w:name w:val="NormalCharacter"/>
    <w:uiPriority w:val="0"/>
    <w:qFormat/>
  </w:style>
  <w:style w:type="paragraph" w:styleId="860" w:customStyle="1">
    <w:name w:val="正文首行缩进 21"/>
    <w:basedOn w:val="861"/>
    <w:uiPriority w:val="0"/>
    <w:qFormat/>
    <w:pPr>
      <w:ind w:firstLine="200"/>
    </w:pPr>
    <w:rPr>
      <w:rFonts w:ascii="Times New Roman" w:hAnsi="Times New Roman" w:eastAsia="宋体" w:cs="Times New Roman"/>
    </w:rPr>
  </w:style>
  <w:style w:type="paragraph" w:styleId="861" w:customStyle="1">
    <w:name w:val="正文文本缩进 New"/>
    <w:basedOn w:val="862"/>
    <w:next w:val="863"/>
    <w:uiPriority w:val="0"/>
    <w:qFormat/>
    <w:pPr>
      <w:ind w:left="420"/>
      <w:spacing w:after="120"/>
    </w:pPr>
    <w:rPr>
      <w:rFonts w:ascii="Times New Roman" w:hAnsi="Times New Roman" w:eastAsia="宋体" w:cs="Times New Roman"/>
    </w:rPr>
  </w:style>
  <w:style w:type="paragraph" w:styleId="862" w:customStyle="1">
    <w:name w:val="正文 New"/>
    <w:next w:val="860"/>
    <w:uiPriority w:val="0"/>
    <w:qFormat/>
    <w:pPr>
      <w:jc w:val="both"/>
      <w:widowControl w:val="off"/>
    </w:pPr>
    <w:rPr>
      <w:rFonts w:ascii="Times New Roman" w:hAnsi="Times New Roman" w:eastAsia="宋体" w:cs="Times New Roman"/>
      <w:sz w:val="21"/>
      <w:szCs w:val="22"/>
      <w:lang w:val="en-US" w:eastAsia="zh-CN" w:bidi="ar-SA"/>
    </w:rPr>
  </w:style>
  <w:style w:type="paragraph" w:styleId="863" w:customStyle="1">
    <w:name w:val="寄信人地址 New"/>
    <w:basedOn w:val="862"/>
    <w:uiPriority w:val="0"/>
    <w:qFormat/>
    <w:rPr>
      <w:rFonts w:ascii="Arial" w:hAnsi="Arial" w:eastAsia="宋体" w:cs="Times New Roman"/>
    </w:rPr>
  </w:style>
  <w:style w:type="paragraph" w:styleId="864" w:customStyle="1">
    <w:name w:val="Char"/>
    <w:basedOn w:val="845"/>
    <w:uiPriority w:val="0"/>
    <w:qFormat/>
    <w:pPr>
      <w:ind w:firstLine="200"/>
      <w:tabs>
        <w:tab w:val="left" w:pos="360" w:leader="none"/>
      </w:tabs>
    </w:pPr>
    <w:rPr>
      <w:sz w:val="28"/>
      <w:szCs w:val="30"/>
    </w:rPr>
  </w:style>
  <w:style w:type="paragraph" w:styleId="865" w:customStyle="1">
    <w:name w:val="普通正文"/>
    <w:basedOn w:val="845"/>
    <w:uiPriority w:val="0"/>
    <w:qFormat/>
    <w:pPr>
      <w:ind w:firstLine="480"/>
      <w:jc w:val="left"/>
      <w:spacing w:before="120" w:after="120" w:line="360" w:lineRule="auto"/>
    </w:pPr>
    <w:rPr>
      <w:rFonts w:ascii="Arial" w:hAnsi="Arial"/>
      <w:sz w:val="24"/>
      <w:szCs w:val="24"/>
    </w:rPr>
  </w:style>
  <w:style w:type="numbering" w:styleId="8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江苏瑞杰项目管理顾问有限公司</cp:lastModifiedBy>
  <cp:revision>274</cp:revision>
  <dcterms:created xsi:type="dcterms:W3CDTF">2014-10-29T12:08:00Z</dcterms:created>
  <dcterms:modified xsi:type="dcterms:W3CDTF">2024-07-17T07:32:02Z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37AA94B1EE204292952CC56B8BE8CE0D_13</vt:lpwstr>
  </property>
</Properties>
</file>