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52"/>
          <w:szCs w:val="52"/>
          <w:highlight w:val="none"/>
        </w:rPr>
      </w:pPr>
      <w:bookmarkStart w:id="0" w:name="_Toc448306399"/>
      <w:bookmarkStart w:id="1" w:name="OLE_LINK4"/>
      <w:bookmarkStart w:id="2" w:name="OLE_LINK2"/>
      <w:bookmarkStart w:id="3" w:name="OLE_LINK5"/>
      <w:bookmarkStart w:id="4" w:name="_Toc368759511"/>
      <w:bookmarkStart w:id="5" w:name="OLE_LINK3"/>
      <w:bookmarkStart w:id="6" w:name="_Toc369077550"/>
      <w:bookmarkStart w:id="7" w:name="OLE_LINK1"/>
      <w:r>
        <w:rPr>
          <w:rFonts w:hint="eastAsia" w:ascii="仿宋" w:hAnsi="仿宋" w:eastAsia="仿宋" w:cs="仿宋"/>
          <w:b/>
          <w:color w:val="auto"/>
          <w:sz w:val="52"/>
          <w:szCs w:val="52"/>
          <w:highlight w:val="none"/>
        </w:rPr>
        <w:t>盐城市大丰人民医院</w:t>
      </w:r>
    </w:p>
    <w:p>
      <w:pPr>
        <w:spacing w:line="360" w:lineRule="auto"/>
        <w:jc w:val="center"/>
        <w:rPr>
          <w:rFonts w:hint="eastAsia" w:ascii="仿宋" w:hAnsi="仿宋" w:eastAsia="仿宋" w:cs="仿宋"/>
          <w:b/>
          <w:color w:val="auto"/>
          <w:sz w:val="52"/>
          <w:szCs w:val="52"/>
          <w:highlight w:val="none"/>
        </w:rPr>
      </w:pPr>
      <w:r>
        <w:rPr>
          <w:rFonts w:hint="eastAsia" w:ascii="仿宋" w:hAnsi="仿宋" w:eastAsia="仿宋" w:cs="仿宋"/>
          <w:b/>
          <w:color w:val="auto"/>
          <w:sz w:val="52"/>
          <w:szCs w:val="52"/>
          <w:highlight w:val="none"/>
        </w:rPr>
        <w:t>智能化轨道小车物流系统维保项目</w:t>
      </w:r>
    </w:p>
    <w:p>
      <w:pPr>
        <w:spacing w:line="360" w:lineRule="auto"/>
        <w:rPr>
          <w:rFonts w:hint="eastAsia" w:ascii="仿宋" w:hAnsi="仿宋" w:eastAsia="仿宋" w:cs="仿宋"/>
          <w:b/>
          <w:color w:val="auto"/>
          <w:sz w:val="84"/>
          <w:szCs w:val="84"/>
          <w:highlight w:val="none"/>
        </w:rPr>
      </w:pPr>
    </w:p>
    <w:p>
      <w:pPr>
        <w:spacing w:line="360" w:lineRule="auto"/>
        <w:jc w:val="center"/>
        <w:rPr>
          <w:rFonts w:hint="eastAsia" w:ascii="仿宋" w:hAnsi="仿宋" w:eastAsia="仿宋" w:cs="仿宋"/>
          <w:b/>
          <w:color w:val="auto"/>
          <w:sz w:val="84"/>
          <w:szCs w:val="84"/>
          <w:highlight w:val="none"/>
        </w:rPr>
      </w:pPr>
    </w:p>
    <w:p>
      <w:pPr>
        <w:spacing w:line="360" w:lineRule="auto"/>
        <w:jc w:val="center"/>
        <w:rPr>
          <w:rFonts w:hint="eastAsia" w:ascii="仿宋" w:hAnsi="仿宋" w:eastAsia="仿宋" w:cs="仿宋"/>
          <w:b/>
          <w:color w:val="auto"/>
          <w:sz w:val="84"/>
          <w:szCs w:val="84"/>
          <w:highlight w:val="none"/>
        </w:rPr>
      </w:pPr>
      <w:r>
        <w:rPr>
          <w:rFonts w:hint="eastAsia" w:ascii="仿宋" w:hAnsi="仿宋" w:eastAsia="仿宋" w:cs="仿宋"/>
          <w:b/>
          <w:color w:val="auto"/>
          <w:sz w:val="84"/>
          <w:szCs w:val="84"/>
          <w:highlight w:val="none"/>
        </w:rPr>
        <w:t>招标文件</w:t>
      </w:r>
    </w:p>
    <w:p>
      <w:pPr>
        <w:pStyle w:val="7"/>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7"/>
        <w:rPr>
          <w:rFonts w:hint="eastAsia" w:ascii="仿宋" w:hAnsi="仿宋" w:eastAsia="仿宋" w:cs="仿宋"/>
          <w:color w:val="auto"/>
          <w:highlight w:val="none"/>
        </w:rPr>
      </w:pPr>
    </w:p>
    <w:p>
      <w:pPr>
        <w:snapToGrid w:val="0"/>
        <w:spacing w:line="480" w:lineRule="auto"/>
        <w:textAlignment w:val="baseline"/>
        <w:outlineLvl w:val="0"/>
        <w:rPr>
          <w:rFonts w:hint="eastAsia" w:ascii="仿宋" w:hAnsi="仿宋" w:eastAsia="仿宋" w:cs="仿宋"/>
          <w:b/>
          <w:color w:val="auto"/>
          <w:sz w:val="31"/>
          <w:highlight w:val="none"/>
        </w:rPr>
      </w:pPr>
      <w:bookmarkStart w:id="8" w:name="_Toc368759509"/>
      <w:bookmarkStart w:id="9" w:name="_Toc363326675"/>
      <w:bookmarkStart w:id="10" w:name="_Toc369077541"/>
    </w:p>
    <w:p>
      <w:pPr>
        <w:pStyle w:val="14"/>
        <w:ind w:firstLine="210"/>
        <w:rPr>
          <w:rFonts w:hint="eastAsia" w:ascii="仿宋" w:hAnsi="仿宋" w:eastAsia="仿宋" w:cs="仿宋"/>
          <w:color w:val="auto"/>
          <w:highlight w:val="none"/>
        </w:rPr>
      </w:pPr>
    </w:p>
    <w:p>
      <w:pPr>
        <w:pStyle w:val="14"/>
        <w:ind w:firstLine="0" w:firstLineChars="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jc w:val="center"/>
        <w:rPr>
          <w:rFonts w:hint="eastAsia" w:ascii="仿宋" w:hAnsi="仿宋" w:eastAsia="仿宋" w:cs="仿宋"/>
          <w:color w:val="auto"/>
          <w:highlight w:val="none"/>
        </w:rPr>
      </w:pPr>
    </w:p>
    <w:p>
      <w:pPr>
        <w:snapToGrid w:val="0"/>
        <w:spacing w:line="520" w:lineRule="exact"/>
        <w:ind w:firstLine="311" w:firstLineChars="100"/>
        <w:jc w:val="center"/>
        <w:textAlignment w:val="baseline"/>
        <w:outlineLvl w:val="0"/>
        <w:rPr>
          <w:rFonts w:hint="eastAsia" w:ascii="仿宋" w:hAnsi="仿宋" w:eastAsia="仿宋" w:cs="仿宋"/>
          <w:b/>
          <w:color w:val="auto"/>
          <w:sz w:val="31"/>
          <w:highlight w:val="none"/>
          <w:u w:val="single"/>
        </w:rPr>
      </w:pPr>
      <w:r>
        <w:rPr>
          <w:rFonts w:hint="eastAsia" w:ascii="仿宋" w:hAnsi="仿宋" w:eastAsia="仿宋" w:cs="仿宋"/>
          <w:b/>
          <w:color w:val="auto"/>
          <w:sz w:val="31"/>
          <w:highlight w:val="none"/>
        </w:rPr>
        <w:t>采购人：</w:t>
      </w:r>
      <w:r>
        <w:rPr>
          <w:rFonts w:hint="eastAsia" w:ascii="仿宋" w:hAnsi="仿宋" w:eastAsia="仿宋" w:cs="仿宋"/>
          <w:b/>
          <w:color w:val="auto"/>
          <w:sz w:val="31"/>
          <w:highlight w:val="none"/>
          <w:u w:val="single"/>
        </w:rPr>
        <w:t>盐城市大丰人民医院</w:t>
      </w:r>
    </w:p>
    <w:p>
      <w:pPr>
        <w:snapToGrid w:val="0"/>
        <w:spacing w:line="520" w:lineRule="exact"/>
        <w:ind w:firstLine="210" w:firstLineChars="100"/>
        <w:textAlignment w:val="baseline"/>
        <w:outlineLvl w:val="0"/>
        <w:rPr>
          <w:rFonts w:hint="eastAsia" w:ascii="仿宋" w:hAnsi="仿宋" w:eastAsia="仿宋" w:cs="仿宋"/>
          <w:color w:val="auto"/>
          <w:highlight w:val="none"/>
        </w:rPr>
      </w:pPr>
    </w:p>
    <w:p>
      <w:pPr>
        <w:snapToGrid w:val="0"/>
        <w:spacing w:line="520" w:lineRule="exact"/>
        <w:ind w:firstLine="311" w:firstLineChars="100"/>
        <w:jc w:val="center"/>
        <w:textAlignment w:val="baseline"/>
        <w:outlineLvl w:val="0"/>
        <w:rPr>
          <w:rFonts w:hint="eastAsia" w:ascii="仿宋" w:hAnsi="仿宋" w:eastAsia="仿宋" w:cs="仿宋"/>
          <w:b/>
          <w:color w:val="auto"/>
          <w:sz w:val="31"/>
          <w:highlight w:val="none"/>
        </w:rPr>
      </w:pPr>
      <w:r>
        <w:rPr>
          <w:rFonts w:hint="eastAsia" w:ascii="仿宋" w:hAnsi="仿宋" w:eastAsia="仿宋" w:cs="仿宋"/>
          <w:b/>
          <w:color w:val="auto"/>
          <w:sz w:val="31"/>
          <w:highlight w:val="none"/>
        </w:rPr>
        <w:t>采购代理机构：</w:t>
      </w:r>
      <w:r>
        <w:rPr>
          <w:rFonts w:hint="eastAsia" w:ascii="仿宋" w:hAnsi="仿宋" w:eastAsia="仿宋" w:cs="仿宋"/>
          <w:b/>
          <w:color w:val="auto"/>
          <w:sz w:val="31"/>
          <w:highlight w:val="none"/>
          <w:u w:val="single"/>
        </w:rPr>
        <w:t>至诚工程咨询有限公司</w:t>
      </w:r>
    </w:p>
    <w:p>
      <w:pPr>
        <w:snapToGrid w:val="0"/>
        <w:ind w:firstLine="321" w:firstLineChars="100"/>
        <w:jc w:val="center"/>
        <w:textAlignment w:val="baseline"/>
        <w:outlineLvl w:val="0"/>
        <w:rPr>
          <w:rFonts w:hint="eastAsia" w:ascii="仿宋" w:hAnsi="仿宋" w:eastAsia="仿宋" w:cs="仿宋"/>
          <w:b/>
          <w:color w:val="auto"/>
          <w:sz w:val="32"/>
          <w:szCs w:val="32"/>
          <w:highlight w:val="none"/>
        </w:rPr>
      </w:pPr>
    </w:p>
    <w:p>
      <w:pPr>
        <w:snapToGrid w:val="0"/>
        <w:jc w:val="center"/>
        <w:textAlignment w:val="baseline"/>
        <w:outlineLvl w:val="0"/>
        <w:rPr>
          <w:rFonts w:hint="eastAsia" w:ascii="仿宋" w:hAnsi="仿宋" w:eastAsia="仿宋" w:cs="仿宋"/>
          <w:b/>
          <w:color w:val="auto"/>
          <w:sz w:val="32"/>
          <w:szCs w:val="32"/>
          <w:highlight w:val="none"/>
        </w:rPr>
      </w:pPr>
    </w:p>
    <w:p>
      <w:pPr>
        <w:snapToGrid w:val="0"/>
        <w:jc w:val="center"/>
        <w:textAlignment w:val="baseline"/>
        <w:outlineLvl w:val="0"/>
        <w:rPr>
          <w:rFonts w:hint="eastAsia" w:ascii="仿宋" w:hAnsi="仿宋" w:eastAsia="仿宋" w:cs="仿宋"/>
          <w:color w:val="auto"/>
          <w:highlight w:val="none"/>
        </w:rPr>
      </w:pPr>
      <w:r>
        <w:rPr>
          <w:rFonts w:hint="eastAsia" w:ascii="仿宋" w:hAnsi="仿宋" w:eastAsia="仿宋" w:cs="仿宋"/>
          <w:b/>
          <w:color w:val="auto"/>
          <w:sz w:val="32"/>
          <w:szCs w:val="32"/>
          <w:highlight w:val="none"/>
        </w:rPr>
        <w:t>二〇二四年四月</w:t>
      </w:r>
      <w:bookmarkEnd w:id="8"/>
      <w:bookmarkEnd w:id="9"/>
      <w:bookmarkEnd w:id="10"/>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3"/>
        <w:spacing w:before="0" w:after="0" w:line="52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第一章 招标公告</w:t>
      </w:r>
      <w:bookmarkEnd w:id="0"/>
    </w:p>
    <w:p>
      <w:pPr>
        <w:rPr>
          <w:rFonts w:hint="eastAsia" w:ascii="仿宋" w:hAnsi="仿宋" w:eastAsia="仿宋" w:cs="仿宋"/>
          <w:color w:val="auto"/>
          <w:highlight w:val="none"/>
        </w:rPr>
      </w:pPr>
    </w:p>
    <w:p>
      <w:pPr>
        <w:pBdr>
          <w:top w:val="single" w:color="auto" w:sz="4" w:space="1"/>
          <w:left w:val="single" w:color="auto" w:sz="4" w:space="4"/>
          <w:bottom w:val="single" w:color="auto" w:sz="4" w:space="0"/>
          <w:right w:val="single" w:color="auto" w:sz="4" w:space="4"/>
        </w:pBdr>
        <w:spacing w:line="520" w:lineRule="exact"/>
        <w:ind w:firstLine="480" w:firstLineChars="200"/>
        <w:rPr>
          <w:rFonts w:hint="eastAsia" w:ascii="仿宋" w:hAnsi="仿宋" w:eastAsia="仿宋" w:cs="仿宋"/>
          <w:color w:val="auto"/>
          <w:sz w:val="24"/>
          <w:highlight w:val="none"/>
        </w:rPr>
      </w:pPr>
      <w:bookmarkStart w:id="11" w:name="_Hlk78967354"/>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0"/>
          <w:right w:val="single" w:color="auto" w:sz="4" w:space="4"/>
        </w:pBd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盐城市大丰人民医院智能化轨道小车物流系统维保项目</w:t>
      </w:r>
      <w:r>
        <w:rPr>
          <w:rFonts w:hint="eastAsia" w:ascii="仿宋" w:hAnsi="仿宋" w:eastAsia="仿宋" w:cs="仿宋"/>
          <w:color w:val="auto"/>
          <w:sz w:val="24"/>
          <w:highlight w:val="none"/>
        </w:rPr>
        <w:t>的潜在投标人应在</w:t>
      </w:r>
      <w:r>
        <w:rPr>
          <w:rFonts w:hint="eastAsia" w:ascii="仿宋" w:hAnsi="仿宋" w:eastAsia="仿宋" w:cs="仿宋"/>
          <w:color w:val="auto"/>
          <w:sz w:val="24"/>
          <w:highlight w:val="none"/>
          <w:u w:val="single"/>
        </w:rPr>
        <w:t>至诚工程咨询有限公司（盐城市大丰区幸福东大街6#，中国人民财产保险公司6楼）</w:t>
      </w:r>
      <w:r>
        <w:rPr>
          <w:rFonts w:hint="eastAsia" w:ascii="仿宋" w:hAnsi="仿宋" w:eastAsia="仿宋" w:cs="仿宋"/>
          <w:color w:val="auto"/>
          <w:sz w:val="24"/>
          <w:highlight w:val="none"/>
        </w:rPr>
        <w:t>获取招标文件，并于</w:t>
      </w:r>
      <w:r>
        <w:rPr>
          <w:rFonts w:hint="eastAsia" w:ascii="仿宋" w:hAnsi="仿宋" w:eastAsia="仿宋" w:cs="仿宋"/>
          <w:color w:val="auto"/>
          <w:sz w:val="24"/>
          <w:highlight w:val="none"/>
          <w:u w:val="single"/>
        </w:rPr>
        <w:t xml:space="preserve"> 2024</w:t>
      </w:r>
      <w:r>
        <w:rPr>
          <w:rFonts w:hint="eastAsia" w:ascii="仿宋" w:hAnsi="仿宋" w:eastAsia="仿宋" w:cs="仿宋"/>
          <w:bCs/>
          <w:color w:val="auto"/>
          <w:sz w:val="24"/>
          <w:highlight w:val="none"/>
        </w:rPr>
        <w:t>年</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5</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月</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8</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日</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9</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点</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30</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分（北京时间）前提交投标文件。</w:t>
      </w:r>
    </w:p>
    <w:p>
      <w:pPr>
        <w:pStyle w:val="13"/>
        <w:spacing w:before="0" w:beforeAutospacing="0" w:after="0" w:afterAutospacing="0" w:line="520" w:lineRule="exact"/>
        <w:ind w:firstLine="482" w:firstLineChars="200"/>
        <w:rPr>
          <w:rFonts w:hint="eastAsia" w:ascii="仿宋" w:hAnsi="仿宋" w:eastAsia="仿宋" w:cs="仿宋"/>
          <w:color w:val="auto"/>
          <w:highlight w:val="none"/>
        </w:rPr>
      </w:pPr>
      <w:r>
        <w:rPr>
          <w:rFonts w:hint="eastAsia" w:ascii="仿宋" w:hAnsi="仿宋" w:eastAsia="仿宋" w:cs="仿宋"/>
          <w:b/>
          <w:color w:val="auto"/>
          <w:highlight w:val="none"/>
        </w:rPr>
        <w:t>一、项目基本情况</w:t>
      </w:r>
    </w:p>
    <w:p>
      <w:pPr>
        <w:pStyle w:val="13"/>
        <w:spacing w:before="0" w:beforeAutospacing="0" w:after="0" w:afterAutospacing="0" w:line="520" w:lineRule="exact"/>
        <w:ind w:firstLine="480" w:firstLineChars="200"/>
        <w:rPr>
          <w:rFonts w:hint="eastAsia" w:ascii="仿宋" w:hAnsi="仿宋" w:eastAsia="仿宋" w:cs="仿宋"/>
          <w:color w:val="auto"/>
          <w:highlight w:val="none"/>
          <w:u w:val="single"/>
        </w:rPr>
      </w:pPr>
      <w:r>
        <w:rPr>
          <w:rFonts w:hint="eastAsia" w:ascii="仿宋" w:hAnsi="仿宋" w:eastAsia="仿宋" w:cs="仿宋"/>
          <w:color w:val="auto"/>
          <w:highlight w:val="none"/>
        </w:rPr>
        <w:t>1、项目编号：</w:t>
      </w:r>
      <w:r>
        <w:rPr>
          <w:rFonts w:hint="eastAsia" w:ascii="仿宋" w:hAnsi="仿宋" w:eastAsia="仿宋" w:cs="仿宋"/>
          <w:color w:val="auto"/>
          <w:highlight w:val="none"/>
          <w:lang w:val="en-US" w:eastAsia="zh-CN"/>
        </w:rPr>
        <w:t>JSZC-320904-ZCGS-G2024-0001</w:t>
      </w:r>
    </w:p>
    <w:p>
      <w:pPr>
        <w:pStyle w:val="13"/>
        <w:spacing w:before="0" w:beforeAutospacing="0" w:after="0" w:afterAutospacing="0" w:line="520" w:lineRule="exact"/>
        <w:ind w:firstLine="480" w:firstLineChars="200"/>
        <w:rPr>
          <w:rFonts w:hint="eastAsia" w:ascii="仿宋" w:hAnsi="仿宋" w:eastAsia="仿宋" w:cs="仿宋"/>
          <w:color w:val="auto"/>
          <w:highlight w:val="none"/>
          <w:u w:val="single"/>
        </w:rPr>
      </w:pPr>
      <w:r>
        <w:rPr>
          <w:rFonts w:hint="eastAsia" w:ascii="仿宋" w:hAnsi="仿宋" w:eastAsia="仿宋" w:cs="仿宋"/>
          <w:color w:val="auto"/>
          <w:highlight w:val="none"/>
        </w:rPr>
        <w:t>2、项目名称：</w:t>
      </w:r>
      <w:r>
        <w:rPr>
          <w:rFonts w:hint="eastAsia" w:ascii="仿宋" w:hAnsi="仿宋" w:eastAsia="仿宋" w:cs="仿宋"/>
          <w:color w:val="auto"/>
          <w:highlight w:val="none"/>
          <w:u w:val="single"/>
        </w:rPr>
        <w:t>盐城市大丰人民医院智能化轨道小车物流系统维保项目</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3、预算金额：</w:t>
      </w:r>
      <w:bookmarkStart w:id="12" w:name="_Hlk132552396"/>
      <w:r>
        <w:rPr>
          <w:rFonts w:hint="eastAsia" w:ascii="仿宋" w:hAnsi="仿宋" w:eastAsia="仿宋" w:cs="仿宋"/>
          <w:color w:val="auto"/>
          <w:highlight w:val="none"/>
          <w:u w:val="single"/>
        </w:rPr>
        <w:t>75万元</w:t>
      </w:r>
      <w:bookmarkEnd w:id="12"/>
      <w:r>
        <w:rPr>
          <w:rFonts w:hint="eastAsia" w:ascii="仿宋" w:hAnsi="仿宋" w:eastAsia="仿宋" w:cs="仿宋"/>
          <w:color w:val="auto"/>
          <w:highlight w:val="none"/>
          <w:u w:val="single"/>
        </w:rPr>
        <w:t>/年</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4、最高投标限价：</w:t>
      </w:r>
      <w:r>
        <w:rPr>
          <w:rFonts w:hint="eastAsia" w:ascii="仿宋" w:hAnsi="仿宋" w:eastAsia="仿宋" w:cs="仿宋"/>
          <w:color w:val="auto"/>
          <w:highlight w:val="none"/>
          <w:u w:val="single"/>
        </w:rPr>
        <w:t>62万元/年</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5、采购需求：</w:t>
      </w:r>
      <w:r>
        <w:rPr>
          <w:rFonts w:hint="eastAsia" w:ascii="仿宋" w:hAnsi="仿宋" w:eastAsia="仿宋" w:cs="仿宋"/>
          <w:color w:val="auto"/>
          <w:highlight w:val="none"/>
          <w:u w:val="single"/>
        </w:rPr>
        <w:t>盐城市大丰人民医院轨道小车物流系统</w:t>
      </w:r>
      <w:r>
        <w:rPr>
          <w:rFonts w:hint="eastAsia" w:ascii="仿宋" w:hAnsi="仿宋" w:eastAsia="仿宋" w:cs="仿宋"/>
          <w:color w:val="auto"/>
          <w:highlight w:val="none"/>
          <w:u w:val="single"/>
          <w:lang w:val="en-GB"/>
        </w:rPr>
        <w:t>[53个站点、80辆运输小车、26辆污物运输小车（质保期满后自动转入本维保项）、1辆清洁小车等、1个L型测试架]正常运行所需的所有日常和定期维护、维修、调试等内容</w:t>
      </w:r>
      <w:r>
        <w:rPr>
          <w:rFonts w:hint="eastAsia" w:ascii="仿宋" w:hAnsi="仿宋" w:eastAsia="仿宋" w:cs="仿宋"/>
          <w:color w:val="auto"/>
          <w:spacing w:val="-4"/>
          <w:highlight w:val="none"/>
          <w:u w:val="single"/>
        </w:rPr>
        <w:t>具体内容详见本项目采购清单</w:t>
      </w:r>
      <w:r>
        <w:rPr>
          <w:rFonts w:hint="eastAsia" w:ascii="仿宋" w:hAnsi="仿宋" w:eastAsia="仿宋" w:cs="仿宋"/>
          <w:color w:val="auto"/>
          <w:highlight w:val="none"/>
          <w:u w:val="single"/>
        </w:rPr>
        <w:t>。</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6、合同履行期限：</w:t>
      </w:r>
      <w:r>
        <w:rPr>
          <w:rFonts w:hint="eastAsia" w:ascii="仿宋" w:hAnsi="仿宋" w:eastAsia="仿宋" w:cs="仿宋"/>
          <w:color w:val="auto"/>
          <w:highlight w:val="none"/>
          <w:u w:val="single"/>
        </w:rPr>
        <w:t>二年，合同一年一签，第一年度合同期：2024年7月1日至2025年6月30日，考核合格后续签下一年度合同。</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7、本项目</w:t>
      </w:r>
      <w:r>
        <w:rPr>
          <w:rFonts w:hint="eastAsia" w:ascii="仿宋" w:hAnsi="仿宋" w:eastAsia="仿宋" w:cs="仿宋"/>
          <w:color w:val="auto"/>
          <w:highlight w:val="none"/>
          <w:u w:val="single"/>
        </w:rPr>
        <w:t>不接受</w:t>
      </w:r>
      <w:r>
        <w:rPr>
          <w:rFonts w:hint="eastAsia" w:ascii="仿宋" w:hAnsi="仿宋" w:eastAsia="仿宋" w:cs="仿宋"/>
          <w:color w:val="auto"/>
          <w:highlight w:val="none"/>
        </w:rPr>
        <w:t>联合体投标。</w:t>
      </w:r>
    </w:p>
    <w:p>
      <w:pPr>
        <w:pStyle w:val="13"/>
        <w:overflowPunct w:val="0"/>
        <w:spacing w:before="0" w:beforeAutospacing="0" w:after="0" w:afterAutospacing="0" w:line="520" w:lineRule="exact"/>
        <w:ind w:firstLine="482" w:firstLineChars="200"/>
        <w:jc w:val="both"/>
        <w:rPr>
          <w:rFonts w:hint="eastAsia" w:ascii="仿宋" w:hAnsi="仿宋" w:eastAsia="仿宋" w:cs="仿宋"/>
          <w:color w:val="auto"/>
          <w:highlight w:val="none"/>
        </w:rPr>
      </w:pPr>
      <w:r>
        <w:rPr>
          <w:rFonts w:hint="eastAsia" w:ascii="仿宋" w:hAnsi="仿宋" w:eastAsia="仿宋" w:cs="仿宋"/>
          <w:b/>
          <w:color w:val="auto"/>
          <w:highlight w:val="none"/>
        </w:rPr>
        <w:t>二、申请人的资格要求</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1.满足《中华人民共和国政府采购法》第二十二条规定，并提供下列资料：</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（1）法人或者其他组织的营业执照等证明文件，自然人的身份证明；</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（2）上一年度（202</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年度）财务报告（成立不满一年不需提供）；</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（3）依法缴纳税收和社会保障资金的相关材料（近期）；</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（4）具备履行合同所必需的设备和专业技术能力的书面声明；</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（5）参加政府采购活动前3年内在经营活动中没有重大违法记录的书面声明。</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2.本项目的特定资格要求：</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（1）未被“信用中国”网站（www.creditchina.gov.cn）、“中国政府采购网”（www.ccgp.gov.cn）等网站列入失信被执行人、重大税收违法案件当事人名单、政府采购严重失信行为记录名单。</w:t>
      </w:r>
    </w:p>
    <w:p>
      <w:pPr>
        <w:pStyle w:val="13"/>
        <w:spacing w:before="0" w:beforeAutospacing="0" w:after="0" w:afterAutospacing="0" w:line="520" w:lineRule="exact"/>
        <w:ind w:firstLine="482" w:firstLineChars="200"/>
        <w:rPr>
          <w:rFonts w:hint="eastAsia" w:ascii="仿宋" w:hAnsi="仿宋" w:eastAsia="仿宋" w:cs="仿宋"/>
          <w:color w:val="auto"/>
          <w:highlight w:val="none"/>
        </w:rPr>
      </w:pPr>
      <w:r>
        <w:rPr>
          <w:rFonts w:hint="eastAsia" w:ascii="仿宋" w:hAnsi="仿宋" w:eastAsia="仿宋" w:cs="仿宋"/>
          <w:b/>
          <w:color w:val="auto"/>
          <w:highlight w:val="none"/>
        </w:rPr>
        <w:t>三、获取招标文件</w:t>
      </w:r>
    </w:p>
    <w:p>
      <w:pPr>
        <w:spacing w:line="52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rPr>
        <w:t>日至</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22</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日，每天上午8时至11时30分，下午2时30分至6时整（北京时间，法定节假日除外）。</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地点：</w:t>
      </w:r>
      <w:bookmarkStart w:id="487" w:name="_GoBack"/>
      <w:bookmarkEnd w:id="487"/>
      <w:r>
        <w:rPr>
          <w:rFonts w:hint="eastAsia" w:ascii="仿宋" w:hAnsi="仿宋" w:eastAsia="仿宋" w:cs="仿宋"/>
          <w:color w:val="auto"/>
          <w:sz w:val="24"/>
          <w:highlight w:val="none"/>
          <w:u w:val="single"/>
        </w:rPr>
        <w:t>至诚工程咨询有限公司领取章印齐全的招标文件（盐城市大丰区幸福东大街6#，中国人民财产保险公司6楼）</w:t>
      </w:r>
      <w:r>
        <w:rPr>
          <w:rFonts w:hint="eastAsia" w:ascii="仿宋" w:hAnsi="仿宋" w:eastAsia="仿宋" w:cs="仿宋"/>
          <w:color w:val="auto"/>
          <w:sz w:val="24"/>
          <w:highlight w:val="none"/>
        </w:rPr>
        <w:t>，招标文件领取联系人：吴先生 联系电话：0515-83999888、18451878973、18082184128。</w:t>
      </w:r>
    </w:p>
    <w:p>
      <w:pPr>
        <w:widowControl/>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售价：500元。</w:t>
      </w:r>
    </w:p>
    <w:p>
      <w:pPr>
        <w:pStyle w:val="13"/>
        <w:spacing w:before="0" w:beforeAutospacing="0" w:after="0" w:afterAutospacing="0" w:line="520" w:lineRule="exact"/>
        <w:ind w:firstLine="482" w:firstLineChars="200"/>
        <w:rPr>
          <w:rFonts w:hint="eastAsia" w:ascii="仿宋" w:hAnsi="仿宋" w:eastAsia="仿宋" w:cs="仿宋"/>
          <w:color w:val="auto"/>
          <w:highlight w:val="none"/>
        </w:rPr>
      </w:pPr>
      <w:r>
        <w:rPr>
          <w:rFonts w:hint="eastAsia" w:ascii="仿宋" w:hAnsi="仿宋" w:eastAsia="仿宋" w:cs="仿宋"/>
          <w:b/>
          <w:color w:val="auto"/>
          <w:highlight w:val="none"/>
        </w:rPr>
        <w:t>四、提交投标文件截止时间、开标时间、地点</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提交投标文件截止时间：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2024</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5</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8</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9</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时</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30</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分</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00</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秒</w:t>
      </w:r>
      <w:r>
        <w:rPr>
          <w:rFonts w:hint="eastAsia" w:ascii="仿宋" w:hAnsi="仿宋" w:eastAsia="仿宋" w:cs="仿宋"/>
          <w:bCs/>
          <w:color w:val="auto"/>
          <w:sz w:val="24"/>
          <w:highlight w:val="none"/>
        </w:rPr>
        <w:t>（北京时间）。</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2024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5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8 </w:t>
      </w:r>
      <w:r>
        <w:rPr>
          <w:rFonts w:hint="eastAsia" w:ascii="仿宋" w:hAnsi="仿宋" w:eastAsia="仿宋" w:cs="仿宋"/>
          <w:color w:val="auto"/>
          <w:kern w:val="0"/>
          <w:sz w:val="24"/>
          <w:highlight w:val="none"/>
        </w:rPr>
        <w:t>日</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9</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时</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30</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分</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00</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秒</w:t>
      </w:r>
      <w:r>
        <w:rPr>
          <w:rFonts w:hint="eastAsia" w:ascii="仿宋" w:hAnsi="仿宋" w:eastAsia="仿宋" w:cs="仿宋"/>
          <w:bCs/>
          <w:color w:val="auto"/>
          <w:sz w:val="24"/>
          <w:highlight w:val="none"/>
        </w:rPr>
        <w:t>（北京时间）。</w:t>
      </w:r>
    </w:p>
    <w:p>
      <w:pPr>
        <w:spacing w:line="52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开标地点：</w:t>
      </w:r>
      <w:r>
        <w:rPr>
          <w:rFonts w:hint="eastAsia" w:ascii="仿宋" w:hAnsi="仿宋" w:eastAsia="仿宋" w:cs="仿宋"/>
          <w:color w:val="auto"/>
          <w:sz w:val="24"/>
          <w:highlight w:val="none"/>
          <w:u w:val="single"/>
        </w:rPr>
        <w:t>盐城市大丰人民医院门诊二层D区远程会诊中心视频会议室。</w:t>
      </w:r>
    </w:p>
    <w:p>
      <w:pPr>
        <w:spacing w:line="520" w:lineRule="exact"/>
        <w:ind w:firstLine="480" w:firstLineChars="200"/>
        <w:jc w:val="left"/>
        <w:rPr>
          <w:rFonts w:hint="eastAsia" w:ascii="仿宋" w:hAnsi="仿宋" w:eastAsia="仿宋" w:cs="仿宋"/>
          <w:b/>
          <w:bCs/>
          <w:color w:val="auto"/>
          <w:sz w:val="24"/>
          <w:highlight w:val="none"/>
        </w:rPr>
      </w:pPr>
      <w:bookmarkStart w:id="13" w:name="_Hlk25736135"/>
      <w:r>
        <w:rPr>
          <w:rFonts w:hint="eastAsia" w:ascii="仿宋" w:hAnsi="仿宋" w:eastAsia="仿宋" w:cs="仿宋"/>
          <w:color w:val="auto"/>
          <w:sz w:val="24"/>
          <w:highlight w:val="none"/>
        </w:rPr>
        <w:t>开标模式：</w:t>
      </w:r>
      <w:bookmarkEnd w:id="13"/>
      <w:r>
        <w:rPr>
          <w:rFonts w:hint="eastAsia" w:ascii="仿宋" w:hAnsi="仿宋" w:eastAsia="仿宋" w:cs="仿宋"/>
          <w:color w:val="auto"/>
          <w:sz w:val="24"/>
          <w:highlight w:val="none"/>
        </w:rPr>
        <w:t>不见面开标，腾讯会议，详见招标文件。</w:t>
      </w:r>
    </w:p>
    <w:p>
      <w:pPr>
        <w:pStyle w:val="13"/>
        <w:spacing w:before="0" w:beforeAutospacing="0" w:after="0" w:afterAutospacing="0" w:line="520" w:lineRule="exact"/>
        <w:ind w:firstLine="482" w:firstLineChars="200"/>
        <w:jc w:val="both"/>
        <w:rPr>
          <w:rFonts w:hint="eastAsia" w:ascii="仿宋" w:hAnsi="仿宋" w:eastAsia="仿宋" w:cs="仿宋"/>
          <w:color w:val="auto"/>
          <w:highlight w:val="none"/>
        </w:rPr>
      </w:pPr>
      <w:r>
        <w:rPr>
          <w:rFonts w:hint="eastAsia" w:ascii="仿宋" w:hAnsi="仿宋" w:eastAsia="仿宋" w:cs="仿宋"/>
          <w:b/>
          <w:color w:val="auto"/>
          <w:highlight w:val="none"/>
        </w:rPr>
        <w:t>五、公告期限</w:t>
      </w:r>
    </w:p>
    <w:p>
      <w:pPr>
        <w:pStyle w:val="13"/>
        <w:spacing w:before="0" w:beforeAutospacing="0" w:after="0" w:afterAutospacing="0" w:line="520" w:lineRule="exact"/>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自本公告发布之日起5个工作日。</w:t>
      </w:r>
    </w:p>
    <w:p>
      <w:pPr>
        <w:pStyle w:val="13"/>
        <w:spacing w:before="0" w:beforeAutospacing="0" w:after="0" w:afterAutospacing="0" w:line="520" w:lineRule="exact"/>
        <w:ind w:firstLine="482" w:firstLineChars="200"/>
        <w:jc w:val="both"/>
        <w:rPr>
          <w:rFonts w:hint="eastAsia" w:ascii="仿宋" w:hAnsi="仿宋" w:eastAsia="仿宋" w:cs="仿宋"/>
          <w:color w:val="auto"/>
          <w:highlight w:val="none"/>
        </w:rPr>
      </w:pPr>
      <w:r>
        <w:rPr>
          <w:rFonts w:hint="eastAsia" w:ascii="仿宋" w:hAnsi="仿宋" w:eastAsia="仿宋" w:cs="仿宋"/>
          <w:b/>
          <w:color w:val="auto"/>
          <w:highlight w:val="none"/>
        </w:rPr>
        <w:t>六、其他补充事宜</w:t>
      </w:r>
    </w:p>
    <w:p>
      <w:pPr>
        <w:pStyle w:val="13"/>
        <w:spacing w:before="0" w:beforeAutospacing="0" w:after="0" w:afterAutospacing="0" w:line="520" w:lineRule="exact"/>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1、本项目资金来源：</w:t>
      </w:r>
      <w:r>
        <w:rPr>
          <w:rFonts w:hint="eastAsia" w:ascii="仿宋" w:hAnsi="仿宋" w:eastAsia="仿宋" w:cs="仿宋"/>
          <w:color w:val="auto"/>
          <w:highlight w:val="none"/>
          <w:u w:val="single"/>
        </w:rPr>
        <w:t>自筹</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2、项目标段划分：</w:t>
      </w:r>
      <w:r>
        <w:rPr>
          <w:rFonts w:hint="eastAsia" w:ascii="仿宋" w:hAnsi="仿宋" w:eastAsia="仿宋" w:cs="仿宋"/>
          <w:color w:val="auto"/>
          <w:spacing w:val="-4"/>
          <w:highlight w:val="none"/>
          <w:u w:val="single"/>
        </w:rPr>
        <w:t>本项目共划分1个标段，标段信息如下：</w:t>
      </w:r>
    </w:p>
    <w:tbl>
      <w:tblPr>
        <w:tblStyle w:val="16"/>
        <w:tblW w:w="4997"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3456"/>
        <w:gridCol w:w="65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7" w:type="pct"/>
            <w:tcBorders>
              <w:top w:val="single" w:color="000000" w:sz="8" w:space="0"/>
              <w:left w:val="single" w:color="000000" w:sz="8" w:space="0"/>
              <w:bottom w:val="single" w:color="000000" w:sz="8" w:space="0"/>
              <w:right w:val="single" w:color="auto" w:sz="8" w:space="0"/>
            </w:tcBorders>
            <w:noWrap w:val="0"/>
            <w:tcMar>
              <w:left w:w="108" w:type="dxa"/>
              <w:right w:w="108" w:type="dxa"/>
            </w:tcMar>
            <w:vAlign w:val="top"/>
          </w:tcPr>
          <w:p>
            <w:pPr>
              <w:pStyle w:val="13"/>
              <w:spacing w:before="0" w:beforeAutospacing="0" w:after="0" w:afterAutospacing="0" w:line="520" w:lineRule="exact"/>
              <w:ind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项目编号</w:t>
            </w:r>
          </w:p>
        </w:tc>
        <w:tc>
          <w:tcPr>
            <w:tcW w:w="3593" w:type="pct"/>
            <w:tcBorders>
              <w:top w:val="single" w:color="000000" w:sz="8" w:space="0"/>
              <w:left w:val="nil"/>
              <w:bottom w:val="single" w:color="000000" w:sz="8" w:space="0"/>
              <w:right w:val="single" w:color="000000" w:sz="8" w:space="0"/>
            </w:tcBorders>
            <w:noWrap w:val="0"/>
            <w:tcMar>
              <w:left w:w="108" w:type="dxa"/>
              <w:right w:w="108" w:type="dxa"/>
            </w:tcMar>
            <w:vAlign w:val="top"/>
          </w:tcPr>
          <w:p>
            <w:pPr>
              <w:pStyle w:val="13"/>
              <w:spacing w:before="0" w:beforeAutospacing="0" w:after="0" w:afterAutospacing="0" w:line="520" w:lineRule="exact"/>
              <w:ind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标段名称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407" w:type="pct"/>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13"/>
              <w:spacing w:before="0" w:beforeAutospacing="0" w:after="0" w:afterAutospacing="0" w:line="520" w:lineRule="exact"/>
              <w:jc w:val="both"/>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JSZC-320904-ZCGS-G2024-0001</w:t>
            </w:r>
          </w:p>
        </w:tc>
        <w:tc>
          <w:tcPr>
            <w:tcW w:w="3593" w:type="pct"/>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13"/>
              <w:spacing w:before="0" w:beforeAutospacing="0" w:after="0" w:afterAutospacing="0" w:line="520" w:lineRule="exact"/>
              <w:ind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盐城市大丰人民医院智能化轨道小车物流系统维保项目</w:t>
            </w:r>
          </w:p>
        </w:tc>
      </w:tr>
    </w:tbl>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3、招标方式：</w:t>
      </w:r>
      <w:r>
        <w:rPr>
          <w:rFonts w:hint="eastAsia" w:ascii="仿宋" w:hAnsi="仿宋" w:eastAsia="仿宋" w:cs="仿宋"/>
          <w:color w:val="auto"/>
          <w:highlight w:val="none"/>
          <w:u w:val="single"/>
        </w:rPr>
        <w:t>公开招标</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4、本项目对投标申请人的资格审查采用资格后审方式，由评标委员会根据招标文件进行评定；报名时不进行报名资料的任何审查，由意向投标人自行判断是否符合投标资格。</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5、本招标项目采用的评标方法：综合评分法。</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6、本招标项目招标公告发布媒介：江苏政府采购网、盐城市政府采购网。</w:t>
      </w:r>
    </w:p>
    <w:p>
      <w:pPr>
        <w:pStyle w:val="13"/>
        <w:spacing w:before="0" w:beforeAutospacing="0" w:after="0" w:afterAutospacing="0" w:line="520" w:lineRule="exact"/>
        <w:ind w:firstLine="482" w:firstLineChars="200"/>
        <w:rPr>
          <w:rFonts w:hint="eastAsia" w:ascii="仿宋" w:hAnsi="仿宋" w:eastAsia="仿宋" w:cs="仿宋"/>
          <w:b/>
          <w:color w:val="auto"/>
          <w:highlight w:val="none"/>
        </w:rPr>
      </w:pPr>
      <w:r>
        <w:rPr>
          <w:rFonts w:hint="eastAsia" w:ascii="仿宋" w:hAnsi="仿宋" w:eastAsia="仿宋" w:cs="仿宋"/>
          <w:b/>
          <w:color w:val="auto"/>
          <w:highlight w:val="none"/>
        </w:rPr>
        <w:t>七、投标保证金</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本项目执行苏财购[2020]52号文《关于做好政府采购支持企业发展有关事项的通知》，本项目不需要缴纳投标保证金。</w:t>
      </w:r>
    </w:p>
    <w:p>
      <w:pPr>
        <w:pStyle w:val="13"/>
        <w:spacing w:before="0" w:beforeAutospacing="0" w:after="0" w:afterAutospacing="0" w:line="520" w:lineRule="exact"/>
        <w:ind w:firstLine="482" w:firstLineChars="200"/>
        <w:rPr>
          <w:rFonts w:hint="eastAsia" w:ascii="仿宋" w:hAnsi="仿宋" w:eastAsia="仿宋" w:cs="仿宋"/>
          <w:color w:val="auto"/>
          <w:highlight w:val="none"/>
        </w:rPr>
      </w:pPr>
      <w:r>
        <w:rPr>
          <w:rFonts w:hint="eastAsia" w:ascii="仿宋" w:hAnsi="仿宋" w:eastAsia="仿宋" w:cs="仿宋"/>
          <w:b/>
          <w:color w:val="auto"/>
          <w:highlight w:val="none"/>
        </w:rPr>
        <w:t>八</w:t>
      </w:r>
      <w:r>
        <w:rPr>
          <w:rFonts w:hint="eastAsia" w:ascii="仿宋" w:hAnsi="仿宋" w:eastAsia="仿宋" w:cs="仿宋"/>
          <w:color w:val="auto"/>
          <w:highlight w:val="none"/>
        </w:rPr>
        <w:t>、</w:t>
      </w:r>
      <w:r>
        <w:rPr>
          <w:rFonts w:hint="eastAsia" w:ascii="仿宋" w:hAnsi="仿宋" w:eastAsia="仿宋" w:cs="仿宋"/>
          <w:b/>
          <w:color w:val="auto"/>
          <w:highlight w:val="none"/>
        </w:rPr>
        <w:t>对本次招标提出询问，请按以下方式联系。</w:t>
      </w:r>
    </w:p>
    <w:bookmarkEnd w:id="1"/>
    <w:bookmarkEnd w:id="2"/>
    <w:bookmarkEnd w:id="3"/>
    <w:bookmarkEnd w:id="4"/>
    <w:bookmarkEnd w:id="5"/>
    <w:bookmarkEnd w:id="6"/>
    <w:bookmarkEnd w:id="7"/>
    <w:bookmarkEnd w:id="11"/>
    <w:p>
      <w:pPr>
        <w:pStyle w:val="13"/>
        <w:spacing w:before="0" w:beforeAutospacing="0" w:after="0" w:afterAutospacing="0" w:line="520" w:lineRule="exact"/>
        <w:ind w:firstLine="480" w:firstLineChars="200"/>
        <w:rPr>
          <w:rFonts w:hint="eastAsia" w:ascii="仿宋" w:hAnsi="仿宋" w:eastAsia="仿宋" w:cs="仿宋"/>
          <w:color w:val="auto"/>
          <w:highlight w:val="none"/>
        </w:rPr>
      </w:pPr>
      <w:bookmarkStart w:id="14" w:name="_Toc448306400"/>
      <w:bookmarkStart w:id="15" w:name="_Toc184635069"/>
      <w:bookmarkStart w:id="16" w:name="_Toc6770"/>
      <w:bookmarkStart w:id="17" w:name="_Toc387526281"/>
      <w:bookmarkStart w:id="18" w:name="_Toc387526373"/>
      <w:bookmarkStart w:id="19" w:name="_Toc397928547"/>
      <w:bookmarkStart w:id="20" w:name="_Toc387526177"/>
      <w:bookmarkStart w:id="21" w:name="_Toc369077558"/>
      <w:bookmarkStart w:id="22" w:name="_Toc363326679"/>
      <w:bookmarkStart w:id="23" w:name="_Toc368759512"/>
      <w:r>
        <w:rPr>
          <w:rFonts w:hint="eastAsia" w:ascii="仿宋" w:hAnsi="仿宋" w:eastAsia="仿宋" w:cs="仿宋"/>
          <w:color w:val="auto"/>
          <w:highlight w:val="none"/>
        </w:rPr>
        <w:t>1、采购人信息</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名    称：</w:t>
      </w:r>
      <w:r>
        <w:rPr>
          <w:rFonts w:hint="eastAsia" w:ascii="仿宋" w:hAnsi="仿宋" w:eastAsia="仿宋" w:cs="仿宋"/>
          <w:color w:val="auto"/>
          <w:highlight w:val="none"/>
          <w:u w:val="single"/>
        </w:rPr>
        <w:t>盐城市大丰人民医院</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联系地址：</w:t>
      </w:r>
      <w:r>
        <w:rPr>
          <w:rFonts w:hint="eastAsia" w:ascii="仿宋" w:hAnsi="仿宋" w:eastAsia="仿宋" w:cs="仿宋"/>
          <w:color w:val="auto"/>
          <w:highlight w:val="none"/>
          <w:u w:val="single"/>
        </w:rPr>
        <w:t>盐城市大丰区幸福东大街139号</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联 系 人：</w:t>
      </w:r>
      <w:r>
        <w:rPr>
          <w:rFonts w:hint="eastAsia" w:ascii="仿宋" w:hAnsi="仿宋" w:eastAsia="仿宋" w:cs="仿宋"/>
          <w:color w:val="auto"/>
          <w:highlight w:val="none"/>
          <w:u w:val="single"/>
        </w:rPr>
        <w:t>钱海涛</w:t>
      </w:r>
    </w:p>
    <w:p>
      <w:pPr>
        <w:pStyle w:val="13"/>
        <w:spacing w:before="0" w:beforeAutospacing="0" w:after="0" w:afterAutospacing="0" w:line="520" w:lineRule="exact"/>
        <w:ind w:firstLine="480" w:firstLineChars="200"/>
        <w:rPr>
          <w:rFonts w:hint="eastAsia" w:ascii="仿宋" w:hAnsi="仿宋" w:eastAsia="仿宋" w:cs="仿宋"/>
          <w:color w:val="auto"/>
          <w:highlight w:val="none"/>
          <w:u w:val="single"/>
        </w:rPr>
      </w:pPr>
      <w:r>
        <w:rPr>
          <w:rFonts w:hint="eastAsia" w:ascii="仿宋" w:hAnsi="仿宋" w:eastAsia="仿宋" w:cs="仿宋"/>
          <w:color w:val="auto"/>
          <w:highlight w:val="none"/>
        </w:rPr>
        <w:t>联系方式：</w:t>
      </w:r>
      <w:r>
        <w:rPr>
          <w:rFonts w:hint="eastAsia" w:ascii="仿宋" w:hAnsi="仿宋" w:eastAsia="仿宋" w:cs="仿宋"/>
          <w:color w:val="auto"/>
          <w:highlight w:val="none"/>
          <w:u w:val="single"/>
        </w:rPr>
        <w:t>0515-83530067</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2、采购代理机构信息</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名    称：</w:t>
      </w:r>
      <w:r>
        <w:rPr>
          <w:rFonts w:hint="eastAsia" w:ascii="仿宋" w:hAnsi="仿宋" w:eastAsia="仿宋" w:cs="仿宋"/>
          <w:color w:val="auto"/>
          <w:highlight w:val="none"/>
          <w:u w:val="single"/>
        </w:rPr>
        <w:t xml:space="preserve">至诚工程咨询有限公司 </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联系地址：</w:t>
      </w:r>
      <w:r>
        <w:rPr>
          <w:rFonts w:hint="eastAsia" w:ascii="仿宋" w:hAnsi="仿宋" w:eastAsia="仿宋" w:cs="仿宋"/>
          <w:color w:val="auto"/>
          <w:highlight w:val="none"/>
          <w:u w:val="single"/>
        </w:rPr>
        <w:t>盐城市大丰区幸福东大街6#，中国人民财产保险公司6楼</w:t>
      </w:r>
      <w:r>
        <w:rPr>
          <w:rFonts w:hint="eastAsia" w:ascii="仿宋" w:hAnsi="仿宋" w:eastAsia="仿宋" w:cs="仿宋"/>
          <w:color w:val="auto"/>
          <w:highlight w:val="none"/>
        </w:rPr>
        <w:t>      </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联 系 人：</w:t>
      </w:r>
      <w:r>
        <w:rPr>
          <w:rFonts w:hint="eastAsia" w:ascii="仿宋" w:hAnsi="仿宋" w:eastAsia="仿宋" w:cs="仿宋"/>
          <w:color w:val="auto"/>
          <w:highlight w:val="none"/>
          <w:u w:val="single"/>
        </w:rPr>
        <w:t>吴海斌</w:t>
      </w:r>
    </w:p>
    <w:p>
      <w:pPr>
        <w:pStyle w:val="13"/>
        <w:spacing w:before="0" w:beforeAutospacing="0" w:after="0" w:afterAutospacing="0"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电    话：</w:t>
      </w:r>
      <w:r>
        <w:rPr>
          <w:rFonts w:hint="eastAsia" w:ascii="仿宋" w:hAnsi="仿宋" w:eastAsia="仿宋" w:cs="仿宋"/>
          <w:color w:val="auto"/>
          <w:highlight w:val="none"/>
          <w:u w:val="single"/>
        </w:rPr>
        <w:t>0515-83999888、18936342099、18082184128</w:t>
      </w:r>
    </w:p>
    <w:p>
      <w:pPr>
        <w:spacing w:line="520" w:lineRule="exact"/>
        <w:ind w:firstLine="480" w:firstLineChars="200"/>
        <w:rPr>
          <w:rFonts w:hint="eastAsia" w:ascii="仿宋" w:hAnsi="仿宋" w:eastAsia="仿宋" w:cs="仿宋"/>
          <w:color w:val="auto"/>
          <w:sz w:val="24"/>
          <w:highlight w:val="none"/>
        </w:rPr>
      </w:pPr>
    </w:p>
    <w:p>
      <w:pPr>
        <w:spacing w:line="520" w:lineRule="exact"/>
        <w:ind w:firstLine="480" w:firstLineChars="200"/>
        <w:rPr>
          <w:rFonts w:hint="eastAsia" w:ascii="仿宋" w:hAnsi="仿宋" w:eastAsia="仿宋" w:cs="仿宋"/>
          <w:color w:val="auto"/>
          <w:sz w:val="24"/>
          <w:highlight w:val="none"/>
        </w:rPr>
      </w:pP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520" w:lineRule="exact"/>
        <w:ind w:firstLine="480" w:firstLineChars="200"/>
        <w:rPr>
          <w:rFonts w:hint="eastAsia" w:ascii="仿宋" w:hAnsi="仿宋" w:eastAsia="仿宋" w:cs="仿宋"/>
          <w:color w:val="auto"/>
          <w:sz w:val="24"/>
          <w:highlight w:val="none"/>
        </w:rPr>
      </w:pPr>
    </w:p>
    <w:p>
      <w:pPr>
        <w:pStyle w:val="3"/>
        <w:spacing w:before="0" w:after="0" w:line="520" w:lineRule="exact"/>
        <w:ind w:firstLine="482" w:firstLineChars="200"/>
        <w:jc w:val="both"/>
        <w:rPr>
          <w:rFonts w:hint="eastAsia" w:ascii="仿宋" w:hAnsi="仿宋" w:eastAsia="仿宋" w:cs="仿宋"/>
          <w:color w:val="auto"/>
          <w:sz w:val="24"/>
          <w:szCs w:val="24"/>
          <w:highlight w:val="none"/>
        </w:rPr>
      </w:pPr>
    </w:p>
    <w:p>
      <w:pPr>
        <w:spacing w:line="520" w:lineRule="exact"/>
        <w:ind w:firstLine="480" w:firstLineChars="200"/>
        <w:rPr>
          <w:rFonts w:hint="eastAsia" w:ascii="仿宋" w:hAnsi="仿宋" w:eastAsia="仿宋" w:cs="仿宋"/>
          <w:color w:val="auto"/>
          <w:sz w:val="24"/>
          <w:highlight w:val="none"/>
        </w:rPr>
      </w:pPr>
    </w:p>
    <w:p>
      <w:pPr>
        <w:spacing w:line="520" w:lineRule="exact"/>
        <w:ind w:firstLine="480" w:firstLineChars="200"/>
        <w:rPr>
          <w:rFonts w:hint="eastAsia" w:ascii="仿宋" w:hAnsi="仿宋" w:eastAsia="仿宋" w:cs="仿宋"/>
          <w:color w:val="auto"/>
          <w:sz w:val="24"/>
          <w:highlight w:val="none"/>
          <w:u w:val="single"/>
        </w:rPr>
      </w:pPr>
    </w:p>
    <w:p>
      <w:pPr>
        <w:pStyle w:val="7"/>
        <w:spacing w:line="520" w:lineRule="exact"/>
        <w:ind w:firstLine="480" w:firstLineChars="200"/>
        <w:rPr>
          <w:rFonts w:hint="eastAsia" w:ascii="仿宋" w:hAnsi="仿宋" w:eastAsia="仿宋" w:cs="仿宋"/>
          <w:color w:val="auto"/>
          <w:sz w:val="24"/>
          <w:highlight w:val="none"/>
          <w:u w:val="single"/>
        </w:rPr>
      </w:pPr>
    </w:p>
    <w:p>
      <w:pPr>
        <w:spacing w:line="520" w:lineRule="exact"/>
        <w:ind w:firstLine="480" w:firstLineChars="200"/>
        <w:rPr>
          <w:rFonts w:hint="eastAsia" w:ascii="仿宋" w:hAnsi="仿宋" w:eastAsia="仿宋" w:cs="仿宋"/>
          <w:color w:val="auto"/>
          <w:sz w:val="24"/>
          <w:highlight w:val="none"/>
          <w:u w:val="single"/>
        </w:rPr>
      </w:pPr>
    </w:p>
    <w:p>
      <w:pPr>
        <w:spacing w:line="520" w:lineRule="exact"/>
        <w:ind w:firstLine="480" w:firstLineChars="200"/>
        <w:rPr>
          <w:rFonts w:hint="eastAsia" w:ascii="仿宋" w:hAnsi="仿宋" w:eastAsia="仿宋" w:cs="仿宋"/>
          <w:color w:val="auto"/>
          <w:sz w:val="24"/>
          <w:highlight w:val="none"/>
          <w:u w:val="single"/>
        </w:rPr>
      </w:pPr>
    </w:p>
    <w:p>
      <w:pPr>
        <w:spacing w:line="520" w:lineRule="exact"/>
        <w:ind w:firstLine="480" w:firstLineChars="200"/>
        <w:rPr>
          <w:rFonts w:hint="eastAsia" w:ascii="仿宋" w:hAnsi="仿宋" w:eastAsia="仿宋" w:cs="仿宋"/>
          <w:color w:val="auto"/>
          <w:sz w:val="24"/>
          <w:highlight w:val="none"/>
        </w:rPr>
      </w:pPr>
    </w:p>
    <w:p>
      <w:pPr>
        <w:spacing w:line="520" w:lineRule="exact"/>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第二章  投标人须知</w:t>
      </w:r>
      <w:bookmarkEnd w:id="14"/>
      <w:bookmarkEnd w:id="15"/>
      <w:bookmarkEnd w:id="16"/>
      <w:bookmarkEnd w:id="17"/>
      <w:bookmarkEnd w:id="18"/>
      <w:bookmarkEnd w:id="19"/>
      <w:bookmarkEnd w:id="20"/>
      <w:bookmarkEnd w:id="21"/>
      <w:bookmarkEnd w:id="22"/>
      <w:bookmarkEnd w:id="23"/>
    </w:p>
    <w:p>
      <w:pPr>
        <w:pStyle w:val="24"/>
        <w:spacing w:before="0" w:after="0" w:line="520" w:lineRule="exact"/>
        <w:ind w:firstLine="562" w:firstLineChars="200"/>
        <w:jc w:val="center"/>
        <w:rPr>
          <w:rFonts w:hint="eastAsia" w:ascii="仿宋" w:hAnsi="仿宋" w:eastAsia="仿宋" w:cs="仿宋"/>
          <w:color w:val="auto"/>
          <w:sz w:val="28"/>
          <w:szCs w:val="28"/>
          <w:highlight w:val="none"/>
        </w:rPr>
      </w:pPr>
      <w:bookmarkStart w:id="24" w:name="_Toc387526282"/>
      <w:bookmarkStart w:id="25" w:name="_Toc387526374"/>
      <w:bookmarkStart w:id="26" w:name="_Toc16205"/>
      <w:bookmarkStart w:id="27" w:name="_Toc369077559"/>
      <w:bookmarkStart w:id="28" w:name="_Toc397928548"/>
      <w:bookmarkStart w:id="29" w:name="_Toc448306401"/>
      <w:bookmarkStart w:id="30" w:name="_Toc387526178"/>
      <w:r>
        <w:rPr>
          <w:rFonts w:hint="eastAsia" w:ascii="仿宋" w:hAnsi="仿宋" w:eastAsia="仿宋" w:cs="仿宋"/>
          <w:color w:val="auto"/>
          <w:sz w:val="28"/>
          <w:szCs w:val="28"/>
          <w:highlight w:val="none"/>
        </w:rPr>
        <w:t>投标人须知前附表</w:t>
      </w:r>
      <w:bookmarkEnd w:id="24"/>
      <w:bookmarkEnd w:id="25"/>
      <w:bookmarkEnd w:id="26"/>
      <w:bookmarkEnd w:id="27"/>
      <w:bookmarkEnd w:id="28"/>
      <w:bookmarkEnd w:id="29"/>
      <w:bookmarkEnd w:id="30"/>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41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3" w:type="pct"/>
            <w:noWrap w:val="0"/>
            <w:vAlign w:val="center"/>
          </w:tcPr>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1211" w:type="pct"/>
            <w:noWrap w:val="0"/>
            <w:vAlign w:val="center"/>
          </w:tcPr>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 款 名 称</w:t>
            </w:r>
          </w:p>
        </w:tc>
        <w:tc>
          <w:tcPr>
            <w:tcW w:w="3224" w:type="pct"/>
            <w:noWrap w:val="0"/>
            <w:vAlign w:val="center"/>
          </w:tcPr>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盐城市大丰人民医院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采购代理机构</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至诚工程咨询有限公司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1.1.4</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盐城市大丰人民医院智能化轨道小车物流系统维保项目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1.2.1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资金来源</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1.2.2</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出资比例</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1.2.3</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资金落实情况</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1.3.1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招标范围</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盐城市大丰人民医院轨道小车物流系统[53个站点、80辆运输小车、26辆污物运输小车（质保期满后自动转入本维保项）、1辆清洁小车等、1个L型测试架]正常运行所需的所有日常和定期维护、维修、调试等内容，具体内容详见本项目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1.3.2</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合同履行期限</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1.3.3</w:t>
            </w:r>
          </w:p>
        </w:tc>
        <w:tc>
          <w:tcPr>
            <w:tcW w:w="1211" w:type="pct"/>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项目地点</w:t>
            </w:r>
          </w:p>
        </w:tc>
        <w:tc>
          <w:tcPr>
            <w:tcW w:w="3224" w:type="pct"/>
            <w:noWrap w:val="0"/>
            <w:vAlign w:val="center"/>
          </w:tcPr>
          <w:p>
            <w:pPr>
              <w:rPr>
                <w:rFonts w:hint="eastAsia" w:ascii="仿宋" w:hAnsi="仿宋" w:eastAsia="仿宋" w:cs="仿宋"/>
                <w:bCs/>
                <w:color w:val="auto"/>
                <w:sz w:val="24"/>
                <w:highlight w:val="none"/>
              </w:rPr>
            </w:pPr>
            <w:r>
              <w:rPr>
                <w:rFonts w:hint="eastAsia" w:ascii="仿宋" w:hAnsi="仿宋" w:eastAsia="仿宋" w:cs="仿宋"/>
                <w:color w:val="auto"/>
                <w:sz w:val="24"/>
                <w:highlight w:val="none"/>
              </w:rPr>
              <w:t>盐城市大丰人民医院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1.3.4</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质量要求</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bCs/>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1.4.1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投标人资格要求</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1.4.2</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是否接受联合体投标</w:t>
            </w:r>
          </w:p>
        </w:tc>
        <w:tc>
          <w:tcPr>
            <w:tcW w:w="3224" w:type="pct"/>
            <w:noWrap w:val="0"/>
            <w:vAlign w:val="center"/>
          </w:tcPr>
          <w:p>
            <w:pP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63" w:type="pct"/>
            <w:noWrap w:val="0"/>
            <w:vAlign w:val="center"/>
          </w:tcPr>
          <w:p>
            <w:pPr>
              <w:rPr>
                <w:rFonts w:hint="eastAsia" w:ascii="仿宋" w:hAnsi="仿宋" w:eastAsia="仿宋" w:cs="仿宋"/>
                <w:b/>
                <w:color w:val="auto"/>
                <w:sz w:val="24"/>
                <w:highlight w:val="none"/>
              </w:rPr>
            </w:pPr>
            <w:r>
              <w:rPr>
                <w:rFonts w:hint="eastAsia" w:ascii="仿宋" w:hAnsi="仿宋" w:eastAsia="仿宋" w:cs="仿宋"/>
                <w:color w:val="auto"/>
                <w:sz w:val="24"/>
                <w:highlight w:val="none"/>
              </w:rPr>
              <w:t>1.9.1</w:t>
            </w:r>
          </w:p>
        </w:tc>
        <w:tc>
          <w:tcPr>
            <w:tcW w:w="1211" w:type="pct"/>
            <w:noWrap w:val="0"/>
            <w:vAlign w:val="center"/>
          </w:tcPr>
          <w:p>
            <w:pPr>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踏勘现场</w:t>
            </w:r>
          </w:p>
        </w:tc>
        <w:tc>
          <w:tcPr>
            <w:tcW w:w="3224" w:type="pct"/>
            <w:noWrap w:val="0"/>
            <w:vAlign w:val="center"/>
          </w:tcPr>
          <w:p>
            <w:pPr>
              <w:rPr>
                <w:rFonts w:hint="eastAsia" w:ascii="仿宋" w:hAnsi="仿宋" w:eastAsia="仿宋" w:cs="仿宋"/>
                <w:b/>
                <w:color w:val="auto"/>
                <w:sz w:val="24"/>
                <w:highlight w:val="none"/>
                <w:u w:val="single"/>
              </w:rPr>
            </w:pPr>
            <w:r>
              <w:rPr>
                <w:rFonts w:hint="eastAsia" w:ascii="仿宋" w:hAnsi="仿宋" w:eastAsia="仿宋" w:cs="仿宋"/>
                <w:color w:val="auto"/>
                <w:sz w:val="24"/>
                <w:highlight w:val="none"/>
              </w:rPr>
              <w:t>投标人自行踏勘现场，采购人不组织集中踏勘。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1.10</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投标预备会</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2" w:char="0052"/>
            </w:r>
            <w:r>
              <w:rPr>
                <w:rFonts w:hint="eastAsia" w:ascii="仿宋" w:hAnsi="仿宋" w:eastAsia="仿宋" w:cs="仿宋"/>
                <w:color w:val="auto"/>
                <w:sz w:val="24"/>
                <w:highlight w:val="none"/>
              </w:rPr>
              <w:t>不召开</w:t>
            </w:r>
          </w:p>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2" w:char="00A3"/>
            </w:r>
            <w:r>
              <w:rPr>
                <w:rFonts w:hint="eastAsia" w:ascii="仿宋" w:hAnsi="仿宋" w:eastAsia="仿宋" w:cs="仿宋"/>
                <w:color w:val="auto"/>
                <w:sz w:val="24"/>
                <w:highlight w:val="none"/>
              </w:rPr>
              <w:t>召开，召开时间：</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召开地点：投标人提出问题的截止时间：</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2.1.1</w:t>
            </w:r>
          </w:p>
        </w:tc>
        <w:tc>
          <w:tcPr>
            <w:tcW w:w="1211" w:type="pct"/>
            <w:noWrap w:val="0"/>
            <w:vAlign w:val="center"/>
          </w:tcPr>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构成招标文件的</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其它材料</w:t>
            </w:r>
          </w:p>
        </w:tc>
        <w:tc>
          <w:tcPr>
            <w:tcW w:w="3224" w:type="pct"/>
            <w:noWrap w:val="0"/>
            <w:vAlign w:val="center"/>
          </w:tcPr>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2.2.1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要求采购人澄清招标</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文件截至时间</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lang w:val="en-US" w:eastAsia="zh-CN"/>
              </w:rPr>
              <w:t xml:space="preserve"> 22 </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18</w:t>
            </w:r>
            <w:r>
              <w:rPr>
                <w:rFonts w:hint="eastAsia" w:ascii="仿宋" w:hAnsi="仿宋" w:eastAsia="仿宋" w:cs="仿宋"/>
                <w:color w:val="auto"/>
                <w:sz w:val="24"/>
                <w:highlight w:val="none"/>
              </w:rPr>
              <w:t>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3.1.1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投标文件的组成</w:t>
            </w:r>
          </w:p>
        </w:tc>
        <w:tc>
          <w:tcPr>
            <w:tcW w:w="3224" w:type="pct"/>
            <w:noWrap w:val="0"/>
            <w:vAlign w:val="center"/>
          </w:tcPr>
          <w:p>
            <w:pPr>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投标人编写的投标文件应包括资信证明文件、资格性审查响应对照表、符合性检查响应对照表、投标函、开标一览表、投标报价明细表、商务条款响应及偏离表、技术方案、承诺书等部分</w:t>
            </w:r>
            <w:r>
              <w:rPr>
                <w:rFonts w:hint="eastAsia" w:ascii="仿宋" w:hAnsi="仿宋" w:eastAsia="仿宋" w:cs="仿宋"/>
                <w:color w:val="auto"/>
                <w:sz w:val="24"/>
                <w:highlight w:val="none"/>
                <w:lang w:eastAsia="zh-CN"/>
              </w:rPr>
              <w:t>。</w:t>
            </w:r>
          </w:p>
          <w:p>
            <w:pPr>
              <w:numPr>
                <w:ilvl w:val="0"/>
                <w:numId w:val="1"/>
              </w:numPr>
              <w:ind w:left="425" w:leftChars="0" w:hanging="425" w:firstLineChars="0"/>
              <w:rPr>
                <w:rFonts w:ascii="仿宋" w:hAnsi="仿宋" w:eastAsia="仿宋" w:cs="仿宋"/>
                <w:b/>
                <w:bCs/>
                <w:color w:val="auto"/>
                <w:sz w:val="24"/>
                <w:highlight w:val="none"/>
              </w:rPr>
            </w:pPr>
            <w:r>
              <w:rPr>
                <w:rFonts w:hint="eastAsia" w:ascii="仿宋" w:hAnsi="仿宋" w:eastAsia="仿宋" w:cs="仿宋"/>
                <w:b/>
                <w:bCs/>
                <w:color w:val="auto"/>
                <w:sz w:val="24"/>
                <w:highlight w:val="none"/>
              </w:rPr>
              <w:t>资信文件应包括如下内容：</w:t>
            </w:r>
          </w:p>
          <w:p>
            <w:pP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法人或者其他组织的营业执照等证明文件，自然人的身份证明</w:t>
            </w:r>
            <w:r>
              <w:rPr>
                <w:rFonts w:hint="eastAsia" w:ascii="仿宋" w:hAnsi="仿宋" w:eastAsia="仿宋" w:cs="仿宋"/>
                <w:color w:val="auto"/>
                <w:sz w:val="24"/>
                <w:highlight w:val="none"/>
                <w:lang w:val="en-US" w:eastAsia="zh-CN"/>
              </w:rPr>
              <w:t>复印件并加盖投标单位公章；</w:t>
            </w:r>
          </w:p>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上一年度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2023年度）</w:t>
            </w:r>
            <w:r>
              <w:rPr>
                <w:rFonts w:hint="eastAsia" w:ascii="仿宋" w:hAnsi="仿宋" w:eastAsia="仿宋" w:cs="仿宋"/>
                <w:color w:val="auto"/>
                <w:sz w:val="24"/>
                <w:highlight w:val="none"/>
              </w:rPr>
              <w:t>财务状况报表（成立不满一年不需提供）</w:t>
            </w:r>
            <w:r>
              <w:rPr>
                <w:rFonts w:hint="eastAsia" w:ascii="仿宋" w:hAnsi="仿宋" w:eastAsia="仿宋" w:cs="仿宋"/>
                <w:color w:val="auto"/>
                <w:sz w:val="24"/>
                <w:highlight w:val="none"/>
                <w:lang w:val="en-US" w:eastAsia="zh-CN"/>
              </w:rPr>
              <w:t>复印件并加盖投标单位公章</w:t>
            </w:r>
            <w:r>
              <w:rPr>
                <w:rFonts w:hint="eastAsia" w:ascii="仿宋" w:hAnsi="仿宋" w:eastAsia="仿宋" w:cs="仿宋"/>
                <w:color w:val="auto"/>
                <w:sz w:val="24"/>
                <w:highlight w:val="none"/>
                <w:lang w:eastAsia="zh-CN"/>
              </w:rPr>
              <w:t>；</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 xml:space="preserve"> 依法缴纳税收和社会保障资金的相关材料（近期）复印件加盖投标单位公章；</w:t>
            </w:r>
          </w:p>
          <w:p>
            <w:pP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 xml:space="preserve"> 具备履行合同所必需的设备和专业技术能力证明材料</w:t>
            </w:r>
            <w:r>
              <w:rPr>
                <w:rFonts w:hint="eastAsia" w:ascii="仿宋" w:hAnsi="仿宋" w:eastAsia="仿宋" w:cs="仿宋"/>
                <w:color w:val="auto"/>
                <w:sz w:val="24"/>
                <w:highlight w:val="none"/>
                <w:lang w:val="en-US" w:eastAsia="zh-CN"/>
              </w:rPr>
              <w:t>复印件并加盖投标单位公章；</w:t>
            </w:r>
          </w:p>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 xml:space="preserve"> 参加政府采购活动前 3 年内在经营活动中没有重大违法记录的书面声明</w:t>
            </w:r>
            <w:r>
              <w:rPr>
                <w:rFonts w:hint="eastAsia" w:ascii="仿宋" w:hAnsi="仿宋" w:eastAsia="仿宋" w:cs="仿宋"/>
                <w:color w:val="auto"/>
                <w:sz w:val="24"/>
                <w:highlight w:val="none"/>
                <w:lang w:eastAsia="zh-CN"/>
              </w:rPr>
              <w:t>；</w:t>
            </w:r>
          </w:p>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投标人未被“信用中国”网站（www.creditchina.gov.cn）、“中国政府采购网”（www.ccgp.gov.cn）等网站列入失信被执行人、重大税收违法案件当事人名单、政府采购严重失信行为记录名单的书面申明原件。</w:t>
            </w:r>
          </w:p>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 xml:space="preserve">  法人授权书</w:t>
            </w:r>
            <w:r>
              <w:rPr>
                <w:rFonts w:hint="eastAsia" w:ascii="仿宋" w:hAnsi="仿宋" w:eastAsia="仿宋" w:cs="仿宋"/>
                <w:color w:val="auto"/>
                <w:sz w:val="24"/>
                <w:highlight w:val="none"/>
                <w:lang w:eastAsia="zh-CN"/>
              </w:rPr>
              <w:t>；</w:t>
            </w:r>
          </w:p>
          <w:p>
            <w:pPr>
              <w:pStyle w:val="8"/>
              <w:ind w:left="0" w:leftChars="0" w:firstLine="0" w:firstLineChars="0"/>
              <w:rPr>
                <w:rFonts w:hint="eastAsia"/>
                <w:color w:val="auto"/>
                <w:highlight w:val="none"/>
                <w:lang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中小企业声明函（格式附后，如有）</w:t>
            </w:r>
          </w:p>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招标文件中规定要求提供的证明材料和投标人认为需要提供的其他材料</w:t>
            </w:r>
            <w:r>
              <w:rPr>
                <w:rFonts w:hint="eastAsia" w:ascii="仿宋" w:hAnsi="仿宋" w:eastAsia="仿宋" w:cs="仿宋"/>
                <w:color w:val="auto"/>
                <w:sz w:val="24"/>
                <w:highlight w:val="none"/>
                <w:lang w:eastAsia="zh-CN"/>
              </w:rPr>
              <w:t>；</w:t>
            </w:r>
          </w:p>
          <w:p>
            <w:pPr>
              <w:numPr>
                <w:ilvl w:val="0"/>
                <w:numId w:val="2"/>
              </w:numPr>
              <w:ind w:left="0" w:leftChars="0" w:firstLine="0" w:firstLineChars="0"/>
              <w:rPr>
                <w:rFonts w:ascii="仿宋" w:hAnsi="仿宋" w:eastAsia="仿宋" w:cs="仿宋"/>
                <w:b/>
                <w:bCs/>
                <w:color w:val="auto"/>
                <w:sz w:val="24"/>
                <w:highlight w:val="none"/>
              </w:rPr>
            </w:pPr>
            <w:r>
              <w:rPr>
                <w:rFonts w:hint="eastAsia" w:ascii="仿宋" w:hAnsi="仿宋" w:eastAsia="仿宋" w:cs="仿宋"/>
                <w:b/>
                <w:bCs/>
                <w:color w:val="auto"/>
                <w:sz w:val="24"/>
                <w:highlight w:val="none"/>
              </w:rPr>
              <w:t>资格性审查响应对照表</w:t>
            </w:r>
            <w:r>
              <w:rPr>
                <w:rFonts w:hint="eastAsia" w:ascii="仿宋" w:hAnsi="仿宋" w:eastAsia="仿宋" w:cs="仿宋"/>
                <w:b/>
                <w:bCs/>
                <w:color w:val="auto"/>
                <w:sz w:val="24"/>
                <w:highlight w:val="none"/>
                <w:lang w:eastAsia="zh-CN"/>
              </w:rPr>
              <w:t>；</w:t>
            </w:r>
          </w:p>
          <w:p>
            <w:pPr>
              <w:pStyle w:val="8"/>
              <w:numPr>
                <w:ilvl w:val="0"/>
                <w:numId w:val="2"/>
              </w:numPr>
              <w:ind w:left="0" w:leftChars="0" w:firstLine="0" w:firstLineChars="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符合性检查响应对照表；</w:t>
            </w:r>
          </w:p>
          <w:p>
            <w:pPr>
              <w:pStyle w:val="8"/>
              <w:numPr>
                <w:ilvl w:val="0"/>
                <w:numId w:val="2"/>
              </w:numPr>
              <w:ind w:left="0" w:leftChars="0" w:firstLine="0" w:firstLineChars="0"/>
              <w:rPr>
                <w:rFonts w:hint="default" w:ascii="仿宋" w:hAnsi="仿宋" w:eastAsia="仿宋" w:cs="仿宋"/>
                <w:b/>
                <w:bCs/>
                <w:color w:val="auto"/>
                <w:sz w:val="24"/>
                <w:highlight w:val="none"/>
                <w:lang w:val="en-US" w:eastAsia="zh-CN"/>
              </w:rPr>
            </w:pPr>
            <w:r>
              <w:rPr>
                <w:rFonts w:hint="default"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lang w:val="en-US" w:eastAsia="zh-CN"/>
              </w:rPr>
              <w:t>函；</w:t>
            </w:r>
          </w:p>
          <w:p>
            <w:pPr>
              <w:pStyle w:val="8"/>
              <w:numPr>
                <w:ilvl w:val="0"/>
                <w:numId w:val="2"/>
              </w:numPr>
              <w:ind w:left="0" w:leftChars="0" w:firstLine="0" w:firstLineChars="0"/>
              <w:rPr>
                <w:rFonts w:hint="default" w:ascii="仿宋" w:hAnsi="仿宋" w:eastAsia="仿宋" w:cs="仿宋"/>
                <w:b/>
                <w:bCs/>
                <w:color w:val="auto"/>
                <w:sz w:val="24"/>
                <w:highlight w:val="none"/>
                <w:lang w:val="en-US" w:eastAsia="zh-CN"/>
              </w:rPr>
            </w:pPr>
            <w:r>
              <w:rPr>
                <w:rFonts w:hint="default" w:ascii="仿宋" w:hAnsi="仿宋" w:eastAsia="仿宋" w:cs="仿宋"/>
                <w:b/>
                <w:bCs/>
                <w:color w:val="auto"/>
                <w:sz w:val="24"/>
                <w:highlight w:val="none"/>
                <w:lang w:val="en-US" w:eastAsia="zh-CN"/>
              </w:rPr>
              <w:t>开标一览表</w:t>
            </w:r>
            <w:r>
              <w:rPr>
                <w:rFonts w:hint="eastAsia" w:ascii="仿宋" w:hAnsi="仿宋" w:eastAsia="仿宋" w:cs="仿宋"/>
                <w:b/>
                <w:bCs/>
                <w:color w:val="auto"/>
                <w:sz w:val="24"/>
                <w:highlight w:val="none"/>
                <w:lang w:val="en-US" w:eastAsia="zh-CN"/>
              </w:rPr>
              <w:t>；</w:t>
            </w:r>
          </w:p>
          <w:p>
            <w:pPr>
              <w:pStyle w:val="8"/>
              <w:numPr>
                <w:ilvl w:val="0"/>
                <w:numId w:val="2"/>
              </w:numPr>
              <w:ind w:left="0" w:leftChars="0" w:firstLine="0" w:firstLineChars="0"/>
              <w:rPr>
                <w:rFonts w:hint="default" w:ascii="仿宋" w:hAnsi="仿宋" w:eastAsia="仿宋" w:cs="仿宋"/>
                <w:b/>
                <w:bCs/>
                <w:color w:val="auto"/>
                <w:sz w:val="24"/>
                <w:highlight w:val="none"/>
                <w:lang w:val="en-US" w:eastAsia="zh-CN"/>
              </w:rPr>
            </w:pPr>
            <w:r>
              <w:rPr>
                <w:rFonts w:hint="default" w:ascii="仿宋" w:hAnsi="仿宋" w:eastAsia="仿宋" w:cs="仿宋"/>
                <w:b/>
                <w:bCs/>
                <w:color w:val="auto"/>
                <w:sz w:val="24"/>
                <w:highlight w:val="none"/>
                <w:lang w:val="en-US" w:eastAsia="zh-CN"/>
              </w:rPr>
              <w:t>投标报价明细表</w:t>
            </w:r>
            <w:r>
              <w:rPr>
                <w:rFonts w:hint="eastAsia" w:ascii="仿宋" w:hAnsi="仿宋" w:eastAsia="仿宋" w:cs="仿宋"/>
                <w:b/>
                <w:bCs/>
                <w:color w:val="auto"/>
                <w:sz w:val="24"/>
                <w:highlight w:val="none"/>
                <w:lang w:val="en-US" w:eastAsia="zh-CN"/>
              </w:rPr>
              <w:t>；</w:t>
            </w:r>
          </w:p>
          <w:p>
            <w:pPr>
              <w:pStyle w:val="8"/>
              <w:numPr>
                <w:ilvl w:val="0"/>
                <w:numId w:val="2"/>
              </w:numPr>
              <w:ind w:left="0" w:leftChars="0" w:firstLine="0" w:firstLineChars="0"/>
              <w:rPr>
                <w:rFonts w:hint="default" w:ascii="仿宋" w:hAnsi="仿宋" w:eastAsia="仿宋" w:cs="仿宋"/>
                <w:b/>
                <w:bCs/>
                <w:color w:val="auto"/>
                <w:sz w:val="24"/>
                <w:highlight w:val="none"/>
                <w:lang w:val="en-US" w:eastAsia="zh-CN"/>
              </w:rPr>
            </w:pPr>
            <w:r>
              <w:rPr>
                <w:rFonts w:hint="default" w:ascii="仿宋" w:hAnsi="仿宋" w:eastAsia="仿宋" w:cs="仿宋"/>
                <w:b/>
                <w:bCs/>
                <w:color w:val="auto"/>
                <w:sz w:val="24"/>
                <w:highlight w:val="none"/>
                <w:lang w:val="en-US" w:eastAsia="zh-CN"/>
              </w:rPr>
              <w:t>商务条款响应及偏离表</w:t>
            </w:r>
            <w:r>
              <w:rPr>
                <w:rFonts w:hint="eastAsia" w:ascii="仿宋" w:hAnsi="仿宋" w:eastAsia="仿宋" w:cs="仿宋"/>
                <w:b/>
                <w:bCs/>
                <w:color w:val="auto"/>
                <w:sz w:val="24"/>
                <w:highlight w:val="none"/>
                <w:lang w:val="en-US" w:eastAsia="zh-CN"/>
              </w:rPr>
              <w:t>（如有）；</w:t>
            </w:r>
          </w:p>
          <w:p>
            <w:pPr>
              <w:pStyle w:val="8"/>
              <w:numPr>
                <w:ilvl w:val="0"/>
                <w:numId w:val="2"/>
              </w:numPr>
              <w:ind w:left="0" w:leftChars="0" w:firstLine="0" w:firstLineChars="0"/>
              <w:rPr>
                <w:rFonts w:hint="eastAsia"/>
                <w:b/>
                <w:bCs/>
                <w:color w:val="auto"/>
                <w:highlight w:val="none"/>
                <w:lang w:eastAsia="zh-CN"/>
              </w:rPr>
            </w:pPr>
            <w:r>
              <w:rPr>
                <w:rFonts w:hint="default" w:ascii="仿宋" w:hAnsi="仿宋" w:eastAsia="仿宋" w:cs="仿宋"/>
                <w:b/>
                <w:bCs/>
                <w:color w:val="auto"/>
                <w:sz w:val="24"/>
                <w:highlight w:val="none"/>
                <w:lang w:val="en-US" w:eastAsia="zh-CN"/>
              </w:rPr>
              <w:t>技术部分等</w:t>
            </w:r>
            <w:r>
              <w:rPr>
                <w:rFonts w:hint="eastAsia" w:ascii="仿宋" w:hAnsi="仿宋" w:eastAsia="仿宋" w:cs="仿宋"/>
                <w:b/>
                <w:bCs/>
                <w:color w:val="auto"/>
                <w:sz w:val="24"/>
                <w:highlight w:val="none"/>
                <w:lang w:val="en-US" w:eastAsia="zh-CN"/>
              </w:rPr>
              <w:t>；</w:t>
            </w:r>
          </w:p>
          <w:p>
            <w:pPr>
              <w:pStyle w:val="8"/>
              <w:numPr>
                <w:ilvl w:val="0"/>
                <w:numId w:val="0"/>
              </w:numPr>
              <w:ind w:leftChars="0"/>
              <w:rPr>
                <w:rFonts w:hint="eastAsia"/>
                <w:color w:val="auto"/>
                <w:highlight w:val="none"/>
                <w:lang w:eastAsia="zh-CN"/>
              </w:rPr>
            </w:pPr>
            <w:r>
              <w:rPr>
                <w:rFonts w:hint="eastAsia" w:ascii="仿宋" w:hAnsi="仿宋" w:eastAsia="仿宋" w:cs="仿宋"/>
                <w:b/>
                <w:bCs/>
                <w:color w:val="auto"/>
                <w:sz w:val="24"/>
                <w:highlight w:val="none"/>
                <w:lang w:val="en-US" w:eastAsia="zh-CN"/>
              </w:rPr>
              <w:t>（9）</w:t>
            </w:r>
            <w:r>
              <w:rPr>
                <w:rFonts w:hint="default" w:ascii="仿宋" w:hAnsi="仿宋" w:eastAsia="仿宋" w:cs="仿宋"/>
                <w:b/>
                <w:bCs/>
                <w:color w:val="auto"/>
                <w:sz w:val="24"/>
                <w:highlight w:val="none"/>
                <w:lang w:val="en-US" w:eastAsia="zh-CN"/>
              </w:rPr>
              <w:t>盐城市大丰区政府招标采购供应商承诺书</w:t>
            </w:r>
            <w:r>
              <w:rPr>
                <w:rFonts w:hint="eastAsia" w:ascii="仿宋" w:hAnsi="仿宋" w:eastAsia="仿宋" w:cs="仿宋"/>
                <w:b/>
                <w:bCs/>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3.2.2</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投标报价要求</w:t>
            </w:r>
          </w:p>
        </w:tc>
        <w:tc>
          <w:tcPr>
            <w:tcW w:w="3224" w:type="pct"/>
            <w:noWrap w:val="0"/>
            <w:vAlign w:val="center"/>
          </w:tcPr>
          <w:p>
            <w:pPr>
              <w:rPr>
                <w:rFonts w:hint="eastAsia" w:ascii="仿宋" w:hAnsi="仿宋" w:eastAsia="仿宋" w:cs="仿宋"/>
                <w:color w:val="auto"/>
                <w:sz w:val="24"/>
                <w:highlight w:val="none"/>
              </w:rPr>
            </w:pPr>
            <w:bookmarkStart w:id="31" w:name="_Hlk132552890"/>
            <w:r>
              <w:rPr>
                <w:rFonts w:hint="eastAsia" w:ascii="仿宋" w:hAnsi="仿宋" w:eastAsia="仿宋" w:cs="仿宋"/>
                <w:color w:val="auto"/>
                <w:sz w:val="24"/>
                <w:highlight w:val="none"/>
              </w:rPr>
              <w:t>本项目投标报价采用全费用总价报价，投标所报全费用综合总价为招标范围内全部工作内容的价格体现，以及为完成上述内容所必须的包含但不限于人工费、材料费、不可预见的费用、管理费、招标代理费、利润、税金和文件规定的其他各项应有的全部费用（综合报价）。对乙方认为没有考虑到的费用项目甲方将不予支付，并认为此项费用已包含在投标报价中。</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3.2.3</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最高投标限价</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62万元/年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3.3.1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投标有效期</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90</w:t>
            </w:r>
            <w:r>
              <w:rPr>
                <w:rFonts w:hint="eastAsia" w:ascii="仿宋" w:hAnsi="仿宋" w:eastAsia="仿宋" w:cs="仿宋"/>
                <w:color w:val="auto"/>
                <w:sz w:val="24"/>
                <w:highlight w:val="non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w:t>
            </w:r>
          </w:p>
        </w:tc>
        <w:tc>
          <w:tcPr>
            <w:tcW w:w="3224" w:type="pct"/>
            <w:noWrap w:val="0"/>
            <w:vAlign w:val="center"/>
          </w:tcPr>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本项目执行苏财购[2020]52号文《关于做好政府采购支持企业发展有关事项的通知》，本项目不需要缴纳投标保证金。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3.6</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是否允许递交备选</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投标方案</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不允许</w:t>
            </w:r>
          </w:p>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4.2.1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投标文件递交截止时间和递交方式</w:t>
            </w:r>
          </w:p>
        </w:tc>
        <w:tc>
          <w:tcPr>
            <w:tcW w:w="3224" w:type="pct"/>
            <w:noWrap w:val="0"/>
            <w:vAlign w:val="center"/>
          </w:tcPr>
          <w:p>
            <w:pP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1、投标文件提交截止时间：</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2024</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5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8 </w:t>
            </w:r>
            <w:r>
              <w:rPr>
                <w:rFonts w:hint="eastAsia" w:ascii="仿宋" w:hAnsi="仿宋" w:eastAsia="仿宋" w:cs="仿宋"/>
                <w:color w:val="auto"/>
                <w:kern w:val="0"/>
                <w:sz w:val="24"/>
                <w:highlight w:val="none"/>
              </w:rPr>
              <w:t>日</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9 </w:t>
            </w:r>
            <w:r>
              <w:rPr>
                <w:rFonts w:hint="eastAsia" w:ascii="仿宋" w:hAnsi="仿宋" w:eastAsia="仿宋" w:cs="仿宋"/>
                <w:color w:val="auto"/>
                <w:kern w:val="0"/>
                <w:sz w:val="24"/>
                <w:highlight w:val="none"/>
              </w:rPr>
              <w:t>时</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3</w:t>
            </w:r>
            <w:r>
              <w:rPr>
                <w:rFonts w:hint="eastAsia" w:ascii="仿宋" w:hAnsi="仿宋" w:eastAsia="仿宋" w:cs="仿宋"/>
                <w:color w:val="auto"/>
                <w:kern w:val="0"/>
                <w:sz w:val="24"/>
                <w:highlight w:val="none"/>
                <w:u w:val="single"/>
              </w:rPr>
              <w:t xml:space="preserve">0 </w:t>
            </w:r>
            <w:r>
              <w:rPr>
                <w:rFonts w:hint="eastAsia" w:ascii="仿宋" w:hAnsi="仿宋" w:eastAsia="仿宋" w:cs="仿宋"/>
                <w:color w:val="auto"/>
                <w:kern w:val="0"/>
                <w:sz w:val="24"/>
                <w:highlight w:val="none"/>
              </w:rPr>
              <w:t>分</w:t>
            </w:r>
            <w:r>
              <w:rPr>
                <w:rFonts w:hint="eastAsia" w:ascii="仿宋" w:hAnsi="仿宋" w:eastAsia="仿宋" w:cs="仿宋"/>
                <w:color w:val="auto"/>
                <w:kern w:val="0"/>
                <w:sz w:val="24"/>
                <w:highlight w:val="none"/>
                <w:u w:val="single"/>
              </w:rPr>
              <w:t xml:space="preserve"> 00 </w:t>
            </w:r>
            <w:r>
              <w:rPr>
                <w:rFonts w:hint="eastAsia" w:ascii="仿宋" w:hAnsi="仿宋" w:eastAsia="仿宋" w:cs="仿宋"/>
                <w:color w:val="auto"/>
                <w:kern w:val="0"/>
                <w:sz w:val="24"/>
                <w:highlight w:val="none"/>
              </w:rPr>
              <w:t>秒；</w:t>
            </w:r>
          </w:p>
          <w:p>
            <w:pP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2、投标文件提交地点：</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投标人须在投标截止时间之前将投标文件</w:t>
            </w:r>
            <w:r>
              <w:rPr>
                <w:rFonts w:hint="eastAsia" w:ascii="仿宋" w:hAnsi="仿宋" w:eastAsia="仿宋" w:cs="仿宋"/>
                <w:b/>
                <w:color w:val="auto"/>
                <w:kern w:val="0"/>
                <w:sz w:val="24"/>
                <w:highlight w:val="none"/>
              </w:rPr>
              <w:t>（建议提前邮寄）</w:t>
            </w:r>
            <w:r>
              <w:rPr>
                <w:rFonts w:hint="eastAsia" w:ascii="仿宋" w:hAnsi="仿宋" w:eastAsia="仿宋" w:cs="仿宋"/>
                <w:color w:val="auto"/>
                <w:kern w:val="0"/>
                <w:sz w:val="24"/>
                <w:highlight w:val="none"/>
              </w:rPr>
              <w:t>送至盐城市大丰区幸福东大街6#，中国人民财产保险公司6楼。或在投标截止时间之前送达开标地点：</w:t>
            </w:r>
            <w:r>
              <w:rPr>
                <w:rFonts w:hint="eastAsia" w:ascii="仿宋" w:hAnsi="仿宋" w:eastAsia="仿宋" w:cs="仿宋"/>
                <w:color w:val="auto"/>
                <w:sz w:val="24"/>
                <w:highlight w:val="none"/>
                <w:u w:val="single"/>
              </w:rPr>
              <w:t>盐城市大丰人民医院远程会诊中心视频会议室（门诊二层D区）。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4.2.3</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是否退还投标文件</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2" w:char="0052"/>
            </w:r>
            <w:r>
              <w:rPr>
                <w:rFonts w:hint="eastAsia" w:ascii="仿宋" w:hAnsi="仿宋" w:eastAsia="仿宋" w:cs="仿宋"/>
                <w:color w:val="auto"/>
                <w:sz w:val="24"/>
                <w:highlight w:val="none"/>
              </w:rPr>
              <w:t>否</w:t>
            </w:r>
          </w:p>
          <w:p>
            <w:pPr>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是，退还安排：</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5.1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开标时间和地点</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2024</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5</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8</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9</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时</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3</w:t>
            </w:r>
            <w:r>
              <w:rPr>
                <w:rFonts w:hint="eastAsia" w:ascii="仿宋" w:hAnsi="仿宋" w:eastAsia="仿宋" w:cs="仿宋"/>
                <w:color w:val="auto"/>
                <w:kern w:val="0"/>
                <w:sz w:val="24"/>
                <w:highlight w:val="none"/>
                <w:u w:val="single"/>
              </w:rPr>
              <w:t xml:space="preserve">0 </w:t>
            </w:r>
            <w:r>
              <w:rPr>
                <w:rFonts w:hint="eastAsia" w:ascii="仿宋" w:hAnsi="仿宋" w:eastAsia="仿宋" w:cs="仿宋"/>
                <w:color w:val="auto"/>
                <w:kern w:val="0"/>
                <w:sz w:val="24"/>
                <w:highlight w:val="none"/>
              </w:rPr>
              <w:t>分</w:t>
            </w:r>
            <w:r>
              <w:rPr>
                <w:rFonts w:hint="eastAsia" w:ascii="仿宋" w:hAnsi="仿宋" w:eastAsia="仿宋" w:cs="仿宋"/>
                <w:color w:val="auto"/>
                <w:kern w:val="0"/>
                <w:sz w:val="24"/>
                <w:highlight w:val="none"/>
                <w:u w:val="single"/>
              </w:rPr>
              <w:t xml:space="preserve"> 00 </w:t>
            </w:r>
            <w:r>
              <w:rPr>
                <w:rFonts w:hint="eastAsia" w:ascii="仿宋" w:hAnsi="仿宋" w:eastAsia="仿宋" w:cs="仿宋"/>
                <w:color w:val="auto"/>
                <w:kern w:val="0"/>
                <w:sz w:val="24"/>
                <w:highlight w:val="none"/>
              </w:rPr>
              <w:t>秒</w:t>
            </w:r>
            <w:r>
              <w:rPr>
                <w:rFonts w:hint="eastAsia" w:ascii="仿宋" w:hAnsi="仿宋" w:eastAsia="仿宋" w:cs="仿宋"/>
                <w:color w:val="auto"/>
                <w:sz w:val="24"/>
                <w:highlight w:val="none"/>
              </w:rPr>
              <w:t>；</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开标地点：</w:t>
            </w:r>
            <w:r>
              <w:rPr>
                <w:rFonts w:hint="eastAsia" w:ascii="仿宋" w:hAnsi="仿宋" w:eastAsia="仿宋" w:cs="仿宋"/>
                <w:color w:val="auto"/>
                <w:sz w:val="24"/>
                <w:highlight w:val="none"/>
                <w:u w:val="single"/>
              </w:rPr>
              <w:t>盐城市大丰人民医院门诊二层D区远程会诊中心视频会议室。</w:t>
            </w:r>
            <w:r>
              <w:rPr>
                <w:rFonts w:hint="eastAsia" w:ascii="仿宋" w:hAnsi="仿宋" w:eastAsia="仿宋" w:cs="仿宋"/>
                <w:color w:val="auto"/>
                <w:sz w:val="24"/>
                <w:highlight w:val="none"/>
              </w:rPr>
              <w:t>开标时，投标人不需出现在开标现场，仅需在任意地点通过 PC端或移动端的“腾讯会议”及相应的配套硬件设备参加开标会议，详见开标会议办法。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5.1.1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参加开标会的</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投标人代表</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各投标人（供应商）的授权委托人或法人代表应在投标文件提交截止时间前登入腾讯会议参加开标会。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5.2</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开标程序</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详见投标须知5.2条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8.1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授权评标委员会</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确定中标人</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xml:space="preserve">是          </w:t>
            </w:r>
          </w:p>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2" w:char="0052"/>
            </w:r>
            <w:r>
              <w:rPr>
                <w:rFonts w:hint="eastAsia" w:ascii="仿宋" w:hAnsi="仿宋" w:eastAsia="仿宋" w:cs="仿宋"/>
                <w:color w:val="auto"/>
                <w:kern w:val="0"/>
                <w:sz w:val="24"/>
                <w:highlight w:val="none"/>
              </w:rPr>
              <w:t>否，推荐3名中标候选人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8.3</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履约保证金</w:t>
            </w:r>
          </w:p>
        </w:tc>
        <w:tc>
          <w:tcPr>
            <w:tcW w:w="3224" w:type="pct"/>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履约保证金的形式：银行转账。</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履约保证金的金额：中标价的10%。</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注：对提供＂信用中国(江苏盐城)＂备案的第三方信用报告AA评级及以上采购供应商，免收履约保证金或履约保证金缴纳比例降低（中标价的5%），合同订立前需提供相关证明材料</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履约保证金退还：项目验收合格后30日内无息退还。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10.1</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收费标准</w:t>
            </w:r>
          </w:p>
        </w:tc>
        <w:tc>
          <w:tcPr>
            <w:tcW w:w="3224" w:type="pct"/>
            <w:noWrap w:val="0"/>
            <w:vAlign w:val="center"/>
          </w:tcPr>
          <w:p>
            <w:pPr>
              <w:rPr>
                <w:rFonts w:hint="eastAsia" w:ascii="仿宋" w:hAnsi="仿宋" w:eastAsia="仿宋" w:cs="仿宋"/>
                <w:color w:val="auto"/>
                <w:sz w:val="24"/>
                <w:highlight w:val="none"/>
              </w:rPr>
            </w:pPr>
            <w:r>
              <w:rPr>
                <w:rFonts w:hint="eastAsia" w:ascii="仿宋" w:hAnsi="仿宋" w:eastAsia="仿宋" w:cs="仿宋"/>
                <w:bCs/>
                <w:color w:val="auto"/>
                <w:sz w:val="24"/>
                <w:highlight w:val="none"/>
              </w:rPr>
              <w:t>招标代理费：由中标人支付，中标人在领取中标通知书时向采购代理机构交纳招标代理服务费，费用按照苏招协【2022】002号文的收费标准×40%收取。请投标人考虑在投标报价中，</w:t>
            </w:r>
            <w:r>
              <w:rPr>
                <w:rFonts w:hint="eastAsia" w:ascii="仿宋" w:hAnsi="仿宋" w:eastAsia="仿宋" w:cs="仿宋"/>
                <w:color w:val="auto"/>
                <w:sz w:val="24"/>
                <w:highlight w:val="none"/>
              </w:rPr>
              <w:t>但不单列，分摊至投标报价内。项目结算时采购人不另行支付任何费用。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10.2</w:t>
            </w:r>
          </w:p>
        </w:tc>
        <w:tc>
          <w:tcPr>
            <w:tcW w:w="1211"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付款方式</w:t>
            </w:r>
          </w:p>
        </w:tc>
        <w:tc>
          <w:tcPr>
            <w:tcW w:w="3224" w:type="pct"/>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合同签订后30个工作日内采购人向中标人预支付年维保服务费用的10%；后第一年维保服务协议生效后每满半年付款一次，每次付款金额=剩余维保服务费用/2，支付时间为下一半年首月20日前。第二年度维保服务协议生效后每满半年付款一次，每次付款金额=合同价款/2。甲方根据考核结果支付费用（服务质量由甲方评定作为付款依据，每月由分管院长牵头组织科室对中标单位考核汇总，按各自的分值比例形成总考核表，考核满分100分，低于95分的，每少1分扣除当月费用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4436" w:type="pct"/>
            <w:gridSpan w:val="2"/>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⑴凡是构成合同文件组成内容的不明确或不一致，以合同文件约定内容为准；</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⑵凡不是构成合同文件组成内容的不明确或不一致，除招标文件中有特别规定外，仅适用于招标投标阶段的规定，按招标公告、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⑶按本款前述规定仍不能形成结论的，由采购人负责解释。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63" w:type="pct"/>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4436" w:type="pct"/>
            <w:gridSpan w:val="2"/>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1、本招标文件时间均以中华人民共和国北京时间为准，所涉及金额的币种均为人民币。</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2、凡参与本项目投标的投标人，视同已踏勘过项目现场和研究了本招标文件的所有内容，并无保留地接受招标文件的所有条款（含招标答疑、补充通知等）。</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3、参加开标会议的方法：</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⑴投标人须通过电脑或智能手机搜索下载并安装“腾讯会议”，完成注册。</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⑵投标截止时间前10分钟，招标代理将开启会议系统，各投标人登入腾讯会议后点击“加入会议”，输入会议号“</w:t>
            </w:r>
            <w:r>
              <w:rPr>
                <w:rFonts w:hint="eastAsia" w:ascii="仿宋" w:hAnsi="仿宋" w:eastAsia="仿宋" w:cs="仿宋"/>
                <w:bCs/>
                <w:color w:val="auto"/>
                <w:sz w:val="24"/>
                <w:highlight w:val="none"/>
                <w:u w:val="single"/>
                <w:lang w:val="en-US" w:eastAsia="zh-CN"/>
              </w:rPr>
              <w:t>854577948</w:t>
            </w:r>
            <w:r>
              <w:rPr>
                <w:rFonts w:hint="eastAsia" w:ascii="仿宋" w:hAnsi="仿宋" w:eastAsia="仿宋" w:cs="仿宋"/>
                <w:bCs/>
                <w:color w:val="auto"/>
                <w:sz w:val="24"/>
                <w:highlight w:val="none"/>
              </w:rPr>
              <w:t xml:space="preserve">”，“您的姓名”按“单位简称+授权委托人姓名”格式填写，然后点击“加入会议”。 </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因本项目采用不见面开标模式，故招标人特别说明如下：</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⑴投标人投标文件的编制和递交，应依照招标文件的规定进行。如未按招标文件要求编制、递交投标文件，将可能导致废标，其后果由投标人自负。</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⑵开标时间前10分钟，招标人、招标代理机构提前进入开标会议系统，各投标人的授权委托人或法人代表于规定时间内进入开标会议系统收听观看实时音视频交互并及时在讨论组中反馈，未按时加入开标会议系统的或未能在开标会议系统内全程参与交互的，视为放弃交互和放弃对开标全过程提疑的权利，投标人无法看到唱标、开标结果等实时情况，导致的一切后果由投标人承担。</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⑶开标全过程中，各投标人参与远程交互的授权委托人或法人代表应始终为同一个人，中途不得更换，在废标、澄清、提疑等特殊情况下需要交互时，投标人一端参与交互的人员将均被视为是投标人的授权委托人或法人代表，投标人不得以不承认交互人员的资格或身份等为借口抵赖推脱，投标人自行承担随意更换人员所导致的一切后果。 </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⑷为顺利实现本项目开评标的远程交互，建议投标人配置能够实现远程音视频通话的高配置笔记本电脑或手机，进入开标会议后确保网络通畅、稳定，为保证交互效果，建议投标人选择封闭安静的地点参与远程交互。因投标人自身软硬件配备不齐全或发生故障等问题而导致在交互过程中出现不稳定或中断等情况的，由投标人自身承担一切后果。 </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⑸友情提醒：投标人如对上述腾讯会议软件等有疑问的，请尽早和软件公司的服务人员或其他专业人员联系，他们会根据投标人要求，提供必要的培训和技术支持。</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腾讯客服联系方式：0755-83765566</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招标代理业务技术支持联系人：吴海斌    </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联系电话：0515-83999888、18936342099、18082184128</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4、本招标文件未尽事宜，按国家和省法律法规、规章要求处理。</w:t>
            </w: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5、本招标文件的解释权归采购人所有。</w:t>
            </w:r>
          </w:p>
        </w:tc>
      </w:tr>
    </w:tbl>
    <w:p>
      <w:pPr>
        <w:spacing w:line="520" w:lineRule="exact"/>
        <w:ind w:firstLine="482" w:firstLineChars="200"/>
        <w:rPr>
          <w:rFonts w:hint="eastAsia" w:ascii="仿宋" w:hAnsi="仿宋" w:eastAsia="仿宋" w:cs="仿宋"/>
          <w:b/>
          <w:color w:val="auto"/>
          <w:sz w:val="24"/>
          <w:highlight w:val="none"/>
        </w:rPr>
      </w:pPr>
      <w:bookmarkStart w:id="32" w:name="_Toc387526179"/>
      <w:bookmarkStart w:id="33" w:name="_Toc18948"/>
      <w:bookmarkStart w:id="34" w:name="_Toc367894798"/>
      <w:bookmarkStart w:id="35" w:name="_Toc363329370"/>
      <w:bookmarkStart w:id="36" w:name="_Toc368759375"/>
      <w:bookmarkStart w:id="37" w:name="_Toc368760427"/>
      <w:bookmarkStart w:id="38" w:name="_Toc369077561"/>
      <w:bookmarkStart w:id="39" w:name="_Toc184635071"/>
      <w:bookmarkStart w:id="40" w:name="_Toc387526283"/>
      <w:bookmarkStart w:id="41" w:name="_Toc397928549"/>
      <w:bookmarkStart w:id="42" w:name="_Toc387526375"/>
      <w:r>
        <w:rPr>
          <w:rFonts w:hint="eastAsia" w:ascii="仿宋" w:hAnsi="仿宋" w:eastAsia="仿宋" w:cs="仿宋"/>
          <w:b/>
          <w:color w:val="auto"/>
          <w:sz w:val="24"/>
          <w:highlight w:val="none"/>
        </w:rPr>
        <w:t>1.总则</w:t>
      </w:r>
      <w:bookmarkEnd w:id="32"/>
      <w:bookmarkEnd w:id="33"/>
      <w:bookmarkEnd w:id="34"/>
      <w:bookmarkEnd w:id="35"/>
      <w:bookmarkEnd w:id="36"/>
      <w:bookmarkEnd w:id="37"/>
      <w:bookmarkEnd w:id="38"/>
      <w:bookmarkEnd w:id="39"/>
      <w:bookmarkEnd w:id="40"/>
      <w:bookmarkEnd w:id="41"/>
      <w:bookmarkEnd w:id="42"/>
    </w:p>
    <w:p>
      <w:pPr>
        <w:pStyle w:val="5"/>
        <w:spacing w:before="60" w:after="60" w:line="520" w:lineRule="exact"/>
        <w:ind w:firstLine="480" w:firstLineChars="200"/>
        <w:rPr>
          <w:rFonts w:hint="eastAsia" w:ascii="仿宋" w:hAnsi="仿宋" w:eastAsia="仿宋" w:cs="仿宋"/>
          <w:color w:val="auto"/>
          <w:szCs w:val="24"/>
          <w:highlight w:val="none"/>
        </w:rPr>
      </w:pPr>
      <w:bookmarkStart w:id="43" w:name="_Toc387526284"/>
      <w:bookmarkStart w:id="44" w:name="_Toc387526180"/>
      <w:bookmarkStart w:id="45" w:name="_Toc448306402"/>
      <w:bookmarkStart w:id="46" w:name="_Toc397928550"/>
      <w:bookmarkStart w:id="47" w:name="_Toc5365"/>
      <w:bookmarkStart w:id="48" w:name="_Toc387526376"/>
      <w:r>
        <w:rPr>
          <w:rFonts w:hint="eastAsia" w:ascii="仿宋" w:hAnsi="仿宋" w:eastAsia="仿宋" w:cs="仿宋"/>
          <w:color w:val="auto"/>
          <w:szCs w:val="24"/>
          <w:highlight w:val="none"/>
        </w:rPr>
        <w:t>1.1 项目概况</w:t>
      </w:r>
      <w:bookmarkEnd w:id="43"/>
      <w:bookmarkEnd w:id="44"/>
      <w:bookmarkEnd w:id="45"/>
      <w:bookmarkEnd w:id="46"/>
      <w:bookmarkEnd w:id="47"/>
      <w:bookmarkEnd w:id="48"/>
    </w:p>
    <w:p>
      <w:pPr>
        <w:spacing w:line="52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1.1.1 根据《中华人民共和国政府采购法》、《中华人民共和国政府采购法实施条例》等有关法律、法规和规章的规定，本招标项目已具备招标条件，现对本项目进行公开招标采购。</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1.1.2本招标项目采购人：见投标人须知前附表。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1.1.3本招标项目采购代理机构：见投标人须知前附表。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1.1.4本招标项目名称：见投标人须知前附表。</w:t>
      </w:r>
    </w:p>
    <w:p>
      <w:pPr>
        <w:pStyle w:val="5"/>
        <w:spacing w:before="60" w:after="60" w:line="520" w:lineRule="exact"/>
        <w:ind w:firstLine="480" w:firstLineChars="200"/>
        <w:rPr>
          <w:rFonts w:hint="eastAsia" w:ascii="仿宋" w:hAnsi="仿宋" w:eastAsia="仿宋" w:cs="仿宋"/>
          <w:color w:val="auto"/>
          <w:szCs w:val="24"/>
          <w:highlight w:val="none"/>
        </w:rPr>
      </w:pPr>
      <w:bookmarkStart w:id="49" w:name="_Toc387526181"/>
      <w:bookmarkStart w:id="50" w:name="_Toc448306403"/>
      <w:bookmarkStart w:id="51" w:name="_Toc387526377"/>
      <w:bookmarkStart w:id="52" w:name="_Toc387526285"/>
      <w:bookmarkStart w:id="53" w:name="_Toc397928551"/>
      <w:bookmarkStart w:id="54" w:name="_Toc11796"/>
      <w:r>
        <w:rPr>
          <w:rFonts w:hint="eastAsia" w:ascii="仿宋" w:hAnsi="仿宋" w:eastAsia="仿宋" w:cs="仿宋"/>
          <w:color w:val="auto"/>
          <w:szCs w:val="24"/>
          <w:highlight w:val="none"/>
        </w:rPr>
        <w:t>1.2 资金来源和落实情况</w:t>
      </w:r>
      <w:bookmarkEnd w:id="49"/>
      <w:bookmarkEnd w:id="50"/>
      <w:bookmarkEnd w:id="51"/>
      <w:bookmarkEnd w:id="52"/>
      <w:bookmarkEnd w:id="53"/>
      <w:bookmarkEnd w:id="54"/>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1.2.1本招标项目的资金来源：见投标人须知前附表。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1.2.2本招标项目的出资比例：见投标人须知前附表。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1.2.3本招标项目的资金落实情况：见投标人须知前附表。</w:t>
      </w:r>
    </w:p>
    <w:p>
      <w:pPr>
        <w:pStyle w:val="5"/>
        <w:spacing w:before="60" w:after="60" w:line="520" w:lineRule="exact"/>
        <w:ind w:firstLine="480" w:firstLineChars="200"/>
        <w:rPr>
          <w:rFonts w:hint="eastAsia" w:ascii="仿宋" w:hAnsi="仿宋" w:eastAsia="仿宋" w:cs="仿宋"/>
          <w:color w:val="auto"/>
          <w:szCs w:val="24"/>
          <w:highlight w:val="none"/>
        </w:rPr>
      </w:pPr>
      <w:bookmarkStart w:id="55" w:name="_Toc448306404"/>
      <w:bookmarkStart w:id="56" w:name="_Toc853"/>
      <w:bookmarkStart w:id="57" w:name="_Toc387526286"/>
      <w:bookmarkStart w:id="58" w:name="_Toc387526182"/>
      <w:bookmarkStart w:id="59" w:name="_Toc397928552"/>
      <w:bookmarkStart w:id="60" w:name="_Toc387526378"/>
      <w:r>
        <w:rPr>
          <w:rFonts w:hint="eastAsia" w:ascii="仿宋" w:hAnsi="仿宋" w:eastAsia="仿宋" w:cs="仿宋"/>
          <w:color w:val="auto"/>
          <w:szCs w:val="24"/>
          <w:highlight w:val="none"/>
        </w:rPr>
        <w:t>1.3 招标范围、合同履行期限和质量要求</w:t>
      </w:r>
      <w:bookmarkEnd w:id="55"/>
      <w:bookmarkEnd w:id="56"/>
      <w:bookmarkEnd w:id="57"/>
      <w:bookmarkEnd w:id="58"/>
      <w:bookmarkEnd w:id="59"/>
      <w:bookmarkEnd w:id="60"/>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1.3.1本次招标范围：见投标人须知前附表。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1.3.2本招标项目的合同履行期限：见投标人须知前附表。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1.3.3本招标项目的服务地点：见投标人须知前附表。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1.3.4本招标项目的质量要求及验收标准：见投标人须知前附表。</w:t>
      </w:r>
    </w:p>
    <w:p>
      <w:pPr>
        <w:pStyle w:val="5"/>
        <w:spacing w:before="60" w:after="60" w:line="520" w:lineRule="exact"/>
        <w:ind w:firstLine="480" w:firstLineChars="200"/>
        <w:rPr>
          <w:rFonts w:hint="eastAsia" w:ascii="仿宋" w:hAnsi="仿宋" w:eastAsia="仿宋" w:cs="仿宋"/>
          <w:color w:val="auto"/>
          <w:szCs w:val="24"/>
          <w:highlight w:val="none"/>
        </w:rPr>
      </w:pPr>
      <w:bookmarkStart w:id="61" w:name="_Toc387526183"/>
      <w:bookmarkStart w:id="62" w:name="_Toc397928553"/>
      <w:bookmarkStart w:id="63" w:name="_Toc387526287"/>
      <w:bookmarkStart w:id="64" w:name="_Toc448306405"/>
      <w:bookmarkStart w:id="65" w:name="_Toc13930"/>
      <w:bookmarkStart w:id="66" w:name="_Toc387526379"/>
      <w:r>
        <w:rPr>
          <w:rFonts w:hint="eastAsia" w:ascii="仿宋" w:hAnsi="仿宋" w:eastAsia="仿宋" w:cs="仿宋"/>
          <w:color w:val="auto"/>
          <w:szCs w:val="24"/>
          <w:highlight w:val="none"/>
        </w:rPr>
        <w:t>1.4 投标人资格要求</w:t>
      </w:r>
      <w:bookmarkEnd w:id="61"/>
      <w:bookmarkEnd w:id="62"/>
      <w:bookmarkEnd w:id="63"/>
      <w:bookmarkEnd w:id="64"/>
      <w:bookmarkEnd w:id="65"/>
      <w:bookmarkEnd w:id="66"/>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1.4.1投标人应具备的资格要求见投标人须知前附表。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1.4.2投标人不得存在下列情形之一： </w:t>
      </w:r>
    </w:p>
    <w:p>
      <w:pPr>
        <w:spacing w:line="520" w:lineRule="exact"/>
        <w:ind w:firstLine="480" w:firstLineChars="200"/>
        <w:rPr>
          <w:rFonts w:hint="eastAsia" w:ascii="仿宋" w:hAnsi="仿宋" w:eastAsia="仿宋" w:cs="仿宋"/>
          <w:color w:val="auto"/>
          <w:sz w:val="24"/>
          <w:highlight w:val="none"/>
        </w:rPr>
      </w:pPr>
      <w:bookmarkStart w:id="67" w:name="_Toc387526380"/>
      <w:bookmarkStart w:id="68" w:name="_Toc387526288"/>
      <w:bookmarkStart w:id="69" w:name="_Toc387526184"/>
      <w:bookmarkStart w:id="70" w:name="_Toc1684"/>
      <w:r>
        <w:rPr>
          <w:rFonts w:hint="eastAsia" w:ascii="仿宋" w:hAnsi="仿宋" w:eastAsia="仿宋" w:cs="仿宋"/>
          <w:color w:val="auto"/>
          <w:sz w:val="24"/>
          <w:highlight w:val="none"/>
        </w:rPr>
        <w:t xml:space="preserve">（（1）为采购人的附属机构（单位）； </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（2）为本标段的代建人；</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（3）为本标段提供招标代理服务的；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（4）与本标段的代建人或采购代理机构的单位负责人为同一个人的； </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（5）与本标段的代建人或采购代理机构相互控股或参股的；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（6）与本标段的其他申请人的单位负责人为同一个人的；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（7）与本标段的其他申请人之间存在控股、管理关系或母公司、全资子公司关系的；</w:t>
      </w:r>
    </w:p>
    <w:p>
      <w:pPr>
        <w:pStyle w:val="5"/>
        <w:spacing w:before="60" w:after="60"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（8）法律法规规定的其他情形。</w:t>
      </w:r>
    </w:p>
    <w:p>
      <w:pPr>
        <w:pStyle w:val="5"/>
        <w:spacing w:before="60" w:after="60" w:line="520" w:lineRule="exact"/>
        <w:ind w:firstLine="480" w:firstLineChars="200"/>
        <w:rPr>
          <w:rFonts w:hint="eastAsia" w:ascii="仿宋" w:hAnsi="仿宋" w:eastAsia="仿宋" w:cs="仿宋"/>
          <w:color w:val="auto"/>
          <w:szCs w:val="24"/>
          <w:highlight w:val="none"/>
        </w:rPr>
      </w:pPr>
      <w:bookmarkStart w:id="71" w:name="_Toc397928554"/>
      <w:bookmarkStart w:id="72" w:name="_Toc448306406"/>
      <w:r>
        <w:rPr>
          <w:rFonts w:hint="eastAsia" w:ascii="仿宋" w:hAnsi="仿宋" w:eastAsia="仿宋" w:cs="仿宋"/>
          <w:color w:val="auto"/>
          <w:szCs w:val="24"/>
          <w:highlight w:val="none"/>
        </w:rPr>
        <w:t>1.5 费用承担</w:t>
      </w:r>
      <w:bookmarkEnd w:id="67"/>
      <w:bookmarkEnd w:id="68"/>
      <w:bookmarkEnd w:id="69"/>
      <w:bookmarkEnd w:id="70"/>
      <w:bookmarkEnd w:id="71"/>
      <w:bookmarkEnd w:id="72"/>
    </w:p>
    <w:p>
      <w:pPr>
        <w:autoSpaceDE w:val="0"/>
        <w:autoSpaceDN w:val="0"/>
        <w:spacing w:line="520" w:lineRule="exact"/>
        <w:ind w:firstLine="480" w:firstLineChars="200"/>
        <w:jc w:val="left"/>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投标人准备和参加投标活动发生的费用自理。</w:t>
      </w:r>
    </w:p>
    <w:p>
      <w:pPr>
        <w:pStyle w:val="5"/>
        <w:spacing w:before="60" w:after="60" w:line="520" w:lineRule="exact"/>
        <w:ind w:firstLine="480" w:firstLineChars="200"/>
        <w:rPr>
          <w:rFonts w:hint="eastAsia" w:ascii="仿宋" w:hAnsi="仿宋" w:eastAsia="仿宋" w:cs="仿宋"/>
          <w:color w:val="auto"/>
          <w:szCs w:val="24"/>
          <w:highlight w:val="none"/>
        </w:rPr>
      </w:pPr>
      <w:bookmarkStart w:id="73" w:name="_Toc448306407"/>
      <w:bookmarkStart w:id="74" w:name="_Toc387526185"/>
      <w:bookmarkStart w:id="75" w:name="_Toc5130"/>
      <w:bookmarkStart w:id="76" w:name="_Toc387526381"/>
      <w:bookmarkStart w:id="77" w:name="_Toc387526289"/>
      <w:bookmarkStart w:id="78" w:name="_Toc397928555"/>
      <w:r>
        <w:rPr>
          <w:rFonts w:hint="eastAsia" w:ascii="仿宋" w:hAnsi="仿宋" w:eastAsia="仿宋" w:cs="仿宋"/>
          <w:color w:val="auto"/>
          <w:szCs w:val="24"/>
          <w:highlight w:val="none"/>
        </w:rPr>
        <w:t>1.6 保密</w:t>
      </w:r>
      <w:bookmarkEnd w:id="73"/>
      <w:bookmarkEnd w:id="74"/>
      <w:bookmarkEnd w:id="75"/>
      <w:bookmarkEnd w:id="76"/>
      <w:bookmarkEnd w:id="77"/>
      <w:bookmarkEnd w:id="78"/>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参与招标投标活动的各方应对招标文件和投标文件中的商业和技术等秘密保密，违者应对由此造成的后果承担法律责任。</w:t>
      </w:r>
    </w:p>
    <w:p>
      <w:pPr>
        <w:pStyle w:val="5"/>
        <w:spacing w:before="60" w:after="60" w:line="520" w:lineRule="exact"/>
        <w:ind w:firstLine="480" w:firstLineChars="200"/>
        <w:rPr>
          <w:rFonts w:hint="eastAsia" w:ascii="仿宋" w:hAnsi="仿宋" w:eastAsia="仿宋" w:cs="仿宋"/>
          <w:color w:val="auto"/>
          <w:szCs w:val="24"/>
          <w:highlight w:val="none"/>
        </w:rPr>
      </w:pPr>
      <w:bookmarkStart w:id="79" w:name="_Toc448306408"/>
      <w:bookmarkStart w:id="80" w:name="_Toc397928556"/>
      <w:bookmarkStart w:id="81" w:name="_Toc387526382"/>
      <w:bookmarkStart w:id="82" w:name="_Toc387526290"/>
      <w:bookmarkStart w:id="83" w:name="_Toc387526186"/>
      <w:bookmarkStart w:id="84" w:name="_Toc822"/>
      <w:r>
        <w:rPr>
          <w:rFonts w:hint="eastAsia" w:ascii="仿宋" w:hAnsi="仿宋" w:eastAsia="仿宋" w:cs="仿宋"/>
          <w:color w:val="auto"/>
          <w:szCs w:val="24"/>
          <w:highlight w:val="none"/>
        </w:rPr>
        <w:t>1.7 语言文字</w:t>
      </w:r>
      <w:bookmarkEnd w:id="79"/>
      <w:bookmarkEnd w:id="80"/>
      <w:bookmarkEnd w:id="81"/>
      <w:bookmarkEnd w:id="82"/>
      <w:bookmarkEnd w:id="83"/>
      <w:bookmarkEnd w:id="84"/>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除专用术语外，与招标投标有关的语言均使用中文。必要时专用术语应附有中文注释。</w:t>
      </w:r>
    </w:p>
    <w:p>
      <w:pPr>
        <w:pStyle w:val="5"/>
        <w:spacing w:before="60" w:after="60" w:line="520" w:lineRule="exact"/>
        <w:ind w:firstLine="480" w:firstLineChars="200"/>
        <w:rPr>
          <w:rFonts w:hint="eastAsia" w:ascii="仿宋" w:hAnsi="仿宋" w:eastAsia="仿宋" w:cs="仿宋"/>
          <w:color w:val="auto"/>
          <w:szCs w:val="24"/>
          <w:highlight w:val="none"/>
        </w:rPr>
      </w:pPr>
      <w:bookmarkStart w:id="85" w:name="_Toc397928557"/>
      <w:bookmarkStart w:id="86" w:name="_Toc387526383"/>
      <w:bookmarkStart w:id="87" w:name="_Toc31413"/>
      <w:bookmarkStart w:id="88" w:name="_Toc387526187"/>
      <w:bookmarkStart w:id="89" w:name="_Toc387526291"/>
      <w:bookmarkStart w:id="90" w:name="_Toc448306409"/>
      <w:r>
        <w:rPr>
          <w:rFonts w:hint="eastAsia" w:ascii="仿宋" w:hAnsi="仿宋" w:eastAsia="仿宋" w:cs="仿宋"/>
          <w:color w:val="auto"/>
          <w:szCs w:val="24"/>
          <w:highlight w:val="none"/>
        </w:rPr>
        <w:t>1.8 计量单位</w:t>
      </w:r>
      <w:bookmarkEnd w:id="85"/>
      <w:bookmarkEnd w:id="86"/>
      <w:bookmarkEnd w:id="87"/>
      <w:bookmarkEnd w:id="88"/>
      <w:bookmarkEnd w:id="89"/>
      <w:bookmarkEnd w:id="90"/>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所有计量均采用中华人民共和国法定计量单位。</w:t>
      </w:r>
    </w:p>
    <w:p>
      <w:pPr>
        <w:pStyle w:val="5"/>
        <w:spacing w:before="60" w:after="60" w:line="520" w:lineRule="exact"/>
        <w:ind w:firstLine="480" w:firstLineChars="200"/>
        <w:rPr>
          <w:rFonts w:hint="eastAsia" w:ascii="仿宋" w:hAnsi="仿宋" w:eastAsia="仿宋" w:cs="仿宋"/>
          <w:color w:val="auto"/>
          <w:szCs w:val="24"/>
          <w:highlight w:val="none"/>
        </w:rPr>
      </w:pPr>
      <w:bookmarkStart w:id="91" w:name="_Toc387526292"/>
      <w:bookmarkStart w:id="92" w:name="_Toc397928558"/>
      <w:bookmarkStart w:id="93" w:name="_Toc387526384"/>
      <w:bookmarkStart w:id="94" w:name="_Toc448306410"/>
      <w:bookmarkStart w:id="95" w:name="_Toc25122"/>
      <w:bookmarkStart w:id="96" w:name="_Toc387526188"/>
      <w:r>
        <w:rPr>
          <w:rFonts w:hint="eastAsia" w:ascii="仿宋" w:hAnsi="仿宋" w:eastAsia="仿宋" w:cs="仿宋"/>
          <w:color w:val="auto"/>
          <w:szCs w:val="24"/>
          <w:highlight w:val="none"/>
        </w:rPr>
        <w:t>1.9 踏勘现场</w:t>
      </w:r>
      <w:bookmarkEnd w:id="91"/>
      <w:bookmarkEnd w:id="92"/>
      <w:bookmarkEnd w:id="93"/>
      <w:bookmarkEnd w:id="94"/>
      <w:bookmarkEnd w:id="95"/>
      <w:bookmarkEnd w:id="96"/>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1.9.1采购人不组织投标人踏勘现场，投标人可以自行对施工现场和周围环境进行勘察，以获取编制投标文件和签署合同所需的所有资料。</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1.9.2 投标人踏勘现场发生的费用自理。</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1.9.3 除采购人的原因外，投标人自行负责在踏勘现场中所发生的人员伤亡和财产损失。</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1.9.4 采购人向投标人提供的有关项目现场的资料和数据是采购人现有的能使投标人利用的资料。采购人对投标人由此而做出的推论、理解和结论概不负责。</w:t>
      </w:r>
    </w:p>
    <w:p>
      <w:pPr>
        <w:pStyle w:val="5"/>
        <w:spacing w:before="60" w:after="60" w:line="520" w:lineRule="exact"/>
        <w:ind w:firstLine="480" w:firstLineChars="200"/>
        <w:rPr>
          <w:rFonts w:hint="eastAsia" w:ascii="仿宋" w:hAnsi="仿宋" w:eastAsia="仿宋" w:cs="仿宋"/>
          <w:color w:val="auto"/>
          <w:szCs w:val="24"/>
          <w:highlight w:val="none"/>
        </w:rPr>
      </w:pPr>
      <w:bookmarkStart w:id="97" w:name="_Toc448306411"/>
      <w:bookmarkStart w:id="98" w:name="_Toc387526293"/>
      <w:bookmarkStart w:id="99" w:name="_Toc11088"/>
      <w:bookmarkStart w:id="100" w:name="_Toc387526189"/>
      <w:bookmarkStart w:id="101" w:name="_Toc387526385"/>
      <w:bookmarkStart w:id="102" w:name="_Toc397928559"/>
      <w:r>
        <w:rPr>
          <w:rFonts w:hint="eastAsia" w:ascii="仿宋" w:hAnsi="仿宋" w:eastAsia="仿宋" w:cs="仿宋"/>
          <w:color w:val="auto"/>
          <w:szCs w:val="24"/>
          <w:highlight w:val="none"/>
        </w:rPr>
        <w:t>1.10 投标预备会</w:t>
      </w:r>
      <w:bookmarkEnd w:id="97"/>
      <w:bookmarkEnd w:id="98"/>
      <w:bookmarkEnd w:id="99"/>
      <w:bookmarkEnd w:id="100"/>
      <w:bookmarkEnd w:id="101"/>
      <w:bookmarkEnd w:id="102"/>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本项目不召开投标预备会</w:t>
      </w:r>
    </w:p>
    <w:p>
      <w:pPr>
        <w:pStyle w:val="24"/>
        <w:spacing w:line="520" w:lineRule="exact"/>
        <w:ind w:firstLine="482" w:firstLineChars="200"/>
        <w:rPr>
          <w:rFonts w:hint="eastAsia" w:ascii="仿宋" w:hAnsi="仿宋" w:eastAsia="仿宋" w:cs="仿宋"/>
          <w:color w:val="auto"/>
          <w:sz w:val="24"/>
          <w:szCs w:val="24"/>
          <w:highlight w:val="none"/>
        </w:rPr>
      </w:pPr>
      <w:bookmarkStart w:id="103" w:name="_Toc397928561"/>
      <w:bookmarkStart w:id="104" w:name="_Toc387526387"/>
      <w:bookmarkStart w:id="105" w:name="_Toc30422"/>
      <w:bookmarkStart w:id="106" w:name="_Toc368760428"/>
      <w:bookmarkStart w:id="107" w:name="_Toc363329371"/>
      <w:bookmarkStart w:id="108" w:name="_Toc369077562"/>
      <w:bookmarkStart w:id="109" w:name="_Toc448306413"/>
      <w:bookmarkStart w:id="110" w:name="_Toc387526191"/>
      <w:bookmarkStart w:id="111" w:name="_Toc387526295"/>
      <w:bookmarkStart w:id="112" w:name="_Toc368759376"/>
      <w:bookmarkStart w:id="113" w:name="_Toc367894799"/>
      <w:r>
        <w:rPr>
          <w:rFonts w:hint="eastAsia" w:ascii="仿宋" w:hAnsi="仿宋" w:eastAsia="仿宋" w:cs="仿宋"/>
          <w:color w:val="auto"/>
          <w:sz w:val="24"/>
          <w:szCs w:val="24"/>
          <w:highlight w:val="none"/>
        </w:rPr>
        <w:t>2. 招标文件</w:t>
      </w:r>
      <w:bookmarkEnd w:id="103"/>
      <w:bookmarkEnd w:id="104"/>
      <w:bookmarkEnd w:id="105"/>
      <w:bookmarkEnd w:id="106"/>
      <w:bookmarkEnd w:id="107"/>
      <w:bookmarkEnd w:id="108"/>
      <w:bookmarkEnd w:id="109"/>
      <w:bookmarkEnd w:id="110"/>
      <w:bookmarkEnd w:id="111"/>
      <w:bookmarkEnd w:id="112"/>
      <w:bookmarkEnd w:id="113"/>
    </w:p>
    <w:p>
      <w:pPr>
        <w:pStyle w:val="5"/>
        <w:spacing w:before="60" w:after="60" w:line="520" w:lineRule="exact"/>
        <w:ind w:firstLine="480" w:firstLineChars="200"/>
        <w:rPr>
          <w:rFonts w:hint="eastAsia" w:ascii="仿宋" w:hAnsi="仿宋" w:eastAsia="仿宋" w:cs="仿宋"/>
          <w:color w:val="auto"/>
          <w:szCs w:val="24"/>
          <w:highlight w:val="none"/>
        </w:rPr>
      </w:pPr>
      <w:bookmarkStart w:id="114" w:name="_Toc387526388"/>
      <w:bookmarkStart w:id="115" w:name="_Toc387526296"/>
      <w:bookmarkStart w:id="116" w:name="_Toc387526192"/>
      <w:bookmarkStart w:id="117" w:name="_Toc23070"/>
      <w:bookmarkStart w:id="118" w:name="_Toc448306414"/>
      <w:bookmarkStart w:id="119" w:name="_Toc397928562"/>
      <w:r>
        <w:rPr>
          <w:rFonts w:hint="eastAsia" w:ascii="仿宋" w:hAnsi="仿宋" w:eastAsia="仿宋" w:cs="仿宋"/>
          <w:color w:val="auto"/>
          <w:szCs w:val="24"/>
          <w:highlight w:val="none"/>
        </w:rPr>
        <w:t>2.1 招标文件组成</w:t>
      </w:r>
      <w:bookmarkEnd w:id="114"/>
      <w:bookmarkEnd w:id="115"/>
      <w:bookmarkEnd w:id="116"/>
      <w:bookmarkEnd w:id="117"/>
      <w:bookmarkEnd w:id="118"/>
      <w:bookmarkEnd w:id="119"/>
    </w:p>
    <w:p>
      <w:pPr>
        <w:shd w:val="clear" w:color="auto" w:fill="FFFFFF"/>
        <w:autoSpaceDE w:val="0"/>
        <w:autoSpaceDN w:val="0"/>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2.1.1 本招标文件包括：</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（1）招标公告；</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（2）投标人须知；</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（3）评标办法；</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（4）合同条款及格式；</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（5）采购需求；</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（6）投标文件格式；</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（7）投标人须知前附表规定的其他材料。</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2.1.2根据本章第1.10款、第2.2款和第2.3款对招标文件所作的澄清、修改，构成招标文件的组成部分。当招标文件相互之间发生矛盾时，以后发出的文件为准。</w:t>
      </w:r>
    </w:p>
    <w:p>
      <w:pPr>
        <w:pStyle w:val="5"/>
        <w:spacing w:before="60" w:after="60" w:line="520" w:lineRule="exact"/>
        <w:ind w:firstLine="480" w:firstLineChars="200"/>
        <w:rPr>
          <w:rFonts w:hint="eastAsia" w:ascii="仿宋" w:hAnsi="仿宋" w:eastAsia="仿宋" w:cs="仿宋"/>
          <w:color w:val="auto"/>
          <w:szCs w:val="24"/>
          <w:highlight w:val="none"/>
        </w:rPr>
      </w:pPr>
      <w:bookmarkStart w:id="120" w:name="_Toc152042320"/>
      <w:bookmarkStart w:id="121" w:name="_Toc144974512"/>
      <w:bookmarkStart w:id="122" w:name="_Toc397928563"/>
      <w:bookmarkStart w:id="123" w:name="_Toc387526297"/>
      <w:bookmarkStart w:id="124" w:name="_Toc9593"/>
      <w:bookmarkStart w:id="125" w:name="_Toc246996189"/>
      <w:bookmarkStart w:id="126" w:name="_Toc152045544"/>
      <w:bookmarkStart w:id="127" w:name="_Toc366679676"/>
      <w:bookmarkStart w:id="128" w:name="_Toc247085703"/>
      <w:bookmarkStart w:id="129" w:name="_Toc448306415"/>
      <w:bookmarkStart w:id="130" w:name="_Toc246996932"/>
      <w:bookmarkStart w:id="131" w:name="_Toc179632562"/>
      <w:bookmarkStart w:id="132" w:name="_Toc387526389"/>
      <w:bookmarkStart w:id="133" w:name="_Toc387526193"/>
      <w:r>
        <w:rPr>
          <w:rFonts w:hint="eastAsia" w:ascii="仿宋" w:hAnsi="仿宋" w:eastAsia="仿宋" w:cs="仿宋"/>
          <w:color w:val="auto"/>
          <w:szCs w:val="24"/>
          <w:highlight w:val="none"/>
        </w:rPr>
        <w:t>2.2 招标文件的澄清</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ascii="仿宋" w:hAnsi="仿宋" w:eastAsia="仿宋" w:cs="仿宋"/>
          <w:color w:val="auto"/>
          <w:szCs w:val="24"/>
          <w:highlight w:val="none"/>
        </w:rPr>
        <w:t xml:space="preserve"> </w:t>
      </w:r>
    </w:p>
    <w:p>
      <w:pPr>
        <w:shd w:val="clear" w:color="auto" w:fill="FFFFFF"/>
        <w:autoSpaceDE w:val="0"/>
        <w:autoSpaceDN w:val="0"/>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2.2.1 投标人应仔细阅读和检查招标文件的全部内容。如发现缺页或附件不全，应及时向采购人提出，以便补齐。如有疑问，应在投标人须知前附表规定的时间前以书面形式（包括信函、电报、传真等可以有形地表现所载内容的形式，下同），要求采购人对招标文件予以澄清，采购人应当在3个工作日内对供应商依法提出的询问作出答复。</w:t>
      </w:r>
    </w:p>
    <w:p>
      <w:pPr>
        <w:shd w:val="clear" w:color="auto" w:fill="FFFFFF"/>
        <w:autoSpaceDE w:val="0"/>
        <w:autoSpaceDN w:val="0"/>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2.2.2 招标文件的澄清将在投标人须知前附表规定的投标截止时间15天前以书面形式告知各潜在供应商，但不指明澄清问题的来源。如果澄清发出的时间距投标截止时间不足15天，且澄清内容影响投标文件编制的，相应延长投标截止时间。</w:t>
      </w:r>
    </w:p>
    <w:p>
      <w:pPr>
        <w:pStyle w:val="5"/>
        <w:tabs>
          <w:tab w:val="left" w:pos="6459"/>
        </w:tabs>
        <w:spacing w:before="60" w:after="60" w:line="520" w:lineRule="exact"/>
        <w:ind w:firstLine="480" w:firstLineChars="200"/>
        <w:rPr>
          <w:rFonts w:hint="eastAsia" w:ascii="仿宋" w:hAnsi="仿宋" w:eastAsia="仿宋" w:cs="仿宋"/>
          <w:color w:val="auto"/>
          <w:szCs w:val="24"/>
          <w:highlight w:val="none"/>
        </w:rPr>
      </w:pPr>
      <w:bookmarkStart w:id="134" w:name="_Toc387526390"/>
      <w:bookmarkStart w:id="135" w:name="_Toc366679677"/>
      <w:bookmarkStart w:id="136" w:name="_Toc397928564"/>
      <w:bookmarkStart w:id="137" w:name="_Toc246996190"/>
      <w:bookmarkStart w:id="138" w:name="_Toc448306416"/>
      <w:bookmarkStart w:id="139" w:name="_Toc179632563"/>
      <w:bookmarkStart w:id="140" w:name="_Toc247085704"/>
      <w:bookmarkStart w:id="141" w:name="_Toc19263"/>
      <w:bookmarkStart w:id="142" w:name="_Toc246996933"/>
      <w:bookmarkStart w:id="143" w:name="_Toc387526298"/>
      <w:bookmarkStart w:id="144" w:name="_Toc387526194"/>
      <w:r>
        <w:rPr>
          <w:rFonts w:hint="eastAsia" w:ascii="仿宋" w:hAnsi="仿宋" w:eastAsia="仿宋" w:cs="仿宋"/>
          <w:color w:val="auto"/>
          <w:szCs w:val="24"/>
          <w:highlight w:val="none"/>
        </w:rPr>
        <w:t>2.3 招标文件的修改</w:t>
      </w:r>
      <w:bookmarkEnd w:id="134"/>
      <w:bookmarkEnd w:id="135"/>
      <w:bookmarkEnd w:id="136"/>
      <w:bookmarkEnd w:id="137"/>
      <w:bookmarkEnd w:id="138"/>
      <w:bookmarkEnd w:id="139"/>
      <w:bookmarkEnd w:id="140"/>
      <w:bookmarkEnd w:id="141"/>
      <w:bookmarkEnd w:id="142"/>
      <w:bookmarkEnd w:id="143"/>
      <w:bookmarkEnd w:id="144"/>
      <w:r>
        <w:rPr>
          <w:rFonts w:hint="eastAsia" w:ascii="仿宋" w:hAnsi="仿宋" w:eastAsia="仿宋" w:cs="仿宋"/>
          <w:color w:val="auto"/>
          <w:szCs w:val="24"/>
          <w:highlight w:val="none"/>
        </w:rPr>
        <w:tab/>
      </w:r>
    </w:p>
    <w:p>
      <w:pPr>
        <w:shd w:val="clear" w:color="auto" w:fill="FFFFFF"/>
        <w:autoSpaceDE w:val="0"/>
        <w:autoSpaceDN w:val="0"/>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 在投标截止时间15天前，采购人可以修改招标文件。如果修改招标文件的时间距投标截止时间不足15天，且修改内容影响投标文件编制的，相应延长投标截止时间。</w:t>
      </w:r>
    </w:p>
    <w:p>
      <w:pPr>
        <w:pStyle w:val="24"/>
        <w:spacing w:line="520" w:lineRule="exact"/>
        <w:ind w:firstLine="482" w:firstLineChars="200"/>
        <w:rPr>
          <w:rFonts w:hint="eastAsia" w:ascii="仿宋" w:hAnsi="仿宋" w:eastAsia="仿宋" w:cs="仿宋"/>
          <w:color w:val="auto"/>
          <w:sz w:val="24"/>
          <w:szCs w:val="24"/>
          <w:highlight w:val="none"/>
        </w:rPr>
      </w:pPr>
      <w:bookmarkStart w:id="145" w:name="_Toc368759377"/>
      <w:bookmarkStart w:id="146" w:name="_Toc387526299"/>
      <w:bookmarkStart w:id="147" w:name="_Toc397928565"/>
      <w:bookmarkStart w:id="148" w:name="_Toc368760429"/>
      <w:bookmarkStart w:id="149" w:name="_Toc448306417"/>
      <w:bookmarkStart w:id="150" w:name="_Toc369077563"/>
      <w:bookmarkStart w:id="151" w:name="_Toc387526391"/>
      <w:bookmarkStart w:id="152" w:name="_Toc19481"/>
      <w:bookmarkStart w:id="153" w:name="_Toc387526195"/>
      <w:bookmarkStart w:id="154" w:name="_Toc363329372"/>
      <w:bookmarkStart w:id="155" w:name="_Toc367894800"/>
      <w:bookmarkStart w:id="156" w:name="_Toc119718089"/>
      <w:r>
        <w:rPr>
          <w:rFonts w:hint="eastAsia" w:ascii="仿宋" w:hAnsi="仿宋" w:eastAsia="仿宋" w:cs="仿宋"/>
          <w:color w:val="auto"/>
          <w:sz w:val="24"/>
          <w:szCs w:val="24"/>
          <w:highlight w:val="none"/>
        </w:rPr>
        <w:t>3. 投标文件</w:t>
      </w:r>
      <w:bookmarkEnd w:id="145"/>
      <w:bookmarkEnd w:id="146"/>
      <w:bookmarkEnd w:id="147"/>
      <w:bookmarkEnd w:id="148"/>
      <w:bookmarkEnd w:id="149"/>
      <w:bookmarkEnd w:id="150"/>
      <w:bookmarkEnd w:id="151"/>
      <w:bookmarkEnd w:id="152"/>
      <w:bookmarkEnd w:id="153"/>
      <w:bookmarkEnd w:id="154"/>
      <w:bookmarkEnd w:id="155"/>
    </w:p>
    <w:p>
      <w:pPr>
        <w:pStyle w:val="5"/>
        <w:spacing w:before="60" w:after="60" w:line="520" w:lineRule="exact"/>
        <w:ind w:firstLine="480" w:firstLineChars="200"/>
        <w:rPr>
          <w:rFonts w:hint="eastAsia" w:ascii="仿宋" w:hAnsi="仿宋" w:eastAsia="仿宋" w:cs="仿宋"/>
          <w:color w:val="auto"/>
          <w:szCs w:val="24"/>
          <w:highlight w:val="none"/>
        </w:rPr>
      </w:pPr>
      <w:bookmarkStart w:id="157" w:name="_Toc5625"/>
      <w:bookmarkStart w:id="158" w:name="_Toc448306418"/>
      <w:bookmarkStart w:id="159" w:name="_Toc387526392"/>
      <w:bookmarkStart w:id="160" w:name="_Toc387526300"/>
      <w:bookmarkStart w:id="161" w:name="_Toc397928566"/>
      <w:bookmarkStart w:id="162" w:name="_Toc387526196"/>
      <w:r>
        <w:rPr>
          <w:rFonts w:hint="eastAsia" w:ascii="仿宋" w:hAnsi="仿宋" w:eastAsia="仿宋" w:cs="仿宋"/>
          <w:color w:val="auto"/>
          <w:szCs w:val="24"/>
          <w:highlight w:val="none"/>
        </w:rPr>
        <w:t>3.1 投标文件</w:t>
      </w:r>
      <w:bookmarkEnd w:id="156"/>
      <w:r>
        <w:rPr>
          <w:rFonts w:hint="eastAsia" w:ascii="仿宋" w:hAnsi="仿宋" w:eastAsia="仿宋" w:cs="仿宋"/>
          <w:color w:val="auto"/>
          <w:szCs w:val="24"/>
          <w:highlight w:val="none"/>
        </w:rPr>
        <w:t>的组成</w:t>
      </w:r>
      <w:bookmarkEnd w:id="157"/>
      <w:bookmarkEnd w:id="158"/>
      <w:bookmarkEnd w:id="159"/>
      <w:bookmarkEnd w:id="160"/>
      <w:bookmarkEnd w:id="161"/>
      <w:bookmarkEnd w:id="162"/>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3.1.1 投标文件组成见“投标人须知前附表”。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3.1.2 招标文件“第六章 投标文件格式”有规定格式要求的，投标人应按规定的格式填写并按要求提交相关的证明材料。</w:t>
      </w:r>
    </w:p>
    <w:p>
      <w:pPr>
        <w:pStyle w:val="5"/>
        <w:spacing w:before="60" w:after="60" w:line="520" w:lineRule="exact"/>
        <w:ind w:firstLine="480" w:firstLineChars="200"/>
        <w:rPr>
          <w:rFonts w:hint="eastAsia" w:ascii="仿宋" w:hAnsi="仿宋" w:eastAsia="仿宋" w:cs="仿宋"/>
          <w:color w:val="auto"/>
          <w:szCs w:val="24"/>
          <w:highlight w:val="none"/>
        </w:rPr>
      </w:pPr>
      <w:bookmarkStart w:id="163" w:name="_Toc397928567"/>
      <w:bookmarkStart w:id="164" w:name="_Toc387526393"/>
      <w:bookmarkStart w:id="165" w:name="_Toc448306419"/>
      <w:bookmarkStart w:id="166" w:name="_Toc387526301"/>
      <w:bookmarkStart w:id="167" w:name="_Toc387526197"/>
      <w:bookmarkStart w:id="168" w:name="_Toc10820"/>
      <w:r>
        <w:rPr>
          <w:rFonts w:hint="eastAsia" w:ascii="仿宋" w:hAnsi="仿宋" w:eastAsia="仿宋" w:cs="仿宋"/>
          <w:color w:val="auto"/>
          <w:szCs w:val="24"/>
          <w:highlight w:val="none"/>
        </w:rPr>
        <w:t>3.2 投标报价</w:t>
      </w:r>
      <w:bookmarkEnd w:id="163"/>
      <w:bookmarkEnd w:id="164"/>
      <w:bookmarkEnd w:id="165"/>
      <w:bookmarkEnd w:id="166"/>
      <w:bookmarkEnd w:id="167"/>
      <w:bookmarkEnd w:id="168"/>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3.2.1投标报价应包含本招标文件中的全部内容所需的所有费用。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3.2.2投标人按投标人须知前附表的具体规定进行报价。</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3.2.3采购人设有最高投标限价的，投标人的投标报价不得超过最高投标限价，最高投标限价见投标人须知前附表。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3.2.4计价方式</w:t>
      </w:r>
      <w:bookmarkStart w:id="169" w:name="_Toc397928568"/>
      <w:bookmarkStart w:id="170" w:name="_Toc448306420"/>
      <w:bookmarkStart w:id="171" w:name="_Toc387526198"/>
      <w:bookmarkStart w:id="172" w:name="_Toc387526302"/>
      <w:bookmarkStart w:id="173" w:name="_Toc21008"/>
      <w:bookmarkStart w:id="174" w:name="_Toc387526394"/>
    </w:p>
    <w:p>
      <w:pPr>
        <w:pStyle w:val="5"/>
        <w:spacing w:before="60" w:after="60"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项目投标报价采用全费用综合总价报价，投标所报全费用综合总价为招标范围内全部工作内容的价格体现，以及为完成上述内容所必须的包含但不限于人工费、材料费、不可预见的费用、管理费、招标代理费、利润、税金和文件规定的其他各项应有的全部费用（综合报价）。对乙方认为没有考虑到的费用项目甲方将不予支付，并认为此项费用已包含在投标报价中。招标文件未列明，而投标人认为必需的费用也需列入报价。</w:t>
      </w:r>
    </w:p>
    <w:p>
      <w:pPr>
        <w:pStyle w:val="5"/>
        <w:spacing w:before="60" w:after="60"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3.3 投标有效期</w:t>
      </w:r>
      <w:bookmarkEnd w:id="169"/>
      <w:bookmarkEnd w:id="170"/>
      <w:bookmarkEnd w:id="171"/>
      <w:bookmarkEnd w:id="172"/>
      <w:bookmarkEnd w:id="173"/>
      <w:bookmarkEnd w:id="174"/>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 在投标人须知前附表第3.3.1条规定的投标有效期内，投标人不得要求撤销或修改其投标文件。</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3.3.2出现特殊情况需要延长投标有效期的，采购人应通知所有投标人延长投标有效期。投标人同意延长的，不得要求或被允许修改或撤销其投标文件；投标人拒绝延长的，其投标失效。</w:t>
      </w:r>
      <w:bookmarkStart w:id="175" w:name="_Toc448306421"/>
      <w:bookmarkStart w:id="176" w:name="_Toc387526303"/>
      <w:bookmarkStart w:id="177" w:name="_Toc387526199"/>
      <w:bookmarkStart w:id="178" w:name="_Toc397928569"/>
      <w:bookmarkStart w:id="179" w:name="_Toc15701"/>
      <w:bookmarkStart w:id="180" w:name="_Toc387526395"/>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3.4投标保证金</w:t>
      </w:r>
      <w:bookmarkEnd w:id="175"/>
      <w:bookmarkEnd w:id="176"/>
      <w:bookmarkEnd w:id="177"/>
      <w:bookmarkEnd w:id="178"/>
      <w:bookmarkEnd w:id="179"/>
      <w:bookmarkEnd w:id="180"/>
      <w:bookmarkStart w:id="181" w:name="_Toc448306422"/>
      <w:bookmarkStart w:id="182" w:name="_Toc397928570"/>
      <w:bookmarkStart w:id="183" w:name="_Toc24952"/>
      <w:bookmarkStart w:id="184" w:name="_Toc339359765"/>
      <w:bookmarkStart w:id="185" w:name="_Toc324255909"/>
      <w:bookmarkStart w:id="186" w:name="_Toc269310939"/>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本项目执行苏财购[2020]52号文《关于做好政府采购支持企业发展有关事项的通知》，本项目不需要缴纳投标保证金。</w:t>
      </w:r>
    </w:p>
    <w:p>
      <w:pPr>
        <w:spacing w:line="52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3.5 资格审查资料</w:t>
      </w:r>
      <w:bookmarkEnd w:id="181"/>
      <w:bookmarkEnd w:id="182"/>
      <w:bookmarkEnd w:id="183"/>
      <w:bookmarkStart w:id="187" w:name="_Toc22895"/>
      <w:bookmarkStart w:id="188" w:name="_Toc387526304"/>
      <w:bookmarkStart w:id="189" w:name="_Toc387526396"/>
      <w:bookmarkStart w:id="190" w:name="_Toc387526200"/>
      <w:bookmarkStart w:id="191" w:name="_Toc448306423"/>
      <w:bookmarkStart w:id="192" w:name="_Toc397928571"/>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3.5.1 投标人投标文件中提供的以下资格审查资料必须关键信息齐全、清晰可辨。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（1）投标人营业执照复印件加盖投标单位盖章；</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（2）上一年度（2023年度）财务报告（成立不满一年不需提供）复印件加盖投标单位公章；</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（3）依法缴纳税收和社会保障资金的相关材料（近期）复印件加盖投标单位公章；</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（4）具备履行合同所必需的设备和专业技术能力的书面声明原件；</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（5）参加政府采购活动前3年内在经营活动中没有重大违法记录的书面声明原件；</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（6）投标人未被“信用中国”网站（www.creditchina.gov.cn）、“中国政府采购网”（www.ccgp.gov.cn）等网站列入失信被执行人、重大税收违法案件当事人名单、政府采购严重失信行为记录名单的书面申明原件。</w:t>
      </w:r>
    </w:p>
    <w:p>
      <w:pPr>
        <w:pStyle w:val="5"/>
        <w:spacing w:before="60" w:after="60" w:line="52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特别提醒:</w:t>
      </w:r>
    </w:p>
    <w:p>
      <w:pPr>
        <w:pStyle w:val="5"/>
        <w:spacing w:before="60" w:after="60" w:line="52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因资质换证就位或其他非主观原因显示上述证书过期的，主管部门对证书有效期延长有特殊规定的，投标时需提供相关说明，资格审查方予通过。</w:t>
      </w:r>
    </w:p>
    <w:p>
      <w:pPr>
        <w:pStyle w:val="5"/>
        <w:spacing w:before="60" w:after="60"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3.6 备选投标方案</w:t>
      </w:r>
      <w:bookmarkEnd w:id="184"/>
      <w:bookmarkEnd w:id="185"/>
      <w:bookmarkEnd w:id="186"/>
      <w:bookmarkEnd w:id="187"/>
      <w:bookmarkEnd w:id="188"/>
      <w:bookmarkEnd w:id="189"/>
      <w:bookmarkEnd w:id="190"/>
      <w:bookmarkEnd w:id="191"/>
      <w:bookmarkEnd w:id="192"/>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采购人可以接受该备选投标方案。</w:t>
      </w:r>
    </w:p>
    <w:p>
      <w:pPr>
        <w:pStyle w:val="5"/>
        <w:spacing w:before="60" w:after="60" w:line="520" w:lineRule="exact"/>
        <w:ind w:firstLine="480" w:firstLineChars="200"/>
        <w:rPr>
          <w:rFonts w:hint="eastAsia" w:ascii="仿宋" w:hAnsi="仿宋" w:eastAsia="仿宋" w:cs="仿宋"/>
          <w:color w:val="auto"/>
          <w:szCs w:val="24"/>
          <w:highlight w:val="none"/>
        </w:rPr>
      </w:pPr>
      <w:bookmarkStart w:id="193" w:name="_Toc387526305"/>
      <w:bookmarkStart w:id="194" w:name="_Toc387526201"/>
      <w:bookmarkStart w:id="195" w:name="_Toc387526397"/>
      <w:bookmarkStart w:id="196" w:name="_Toc16855"/>
      <w:bookmarkStart w:id="197" w:name="_Toc448306424"/>
      <w:bookmarkStart w:id="198" w:name="_Toc397928572"/>
      <w:r>
        <w:rPr>
          <w:rFonts w:hint="eastAsia" w:ascii="仿宋" w:hAnsi="仿宋" w:eastAsia="仿宋" w:cs="仿宋"/>
          <w:color w:val="auto"/>
          <w:szCs w:val="24"/>
          <w:highlight w:val="none"/>
        </w:rPr>
        <w:t>3.7 投标文件的编制</w:t>
      </w:r>
      <w:bookmarkEnd w:id="193"/>
      <w:bookmarkEnd w:id="194"/>
      <w:bookmarkEnd w:id="195"/>
      <w:bookmarkEnd w:id="196"/>
      <w:bookmarkEnd w:id="197"/>
      <w:bookmarkEnd w:id="198"/>
    </w:p>
    <w:p>
      <w:pPr>
        <w:spacing w:line="520" w:lineRule="exact"/>
        <w:ind w:firstLine="480" w:firstLineChars="200"/>
        <w:rPr>
          <w:rFonts w:hint="eastAsia" w:ascii="仿宋" w:hAnsi="仿宋" w:eastAsia="仿宋" w:cs="仿宋"/>
          <w:color w:val="auto"/>
          <w:sz w:val="24"/>
          <w:highlight w:val="none"/>
        </w:rPr>
      </w:pPr>
      <w:bookmarkStart w:id="199" w:name="_Toc368759378"/>
      <w:bookmarkStart w:id="200" w:name="_Toc387526202"/>
      <w:bookmarkStart w:id="201" w:name="_Toc387526306"/>
      <w:bookmarkStart w:id="202" w:name="_Toc387526398"/>
      <w:bookmarkStart w:id="203" w:name="_Toc448306425"/>
      <w:bookmarkStart w:id="204" w:name="_Toc24421"/>
      <w:bookmarkStart w:id="205" w:name="_Toc368760430"/>
      <w:bookmarkStart w:id="206" w:name="_Toc367894801"/>
      <w:bookmarkStart w:id="207" w:name="_Toc397928573"/>
      <w:bookmarkStart w:id="208" w:name="_Toc184635074"/>
      <w:bookmarkStart w:id="209" w:name="_Toc363329373"/>
      <w:bookmarkStart w:id="210" w:name="_Toc369077564"/>
      <w:bookmarkStart w:id="211" w:name="_Toc184635075"/>
      <w:bookmarkStart w:id="212" w:name="_Toc368759379"/>
      <w:bookmarkStart w:id="213" w:name="_Toc363329374"/>
      <w:bookmarkStart w:id="214" w:name="_Toc367894802"/>
      <w:r>
        <w:rPr>
          <w:rFonts w:hint="eastAsia" w:ascii="仿宋" w:hAnsi="仿宋" w:eastAsia="仿宋" w:cs="仿宋"/>
          <w:color w:val="auto"/>
          <w:sz w:val="24"/>
          <w:highlight w:val="none"/>
        </w:rPr>
        <w:t>3.7.1 投标文件应按第六章“投标文件格式”进行编写，如有必要可自行增加，作为投标文件的组成部分。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3.7.2投标文件应当对招标文件有关合同履行期限、投标有效期、质量要求、技术标准和要求、招标范围等实质性内容作出响应。</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3.7.3补充内容：投标文件一正四副，电子投标文件一份（投标文件正本PDF扫描件），投标文件正本、副本、开标一览表密封装入一个或多个封袋中，电子投标文件载体用U盘或光盘，直接放入投标文件密封袋中。</w:t>
      </w:r>
    </w:p>
    <w:p>
      <w:pPr>
        <w:pStyle w:val="24"/>
        <w:spacing w:line="52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 投标</w:t>
      </w:r>
      <w:bookmarkEnd w:id="199"/>
      <w:bookmarkEnd w:id="200"/>
      <w:bookmarkEnd w:id="201"/>
      <w:bookmarkEnd w:id="202"/>
      <w:bookmarkEnd w:id="203"/>
      <w:bookmarkEnd w:id="204"/>
      <w:bookmarkEnd w:id="205"/>
      <w:bookmarkEnd w:id="206"/>
      <w:bookmarkEnd w:id="207"/>
      <w:bookmarkEnd w:id="208"/>
      <w:bookmarkEnd w:id="209"/>
      <w:bookmarkEnd w:id="210"/>
    </w:p>
    <w:p>
      <w:pPr>
        <w:spacing w:line="520" w:lineRule="exact"/>
        <w:ind w:firstLine="480" w:firstLineChars="200"/>
        <w:jc w:val="left"/>
        <w:rPr>
          <w:rFonts w:hint="eastAsia" w:ascii="仿宋" w:hAnsi="仿宋" w:eastAsia="仿宋" w:cs="仿宋"/>
          <w:color w:val="auto"/>
          <w:sz w:val="24"/>
          <w:highlight w:val="none"/>
        </w:rPr>
      </w:pPr>
      <w:bookmarkStart w:id="215" w:name="_Toc387526402"/>
      <w:bookmarkStart w:id="216" w:name="_Toc397928578"/>
      <w:bookmarkStart w:id="217" w:name="_Toc448306430"/>
      <w:bookmarkStart w:id="218" w:name="_Toc368760431"/>
      <w:bookmarkStart w:id="219" w:name="_Toc387526310"/>
      <w:bookmarkStart w:id="220" w:name="_Toc369077565"/>
      <w:bookmarkStart w:id="221" w:name="_Toc387526206"/>
      <w:bookmarkStart w:id="222" w:name="_Toc22329"/>
      <w:bookmarkStart w:id="223" w:name="_Toc246996210"/>
      <w:bookmarkStart w:id="224" w:name="_Toc368759381"/>
      <w:bookmarkStart w:id="225" w:name="_Toc144974534"/>
      <w:bookmarkStart w:id="226" w:name="_Toc247085724"/>
      <w:bookmarkStart w:id="227" w:name="_Toc179632584"/>
      <w:bookmarkStart w:id="228" w:name="_Toc246996953"/>
      <w:bookmarkStart w:id="229" w:name="_Toc152045566"/>
      <w:bookmarkStart w:id="230" w:name="_Toc152042342"/>
      <w:bookmarkStart w:id="231" w:name="_Toc366679697"/>
      <w:r>
        <w:rPr>
          <w:rFonts w:hint="eastAsia" w:ascii="仿宋" w:hAnsi="仿宋" w:eastAsia="仿宋" w:cs="仿宋"/>
          <w:color w:val="auto"/>
          <w:sz w:val="24"/>
          <w:highlight w:val="none"/>
        </w:rPr>
        <w:t>4.1 投标文件格式指定的签字、盖章位置，需经法定代表人或委托代理人签字、盖章</w:t>
      </w:r>
    </w:p>
    <w:p>
      <w:pPr>
        <w:tabs>
          <w:tab w:val="left" w:pos="3283"/>
        </w:tabs>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 投标文件的提交</w:t>
      </w:r>
      <w:r>
        <w:rPr>
          <w:rFonts w:hint="eastAsia" w:ascii="仿宋" w:hAnsi="仿宋" w:eastAsia="仿宋" w:cs="仿宋"/>
          <w:color w:val="auto"/>
          <w:sz w:val="24"/>
          <w:highlight w:val="none"/>
        </w:rPr>
        <w:tab/>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4.2.1 投标人应在招标文件规定的投标文件提交截止时间前完成投标文件的提交。</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4.2.2 投标人提交投标文件的地点：见投标人须知前附表。</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4.2.3 除招标文件另有规定外，投标人所提交的投标文件不予退还。</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4.2.4 有下列情形之一的投标文件拒收并退回：</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1）逾期送达或未送达指定地点的投标文件。</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2）投标人未按照招标文件规定密封的。</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 投标文件的修改与撤回</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4.3.1 在投标人须知前附表规定的投标文件提交截止时间前，投标人可以多次修改或撤回已提交的投标文件，最终投标文件以投标文件提交截止时间前递交的最后一份投标文件为准。</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4.3.2 修改的投标文件应按照本章第3.7条、第4.2条规定进行编制和提交。</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4.3.3投标文件提交截止时间之后，在投标有效期内，投标人不得修改或撤回投标文件。</w:t>
      </w:r>
    </w:p>
    <w:p>
      <w:pPr>
        <w:spacing w:before="260" w:after="260"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 开标</w:t>
      </w:r>
      <w:bookmarkEnd w:id="215"/>
      <w:bookmarkEnd w:id="216"/>
      <w:bookmarkEnd w:id="217"/>
      <w:bookmarkEnd w:id="218"/>
      <w:bookmarkEnd w:id="219"/>
      <w:bookmarkEnd w:id="220"/>
      <w:bookmarkEnd w:id="221"/>
      <w:bookmarkEnd w:id="222"/>
    </w:p>
    <w:p>
      <w:pPr>
        <w:spacing w:line="520" w:lineRule="exact"/>
        <w:ind w:firstLine="480" w:firstLineChars="200"/>
        <w:jc w:val="left"/>
        <w:rPr>
          <w:rFonts w:hint="eastAsia" w:ascii="仿宋" w:hAnsi="仿宋" w:eastAsia="仿宋" w:cs="仿宋"/>
          <w:color w:val="auto"/>
          <w:sz w:val="24"/>
          <w:highlight w:val="none"/>
        </w:rPr>
      </w:pPr>
      <w:bookmarkStart w:id="232" w:name="_Toc367894803"/>
      <w:bookmarkStart w:id="233" w:name="_Toc368759380"/>
      <w:bookmarkStart w:id="234" w:name="_Toc368760432"/>
      <w:bookmarkStart w:id="235" w:name="_Toc448306433"/>
      <w:bookmarkStart w:id="236" w:name="_Toc184635076"/>
      <w:bookmarkStart w:id="237" w:name="_Toc363329375"/>
      <w:bookmarkStart w:id="238" w:name="_Toc387526405"/>
      <w:bookmarkStart w:id="239" w:name="_Toc387526313"/>
      <w:bookmarkStart w:id="240" w:name="_Toc22517"/>
      <w:bookmarkStart w:id="241" w:name="_Toc397928581"/>
      <w:bookmarkStart w:id="242" w:name="_Toc387526209"/>
      <w:bookmarkStart w:id="243" w:name="_Toc369077566"/>
      <w:r>
        <w:rPr>
          <w:rFonts w:hint="eastAsia" w:ascii="仿宋" w:hAnsi="仿宋" w:eastAsia="仿宋" w:cs="仿宋"/>
          <w:color w:val="auto"/>
          <w:sz w:val="24"/>
          <w:highlight w:val="none"/>
        </w:rPr>
        <w:t>5.1 开标时间、地点和投标人参会代表</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5.1.1详见投标人须知前附表规定的时间、地点和投标人参会代表；</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 开标程序</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5.2.1 宣布开标纪律；</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5.2.2 公布投标人名称及投标保证金缴纳情况；</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5.2.3 投标人代表或公证人员检查投标文件密封情况；</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5.2.4 公布投标人报价等内容；</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5.2.5 开标结束。</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5.3 特殊情况处理</w:t>
      </w:r>
    </w:p>
    <w:p>
      <w:pPr>
        <w:spacing w:line="520" w:lineRule="exact"/>
        <w:ind w:firstLine="480" w:firstLineChars="200"/>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5.3.1 投标人对开标有异议的，应当在开标系统中当场提出，采购人当场予以答复，并制作记录。</w:t>
      </w:r>
    </w:p>
    <w:p>
      <w:pPr>
        <w:pStyle w:val="24"/>
        <w:spacing w:line="52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 评标</w:t>
      </w:r>
      <w:bookmarkEnd w:id="232"/>
      <w:bookmarkEnd w:id="233"/>
      <w:bookmarkEnd w:id="234"/>
      <w:bookmarkEnd w:id="235"/>
      <w:bookmarkEnd w:id="236"/>
      <w:bookmarkEnd w:id="237"/>
      <w:bookmarkEnd w:id="238"/>
      <w:bookmarkEnd w:id="239"/>
      <w:bookmarkEnd w:id="240"/>
      <w:bookmarkEnd w:id="241"/>
      <w:bookmarkEnd w:id="242"/>
      <w:bookmarkEnd w:id="243"/>
    </w:p>
    <w:p>
      <w:pPr>
        <w:spacing w:line="520" w:lineRule="exact"/>
        <w:ind w:firstLine="480" w:firstLineChars="200"/>
        <w:rPr>
          <w:rFonts w:hint="eastAsia" w:ascii="仿宋" w:hAnsi="仿宋" w:eastAsia="仿宋" w:cs="仿宋"/>
          <w:color w:val="auto"/>
          <w:sz w:val="24"/>
          <w:highlight w:val="none"/>
        </w:rPr>
      </w:pPr>
      <w:bookmarkStart w:id="244" w:name="_Toc508216911"/>
      <w:r>
        <w:rPr>
          <w:rFonts w:hint="eastAsia" w:ascii="仿宋" w:hAnsi="仿宋" w:eastAsia="仿宋" w:cs="仿宋"/>
          <w:color w:val="auto"/>
          <w:sz w:val="24"/>
          <w:highlight w:val="none"/>
        </w:rPr>
        <w:t>6.1 评标委员会</w:t>
      </w:r>
      <w:bookmarkEnd w:id="244"/>
    </w:p>
    <w:p>
      <w:pPr>
        <w:spacing w:line="520" w:lineRule="exact"/>
        <w:ind w:firstLine="480" w:firstLineChars="200"/>
        <w:rPr>
          <w:rFonts w:hint="eastAsia" w:ascii="仿宋" w:hAnsi="仿宋" w:eastAsia="仿宋" w:cs="仿宋"/>
          <w:color w:val="auto"/>
          <w:sz w:val="24"/>
          <w:highlight w:val="none"/>
        </w:rPr>
      </w:pPr>
      <w:bookmarkStart w:id="245" w:name="_Toc324255922"/>
      <w:bookmarkStart w:id="246" w:name="_Toc339359778"/>
      <w:bookmarkStart w:id="247" w:name="_Toc269310951"/>
      <w:r>
        <w:rPr>
          <w:rFonts w:hint="eastAsia" w:ascii="仿宋" w:hAnsi="仿宋" w:eastAsia="仿宋" w:cs="仿宋"/>
          <w:color w:val="auto"/>
          <w:sz w:val="24"/>
          <w:highlight w:val="none"/>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6.1.2 评标委员会成员有下列情形之一的，应当回避：</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（1）投标人或投标人主要负责人的近亲属；</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（2）项目主管部门或者行政监督部门的人员；</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（3）与投标人有经济利益关系；</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（4）曾因在招标、评标以及其他与招标投标有关活动中从事违法行为而受过行政处罚或刑事处罚的，且在处罚期内。</w:t>
      </w:r>
    </w:p>
    <w:p>
      <w:pPr>
        <w:spacing w:line="520" w:lineRule="exact"/>
        <w:ind w:firstLine="480" w:firstLineChars="200"/>
        <w:rPr>
          <w:rFonts w:hint="eastAsia" w:ascii="仿宋" w:hAnsi="仿宋" w:eastAsia="仿宋" w:cs="仿宋"/>
          <w:color w:val="auto"/>
          <w:sz w:val="24"/>
          <w:highlight w:val="none"/>
        </w:rPr>
      </w:pPr>
      <w:bookmarkStart w:id="248" w:name="_Toc397928583"/>
      <w:bookmarkStart w:id="249" w:name="_Toc508216912"/>
      <w:bookmarkStart w:id="250" w:name="_Toc12316"/>
      <w:bookmarkStart w:id="251" w:name="_Toc387526315"/>
      <w:bookmarkStart w:id="252" w:name="_Toc387526211"/>
      <w:bookmarkStart w:id="253" w:name="_Toc387526407"/>
      <w:r>
        <w:rPr>
          <w:rFonts w:hint="eastAsia" w:ascii="仿宋" w:hAnsi="仿宋" w:eastAsia="仿宋" w:cs="仿宋"/>
          <w:color w:val="auto"/>
          <w:sz w:val="24"/>
          <w:highlight w:val="none"/>
        </w:rPr>
        <w:t>6.2</w:t>
      </w:r>
      <w:bookmarkEnd w:id="245"/>
      <w:bookmarkEnd w:id="246"/>
      <w:bookmarkEnd w:id="247"/>
      <w:r>
        <w:rPr>
          <w:rFonts w:hint="eastAsia" w:ascii="仿宋" w:hAnsi="仿宋" w:eastAsia="仿宋" w:cs="仿宋"/>
          <w:color w:val="auto"/>
          <w:sz w:val="24"/>
          <w:highlight w:val="none"/>
        </w:rPr>
        <w:t>评标原则</w:t>
      </w:r>
      <w:bookmarkEnd w:id="248"/>
      <w:bookmarkEnd w:id="249"/>
      <w:bookmarkEnd w:id="250"/>
      <w:bookmarkEnd w:id="251"/>
      <w:bookmarkEnd w:id="252"/>
      <w:bookmarkEnd w:id="253"/>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评标活动遵循公平、公正、科学和择优的原则。</w:t>
      </w:r>
    </w:p>
    <w:p>
      <w:pPr>
        <w:spacing w:line="520" w:lineRule="exact"/>
        <w:ind w:firstLine="480" w:firstLineChars="200"/>
        <w:rPr>
          <w:rFonts w:hint="eastAsia" w:ascii="仿宋" w:hAnsi="仿宋" w:eastAsia="仿宋" w:cs="仿宋"/>
          <w:color w:val="auto"/>
          <w:sz w:val="24"/>
          <w:highlight w:val="none"/>
        </w:rPr>
      </w:pPr>
      <w:bookmarkStart w:id="254" w:name="_Toc6500"/>
      <w:bookmarkStart w:id="255" w:name="_Toc152045565"/>
      <w:bookmarkStart w:id="256" w:name="_Toc366679696"/>
      <w:bookmarkStart w:id="257" w:name="_Toc397928584"/>
      <w:bookmarkStart w:id="258" w:name="_Toc247085723"/>
      <w:bookmarkStart w:id="259" w:name="_Toc508216913"/>
      <w:bookmarkStart w:id="260" w:name="_Toc246996952"/>
      <w:bookmarkStart w:id="261" w:name="_Toc387526408"/>
      <w:bookmarkStart w:id="262" w:name="_Toc152042341"/>
      <w:bookmarkStart w:id="263" w:name="_Toc387526316"/>
      <w:bookmarkStart w:id="264" w:name="_Toc144974533"/>
      <w:bookmarkStart w:id="265" w:name="_Toc387526212"/>
      <w:bookmarkStart w:id="266" w:name="_Toc179632583"/>
      <w:bookmarkStart w:id="267" w:name="_Toc246996209"/>
      <w:r>
        <w:rPr>
          <w:rFonts w:hint="eastAsia" w:ascii="仿宋" w:hAnsi="仿宋" w:eastAsia="仿宋" w:cs="仿宋"/>
          <w:color w:val="auto"/>
          <w:sz w:val="24"/>
          <w:highlight w:val="none"/>
        </w:rPr>
        <w:t>6.3 评标</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评标委员会按照第三章“评标办法”规定的方法、评审因素、标准和程序对投标文件进行评审。第三章“评标办法”没有规定的方法、评审因素和标准，不作为评标依据。</w:t>
      </w:r>
    </w:p>
    <w:p>
      <w:pPr>
        <w:spacing w:line="520" w:lineRule="exact"/>
        <w:ind w:firstLine="480" w:firstLineChars="200"/>
        <w:rPr>
          <w:rFonts w:hint="eastAsia" w:ascii="仿宋" w:hAnsi="仿宋" w:eastAsia="仿宋" w:cs="仿宋"/>
          <w:color w:val="auto"/>
          <w:sz w:val="24"/>
          <w:highlight w:val="none"/>
        </w:rPr>
      </w:pPr>
      <w:bookmarkStart w:id="268" w:name="_Toc508216915"/>
      <w:r>
        <w:rPr>
          <w:rFonts w:hint="eastAsia" w:ascii="仿宋" w:hAnsi="仿宋" w:eastAsia="仿宋" w:cs="仿宋"/>
          <w:color w:val="auto"/>
          <w:sz w:val="24"/>
          <w:highlight w:val="none"/>
        </w:rPr>
        <w:t>6.4无效标书条款</w:t>
      </w:r>
      <w:bookmarkEnd w:id="268"/>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投标文件有下列情况之一的，属于重大偏差，视为未能对招标文件作出实质性响应，应当作为无效投标予以否决：</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（1）投标文件中的投标函未加盖投标人的公章；</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（2）投标文件中的投标函无企业法定代表人（或企业法定代表人委托代理人）印章（或签名）的；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（3）如投标函由企业法定代表人委托代理人加盖印章（或签名）的，企业法定代表人委托代理人没有合法、有效的委托书（原件的彩色扫描件）的；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（4）投标人资格条件不符合国家有关规定或招标文件要求的；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（5）投标报价高于招标文件设定的最高投标报价的；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（6）投标文件的组成不符合招标文件要求的；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（7）投标人递交两份或多份内容不同的投标文件，或在一份投标文件中对同一招标项目报有两个或多个报价，且未声明哪一个为最终报价的，按招标文件规定提交备选投标方案的除外；</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（8）投标文件载明的招标项目完成期限超过招标文件规定的期限的，或服务期达不到招标文件规定期限的要求；</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（9）明显不符合技术规范、技术标准的要求的；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（10）投标文件载明的检验标准和方法等不符合招标文件的要求的；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（11）投标文件提出的工程验收、计量、价款结算和付款方式不能满足招标文件要求或招标人不能接受；</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（12）不同投标人的投标文件出现了评标委员会认为不应当雷同的情况的；</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（13）以他人的名义投标、串通投标、以行贿手段谋取中标或者以其他弄虚作假方式投标的；</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（14）投标人投标文件中提供的资格审查资料非有效原件复印件，关键信息不齐全、不清晰可辨(钢印除外)；</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凡招标文件未明确的无效标条件，评标委员会不得作为判定无效标的依据，评标委员会也不得以不符合招标文件中规定的其他实质性要求作为判定无效标的依据。</w:t>
      </w:r>
    </w:p>
    <w:p>
      <w:pPr>
        <w:spacing w:line="520" w:lineRule="exact"/>
        <w:ind w:firstLine="480" w:firstLineChars="200"/>
        <w:rPr>
          <w:rFonts w:hint="eastAsia" w:ascii="仿宋" w:hAnsi="仿宋" w:eastAsia="仿宋" w:cs="仿宋"/>
          <w:color w:val="auto"/>
          <w:sz w:val="24"/>
          <w:highlight w:val="none"/>
        </w:rPr>
      </w:pPr>
      <w:bookmarkStart w:id="269" w:name="_Toc508216916"/>
      <w:r>
        <w:rPr>
          <w:rFonts w:hint="eastAsia" w:ascii="仿宋" w:hAnsi="仿宋" w:eastAsia="仿宋" w:cs="仿宋"/>
          <w:color w:val="auto"/>
          <w:sz w:val="24"/>
          <w:highlight w:val="none"/>
        </w:rPr>
        <w:t>6.6重新招标</w:t>
      </w:r>
      <w:bookmarkEnd w:id="269"/>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依法必须招标的项目评标委员会否决所有投标的，或者评标委员会否决一部分投标后其他有效投标不足三个使得投标明显缺乏竞争，决定否决全部投标的，招标人在分析招标失败的原因并采取相应措施后，应当依法重新招标。</w:t>
      </w:r>
    </w:p>
    <w:p>
      <w:pPr>
        <w:spacing w:line="520" w:lineRule="exact"/>
        <w:ind w:firstLine="480" w:firstLineChars="200"/>
        <w:rPr>
          <w:rFonts w:hint="eastAsia" w:ascii="仿宋" w:hAnsi="仿宋" w:eastAsia="仿宋" w:cs="仿宋"/>
          <w:color w:val="auto"/>
          <w:sz w:val="24"/>
          <w:highlight w:val="none"/>
        </w:rPr>
      </w:pPr>
    </w:p>
    <w:p>
      <w:pPr>
        <w:pStyle w:val="24"/>
        <w:spacing w:line="520" w:lineRule="exact"/>
        <w:ind w:firstLine="482" w:firstLineChars="200"/>
        <w:rPr>
          <w:rFonts w:hint="eastAsia" w:ascii="仿宋" w:hAnsi="仿宋" w:eastAsia="仿宋" w:cs="仿宋"/>
          <w:color w:val="auto"/>
          <w:sz w:val="24"/>
          <w:szCs w:val="24"/>
          <w:highlight w:val="none"/>
        </w:rPr>
      </w:pPr>
      <w:bookmarkStart w:id="270" w:name="_Toc397928586"/>
      <w:bookmarkStart w:id="271" w:name="_Toc448306440"/>
      <w:bookmarkStart w:id="272" w:name="_Toc387526213"/>
      <w:bookmarkStart w:id="273" w:name="_Toc387526409"/>
      <w:bookmarkStart w:id="274" w:name="_Toc387526317"/>
      <w:bookmarkStart w:id="275" w:name="_Toc22985"/>
      <w:bookmarkStart w:id="276" w:name="_Toc368760433"/>
      <w:bookmarkStart w:id="277" w:name="_Toc369077567"/>
      <w:r>
        <w:rPr>
          <w:rFonts w:hint="eastAsia" w:ascii="仿宋" w:hAnsi="仿宋" w:eastAsia="仿宋" w:cs="仿宋"/>
          <w:color w:val="auto"/>
          <w:sz w:val="24"/>
          <w:szCs w:val="24"/>
          <w:highlight w:val="none"/>
        </w:rPr>
        <w:t xml:space="preserve">7. </w:t>
      </w:r>
      <w:bookmarkEnd w:id="270"/>
      <w:bookmarkEnd w:id="271"/>
      <w:bookmarkEnd w:id="272"/>
      <w:bookmarkEnd w:id="273"/>
      <w:bookmarkEnd w:id="274"/>
      <w:bookmarkEnd w:id="275"/>
      <w:r>
        <w:rPr>
          <w:rFonts w:hint="eastAsia" w:ascii="仿宋" w:hAnsi="仿宋" w:eastAsia="仿宋" w:cs="仿宋"/>
          <w:color w:val="auto"/>
          <w:sz w:val="24"/>
          <w:szCs w:val="24"/>
          <w:highlight w:val="none"/>
        </w:rPr>
        <w:t>中标结果公告</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7.1采购代理机构应当在评标结束后2个工作日内将评标报告送采购人。采购人应当自收到评标报告之日起5个工作日内，在评标报告确定的中标候选人名单中按顺序确定中标人，中标人确定之日起2个工作日内在与招标公告相同的发布媒介上对评标结果进行公示。</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7.2供应商认为中标、成交结果使自己的权益受到损害的，可以在知道或者应知其权益受到损害之日起七个工作日内，以书面形式向采购人提出质疑。采购人应当在收到供应商的书面质疑后七个工作日内作出答复，并以书面形式通知质疑供应商。</w:t>
      </w:r>
      <w:bookmarkStart w:id="278" w:name="_Toc448306441"/>
      <w:bookmarkStart w:id="279" w:name="_Toc15824"/>
      <w:bookmarkStart w:id="280" w:name="_Toc397928587"/>
      <w:bookmarkStart w:id="281" w:name="_Toc387526318"/>
      <w:bookmarkStart w:id="282" w:name="_Toc387526410"/>
      <w:bookmarkStart w:id="283" w:name="_Toc387526214"/>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特别注意：在评标过程、中标结果公告前、中标结果公告期间、商议具体合同条款时、签订合同时、合同履约等任何环节，采购人有权对中标人的真实性进行判断，中标人若有作假情形，采购人有权要求中止上述任何环节，同时造成的后果由中标人全部承担，按照相关法律规定，取消中标结果，投标人有可能面临被列入失信行为记录名单中的风险。</w:t>
      </w:r>
    </w:p>
    <w:p>
      <w:pPr>
        <w:spacing w:before="260" w:after="260" w:line="520" w:lineRule="exact"/>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 合同授予</w:t>
      </w:r>
      <w:bookmarkEnd w:id="223"/>
      <w:bookmarkEnd w:id="224"/>
      <w:bookmarkEnd w:id="225"/>
      <w:bookmarkEnd w:id="226"/>
      <w:bookmarkEnd w:id="227"/>
      <w:bookmarkEnd w:id="228"/>
      <w:bookmarkEnd w:id="229"/>
      <w:bookmarkEnd w:id="230"/>
      <w:bookmarkEnd w:id="231"/>
      <w:bookmarkEnd w:id="276"/>
      <w:bookmarkEnd w:id="277"/>
      <w:bookmarkEnd w:id="278"/>
      <w:bookmarkEnd w:id="279"/>
      <w:bookmarkEnd w:id="280"/>
      <w:bookmarkEnd w:id="281"/>
      <w:bookmarkEnd w:id="282"/>
      <w:bookmarkEnd w:id="283"/>
      <w:bookmarkStart w:id="284" w:name="_Toc387526215"/>
      <w:bookmarkStart w:id="285" w:name="_Toc448306442"/>
      <w:bookmarkStart w:id="286" w:name="_Toc247085725"/>
      <w:bookmarkStart w:id="287" w:name="_Toc152042343"/>
      <w:bookmarkStart w:id="288" w:name="_Toc246996954"/>
      <w:bookmarkStart w:id="289" w:name="_Toc366679698"/>
      <w:bookmarkStart w:id="290" w:name="_Toc152045567"/>
      <w:bookmarkStart w:id="291" w:name="_Toc387526411"/>
      <w:bookmarkStart w:id="292" w:name="_Toc387526319"/>
      <w:bookmarkStart w:id="293" w:name="_Toc397928588"/>
      <w:bookmarkStart w:id="294" w:name="_Toc5192"/>
      <w:bookmarkStart w:id="295" w:name="_Toc144974535"/>
      <w:bookmarkStart w:id="296" w:name="_Toc246996211"/>
      <w:bookmarkStart w:id="297" w:name="_Toc179632585"/>
    </w:p>
    <w:p>
      <w:pPr>
        <w:pStyle w:val="5"/>
        <w:spacing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8.1 定标方式</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520" w:lineRule="exact"/>
        <w:ind w:firstLine="480" w:firstLineChars="200"/>
        <w:rPr>
          <w:rFonts w:hint="eastAsia" w:ascii="仿宋" w:hAnsi="仿宋" w:eastAsia="仿宋" w:cs="仿宋"/>
          <w:color w:val="auto"/>
          <w:sz w:val="24"/>
          <w:highlight w:val="none"/>
        </w:rPr>
      </w:pPr>
      <w:bookmarkStart w:id="298" w:name="_Toc387526216"/>
      <w:bookmarkStart w:id="299" w:name="_Toc29357"/>
      <w:bookmarkStart w:id="300" w:name="_Toc387526320"/>
      <w:bookmarkStart w:id="301" w:name="_Toc387526412"/>
      <w:r>
        <w:rPr>
          <w:rFonts w:hint="eastAsia" w:ascii="仿宋" w:hAnsi="仿宋" w:eastAsia="仿宋" w:cs="仿宋"/>
          <w:color w:val="auto"/>
          <w:sz w:val="24"/>
          <w:highlight w:val="none"/>
        </w:rPr>
        <w:t>除投标人须知前附表规定评标委员会直接确定中标人外，采购人依据评标委员会推荐的中标候选人确定中标人。</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国有资金占控股或者主导地位的依法必须进行招标的项目，采购人应当确定排名第一的中标候选人为中标人。排名第一的中标候选人放弃中标、因不可抗力不能履行合同、不按照招标文件要求提交履约担保，或者被查实存在影响中标结果的违法行为等情形，不符合中标条件的，采购人将可依序推荐其他中标候选人为中标人或重新组织采购。</w:t>
      </w:r>
    </w:p>
    <w:p>
      <w:pPr>
        <w:pStyle w:val="5"/>
        <w:spacing w:line="520" w:lineRule="exact"/>
        <w:ind w:firstLine="480" w:firstLineChars="200"/>
        <w:rPr>
          <w:rFonts w:hint="eastAsia" w:ascii="仿宋" w:hAnsi="仿宋" w:eastAsia="仿宋" w:cs="仿宋"/>
          <w:color w:val="auto"/>
          <w:szCs w:val="24"/>
          <w:highlight w:val="none"/>
        </w:rPr>
      </w:pPr>
      <w:bookmarkStart w:id="302" w:name="_Toc397928589"/>
      <w:bookmarkStart w:id="303" w:name="_Toc448306443"/>
      <w:r>
        <w:rPr>
          <w:rFonts w:hint="eastAsia" w:ascii="仿宋" w:hAnsi="仿宋" w:eastAsia="仿宋" w:cs="仿宋"/>
          <w:color w:val="auto"/>
          <w:szCs w:val="24"/>
          <w:highlight w:val="none"/>
        </w:rPr>
        <w:t>8.2</w:t>
      </w:r>
      <w:bookmarkEnd w:id="298"/>
      <w:bookmarkEnd w:id="299"/>
      <w:bookmarkEnd w:id="300"/>
      <w:bookmarkEnd w:id="301"/>
      <w:bookmarkStart w:id="304" w:name="_Toc387526321"/>
      <w:bookmarkStart w:id="305" w:name="_Toc179632586"/>
      <w:bookmarkStart w:id="306" w:name="_Toc246996955"/>
      <w:bookmarkStart w:id="307" w:name="_Toc387526217"/>
      <w:bookmarkStart w:id="308" w:name="_Toc366679700"/>
      <w:bookmarkStart w:id="309" w:name="_Toc246996212"/>
      <w:bookmarkStart w:id="310" w:name="_Toc13765"/>
      <w:bookmarkStart w:id="311" w:name="_Toc387526413"/>
      <w:bookmarkStart w:id="312" w:name="_Toc247085726"/>
      <w:r>
        <w:rPr>
          <w:rFonts w:hint="eastAsia" w:ascii="仿宋" w:hAnsi="仿宋" w:eastAsia="仿宋" w:cs="仿宋"/>
          <w:color w:val="auto"/>
          <w:szCs w:val="24"/>
          <w:highlight w:val="none"/>
        </w:rPr>
        <w:t>中标通知</w:t>
      </w:r>
      <w:bookmarkEnd w:id="302"/>
      <w:bookmarkEnd w:id="303"/>
      <w:bookmarkEnd w:id="304"/>
      <w:bookmarkEnd w:id="305"/>
      <w:bookmarkEnd w:id="306"/>
      <w:bookmarkEnd w:id="307"/>
      <w:bookmarkEnd w:id="308"/>
      <w:bookmarkEnd w:id="309"/>
      <w:bookmarkEnd w:id="310"/>
      <w:bookmarkEnd w:id="311"/>
      <w:bookmarkEnd w:id="312"/>
    </w:p>
    <w:p>
      <w:pPr>
        <w:spacing w:line="520" w:lineRule="exact"/>
        <w:ind w:firstLine="480" w:firstLineChars="200"/>
        <w:rPr>
          <w:rFonts w:hint="eastAsia" w:ascii="仿宋" w:hAnsi="仿宋" w:eastAsia="仿宋" w:cs="仿宋"/>
          <w:color w:val="auto"/>
          <w:sz w:val="24"/>
          <w:highlight w:val="none"/>
        </w:rPr>
      </w:pPr>
      <w:bookmarkStart w:id="313" w:name="_Toc246996956"/>
      <w:bookmarkStart w:id="314" w:name="_Toc247085727"/>
      <w:bookmarkStart w:id="315" w:name="_Toc246996213"/>
      <w:bookmarkStart w:id="316" w:name="_Toc366679701"/>
      <w:bookmarkStart w:id="317" w:name="_Toc179632587"/>
      <w:r>
        <w:rPr>
          <w:rFonts w:hint="eastAsia" w:ascii="仿宋" w:hAnsi="仿宋" w:eastAsia="仿宋" w:cs="仿宋"/>
          <w:color w:val="auto"/>
          <w:sz w:val="24"/>
          <w:highlight w:val="none"/>
        </w:rPr>
        <w:t>采购人在本招标文件规定的投标有效期内以书面形式向中标人发出中标通知书。</w:t>
      </w:r>
    </w:p>
    <w:p>
      <w:pPr>
        <w:pStyle w:val="5"/>
        <w:spacing w:line="520" w:lineRule="exact"/>
        <w:ind w:firstLine="480" w:firstLineChars="200"/>
        <w:rPr>
          <w:rFonts w:hint="eastAsia" w:ascii="仿宋" w:hAnsi="仿宋" w:eastAsia="仿宋" w:cs="仿宋"/>
          <w:color w:val="auto"/>
          <w:szCs w:val="24"/>
          <w:highlight w:val="none"/>
        </w:rPr>
      </w:pPr>
      <w:bookmarkStart w:id="318" w:name="_Toc387526218"/>
      <w:bookmarkStart w:id="319" w:name="_Toc387526322"/>
      <w:bookmarkStart w:id="320" w:name="_Toc387526414"/>
      <w:bookmarkStart w:id="321" w:name="_Toc26386"/>
      <w:bookmarkStart w:id="322" w:name="_Toc397928590"/>
      <w:bookmarkStart w:id="323" w:name="_Toc448306444"/>
      <w:r>
        <w:rPr>
          <w:rFonts w:hint="eastAsia" w:ascii="仿宋" w:hAnsi="仿宋" w:eastAsia="仿宋" w:cs="仿宋"/>
          <w:color w:val="auto"/>
          <w:szCs w:val="24"/>
          <w:highlight w:val="none"/>
        </w:rPr>
        <w:t>8.3 履约</w:t>
      </w:r>
      <w:bookmarkEnd w:id="313"/>
      <w:bookmarkEnd w:id="314"/>
      <w:bookmarkEnd w:id="315"/>
      <w:bookmarkEnd w:id="316"/>
      <w:bookmarkEnd w:id="317"/>
      <w:bookmarkEnd w:id="318"/>
      <w:bookmarkEnd w:id="319"/>
      <w:bookmarkEnd w:id="320"/>
      <w:bookmarkEnd w:id="321"/>
      <w:bookmarkEnd w:id="322"/>
      <w:bookmarkEnd w:id="323"/>
      <w:r>
        <w:rPr>
          <w:rFonts w:hint="eastAsia" w:ascii="仿宋" w:hAnsi="仿宋" w:eastAsia="仿宋" w:cs="仿宋"/>
          <w:color w:val="auto"/>
          <w:szCs w:val="24"/>
          <w:highlight w:val="none"/>
        </w:rPr>
        <w:t>担保</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8.3.1在签订合同前，中标人应按招标公告、投标人须知前附表规定的形式和招标文件“合同条款及格式”规定的或者事先经过采购人书面认可的履约担保格式向采购人提交履约担保。</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8.3.2中标人不能按本章第8.3.1项要求提交履约担保的，视为放弃中标，中标人应向采购人予以赔偿。</w:t>
      </w:r>
    </w:p>
    <w:p>
      <w:pPr>
        <w:pStyle w:val="5"/>
        <w:spacing w:line="520" w:lineRule="exact"/>
        <w:ind w:firstLine="480" w:firstLineChars="200"/>
        <w:rPr>
          <w:rFonts w:hint="eastAsia" w:ascii="仿宋" w:hAnsi="仿宋" w:eastAsia="仿宋" w:cs="仿宋"/>
          <w:color w:val="auto"/>
          <w:szCs w:val="24"/>
          <w:highlight w:val="none"/>
        </w:rPr>
      </w:pPr>
      <w:bookmarkStart w:id="324" w:name="_Toc179632588"/>
      <w:bookmarkStart w:id="325" w:name="_Toc246996957"/>
      <w:bookmarkStart w:id="326" w:name="_Toc397928591"/>
      <w:bookmarkStart w:id="327" w:name="_Toc247085728"/>
      <w:bookmarkStart w:id="328" w:name="_Toc387526323"/>
      <w:bookmarkStart w:id="329" w:name="_Toc366679702"/>
      <w:bookmarkStart w:id="330" w:name="_Toc387526415"/>
      <w:bookmarkStart w:id="331" w:name="_Toc448306445"/>
      <w:bookmarkStart w:id="332" w:name="_Toc10565"/>
      <w:bookmarkStart w:id="333" w:name="_Toc387526219"/>
      <w:bookmarkStart w:id="334" w:name="_Toc246996214"/>
      <w:r>
        <w:rPr>
          <w:rFonts w:hint="eastAsia" w:ascii="仿宋" w:hAnsi="仿宋" w:eastAsia="仿宋" w:cs="仿宋"/>
          <w:color w:val="auto"/>
          <w:szCs w:val="24"/>
          <w:highlight w:val="none"/>
        </w:rPr>
        <w:t>8.4 签订合同</w:t>
      </w:r>
      <w:bookmarkEnd w:id="324"/>
      <w:bookmarkEnd w:id="325"/>
      <w:bookmarkEnd w:id="326"/>
      <w:bookmarkEnd w:id="327"/>
      <w:bookmarkEnd w:id="328"/>
      <w:bookmarkEnd w:id="329"/>
      <w:bookmarkEnd w:id="330"/>
      <w:bookmarkEnd w:id="331"/>
      <w:bookmarkEnd w:id="332"/>
      <w:bookmarkEnd w:id="333"/>
      <w:bookmarkEnd w:id="334"/>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8.4.1采购人和中标人应当自中标通知书发出之日起15天内，根据招标文件和中标人的投标文件订立书面合同。中标人无正当理由拒签合同的，采购人取消其中标资格。</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8.4.2发出中标通知书后，采购人无正当理由拒签合同的，给中标人造成损失的，还应当赔偿损失。</w:t>
      </w:r>
      <w:bookmarkEnd w:id="211"/>
      <w:bookmarkEnd w:id="212"/>
      <w:bookmarkEnd w:id="213"/>
      <w:bookmarkEnd w:id="214"/>
      <w:bookmarkStart w:id="335" w:name="_Toc368760435"/>
      <w:bookmarkStart w:id="336" w:name="_Toc368759383"/>
      <w:bookmarkStart w:id="337" w:name="_Toc369077569"/>
      <w:bookmarkStart w:id="338" w:name="_Toc448306446"/>
      <w:bookmarkStart w:id="339" w:name="_Toc387526220"/>
      <w:bookmarkStart w:id="340" w:name="_Toc387526324"/>
      <w:bookmarkStart w:id="341" w:name="_Toc322503149"/>
      <w:bookmarkStart w:id="342" w:name="_Toc367894807"/>
      <w:bookmarkStart w:id="343" w:name="_Toc363329380"/>
      <w:bookmarkStart w:id="344" w:name="_Toc397928592"/>
      <w:bookmarkStart w:id="345" w:name="_Toc387526416"/>
      <w:bookmarkStart w:id="346" w:name="_Toc30717"/>
    </w:p>
    <w:p>
      <w:pPr>
        <w:spacing w:before="260" w:after="260" w:line="52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9. 纪律和监督</w:t>
      </w:r>
      <w:bookmarkEnd w:id="335"/>
      <w:bookmarkEnd w:id="336"/>
      <w:bookmarkEnd w:id="337"/>
      <w:bookmarkEnd w:id="338"/>
      <w:bookmarkEnd w:id="339"/>
      <w:bookmarkEnd w:id="340"/>
      <w:bookmarkEnd w:id="341"/>
      <w:bookmarkEnd w:id="342"/>
      <w:bookmarkEnd w:id="343"/>
      <w:bookmarkEnd w:id="344"/>
      <w:bookmarkEnd w:id="345"/>
      <w:bookmarkEnd w:id="346"/>
    </w:p>
    <w:p>
      <w:pPr>
        <w:pStyle w:val="5"/>
        <w:spacing w:before="0" w:after="0" w:line="520" w:lineRule="exact"/>
        <w:ind w:firstLine="480" w:firstLineChars="200"/>
        <w:jc w:val="left"/>
        <w:rPr>
          <w:rFonts w:hint="eastAsia" w:ascii="仿宋" w:hAnsi="仿宋" w:eastAsia="仿宋" w:cs="仿宋"/>
          <w:color w:val="auto"/>
          <w:szCs w:val="24"/>
          <w:highlight w:val="none"/>
        </w:rPr>
      </w:pPr>
      <w:bookmarkStart w:id="347" w:name="_Toc387526221"/>
      <w:bookmarkStart w:id="348" w:name="_Toc152045575"/>
      <w:bookmarkStart w:id="349" w:name="_Toc152042351"/>
      <w:bookmarkStart w:id="350" w:name="_Toc269310963"/>
      <w:bookmarkStart w:id="351" w:name="_Toc322503150"/>
      <w:bookmarkStart w:id="352" w:name="_Toc387526417"/>
      <w:bookmarkStart w:id="353" w:name="_Toc29855"/>
      <w:bookmarkStart w:id="354" w:name="_Toc387526325"/>
      <w:bookmarkStart w:id="355" w:name="_Toc144974543"/>
      <w:bookmarkStart w:id="356" w:name="_Toc508216924"/>
      <w:bookmarkStart w:id="357" w:name="_Toc397928593"/>
      <w:bookmarkStart w:id="358" w:name="_Toc448306453"/>
      <w:bookmarkStart w:id="359" w:name="_Toc397928598"/>
      <w:bookmarkStart w:id="360" w:name="_Toc9600"/>
      <w:bookmarkStart w:id="361" w:name="_Toc387526422"/>
      <w:bookmarkStart w:id="362" w:name="_Toc387526226"/>
      <w:bookmarkStart w:id="363" w:name="_Toc387526330"/>
      <w:r>
        <w:rPr>
          <w:rFonts w:hint="eastAsia" w:ascii="仿宋" w:hAnsi="仿宋" w:eastAsia="仿宋" w:cs="仿宋"/>
          <w:color w:val="auto"/>
          <w:szCs w:val="24"/>
          <w:highlight w:val="none"/>
        </w:rPr>
        <w:t>9.1 对采购人的纪律要求</w:t>
      </w:r>
      <w:bookmarkEnd w:id="347"/>
      <w:bookmarkEnd w:id="348"/>
      <w:bookmarkEnd w:id="349"/>
      <w:bookmarkEnd w:id="350"/>
      <w:bookmarkEnd w:id="351"/>
      <w:bookmarkEnd w:id="352"/>
      <w:bookmarkEnd w:id="353"/>
      <w:bookmarkEnd w:id="354"/>
      <w:bookmarkEnd w:id="355"/>
      <w:bookmarkEnd w:id="356"/>
      <w:bookmarkEnd w:id="357"/>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采购人不得泄露招标投标活动中应当保密的情况和资料，不得与投标人串通损害国家利益、社会公众利益或者他人合法权益。</w:t>
      </w:r>
    </w:p>
    <w:p>
      <w:pPr>
        <w:pStyle w:val="5"/>
        <w:spacing w:before="0" w:after="0" w:line="520" w:lineRule="exact"/>
        <w:ind w:firstLine="480" w:firstLineChars="200"/>
        <w:jc w:val="left"/>
        <w:rPr>
          <w:rFonts w:hint="eastAsia" w:ascii="仿宋" w:hAnsi="仿宋" w:eastAsia="仿宋" w:cs="仿宋"/>
          <w:color w:val="auto"/>
          <w:szCs w:val="24"/>
          <w:highlight w:val="none"/>
        </w:rPr>
      </w:pPr>
      <w:bookmarkStart w:id="364" w:name="_Toc322503151"/>
      <w:bookmarkStart w:id="365" w:name="_Toc387526418"/>
      <w:bookmarkStart w:id="366" w:name="_Toc269310964"/>
      <w:bookmarkStart w:id="367" w:name="_Toc144974544"/>
      <w:bookmarkStart w:id="368" w:name="_Toc152045576"/>
      <w:bookmarkStart w:id="369" w:name="_Toc1420"/>
      <w:bookmarkStart w:id="370" w:name="_Toc508216925"/>
      <w:bookmarkStart w:id="371" w:name="_Toc387526326"/>
      <w:bookmarkStart w:id="372" w:name="_Toc387526222"/>
      <w:bookmarkStart w:id="373" w:name="_Toc152042352"/>
      <w:bookmarkStart w:id="374" w:name="_Toc397928594"/>
      <w:r>
        <w:rPr>
          <w:rFonts w:hint="eastAsia" w:ascii="仿宋" w:hAnsi="仿宋" w:eastAsia="仿宋" w:cs="仿宋"/>
          <w:color w:val="auto"/>
          <w:szCs w:val="24"/>
          <w:highlight w:val="none"/>
        </w:rPr>
        <w:t>9.2 对投标人的纪律要求</w:t>
      </w:r>
      <w:bookmarkEnd w:id="364"/>
      <w:bookmarkEnd w:id="365"/>
      <w:bookmarkEnd w:id="366"/>
      <w:bookmarkEnd w:id="367"/>
      <w:bookmarkEnd w:id="368"/>
      <w:bookmarkEnd w:id="369"/>
      <w:bookmarkEnd w:id="370"/>
      <w:bookmarkEnd w:id="371"/>
      <w:bookmarkEnd w:id="372"/>
      <w:bookmarkEnd w:id="373"/>
      <w:bookmarkEnd w:id="374"/>
    </w:p>
    <w:p>
      <w:pPr>
        <w:spacing w:line="520" w:lineRule="exact"/>
        <w:ind w:firstLine="480" w:firstLineChars="200"/>
        <w:jc w:val="left"/>
        <w:rPr>
          <w:rFonts w:hint="eastAsia" w:ascii="仿宋" w:hAnsi="仿宋" w:eastAsia="仿宋" w:cs="仿宋"/>
          <w:color w:val="auto"/>
          <w:sz w:val="24"/>
          <w:highlight w:val="none"/>
        </w:rPr>
      </w:pPr>
      <w:bookmarkStart w:id="375" w:name="_Toc269310965"/>
      <w:bookmarkStart w:id="376" w:name="_Toc144974545"/>
      <w:bookmarkStart w:id="377" w:name="_Toc152042353"/>
      <w:bookmarkStart w:id="378" w:name="_Toc152045577"/>
      <w:bookmarkStart w:id="379" w:name="_Toc322503152"/>
      <w:r>
        <w:rPr>
          <w:rFonts w:hint="eastAsia" w:ascii="仿宋" w:hAnsi="仿宋" w:eastAsia="仿宋" w:cs="仿宋"/>
          <w:color w:val="auto"/>
          <w:sz w:val="24"/>
          <w:highlight w:val="none"/>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5"/>
        <w:spacing w:before="0" w:after="0" w:line="520" w:lineRule="exact"/>
        <w:ind w:firstLine="480" w:firstLineChars="200"/>
        <w:jc w:val="left"/>
        <w:rPr>
          <w:rFonts w:hint="eastAsia" w:ascii="仿宋" w:hAnsi="仿宋" w:eastAsia="仿宋" w:cs="仿宋"/>
          <w:color w:val="auto"/>
          <w:szCs w:val="24"/>
          <w:highlight w:val="none"/>
        </w:rPr>
      </w:pPr>
      <w:bookmarkStart w:id="380" w:name="_Toc387526223"/>
      <w:bookmarkStart w:id="381" w:name="_Toc387526419"/>
      <w:bookmarkStart w:id="382" w:name="_Toc387526327"/>
      <w:bookmarkStart w:id="383" w:name="_Toc508216926"/>
      <w:bookmarkStart w:id="384" w:name="_Toc16374"/>
      <w:bookmarkStart w:id="385" w:name="_Toc397928595"/>
      <w:r>
        <w:rPr>
          <w:rFonts w:hint="eastAsia" w:ascii="仿宋" w:hAnsi="仿宋" w:eastAsia="仿宋" w:cs="仿宋"/>
          <w:color w:val="auto"/>
          <w:szCs w:val="24"/>
          <w:highlight w:val="none"/>
        </w:rPr>
        <w:t>9.3 对评标委员会成员的纪律要求</w:t>
      </w:r>
      <w:bookmarkEnd w:id="375"/>
      <w:bookmarkEnd w:id="376"/>
      <w:bookmarkEnd w:id="377"/>
      <w:bookmarkEnd w:id="378"/>
      <w:bookmarkEnd w:id="379"/>
      <w:bookmarkEnd w:id="380"/>
      <w:bookmarkEnd w:id="381"/>
      <w:bookmarkEnd w:id="382"/>
      <w:bookmarkEnd w:id="383"/>
      <w:bookmarkEnd w:id="384"/>
      <w:bookmarkEnd w:id="385"/>
    </w:p>
    <w:p>
      <w:pPr>
        <w:spacing w:line="520" w:lineRule="exact"/>
        <w:ind w:firstLine="480" w:firstLineChars="200"/>
        <w:jc w:val="left"/>
        <w:rPr>
          <w:rFonts w:hint="eastAsia" w:ascii="仿宋" w:hAnsi="仿宋" w:eastAsia="仿宋" w:cs="仿宋"/>
          <w:color w:val="auto"/>
          <w:sz w:val="24"/>
          <w:highlight w:val="none"/>
        </w:rPr>
      </w:pPr>
      <w:bookmarkStart w:id="386" w:name="_Toc152045578"/>
      <w:bookmarkStart w:id="387" w:name="_Toc152042354"/>
      <w:bookmarkStart w:id="388" w:name="_Toc246996222"/>
      <w:bookmarkStart w:id="389" w:name="_Toc366679707"/>
      <w:bookmarkStart w:id="390" w:name="_Toc179632596"/>
      <w:bookmarkStart w:id="391" w:name="_Toc246996965"/>
      <w:bookmarkStart w:id="392" w:name="_Toc247085736"/>
      <w:bookmarkStart w:id="393" w:name="_Toc144974546"/>
      <w:r>
        <w:rPr>
          <w:rFonts w:hint="eastAsia" w:ascii="仿宋" w:hAnsi="仿宋" w:eastAsia="仿宋" w:cs="仿宋"/>
          <w:color w:val="auto"/>
          <w:sz w:val="24"/>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5"/>
        <w:spacing w:before="0" w:after="0" w:line="520" w:lineRule="exact"/>
        <w:ind w:firstLine="480" w:firstLineChars="200"/>
        <w:jc w:val="left"/>
        <w:rPr>
          <w:rFonts w:hint="eastAsia" w:ascii="仿宋" w:hAnsi="仿宋" w:eastAsia="仿宋" w:cs="仿宋"/>
          <w:color w:val="auto"/>
          <w:szCs w:val="24"/>
          <w:highlight w:val="none"/>
        </w:rPr>
      </w:pPr>
      <w:bookmarkStart w:id="394" w:name="_Toc387526328"/>
      <w:bookmarkStart w:id="395" w:name="_Toc1042"/>
      <w:bookmarkStart w:id="396" w:name="_Toc397928596"/>
      <w:bookmarkStart w:id="397" w:name="_Toc508216927"/>
      <w:bookmarkStart w:id="398" w:name="_Toc387526420"/>
      <w:bookmarkStart w:id="399" w:name="_Toc387526224"/>
      <w:r>
        <w:rPr>
          <w:rFonts w:hint="eastAsia" w:ascii="仿宋" w:hAnsi="仿宋" w:eastAsia="仿宋" w:cs="仿宋"/>
          <w:color w:val="auto"/>
          <w:szCs w:val="24"/>
          <w:highlight w:val="none"/>
        </w:rPr>
        <w:t>9.4 对与评标活动有关的工作人员的纪律要求</w:t>
      </w:r>
      <w:bookmarkEnd w:id="386"/>
      <w:bookmarkEnd w:id="387"/>
      <w:bookmarkEnd w:id="388"/>
      <w:bookmarkEnd w:id="389"/>
      <w:bookmarkEnd w:id="390"/>
      <w:bookmarkEnd w:id="391"/>
      <w:bookmarkEnd w:id="392"/>
      <w:bookmarkEnd w:id="394"/>
      <w:bookmarkEnd w:id="395"/>
      <w:bookmarkEnd w:id="396"/>
      <w:bookmarkEnd w:id="397"/>
      <w:bookmarkEnd w:id="398"/>
      <w:bookmarkEnd w:id="399"/>
    </w:p>
    <w:p>
      <w:pPr>
        <w:spacing w:line="520" w:lineRule="exact"/>
        <w:ind w:firstLine="480" w:firstLineChars="200"/>
        <w:jc w:val="left"/>
        <w:rPr>
          <w:rFonts w:hint="eastAsia" w:ascii="仿宋" w:hAnsi="仿宋" w:eastAsia="仿宋" w:cs="仿宋"/>
          <w:color w:val="auto"/>
          <w:sz w:val="24"/>
          <w:highlight w:val="none"/>
        </w:rPr>
      </w:pPr>
      <w:bookmarkStart w:id="400" w:name="_Toc152042355"/>
      <w:bookmarkStart w:id="401" w:name="_Toc246996223"/>
      <w:bookmarkStart w:id="402" w:name="_Toc247085737"/>
      <w:bookmarkStart w:id="403" w:name="_Toc152042356"/>
      <w:bookmarkStart w:id="404" w:name="_Toc179632597"/>
      <w:bookmarkStart w:id="405" w:name="_Toc152045579"/>
      <w:bookmarkStart w:id="406" w:name="_Toc366679708"/>
      <w:bookmarkStart w:id="407" w:name="_Toc246996966"/>
      <w:r>
        <w:rPr>
          <w:rFonts w:hint="eastAsia" w:ascii="仿宋" w:hAnsi="仿宋" w:eastAsia="仿宋" w:cs="仿宋"/>
          <w:color w:val="auto"/>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00"/>
    </w:p>
    <w:bookmarkEnd w:id="393"/>
    <w:bookmarkEnd w:id="401"/>
    <w:bookmarkEnd w:id="402"/>
    <w:bookmarkEnd w:id="403"/>
    <w:bookmarkEnd w:id="404"/>
    <w:bookmarkEnd w:id="405"/>
    <w:bookmarkEnd w:id="406"/>
    <w:bookmarkEnd w:id="407"/>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9.5 质疑</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认为采购文件、采购过程、中标或者成交结果使自己的权益采到损害的，可以在知道或者应知其权益受到损害之日起7个工作日内，以书面形式向采购人、采购代理机构在法定质疑期内一次性提出针对同一采购程序环节的质疑。供应商提出质疑应当符合财政部令第94号《政府采购质疑和投诉办法》相关规定。</w:t>
      </w:r>
      <w:bookmarkStart w:id="408" w:name="_Toc508216929"/>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9.6 投诉</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质疑供应商对采购人、采购代理机构的答复不满意的，或者采购人、采购代理机构未在规定时间内作出答复的，可以在答复期满后15个工作日内向</w:t>
      </w:r>
      <w:r>
        <w:rPr>
          <w:rFonts w:hint="eastAsia" w:ascii="仿宋" w:hAnsi="仿宋" w:eastAsia="仿宋" w:cs="仿宋"/>
          <w:color w:val="auto"/>
          <w:sz w:val="24"/>
          <w:highlight w:val="none"/>
          <w:lang w:val="en-US" w:eastAsia="zh-CN"/>
        </w:rPr>
        <w:t>财政</w:t>
      </w:r>
      <w:r>
        <w:rPr>
          <w:rFonts w:hint="eastAsia" w:ascii="仿宋" w:hAnsi="仿宋" w:eastAsia="仿宋" w:cs="仿宋"/>
          <w:color w:val="auto"/>
          <w:sz w:val="24"/>
          <w:highlight w:val="none"/>
        </w:rPr>
        <w:t>部门提起投诉。提起投诉应当符合财政部令第94号《政府采购质疑和投诉办法》相关规定。</w:t>
      </w:r>
    </w:p>
    <w:p>
      <w:pPr>
        <w:pStyle w:val="5"/>
        <w:spacing w:before="0" w:after="0" w:line="520" w:lineRule="exact"/>
        <w:ind w:firstLine="480" w:firstLineChars="2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9.7差别待遇或者歧视待遇现象</w:t>
      </w:r>
      <w:bookmarkEnd w:id="408"/>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采购人或者采购代理机构有下列情形之一的，属于以不合理的条件对供应商实行差别待遇或者歧视待遇：</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（一）就同一采购项目向供应商提供有差别的项目信息；</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（二）设定的资格、技术、商务条件与采购项目的具体特点和实际需要不相适应或者与合同履行无关；</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（三）采购需求中的技术、服务等要求指向特定供应商、特定产品；</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（四）以特定行政区域或者特定行业的业绩、奖项作为加分条件或者中标、成交条件；</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（五）对供应商采取不同的资格审查或者评审标准；</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（六）限定或者指定特定的专利、商标、品牌或者供应商；</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（七）非法限定供应商的所有制形式、组织形式或者所在地；</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（八）以其他不合理条件限制或者排斥潜在供应商。</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若有以上现象，评委将根据本招标文件相关条款执行。</w:t>
      </w:r>
    </w:p>
    <w:p>
      <w:pPr>
        <w:pStyle w:val="24"/>
        <w:spacing w:line="52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10.采购人需要补充的其他内容</w:t>
      </w:r>
      <w:bookmarkEnd w:id="358"/>
      <w:bookmarkEnd w:id="359"/>
      <w:bookmarkEnd w:id="360"/>
      <w:bookmarkEnd w:id="361"/>
      <w:bookmarkEnd w:id="362"/>
      <w:bookmarkEnd w:id="363"/>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10.1本项目</w:t>
      </w:r>
      <w:r>
        <w:rPr>
          <w:rFonts w:hint="eastAsia" w:ascii="仿宋" w:hAnsi="仿宋" w:eastAsia="仿宋" w:cs="仿宋"/>
          <w:b/>
          <w:color w:val="auto"/>
          <w:sz w:val="24"/>
          <w:highlight w:val="none"/>
        </w:rPr>
        <w:t>代理服务费用参照关于印发《江苏省招标代理服务收费的指导意见》的通知（苏招协[2022]002）收费标准的40%向中标人收取，请投标人考虑在投标报价中，</w:t>
      </w:r>
      <w:r>
        <w:rPr>
          <w:rFonts w:hint="eastAsia" w:ascii="仿宋" w:hAnsi="仿宋" w:eastAsia="仿宋" w:cs="仿宋"/>
          <w:color w:val="auto"/>
          <w:sz w:val="24"/>
          <w:highlight w:val="none"/>
        </w:rPr>
        <w:t>但不单列，分摊至投标报价内。项目结算时采购人不另行支付任何费用。</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10.2根据《关于深入推进政府采购线上合同信用融资工作的通知》（苏财购[2021]82号）,支持中小企业融资。政府采购中标、成交供应商应当及时向采购人提出“政采贷”融资申请书面材料。采购人、代理机构应当配合金融机构和中标、成交供应商，依法按时在“苏采云”系统中录入并公开政府采购合同信息时，勾选“融资贷款”选项“是”，积极支持中标、成交供应商降低参与政府采购的融资成本。</w:t>
      </w:r>
    </w:p>
    <w:p>
      <w:pPr>
        <w:spacing w:before="260" w:after="260" w:line="520" w:lineRule="exact"/>
        <w:ind w:firstLine="482" w:firstLineChars="20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11. 解释权</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⑴凡是构成合同文件组成内容的不明确或不一致，以合同文件约定内容为准；</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⑵凡不是构成合同文件组成内容的不明确或不一致，除招标文件中有特别规定外，仅适用于招标投标阶段的规定，按招标公告、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⑶按本款前述规定仍不能形成结论的，由采购人负责解释。</w:t>
      </w:r>
    </w:p>
    <w:p>
      <w:pPr>
        <w:spacing w:before="260" w:after="260" w:line="520" w:lineRule="exact"/>
        <w:ind w:firstLine="482" w:firstLineChars="20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12.其他</w:t>
      </w:r>
    </w:p>
    <w:p>
      <w:pPr>
        <w:tabs>
          <w:tab w:val="left" w:pos="920"/>
        </w:tabs>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1、本招标文件时间均以中华人民共和国北京时间为准，所涉及金额的币种均为人民币。</w:t>
      </w:r>
    </w:p>
    <w:p>
      <w:pPr>
        <w:tabs>
          <w:tab w:val="left" w:pos="920"/>
        </w:tabs>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 凡参与本项目投标的投标人，视同已踏勘过项目现场和研究了本招标文件的所有内容，并无保留地接受招标文件的所有条款（含招标答疑、补充通知等）。</w:t>
      </w:r>
    </w:p>
    <w:p>
      <w:pPr>
        <w:tabs>
          <w:tab w:val="left" w:pos="920"/>
        </w:tabs>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3、本招标文件未尽事宜，按国家和省法律法规、规章要求处理。</w:t>
      </w:r>
    </w:p>
    <w:p>
      <w:pPr>
        <w:tabs>
          <w:tab w:val="left" w:pos="920"/>
        </w:tabs>
        <w:spacing w:line="5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4、本招标文件的解释权归采购人所有。</w:t>
      </w:r>
    </w:p>
    <w:p>
      <w:pPr>
        <w:spacing w:line="520" w:lineRule="exact"/>
        <w:ind w:firstLine="480" w:firstLineChars="200"/>
        <w:jc w:val="center"/>
        <w:rPr>
          <w:rFonts w:hint="eastAsia" w:ascii="仿宋" w:hAnsi="仿宋" w:eastAsia="仿宋" w:cs="仿宋"/>
          <w:b/>
          <w:bCs/>
          <w:color w:val="auto"/>
          <w:kern w:val="44"/>
          <w:sz w:val="24"/>
          <w:highlight w:val="none"/>
        </w:rPr>
      </w:pPr>
      <w:r>
        <w:rPr>
          <w:rFonts w:hint="eastAsia" w:ascii="仿宋" w:hAnsi="仿宋" w:eastAsia="仿宋" w:cs="仿宋"/>
          <w:color w:val="auto"/>
          <w:sz w:val="24"/>
          <w:highlight w:val="none"/>
        </w:rPr>
        <w:br w:type="page"/>
      </w:r>
      <w:bookmarkStart w:id="409" w:name="_Toc448306456"/>
      <w:bookmarkStart w:id="410" w:name="_Toc397928599"/>
      <w:r>
        <w:rPr>
          <w:rFonts w:hint="eastAsia" w:ascii="仿宋" w:hAnsi="仿宋" w:eastAsia="仿宋" w:cs="仿宋"/>
          <w:b/>
          <w:bCs/>
          <w:color w:val="auto"/>
          <w:kern w:val="44"/>
          <w:sz w:val="32"/>
          <w:szCs w:val="32"/>
          <w:highlight w:val="none"/>
        </w:rPr>
        <w:t>第三章 评标办法（综合评分法）</w:t>
      </w:r>
      <w:bookmarkEnd w:id="409"/>
      <w:bookmarkEnd w:id="410"/>
    </w:p>
    <w:p>
      <w:pPr>
        <w:pStyle w:val="4"/>
        <w:spacing w:line="52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评标方法</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4"/>
        <w:spacing w:line="520" w:lineRule="exact"/>
        <w:ind w:firstLine="482" w:firstLineChars="200"/>
        <w:rPr>
          <w:rFonts w:hint="eastAsia" w:ascii="仿宋" w:hAnsi="仿宋" w:eastAsia="仿宋" w:cs="仿宋"/>
          <w:color w:val="auto"/>
          <w:sz w:val="24"/>
          <w:szCs w:val="24"/>
          <w:highlight w:val="none"/>
        </w:rPr>
      </w:pPr>
      <w:bookmarkStart w:id="411" w:name="_Toc397928602"/>
      <w:bookmarkStart w:id="412" w:name="_Toc184635094"/>
      <w:bookmarkStart w:id="413" w:name="_Toc448306458"/>
      <w:bookmarkStart w:id="414" w:name="_Toc10088"/>
      <w:r>
        <w:rPr>
          <w:rFonts w:hint="eastAsia" w:ascii="仿宋" w:hAnsi="仿宋" w:eastAsia="仿宋" w:cs="仿宋"/>
          <w:color w:val="auto"/>
          <w:sz w:val="24"/>
          <w:szCs w:val="24"/>
          <w:highlight w:val="none"/>
        </w:rPr>
        <w:t>2． 评审标准</w:t>
      </w:r>
      <w:bookmarkEnd w:id="411"/>
      <w:bookmarkEnd w:id="412"/>
      <w:bookmarkEnd w:id="413"/>
      <w:bookmarkEnd w:id="414"/>
    </w:p>
    <w:p>
      <w:pPr>
        <w:pStyle w:val="5"/>
        <w:spacing w:line="520" w:lineRule="exact"/>
        <w:ind w:firstLine="480" w:firstLineChars="200"/>
        <w:rPr>
          <w:rFonts w:hint="eastAsia" w:ascii="仿宋" w:hAnsi="仿宋" w:eastAsia="仿宋" w:cs="仿宋"/>
          <w:color w:val="auto"/>
          <w:szCs w:val="24"/>
          <w:highlight w:val="none"/>
        </w:rPr>
      </w:pPr>
      <w:bookmarkStart w:id="415" w:name="_Toc397928603"/>
      <w:bookmarkStart w:id="416" w:name="_Toc314"/>
      <w:bookmarkStart w:id="417" w:name="_Toc448306459"/>
      <w:r>
        <w:rPr>
          <w:rFonts w:hint="eastAsia" w:ascii="仿宋" w:hAnsi="仿宋" w:eastAsia="仿宋" w:cs="仿宋"/>
          <w:color w:val="auto"/>
          <w:szCs w:val="24"/>
          <w:highlight w:val="none"/>
        </w:rPr>
        <w:t>2.1 初步评审标准</w:t>
      </w:r>
      <w:bookmarkEnd w:id="415"/>
      <w:bookmarkEnd w:id="416"/>
      <w:bookmarkEnd w:id="417"/>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资质性评审标准：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详见投标人须知第3.5项要求内容。</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符合性评审标准：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依据招标文件的规定，从投标文件的有效性、完整性和对招标文件的响应程度进行审查，以确定是否对招标文件的实质性要求作出响应。</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审查标准主要有投标文件签字盖章、投标文件的组成、投标文件及报价唯一、合同履行期限、质量要求等方面。</w:t>
      </w:r>
    </w:p>
    <w:p>
      <w:pPr>
        <w:pStyle w:val="5"/>
        <w:spacing w:line="520" w:lineRule="exact"/>
        <w:ind w:firstLine="480" w:firstLineChars="200"/>
        <w:rPr>
          <w:rFonts w:hint="eastAsia" w:ascii="仿宋" w:hAnsi="仿宋" w:eastAsia="仿宋" w:cs="仿宋"/>
          <w:color w:val="auto"/>
          <w:szCs w:val="24"/>
          <w:highlight w:val="none"/>
        </w:rPr>
      </w:pPr>
      <w:bookmarkStart w:id="418" w:name="_Toc32592"/>
      <w:bookmarkStart w:id="419" w:name="_Toc397928604"/>
      <w:bookmarkStart w:id="420" w:name="_Toc448306460"/>
      <w:r>
        <w:rPr>
          <w:rFonts w:hint="eastAsia" w:ascii="仿宋" w:hAnsi="仿宋" w:eastAsia="仿宋" w:cs="仿宋"/>
          <w:color w:val="auto"/>
          <w:szCs w:val="24"/>
          <w:highlight w:val="none"/>
        </w:rPr>
        <w:t>2.2 分值构成与评分标准</w:t>
      </w:r>
      <w:bookmarkEnd w:id="418"/>
      <w:bookmarkEnd w:id="419"/>
      <w:bookmarkEnd w:id="420"/>
    </w:p>
    <w:p>
      <w:pPr>
        <w:spacing w:line="520" w:lineRule="exact"/>
        <w:ind w:firstLine="480" w:firstLineChars="200"/>
        <w:rPr>
          <w:rFonts w:hint="eastAsia" w:ascii="仿宋" w:hAnsi="仿宋" w:eastAsia="仿宋" w:cs="仿宋"/>
          <w:color w:val="auto"/>
          <w:sz w:val="24"/>
          <w:highlight w:val="none"/>
        </w:rPr>
      </w:pPr>
    </w:p>
    <w:tbl>
      <w:tblPr>
        <w:tblStyle w:val="16"/>
        <w:tblW w:w="10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566"/>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评审项目</w:t>
            </w:r>
          </w:p>
        </w:tc>
        <w:tc>
          <w:tcPr>
            <w:tcW w:w="78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投标报价</w:t>
            </w:r>
          </w:p>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（30分）</w:t>
            </w:r>
          </w:p>
        </w:tc>
        <w:tc>
          <w:tcPr>
            <w:tcW w:w="7874" w:type="dxa"/>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价格分采用低价优先法计算，即满足招标文件要求且投标价格最低的投标报价为评标基准价，报价得分按照下列公式计算：投标报价得分=（评标基准价/投标报价）×30，结果保留两位小数。（有效投标报价为未被评标委员会判定为无效标的投标文件）。</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注：1、小微型企业价格扣除</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（1）本项目对小型和微型企业产品给予20%的扣除价格，用扣除后的价格参与评审。</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（2）供应商需按照采购文件的要求提供相应的《企业声明函》。</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（3）企业标准请参照《关于印发中小企业划型标准规定的通知》（工信部联企业[2011]300号）文件规定自行填写。</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（4）在货物采购项目中，供应商提供的货物既有中小企业制造货物，也有大型企业制造货物的，不享受本办法规定的中小企业扶持政策。</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2、残疾人福利单位价格扣除</w:t>
            </w:r>
          </w:p>
          <w:p>
            <w:pPr>
              <w:ind w:left="-10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（1）本项目对残疾人福利性单位视同小型、微型企业，给予20%的价格扣除，用扣除后的价格参与评审。</w:t>
            </w:r>
          </w:p>
          <w:p>
            <w:pPr>
              <w:ind w:left="-10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（2）残疾人福利单位需提供《残疾人福利性单位声明函》。</w:t>
            </w:r>
          </w:p>
          <w:p>
            <w:pPr>
              <w:ind w:left="-10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（3）残疾人福利单位标准请参照《关于促进残疾人就业政府采购政策的通知》（财库〔2017〕141号）。</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3、监狱和戒毒企业价格扣除</w:t>
            </w:r>
          </w:p>
          <w:p>
            <w:pPr>
              <w:ind w:left="-10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（1）本项目对监狱和戒毒企业（简称监狱企业）视同小型、微型企业，给予20%的价格扣除，用扣除后的价格参与评审。</w:t>
            </w:r>
          </w:p>
          <w:p>
            <w:pPr>
              <w:ind w:left="-10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（2）监狱企业参加政府采购活动时，需提供由省级以上监狱管理局、戒毒管理局(含新疆生产建设兵团)出具的属于监狱企业的证明文件。供应商如不提供上述证明文件，价格将不做相应扣除。</w:t>
            </w:r>
          </w:p>
          <w:p>
            <w:pPr>
              <w:ind w:left="-10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（3）监狱企业标准请参照《关于政府采购支持监狱企业发展有关问题的通知》（财库[2014]68号）。</w:t>
            </w:r>
          </w:p>
          <w:p>
            <w:pPr>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4、残疾人福利单位、监狱企业属于小型、微型企业的，不重复享受政策。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148"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w:t>
            </w:r>
          </w:p>
        </w:tc>
        <w:tc>
          <w:tcPr>
            <w:tcW w:w="1566" w:type="dxa"/>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技术参数</w:t>
            </w:r>
          </w:p>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响应</w:t>
            </w:r>
          </w:p>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w:t>
            </w:r>
            <w:r>
              <w:rPr>
                <w:rFonts w:hint="eastAsia" w:ascii="仿宋" w:hAnsi="仿宋" w:eastAsia="仿宋" w:cs="仿宋"/>
                <w:bCs/>
                <w:color w:val="auto"/>
                <w:sz w:val="24"/>
                <w:highlight w:val="none"/>
                <w:lang w:val="en-US" w:eastAsia="zh-CN"/>
              </w:rPr>
              <w:t>8</w:t>
            </w:r>
            <w:r>
              <w:rPr>
                <w:rFonts w:hint="eastAsia" w:ascii="仿宋" w:hAnsi="仿宋" w:eastAsia="仿宋" w:cs="仿宋"/>
                <w:bCs/>
                <w:color w:val="auto"/>
                <w:sz w:val="24"/>
                <w:highlight w:val="none"/>
              </w:rPr>
              <w:t>分）</w:t>
            </w:r>
          </w:p>
        </w:tc>
        <w:tc>
          <w:tcPr>
            <w:tcW w:w="7874" w:type="dxa"/>
            <w:tcBorders>
              <w:top w:val="single" w:color="auto" w:sz="4" w:space="0"/>
              <w:left w:val="single" w:color="auto" w:sz="4" w:space="0"/>
              <w:bottom w:val="single" w:color="auto" w:sz="4" w:space="0"/>
              <w:right w:val="single" w:color="auto" w:sz="4" w:space="0"/>
            </w:tcBorders>
            <w:noWrap w:val="0"/>
            <w:vAlign w:val="center"/>
          </w:tcPr>
          <w:p>
            <w:pPr>
              <w:pStyle w:val="6"/>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满足标书第四章采购需求中基本要求得</w:t>
            </w:r>
            <w:r>
              <w:rPr>
                <w:rFonts w:hint="eastAsia" w:ascii="仿宋" w:hAnsi="仿宋" w:eastAsia="仿宋" w:cs="仿宋"/>
                <w:b w:val="0"/>
                <w:bCs/>
                <w:color w:val="auto"/>
                <w:szCs w:val="24"/>
                <w:highlight w:val="none"/>
                <w:lang w:val="en-US" w:eastAsia="zh-CN"/>
              </w:rPr>
              <w:t>38</w:t>
            </w:r>
            <w:r>
              <w:rPr>
                <w:rFonts w:hint="eastAsia" w:ascii="仿宋" w:hAnsi="仿宋" w:eastAsia="仿宋" w:cs="仿宋"/>
                <w:b w:val="0"/>
                <w:bCs/>
                <w:color w:val="auto"/>
                <w:szCs w:val="24"/>
                <w:highlight w:val="none"/>
              </w:rPr>
              <w:t>分，有</w:t>
            </w:r>
            <w:r>
              <w:rPr>
                <w:rFonts w:hint="eastAsia" w:ascii="仿宋" w:hAnsi="仿宋" w:eastAsia="仿宋" w:cs="仿宋"/>
                <w:b w:val="0"/>
                <w:color w:val="auto"/>
                <w:szCs w:val="24"/>
                <w:highlight w:val="none"/>
                <w:shd w:val="clear" w:color="auto" w:fill="FFFFFF"/>
              </w:rPr>
              <w:t>▲</w:t>
            </w:r>
            <w:r>
              <w:rPr>
                <w:rFonts w:hint="eastAsia" w:ascii="仿宋" w:hAnsi="仿宋" w:eastAsia="仿宋" w:cs="仿宋"/>
                <w:b w:val="0"/>
                <w:bCs/>
                <w:color w:val="auto"/>
                <w:szCs w:val="24"/>
                <w:highlight w:val="none"/>
              </w:rPr>
              <w:t>一项负偏离扣3分；非</w:t>
            </w:r>
            <w:r>
              <w:rPr>
                <w:rFonts w:hint="eastAsia" w:ascii="仿宋" w:hAnsi="仿宋" w:eastAsia="仿宋" w:cs="仿宋"/>
                <w:b w:val="0"/>
                <w:color w:val="auto"/>
                <w:szCs w:val="24"/>
                <w:highlight w:val="none"/>
                <w:shd w:val="clear" w:color="auto" w:fill="FFFFFF"/>
              </w:rPr>
              <w:t>▲</w:t>
            </w:r>
            <w:r>
              <w:rPr>
                <w:rFonts w:hint="eastAsia" w:ascii="仿宋" w:hAnsi="仿宋" w:eastAsia="仿宋" w:cs="仿宋"/>
                <w:b w:val="0"/>
                <w:bCs/>
                <w:color w:val="auto"/>
                <w:szCs w:val="24"/>
                <w:highlight w:val="none"/>
              </w:rPr>
              <w:t>号指标每负偏离一项扣1分，扣完为止。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148"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三</w:t>
            </w:r>
          </w:p>
        </w:tc>
        <w:tc>
          <w:tcPr>
            <w:tcW w:w="1566" w:type="dxa"/>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业绩</w:t>
            </w:r>
          </w:p>
          <w:p>
            <w:pPr>
              <w:widowControl/>
              <w:jc w:val="center"/>
              <w:rPr>
                <w:rFonts w:hint="eastAsia" w:ascii="仿宋" w:hAnsi="仿宋" w:eastAsia="仿宋" w:cs="仿宋"/>
                <w:color w:val="auto"/>
                <w:szCs w:val="24"/>
                <w:highlight w:val="none"/>
              </w:rPr>
            </w:pPr>
            <w:r>
              <w:rPr>
                <w:rFonts w:hint="eastAsia" w:ascii="仿宋" w:hAnsi="仿宋" w:eastAsia="仿宋" w:cs="仿宋"/>
                <w:bCs/>
                <w:color w:val="auto"/>
                <w:sz w:val="24"/>
                <w:highlight w:val="none"/>
              </w:rPr>
              <w:t>（6分）</w:t>
            </w:r>
          </w:p>
        </w:tc>
        <w:tc>
          <w:tcPr>
            <w:tcW w:w="7874" w:type="dxa"/>
            <w:tcBorders>
              <w:top w:val="single" w:color="auto" w:sz="4" w:space="0"/>
              <w:left w:val="single" w:color="auto" w:sz="4" w:space="0"/>
              <w:bottom w:val="single" w:color="auto" w:sz="4" w:space="0"/>
              <w:right w:val="single" w:color="auto" w:sz="4" w:space="0"/>
            </w:tcBorders>
            <w:noWrap w:val="0"/>
            <w:vAlign w:val="center"/>
          </w:tcPr>
          <w:p>
            <w:pPr>
              <w:pStyle w:val="6"/>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color w:val="auto"/>
                <w:szCs w:val="24"/>
                <w:highlight w:val="none"/>
              </w:rPr>
              <w:t>投标人提供近三年以来（自2021 年 1 月 1 日至今），具有二级甲等及以上综合医院类似小车物流设备维保的成功维保经验的,每</w:t>
            </w:r>
            <w:r>
              <w:rPr>
                <w:rFonts w:hint="eastAsia" w:ascii="仿宋" w:hAnsi="仿宋" w:eastAsia="仿宋" w:cs="仿宋"/>
                <w:b w:val="0"/>
                <w:bCs/>
                <w:color w:val="auto"/>
                <w:szCs w:val="24"/>
                <w:highlight w:val="none"/>
              </w:rPr>
              <w:t>供一个业绩得2分，最高6分，投标人投标时需提供以下业绩证明材料：</w:t>
            </w:r>
          </w:p>
          <w:p>
            <w:pPr>
              <w:pStyle w:val="6"/>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（1）维保</w:t>
            </w:r>
            <w:r>
              <w:rPr>
                <w:rFonts w:hint="eastAsia" w:ascii="仿宋" w:hAnsi="仿宋" w:eastAsia="仿宋" w:cs="仿宋"/>
                <w:b w:val="0"/>
                <w:bCs/>
                <w:color w:val="auto"/>
                <w:szCs w:val="24"/>
                <w:highlight w:val="none"/>
              </w:rPr>
              <w:t>合同；</w:t>
            </w:r>
          </w:p>
          <w:p>
            <w:pPr>
              <w:pStyle w:val="6"/>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注：</w:t>
            </w:r>
          </w:p>
          <w:p>
            <w:pPr>
              <w:pStyle w:val="6"/>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投标人投标时的业绩证明材料可以提供相应材料的复印件（加盖投标单位印章）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四</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服务方案</w:t>
            </w:r>
          </w:p>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（25分）</w:t>
            </w:r>
          </w:p>
        </w:tc>
        <w:tc>
          <w:tcPr>
            <w:tcW w:w="787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总体服务方案（5分）</w:t>
            </w:r>
          </w:p>
          <w:p>
            <w:pPr>
              <w:pStyle w:val="15"/>
              <w:ind w:left="0" w:leftChars="0" w:firstLine="48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评标委员会根据供应商提供维保方案中的整体服务方案、服务措施和服务管理标准，从工作方案是否完整，措施是否有效扎实，管理责任是否清晰，内容的科学合理性、完整性、可实施性等方面在1-5分之间打分，未提供相应内容的不得分。</w:t>
            </w:r>
          </w:p>
          <w:p>
            <w:pPr>
              <w:widowControl/>
              <w:numPr>
                <w:ilvl w:val="0"/>
                <w:numId w:val="3"/>
              </w:numPr>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人员配置（5分）</w:t>
            </w:r>
          </w:p>
          <w:p>
            <w:pPr>
              <w:pStyle w:val="15"/>
              <w:ind w:left="0" w:leftChars="0" w:firstLine="48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评标委员会根据供应商提供维保方案中的相关驻场人员制定的管理制度、设备巡检制度、人员培训制度、考核奖惩制度、人员安全防护制度等，从内容的科学合理性、完整性、可实施性等方面在1-5分之间打分，未提供相应内容的不得分。</w:t>
            </w:r>
          </w:p>
          <w:p>
            <w:pPr>
              <w:widowControl/>
              <w:numPr>
                <w:ilvl w:val="0"/>
                <w:numId w:val="3"/>
              </w:numPr>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保障措施 (5分)</w:t>
            </w:r>
          </w:p>
          <w:p>
            <w:pPr>
              <w:pStyle w:val="15"/>
              <w:ind w:left="0" w:leftChars="0" w:firstLine="48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评标委员会根据供应商提供维保方案中的进度计划和各阶段进度的保证措施，从内容的科学合理性、完整性、可实施性等方面在1-5分之间打分，未提供相应内容的不得分。</w:t>
            </w:r>
          </w:p>
          <w:p>
            <w:pPr>
              <w:widowControl/>
              <w:numPr>
                <w:ilvl w:val="0"/>
                <w:numId w:val="3"/>
              </w:numPr>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备品备件供应（5分）</w:t>
            </w:r>
          </w:p>
          <w:p>
            <w:pPr>
              <w:pStyle w:val="15"/>
              <w:ind w:left="0" w:leftChars="0" w:firstLine="48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评标委员会根据供应商提供维保方案中的质量保证措施，从内容的科学合理性、完整性、可实施性等方面在1-5分之间打分，未提供相应内容的不得分。</w:t>
            </w:r>
          </w:p>
          <w:p>
            <w:pPr>
              <w:pStyle w:val="15"/>
              <w:ind w:left="0" w:leftChars="0" w:firstLine="48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5、突发事件的应急处理方案（5分）</w:t>
            </w:r>
          </w:p>
          <w:p>
            <w:pPr>
              <w:pStyle w:val="15"/>
              <w:ind w:left="0" w:leftChars="0" w:firstLine="480"/>
              <w:rPr>
                <w:rFonts w:hint="eastAsia" w:ascii="仿宋" w:hAnsi="仿宋" w:eastAsia="仿宋" w:cs="仿宋"/>
                <w:b w:val="0"/>
                <w:bCs/>
                <w:color w:val="auto"/>
                <w:szCs w:val="24"/>
                <w:highlight w:val="none"/>
              </w:rPr>
            </w:pPr>
            <w:r>
              <w:rPr>
                <w:rFonts w:hint="eastAsia" w:ascii="仿宋" w:hAnsi="仿宋" w:eastAsia="仿宋" w:cs="仿宋"/>
                <w:bCs/>
                <w:color w:val="auto"/>
                <w:szCs w:val="24"/>
                <w:highlight w:val="none"/>
              </w:rPr>
              <w:t>评标委员会根据供应商提供维保方案中的应对突发事件的应急预案，包括但不仅限于遭遇恶劣天气，医院停电，发生火灾及人员安全及医院临时要求等突发事件，从内容的科学合理性、完整性、可实施性等方面在1-5分之间打分，未提供相应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五</w:t>
            </w:r>
          </w:p>
        </w:tc>
        <w:tc>
          <w:tcPr>
            <w:tcW w:w="1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承诺书</w:t>
            </w:r>
          </w:p>
          <w:p>
            <w:pPr>
              <w:widowControl/>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（1分）</w:t>
            </w:r>
          </w:p>
        </w:tc>
        <w:tc>
          <w:tcPr>
            <w:tcW w:w="787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 w:val="24"/>
                <w:highlight w:val="none"/>
              </w:rPr>
              <w:t>投标文件中提供《盐城市大丰区政府招标采购供应商承诺书》的得1分，为提供不得分。</w:t>
            </w:r>
          </w:p>
        </w:tc>
      </w:tr>
    </w:tbl>
    <w:p>
      <w:pPr>
        <w:spacing w:line="520" w:lineRule="exact"/>
        <w:ind w:firstLine="482" w:firstLineChars="200"/>
        <w:rPr>
          <w:rFonts w:hint="eastAsia" w:ascii="仿宋" w:hAnsi="仿宋" w:eastAsia="仿宋" w:cs="仿宋"/>
          <w:color w:val="auto"/>
          <w:sz w:val="24"/>
          <w:highlight w:val="none"/>
        </w:rPr>
      </w:pPr>
      <w:bookmarkStart w:id="421" w:name="_Toc184635095"/>
      <w:bookmarkStart w:id="422" w:name="_Toc448306461"/>
      <w:bookmarkStart w:id="423" w:name="_Toc397928605"/>
      <w:bookmarkStart w:id="424" w:name="_Toc25437"/>
      <w:bookmarkStart w:id="425" w:name="_Toc246996995"/>
      <w:bookmarkStart w:id="426" w:name="_Toc179632627"/>
      <w:bookmarkStart w:id="427" w:name="_Toc387526436"/>
      <w:bookmarkStart w:id="428" w:name="_Toc247085767"/>
      <w:bookmarkStart w:id="429" w:name="_Toc17692"/>
      <w:bookmarkStart w:id="430" w:name="_Toc144974577"/>
      <w:bookmarkStart w:id="431" w:name="_Toc152045609"/>
      <w:bookmarkStart w:id="432" w:name="_Toc387526240"/>
      <w:bookmarkStart w:id="433" w:name="_Toc246996252"/>
      <w:bookmarkStart w:id="434" w:name="_Toc366679736"/>
      <w:bookmarkStart w:id="435" w:name="_Toc152042387"/>
      <w:bookmarkStart w:id="436" w:name="_Toc397928625"/>
      <w:bookmarkStart w:id="437" w:name="_Toc448306476"/>
      <w:bookmarkStart w:id="438" w:name="_Toc387526344"/>
      <w:r>
        <w:rPr>
          <w:rFonts w:hint="eastAsia" w:ascii="仿宋" w:hAnsi="仿宋" w:eastAsia="仿宋" w:cs="仿宋"/>
          <w:b/>
          <w:bCs/>
          <w:color w:val="auto"/>
          <w:sz w:val="24"/>
          <w:highlight w:val="none"/>
        </w:rPr>
        <w:t>3.评标程序</w:t>
      </w:r>
      <w:bookmarkEnd w:id="421"/>
      <w:bookmarkEnd w:id="422"/>
      <w:bookmarkEnd w:id="423"/>
      <w:bookmarkEnd w:id="424"/>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 评标准备</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3.1.1 评标委员会成员到达评标现场时应在签到表上签到以证明其出席。</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3.1.2 评标委员会成员首先推选一名评标委员会负责人，负责评标活动的组织领导工作。</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3.1.3 采购人或采购代理机构应向评标委员会提供评标所需的信息和数据。评标委员会负责人应组织评标委员会成员认真研究招标文件，未在招标文件中规定的标准和方法不得作为评标的依据。</w:t>
      </w:r>
    </w:p>
    <w:p>
      <w:pPr>
        <w:pStyle w:val="5"/>
        <w:spacing w:before="0" w:after="0" w:line="520" w:lineRule="exact"/>
        <w:ind w:firstLine="480" w:firstLineChars="200"/>
        <w:rPr>
          <w:rFonts w:hint="eastAsia" w:ascii="仿宋" w:hAnsi="仿宋" w:eastAsia="仿宋" w:cs="仿宋"/>
          <w:color w:val="auto"/>
          <w:szCs w:val="24"/>
          <w:highlight w:val="none"/>
        </w:rPr>
      </w:pPr>
      <w:bookmarkStart w:id="439" w:name="_Toc6331"/>
      <w:bookmarkStart w:id="440" w:name="_Toc448306463"/>
      <w:bookmarkStart w:id="441" w:name="_Toc397928607"/>
      <w:r>
        <w:rPr>
          <w:rFonts w:hint="eastAsia" w:ascii="仿宋" w:hAnsi="仿宋" w:eastAsia="仿宋" w:cs="仿宋"/>
          <w:color w:val="auto"/>
          <w:szCs w:val="24"/>
          <w:highlight w:val="none"/>
        </w:rPr>
        <w:t>3.2 初步评审</w:t>
      </w:r>
      <w:bookmarkEnd w:id="439"/>
      <w:bookmarkEnd w:id="440"/>
      <w:bookmarkEnd w:id="441"/>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3.2.1评标委员会依据本章第2.1 款规定的标准对投标文件进行初步评审。</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3.2.2投标文件不符合本章第2.1款评审标准的，属于重大偏差，视为未能对招标文件作出实质性响应，应当作为无效投标予以否决。</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3.2.3对照投标人须知6.5款，投标文件有上述情况之一，视为未能对招标文件作出实质性响应，凡招标文件未明确标明无效标条款的，评标委员会不得作为判定无效投标的依据。</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投标报价有算术错误的，评标委员会按以下原则对投标报价进行修正，修正的价格经投标人书面确认后具有约束力。</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(1）投标文件中的大写金额与小写金额不一致的，以大写金额为准；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(2）总价金额与依据单价计算出的结果不一致的，以单价金额为准修正总价，但单价金额小数点有明显错误的除外。</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3.2.5只有通过初步评审的投标文件才能进入详细评审。</w:t>
      </w:r>
    </w:p>
    <w:p>
      <w:pPr>
        <w:pStyle w:val="5"/>
        <w:spacing w:before="0" w:after="0" w:line="520" w:lineRule="exact"/>
        <w:ind w:firstLine="480" w:firstLineChars="200"/>
        <w:rPr>
          <w:rFonts w:hint="eastAsia" w:ascii="仿宋" w:hAnsi="仿宋" w:eastAsia="仿宋" w:cs="仿宋"/>
          <w:color w:val="auto"/>
          <w:szCs w:val="24"/>
          <w:highlight w:val="none"/>
        </w:rPr>
      </w:pPr>
      <w:bookmarkStart w:id="442" w:name="_Toc7389"/>
      <w:bookmarkStart w:id="443" w:name="_Toc397928608"/>
      <w:bookmarkStart w:id="444" w:name="_Toc448306464"/>
      <w:r>
        <w:rPr>
          <w:rFonts w:hint="eastAsia" w:ascii="仿宋" w:hAnsi="仿宋" w:eastAsia="仿宋" w:cs="仿宋"/>
          <w:color w:val="auto"/>
          <w:szCs w:val="24"/>
          <w:highlight w:val="none"/>
        </w:rPr>
        <w:t>3.3 详细评审</w:t>
      </w:r>
      <w:bookmarkEnd w:id="442"/>
      <w:bookmarkEnd w:id="443"/>
      <w:bookmarkEnd w:id="444"/>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 在详细评审发现符合“无效标书条款”的，应当作为无效投标予以否决，其投标报价亦不作为评标基准价A值的依据。</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3.3.2 评标委员会按本章第2.2款规定的量化因素和分值进行打分，并计算出综合评估得分。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 评分分值计算保留小数点后两位，小数点后第三位“四舍五入”。</w:t>
      </w:r>
    </w:p>
    <w:p>
      <w:pPr>
        <w:pStyle w:val="5"/>
        <w:spacing w:before="0" w:after="0" w:line="520" w:lineRule="exact"/>
        <w:ind w:firstLine="480" w:firstLineChars="200"/>
        <w:rPr>
          <w:rFonts w:hint="eastAsia" w:ascii="仿宋" w:hAnsi="仿宋" w:eastAsia="仿宋" w:cs="仿宋"/>
          <w:color w:val="auto"/>
          <w:szCs w:val="24"/>
          <w:highlight w:val="none"/>
        </w:rPr>
      </w:pPr>
      <w:bookmarkStart w:id="445" w:name="_Toc397928609"/>
      <w:bookmarkStart w:id="446" w:name="_Toc5826"/>
      <w:bookmarkStart w:id="447" w:name="_Toc448306465"/>
      <w:r>
        <w:rPr>
          <w:rFonts w:hint="eastAsia" w:ascii="仿宋" w:hAnsi="仿宋" w:eastAsia="仿宋" w:cs="仿宋"/>
          <w:color w:val="auto"/>
          <w:szCs w:val="24"/>
          <w:highlight w:val="none"/>
        </w:rPr>
        <w:t>3.4 投标文件的澄清和补正</w:t>
      </w:r>
      <w:bookmarkEnd w:id="445"/>
      <w:bookmarkEnd w:id="446"/>
      <w:bookmarkEnd w:id="447"/>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 澄清、说明和补正不得改变投标文件的实质性内容（算术性错误修正的除外）。投标人的书面澄清、说明和补正属于投标文件的组成部分。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3.4.3 评标委员会对投标人提交的澄清、说明或补正有疑问的，可以要求投标人进一步澄清、说明或补正。</w:t>
      </w:r>
    </w:p>
    <w:p>
      <w:pPr>
        <w:pStyle w:val="5"/>
        <w:spacing w:before="0" w:after="0" w:line="520" w:lineRule="exact"/>
        <w:ind w:firstLine="480" w:firstLineChars="200"/>
        <w:rPr>
          <w:rFonts w:hint="eastAsia" w:ascii="仿宋" w:hAnsi="仿宋" w:eastAsia="仿宋" w:cs="仿宋"/>
          <w:b/>
          <w:color w:val="auto"/>
          <w:kern w:val="0"/>
          <w:szCs w:val="24"/>
          <w:highlight w:val="none"/>
        </w:rPr>
      </w:pPr>
      <w:bookmarkStart w:id="448" w:name="_Toc29288"/>
      <w:bookmarkStart w:id="449" w:name="_Toc448306466"/>
      <w:bookmarkStart w:id="450" w:name="_Toc397928610"/>
      <w:r>
        <w:rPr>
          <w:rFonts w:hint="eastAsia" w:ascii="仿宋" w:hAnsi="仿宋" w:eastAsia="仿宋" w:cs="仿宋"/>
          <w:color w:val="auto"/>
          <w:szCs w:val="24"/>
          <w:highlight w:val="none"/>
        </w:rPr>
        <w:t>3.5 推荐中标候选人或直接确定中标人</w:t>
      </w:r>
      <w:bookmarkEnd w:id="448"/>
      <w:bookmarkEnd w:id="449"/>
      <w:bookmarkEnd w:id="450"/>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3.5.1 除投标人须知前附表授权直接确定中标人外，评标委员会在推荐中标候选人时，应遵照以下原则:</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评标委员会按照最终得分由高至低的次序排列，并根据投标人须知前附表规定的中标候选人数量，将排序在前的投标人推荐为中标候选人。</w:t>
      </w:r>
    </w:p>
    <w:p>
      <w:pPr>
        <w:pStyle w:val="5"/>
        <w:spacing w:before="0" w:after="0" w:line="520" w:lineRule="exact"/>
        <w:ind w:firstLine="480" w:firstLineChars="200"/>
        <w:rPr>
          <w:rFonts w:hint="eastAsia" w:ascii="仿宋" w:hAnsi="仿宋" w:eastAsia="仿宋" w:cs="仿宋"/>
          <w:color w:val="auto"/>
          <w:szCs w:val="24"/>
          <w:highlight w:val="none"/>
        </w:rPr>
      </w:pPr>
      <w:bookmarkStart w:id="451" w:name="_Toc397928611"/>
      <w:bookmarkStart w:id="452" w:name="_Toc448306467"/>
      <w:r>
        <w:rPr>
          <w:rFonts w:hint="eastAsia" w:ascii="仿宋" w:hAnsi="仿宋" w:eastAsia="仿宋" w:cs="仿宋"/>
          <w:color w:val="auto"/>
          <w:szCs w:val="24"/>
          <w:highlight w:val="none"/>
        </w:rPr>
        <w:t>3.6 提交评标报告</w:t>
      </w:r>
      <w:bookmarkEnd w:id="451"/>
      <w:bookmarkEnd w:id="452"/>
      <w:r>
        <w:rPr>
          <w:rFonts w:hint="eastAsia" w:ascii="仿宋" w:hAnsi="仿宋" w:eastAsia="仿宋" w:cs="仿宋"/>
          <w:color w:val="auto"/>
          <w:szCs w:val="24"/>
          <w:highlight w:val="none"/>
        </w:rPr>
        <w:t xml:space="preserve"> </w:t>
      </w:r>
    </w:p>
    <w:p>
      <w:pPr>
        <w:autoSpaceDE w:val="0"/>
        <w:autoSpaceDN w:val="0"/>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评标委员会完成评标后，应当向采购人提交书面评标报告。评标报告应当由全体评标委员会成员签字，并于评标结束时抄送有关行政监督部门。</w:t>
      </w:r>
    </w:p>
    <w:p>
      <w:pPr>
        <w:spacing w:line="520" w:lineRule="exact"/>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br w:type="page"/>
      </w:r>
    </w:p>
    <w:p>
      <w:pPr>
        <w:pStyle w:val="3"/>
        <w:tabs>
          <w:tab w:val="left" w:pos="360"/>
        </w:tabs>
        <w:spacing w:before="0" w:after="0" w:line="52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第四章 采购需求</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一、维保服务要求</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1、服务期：二年，合同一年一签。第一年度合同期：2024年7月1日至2025年6月30日。服务期内负责盐城市大丰人民医院轨道小车物流系统</w:t>
      </w:r>
      <w:r>
        <w:rPr>
          <w:rFonts w:hint="eastAsia" w:ascii="仿宋" w:hAnsi="仿宋" w:eastAsia="仿宋" w:cs="仿宋"/>
          <w:color w:val="auto"/>
          <w:sz w:val="24"/>
          <w:highlight w:val="none"/>
          <w:lang w:val="en-GB"/>
        </w:rPr>
        <w:t xml:space="preserve"> [53个站点、80辆运输小车、26辆污物运输小车（质保期满后自动转入本维保项）、1辆清洁小车等、1个L型测试架]正常运行所需的所有日常和定期维护、维修、调试等，</w:t>
      </w:r>
      <w:r>
        <w:rPr>
          <w:rFonts w:hint="eastAsia" w:ascii="仿宋" w:hAnsi="仿宋" w:eastAsia="仿宋" w:cs="仿宋"/>
          <w:color w:val="auto"/>
          <w:sz w:val="24"/>
          <w:highlight w:val="none"/>
        </w:rPr>
        <w:t>所有配件的检修和免费更换（包含人为因素及不可抗力损坏的配件）；</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2、指派驻院的负责人全面负责合同约定的技术服务内容和与医院相关部门的协调和联络；</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3、负责驻院人员的人事管理和工作考核及负责维修中产生的所有费用；</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4、▲提供2名驻场技术服务人员，作息时间同医院作息时间，周末及节假日有值班人员值守；</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5、▲驻场人员为医院提供24小时值班服务，非工作时间段和国定节假日的维修工作响应时间为2小时内；</w:t>
      </w:r>
    </w:p>
    <w:p>
      <w:pPr>
        <w:pStyle w:val="27"/>
        <w:spacing w:line="52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6、▲所有更换配件的型号、规格、品牌须与招标人现有设备一致（</w:t>
      </w:r>
      <w:r>
        <w:rPr>
          <w:rFonts w:hint="eastAsia" w:ascii="仿宋" w:hAnsi="仿宋" w:eastAsia="仿宋" w:cs="仿宋"/>
          <w:color w:val="auto"/>
          <w:sz w:val="24"/>
          <w:highlight w:val="none"/>
          <w:lang w:val="en-US" w:eastAsia="zh-CN"/>
        </w:rPr>
        <w:t>可到现场查看品牌型号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投标人需提供承诺函；</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7、▲提供的该物流系统的技术服务按年计算不少于如下内容：</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常的安全检测，预防性保养和维护，日常的检修；每月一次对系统主要部件的清洁、检测和维护；每季一次的系统清洁、检测和维护；每半年一次的系统完整的检测和易损部件的更换；做好以上检修，维护，巡查，清洁记录；</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8、对医院各使用部门人员的指导和培训；</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9、▲根据医院需要制定系统的操作规范和协助医院对系统的运行执行时段控制；</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10、维保现场应常备系统中的常用备件和易损易耗零部件；</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11、▲配件损坏时，易损配件必须现场随时更换，对非易损配件应在3天内到位，进口配件应在7天内到位；</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12、▲定期不定期对系统的软件进行维护、升级；</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13、应保证小车正常运行，随时排除停车、异常噪音等故障；</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14、对日常维保及软件升级等相关技术向医院管理人员公开；</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15、▲轨道小车物流系统，由于中标人维修维护不到位或工作时发生安全事故，按照第三方事故调查处理报告中划分的责任范围，对采购人造成的损失承担责任；</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16、▲中标方需保证软件系统、硬件设施的正常运转；全院小车物流系统年正常使用率须达到98%以上（全年358天以上）。</w:t>
      </w:r>
    </w:p>
    <w:p>
      <w:pPr>
        <w:pStyle w:val="27"/>
        <w:spacing w:line="52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中标后投标人需</w:t>
      </w:r>
      <w:r>
        <w:rPr>
          <w:rFonts w:hint="eastAsia" w:ascii="仿宋" w:hAnsi="仿宋" w:eastAsia="仿宋" w:cs="仿宋"/>
          <w:color w:val="auto"/>
          <w:sz w:val="24"/>
          <w:highlight w:val="none"/>
        </w:rPr>
        <w:t>提供设备生产厂家</w:t>
      </w:r>
      <w:r>
        <w:rPr>
          <w:rFonts w:hint="eastAsia" w:ascii="仿宋" w:hAnsi="仿宋" w:eastAsia="仿宋" w:cs="仿宋"/>
          <w:color w:val="auto"/>
          <w:sz w:val="24"/>
          <w:highlight w:val="none"/>
          <w:lang w:val="en-US" w:eastAsia="zh-CN"/>
        </w:rPr>
        <w:t>针对本项目</w:t>
      </w:r>
      <w:r>
        <w:rPr>
          <w:rFonts w:hint="eastAsia" w:ascii="仿宋" w:hAnsi="仿宋" w:eastAsia="仿宋" w:cs="仿宋"/>
          <w:color w:val="auto"/>
          <w:sz w:val="24"/>
          <w:highlight w:val="none"/>
        </w:rPr>
        <w:t>原厂配件承诺函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签订合同前提供）</w:t>
      </w:r>
      <w:r>
        <w:rPr>
          <w:rFonts w:hint="eastAsia" w:ascii="仿宋" w:hAnsi="仿宋" w:eastAsia="仿宋" w:cs="仿宋"/>
          <w:color w:val="auto"/>
          <w:sz w:val="24"/>
          <w:highlight w:val="none"/>
        </w:rPr>
        <w:t>；</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、考核表</w:t>
      </w:r>
    </w:p>
    <w:p>
      <w:pPr>
        <w:pStyle w:val="27"/>
        <w:spacing w:line="520" w:lineRule="exact"/>
        <w:ind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盐城市大丰人民医院智能化轨道小车物流系统维保考核评分表</w:t>
      </w:r>
    </w:p>
    <w:tbl>
      <w:tblPr>
        <w:tblStyle w:val="16"/>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6016"/>
        <w:gridCol w:w="816"/>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考核项目</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考核标准</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分值</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1、日常维修</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针对服务条款的具体内容，保障小车物流系统、设备、站点等的正常运行，对出现的故障及时维修。</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0-20</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2、定期巡检</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1.按约定的时间节点对系统、设备、站点进行巡检，形成书面材料，对发现问题及时整改。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0-10</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3、安全生产</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负责维保维修的安全生产责任，配合各级相关检查。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0-10</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4、系统完善</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对现有系统存在不完善的地方提出整改意见，在能力范围内主动进行整改。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5、满意度反馈</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故障必须立即处理，出现的故障原因需向报修人解释清楚，确保报修人满意，方可视为处理完毕。收到投诉、经查证属实的有一次扣2分。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0-10</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6、值班备班</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保证24小时值班，发生紧急情况接到通知后应第一时间赶到现场处理问题。</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7、故障处理质量</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故障处理有无返工，如有两次以上返工现象，有一次扣1分。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8、维保人员技术水平</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维保过程中，不得发生因维保人员技术水平不足而导致的事故。有一次扣5分。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9、遵守纪律情况</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驻场人员须遵守法律、法规和医院各项规章制度。</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10、人员实际在岗情况</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人员在岗数量应当与合同规定的人数相等，不得迟到、早退。节假日放假前上报值班表。</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11、维保人员工作积极性</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在医院故障报修群中，如有保修问题，维保人员应当及时响应。</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12、工作日交班会</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工作日每天早晨应当参加交班会，不得迟到、不到。</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13、故障处理时效</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小故障必须在半小时内处理完成，较严重故障必须当天完成处理，如遇特殊情况应向报修人说明情况。</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14、其它</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完成院方安排的其它相关联的工作。</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0-5</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574"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得分</w:t>
            </w:r>
          </w:p>
        </w:tc>
        <w:tc>
          <w:tcPr>
            <w:tcW w:w="6016" w:type="dxa"/>
            <w:tcBorders>
              <w:top w:val="single" w:color="auto" w:sz="4" w:space="0"/>
              <w:left w:val="single" w:color="auto" w:sz="4" w:space="0"/>
              <w:bottom w:val="single" w:color="auto" w:sz="4" w:space="0"/>
              <w:right w:val="single" w:color="auto" w:sz="4" w:space="0"/>
            </w:tcBorders>
            <w:noWrap w:val="0"/>
            <w:vAlign w:val="center"/>
          </w:tcPr>
          <w:p>
            <w:pPr>
              <w:pStyle w:val="27"/>
              <w:jc w:val="left"/>
              <w:rPr>
                <w:rFonts w:hint="eastAsia" w:ascii="仿宋" w:hAnsi="仿宋" w:eastAsia="仿宋" w:cs="仿宋"/>
                <w:color w:val="auto"/>
                <w:sz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0-100</w:t>
            </w:r>
          </w:p>
        </w:tc>
        <w:tc>
          <w:tcPr>
            <w:tcW w:w="763"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color w:val="auto"/>
                <w:sz w:val="24"/>
                <w:highlight w:val="none"/>
              </w:rPr>
            </w:pPr>
          </w:p>
        </w:tc>
      </w:tr>
    </w:tbl>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考核满分100分，低于95分（不含95分）的，每少1分扣除当月费用的1%。连续三个月考核得分在70分（含）以下的，招标人有权中止合同，中标人无条件撤场并承担由此造成的法律和经济责任。</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二、项目维护内容和标准</w:t>
      </w:r>
    </w:p>
    <w:tbl>
      <w:tblPr>
        <w:tblStyle w:val="16"/>
        <w:tblW w:w="0" w:type="auto"/>
        <w:jc w:val="center"/>
        <w:tblLayout w:type="fixed"/>
        <w:tblCellMar>
          <w:top w:w="0" w:type="dxa"/>
          <w:left w:w="106" w:type="dxa"/>
          <w:bottom w:w="38" w:type="dxa"/>
          <w:right w:w="42" w:type="dxa"/>
        </w:tblCellMar>
      </w:tblPr>
      <w:tblGrid>
        <w:gridCol w:w="456"/>
        <w:gridCol w:w="458"/>
        <w:gridCol w:w="456"/>
        <w:gridCol w:w="458"/>
        <w:gridCol w:w="456"/>
        <w:gridCol w:w="3101"/>
        <w:gridCol w:w="3827"/>
      </w:tblGrid>
      <w:tr>
        <w:tblPrEx>
          <w:tblCellMar>
            <w:top w:w="0" w:type="dxa"/>
            <w:left w:w="106" w:type="dxa"/>
            <w:bottom w:w="38" w:type="dxa"/>
            <w:right w:w="42" w:type="dxa"/>
          </w:tblCellMar>
        </w:tblPrEx>
        <w:trPr>
          <w:trHeight w:val="20" w:hRule="atLeast"/>
          <w:jc w:val="center"/>
        </w:trPr>
        <w:tc>
          <w:tcPr>
            <w:tcW w:w="456" w:type="dxa"/>
            <w:tcBorders>
              <w:top w:val="double" w:color="000000" w:sz="6" w:space="0"/>
              <w:left w:val="double" w:color="000000" w:sz="6"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部位 </w:t>
            </w:r>
          </w:p>
        </w:tc>
        <w:tc>
          <w:tcPr>
            <w:tcW w:w="458" w:type="dxa"/>
            <w:tcBorders>
              <w:top w:val="double" w:color="000000" w:sz="6"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 </w:t>
            </w:r>
          </w:p>
        </w:tc>
        <w:tc>
          <w:tcPr>
            <w:tcW w:w="456" w:type="dxa"/>
            <w:tcBorders>
              <w:top w:val="double" w:color="000000" w:sz="6"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周 </w:t>
            </w:r>
          </w:p>
        </w:tc>
        <w:tc>
          <w:tcPr>
            <w:tcW w:w="458" w:type="dxa"/>
            <w:tcBorders>
              <w:top w:val="double" w:color="000000" w:sz="6"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月 </w:t>
            </w:r>
          </w:p>
        </w:tc>
        <w:tc>
          <w:tcPr>
            <w:tcW w:w="456" w:type="dxa"/>
            <w:tcBorders>
              <w:top w:val="double" w:color="000000" w:sz="6"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季 </w:t>
            </w:r>
          </w:p>
        </w:tc>
        <w:tc>
          <w:tcPr>
            <w:tcW w:w="3101" w:type="dxa"/>
            <w:tcBorders>
              <w:top w:val="double" w:color="000000" w:sz="6"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维护内容 </w:t>
            </w:r>
          </w:p>
        </w:tc>
        <w:tc>
          <w:tcPr>
            <w:tcW w:w="3827" w:type="dxa"/>
            <w:tcBorders>
              <w:top w:val="double" w:color="000000" w:sz="6"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维护标准 </w:t>
            </w:r>
          </w:p>
        </w:tc>
      </w:tr>
      <w:tr>
        <w:tblPrEx>
          <w:tblCellMar>
            <w:top w:w="0" w:type="dxa"/>
            <w:left w:w="106" w:type="dxa"/>
            <w:bottom w:w="38" w:type="dxa"/>
            <w:right w:w="42" w:type="dxa"/>
          </w:tblCellMar>
        </w:tblPrEx>
        <w:trPr>
          <w:trHeight w:val="20" w:hRule="atLeast"/>
          <w:jc w:val="center"/>
        </w:trPr>
        <w:tc>
          <w:tcPr>
            <w:tcW w:w="456" w:type="dxa"/>
            <w:vMerge w:val="restart"/>
            <w:tcBorders>
              <w:top w:val="single" w:color="000000" w:sz="4" w:space="0"/>
              <w:left w:val="double" w:color="000000" w:sz="6"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轨道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shd w:val="clear" w:color="auto" w:fill="FFFFFF"/>
              </w:rPr>
              <w:t>█</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检查轨道外观，轨道内是否有异物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无灰尘，无异物，无损伤，无变形，无氧化膜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检查轨道安装及间隙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固定良好，无晃动和脱落，无过大间隙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听小车过轨道的声音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无异常声音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检查条形码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无灰尘，无异物，无损伤，无卷曲和脱落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检查铜轨、铜轨连接片、绝缘端子的检查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铜轨无明显氧化层，连接片固定牢靠、绝缘端子无破损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检查水平轨道、弯轨、曲轨磨损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轨道间隙正常，弯轨齿条、曲轨橡胶条无损伤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检查弯轨及垂直部分齿条，听小车过轨道的声音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齿条紧固，间隙正常，齿牙无损伤，小车经过时无异响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接口接头的缝隙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缝隙正常， </w:t>
            </w:r>
          </w:p>
        </w:tc>
      </w:tr>
      <w:tr>
        <w:tblPrEx>
          <w:tblCellMar>
            <w:top w:w="0" w:type="dxa"/>
            <w:left w:w="106" w:type="dxa"/>
            <w:bottom w:w="38" w:type="dxa"/>
            <w:right w:w="42" w:type="dxa"/>
          </w:tblCellMar>
        </w:tblPrEx>
        <w:trPr>
          <w:trHeight w:val="20" w:hRule="atLeast"/>
          <w:jc w:val="center"/>
        </w:trPr>
        <w:tc>
          <w:tcPr>
            <w:tcW w:w="456" w:type="dxa"/>
            <w:vMerge w:val="restart"/>
            <w:tcBorders>
              <w:top w:val="single" w:color="000000" w:sz="4" w:space="0"/>
              <w:left w:val="double" w:color="000000" w:sz="6"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站点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检查站点外观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无异物，无损伤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检查站点安装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无变形，无松动，轨道支架固定良好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检查站点显示和操作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显示屏清晰，反应灵敏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检查站点使用功能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显示清晰，触控反应灵敏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清洁站台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无灰尘，无异物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清洁轨道及条码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无灰尘，无异物，无损伤，无卷曲和脱落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检查安全控制开关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开关控制正常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检查控制电缆及接线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接线正常，无松动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检查齿条/小车经过时是否有较大的震动声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齿条紧固，间隙正常，齿牙无损伤 </w:t>
            </w:r>
          </w:p>
        </w:tc>
      </w:tr>
      <w:tr>
        <w:tblPrEx>
          <w:tblCellMar>
            <w:top w:w="0" w:type="dxa"/>
            <w:left w:w="106" w:type="dxa"/>
            <w:bottom w:w="38" w:type="dxa"/>
            <w:right w:w="42" w:type="dxa"/>
          </w:tblCellMar>
        </w:tblPrEx>
        <w:trPr>
          <w:trHeight w:val="20" w:hRule="atLeast"/>
          <w:jc w:val="center"/>
        </w:trPr>
        <w:tc>
          <w:tcPr>
            <w:tcW w:w="456" w:type="dxa"/>
            <w:vMerge w:val="restart"/>
            <w:tcBorders>
              <w:top w:val="single" w:color="000000" w:sz="4" w:space="0"/>
              <w:left w:val="double" w:color="000000" w:sz="6" w:space="0"/>
              <w:bottom w:val="nil"/>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小车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检查小车箱体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无灰尘、无异物、无裂缝、无变形、无损伤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检查小车车盖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电子锁工作正常、车盖旋转时无明显阻力 </w:t>
            </w:r>
          </w:p>
        </w:tc>
      </w:tr>
      <w:tr>
        <w:tblPrEx>
          <w:tblCellMar>
            <w:top w:w="0" w:type="dxa"/>
            <w:left w:w="106" w:type="dxa"/>
            <w:bottom w:w="38" w:type="dxa"/>
            <w:right w:w="42" w:type="dxa"/>
          </w:tblCellMar>
        </w:tblPrEx>
        <w:trPr>
          <w:trHeight w:val="20" w:hRule="atLeast"/>
          <w:jc w:val="center"/>
        </w:trPr>
        <w:tc>
          <w:tcPr>
            <w:tcW w:w="456" w:type="dxa"/>
            <w:vMerge w:val="continue"/>
            <w:tcBorders>
              <w:top w:val="nil"/>
              <w:left w:val="double" w:color="000000" w:sz="6" w:space="0"/>
              <w:bottom w:val="nil"/>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456"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检查小车缓冲器 </w:t>
            </w:r>
          </w:p>
        </w:tc>
        <w:tc>
          <w:tcPr>
            <w:tcW w:w="3827"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限位开关闭合时，小车能立即停止运行 </w:t>
            </w:r>
          </w:p>
        </w:tc>
      </w:tr>
    </w:tbl>
    <w:p>
      <w:pPr>
        <w:spacing w:line="320" w:lineRule="exact"/>
        <w:jc w:val="left"/>
        <w:rPr>
          <w:rFonts w:hint="eastAsia" w:ascii="仿宋" w:hAnsi="仿宋" w:eastAsia="仿宋" w:cs="仿宋"/>
          <w:vanish/>
          <w:color w:val="auto"/>
          <w:sz w:val="24"/>
          <w:highlight w:val="none"/>
        </w:rPr>
      </w:pPr>
    </w:p>
    <w:tbl>
      <w:tblPr>
        <w:tblStyle w:val="16"/>
        <w:tblW w:w="9214" w:type="dxa"/>
        <w:jc w:val="center"/>
        <w:tblLayout w:type="fixed"/>
        <w:tblCellMar>
          <w:top w:w="0" w:type="dxa"/>
          <w:left w:w="106" w:type="dxa"/>
          <w:bottom w:w="0" w:type="dxa"/>
          <w:right w:w="41" w:type="dxa"/>
        </w:tblCellMar>
      </w:tblPr>
      <w:tblGrid>
        <w:gridCol w:w="454"/>
        <w:gridCol w:w="460"/>
        <w:gridCol w:w="456"/>
        <w:gridCol w:w="458"/>
        <w:gridCol w:w="16"/>
        <w:gridCol w:w="426"/>
        <w:gridCol w:w="14"/>
        <w:gridCol w:w="3104"/>
        <w:gridCol w:w="3826"/>
      </w:tblGrid>
      <w:tr>
        <w:tblPrEx>
          <w:tblCellMar>
            <w:top w:w="0" w:type="dxa"/>
            <w:left w:w="106" w:type="dxa"/>
            <w:bottom w:w="0" w:type="dxa"/>
            <w:right w:w="41" w:type="dxa"/>
          </w:tblCellMar>
        </w:tblPrEx>
        <w:trPr>
          <w:trHeight w:val="480" w:hRule="atLeast"/>
          <w:jc w:val="center"/>
        </w:trPr>
        <w:tc>
          <w:tcPr>
            <w:tcW w:w="454" w:type="dxa"/>
            <w:vMerge w:val="restart"/>
            <w:tcBorders>
              <w:top w:val="nil"/>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auto"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auto"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auto"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检查小车读码器</w:t>
            </w:r>
          </w:p>
        </w:tc>
        <w:tc>
          <w:tcPr>
            <w:tcW w:w="3826" w:type="dxa"/>
            <w:tcBorders>
              <w:top w:val="single" w:color="auto"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表面无灰尘、功能正常（软件测试结果为：grade 1、advice OK)</w:t>
            </w:r>
          </w:p>
        </w:tc>
      </w:tr>
      <w:tr>
        <w:tblPrEx>
          <w:tblCellMar>
            <w:top w:w="0" w:type="dxa"/>
            <w:left w:w="106" w:type="dxa"/>
            <w:bottom w:w="0" w:type="dxa"/>
            <w:right w:w="41" w:type="dxa"/>
          </w:tblCellMar>
        </w:tblPrEx>
        <w:trPr>
          <w:trHeight w:val="278"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检查小车驱动轮、导向轮组外观及安装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无灰尘，无裂痕，无变形，转动灵活</w:t>
            </w:r>
          </w:p>
        </w:tc>
      </w:tr>
      <w:tr>
        <w:tblPrEx>
          <w:tblCellMar>
            <w:top w:w="0" w:type="dxa"/>
            <w:left w:w="106" w:type="dxa"/>
            <w:bottom w:w="0" w:type="dxa"/>
            <w:right w:w="41" w:type="dxa"/>
          </w:tblCellMar>
        </w:tblPrEx>
        <w:trPr>
          <w:trHeight w:val="210"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检查小车触点外观</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无灰尘，无异物，无断裂，无变形</w:t>
            </w:r>
          </w:p>
        </w:tc>
      </w:tr>
      <w:tr>
        <w:tblPrEx>
          <w:tblCellMar>
            <w:top w:w="0" w:type="dxa"/>
            <w:left w:w="106" w:type="dxa"/>
            <w:bottom w:w="0" w:type="dxa"/>
            <w:right w:w="41" w:type="dxa"/>
          </w:tblCellMar>
        </w:tblPrEx>
        <w:trPr>
          <w:trHeight w:val="172"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测量小车触点厚度</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大于 1mm</w:t>
            </w:r>
          </w:p>
        </w:tc>
      </w:tr>
      <w:tr>
        <w:tblPrEx>
          <w:tblCellMar>
            <w:top w:w="0" w:type="dxa"/>
            <w:left w:w="106" w:type="dxa"/>
            <w:bottom w:w="0" w:type="dxa"/>
            <w:right w:w="41" w:type="dxa"/>
          </w:tblCellMar>
        </w:tblPrEx>
        <w:trPr>
          <w:trHeight w:val="263"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检查小车触点安装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伸缩良好，铜线固定良好，无晃动和脱落</w:t>
            </w:r>
          </w:p>
        </w:tc>
      </w:tr>
      <w:tr>
        <w:tblPrEx>
          <w:tblCellMar>
            <w:top w:w="0" w:type="dxa"/>
            <w:left w:w="106" w:type="dxa"/>
            <w:bottom w:w="0" w:type="dxa"/>
            <w:right w:w="41" w:type="dxa"/>
          </w:tblCellMar>
        </w:tblPrEx>
        <w:trPr>
          <w:trHeight w:val="224"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检查小车控制板外观</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无异物，无焦化，电气功能正常、并清洗干净</w:t>
            </w:r>
          </w:p>
        </w:tc>
      </w:tr>
      <w:tr>
        <w:tblPrEx>
          <w:tblCellMar>
            <w:top w:w="0" w:type="dxa"/>
            <w:left w:w="106" w:type="dxa"/>
            <w:bottom w:w="0" w:type="dxa"/>
            <w:right w:w="41" w:type="dxa"/>
          </w:tblCellMar>
        </w:tblPrEx>
        <w:trPr>
          <w:trHeight w:val="173"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检查驱动齿轮磨损</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齿轮直径不小于 87mm</w:t>
            </w:r>
          </w:p>
        </w:tc>
      </w:tr>
      <w:tr>
        <w:tblPrEx>
          <w:tblCellMar>
            <w:top w:w="0" w:type="dxa"/>
            <w:left w:w="106" w:type="dxa"/>
            <w:bottom w:w="0" w:type="dxa"/>
            <w:right w:w="41" w:type="dxa"/>
          </w:tblCellMar>
        </w:tblPrEx>
        <w:trPr>
          <w:trHeight w:val="120"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检查驱动摩擦轮磨损</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摩擦轮直径不小于 97mm</w:t>
            </w:r>
          </w:p>
        </w:tc>
      </w:tr>
      <w:tr>
        <w:tblPrEx>
          <w:tblCellMar>
            <w:top w:w="0" w:type="dxa"/>
            <w:left w:w="106" w:type="dxa"/>
            <w:bottom w:w="0" w:type="dxa"/>
            <w:right w:w="41" w:type="dxa"/>
          </w:tblCellMar>
        </w:tblPrEx>
        <w:trPr>
          <w:trHeight w:val="635"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检查小车马达静离合器片、盘式垫片、六角螺母</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安装顺序正常、压紧驱动轮、小车运行有力</w:t>
            </w:r>
          </w:p>
        </w:tc>
      </w:tr>
      <w:tr>
        <w:tblPrEx>
          <w:tblCellMar>
            <w:top w:w="0" w:type="dxa"/>
            <w:left w:w="106" w:type="dxa"/>
            <w:bottom w:w="0" w:type="dxa"/>
            <w:right w:w="41" w:type="dxa"/>
          </w:tblCellMar>
        </w:tblPrEx>
        <w:trPr>
          <w:trHeight w:val="134"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检查小车马达停靠位</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小车运行有力、马达尾部未接触铜轨</w:t>
            </w:r>
          </w:p>
        </w:tc>
      </w:tr>
      <w:tr>
        <w:tblPrEx>
          <w:tblCellMar>
            <w:top w:w="0" w:type="dxa"/>
            <w:left w:w="106" w:type="dxa"/>
            <w:bottom w:w="0" w:type="dxa"/>
            <w:right w:w="41" w:type="dxa"/>
          </w:tblCellMar>
        </w:tblPrEx>
        <w:trPr>
          <w:trHeight w:val="34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检查小车固定螺丝</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无松动、脱落</w:t>
            </w:r>
          </w:p>
        </w:tc>
      </w:tr>
      <w:tr>
        <w:tblPrEx>
          <w:tblCellMar>
            <w:top w:w="0" w:type="dxa"/>
            <w:left w:w="106" w:type="dxa"/>
            <w:bottom w:w="0" w:type="dxa"/>
            <w:right w:w="41" w:type="dxa"/>
          </w:tblCellMar>
        </w:tblPrEx>
        <w:trPr>
          <w:trHeight w:val="34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小车运行数据清零</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小车运行数据从零开始计数</w:t>
            </w:r>
          </w:p>
        </w:tc>
      </w:tr>
      <w:tr>
        <w:tblPrEx>
          <w:tblCellMar>
            <w:top w:w="0" w:type="dxa"/>
            <w:left w:w="106" w:type="dxa"/>
            <w:bottom w:w="0" w:type="dxa"/>
            <w:right w:w="41" w:type="dxa"/>
          </w:tblCellMar>
        </w:tblPrEx>
        <w:trPr>
          <w:trHeight w:val="235"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测量小车水平移动电流</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2.5A- 3A</w:t>
            </w:r>
          </w:p>
        </w:tc>
      </w:tr>
      <w:tr>
        <w:tblPrEx>
          <w:tblCellMar>
            <w:top w:w="0" w:type="dxa"/>
            <w:left w:w="106" w:type="dxa"/>
            <w:bottom w:w="0" w:type="dxa"/>
            <w:right w:w="41" w:type="dxa"/>
          </w:tblCellMar>
        </w:tblPrEx>
        <w:trPr>
          <w:trHeight w:val="196"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测量小车垂直段最大驱动电流</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18A- 22A</w:t>
            </w:r>
          </w:p>
        </w:tc>
      </w:tr>
      <w:tr>
        <w:tblPrEx>
          <w:tblCellMar>
            <w:top w:w="0" w:type="dxa"/>
            <w:left w:w="106" w:type="dxa"/>
            <w:bottom w:w="0" w:type="dxa"/>
            <w:right w:w="41" w:type="dxa"/>
          </w:tblCellMar>
        </w:tblPrEx>
        <w:trPr>
          <w:trHeight w:val="341" w:hRule="atLeast"/>
          <w:jc w:val="center"/>
        </w:trPr>
        <w:tc>
          <w:tcPr>
            <w:tcW w:w="454" w:type="dxa"/>
            <w:vMerge w:val="continue"/>
            <w:tcBorders>
              <w:left w:val="double" w:color="000000" w:sz="6"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检查电机碳刷磨损</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不超过极限位置</w:t>
            </w:r>
          </w:p>
        </w:tc>
      </w:tr>
      <w:tr>
        <w:tblPrEx>
          <w:tblCellMar>
            <w:top w:w="0" w:type="dxa"/>
            <w:left w:w="106" w:type="dxa"/>
            <w:bottom w:w="0" w:type="dxa"/>
            <w:right w:w="41" w:type="dxa"/>
          </w:tblCellMar>
        </w:tblPrEx>
        <w:trPr>
          <w:trHeight w:val="221" w:hRule="atLeast"/>
          <w:jc w:val="center"/>
        </w:trPr>
        <w:tc>
          <w:tcPr>
            <w:tcW w:w="454" w:type="dxa"/>
            <w:vMerge w:val="restart"/>
            <w:tcBorders>
              <w:top w:val="single" w:color="000000" w:sz="4" w:space="0"/>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转轨</w:t>
            </w:r>
          </w:p>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器及</w:t>
            </w:r>
          </w:p>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编码器</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检查转轨器外观</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无灰尘，无异物，无损伤，无变形，无氧化膜</w:t>
            </w:r>
          </w:p>
        </w:tc>
      </w:tr>
      <w:tr>
        <w:tblPrEx>
          <w:tblCellMar>
            <w:top w:w="0" w:type="dxa"/>
            <w:left w:w="106" w:type="dxa"/>
            <w:bottom w:w="0" w:type="dxa"/>
            <w:right w:w="41" w:type="dxa"/>
          </w:tblCellMar>
        </w:tblPrEx>
        <w:trPr>
          <w:trHeight w:val="34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固定良好，无晃动和脱落</w:t>
            </w:r>
          </w:p>
        </w:tc>
      </w:tr>
      <w:tr>
        <w:tblPrEx>
          <w:tblCellMar>
            <w:top w:w="0" w:type="dxa"/>
            <w:left w:w="106" w:type="dxa"/>
            <w:bottom w:w="0" w:type="dxa"/>
            <w:right w:w="41" w:type="dxa"/>
          </w:tblCellMar>
        </w:tblPrEx>
        <w:trPr>
          <w:trHeight w:val="259"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检查转轨器位置码</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无灰尘，无异物，无损伤，无卷曲和脱落</w:t>
            </w:r>
          </w:p>
        </w:tc>
      </w:tr>
      <w:tr>
        <w:tblPrEx>
          <w:tblCellMar>
            <w:top w:w="0" w:type="dxa"/>
            <w:left w:w="106" w:type="dxa"/>
            <w:bottom w:w="0" w:type="dxa"/>
            <w:right w:w="41" w:type="dxa"/>
          </w:tblCellMar>
        </w:tblPrEx>
        <w:trPr>
          <w:trHeight w:val="206"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检查转轨器轨道与轨道间隙</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1mm（冬天）-3mm（夏天）</w:t>
            </w:r>
          </w:p>
        </w:tc>
      </w:tr>
      <w:tr>
        <w:tblPrEx>
          <w:tblCellMar>
            <w:top w:w="0" w:type="dxa"/>
            <w:left w:w="106" w:type="dxa"/>
            <w:bottom w:w="0" w:type="dxa"/>
            <w:right w:w="41" w:type="dxa"/>
          </w:tblCellMar>
        </w:tblPrEx>
        <w:trPr>
          <w:trHeight w:val="361"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检查转轨器与轨道对齐度</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无落差，基本同一平面</w:t>
            </w:r>
          </w:p>
        </w:tc>
      </w:tr>
      <w:tr>
        <w:tblPrEx>
          <w:tblCellMar>
            <w:top w:w="0" w:type="dxa"/>
            <w:left w:w="106" w:type="dxa"/>
            <w:bottom w:w="0" w:type="dxa"/>
            <w:right w:w="41" w:type="dxa"/>
          </w:tblCellMar>
        </w:tblPrEx>
        <w:trPr>
          <w:trHeight w:val="6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检查转轨器遮挡布外观及安装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无损伤，固定良好</w:t>
            </w:r>
          </w:p>
        </w:tc>
      </w:tr>
      <w:tr>
        <w:tblPrEx>
          <w:tblCellMar>
            <w:top w:w="0" w:type="dxa"/>
            <w:left w:w="106" w:type="dxa"/>
            <w:bottom w:w="0" w:type="dxa"/>
            <w:right w:w="41" w:type="dxa"/>
          </w:tblCellMar>
        </w:tblPrEx>
        <w:trPr>
          <w:trHeight w:val="164"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检查转轨器控制器和轨道电源</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无灰尘，无异物，无损伤，无变形，</w:t>
            </w:r>
          </w:p>
        </w:tc>
      </w:tr>
      <w:tr>
        <w:tblPrEx>
          <w:tblCellMar>
            <w:top w:w="0" w:type="dxa"/>
            <w:left w:w="106" w:type="dxa"/>
            <w:bottom w:w="0" w:type="dxa"/>
            <w:right w:w="41" w:type="dxa"/>
          </w:tblCellMar>
        </w:tblPrEx>
        <w:trPr>
          <w:trHeight w:val="468"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检查安全挡轮是否完好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固定良好，能够灵活摆动</w:t>
            </w:r>
          </w:p>
        </w:tc>
      </w:tr>
      <w:tr>
        <w:tblPrEx>
          <w:tblCellMar>
            <w:top w:w="0" w:type="dxa"/>
            <w:left w:w="106" w:type="dxa"/>
            <w:bottom w:w="31" w:type="dxa"/>
            <w:right w:w="41" w:type="dxa"/>
          </w:tblCellMar>
        </w:tblPrEx>
        <w:trPr>
          <w:trHeight w:val="632"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检查转轨器轨道螺丝和螺丝帽的紧密度</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w:t>
            </w:r>
          </w:p>
        </w:tc>
      </w:tr>
      <w:tr>
        <w:tblPrEx>
          <w:tblCellMar>
            <w:top w:w="0" w:type="dxa"/>
            <w:left w:w="106" w:type="dxa"/>
            <w:bottom w:w="31" w:type="dxa"/>
            <w:right w:w="41" w:type="dxa"/>
          </w:tblCellMar>
        </w:tblPrEx>
        <w:trPr>
          <w:trHeight w:val="271"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检查转轨器齿轮和编码器齿针</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无松动，配合编码器转动正常</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检查电缆线是否完好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无损伤，固定良好</w:t>
            </w:r>
          </w:p>
        </w:tc>
      </w:tr>
      <w:tr>
        <w:tblPrEx>
          <w:tblCellMar>
            <w:top w:w="0" w:type="dxa"/>
            <w:left w:w="106" w:type="dxa"/>
            <w:bottom w:w="31" w:type="dxa"/>
            <w:right w:w="41" w:type="dxa"/>
          </w:tblCellMar>
        </w:tblPrEx>
        <w:trPr>
          <w:trHeight w:val="177"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限位开关正常工作</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转轨器控制器指示灯对应正常，能够迅速复位</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转轨器马达正常工作</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转轨器轨道移位正常</w:t>
            </w:r>
          </w:p>
        </w:tc>
      </w:tr>
      <w:tr>
        <w:tblPrEx>
          <w:tblCellMar>
            <w:top w:w="0" w:type="dxa"/>
            <w:left w:w="106" w:type="dxa"/>
            <w:bottom w:w="31" w:type="dxa"/>
            <w:right w:w="41" w:type="dxa"/>
          </w:tblCellMar>
        </w:tblPrEx>
        <w:trPr>
          <w:trHeight w:val="145"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转轨器轨道齿条无松动，底座无裂痕</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小车上下轨道无明显声响，轨道间隙正常</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检查活动电缆完好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固定良好，线缆无损伤</w:t>
            </w:r>
          </w:p>
        </w:tc>
      </w:tr>
      <w:tr>
        <w:tblPrEx>
          <w:tblCellMar>
            <w:top w:w="0" w:type="dxa"/>
            <w:left w:w="106" w:type="dxa"/>
            <w:bottom w:w="31" w:type="dxa"/>
            <w:right w:w="41" w:type="dxa"/>
          </w:tblCellMar>
        </w:tblPrEx>
        <w:trPr>
          <w:trHeight w:val="338"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清洁转换器和连接轨道</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外观清洁，无灰尘，无异物</w:t>
            </w:r>
          </w:p>
        </w:tc>
      </w:tr>
      <w:tr>
        <w:tblPrEx>
          <w:tblCellMar>
            <w:top w:w="0" w:type="dxa"/>
            <w:left w:w="106" w:type="dxa"/>
            <w:bottom w:w="31" w:type="dxa"/>
            <w:right w:w="41" w:type="dxa"/>
          </w:tblCellMar>
        </w:tblPrEx>
        <w:trPr>
          <w:trHeight w:val="288"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检查转轨器的 TEACH 数据</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转轨器轨道能够正确移动各位置</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清洁并润滑燕尾槽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转轨器轨道移位正常</w:t>
            </w:r>
          </w:p>
        </w:tc>
      </w:tr>
      <w:tr>
        <w:tblPrEx>
          <w:tblCellMar>
            <w:top w:w="0" w:type="dxa"/>
            <w:left w:w="106" w:type="dxa"/>
            <w:bottom w:w="31" w:type="dxa"/>
            <w:right w:w="41" w:type="dxa"/>
          </w:tblCellMar>
        </w:tblPrEx>
        <w:trPr>
          <w:trHeight w:val="257" w:hRule="atLeast"/>
          <w:jc w:val="center"/>
        </w:trPr>
        <w:tc>
          <w:tcPr>
            <w:tcW w:w="454" w:type="dxa"/>
            <w:vMerge w:val="restart"/>
            <w:tcBorders>
              <w:top w:val="single" w:color="000000" w:sz="4" w:space="0"/>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曲</w:t>
            </w:r>
          </w:p>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柄</w:t>
            </w:r>
          </w:p>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连杆式转轨器</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检查转轨器外观</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无灰尘，无异物，无损伤，无变形，无氧化膜</w:t>
            </w:r>
          </w:p>
        </w:tc>
      </w:tr>
      <w:tr>
        <w:tblPrEx>
          <w:tblCellMar>
            <w:top w:w="0" w:type="dxa"/>
            <w:left w:w="106" w:type="dxa"/>
            <w:bottom w:w="31" w:type="dxa"/>
            <w:right w:w="41" w:type="dxa"/>
          </w:tblCellMar>
        </w:tblPrEx>
        <w:trPr>
          <w:trHeight w:val="342"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固定良好，无晃动和脱落</w:t>
            </w:r>
          </w:p>
        </w:tc>
      </w:tr>
      <w:tr>
        <w:tblPrEx>
          <w:tblCellMar>
            <w:top w:w="0" w:type="dxa"/>
            <w:left w:w="106" w:type="dxa"/>
            <w:bottom w:w="31" w:type="dxa"/>
            <w:right w:w="41" w:type="dxa"/>
          </w:tblCellMar>
        </w:tblPrEx>
        <w:trPr>
          <w:trHeight w:val="468"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检查转轨器位置码</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无灰尘，无异物，无损伤，无卷曲和脱落</w:t>
            </w:r>
          </w:p>
        </w:tc>
      </w:tr>
      <w:tr>
        <w:tblPrEx>
          <w:tblCellMar>
            <w:top w:w="0" w:type="dxa"/>
            <w:left w:w="106" w:type="dxa"/>
            <w:bottom w:w="31" w:type="dxa"/>
            <w:right w:w="41" w:type="dxa"/>
          </w:tblCellMar>
        </w:tblPrEx>
        <w:trPr>
          <w:trHeight w:val="147"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检查转轨器轨道与轨道间隙</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1mm（冬天）-3mm（夏天）</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检查转轨器与轨道平面度</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无落差，基本同一平面</w:t>
            </w:r>
          </w:p>
        </w:tc>
      </w:tr>
      <w:tr>
        <w:tblPrEx>
          <w:tblCellMar>
            <w:top w:w="0" w:type="dxa"/>
            <w:left w:w="106" w:type="dxa"/>
            <w:bottom w:w="31" w:type="dxa"/>
            <w:right w:w="41" w:type="dxa"/>
          </w:tblCellMar>
        </w:tblPrEx>
        <w:trPr>
          <w:trHeight w:val="242"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检查转轨器遮挡布外观及安装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无损伤，固定良好</w:t>
            </w:r>
          </w:p>
        </w:tc>
      </w:tr>
      <w:tr>
        <w:tblPrEx>
          <w:tblCellMar>
            <w:top w:w="0" w:type="dxa"/>
            <w:left w:w="106" w:type="dxa"/>
            <w:bottom w:w="31" w:type="dxa"/>
            <w:right w:w="41" w:type="dxa"/>
          </w:tblCellMar>
        </w:tblPrEx>
        <w:trPr>
          <w:trHeight w:val="337" w:hRule="atLeast"/>
          <w:jc w:val="center"/>
        </w:trPr>
        <w:tc>
          <w:tcPr>
            <w:tcW w:w="454" w:type="dxa"/>
            <w:vMerge w:val="continue"/>
            <w:tcBorders>
              <w:left w:val="double" w:color="000000" w:sz="6" w:space="0"/>
              <w:right w:val="single" w:color="000000" w:sz="4" w:space="0"/>
            </w:tcBorders>
            <w:shd w:val="clear" w:color="auto" w:fill="FFFFFF"/>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检查所有独立的控制器和电源外观</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无灰尘，无异物，无损伤，无变形，</w:t>
            </w:r>
          </w:p>
        </w:tc>
      </w:tr>
      <w:tr>
        <w:tblPrEx>
          <w:tblCellMar>
            <w:top w:w="0" w:type="dxa"/>
            <w:left w:w="106" w:type="dxa"/>
            <w:bottom w:w="31" w:type="dxa"/>
            <w:right w:w="41" w:type="dxa"/>
          </w:tblCellMar>
        </w:tblPrEx>
        <w:trPr>
          <w:trHeight w:val="322"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检查安全挡轮是否完好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固定良好，能够灵活摆动</w:t>
            </w:r>
          </w:p>
        </w:tc>
      </w:tr>
      <w:tr>
        <w:tblPrEx>
          <w:tblCellMar>
            <w:top w:w="0" w:type="dxa"/>
            <w:left w:w="106" w:type="dxa"/>
            <w:bottom w:w="31" w:type="dxa"/>
            <w:right w:w="41" w:type="dxa"/>
          </w:tblCellMar>
        </w:tblPrEx>
        <w:trPr>
          <w:trHeight w:val="634"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检查转轨器轨道螺丝和螺丝帽的紧密度</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无松动，固定良好</w:t>
            </w:r>
          </w:p>
        </w:tc>
      </w:tr>
      <w:tr>
        <w:tblPrEx>
          <w:tblCellMar>
            <w:top w:w="0" w:type="dxa"/>
            <w:left w:w="106" w:type="dxa"/>
            <w:bottom w:w="31" w:type="dxa"/>
            <w:right w:w="41" w:type="dxa"/>
          </w:tblCellMar>
        </w:tblPrEx>
        <w:trPr>
          <w:trHeight w:val="168"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检查转轨器检查曲柄连杆及滑槽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脱开马达时，推动无阻力</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检查电缆线是否完好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无损伤，固定良好</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限位开关正常工作</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转轨器控制器指示灯对应正常</w:t>
            </w:r>
          </w:p>
        </w:tc>
      </w:tr>
      <w:tr>
        <w:tblPrEx>
          <w:tblCellMar>
            <w:top w:w="0" w:type="dxa"/>
            <w:left w:w="106" w:type="dxa"/>
            <w:bottom w:w="31" w:type="dxa"/>
            <w:right w:w="41" w:type="dxa"/>
          </w:tblCellMar>
        </w:tblPrEx>
        <w:trPr>
          <w:trHeight w:val="338"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转轨器马达正常工作</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转轨器轨道移位正常</w:t>
            </w:r>
          </w:p>
        </w:tc>
      </w:tr>
      <w:tr>
        <w:tblPrEx>
          <w:tblCellMar>
            <w:top w:w="0" w:type="dxa"/>
            <w:left w:w="106" w:type="dxa"/>
            <w:bottom w:w="31" w:type="dxa"/>
            <w:right w:w="41" w:type="dxa"/>
          </w:tblCellMar>
        </w:tblPrEx>
        <w:trPr>
          <w:trHeight w:val="634"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转轨器轨道齿条无松动，底座无裂痕</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小车上下轨道无明显声响</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检查活动电缆完好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固定良好，线缆无损伤</w:t>
            </w:r>
          </w:p>
        </w:tc>
      </w:tr>
      <w:tr>
        <w:tblPrEx>
          <w:tblCellMar>
            <w:top w:w="0" w:type="dxa"/>
            <w:left w:w="106" w:type="dxa"/>
            <w:bottom w:w="31" w:type="dxa"/>
            <w:right w:w="41" w:type="dxa"/>
          </w:tblCellMar>
        </w:tblPrEx>
        <w:trPr>
          <w:trHeight w:val="341"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清洁转换器和连接轨道</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外观清洁，无灰尘，无异物</w:t>
            </w:r>
          </w:p>
        </w:tc>
      </w:tr>
      <w:tr>
        <w:tblPrEx>
          <w:tblCellMar>
            <w:top w:w="0" w:type="dxa"/>
            <w:left w:w="106" w:type="dxa"/>
            <w:bottom w:w="31" w:type="dxa"/>
            <w:right w:w="41" w:type="dxa"/>
          </w:tblCellMar>
        </w:tblPrEx>
        <w:trPr>
          <w:trHeight w:val="338" w:hRule="atLeast"/>
          <w:jc w:val="center"/>
        </w:trPr>
        <w:tc>
          <w:tcPr>
            <w:tcW w:w="454" w:type="dxa"/>
            <w:vMerge w:val="continue"/>
            <w:tcBorders>
              <w:left w:val="double" w:color="000000" w:sz="6"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清洁并润滑曲柄连杆滑槽</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转轨器轨道移位正常</w:t>
            </w:r>
          </w:p>
        </w:tc>
      </w:tr>
      <w:tr>
        <w:tblPrEx>
          <w:tblCellMar>
            <w:top w:w="0" w:type="dxa"/>
            <w:left w:w="106" w:type="dxa"/>
            <w:bottom w:w="31" w:type="dxa"/>
            <w:right w:w="41" w:type="dxa"/>
          </w:tblCellMar>
        </w:tblPrEx>
        <w:trPr>
          <w:trHeight w:val="1237" w:hRule="atLeast"/>
          <w:jc w:val="center"/>
        </w:trPr>
        <w:tc>
          <w:tcPr>
            <w:tcW w:w="454" w:type="dxa"/>
            <w:tcBorders>
              <w:top w:val="nil"/>
              <w:left w:val="double" w:color="000000" w:sz="6" w:space="0"/>
              <w:bottom w:val="single" w:color="000000" w:sz="2" w:space="0"/>
              <w:right w:val="single" w:color="000000" w:sz="4" w:space="0"/>
            </w:tcBorders>
            <w:noWrap w:val="0"/>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翻轨器</w:t>
            </w:r>
          </w:p>
        </w:tc>
        <w:tc>
          <w:tcPr>
            <w:tcW w:w="460" w:type="dxa"/>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highlight w:val="none"/>
              </w:rPr>
            </w:pPr>
          </w:p>
        </w:tc>
        <w:tc>
          <w:tcPr>
            <w:tcW w:w="456" w:type="dxa"/>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highlight w:val="none"/>
              </w:rPr>
            </w:pPr>
          </w:p>
        </w:tc>
        <w:tc>
          <w:tcPr>
            <w:tcW w:w="458" w:type="dxa"/>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highlight w:val="none"/>
              </w:rPr>
            </w:pPr>
          </w:p>
        </w:tc>
        <w:tc>
          <w:tcPr>
            <w:tcW w:w="456" w:type="dxa"/>
            <w:gridSpan w:val="3"/>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highlight w:val="none"/>
              </w:rPr>
            </w:pPr>
          </w:p>
        </w:tc>
        <w:tc>
          <w:tcPr>
            <w:tcW w:w="3104" w:type="dxa"/>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参照转轨器日常维护标准</w:t>
            </w:r>
          </w:p>
        </w:tc>
        <w:tc>
          <w:tcPr>
            <w:tcW w:w="3826" w:type="dxa"/>
            <w:tcBorders>
              <w:top w:val="nil"/>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p>
        </w:tc>
      </w:tr>
      <w:tr>
        <w:tblPrEx>
          <w:tblCellMar>
            <w:top w:w="0" w:type="dxa"/>
            <w:left w:w="106" w:type="dxa"/>
            <w:bottom w:w="31" w:type="dxa"/>
            <w:right w:w="41" w:type="dxa"/>
          </w:tblCellMar>
        </w:tblPrEx>
        <w:trPr>
          <w:trHeight w:val="629" w:hRule="atLeast"/>
          <w:jc w:val="center"/>
        </w:trPr>
        <w:tc>
          <w:tcPr>
            <w:tcW w:w="454" w:type="dxa"/>
            <w:vMerge w:val="restart"/>
            <w:tcBorders>
              <w:top w:val="nil"/>
              <w:left w:val="double" w:color="000000" w:sz="6" w:space="0"/>
              <w:bottom w:val="single" w:color="000000" w:sz="2"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防火门</w:t>
            </w:r>
          </w:p>
        </w:tc>
        <w:tc>
          <w:tcPr>
            <w:tcW w:w="460" w:type="dxa"/>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nil"/>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检查防火门装置外观</w:t>
            </w:r>
          </w:p>
        </w:tc>
        <w:tc>
          <w:tcPr>
            <w:tcW w:w="3826" w:type="dxa"/>
            <w:tcBorders>
              <w:top w:val="nil"/>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无灰尘，无异物，无损伤，无变形</w:t>
            </w:r>
          </w:p>
        </w:tc>
      </w:tr>
      <w:tr>
        <w:tblPrEx>
          <w:tblCellMar>
            <w:top w:w="0" w:type="dxa"/>
            <w:left w:w="106" w:type="dxa"/>
            <w:bottom w:w="31" w:type="dxa"/>
            <w:right w:w="41" w:type="dxa"/>
          </w:tblCellMar>
        </w:tblPrEx>
        <w:trPr>
          <w:trHeight w:val="341"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检查防火门装置安装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固定良好，无晃动和脱落</w:t>
            </w:r>
          </w:p>
        </w:tc>
      </w:tr>
      <w:tr>
        <w:tblPrEx>
          <w:tblCellMar>
            <w:top w:w="0" w:type="dxa"/>
            <w:left w:w="106" w:type="dxa"/>
            <w:bottom w:w="31" w:type="dxa"/>
            <w:right w:w="41" w:type="dxa"/>
          </w:tblCellMar>
        </w:tblPrEx>
        <w:trPr>
          <w:trHeight w:val="634"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检查防火门装置运动关联区域</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无异物阻挡，空间合适，间隙适中</w:t>
            </w:r>
          </w:p>
        </w:tc>
      </w:tr>
      <w:tr>
        <w:tblPrEx>
          <w:tblCellMar>
            <w:top w:w="0" w:type="dxa"/>
            <w:left w:w="106" w:type="dxa"/>
            <w:bottom w:w="31" w:type="dxa"/>
            <w:right w:w="41" w:type="dxa"/>
          </w:tblCellMar>
        </w:tblPrEx>
        <w:trPr>
          <w:trHeight w:val="338"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检查防火门连接电缆</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放置良好，无损坏，无脱落</w:t>
            </w:r>
          </w:p>
        </w:tc>
      </w:tr>
      <w:tr>
        <w:tblPrEx>
          <w:tblCellMar>
            <w:top w:w="0" w:type="dxa"/>
            <w:left w:w="106" w:type="dxa"/>
            <w:bottom w:w="31" w:type="dxa"/>
            <w:right w:w="41" w:type="dxa"/>
          </w:tblCellMar>
        </w:tblPrEx>
        <w:trPr>
          <w:trHeight w:val="636"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检查防火门锁紧装置触发</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在防火门开启状态可以手动触发</w:t>
            </w:r>
          </w:p>
        </w:tc>
      </w:tr>
      <w:tr>
        <w:tblPrEx>
          <w:tblCellMar>
            <w:top w:w="0" w:type="dxa"/>
            <w:left w:w="106" w:type="dxa"/>
            <w:bottom w:w="31" w:type="dxa"/>
            <w:right w:w="41" w:type="dxa"/>
          </w:tblCellMar>
        </w:tblPrEx>
        <w:trPr>
          <w:trHeight w:val="746"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检查小车紧急状态通过防火门</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命令小车通过的同时，关闭防火门命令不可执行</w:t>
            </w:r>
          </w:p>
        </w:tc>
      </w:tr>
      <w:tr>
        <w:tblPrEx>
          <w:tblCellMar>
            <w:top w:w="0" w:type="dxa"/>
            <w:left w:w="106" w:type="dxa"/>
            <w:bottom w:w="31" w:type="dxa"/>
            <w:right w:w="41" w:type="dxa"/>
          </w:tblCellMar>
        </w:tblPrEx>
        <w:trPr>
          <w:trHeight w:val="634"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检查防火门前区域安全</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防火门断电后，所有随后区域电源停电</w:t>
            </w:r>
          </w:p>
        </w:tc>
      </w:tr>
      <w:tr>
        <w:tblPrEx>
          <w:tblCellMar>
            <w:top w:w="0" w:type="dxa"/>
            <w:left w:w="106" w:type="dxa"/>
            <w:bottom w:w="31" w:type="dxa"/>
            <w:right w:w="41" w:type="dxa"/>
          </w:tblCellMar>
        </w:tblPrEx>
        <w:trPr>
          <w:trHeight w:val="341"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检查烟雾探测器</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能检测烟雾</w:t>
            </w:r>
          </w:p>
        </w:tc>
      </w:tr>
      <w:tr>
        <w:tblPrEx>
          <w:tblCellMar>
            <w:top w:w="0" w:type="dxa"/>
            <w:left w:w="106" w:type="dxa"/>
            <w:bottom w:w="31" w:type="dxa"/>
            <w:right w:w="41" w:type="dxa"/>
          </w:tblCellMar>
        </w:tblPrEx>
        <w:trPr>
          <w:trHeight w:val="634"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检查备用电源</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常用电源断电后，备用电源可以驱动小车</w:t>
            </w:r>
          </w:p>
        </w:tc>
      </w:tr>
      <w:tr>
        <w:tblPrEx>
          <w:tblCellMar>
            <w:top w:w="0" w:type="dxa"/>
            <w:left w:w="106" w:type="dxa"/>
            <w:bottom w:w="31" w:type="dxa"/>
            <w:right w:w="41" w:type="dxa"/>
          </w:tblCellMar>
        </w:tblPrEx>
        <w:trPr>
          <w:trHeight w:val="341"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检查磁铁是否正常</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通电后，吸力正常</w:t>
            </w:r>
          </w:p>
        </w:tc>
      </w:tr>
      <w:tr>
        <w:tblPrEx>
          <w:tblCellMar>
            <w:top w:w="0" w:type="dxa"/>
            <w:left w:w="106" w:type="dxa"/>
            <w:bottom w:w="31" w:type="dxa"/>
            <w:right w:w="41" w:type="dxa"/>
          </w:tblCellMar>
        </w:tblPrEx>
        <w:trPr>
          <w:trHeight w:val="341"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检查烟雾探测器</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输出正常，能检测烟雾</w:t>
            </w:r>
          </w:p>
        </w:tc>
      </w:tr>
      <w:tr>
        <w:tblPrEx>
          <w:tblCellMar>
            <w:top w:w="0" w:type="dxa"/>
            <w:left w:w="106" w:type="dxa"/>
            <w:bottom w:w="31" w:type="dxa"/>
            <w:right w:w="41" w:type="dxa"/>
          </w:tblCellMar>
        </w:tblPrEx>
        <w:trPr>
          <w:trHeight w:val="634"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打开及关闭是否顺畅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电磁铁断电后，防火门能够自动关闭</w:t>
            </w:r>
          </w:p>
        </w:tc>
      </w:tr>
      <w:tr>
        <w:tblPrEx>
          <w:tblCellMar>
            <w:top w:w="0" w:type="dxa"/>
            <w:left w:w="106" w:type="dxa"/>
            <w:bottom w:w="31" w:type="dxa"/>
            <w:right w:w="41" w:type="dxa"/>
          </w:tblCellMar>
        </w:tblPrEx>
        <w:trPr>
          <w:trHeight w:val="634"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紧急状况电力供应</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常用电源断电后，备用电源可以驱动小车</w:t>
            </w:r>
          </w:p>
        </w:tc>
      </w:tr>
      <w:tr>
        <w:tblPrEx>
          <w:tblCellMar>
            <w:top w:w="0" w:type="dxa"/>
            <w:left w:w="106" w:type="dxa"/>
            <w:bottom w:w="31" w:type="dxa"/>
            <w:right w:w="41" w:type="dxa"/>
          </w:tblCellMar>
        </w:tblPrEx>
        <w:trPr>
          <w:trHeight w:val="634"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检查防风门外观</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无灰尘，无异物，无损伤，无变形</w:t>
            </w:r>
          </w:p>
        </w:tc>
      </w:tr>
      <w:tr>
        <w:tblPrEx>
          <w:tblCellMar>
            <w:top w:w="0" w:type="dxa"/>
            <w:left w:w="106" w:type="dxa"/>
            <w:bottom w:w="31" w:type="dxa"/>
            <w:right w:w="41" w:type="dxa"/>
          </w:tblCellMar>
        </w:tblPrEx>
        <w:trPr>
          <w:trHeight w:val="341"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检查防风门安装</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固定良好，无晃动和脱落</w:t>
            </w:r>
          </w:p>
        </w:tc>
      </w:tr>
      <w:tr>
        <w:tblPrEx>
          <w:tblCellMar>
            <w:top w:w="0" w:type="dxa"/>
            <w:left w:w="106" w:type="dxa"/>
            <w:bottom w:w="31" w:type="dxa"/>
            <w:right w:w="41" w:type="dxa"/>
          </w:tblCellMar>
        </w:tblPrEx>
        <w:trPr>
          <w:trHeight w:val="338" w:hRule="atLeast"/>
          <w:jc w:val="center"/>
        </w:trPr>
        <w:tc>
          <w:tcPr>
            <w:tcW w:w="454" w:type="dxa"/>
            <w:vMerge w:val="continue"/>
            <w:tcBorders>
              <w:top w:val="nil"/>
              <w:left w:val="double" w:color="000000" w:sz="6" w:space="0"/>
              <w:bottom w:val="nil"/>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检查防风门密封性</w:t>
            </w:r>
          </w:p>
        </w:tc>
        <w:tc>
          <w:tcPr>
            <w:tcW w:w="3826" w:type="dxa"/>
            <w:tcBorders>
              <w:top w:val="single" w:color="000000" w:sz="4" w:space="0"/>
              <w:left w:val="single" w:color="000000" w:sz="4" w:space="0"/>
              <w:bottom w:val="single" w:color="000000" w:sz="4"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门合闭良好</w:t>
            </w:r>
          </w:p>
        </w:tc>
      </w:tr>
      <w:tr>
        <w:tblPrEx>
          <w:tblCellMar>
            <w:top w:w="0" w:type="dxa"/>
            <w:left w:w="106" w:type="dxa"/>
            <w:bottom w:w="31" w:type="dxa"/>
            <w:right w:w="41" w:type="dxa"/>
          </w:tblCellMar>
        </w:tblPrEx>
        <w:trPr>
          <w:trHeight w:val="634" w:hRule="atLeast"/>
          <w:jc w:val="center"/>
        </w:trPr>
        <w:tc>
          <w:tcPr>
            <w:tcW w:w="454" w:type="dxa"/>
            <w:vMerge w:val="continue"/>
            <w:tcBorders>
              <w:top w:val="nil"/>
              <w:left w:val="double" w:color="000000" w:sz="6" w:space="0"/>
              <w:bottom w:val="single" w:color="000000" w:sz="2"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60" w:type="dxa"/>
            <w:tcBorders>
              <w:top w:val="single" w:color="000000" w:sz="4" w:space="0"/>
              <w:left w:val="single" w:color="000000" w:sz="4" w:space="0"/>
              <w:bottom w:val="single" w:color="000000" w:sz="2"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6" w:type="dxa"/>
            <w:tcBorders>
              <w:top w:val="single" w:color="000000" w:sz="4" w:space="0"/>
              <w:left w:val="single" w:color="000000" w:sz="4" w:space="0"/>
              <w:bottom w:val="single" w:color="000000" w:sz="2"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458" w:type="dxa"/>
            <w:tcBorders>
              <w:top w:val="single" w:color="000000" w:sz="4" w:space="0"/>
              <w:left w:val="single" w:color="000000" w:sz="4" w:space="0"/>
              <w:bottom w:val="single" w:color="000000" w:sz="2"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456" w:type="dxa"/>
            <w:gridSpan w:val="3"/>
            <w:tcBorders>
              <w:top w:val="single" w:color="000000" w:sz="4" w:space="0"/>
              <w:left w:val="single" w:color="000000" w:sz="4" w:space="0"/>
              <w:bottom w:val="single" w:color="000000" w:sz="2" w:space="0"/>
              <w:right w:val="single" w:color="000000" w:sz="4" w:space="0"/>
            </w:tcBorders>
            <w:noWrap w:val="0"/>
            <w:vAlign w:val="center"/>
          </w:tcPr>
          <w:p>
            <w:pPr>
              <w:spacing w:line="320" w:lineRule="exact"/>
              <w:jc w:val="center"/>
              <w:rPr>
                <w:rFonts w:hint="eastAsia" w:ascii="仿宋" w:hAnsi="仿宋" w:eastAsia="仿宋" w:cs="仿宋"/>
                <w:color w:val="auto"/>
                <w:sz w:val="24"/>
                <w:highlight w:val="none"/>
              </w:rPr>
            </w:pPr>
          </w:p>
        </w:tc>
        <w:tc>
          <w:tcPr>
            <w:tcW w:w="3104" w:type="dxa"/>
            <w:tcBorders>
              <w:top w:val="single" w:color="000000" w:sz="4" w:space="0"/>
              <w:left w:val="single" w:color="000000" w:sz="4" w:space="0"/>
              <w:bottom w:val="single" w:color="000000" w:sz="2" w:space="0"/>
              <w:right w:val="single" w:color="000000" w:sz="4"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检查防风门功能</w:t>
            </w:r>
          </w:p>
        </w:tc>
        <w:tc>
          <w:tcPr>
            <w:tcW w:w="3826" w:type="dxa"/>
            <w:tcBorders>
              <w:top w:val="single" w:color="000000" w:sz="4" w:space="0"/>
              <w:left w:val="single" w:color="000000" w:sz="4" w:space="0"/>
              <w:bottom w:val="single" w:color="000000" w:sz="2"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开关正常，转动平稳，无异常声音</w:t>
            </w:r>
          </w:p>
        </w:tc>
      </w:tr>
      <w:tr>
        <w:tblPrEx>
          <w:tblCellMar>
            <w:top w:w="0" w:type="dxa"/>
            <w:left w:w="106" w:type="dxa"/>
            <w:bottom w:w="31" w:type="dxa"/>
            <w:right w:w="41" w:type="dxa"/>
          </w:tblCellMar>
        </w:tblPrEx>
        <w:trPr>
          <w:trHeight w:val="90" w:hRule="atLeast"/>
          <w:jc w:val="center"/>
        </w:trPr>
        <w:tc>
          <w:tcPr>
            <w:tcW w:w="9214" w:type="dxa"/>
            <w:gridSpan w:val="9"/>
            <w:tcBorders>
              <w:top w:val="single" w:color="000000" w:sz="2" w:space="0"/>
              <w:left w:val="double" w:color="000000" w:sz="6" w:space="0"/>
              <w:bottom w:val="double" w:color="000000" w:sz="6" w:space="0"/>
              <w:right w:val="double" w:color="000000" w:sz="6" w:space="0"/>
            </w:tcBorders>
            <w:noWrap w:val="0"/>
            <w:vAlign w:val="center"/>
          </w:tcPr>
          <w:p>
            <w:pPr>
              <w:spacing w:line="3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 █"对应相应维护周期，如“周”、“月”、“季”等。</w:t>
            </w:r>
          </w:p>
        </w:tc>
      </w:tr>
    </w:tbl>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投标总价包含所有更换配件费用、人工维护费用（包含两名驻地工程师的费用）、运输、安装、调试、人员保险、服装费、材料费、管理费、福利、招标代理费、货物本身已支付或将支付的进口税、增值税、营业税和其他税费，以及其他交付使用方使用前的所有费用及政策性文件规定等各项应有费用等）一切费用。</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三、服务保障和承诺要求</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1、各投标人必须严格按照本次招标技术参数要求进行合理报价并供货，如后期出现验收不合格情形视同虚假承诺谋取中标成交，将被列入不良行为记录名单。</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2、中标方工作人员的人身安全一概由中标方负责，与招标方无关。因中标方人员在工作中造成了第三方的人或财产损害的，由中标方自行承担，与招标方无关，由此给招标方造成损失的，由中标方负责赔偿。</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3、中标方在维保、维修过程中涉及第三方产品知识产权情况，若出现技术、经济或法律上的纠纷，由中标人自行承担并自行解决，并确保不影响项目的进度。</w:t>
      </w:r>
    </w:p>
    <w:p>
      <w:pPr>
        <w:pStyle w:val="27"/>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4、投标总报价包含为保证医院轨道小车物流系统</w:t>
      </w:r>
      <w:r>
        <w:rPr>
          <w:rFonts w:hint="eastAsia" w:ascii="仿宋" w:hAnsi="仿宋" w:eastAsia="仿宋" w:cs="仿宋"/>
          <w:color w:val="auto"/>
          <w:sz w:val="24"/>
          <w:highlight w:val="none"/>
          <w:lang w:val="en-GB"/>
        </w:rPr>
        <w:t>[53个站点、80辆运输小车、26辆污物运输小车（质保期满后自动转入本维保项）、1辆清洁小车等、1个L型测试架]正常运行所需的所有日常和定期维护、维修、调试等，</w:t>
      </w:r>
      <w:r>
        <w:rPr>
          <w:rFonts w:hint="eastAsia" w:ascii="仿宋" w:hAnsi="仿宋" w:eastAsia="仿宋" w:cs="仿宋"/>
          <w:color w:val="auto"/>
          <w:sz w:val="24"/>
          <w:highlight w:val="none"/>
        </w:rPr>
        <w:t>所有配件的检修和免费更换（包含人为因素及不可抗力损坏的配件）和所发生的人工费用（含两名日常驻院人员）、材料费用、更换易损部件的费用、更换系统中损坏的各种设备和零部件的费用、维护维修所需的设备和工具费用、进口部件的运保费用和进口费用等。</w:t>
      </w: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pStyle w:val="27"/>
        <w:spacing w:line="520" w:lineRule="exact"/>
        <w:ind w:firstLine="480" w:firstLineChars="200"/>
        <w:rPr>
          <w:rFonts w:hint="eastAsia" w:ascii="仿宋" w:hAnsi="仿宋" w:eastAsia="仿宋" w:cs="仿宋"/>
          <w:color w:val="auto"/>
          <w:sz w:val="24"/>
          <w:highlight w:val="none"/>
        </w:rPr>
      </w:pP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520" w:lineRule="exact"/>
        <w:ind w:firstLine="643" w:firstLineChars="200"/>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第五章 合同条款及格式</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9"/>
        <w:spacing w:line="520" w:lineRule="exact"/>
        <w:ind w:firstLine="480"/>
        <w:rPr>
          <w:rFonts w:hint="eastAsia" w:ascii="仿宋" w:hAnsi="仿宋" w:eastAsia="仿宋" w:cs="仿宋"/>
          <w:color w:val="auto"/>
          <w:sz w:val="24"/>
          <w:szCs w:val="24"/>
          <w:highlight w:val="none"/>
        </w:rPr>
      </w:pPr>
      <w:bookmarkStart w:id="453" w:name="_Toc445046886"/>
      <w:bookmarkStart w:id="454" w:name="_Toc448306478"/>
      <w:bookmarkStart w:id="455" w:name="_Toc397928626"/>
      <w:bookmarkStart w:id="456" w:name="_Toc9724"/>
      <w:r>
        <w:rPr>
          <w:rFonts w:hint="eastAsia" w:ascii="仿宋" w:hAnsi="仿宋" w:eastAsia="仿宋" w:cs="仿宋"/>
          <w:color w:val="auto"/>
          <w:sz w:val="24"/>
          <w:szCs w:val="24"/>
          <w:highlight w:val="none"/>
        </w:rPr>
        <w:t xml:space="preserve">甲方：（采购方）      </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乙方：（中标方）     </w:t>
      </w:r>
    </w:p>
    <w:p>
      <w:pPr>
        <w:pStyle w:val="9"/>
        <w:spacing w:line="520" w:lineRule="exact"/>
        <w:ind w:firstLine="48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根据招标文件及中标人的投标文件和中标通知书，甲乙双方就此次中标的</w:t>
      </w:r>
      <w:r>
        <w:rPr>
          <w:rFonts w:hint="eastAsia" w:ascii="仿宋" w:hAnsi="仿宋" w:eastAsia="仿宋" w:cs="仿宋"/>
          <w:color w:val="auto"/>
          <w:sz w:val="24"/>
          <w:szCs w:val="24"/>
          <w:highlight w:val="none"/>
          <w:u w:val="single"/>
        </w:rPr>
        <w:t>盐城市大丰人民医院智能化轨道小车物流维保项目</w:t>
      </w:r>
      <w:r>
        <w:rPr>
          <w:rFonts w:hint="eastAsia" w:ascii="仿宋" w:hAnsi="仿宋" w:eastAsia="仿宋" w:cs="仿宋"/>
          <w:color w:val="auto"/>
          <w:sz w:val="24"/>
          <w:szCs w:val="24"/>
          <w:highlight w:val="none"/>
          <w:lang w:val="zh-CN"/>
        </w:rPr>
        <w:t>事宜，签订本合同书。</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zh-CN"/>
        </w:rPr>
        <w:t>一、</w:t>
      </w:r>
      <w:r>
        <w:rPr>
          <w:rFonts w:hint="eastAsia" w:ascii="仿宋" w:hAnsi="仿宋" w:eastAsia="仿宋" w:cs="仿宋"/>
          <w:color w:val="auto"/>
          <w:sz w:val="24"/>
          <w:szCs w:val="24"/>
          <w:highlight w:val="none"/>
        </w:rPr>
        <w:t>服务内容</w:t>
      </w:r>
    </w:p>
    <w:p>
      <w:pPr>
        <w:pStyle w:val="13"/>
        <w:spacing w:before="0" w:beforeAutospacing="0" w:after="0" w:afterAutospacing="0" w:line="520" w:lineRule="exact"/>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u w:val="single"/>
        </w:rPr>
        <w:t>盐城市大丰人民医院轨智能化道小车物流系统</w:t>
      </w:r>
      <w:r>
        <w:rPr>
          <w:rFonts w:hint="eastAsia" w:ascii="仿宋" w:hAnsi="仿宋" w:eastAsia="仿宋" w:cs="仿宋"/>
          <w:color w:val="auto"/>
          <w:highlight w:val="none"/>
          <w:u w:val="single"/>
          <w:lang w:val="en-GB"/>
        </w:rPr>
        <w:t>[53个站点、80辆运输小车、26辆污物运输小车（质保期满后自动转入本维保项）、1辆清洁小车等、1个L型测试架]正常运行所需的所有日常和定期维护、维修、调试等内容，</w:t>
      </w:r>
      <w:r>
        <w:rPr>
          <w:rFonts w:hint="eastAsia" w:ascii="仿宋" w:hAnsi="仿宋" w:eastAsia="仿宋" w:cs="仿宋"/>
          <w:color w:val="auto"/>
          <w:spacing w:val="-4"/>
          <w:highlight w:val="none"/>
          <w:u w:val="single"/>
        </w:rPr>
        <w:t>具体内容详见本项目采购清单</w:t>
      </w:r>
      <w:r>
        <w:rPr>
          <w:rFonts w:hint="eastAsia" w:ascii="仿宋" w:hAnsi="仿宋" w:eastAsia="仿宋" w:cs="仿宋"/>
          <w:color w:val="auto"/>
          <w:highlight w:val="none"/>
          <w:u w:val="single"/>
        </w:rPr>
        <w:t>。</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二、合同金额</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合同履行期限：二年，合同一年一签，第一年度合同期：2024年7月1日至2025年6月30日，考核合格后续签下一年度合同。</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本合同金额为人民币（大写）：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u w:val="single"/>
        </w:rPr>
        <w:t>元整/年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元/年）。</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合同总价包含为保证医院轨道小车物流系统</w:t>
      </w:r>
      <w:r>
        <w:rPr>
          <w:rFonts w:hint="eastAsia" w:ascii="仿宋" w:hAnsi="仿宋" w:eastAsia="仿宋" w:cs="仿宋"/>
          <w:bCs/>
          <w:color w:val="auto"/>
          <w:sz w:val="24"/>
          <w:highlight w:val="none"/>
          <w:lang w:val="en-GB"/>
        </w:rPr>
        <w:t>[53个站点、80辆运输小车、26辆污物运输小车（质保期满后自动转入本维保项）、1辆清洁小车等、1个L型测试架]正常运行所需的所有日常和定期维护、维修、调试等，</w:t>
      </w:r>
      <w:r>
        <w:rPr>
          <w:rFonts w:hint="eastAsia" w:ascii="仿宋" w:hAnsi="仿宋" w:eastAsia="仿宋" w:cs="仿宋"/>
          <w:bCs/>
          <w:color w:val="auto"/>
          <w:sz w:val="24"/>
          <w:highlight w:val="none"/>
        </w:rPr>
        <w:t>所有配件的检修和免费更换（包含人为因素及不可抗力损坏的配件）和所发生的人工费用（含两名日常驻院人员）、材料费用、更换易损部件的费用、更换系统中损坏的各种设备和零部件的费用、维护维修所需的设备和工具费用、进口部件的运保费用和人员保险、服装费、</w:t>
      </w:r>
      <w:r>
        <w:rPr>
          <w:rFonts w:hint="eastAsia" w:ascii="仿宋" w:hAnsi="仿宋" w:eastAsia="仿宋" w:cs="仿宋"/>
          <w:color w:val="auto"/>
          <w:sz w:val="24"/>
          <w:highlight w:val="none"/>
        </w:rPr>
        <w:t>不可预见的费用、管理费、</w:t>
      </w:r>
      <w:r>
        <w:rPr>
          <w:rFonts w:hint="eastAsia" w:ascii="仿宋" w:hAnsi="仿宋" w:eastAsia="仿宋" w:cs="仿宋"/>
          <w:bCs/>
          <w:color w:val="auto"/>
          <w:sz w:val="24"/>
          <w:highlight w:val="none"/>
        </w:rPr>
        <w:t>福利、</w:t>
      </w:r>
      <w:r>
        <w:rPr>
          <w:rFonts w:hint="eastAsia" w:ascii="仿宋" w:hAnsi="仿宋" w:eastAsia="仿宋" w:cs="仿宋"/>
          <w:color w:val="auto"/>
          <w:sz w:val="24"/>
          <w:highlight w:val="none"/>
        </w:rPr>
        <w:t>招标代理费、利润、</w:t>
      </w:r>
      <w:r>
        <w:rPr>
          <w:rFonts w:hint="eastAsia" w:ascii="仿宋" w:hAnsi="仿宋" w:eastAsia="仿宋" w:cs="仿宋"/>
          <w:bCs/>
          <w:color w:val="auto"/>
          <w:sz w:val="24"/>
          <w:highlight w:val="none"/>
        </w:rPr>
        <w:t>进口税、增值税、营业税和其他税费，以及其他交付甲方使用前的所有费用及政策性文件规定等各项应有费用等）一切费用。</w:t>
      </w:r>
      <w:r>
        <w:rPr>
          <w:rFonts w:hint="eastAsia" w:ascii="仿宋" w:hAnsi="仿宋" w:eastAsia="仿宋" w:cs="仿宋"/>
          <w:color w:val="auto"/>
          <w:sz w:val="24"/>
          <w:highlight w:val="none"/>
        </w:rPr>
        <w:t>对乙方认为没有考虑到的费用甲方将不予支付，并认为此项费用已包含在乙方投标报价中。</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三、技术资料</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1、乙方应按招标文件规定的时间向甲方提供使用货物的有关技术资料。</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四、知识产权</w:t>
      </w:r>
    </w:p>
    <w:p>
      <w:pPr>
        <w:pStyle w:val="9"/>
        <w:spacing w:line="520" w:lineRule="exact"/>
        <w:ind w:firstLine="48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乙方应保证所提供的货物或其任何一部分均不会侵犯任何第三方的知识产权</w:t>
      </w:r>
      <w:r>
        <w:rPr>
          <w:rFonts w:hint="eastAsia" w:ascii="仿宋" w:hAnsi="仿宋" w:eastAsia="仿宋" w:cs="仿宋"/>
          <w:bCs/>
          <w:color w:val="auto"/>
          <w:sz w:val="24"/>
          <w:szCs w:val="24"/>
          <w:highlight w:val="none"/>
        </w:rPr>
        <w:t>。</w:t>
      </w:r>
    </w:p>
    <w:p>
      <w:pPr>
        <w:pStyle w:val="9"/>
        <w:spacing w:line="520" w:lineRule="exact"/>
        <w:ind w:firstLine="48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五、产权担保</w:t>
      </w:r>
    </w:p>
    <w:p>
      <w:pPr>
        <w:pStyle w:val="9"/>
        <w:spacing w:line="520" w:lineRule="exact"/>
        <w:ind w:firstLine="48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乙方保证所交付的货物的所有权完全属于乙方且无任何抵押、查封等产权瑕疵。</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六、履约保证金</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乙方签订合同时以银行转账形式向甲方交纳人民币</w:t>
      </w:r>
      <w:r>
        <w:rPr>
          <w:rFonts w:hint="eastAsia" w:ascii="仿宋" w:hAnsi="仿宋" w:eastAsia="仿宋" w:cs="仿宋"/>
          <w:b/>
          <w:color w:val="auto"/>
          <w:sz w:val="24"/>
          <w:szCs w:val="24"/>
          <w:highlight w:val="none"/>
          <w:u w:val="single"/>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元）（合同价的10%）作为本合同的履约保证金。合同履行完成经甲方验收合格且乙方与下一个中标单位做好交接后无息退还。</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对提供第三方信用服务机构依据标准规范评定为AA级及以上的政府采购供应商（须在签订采购合同前提供信用管理部门备案的第三方信用报告，且信用报告通过“信用盐城网”可查实），乙方</w:t>
      </w:r>
      <w:r>
        <w:rPr>
          <w:rFonts w:hint="eastAsia" w:ascii="仿宋" w:hAnsi="仿宋" w:eastAsia="仿宋" w:cs="仿宋"/>
          <w:bCs/>
          <w:color w:val="auto"/>
          <w:sz w:val="24"/>
          <w:szCs w:val="24"/>
          <w:highlight w:val="none"/>
        </w:rPr>
        <w:t>向甲方交纳中标价5%的履约保证金</w:t>
      </w:r>
      <w:r>
        <w:rPr>
          <w:rFonts w:hint="eastAsia" w:ascii="仿宋" w:hAnsi="仿宋" w:eastAsia="仿宋" w:cs="仿宋"/>
          <w:color w:val="auto"/>
          <w:sz w:val="24"/>
          <w:szCs w:val="24"/>
          <w:highlight w:val="none"/>
        </w:rPr>
        <w:t>。</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七、转包或分包</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1、本合同范围的货物，应由乙方直接供应，不得转让他人供应；</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2、除非得到甲方的书面同意，乙方不得将本合同范围的服务全部或部分分包给他人供应；</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3、如有转让和未经甲方同意的分包行为，甲方有权解除合同，没收履约保证金并追究乙方的违约责任。</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八、服务期</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合同履行期限：二年，合同一年一签，第一年度合同期：2024年7月1日至2025年6月30日，考核合格后续签下一年度合同。服务地点由甲方指定地点为准，甲方为乙方提供办公场所，乙方所派人员须驻场服务（2人）。</w:t>
      </w:r>
    </w:p>
    <w:p>
      <w:pPr>
        <w:pStyle w:val="9"/>
        <w:spacing w:line="520" w:lineRule="exact"/>
        <w:ind w:firstLine="48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九</w:t>
      </w:r>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货款支付</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后30个工作日内甲方向乙方预付年维保服务费用的10%；后第一年维保服务协议生效后每满半年付款一次，每次付款金额=剩余维保服务费用/2，支付时间为下一半年首月20日前。第二年度维保服务协议生效后每满半年付款一次，每次付款金额=合同价款/2。甲方根据考核结果支付费用（服务质量由甲方评定作为付款依据，每月由分管院长牵头组织相关科室对乙方考核汇总，按各自的分值比例形成总考核表，考核满分100分，低于95分的，每少1分扣除当月费用的1%。）</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注：按以上付款，无任何银行利息，乙方申请付款时须提供正式税务发票。</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十、税费</w:t>
      </w:r>
    </w:p>
    <w:p>
      <w:pPr>
        <w:snapToGrid w:val="0"/>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本合同执行中相关的一切税费均由乙方负担。</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十一、验收</w:t>
      </w:r>
    </w:p>
    <w:p>
      <w:pPr>
        <w:pStyle w:val="9"/>
        <w:spacing w:line="520" w:lineRule="exact"/>
        <w:ind w:firstLine="48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1、乙方提供配件、设备</w:t>
      </w:r>
      <w:r>
        <w:rPr>
          <w:rFonts w:hint="eastAsia" w:ascii="仿宋" w:hAnsi="仿宋" w:eastAsia="仿宋" w:cs="仿宋"/>
          <w:color w:val="auto"/>
          <w:sz w:val="24"/>
          <w:szCs w:val="24"/>
          <w:highlight w:val="none"/>
        </w:rPr>
        <w:t>技术参数等</w:t>
      </w:r>
      <w:r>
        <w:rPr>
          <w:rFonts w:hint="eastAsia" w:ascii="仿宋" w:hAnsi="仿宋" w:eastAsia="仿宋" w:cs="仿宋"/>
          <w:color w:val="auto"/>
          <w:sz w:val="24"/>
          <w:szCs w:val="24"/>
          <w:highlight w:val="none"/>
          <w:lang w:val="zh-CN"/>
        </w:rPr>
        <w:t>不符合合同规定、招标文件规定标准的，甲方有权拒绝验收，乙方须无条件按照招标文件和合同要求整改到位，满足甲方实际使用要求。乙方拒绝整改的，甲方可单方面解除合同，并拒绝支付合同价款，由此产生的一切责任和费用均由乙方承担。</w:t>
      </w:r>
    </w:p>
    <w:p>
      <w:pPr>
        <w:pStyle w:val="9"/>
        <w:spacing w:line="520" w:lineRule="exact"/>
        <w:ind w:firstLine="48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乙方在安装调试过程中必须确保安全，乙方自行承担配件、设备安装调试过程中的质量、任何状况下的安全责任，发生的一切问题和责任与甲方无关，相关一切费用或民事、刑事责任均由乙方自理。若乙方不能及时处理所发生的问题和责任，并且影响到本服务项目运行时，甲方有权处理相关事务，所发生的费用在支付乙方合同款时扣除。</w:t>
      </w:r>
    </w:p>
    <w:p>
      <w:pPr>
        <w:pStyle w:val="9"/>
        <w:spacing w:line="520" w:lineRule="exact"/>
        <w:ind w:firstLine="48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3、本项目涉及验收标准包括但不限于行业部门有关标准规范。</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4、验收时乙方必须在现场，验收完毕后作出验收结果报告；验收费用由乙方负责。</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十二、违约责任</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1、合同一方不履行合同义务或者履行合同义务不符合约定的，应当承担继续履行、采取补救措施或者赔偿损失等违约责任。</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2、甲方的违约责任</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甲方违反合同约定，使乙方未能完成规定管理目标的，乙方有权要求甲方在一定期限内解决，逾期未解决的，乙方有权终止合同；造成乙方经济损失的，甲方应承担相关损失。</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3、乙方的违约责任</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乙方违反合同约定，未能达到约定的管理目标，或出现重大管理失误，甲方有权终止合同；造成甲方经济损失的，乙方应给与甲方经济赔偿，并承担相应的法律责任。</w:t>
      </w:r>
    </w:p>
    <w:p>
      <w:pPr>
        <w:widowControl/>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4、按本合同规定应该偿付的违约金、赔偿金、保管保养费和各种经济损失的，应当在明确责任后</w:t>
      </w:r>
      <w:r>
        <w:rPr>
          <w:rFonts w:hint="eastAsia" w:ascii="仿宋" w:hAnsi="仿宋" w:eastAsia="仿宋" w:cs="仿宋"/>
          <w:color w:val="auto"/>
          <w:sz w:val="24"/>
          <w:highlight w:val="none"/>
          <w:u w:val="single"/>
        </w:rPr>
        <w:t>7</w:t>
      </w:r>
      <w:r>
        <w:rPr>
          <w:rFonts w:hint="eastAsia" w:ascii="仿宋" w:hAnsi="仿宋" w:eastAsia="仿宋" w:cs="仿宋"/>
          <w:color w:val="auto"/>
          <w:sz w:val="24"/>
          <w:highlight w:val="none"/>
        </w:rPr>
        <w:t>天内支付，否则应按未付金额的</w:t>
      </w:r>
      <w:r>
        <w:rPr>
          <w:rFonts w:hint="eastAsia" w:ascii="仿宋" w:hAnsi="仿宋" w:eastAsia="仿宋" w:cs="仿宋"/>
          <w:color w:val="auto"/>
          <w:sz w:val="24"/>
          <w:highlight w:val="none"/>
          <w:u w:val="single"/>
        </w:rPr>
        <w:t>10%</w:t>
      </w:r>
      <w:r>
        <w:rPr>
          <w:rFonts w:hint="eastAsia" w:ascii="仿宋" w:hAnsi="仿宋" w:eastAsia="仿宋" w:cs="仿宋"/>
          <w:color w:val="auto"/>
          <w:sz w:val="24"/>
          <w:highlight w:val="none"/>
        </w:rPr>
        <w:t>支付违约金。</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十三、不可抗力事件处理</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1、在合同有效期内，任何一方因不可抗力事件导致不能履行合同，则合同履行期可延长，其延长期与不可抗力影响期相同。</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2、不可抗力事件发生后，应立即通知对方，并寄送有关权威机构出具的证明。</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3、不可抗力事件延续120天以上，双方应通过友好协商，确定是否继续履行合同。</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十四、诉讼</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双方在执行合同中所发生的一切争议，应通过协商解决。如协商不成，可向合同签订地盐城市大丰区人民法院起诉。合同签订地：盐城市大丰区。</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十五、双方权利与义务</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1、甲方的权利与义务</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（1）甲方指定医院</w:t>
      </w:r>
      <w:r>
        <w:rPr>
          <w:rFonts w:hint="eastAsia" w:ascii="仿宋" w:hAnsi="仿宋" w:eastAsia="仿宋" w:cs="仿宋"/>
          <w:color w:val="auto"/>
          <w:sz w:val="24"/>
          <w:highlight w:val="none"/>
          <w:u w:val="single"/>
        </w:rPr>
        <w:t>后勤部</w:t>
      </w:r>
      <w:r>
        <w:rPr>
          <w:rFonts w:hint="eastAsia" w:ascii="仿宋" w:hAnsi="仿宋" w:eastAsia="仿宋" w:cs="仿宋"/>
          <w:color w:val="auto"/>
          <w:sz w:val="24"/>
          <w:highlight w:val="none"/>
        </w:rPr>
        <w:t>为本合同履行的管理部门；</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（2）审定乙方拟定的维保管理制度；</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（3）检查监督乙方日常管理工作的实施及制度的执行情况；</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（4）依据维保服务考核办法每月对乙方工作进行考核、评价；</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（5）乙方服务工作不达标时，甲方有权提出异议并对其进行相关处罚；对不称职的乙方人员甲方有权要求乙方及时调换，以满足工作需求；</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（6）甲方按合同约定如期支付乙方服务费用；</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（7）招标文件、投标文件及合同附件中约定的甲方其他权利义务。</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2、乙方的权利与义务</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（1）根据相关法律法规及本合同的约定，制定关于本项目的维保方案；自觉接受甲方的督查和考核，积极采纳甲方合理化的建议并加以改进；</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按照合同要求认真履行职责，同时必须按照确定的人员设岗要求派出相关人员从事服务工作，其聘用人员应能满足其从事的工作岗位要求。乙方须及时向甲方提供聘用人员的劳务合同及身份证复印件供甲方核查；</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（3）乙方及其聘用的员工须遵守甲方的相关规章制度，不得在医院从事与本职工作无关的活动，如发现相关情况，乙方自行承担一切后果；</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乙方应依法与所聘用的员工签订劳动合同，明确权利义务关系，及时支付工资和各项劳务费用，并办理各项社会保险；乙方与其聘用的劳务人员发生的任何形式的劳资纠纷，由乙方自行解决，与甲方无关，如给甲方造成损失的，乙方承担全部责任；</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（5）乙方员工在工作期间未按工作流程、制度操作而造成甲方或第三方人身、财产损失的，由乙方承担全部责任；</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（6）项目服务期间，乙方所有的工作人员的人身安全以及乙方在服务期间产生的各类安全责任事故均由乙方自行承担；</w:t>
      </w:r>
    </w:p>
    <w:p>
      <w:pPr>
        <w:widowControl/>
        <w:tabs>
          <w:tab w:val="left" w:pos="630"/>
        </w:tabs>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（7）招标文件、投标文件及合同附件中约定的乙方其他权利义务；</w:t>
      </w:r>
    </w:p>
    <w:p>
      <w:pPr>
        <w:pStyle w:val="9"/>
        <w:spacing w:line="520" w:lineRule="exact"/>
        <w:ind w:firstLine="48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（8）乙方不履行与甲方订立的合同的，履约保证金不予退还，给甲方造成的损失超过履约保证金数额的，还应当对超过部分予以赔偿。</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十六、合同到期交接</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1、乙方应向甲方提供维保的各种文档资料。</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1)有关产品正确安装与详细配置（包括安装方法、安装步骤及各种配置参数等）资料要以易理解的方式（包括详细说明及图示）形成中文文档，交与甲方。</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2)乙方对本次采购的软、硬件产品提供正式的操作手册和维护手册，提供中文版技术文档。</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交货时，技术文档应与货物一起交付。乙方提交的技术文档的内容必须与所提供的产品相一致，应尽可能详细。所提交的技术文档必须是正式出版和装订的，复印件无效，其费用应包括在合同总价中。为了培训的目的，采购人有权复制这些资料而不受限制。</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2、交接文件包括但不限于以下资料：</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1）对产品各项技术指标的测试报告。</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2）技术文件：设备制造、安装、调试、验收、运行、使用、测试、诊断、日常维护和维修的技术文件。</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3）详细的产品质量文件：包括外形尺寸、性能检验、产品合格证明书、软件原厂商正版授权等文件。</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4）安装计划：至少包括：运输/交货、安装日期、安装测试等。</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5）安装指南：乙方 应当提供所购软件、硬件设备的安装指南。</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十七、合同生效及其它</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1、合同经双方法定代表人或授权代表签字并加盖单位公章后生效。</w:t>
      </w:r>
    </w:p>
    <w:p>
      <w:pPr>
        <w:spacing w:line="52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2、合同执行中涉及采购资金和采购内容修改或补充的，须经有关部门审批，并签书面补充协议报政府采购监督管理部门备案，方可作为主合同不可分割的一部分。</w:t>
      </w:r>
    </w:p>
    <w:p>
      <w:pPr>
        <w:spacing w:line="52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3、该合同在签订之日起2个工作日内在江苏省政府采购网、盐城市政府采购网上予以公示。</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4、本合同未尽事宜，遵照《民法典》有关条文执行。</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5、本合同正本一式四份，具有同等法律效力，甲乙双方各执二份。</w:t>
      </w:r>
    </w:p>
    <w:p>
      <w:pPr>
        <w:spacing w:line="520" w:lineRule="exact"/>
        <w:ind w:firstLine="480" w:firstLineChars="200"/>
        <w:rPr>
          <w:rFonts w:hint="eastAsia" w:ascii="仿宋" w:hAnsi="仿宋" w:eastAsia="仿宋" w:cs="仿宋"/>
          <w:color w:val="auto"/>
          <w:sz w:val="24"/>
          <w:highlight w:val="none"/>
        </w:rPr>
      </w:pP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                                    乙方： </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9"/>
        <w:spacing w:line="52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法定代表人或授权代表：                    法定代表人或授权代表：</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 xml:space="preserve">             </w:t>
      </w:r>
    </w:p>
    <w:p>
      <w:pPr>
        <w:pStyle w:val="9"/>
        <w:spacing w:line="520" w:lineRule="exact"/>
        <w:ind w:firstLine="1440" w:firstLineChars="6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                             年   月   日</w:t>
      </w:r>
    </w:p>
    <w:p>
      <w:pPr>
        <w:spacing w:line="520" w:lineRule="exact"/>
        <w:ind w:firstLine="480" w:firstLineChars="200"/>
        <w:jc w:val="left"/>
        <w:rPr>
          <w:rFonts w:hint="eastAsia" w:ascii="仿宋" w:hAnsi="仿宋" w:eastAsia="仿宋" w:cs="仿宋"/>
          <w:color w:val="auto"/>
          <w:sz w:val="24"/>
          <w:highlight w:val="none"/>
        </w:rPr>
      </w:pPr>
    </w:p>
    <w:p>
      <w:pPr>
        <w:spacing w:line="520" w:lineRule="exact"/>
        <w:ind w:firstLine="480" w:firstLineChars="200"/>
        <w:jc w:val="left"/>
        <w:rPr>
          <w:rFonts w:hint="eastAsia" w:ascii="仿宋" w:hAnsi="仿宋" w:eastAsia="仿宋" w:cs="仿宋"/>
          <w:color w:val="auto"/>
          <w:sz w:val="24"/>
          <w:highlight w:val="none"/>
        </w:rPr>
      </w:pPr>
    </w:p>
    <w:p>
      <w:pPr>
        <w:spacing w:line="520" w:lineRule="exact"/>
        <w:ind w:firstLine="480" w:firstLineChars="200"/>
        <w:jc w:val="left"/>
        <w:rPr>
          <w:rFonts w:hint="eastAsia" w:ascii="仿宋" w:hAnsi="仿宋" w:eastAsia="仿宋" w:cs="仿宋"/>
          <w:color w:val="auto"/>
          <w:sz w:val="24"/>
          <w:highlight w:val="none"/>
        </w:rPr>
      </w:pPr>
    </w:p>
    <w:p>
      <w:pPr>
        <w:spacing w:line="520" w:lineRule="exact"/>
        <w:ind w:firstLine="480" w:firstLineChars="200"/>
        <w:jc w:val="left"/>
        <w:rPr>
          <w:rFonts w:hint="eastAsia" w:ascii="仿宋" w:hAnsi="仿宋" w:eastAsia="仿宋" w:cs="仿宋"/>
          <w:color w:val="auto"/>
          <w:sz w:val="24"/>
          <w:highlight w:val="none"/>
        </w:rPr>
      </w:pPr>
    </w:p>
    <w:p>
      <w:pPr>
        <w:spacing w:line="520" w:lineRule="exact"/>
        <w:ind w:firstLine="480" w:firstLineChars="200"/>
        <w:jc w:val="left"/>
        <w:rPr>
          <w:rFonts w:hint="eastAsia" w:ascii="仿宋" w:hAnsi="仿宋" w:eastAsia="仿宋" w:cs="仿宋"/>
          <w:color w:val="auto"/>
          <w:sz w:val="24"/>
          <w:highlight w:val="none"/>
        </w:rPr>
      </w:pPr>
    </w:p>
    <w:bookmarkEnd w:id="453"/>
    <w:bookmarkEnd w:id="454"/>
    <w:bookmarkEnd w:id="455"/>
    <w:bookmarkEnd w:id="456"/>
    <w:p>
      <w:pPr>
        <w:pStyle w:val="9"/>
        <w:spacing w:line="520" w:lineRule="exact"/>
        <w:ind w:firstLine="482"/>
        <w:rPr>
          <w:rFonts w:hint="eastAsia" w:ascii="仿宋" w:hAnsi="仿宋" w:eastAsia="仿宋" w:cs="仿宋"/>
          <w:color w:val="auto"/>
          <w:sz w:val="24"/>
          <w:szCs w:val="24"/>
          <w:highlight w:val="none"/>
        </w:rPr>
      </w:pPr>
      <w:bookmarkStart w:id="457" w:name="_Toc513029243"/>
      <w:bookmarkStart w:id="458" w:name="_Toc20823315"/>
      <w:bookmarkStart w:id="459" w:name="_Toc16938559"/>
      <w:bookmarkStart w:id="460" w:name="_Toc397928630"/>
      <w:bookmarkStart w:id="461" w:name="_Toc7525"/>
      <w:bookmarkStart w:id="462" w:name="_Toc448306479"/>
      <w:r>
        <w:rPr>
          <w:rFonts w:hint="eastAsia" w:ascii="仿宋" w:hAnsi="仿宋" w:eastAsia="仿宋" w:cs="仿宋"/>
          <w:b/>
          <w:color w:val="auto"/>
          <w:sz w:val="24"/>
          <w:szCs w:val="24"/>
          <w:highlight w:val="none"/>
        </w:rPr>
        <w:br w:type="textWrapping"/>
      </w:r>
      <w:r>
        <w:rPr>
          <w:rFonts w:hint="eastAsia" w:ascii="仿宋" w:hAnsi="仿宋" w:eastAsia="仿宋" w:cs="仿宋"/>
          <w:color w:val="auto"/>
          <w:sz w:val="24"/>
          <w:szCs w:val="24"/>
          <w:highlight w:val="none"/>
        </w:rPr>
        <w:t xml:space="preserve">  </w:t>
      </w:r>
      <w:bookmarkEnd w:id="457"/>
      <w:bookmarkEnd w:id="458"/>
      <w:bookmarkEnd w:id="459"/>
    </w:p>
    <w:p>
      <w:pPr>
        <w:pStyle w:val="9"/>
        <w:spacing w:line="520" w:lineRule="exact"/>
        <w:ind w:firstLine="480"/>
        <w:rPr>
          <w:rFonts w:hint="eastAsia" w:ascii="仿宋" w:hAnsi="仿宋" w:eastAsia="仿宋" w:cs="仿宋"/>
          <w:color w:val="auto"/>
          <w:sz w:val="24"/>
          <w:szCs w:val="24"/>
          <w:highlight w:val="none"/>
        </w:rPr>
      </w:pPr>
    </w:p>
    <w:p>
      <w:pPr>
        <w:pStyle w:val="9"/>
        <w:spacing w:line="520" w:lineRule="exact"/>
        <w:ind w:firstLine="480"/>
        <w:rPr>
          <w:rFonts w:hint="eastAsia" w:ascii="仿宋" w:hAnsi="仿宋" w:eastAsia="仿宋" w:cs="仿宋"/>
          <w:color w:val="auto"/>
          <w:sz w:val="24"/>
          <w:szCs w:val="24"/>
          <w:highlight w:val="none"/>
        </w:rPr>
      </w:pPr>
    </w:p>
    <w:p>
      <w:pPr>
        <w:pStyle w:val="9"/>
        <w:spacing w:line="520" w:lineRule="exact"/>
        <w:ind w:firstLine="480"/>
        <w:rPr>
          <w:rFonts w:hint="eastAsia" w:ascii="仿宋" w:hAnsi="仿宋" w:eastAsia="仿宋" w:cs="仿宋"/>
          <w:color w:val="auto"/>
          <w:sz w:val="24"/>
          <w:szCs w:val="24"/>
          <w:highlight w:val="none"/>
        </w:rPr>
      </w:pPr>
    </w:p>
    <w:bookmarkEnd w:id="460"/>
    <w:bookmarkEnd w:id="461"/>
    <w:bookmarkEnd w:id="462"/>
    <w:p>
      <w:pPr>
        <w:pStyle w:val="3"/>
        <w:rPr>
          <w:rFonts w:hint="eastAsia" w:ascii="仿宋" w:hAnsi="仿宋" w:eastAsia="仿宋" w:cs="仿宋"/>
          <w:bCs/>
          <w:color w:val="auto"/>
          <w:sz w:val="44"/>
          <w:highlight w:val="none"/>
        </w:rPr>
      </w:pPr>
      <w:r>
        <w:rPr>
          <w:rFonts w:hint="eastAsia" w:ascii="仿宋" w:hAnsi="仿宋" w:eastAsia="仿宋" w:cs="仿宋"/>
          <w:bCs/>
          <w:color w:val="auto"/>
          <w:sz w:val="44"/>
          <w:highlight w:val="none"/>
        </w:rPr>
        <w:t>第六章  投标文件格式</w:t>
      </w:r>
    </w:p>
    <w:p>
      <w:pPr>
        <w:jc w:val="center"/>
        <w:rPr>
          <w:rFonts w:hint="eastAsia" w:ascii="仿宋" w:hAnsi="仿宋" w:eastAsia="仿宋" w:cs="仿宋"/>
          <w:b/>
          <w:color w:val="auto"/>
          <w:sz w:val="72"/>
          <w:highlight w:val="none"/>
        </w:rPr>
      </w:pPr>
      <w:bookmarkStart w:id="463" w:name="_Hlt26671244"/>
      <w:bookmarkEnd w:id="463"/>
      <w:bookmarkStart w:id="464" w:name="_Hlt26955039"/>
      <w:bookmarkEnd w:id="464"/>
      <w:bookmarkStart w:id="465" w:name="_Toc49090576"/>
      <w:bookmarkStart w:id="466" w:name="_Toc120614282"/>
      <w:bookmarkStart w:id="467" w:name="_Toc26554094"/>
    </w:p>
    <w:p>
      <w:pPr>
        <w:jc w:val="center"/>
        <w:rPr>
          <w:rFonts w:hint="eastAsia" w:ascii="仿宋" w:hAnsi="仿宋" w:eastAsia="仿宋" w:cs="仿宋"/>
          <w:b/>
          <w:color w:val="auto"/>
          <w:sz w:val="72"/>
          <w:highlight w:val="none"/>
        </w:rPr>
      </w:pPr>
      <w:r>
        <w:rPr>
          <w:rFonts w:hint="eastAsia" w:ascii="仿宋" w:hAnsi="仿宋" w:eastAsia="仿宋" w:cs="仿宋"/>
          <w:b/>
          <w:color w:val="auto"/>
          <w:sz w:val="72"/>
          <w:highlight w:val="none"/>
        </w:rPr>
        <w:t>投  标  文  件</w:t>
      </w:r>
    </w:p>
    <w:p>
      <w:pPr>
        <w:jc w:val="center"/>
        <w:rPr>
          <w:rFonts w:hint="eastAsia" w:ascii="仿宋" w:hAnsi="仿宋" w:eastAsia="仿宋" w:cs="仿宋"/>
          <w:b/>
          <w:color w:val="auto"/>
          <w:sz w:val="72"/>
          <w:highlight w:val="none"/>
        </w:rPr>
      </w:pPr>
      <w:r>
        <w:rPr>
          <w:rFonts w:hint="eastAsia" w:ascii="仿宋" w:hAnsi="仿宋" w:eastAsia="仿宋" w:cs="仿宋"/>
          <w:b/>
          <w:color w:val="auto"/>
          <w:sz w:val="36"/>
          <w:highlight w:val="none"/>
        </w:rPr>
        <w:t>（正或副本）</w:t>
      </w:r>
    </w:p>
    <w:p>
      <w:pPr>
        <w:jc w:val="center"/>
        <w:rPr>
          <w:rFonts w:hint="eastAsia" w:ascii="仿宋" w:hAnsi="仿宋" w:eastAsia="仿宋" w:cs="仿宋"/>
          <w:b/>
          <w:color w:val="auto"/>
          <w:sz w:val="72"/>
          <w:highlight w:val="none"/>
        </w:rPr>
      </w:pPr>
    </w:p>
    <w:p>
      <w:pPr>
        <w:jc w:val="center"/>
        <w:rPr>
          <w:rFonts w:hint="eastAsia" w:ascii="仿宋" w:hAnsi="仿宋" w:eastAsia="仿宋" w:cs="仿宋"/>
          <w:b/>
          <w:color w:val="auto"/>
          <w:sz w:val="36"/>
          <w:highlight w:val="none"/>
        </w:rPr>
      </w:pPr>
    </w:p>
    <w:p>
      <w:pPr>
        <w:jc w:val="center"/>
        <w:rPr>
          <w:rFonts w:hint="eastAsia" w:ascii="仿宋" w:hAnsi="仿宋" w:eastAsia="仿宋" w:cs="仿宋"/>
          <w:b/>
          <w:color w:val="auto"/>
          <w:sz w:val="36"/>
          <w:highlight w:val="none"/>
        </w:rPr>
      </w:pPr>
    </w:p>
    <w:p>
      <w:pPr>
        <w:jc w:val="center"/>
        <w:rPr>
          <w:rFonts w:hint="eastAsia" w:ascii="仿宋" w:hAnsi="仿宋" w:eastAsia="仿宋" w:cs="仿宋"/>
          <w:b/>
          <w:color w:val="auto"/>
          <w:sz w:val="36"/>
          <w:highlight w:val="none"/>
        </w:rPr>
      </w:pPr>
    </w:p>
    <w:p>
      <w:pPr>
        <w:ind w:firstLine="1084" w:firstLineChars="300"/>
        <w:rPr>
          <w:rFonts w:hint="eastAsia" w:ascii="仿宋" w:hAnsi="仿宋" w:eastAsia="仿宋" w:cs="仿宋"/>
          <w:b/>
          <w:color w:val="auto"/>
          <w:sz w:val="36"/>
          <w:highlight w:val="none"/>
        </w:rPr>
      </w:pPr>
      <w:r>
        <w:rPr>
          <w:rFonts w:hint="eastAsia" w:ascii="仿宋" w:hAnsi="仿宋" w:eastAsia="仿宋" w:cs="仿宋"/>
          <w:b/>
          <w:color w:val="auto"/>
          <w:sz w:val="36"/>
          <w:highlight w:val="none"/>
        </w:rPr>
        <w:t>项 目 名 称：</w:t>
      </w:r>
      <w:r>
        <w:rPr>
          <w:rFonts w:hint="eastAsia" w:ascii="仿宋" w:hAnsi="仿宋" w:eastAsia="仿宋" w:cs="仿宋"/>
          <w:b/>
          <w:color w:val="auto"/>
          <w:sz w:val="36"/>
          <w:highlight w:val="none"/>
          <w:u w:val="single"/>
        </w:rPr>
        <w:t xml:space="preserve">               </w:t>
      </w:r>
    </w:p>
    <w:p>
      <w:pPr>
        <w:ind w:firstLine="1084" w:firstLineChars="300"/>
        <w:rPr>
          <w:rFonts w:hint="eastAsia" w:ascii="仿宋" w:hAnsi="仿宋" w:eastAsia="仿宋" w:cs="仿宋"/>
          <w:b/>
          <w:color w:val="auto"/>
          <w:sz w:val="36"/>
          <w:highlight w:val="none"/>
          <w:u w:val="single"/>
        </w:rPr>
      </w:pPr>
      <w:r>
        <w:rPr>
          <w:rFonts w:hint="eastAsia" w:ascii="仿宋" w:hAnsi="仿宋" w:eastAsia="仿宋" w:cs="仿宋"/>
          <w:b/>
          <w:color w:val="auto"/>
          <w:sz w:val="36"/>
          <w:highlight w:val="none"/>
        </w:rPr>
        <w:t>招 标 编 号：</w:t>
      </w:r>
      <w:r>
        <w:rPr>
          <w:rFonts w:hint="eastAsia" w:ascii="仿宋" w:hAnsi="仿宋" w:eastAsia="仿宋" w:cs="仿宋"/>
          <w:b/>
          <w:color w:val="auto"/>
          <w:sz w:val="36"/>
          <w:highlight w:val="none"/>
          <w:u w:val="single"/>
        </w:rPr>
        <w:t xml:space="preserve">               </w:t>
      </w:r>
    </w:p>
    <w:p>
      <w:pPr>
        <w:rPr>
          <w:rFonts w:hint="eastAsia" w:ascii="仿宋" w:hAnsi="仿宋" w:eastAsia="仿宋" w:cs="仿宋"/>
          <w:b/>
          <w:color w:val="auto"/>
          <w:sz w:val="36"/>
          <w:highlight w:val="none"/>
          <w:u w:val="single"/>
        </w:rPr>
      </w:pPr>
      <w:r>
        <w:rPr>
          <w:rFonts w:hint="eastAsia" w:ascii="仿宋" w:hAnsi="仿宋" w:eastAsia="仿宋" w:cs="仿宋"/>
          <w:b/>
          <w:color w:val="auto"/>
          <w:sz w:val="36"/>
          <w:highlight w:val="none"/>
        </w:rPr>
        <w:t xml:space="preserve">      投标人名称 ：</w:t>
      </w:r>
      <w:r>
        <w:rPr>
          <w:rFonts w:hint="eastAsia" w:ascii="仿宋" w:hAnsi="仿宋" w:eastAsia="仿宋" w:cs="仿宋"/>
          <w:b/>
          <w:color w:val="auto"/>
          <w:sz w:val="36"/>
          <w:highlight w:val="none"/>
          <w:u w:val="single"/>
        </w:rPr>
        <w:t xml:space="preserve">               </w:t>
      </w:r>
    </w:p>
    <w:p>
      <w:pPr>
        <w:rPr>
          <w:rFonts w:hint="eastAsia" w:ascii="仿宋" w:hAnsi="仿宋" w:eastAsia="仿宋" w:cs="仿宋"/>
          <w:b/>
          <w:color w:val="auto"/>
          <w:sz w:val="36"/>
          <w:highlight w:val="none"/>
        </w:rPr>
      </w:pPr>
      <w:r>
        <w:rPr>
          <w:rFonts w:hint="eastAsia" w:ascii="仿宋" w:hAnsi="仿宋" w:eastAsia="仿宋" w:cs="仿宋"/>
          <w:b/>
          <w:color w:val="auto"/>
          <w:sz w:val="36"/>
          <w:highlight w:val="none"/>
        </w:rPr>
        <w:t xml:space="preserve">      日      期 ：</w:t>
      </w:r>
      <w:r>
        <w:rPr>
          <w:rFonts w:hint="eastAsia" w:ascii="仿宋" w:hAnsi="仿宋" w:eastAsia="仿宋" w:cs="仿宋"/>
          <w:b/>
          <w:color w:val="auto"/>
          <w:sz w:val="36"/>
          <w:highlight w:val="none"/>
          <w:u w:val="single"/>
        </w:rPr>
        <w:t xml:space="preserve">               </w:t>
      </w:r>
    </w:p>
    <w:p>
      <w:pPr>
        <w:spacing w:line="440" w:lineRule="exact"/>
        <w:jc w:val="center"/>
        <w:rPr>
          <w:rFonts w:hint="eastAsia" w:ascii="仿宋" w:hAnsi="仿宋" w:eastAsia="仿宋" w:cs="仿宋"/>
          <w:b/>
          <w:bCs/>
          <w:color w:val="auto"/>
          <w:sz w:val="32"/>
          <w:szCs w:val="32"/>
          <w:highlight w:val="none"/>
        </w:rPr>
      </w:pPr>
    </w:p>
    <w:p>
      <w:pPr>
        <w:spacing w:line="440" w:lineRule="exact"/>
        <w:ind w:firstLine="480" w:firstLineChars="200"/>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p>
    <w:p>
      <w:pPr>
        <w:spacing w:line="440" w:lineRule="exact"/>
        <w:jc w:val="center"/>
        <w:rPr>
          <w:rFonts w:hint="eastAsia" w:ascii="仿宋" w:hAnsi="仿宋" w:eastAsia="仿宋" w:cs="仿宋"/>
          <w:b/>
          <w:color w:val="auto"/>
          <w:sz w:val="30"/>
          <w:szCs w:val="30"/>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sz w:val="30"/>
          <w:szCs w:val="30"/>
          <w:highlight w:val="none"/>
        </w:rPr>
        <w:t>评分索引表</w:t>
      </w:r>
    </w:p>
    <w:p>
      <w:pPr>
        <w:spacing w:line="440" w:lineRule="exact"/>
        <w:jc w:val="center"/>
        <w:rPr>
          <w:rFonts w:hint="eastAsia" w:ascii="仿宋" w:hAnsi="仿宋" w:eastAsia="仿宋" w:cs="仿宋"/>
          <w:b/>
          <w:color w:val="auto"/>
          <w:sz w:val="30"/>
          <w:szCs w:val="30"/>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noWrap w:val="0"/>
            <w:vAlign w:val="top"/>
          </w:tcPr>
          <w:p>
            <w:pPr>
              <w:pStyle w:val="30"/>
              <w:shd w:val="clear" w:color="auto" w:fill="FFFFFF"/>
              <w:spacing w:line="265" w:lineRule="atLeast"/>
              <w:ind w:left="420"/>
              <w:jc w:val="center"/>
              <w:rPr>
                <w:rFonts w:hint="eastAsia" w:ascii="仿宋" w:hAnsi="仿宋" w:eastAsia="仿宋" w:cs="仿宋"/>
                <w:b/>
                <w:bCs/>
                <w:color w:val="auto"/>
                <w:highlight w:val="none"/>
                <w:lang w:val="en-US" w:eastAsia="zh-CN"/>
              </w:rPr>
            </w:pPr>
            <w:r>
              <w:rPr>
                <w:rFonts w:hint="eastAsia" w:ascii="仿宋" w:hAnsi="仿宋" w:eastAsia="仿宋" w:cs="仿宋"/>
                <w:b/>
                <w:color w:val="auto"/>
                <w:highlight w:val="none"/>
                <w:lang w:val="en-US"/>
              </w:rPr>
              <w:t>评分项目</w:t>
            </w:r>
          </w:p>
        </w:tc>
        <w:tc>
          <w:tcPr>
            <w:tcW w:w="3570" w:type="dxa"/>
            <w:noWrap w:val="0"/>
            <w:vAlign w:val="top"/>
          </w:tcPr>
          <w:p>
            <w:pPr>
              <w:jc w:val="center"/>
              <w:rPr>
                <w:rFonts w:hint="eastAsia" w:ascii="仿宋" w:hAnsi="仿宋" w:eastAsia="仿宋" w:cs="仿宋"/>
                <w:b/>
                <w:color w:val="auto"/>
                <w:highlight w:val="none"/>
              </w:rPr>
            </w:pPr>
            <w:r>
              <w:rPr>
                <w:rFonts w:hint="eastAsia" w:ascii="仿宋" w:hAnsi="仿宋" w:eastAsia="仿宋" w:cs="仿宋"/>
                <w:b/>
                <w:color w:val="auto"/>
                <w:kern w:val="0"/>
                <w:sz w:val="24"/>
                <w:highlight w:val="none"/>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noWrap w:val="0"/>
            <w:vAlign w:val="top"/>
          </w:tcPr>
          <w:p>
            <w:pPr>
              <w:pStyle w:val="30"/>
              <w:shd w:val="clear" w:color="auto" w:fill="FFFFFF"/>
              <w:spacing w:line="265" w:lineRule="atLeast"/>
              <w:ind w:left="420"/>
              <w:jc w:val="both"/>
              <w:rPr>
                <w:rFonts w:hint="eastAsia" w:ascii="仿宋" w:hAnsi="仿宋" w:eastAsia="仿宋" w:cs="仿宋"/>
                <w:b/>
                <w:color w:val="auto"/>
                <w:highlight w:val="none"/>
                <w:lang w:val="en-US" w:eastAsia="zh-CN"/>
              </w:rPr>
            </w:pPr>
          </w:p>
        </w:tc>
        <w:tc>
          <w:tcPr>
            <w:tcW w:w="3570" w:type="dxa"/>
            <w:noWrap w:val="0"/>
            <w:vAlign w:val="top"/>
          </w:tcPr>
          <w:p>
            <w:pPr>
              <w:rPr>
                <w:rFonts w:hint="eastAsia" w:ascii="仿宋" w:hAnsi="仿宋" w:eastAsia="仿宋" w:cs="仿宋"/>
                <w:b/>
                <w:color w:val="auto"/>
                <w:kern w:val="0"/>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noWrap w:val="0"/>
            <w:vAlign w:val="top"/>
          </w:tcPr>
          <w:p>
            <w:pPr>
              <w:pStyle w:val="30"/>
              <w:shd w:val="clear" w:color="auto" w:fill="FFFFFF"/>
              <w:spacing w:line="265" w:lineRule="atLeast"/>
              <w:ind w:left="420"/>
              <w:jc w:val="both"/>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noWrap w:val="0"/>
            <w:vAlign w:val="top"/>
          </w:tcPr>
          <w:p>
            <w:pPr>
              <w:pStyle w:val="30"/>
              <w:shd w:val="clear" w:color="auto" w:fill="FFFFFF"/>
              <w:spacing w:line="265" w:lineRule="atLeast"/>
              <w:ind w:left="420"/>
              <w:jc w:val="both"/>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noWrap w:val="0"/>
            <w:vAlign w:val="top"/>
          </w:tcPr>
          <w:p>
            <w:pPr>
              <w:pStyle w:val="30"/>
              <w:shd w:val="clear" w:color="auto" w:fill="FFFFFF"/>
              <w:spacing w:line="265" w:lineRule="atLeast"/>
              <w:ind w:left="420"/>
              <w:jc w:val="both"/>
              <w:rPr>
                <w:rFonts w:hint="eastAsia" w:ascii="仿宋" w:hAnsi="仿宋" w:eastAsia="仿宋" w:cs="仿宋"/>
                <w:b/>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b/>
                <w:bCs/>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noWrap w:val="0"/>
            <w:vAlign w:val="top"/>
          </w:tcPr>
          <w:p>
            <w:pPr>
              <w:pStyle w:val="30"/>
              <w:shd w:val="clear" w:color="auto" w:fill="FFFFFF"/>
              <w:spacing w:line="265" w:lineRule="atLeast"/>
              <w:ind w:left="420"/>
              <w:rPr>
                <w:rFonts w:hint="eastAsia" w:ascii="仿宋" w:hAnsi="仿宋" w:eastAsia="仿宋" w:cs="仿宋"/>
                <w:b/>
                <w:bCs/>
                <w:color w:val="auto"/>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noWrap w:val="0"/>
            <w:vAlign w:val="top"/>
          </w:tcPr>
          <w:p>
            <w:pPr>
              <w:pStyle w:val="30"/>
              <w:shd w:val="clear" w:color="auto" w:fill="FFFFFF"/>
              <w:spacing w:line="265" w:lineRule="atLeast"/>
              <w:ind w:left="420"/>
              <w:jc w:val="both"/>
              <w:rPr>
                <w:rFonts w:hint="eastAsia" w:ascii="仿宋" w:hAnsi="仿宋" w:eastAsia="仿宋" w:cs="仿宋"/>
                <w:b/>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noWrap w:val="0"/>
            <w:vAlign w:val="top"/>
          </w:tcPr>
          <w:p>
            <w:pPr>
              <w:pStyle w:val="30"/>
              <w:shd w:val="clear" w:color="auto" w:fill="FFFFFF"/>
              <w:spacing w:line="265" w:lineRule="atLeast"/>
              <w:ind w:left="0" w:firstLine="480" w:firstLineChars="200"/>
              <w:rPr>
                <w:rFonts w:hint="eastAsia" w:ascii="仿宋" w:hAnsi="仿宋" w:eastAsia="仿宋" w:cs="仿宋"/>
                <w:color w:val="auto"/>
                <w:szCs w:val="21"/>
                <w:highlight w:val="none"/>
                <w:lang w:val="en-US" w:eastAsia="zh-CN"/>
              </w:rPr>
            </w:pPr>
          </w:p>
        </w:tc>
        <w:tc>
          <w:tcPr>
            <w:tcW w:w="3570" w:type="dxa"/>
            <w:noWrap w:val="0"/>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Borders>
              <w:bottom w:val="single" w:color="auto" w:sz="4" w:space="0"/>
            </w:tcBorders>
            <w:noWrap w:val="0"/>
            <w:vAlign w:val="top"/>
          </w:tcPr>
          <w:p>
            <w:pPr>
              <w:pStyle w:val="30"/>
              <w:shd w:val="clear" w:color="auto" w:fill="FFFFFF"/>
              <w:spacing w:line="265" w:lineRule="atLeast"/>
              <w:ind w:left="0" w:firstLine="480" w:firstLineChars="200"/>
              <w:rPr>
                <w:rFonts w:hint="eastAsia" w:ascii="仿宋" w:hAnsi="仿宋" w:eastAsia="仿宋" w:cs="仿宋"/>
                <w:color w:val="auto"/>
                <w:highlight w:val="none"/>
                <w:lang w:val="en-US" w:eastAsia="zh-CN"/>
              </w:rPr>
            </w:pPr>
          </w:p>
        </w:tc>
        <w:tc>
          <w:tcPr>
            <w:tcW w:w="3570" w:type="dxa"/>
            <w:tcBorders>
              <w:bottom w:val="single" w:color="auto" w:sz="4" w:space="0"/>
            </w:tcBorders>
            <w:noWrap w:val="0"/>
            <w:vAlign w:val="top"/>
          </w:tcPr>
          <w:p>
            <w:pPr>
              <w:rPr>
                <w:rFonts w:hint="eastAsia" w:ascii="仿宋" w:hAnsi="仿宋" w:eastAsia="仿宋" w:cs="仿宋"/>
                <w:color w:val="auto"/>
                <w:highlight w:val="none"/>
              </w:rPr>
            </w:pPr>
          </w:p>
        </w:tc>
      </w:tr>
    </w:tbl>
    <w:p>
      <w:pPr>
        <w:rPr>
          <w:rFonts w:hint="eastAsia" w:ascii="仿宋" w:hAnsi="仿宋" w:eastAsia="仿宋" w:cs="仿宋"/>
          <w:color w:val="auto"/>
          <w:highlight w:val="none"/>
        </w:rPr>
      </w:pPr>
    </w:p>
    <w:p>
      <w:pPr>
        <w:ind w:firstLine="1084" w:firstLineChars="300"/>
        <w:jc w:val="center"/>
        <w:rPr>
          <w:rFonts w:hint="eastAsia" w:ascii="仿宋" w:hAnsi="仿宋" w:eastAsia="仿宋" w:cs="仿宋"/>
          <w:b/>
          <w:bCs/>
          <w:color w:val="auto"/>
          <w:sz w:val="32"/>
          <w:szCs w:val="32"/>
          <w:highlight w:val="none"/>
        </w:rPr>
      </w:pPr>
      <w:r>
        <w:rPr>
          <w:rFonts w:hint="eastAsia" w:ascii="仿宋" w:hAnsi="仿宋" w:eastAsia="仿宋" w:cs="仿宋"/>
          <w:b/>
          <w:color w:val="auto"/>
          <w:sz w:val="36"/>
          <w:highlight w:val="none"/>
          <w:u w:val="single"/>
        </w:rPr>
        <w:br w:type="page"/>
      </w:r>
      <w:r>
        <w:rPr>
          <w:rFonts w:hint="eastAsia" w:ascii="仿宋" w:hAnsi="仿宋" w:eastAsia="仿宋" w:cs="仿宋"/>
          <w:b/>
          <w:bCs/>
          <w:color w:val="auto"/>
          <w:sz w:val="32"/>
          <w:szCs w:val="32"/>
          <w:highlight w:val="none"/>
        </w:rPr>
        <w:t>投标主要文件目录</w:t>
      </w:r>
    </w:p>
    <w:p>
      <w:pPr>
        <w:spacing w:line="440" w:lineRule="exact"/>
        <w:jc w:val="center"/>
        <w:rPr>
          <w:rFonts w:hint="eastAsia" w:ascii="仿宋" w:hAnsi="仿宋" w:eastAsia="仿宋"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bCs/>
          <w:color w:val="auto"/>
          <w:sz w:val="24"/>
          <w:highlight w:val="none"/>
        </w:rPr>
        <w:t>资信证明文件要求</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二</w:t>
      </w:r>
      <w:r>
        <w:rPr>
          <w:rFonts w:hint="eastAsia" w:ascii="仿宋" w:hAnsi="仿宋" w:eastAsia="仿宋" w:cs="仿宋"/>
          <w:color w:val="auto"/>
          <w:sz w:val="24"/>
          <w:highlight w:val="none"/>
        </w:rPr>
        <w:t>、资格性审查响应对照表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color w:val="auto"/>
          <w:sz w:val="24"/>
          <w:highlight w:val="none"/>
        </w:rPr>
      </w:pPr>
      <w:r>
        <w:rPr>
          <w:rFonts w:hint="eastAsia" w:ascii="仿宋" w:hAnsi="仿宋" w:eastAsia="仿宋" w:cs="仿宋"/>
          <w:color w:val="auto"/>
          <w:sz w:val="24"/>
          <w:highlight w:val="none"/>
        </w:rPr>
        <w:t>三、符合性检查响应对照表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四、投标函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开标一览表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六、投标报价明细表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七、商务条款响应及偏离表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八、技术方案、服务承诺等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九、盐城市大丰区政府招标采购供应商承诺书</w:t>
      </w:r>
    </w:p>
    <w:p>
      <w:pPr>
        <w:spacing w:line="440" w:lineRule="exact"/>
        <w:ind w:firstLine="480" w:firstLineChars="200"/>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p>
    <w:p>
      <w:pPr>
        <w:snapToGrid w:val="0"/>
        <w:spacing w:before="50" w:after="50"/>
        <w:jc w:val="center"/>
        <w:rPr>
          <w:rFonts w:hint="eastAsia" w:ascii="仿宋" w:hAnsi="仿宋" w:eastAsia="仿宋" w:cs="仿宋"/>
          <w:b/>
          <w:bCs/>
          <w:color w:val="auto"/>
          <w:sz w:val="32"/>
          <w:szCs w:val="32"/>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32"/>
          <w:szCs w:val="32"/>
          <w:highlight w:val="none"/>
        </w:rPr>
        <w:t>一、</w:t>
      </w:r>
      <w:r>
        <w:rPr>
          <w:rFonts w:hint="eastAsia" w:ascii="仿宋" w:hAnsi="仿宋" w:eastAsia="仿宋" w:cs="仿宋"/>
          <w:b/>
          <w:bCs/>
          <w:color w:val="auto"/>
          <w:sz w:val="32"/>
          <w:szCs w:val="32"/>
          <w:highlight w:val="none"/>
        </w:rPr>
        <w:t>资信证明文件要求</w:t>
      </w:r>
    </w:p>
    <w:p>
      <w:pPr>
        <w:snapToGrid w:val="0"/>
        <w:spacing w:before="50" w:after="50"/>
        <w:rPr>
          <w:rFonts w:hint="eastAsia" w:ascii="仿宋" w:hAnsi="仿宋" w:eastAsia="仿宋" w:cs="仿宋"/>
          <w:i/>
          <w:color w:val="auto"/>
          <w:szCs w:val="24"/>
          <w:highlight w:val="none"/>
          <w:u w:val="single"/>
        </w:rPr>
      </w:pPr>
    </w:p>
    <w:p>
      <w:pPr>
        <w:keepNext w:val="0"/>
        <w:keepLines w:val="0"/>
        <w:pageBreakBefore w:val="0"/>
        <w:widowControl w:val="0"/>
        <w:kinsoku/>
        <w:wordWrap/>
        <w:overflowPunct/>
        <w:topLinePunct w:val="0"/>
        <w:autoSpaceDE/>
        <w:autoSpaceDN/>
        <w:bidi w:val="0"/>
        <w:adjustRightInd/>
        <w:snapToGrid w:val="0"/>
        <w:spacing w:line="520" w:lineRule="exact"/>
        <w:ind w:firstLine="482" w:firstLineChars="200"/>
        <w:textAlignment w:val="auto"/>
        <w:rPr>
          <w:rFonts w:hint="eastAsia" w:ascii="仿宋" w:hAnsi="仿宋" w:eastAsia="仿宋" w:cs="仿宋"/>
          <w:color w:val="auto"/>
          <w:sz w:val="24"/>
          <w:szCs w:val="20"/>
          <w:highlight w:val="none"/>
        </w:rPr>
      </w:pPr>
      <w:r>
        <w:rPr>
          <w:rFonts w:hint="eastAsia" w:ascii="仿宋" w:hAnsi="仿宋" w:eastAsia="仿宋" w:cs="仿宋"/>
          <w:b/>
          <w:bCs/>
          <w:color w:val="auto"/>
          <w:sz w:val="24"/>
          <w:highlight w:val="none"/>
        </w:rPr>
        <w:t>1、实质性资格证明文件目录</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highlight w:val="none"/>
        </w:rPr>
        <w:t>法人或者其他组织的营业执照等证明文件，自然人的身份证明</w:t>
      </w:r>
      <w:r>
        <w:rPr>
          <w:rFonts w:hint="eastAsia" w:ascii="仿宋" w:hAnsi="仿宋" w:eastAsia="仿宋" w:cs="仿宋"/>
          <w:color w:val="auto"/>
          <w:sz w:val="24"/>
          <w:highlight w:val="none"/>
          <w:lang w:val="en-US" w:eastAsia="zh-CN"/>
        </w:rPr>
        <w:t>复印件并加盖投标单位公章；</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  上一年度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2023年度）</w:t>
      </w:r>
      <w:r>
        <w:rPr>
          <w:rFonts w:hint="eastAsia" w:ascii="仿宋" w:hAnsi="仿宋" w:eastAsia="仿宋" w:cs="仿宋"/>
          <w:color w:val="auto"/>
          <w:sz w:val="24"/>
          <w:highlight w:val="none"/>
        </w:rPr>
        <w:t>财务状况报表（成立不满一年不需提供）</w:t>
      </w:r>
      <w:r>
        <w:rPr>
          <w:rFonts w:hint="eastAsia" w:ascii="仿宋" w:hAnsi="仿宋" w:eastAsia="仿宋" w:cs="仿宋"/>
          <w:color w:val="auto"/>
          <w:sz w:val="24"/>
          <w:highlight w:val="none"/>
          <w:lang w:val="en-US" w:eastAsia="zh-CN"/>
        </w:rPr>
        <w:t>复印件并加盖投标单位公章</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 xml:space="preserve">3  </w:t>
      </w:r>
      <w:r>
        <w:rPr>
          <w:rFonts w:hint="eastAsia" w:ascii="仿宋" w:hAnsi="仿宋" w:eastAsia="仿宋" w:cs="仿宋"/>
          <w:color w:val="auto"/>
          <w:sz w:val="24"/>
          <w:highlight w:val="none"/>
        </w:rPr>
        <w:t>依法缴纳税收和社会保障资金的相关材料（近期）复印件加盖投标单位公章；</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4  </w:t>
      </w:r>
      <w:r>
        <w:rPr>
          <w:rFonts w:hint="eastAsia" w:ascii="仿宋" w:hAnsi="仿宋" w:eastAsia="仿宋" w:cs="仿宋"/>
          <w:color w:val="auto"/>
          <w:sz w:val="24"/>
          <w:highlight w:val="none"/>
        </w:rPr>
        <w:t>具备履行合同所必需的设备和专业技术能力</w:t>
      </w:r>
      <w:r>
        <w:rPr>
          <w:rFonts w:hint="eastAsia" w:ascii="仿宋" w:hAnsi="仿宋" w:eastAsia="仿宋" w:cs="仿宋"/>
          <w:color w:val="auto"/>
          <w:sz w:val="24"/>
          <w:szCs w:val="24"/>
          <w:highlight w:val="none"/>
        </w:rPr>
        <w:t>证明材料</w:t>
      </w:r>
      <w:r>
        <w:rPr>
          <w:rFonts w:hint="eastAsia" w:ascii="仿宋" w:hAnsi="仿宋" w:eastAsia="仿宋" w:cs="仿宋"/>
          <w:color w:val="auto"/>
          <w:sz w:val="24"/>
          <w:szCs w:val="24"/>
          <w:highlight w:val="none"/>
          <w:lang w:val="en-US" w:eastAsia="zh-CN"/>
        </w:rPr>
        <w:t>复印件并加盖投标单位公章；</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rPr>
        <w:t xml:space="preserve">5  </w:t>
      </w:r>
      <w:r>
        <w:rPr>
          <w:rFonts w:hint="eastAsia" w:ascii="仿宋" w:hAnsi="仿宋" w:eastAsia="仿宋" w:cs="仿宋"/>
          <w:color w:val="auto"/>
          <w:sz w:val="24"/>
          <w:highlight w:val="none"/>
        </w:rPr>
        <w:t xml:space="preserve">参加政府采购活动前 </w:t>
      </w:r>
      <w:r>
        <w:rPr>
          <w:rFonts w:hint="eastAsia" w:ascii="仿宋" w:hAnsi="仿宋" w:eastAsia="仿宋" w:cs="仿宋"/>
          <w:color w:val="auto"/>
          <w:sz w:val="24"/>
          <w:szCs w:val="24"/>
          <w:highlight w:val="none"/>
        </w:rPr>
        <w:t xml:space="preserve">3 </w:t>
      </w:r>
      <w:r>
        <w:rPr>
          <w:rFonts w:hint="eastAsia" w:ascii="仿宋" w:hAnsi="仿宋" w:eastAsia="仿宋" w:cs="仿宋"/>
          <w:color w:val="auto"/>
          <w:sz w:val="24"/>
          <w:highlight w:val="none"/>
        </w:rPr>
        <w:t>年内在经营活动中没有重大违法记录的书面声明</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highlight w:val="none"/>
        </w:rPr>
        <w:t xml:space="preserve">  法人授权书</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 xml:space="preserve">7 </w:t>
      </w:r>
      <w:r>
        <w:rPr>
          <w:rFonts w:hint="eastAsia" w:ascii="仿宋" w:hAnsi="仿宋" w:eastAsia="仿宋" w:cs="仿宋"/>
          <w:color w:val="auto"/>
          <w:szCs w:val="24"/>
          <w:highlight w:val="none"/>
        </w:rPr>
        <w:t xml:space="preserve"> </w:t>
      </w:r>
      <w:r>
        <w:rPr>
          <w:rFonts w:hint="eastAsia" w:ascii="仿宋" w:hAnsi="仿宋" w:eastAsia="仿宋" w:cs="仿宋"/>
          <w:color w:val="auto"/>
          <w:sz w:val="24"/>
          <w:highlight w:val="none"/>
        </w:rPr>
        <w:t>招标文件中规定要求提供的证明材料和投标人认为需要提供的其他材料</w:t>
      </w:r>
    </w:p>
    <w:p>
      <w:pPr>
        <w:pStyle w:val="19"/>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482" w:firstLineChars="200"/>
        <w:jc w:val="left"/>
        <w:textAlignment w:val="auto"/>
        <w:rPr>
          <w:rFonts w:hint="eastAsia" w:ascii="仿宋" w:hAnsi="仿宋" w:eastAsia="仿宋" w:cs="仿宋"/>
          <w:b/>
          <w:i/>
          <w:color w:val="auto"/>
          <w:sz w:val="24"/>
          <w:highlight w:val="none"/>
          <w:u w:val="single"/>
        </w:rPr>
      </w:pPr>
    </w:p>
    <w:p>
      <w:pPr>
        <w:keepNext w:val="0"/>
        <w:keepLines w:val="0"/>
        <w:pageBreakBefore w:val="0"/>
        <w:widowControl w:val="0"/>
        <w:kinsoku/>
        <w:wordWrap/>
        <w:overflowPunct/>
        <w:topLinePunct w:val="0"/>
        <w:autoSpaceDE/>
        <w:autoSpaceDN/>
        <w:bidi w:val="0"/>
        <w:adjustRightInd/>
        <w:snapToGrid w:val="0"/>
        <w:spacing w:line="520" w:lineRule="exact"/>
        <w:ind w:firstLine="482" w:firstLineChars="200"/>
        <w:textAlignment w:val="auto"/>
        <w:rPr>
          <w:rFonts w:hint="eastAsia" w:ascii="仿宋" w:hAnsi="仿宋" w:eastAsia="仿宋" w:cs="仿宋"/>
          <w:color w:val="auto"/>
          <w:sz w:val="24"/>
          <w:szCs w:val="20"/>
          <w:highlight w:val="none"/>
        </w:rPr>
      </w:pPr>
      <w:r>
        <w:rPr>
          <w:rFonts w:hint="eastAsia" w:ascii="仿宋" w:hAnsi="仿宋" w:eastAsia="仿宋" w:cs="仿宋"/>
          <w:b/>
          <w:bCs/>
          <w:color w:val="auto"/>
          <w:sz w:val="24"/>
          <w:highlight w:val="none"/>
        </w:rPr>
        <w:t>2、非实质性资信证明文件目录</w:t>
      </w:r>
    </w:p>
    <w:p>
      <w:pPr>
        <w:pStyle w:val="6"/>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附</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rPr>
        <w:t>企业</w:t>
      </w:r>
      <w:r>
        <w:rPr>
          <w:rFonts w:hint="eastAsia" w:ascii="仿宋" w:hAnsi="仿宋" w:eastAsia="仿宋" w:cs="仿宋"/>
          <w:color w:val="auto"/>
          <w:sz w:val="24"/>
          <w:szCs w:val="24"/>
          <w:highlight w:val="none"/>
          <w:lang w:eastAsia="zh-CN"/>
        </w:rPr>
        <w:t>申明</w:t>
      </w:r>
      <w:r>
        <w:rPr>
          <w:rFonts w:hint="eastAsia" w:ascii="仿宋" w:hAnsi="仿宋" w:eastAsia="仿宋" w:cs="仿宋"/>
          <w:color w:val="auto"/>
          <w:sz w:val="24"/>
          <w:szCs w:val="24"/>
          <w:highlight w:val="none"/>
        </w:rPr>
        <w:t>函</w:t>
      </w:r>
      <w:r>
        <w:rPr>
          <w:rFonts w:hint="eastAsia" w:ascii="仿宋" w:hAnsi="仿宋" w:eastAsia="仿宋" w:cs="仿宋"/>
          <w:color w:val="auto"/>
          <w:sz w:val="24"/>
          <w:szCs w:val="24"/>
          <w:highlight w:val="none"/>
          <w:lang w:eastAsia="zh-CN"/>
        </w:rPr>
        <w:t>》</w:t>
      </w: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6"/>
        <w:spacing w:line="0" w:lineRule="atLeast"/>
        <w:rPr>
          <w:rFonts w:hint="eastAsia" w:ascii="仿宋" w:hAnsi="仿宋" w:eastAsia="仿宋" w:cs="仿宋"/>
          <w:color w:val="auto"/>
          <w:sz w:val="24"/>
          <w:szCs w:val="24"/>
          <w:highlight w:val="none"/>
        </w:rPr>
      </w:pPr>
    </w:p>
    <w:p>
      <w:pPr>
        <w:pStyle w:val="5"/>
        <w:jc w:val="center"/>
        <w:rPr>
          <w:rFonts w:hint="eastAsia" w:ascii="仿宋" w:hAnsi="仿宋" w:eastAsia="仿宋" w:cs="仿宋"/>
          <w:b w:val="0"/>
          <w:bCs w:val="0"/>
          <w:color w:val="auto"/>
          <w:sz w:val="30"/>
          <w:szCs w:val="30"/>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rPr>
        <w:t>具备履行合同所必需的设备和专业技术能力的书面声明</w:t>
      </w:r>
    </w:p>
    <w:p>
      <w:pPr>
        <w:keepNext w:val="0"/>
        <w:keepLines w:val="0"/>
        <w:pageBreakBefore w:val="0"/>
        <w:widowControl w:val="0"/>
        <w:kinsoku/>
        <w:wordWrap/>
        <w:overflowPunct/>
        <w:topLinePunct w:val="0"/>
        <w:autoSpaceDE/>
        <w:autoSpaceDN/>
        <w:bidi w:val="0"/>
        <w:adjustRightInd/>
        <w:snapToGrid/>
        <w:spacing w:line="520" w:lineRule="exact"/>
        <w:ind w:firstLine="493"/>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我公司郑重声明：我公司具备履行本项采购合同所必需的设备和专业技术能力，为履行本项采购合同我公司具备如下主要设备和主要专业技术能力：</w:t>
      </w:r>
    </w:p>
    <w:p>
      <w:pPr>
        <w:keepNext w:val="0"/>
        <w:keepLines w:val="0"/>
        <w:pageBreakBefore w:val="0"/>
        <w:widowControl w:val="0"/>
        <w:kinsoku/>
        <w:wordWrap/>
        <w:overflowPunct/>
        <w:topLinePunct w:val="0"/>
        <w:autoSpaceDE/>
        <w:autoSpaceDN/>
        <w:bidi w:val="0"/>
        <w:adjustRightInd/>
        <w:snapToGrid/>
        <w:spacing w:line="520" w:lineRule="exact"/>
        <w:ind w:firstLine="493"/>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主要设备有：</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93"/>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主要专业技术能力有：</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w:t>
      </w:r>
    </w:p>
    <w:p>
      <w:pPr>
        <w:spacing w:line="460" w:lineRule="exact"/>
        <w:ind w:firstLine="492"/>
        <w:rPr>
          <w:rFonts w:hint="eastAsia" w:ascii="仿宋" w:hAnsi="仿宋" w:eastAsia="仿宋" w:cs="仿宋"/>
          <w:bCs/>
          <w:color w:val="auto"/>
          <w:sz w:val="24"/>
          <w:highlight w:val="none"/>
        </w:rPr>
      </w:pPr>
    </w:p>
    <w:p>
      <w:pPr>
        <w:spacing w:line="460" w:lineRule="exact"/>
        <w:ind w:firstLine="492"/>
        <w:rPr>
          <w:rFonts w:hint="eastAsia" w:ascii="仿宋" w:hAnsi="仿宋" w:eastAsia="仿宋" w:cs="仿宋"/>
          <w:bCs/>
          <w:color w:val="auto"/>
          <w:sz w:val="24"/>
          <w:highlight w:val="none"/>
        </w:rPr>
      </w:pPr>
    </w:p>
    <w:p>
      <w:pPr>
        <w:spacing w:line="460" w:lineRule="exact"/>
        <w:ind w:firstLine="492"/>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供应商名称（公章）：</w:t>
      </w:r>
    </w:p>
    <w:p>
      <w:pPr>
        <w:spacing w:line="46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spacing w:line="46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日期：</w:t>
      </w:r>
      <w:r>
        <w:rPr>
          <w:rFonts w:hint="eastAsia" w:ascii="仿宋" w:hAnsi="仿宋" w:eastAsia="仿宋" w:cs="仿宋"/>
          <w:bCs/>
          <w:color w:val="auto"/>
          <w:sz w:val="24"/>
          <w:highlight w:val="none"/>
          <w:u w:val="single"/>
        </w:rPr>
        <w:t>______</w:t>
      </w:r>
      <w:r>
        <w:rPr>
          <w:rFonts w:hint="eastAsia" w:ascii="仿宋" w:hAnsi="仿宋" w:eastAsia="仿宋" w:cs="仿宋"/>
          <w:bCs/>
          <w:color w:val="auto"/>
          <w:sz w:val="24"/>
          <w:highlight w:val="none"/>
        </w:rPr>
        <w:t>年</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月</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日</w:t>
      </w:r>
    </w:p>
    <w:p>
      <w:pPr>
        <w:pStyle w:val="6"/>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p>
    <w:p>
      <w:pPr>
        <w:pStyle w:val="5"/>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参加政府采购活动前 3 年内在经营活动中没有重大违法记录的书面声明</w:t>
      </w:r>
    </w:p>
    <w:p>
      <w:pPr>
        <w:spacing w:line="460" w:lineRule="exact"/>
        <w:rPr>
          <w:rFonts w:hint="eastAsia" w:ascii="仿宋" w:hAnsi="仿宋" w:eastAsia="仿宋" w:cs="仿宋"/>
          <w:b/>
          <w:bCs/>
          <w:color w:val="auto"/>
          <w:sz w:val="44"/>
          <w:szCs w:val="44"/>
          <w:highlight w:val="none"/>
        </w:rPr>
      </w:pPr>
      <w:r>
        <w:rPr>
          <w:rFonts w:hint="eastAsia" w:ascii="仿宋" w:hAnsi="仿宋" w:eastAsia="仿宋" w:cs="仿宋"/>
          <w:b/>
          <w:bCs/>
          <w:color w:val="auto"/>
          <w:sz w:val="24"/>
          <w:highlight w:val="none"/>
        </w:rPr>
        <w:t xml:space="preserve">                       </w:t>
      </w:r>
      <w:r>
        <w:rPr>
          <w:rFonts w:hint="eastAsia" w:ascii="仿宋" w:hAnsi="仿宋" w:eastAsia="仿宋" w:cs="仿宋"/>
          <w:b/>
          <w:bCs/>
          <w:color w:val="auto"/>
          <w:sz w:val="44"/>
          <w:szCs w:val="44"/>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声  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我公司郑重声明：参加本次政府采购活动前 3 年内，我公司在经营活动中没有因违法经营受到刑事处罚或者责令停产停业、吊销许可证或者执照、较大数额罚款等行政处罚。</w:t>
      </w: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供应商名称（公章）：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授权代表签字：</w:t>
      </w:r>
      <w:r>
        <w:rPr>
          <w:rFonts w:hint="eastAsia" w:ascii="仿宋" w:hAnsi="仿宋" w:eastAsia="仿宋" w:cs="仿宋"/>
          <w:bCs/>
          <w:color w:val="auto"/>
          <w:sz w:val="24"/>
          <w:highlight w:val="none"/>
          <w:u w:val="single"/>
        </w:rPr>
        <w:t>_______________________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日期：</w:t>
      </w:r>
      <w:r>
        <w:rPr>
          <w:rFonts w:hint="eastAsia" w:ascii="仿宋" w:hAnsi="仿宋" w:eastAsia="仿宋" w:cs="仿宋"/>
          <w:bCs/>
          <w:color w:val="auto"/>
          <w:sz w:val="24"/>
          <w:highlight w:val="none"/>
          <w:u w:val="single"/>
        </w:rPr>
        <w:t>______</w:t>
      </w:r>
      <w:r>
        <w:rPr>
          <w:rFonts w:hint="eastAsia" w:ascii="仿宋" w:hAnsi="仿宋" w:eastAsia="仿宋" w:cs="仿宋"/>
          <w:bCs/>
          <w:color w:val="auto"/>
          <w:sz w:val="24"/>
          <w:highlight w:val="none"/>
        </w:rPr>
        <w:t>年</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月</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br w:type="page"/>
      </w:r>
    </w:p>
    <w:p>
      <w:pPr>
        <w:pStyle w:val="7"/>
        <w:spacing w:after="0" w:line="480" w:lineRule="exact"/>
        <w:jc w:val="center"/>
        <w:rPr>
          <w:rFonts w:hint="eastAsia" w:ascii="仿宋" w:hAnsi="仿宋" w:eastAsia="仿宋" w:cs="仿宋"/>
          <w:color w:val="auto"/>
          <w:highlight w:val="none"/>
        </w:rPr>
      </w:pPr>
      <w:r>
        <w:rPr>
          <w:rFonts w:hint="eastAsia" w:ascii="仿宋" w:hAnsi="仿宋" w:eastAsia="仿宋" w:cs="仿宋"/>
          <w:b/>
          <w:bCs/>
          <w:color w:val="auto"/>
          <w:sz w:val="24"/>
          <w:highlight w:val="none"/>
        </w:rPr>
        <w:t>未被“信用中国”网站（www.creditchina.gov.cn）、“中国政府采购网”（www.ccgp.gov.cn）等网站列入失信被执行人、重大税收违法案件当事人名单、政府采购严重失信行为记录名单的书面声明</w:t>
      </w:r>
    </w:p>
    <w:p>
      <w:pPr>
        <w:spacing w:line="480" w:lineRule="exact"/>
        <w:ind w:firstLine="480" w:firstLineChars="200"/>
        <w:jc w:val="left"/>
        <w:rPr>
          <w:rFonts w:hint="eastAsia" w:ascii="仿宋" w:hAnsi="仿宋" w:eastAsia="仿宋" w:cs="仿宋"/>
          <w:color w:val="auto"/>
          <w:sz w:val="24"/>
          <w:highlight w:val="none"/>
        </w:rPr>
      </w:pPr>
    </w:p>
    <w:p>
      <w:pPr>
        <w:spacing w:line="480" w:lineRule="exact"/>
        <w:ind w:firstLine="480" w:firstLineChars="200"/>
        <w:jc w:val="left"/>
        <w:rPr>
          <w:rFonts w:hint="eastAsia" w:ascii="仿宋" w:hAnsi="仿宋" w:eastAsia="仿宋" w:cs="仿宋"/>
          <w:color w:val="auto"/>
          <w:sz w:val="24"/>
          <w:highlight w:val="none"/>
        </w:rPr>
      </w:pPr>
    </w:p>
    <w:p>
      <w:pPr>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我单位郑重声明：未被“信用中国”网站（www.creditchina.gov.cn）、“中国政府采购网”（www.ccgp.gov.cn）等网站列入失信被执行人、重大税收违法案件当事人名单、政府采购严重失信行为记录名单。</w:t>
      </w:r>
    </w:p>
    <w:p>
      <w:pPr>
        <w:pStyle w:val="7"/>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法定代表人（负责人）或被授权人（签字）：</w:t>
      </w:r>
      <w:r>
        <w:rPr>
          <w:rFonts w:hint="eastAsia" w:ascii="仿宋" w:hAnsi="仿宋" w:eastAsia="仿宋" w:cs="仿宋"/>
          <w:color w:val="auto"/>
          <w:sz w:val="24"/>
          <w:highlight w:val="none"/>
          <w:u w:val="single"/>
        </w:rPr>
        <w:t xml:space="preserve">              </w:t>
      </w:r>
    </w:p>
    <w:p>
      <w:pPr>
        <w:spacing w:line="48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投标人（盖单位公章）：</w:t>
      </w:r>
      <w:r>
        <w:rPr>
          <w:rFonts w:hint="eastAsia" w:ascii="仿宋" w:hAnsi="仿宋" w:eastAsia="仿宋" w:cs="仿宋"/>
          <w:color w:val="auto"/>
          <w:sz w:val="24"/>
          <w:highlight w:val="none"/>
          <w:u w:val="single"/>
        </w:rPr>
        <w:t xml:space="preserve">               </w:t>
      </w:r>
    </w:p>
    <w:p>
      <w:pPr>
        <w:pStyle w:val="7"/>
        <w:spacing w:after="0" w:line="48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jc w:val="left"/>
        <w:rPr>
          <w:rFonts w:hint="eastAsia" w:ascii="仿宋" w:hAnsi="仿宋" w:eastAsia="仿宋" w:cs="仿宋"/>
          <w:b/>
          <w:bCs/>
          <w:color w:val="auto"/>
          <w:sz w:val="28"/>
          <w:szCs w:val="28"/>
          <w:highlight w:val="none"/>
        </w:rPr>
      </w:pPr>
    </w:p>
    <w:p>
      <w:pPr>
        <w:jc w:val="left"/>
        <w:rPr>
          <w:rFonts w:hint="eastAsia" w:ascii="仿宋" w:hAnsi="仿宋" w:eastAsia="仿宋" w:cs="仿宋"/>
          <w:b/>
          <w:bCs/>
          <w:color w:val="auto"/>
          <w:sz w:val="28"/>
          <w:szCs w:val="28"/>
          <w:highlight w:val="none"/>
        </w:rPr>
      </w:pPr>
    </w:p>
    <w:p>
      <w:pPr>
        <w:jc w:val="left"/>
        <w:rPr>
          <w:rFonts w:hint="eastAsia" w:ascii="仿宋" w:hAnsi="仿宋" w:eastAsia="仿宋" w:cs="仿宋"/>
          <w:b/>
          <w:bCs/>
          <w:color w:val="auto"/>
          <w:sz w:val="28"/>
          <w:szCs w:val="28"/>
          <w:highlight w:val="none"/>
        </w:rPr>
      </w:pPr>
    </w:p>
    <w:p>
      <w:pPr>
        <w:pStyle w:val="8"/>
        <w:rPr>
          <w:rFonts w:hint="eastAsia"/>
        </w:rPr>
      </w:pPr>
    </w:p>
    <w:p>
      <w:pPr>
        <w:spacing w:line="460" w:lineRule="exact"/>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pStyle w:val="5"/>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color w:val="auto"/>
          <w:sz w:val="24"/>
          <w:szCs w:val="24"/>
          <w:highlight w:val="none"/>
          <w:shd w:val="clear" w:color="auto" w:fill="auto"/>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shd w:val="clear" w:color="auto" w:fill="auto"/>
        </w:rPr>
        <w:t>法人授权书</w:t>
      </w:r>
    </w:p>
    <w:p>
      <w:pPr>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highlight w:val="none"/>
          <w:shd w:val="clear" w:color="auto" w:fill="auto"/>
        </w:rPr>
      </w:pPr>
    </w:p>
    <w:p>
      <w:pPr>
        <w:pStyle w:val="31"/>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本授权书声明：____________（供应商名称）授权________________（被授权人的姓名）为我方就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编号项目采购活动的合法代理人，以本公司名义全权处理一切与该项目采购有关的事务。</w:t>
      </w:r>
    </w:p>
    <w:p>
      <w:pPr>
        <w:pStyle w:val="31"/>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本授权书于______年____月____日起生效，特此声明。</w:t>
      </w:r>
    </w:p>
    <w:p>
      <w:pPr>
        <w:pStyle w:val="31"/>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w:t>
      </w:r>
    </w:p>
    <w:p>
      <w:pPr>
        <w:pStyle w:val="31"/>
        <w:pageBreakBefore w:val="0"/>
        <w:widowControl w:val="0"/>
        <w:kinsoku/>
        <w:wordWrap/>
        <w:overflowPunct/>
        <w:topLinePunct w:val="0"/>
        <w:autoSpaceDE/>
        <w:autoSpaceDN/>
        <w:bidi w:val="0"/>
        <w:adjustRightInd/>
        <w:snapToGrid/>
        <w:spacing w:line="520" w:lineRule="exact"/>
        <w:ind w:firstLine="1200" w:firstLineChars="50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代理人（被授权人）：_______________________</w:t>
      </w:r>
    </w:p>
    <w:p>
      <w:pPr>
        <w:pStyle w:val="31"/>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w:t>
      </w:r>
    </w:p>
    <w:p>
      <w:pPr>
        <w:pStyle w:val="31"/>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单位名称：_____________________________________</w:t>
      </w:r>
    </w:p>
    <w:p>
      <w:pPr>
        <w:pStyle w:val="31"/>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color w:val="auto"/>
          <w:sz w:val="24"/>
          <w:szCs w:val="24"/>
          <w:highlight w:val="none"/>
          <w:shd w:val="clear" w:color="auto" w:fill="auto"/>
        </w:rPr>
      </w:pPr>
    </w:p>
    <w:p>
      <w:pPr>
        <w:pStyle w:val="31"/>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授权单位盖章：_________________________________</w:t>
      </w:r>
    </w:p>
    <w:p>
      <w:pPr>
        <w:pStyle w:val="31"/>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单位名称：_____________________________________</w:t>
      </w:r>
    </w:p>
    <w:p>
      <w:pPr>
        <w:pStyle w:val="31"/>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 xml:space="preserve">      地址：</w:t>
      </w:r>
      <w:r>
        <w:rPr>
          <w:rFonts w:hint="eastAsia" w:ascii="仿宋" w:hAnsi="仿宋" w:eastAsia="仿宋" w:cs="仿宋"/>
          <w:color w:val="auto"/>
          <w:sz w:val="24"/>
          <w:szCs w:val="24"/>
          <w:highlight w:val="none"/>
          <w:u w:val="single"/>
          <w:shd w:val="clear" w:color="auto" w:fill="auto"/>
        </w:rPr>
        <w:t xml:space="preserve">                                         </w:t>
      </w:r>
    </w:p>
    <w:p>
      <w:pPr>
        <w:pStyle w:val="31"/>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日期：                    </w:t>
      </w:r>
    </w:p>
    <w:p>
      <w:pPr>
        <w:pStyle w:val="5"/>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highlight w:val="none"/>
          <w:shd w:val="clear" w:color="auto" w:fill="auto"/>
        </w:rPr>
      </w:pPr>
      <w:bookmarkStart w:id="468" w:name="_Hlt26671380"/>
      <w:bookmarkEnd w:id="468"/>
      <w:bookmarkStart w:id="469" w:name="_格式3__银行出具的资信证明"/>
      <w:bookmarkEnd w:id="469"/>
      <w:bookmarkStart w:id="470" w:name="_Hlt26955070"/>
      <w:bookmarkEnd w:id="470"/>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spacing w:line="460" w:lineRule="exact"/>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spacing w:line="460" w:lineRule="exact"/>
        <w:rPr>
          <w:rFonts w:hint="eastAsia" w:ascii="仿宋" w:hAnsi="仿宋" w:eastAsia="仿宋" w:cs="仿宋"/>
          <w:bCs/>
          <w:color w:val="auto"/>
          <w:sz w:val="24"/>
          <w:highlight w:val="none"/>
        </w:rPr>
      </w:pPr>
    </w:p>
    <w:p>
      <w:pPr>
        <w:rPr>
          <w:rFonts w:hint="eastAsia" w:ascii="仿宋" w:hAnsi="仿宋" w:eastAsia="仿宋" w:cs="仿宋"/>
          <w:b/>
          <w:bCs/>
          <w:color w:val="auto"/>
          <w:sz w:val="36"/>
          <w:szCs w:val="36"/>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highlight w:val="none"/>
        </w:rPr>
        <w:br w:type="page"/>
      </w:r>
      <w:r>
        <w:rPr>
          <w:rFonts w:hint="eastAsia" w:ascii="仿宋" w:hAnsi="仿宋" w:eastAsia="仿宋" w:cs="仿宋"/>
          <w:b/>
          <w:bCs/>
          <w:color w:val="auto"/>
          <w:highlight w:val="none"/>
        </w:rPr>
        <w:t>附1</w:t>
      </w:r>
    </w:p>
    <w:p>
      <w:pPr>
        <w:widowControl/>
        <w:jc w:val="center"/>
        <w:rPr>
          <w:rFonts w:hint="eastAsia" w:ascii="仿宋" w:hAnsi="仿宋" w:eastAsia="仿宋" w:cs="仿宋"/>
          <w:color w:val="auto"/>
          <w:highlight w:val="none"/>
          <w:vertAlign w:val="baseline"/>
        </w:rPr>
      </w:pPr>
      <w:r>
        <w:rPr>
          <w:rFonts w:hint="eastAsia" w:ascii="仿宋" w:hAnsi="仿宋" w:eastAsia="仿宋" w:cs="仿宋"/>
          <w:b/>
          <w:color w:val="auto"/>
          <w:kern w:val="0"/>
          <w:sz w:val="36"/>
          <w:szCs w:val="36"/>
          <w:highlight w:val="none"/>
          <w:vertAlign w:val="baseline"/>
          <w:lang w:bidi="ar"/>
        </w:rPr>
        <w:t>中小企业声明函（服务）</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vertAlign w:val="baseline"/>
          <w:lang w:bidi="ar"/>
        </w:rPr>
        <w:t>本公司郑重声明，根据《政府采购促进中小企业发展管理办法》（财库﹝2020﹞46 号）的规定，本公司参加</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i/>
          <w:color w:val="auto"/>
          <w:kern w:val="0"/>
          <w:sz w:val="24"/>
          <w:szCs w:val="24"/>
          <w:highlight w:val="none"/>
          <w:u w:val="single"/>
          <w:vertAlign w:val="baseline"/>
          <w:lang w:bidi="ar"/>
        </w:rPr>
        <w:t xml:space="preserve">（单位名称）   </w:t>
      </w:r>
      <w:r>
        <w:rPr>
          <w:rFonts w:hint="eastAsia" w:ascii="仿宋" w:hAnsi="仿宋" w:eastAsia="仿宋" w:cs="仿宋"/>
          <w:color w:val="auto"/>
          <w:kern w:val="0"/>
          <w:sz w:val="24"/>
          <w:szCs w:val="24"/>
          <w:highlight w:val="none"/>
          <w:vertAlign w:val="baseline"/>
          <w:lang w:bidi="ar"/>
        </w:rPr>
        <w:t>的</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i/>
          <w:color w:val="auto"/>
          <w:kern w:val="0"/>
          <w:sz w:val="24"/>
          <w:szCs w:val="24"/>
          <w:highlight w:val="none"/>
          <w:u w:val="single"/>
          <w:vertAlign w:val="baseline"/>
          <w:lang w:bidi="ar"/>
        </w:rPr>
        <w:t xml:space="preserve">（项目名称）   </w:t>
      </w:r>
      <w:r>
        <w:rPr>
          <w:rFonts w:hint="eastAsia" w:ascii="仿宋" w:hAnsi="仿宋" w:eastAsia="仿宋" w:cs="仿宋"/>
          <w:color w:val="auto"/>
          <w:kern w:val="0"/>
          <w:sz w:val="24"/>
          <w:szCs w:val="24"/>
          <w:highlight w:val="none"/>
          <w:vertAlign w:val="baseline"/>
          <w:lang w:bidi="ar"/>
        </w:rPr>
        <w:t xml:space="preserve">采购活动，提供的服务全部由符合政策要求的中小企业承接。相关企业（含联合体中的中小企业、签订分包意向协议的中小企业）的具体情况如下： </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vertAlign w:val="baseline"/>
          <w:lang w:bidi="ar"/>
        </w:rPr>
        <w:t>1.</w:t>
      </w:r>
      <w:r>
        <w:rPr>
          <w:rFonts w:hint="eastAsia" w:ascii="仿宋" w:hAnsi="仿宋" w:eastAsia="仿宋" w:cs="仿宋"/>
          <w:i/>
          <w:color w:val="auto"/>
          <w:kern w:val="0"/>
          <w:sz w:val="24"/>
          <w:szCs w:val="24"/>
          <w:highlight w:val="none"/>
          <w:u w:val="single"/>
          <w:vertAlign w:val="baseline"/>
          <w:lang w:bidi="ar"/>
        </w:rPr>
        <w:t xml:space="preserve">（标的名称） </w:t>
      </w:r>
      <w:r>
        <w:rPr>
          <w:rFonts w:hint="eastAsia" w:ascii="仿宋" w:hAnsi="仿宋" w:eastAsia="仿宋" w:cs="仿宋"/>
          <w:color w:val="auto"/>
          <w:kern w:val="0"/>
          <w:sz w:val="24"/>
          <w:szCs w:val="24"/>
          <w:highlight w:val="none"/>
          <w:vertAlign w:val="baseline"/>
          <w:lang w:bidi="ar"/>
        </w:rPr>
        <w:t>，属于</w:t>
      </w:r>
      <w:r>
        <w:rPr>
          <w:rFonts w:hint="eastAsia" w:ascii="仿宋" w:hAnsi="仿宋" w:eastAsia="仿宋" w:cs="仿宋"/>
          <w:i/>
          <w:color w:val="auto"/>
          <w:kern w:val="0"/>
          <w:sz w:val="24"/>
          <w:szCs w:val="24"/>
          <w:highlight w:val="none"/>
          <w:u w:val="single"/>
          <w:vertAlign w:val="baseline"/>
          <w:lang w:bidi="ar"/>
        </w:rPr>
        <w:t>（采购文件中明确的所属行业）</w:t>
      </w:r>
      <w:r>
        <w:rPr>
          <w:rFonts w:hint="eastAsia" w:ascii="仿宋" w:hAnsi="仿宋" w:eastAsia="仿宋" w:cs="仿宋"/>
          <w:iCs/>
          <w:color w:val="auto"/>
          <w:kern w:val="0"/>
          <w:sz w:val="24"/>
          <w:szCs w:val="24"/>
          <w:highlight w:val="none"/>
          <w:vertAlign w:val="baseline"/>
          <w:lang w:bidi="ar"/>
        </w:rPr>
        <w:t>行业</w:t>
      </w:r>
      <w:r>
        <w:rPr>
          <w:rFonts w:hint="eastAsia" w:ascii="仿宋" w:hAnsi="仿宋" w:eastAsia="仿宋" w:cs="仿宋"/>
          <w:color w:val="auto"/>
          <w:kern w:val="0"/>
          <w:sz w:val="24"/>
          <w:szCs w:val="24"/>
          <w:highlight w:val="none"/>
          <w:vertAlign w:val="baseline"/>
          <w:lang w:bidi="ar"/>
        </w:rPr>
        <w:t>；承接企业为</w:t>
      </w:r>
      <w:r>
        <w:rPr>
          <w:rFonts w:hint="eastAsia" w:ascii="仿宋" w:hAnsi="仿宋" w:eastAsia="仿宋" w:cs="仿宋"/>
          <w:i/>
          <w:color w:val="auto"/>
          <w:kern w:val="0"/>
          <w:sz w:val="24"/>
          <w:szCs w:val="24"/>
          <w:highlight w:val="none"/>
          <w:u w:val="single"/>
          <w:vertAlign w:val="baseline"/>
          <w:lang w:bidi="ar"/>
        </w:rPr>
        <w:t>（企业名称）</w:t>
      </w:r>
      <w:r>
        <w:rPr>
          <w:rFonts w:hint="eastAsia" w:ascii="仿宋" w:hAnsi="仿宋" w:eastAsia="仿宋" w:cs="仿宋"/>
          <w:color w:val="auto"/>
          <w:kern w:val="0"/>
          <w:sz w:val="24"/>
          <w:szCs w:val="24"/>
          <w:highlight w:val="none"/>
          <w:vertAlign w:val="baseline"/>
          <w:lang w:bidi="ar"/>
        </w:rPr>
        <w:t>，从业人员</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color w:val="auto"/>
          <w:kern w:val="0"/>
          <w:sz w:val="24"/>
          <w:szCs w:val="24"/>
          <w:highlight w:val="none"/>
          <w:vertAlign w:val="baseline"/>
          <w:lang w:bidi="ar"/>
        </w:rPr>
        <w:t>人，营业收入为</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color w:val="auto"/>
          <w:kern w:val="0"/>
          <w:sz w:val="24"/>
          <w:szCs w:val="24"/>
          <w:highlight w:val="none"/>
          <w:vertAlign w:val="baseline"/>
          <w:lang w:bidi="ar"/>
        </w:rPr>
        <w:t>万元，资产总额为</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color w:val="auto"/>
          <w:kern w:val="0"/>
          <w:sz w:val="24"/>
          <w:szCs w:val="24"/>
          <w:highlight w:val="none"/>
          <w:vertAlign w:val="baseline"/>
          <w:lang w:bidi="ar"/>
        </w:rPr>
        <w:t>万元，属于</w:t>
      </w:r>
      <w:r>
        <w:rPr>
          <w:rFonts w:hint="eastAsia" w:ascii="仿宋" w:hAnsi="仿宋" w:eastAsia="仿宋" w:cs="仿宋"/>
          <w:i/>
          <w:color w:val="auto"/>
          <w:kern w:val="0"/>
          <w:sz w:val="24"/>
          <w:szCs w:val="24"/>
          <w:highlight w:val="none"/>
          <w:u w:val="single"/>
          <w:vertAlign w:val="baseline"/>
          <w:lang w:bidi="ar"/>
        </w:rPr>
        <w:t>（中型企业、小型企业、微型企业）</w:t>
      </w:r>
      <w:r>
        <w:rPr>
          <w:rFonts w:hint="eastAsia" w:ascii="仿宋" w:hAnsi="仿宋" w:eastAsia="仿宋" w:cs="仿宋"/>
          <w:color w:val="auto"/>
          <w:kern w:val="0"/>
          <w:sz w:val="24"/>
          <w:szCs w:val="24"/>
          <w:highlight w:val="none"/>
          <w:vertAlign w:val="baseline"/>
          <w:lang w:bidi="ar"/>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vertAlign w:val="baseline"/>
          <w:lang w:bidi="ar"/>
        </w:rPr>
        <w:t>2.</w:t>
      </w:r>
      <w:r>
        <w:rPr>
          <w:rFonts w:hint="eastAsia" w:ascii="仿宋" w:hAnsi="仿宋" w:eastAsia="仿宋" w:cs="仿宋"/>
          <w:i/>
          <w:color w:val="auto"/>
          <w:kern w:val="0"/>
          <w:sz w:val="24"/>
          <w:szCs w:val="24"/>
          <w:highlight w:val="none"/>
          <w:u w:val="single"/>
          <w:vertAlign w:val="baseline"/>
          <w:lang w:bidi="ar"/>
        </w:rPr>
        <w:t xml:space="preserve">（标的名称） </w:t>
      </w:r>
      <w:r>
        <w:rPr>
          <w:rFonts w:hint="eastAsia" w:ascii="仿宋" w:hAnsi="仿宋" w:eastAsia="仿宋" w:cs="仿宋"/>
          <w:color w:val="auto"/>
          <w:kern w:val="0"/>
          <w:sz w:val="24"/>
          <w:szCs w:val="24"/>
          <w:highlight w:val="none"/>
          <w:vertAlign w:val="baseline"/>
          <w:lang w:bidi="ar"/>
        </w:rPr>
        <w:t>，属于</w:t>
      </w:r>
      <w:r>
        <w:rPr>
          <w:rFonts w:hint="eastAsia" w:ascii="仿宋" w:hAnsi="仿宋" w:eastAsia="仿宋" w:cs="仿宋"/>
          <w:i/>
          <w:color w:val="auto"/>
          <w:kern w:val="0"/>
          <w:sz w:val="24"/>
          <w:szCs w:val="24"/>
          <w:highlight w:val="none"/>
          <w:u w:val="single"/>
          <w:vertAlign w:val="baseline"/>
          <w:lang w:bidi="ar"/>
        </w:rPr>
        <w:t>（采购文件中明确的所属行业）</w:t>
      </w:r>
      <w:r>
        <w:rPr>
          <w:rFonts w:hint="eastAsia" w:ascii="仿宋" w:hAnsi="仿宋" w:eastAsia="仿宋" w:cs="仿宋"/>
          <w:iCs/>
          <w:color w:val="auto"/>
          <w:kern w:val="0"/>
          <w:sz w:val="24"/>
          <w:szCs w:val="24"/>
          <w:highlight w:val="none"/>
          <w:vertAlign w:val="baseline"/>
          <w:lang w:bidi="ar"/>
        </w:rPr>
        <w:t>行业</w:t>
      </w:r>
      <w:r>
        <w:rPr>
          <w:rFonts w:hint="eastAsia" w:ascii="仿宋" w:hAnsi="仿宋" w:eastAsia="仿宋" w:cs="仿宋"/>
          <w:color w:val="auto"/>
          <w:kern w:val="0"/>
          <w:sz w:val="24"/>
          <w:szCs w:val="24"/>
          <w:highlight w:val="none"/>
          <w:vertAlign w:val="baseline"/>
          <w:lang w:bidi="ar"/>
        </w:rPr>
        <w:t>；承接企业为</w:t>
      </w:r>
      <w:r>
        <w:rPr>
          <w:rFonts w:hint="eastAsia" w:ascii="仿宋" w:hAnsi="仿宋" w:eastAsia="仿宋" w:cs="仿宋"/>
          <w:i/>
          <w:color w:val="auto"/>
          <w:kern w:val="0"/>
          <w:sz w:val="24"/>
          <w:szCs w:val="24"/>
          <w:highlight w:val="none"/>
          <w:u w:val="single"/>
          <w:vertAlign w:val="baseline"/>
          <w:lang w:bidi="ar"/>
        </w:rPr>
        <w:t>（企业名称）</w:t>
      </w:r>
      <w:r>
        <w:rPr>
          <w:rFonts w:hint="eastAsia" w:ascii="仿宋" w:hAnsi="仿宋" w:eastAsia="仿宋" w:cs="仿宋"/>
          <w:color w:val="auto"/>
          <w:kern w:val="0"/>
          <w:sz w:val="24"/>
          <w:szCs w:val="24"/>
          <w:highlight w:val="none"/>
          <w:vertAlign w:val="baseline"/>
          <w:lang w:bidi="ar"/>
        </w:rPr>
        <w:t>，从业人员</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color w:val="auto"/>
          <w:kern w:val="0"/>
          <w:sz w:val="24"/>
          <w:szCs w:val="24"/>
          <w:highlight w:val="none"/>
          <w:vertAlign w:val="baseline"/>
          <w:lang w:bidi="ar"/>
        </w:rPr>
        <w:t>人，营业收入为</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color w:val="auto"/>
          <w:kern w:val="0"/>
          <w:sz w:val="24"/>
          <w:szCs w:val="24"/>
          <w:highlight w:val="none"/>
          <w:vertAlign w:val="baseline"/>
          <w:lang w:bidi="ar"/>
        </w:rPr>
        <w:t>万元，资产总额为</w:t>
      </w:r>
      <w:r>
        <w:rPr>
          <w:rFonts w:hint="eastAsia" w:ascii="仿宋" w:hAnsi="仿宋" w:eastAsia="仿宋" w:cs="仿宋"/>
          <w:color w:val="auto"/>
          <w:kern w:val="0"/>
          <w:sz w:val="24"/>
          <w:szCs w:val="24"/>
          <w:highlight w:val="none"/>
          <w:u w:val="single"/>
          <w:vertAlign w:val="baseline"/>
          <w:lang w:bidi="ar"/>
        </w:rPr>
        <w:t xml:space="preserve">  </w:t>
      </w:r>
      <w:r>
        <w:rPr>
          <w:rFonts w:hint="eastAsia" w:ascii="仿宋" w:hAnsi="仿宋" w:eastAsia="仿宋" w:cs="仿宋"/>
          <w:color w:val="auto"/>
          <w:kern w:val="0"/>
          <w:sz w:val="24"/>
          <w:szCs w:val="24"/>
          <w:highlight w:val="none"/>
          <w:vertAlign w:val="baseline"/>
          <w:lang w:bidi="ar"/>
        </w:rPr>
        <w:t>万元，属于</w:t>
      </w:r>
      <w:r>
        <w:rPr>
          <w:rFonts w:hint="eastAsia" w:ascii="仿宋" w:hAnsi="仿宋" w:eastAsia="仿宋" w:cs="仿宋"/>
          <w:i/>
          <w:color w:val="auto"/>
          <w:kern w:val="0"/>
          <w:sz w:val="24"/>
          <w:szCs w:val="24"/>
          <w:highlight w:val="none"/>
          <w:u w:val="single"/>
          <w:vertAlign w:val="baseline"/>
          <w:lang w:bidi="ar"/>
        </w:rPr>
        <w:t>（中型企业、小型企业、微型企业）</w:t>
      </w:r>
      <w:r>
        <w:rPr>
          <w:rFonts w:hint="eastAsia" w:ascii="仿宋" w:hAnsi="仿宋" w:eastAsia="仿宋" w:cs="仿宋"/>
          <w:color w:val="auto"/>
          <w:kern w:val="0"/>
          <w:sz w:val="24"/>
          <w:szCs w:val="24"/>
          <w:highlight w:val="none"/>
          <w:vertAlign w:val="baseline"/>
          <w:lang w:bidi="ar"/>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kern w:val="0"/>
          <w:sz w:val="24"/>
          <w:szCs w:val="24"/>
          <w:highlight w:val="none"/>
          <w:vertAlign w:val="baseline"/>
          <w:lang w:bidi="ar"/>
        </w:rPr>
      </w:pPr>
      <w:r>
        <w:rPr>
          <w:rFonts w:hint="eastAsia" w:ascii="仿宋" w:hAnsi="仿宋" w:eastAsia="仿宋" w:cs="仿宋"/>
          <w:color w:val="auto"/>
          <w:kern w:val="0"/>
          <w:sz w:val="24"/>
          <w:szCs w:val="24"/>
          <w:highlight w:val="none"/>
          <w:vertAlign w:val="baseline"/>
          <w:lang w:bidi="ar"/>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vertAlign w:val="baseline"/>
          <w:lang w:bidi="ar"/>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vertAlign w:val="baseline"/>
          <w:lang w:bidi="ar"/>
        </w:rPr>
        <w:t xml:space="preserve">本企业对上述声明内容的真实性负责。如有虚假，将依法承担相应责任。 </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vertAlign w:val="baseline"/>
          <w:lang w:bidi="ar"/>
        </w:rPr>
        <w:t xml:space="preserve">企业名称（盖章）： </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vertAlign w:val="baseline"/>
          <w:lang w:bidi="ar"/>
        </w:rPr>
        <w:t xml:space="preserve">日    期： </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kern w:val="0"/>
          <w:sz w:val="28"/>
          <w:szCs w:val="28"/>
          <w:highlight w:val="none"/>
          <w:vertAlign w:val="baseline"/>
          <w:lang w:bidi="ar"/>
        </w:rPr>
      </w:pPr>
      <w:r>
        <w:rPr>
          <w:rFonts w:hint="eastAsia" w:ascii="仿宋" w:hAnsi="仿宋" w:eastAsia="仿宋" w:cs="仿宋"/>
          <w:color w:val="auto"/>
          <w:kern w:val="0"/>
          <w:sz w:val="24"/>
          <w:szCs w:val="24"/>
          <w:highlight w:val="none"/>
          <w:vertAlign w:val="baseline"/>
          <w:lang w:bidi="ar"/>
        </w:rPr>
        <w:t>注：从业人员、营业收入、资产总额填报上一年度数据，无上一年度数据的新成立企业可不填报。供应商如不提供此声明函，价格将不做相应扣除。</w:t>
      </w:r>
    </w:p>
    <w:p>
      <w:pPr>
        <w:spacing w:line="560" w:lineRule="exact"/>
        <w:jc w:val="center"/>
        <w:rPr>
          <w:rFonts w:hint="eastAsia" w:ascii="仿宋" w:hAnsi="仿宋" w:eastAsia="仿宋" w:cs="仿宋"/>
          <w:bCs/>
          <w:color w:val="auto"/>
          <w:sz w:val="24"/>
          <w:highlight w:val="none"/>
          <w:vertAlign w:val="baseline"/>
        </w:rPr>
      </w:pPr>
    </w:p>
    <w:p>
      <w:pPr>
        <w:spacing w:line="560" w:lineRule="exact"/>
        <w:jc w:val="center"/>
        <w:rPr>
          <w:rFonts w:hint="eastAsia" w:ascii="仿宋" w:hAnsi="仿宋" w:eastAsia="仿宋" w:cs="仿宋"/>
          <w:b/>
          <w:color w:val="auto"/>
          <w:sz w:val="24"/>
          <w:szCs w:val="24"/>
          <w:highlight w:val="none"/>
          <w:vertAlign w:val="baseline"/>
        </w:rPr>
      </w:pPr>
      <w:r>
        <w:rPr>
          <w:rFonts w:hint="eastAsia" w:ascii="仿宋" w:hAnsi="仿宋" w:eastAsia="仿宋" w:cs="仿宋"/>
          <w:b/>
          <w:bCs/>
          <w:color w:val="auto"/>
          <w:sz w:val="32"/>
          <w:szCs w:val="32"/>
          <w:highlight w:val="none"/>
          <w:vertAlign w:val="baseline"/>
        </w:rPr>
        <w:br w:type="page"/>
      </w:r>
    </w:p>
    <w:p>
      <w:pPr>
        <w:adjustRightInd w:val="0"/>
        <w:snapToGrid w:val="0"/>
        <w:spacing w:line="360" w:lineRule="auto"/>
        <w:jc w:val="center"/>
        <w:outlineLvl w:val="2"/>
        <w:rPr>
          <w:rFonts w:hint="eastAsia" w:ascii="仿宋" w:hAnsi="仿宋" w:eastAsia="仿宋" w:cs="仿宋"/>
          <w:b/>
          <w:bCs w:val="0"/>
          <w:color w:val="auto"/>
          <w:kern w:val="0"/>
          <w:sz w:val="24"/>
          <w:szCs w:val="24"/>
          <w:highlight w:val="none"/>
          <w:vertAlign w:val="baseline"/>
        </w:rPr>
      </w:pPr>
      <w:r>
        <w:rPr>
          <w:rFonts w:hint="eastAsia" w:ascii="仿宋" w:hAnsi="仿宋" w:eastAsia="仿宋" w:cs="仿宋"/>
          <w:b/>
          <w:bCs w:val="0"/>
          <w:color w:val="auto"/>
          <w:sz w:val="24"/>
          <w:szCs w:val="24"/>
          <w:highlight w:val="none"/>
          <w:vertAlign w:val="baseline"/>
        </w:rPr>
        <w:t>属于监狱企业的证明文件（若属于监狱企业）</w:t>
      </w:r>
    </w:p>
    <w:p>
      <w:pPr>
        <w:adjustRightInd w:val="0"/>
        <w:snapToGrid w:val="0"/>
        <w:spacing w:line="360" w:lineRule="auto"/>
        <w:rPr>
          <w:rFonts w:hint="eastAsia" w:ascii="仿宋" w:hAnsi="仿宋" w:eastAsia="仿宋" w:cs="仿宋"/>
          <w:color w:val="auto"/>
          <w:kern w:val="0"/>
          <w:sz w:val="24"/>
          <w:szCs w:val="24"/>
          <w:highlight w:val="none"/>
          <w:vertAlign w:val="baseline"/>
        </w:rPr>
      </w:pPr>
    </w:p>
    <w:p>
      <w:pPr>
        <w:keepNext w:val="0"/>
        <w:keepLines w:val="0"/>
        <w:pageBreakBefore w:val="0"/>
        <w:kinsoku/>
        <w:wordWrap/>
        <w:overflowPunct/>
        <w:topLinePunct w:val="0"/>
        <w:autoSpaceDE/>
        <w:autoSpaceDN/>
        <w:bidi w:val="0"/>
        <w:adjustRightInd w:val="0"/>
        <w:snapToGrid w:val="0"/>
        <w:spacing w:line="520" w:lineRule="exact"/>
        <w:ind w:firstLine="426" w:firstLineChars="177"/>
        <w:textAlignment w:val="auto"/>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kern w:val="0"/>
          <w:sz w:val="24"/>
          <w:szCs w:val="24"/>
          <w:highlight w:val="none"/>
          <w:vertAlign w:val="baseline"/>
        </w:rPr>
        <w:t>监狱企业参加政府采购活动时，应当提供由省级以上监狱管理局、戒毒管理局（含新疆生产建设兵团）出具的属于监狱企业的证明文件。</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 w:hAnsi="仿宋" w:eastAsia="仿宋" w:cs="仿宋"/>
          <w:color w:val="auto"/>
          <w:sz w:val="24"/>
          <w:szCs w:val="24"/>
          <w:highlight w:val="none"/>
          <w:vertAlign w:val="baseline"/>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 w:hAnsi="仿宋" w:eastAsia="仿宋" w:cs="仿宋"/>
          <w:b/>
          <w:bCs/>
          <w:color w:val="auto"/>
          <w:highlight w:val="none"/>
          <w:vertAlign w:val="baseline"/>
        </w:rPr>
      </w:pPr>
      <w:r>
        <w:rPr>
          <w:rFonts w:hint="eastAsia" w:ascii="仿宋" w:hAnsi="仿宋" w:eastAsia="仿宋" w:cs="仿宋"/>
          <w:b/>
          <w:bCs/>
          <w:color w:val="auto"/>
          <w:highlight w:val="none"/>
          <w:vertAlign w:val="baseline"/>
        </w:rPr>
        <w:t>说明：</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371" w:firstLineChars="177"/>
        <w:jc w:val="left"/>
        <w:textAlignment w:val="auto"/>
        <w:rPr>
          <w:rFonts w:hint="eastAsia" w:ascii="仿宋" w:hAnsi="仿宋" w:eastAsia="仿宋" w:cs="仿宋"/>
          <w:color w:val="auto"/>
          <w:kern w:val="0"/>
          <w:highlight w:val="none"/>
          <w:vertAlign w:val="baseline"/>
        </w:rPr>
      </w:pPr>
      <w:r>
        <w:rPr>
          <w:rFonts w:hint="eastAsia" w:ascii="仿宋" w:hAnsi="仿宋" w:eastAsia="仿宋" w:cs="仿宋"/>
          <w:color w:val="auto"/>
          <w:kern w:val="0"/>
          <w:highlight w:val="none"/>
          <w:vertAlign w:val="baseli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371" w:firstLineChars="177"/>
        <w:jc w:val="left"/>
        <w:textAlignment w:val="auto"/>
        <w:rPr>
          <w:rFonts w:hint="eastAsia" w:ascii="仿宋" w:hAnsi="仿宋" w:eastAsia="仿宋" w:cs="仿宋"/>
          <w:color w:val="auto"/>
          <w:kern w:val="0"/>
          <w:highlight w:val="none"/>
          <w:vertAlign w:val="baseline"/>
        </w:rPr>
      </w:pPr>
      <w:r>
        <w:rPr>
          <w:rFonts w:hint="eastAsia" w:ascii="仿宋" w:hAnsi="仿宋" w:eastAsia="仿宋" w:cs="仿宋"/>
          <w:color w:val="auto"/>
          <w:kern w:val="0"/>
          <w:highlight w:val="none"/>
          <w:vertAlign w:val="baseline"/>
        </w:rPr>
        <w:t>二、在政府采购活动中，监狱企业视同小型、微型企业，享受预留份额、评审中价格扣除等政府采购促进中小企业发展的政府采购政策。</w:t>
      </w:r>
    </w:p>
    <w:p>
      <w:pPr>
        <w:widowControl/>
        <w:jc w:val="left"/>
        <w:rPr>
          <w:rFonts w:hint="eastAsia" w:ascii="仿宋" w:hAnsi="仿宋" w:eastAsia="仿宋" w:cs="仿宋"/>
          <w:b/>
          <w:color w:val="auto"/>
          <w:sz w:val="24"/>
          <w:szCs w:val="24"/>
          <w:highlight w:val="none"/>
          <w:vertAlign w:val="baseline"/>
        </w:rPr>
      </w:pPr>
      <w:r>
        <w:rPr>
          <w:rFonts w:hint="eastAsia" w:ascii="仿宋" w:hAnsi="仿宋" w:eastAsia="仿宋" w:cs="仿宋"/>
          <w:b/>
          <w:color w:val="auto"/>
          <w:sz w:val="24"/>
          <w:szCs w:val="24"/>
          <w:highlight w:val="none"/>
          <w:vertAlign w:val="baseline"/>
        </w:rPr>
        <w:br w:type="page"/>
      </w:r>
    </w:p>
    <w:p>
      <w:pPr>
        <w:adjustRightInd w:val="0"/>
        <w:snapToGrid w:val="0"/>
        <w:spacing w:line="360" w:lineRule="auto"/>
        <w:jc w:val="center"/>
        <w:outlineLvl w:val="2"/>
        <w:rPr>
          <w:rFonts w:hint="eastAsia" w:ascii="仿宋" w:hAnsi="仿宋" w:eastAsia="仿宋" w:cs="仿宋"/>
          <w:b/>
          <w:color w:val="auto"/>
          <w:sz w:val="24"/>
          <w:szCs w:val="24"/>
          <w:highlight w:val="none"/>
          <w:vertAlign w:val="baseline"/>
        </w:rPr>
      </w:pPr>
      <w:r>
        <w:rPr>
          <w:rFonts w:hint="eastAsia" w:ascii="仿宋" w:hAnsi="仿宋" w:eastAsia="仿宋" w:cs="仿宋"/>
          <w:b/>
          <w:color w:val="auto"/>
          <w:sz w:val="24"/>
          <w:szCs w:val="24"/>
          <w:highlight w:val="none"/>
          <w:vertAlign w:val="baseline"/>
        </w:rPr>
        <w:t>残疾人福利性单位声明函（若属于残疾人福利性单位）</w:t>
      </w:r>
    </w:p>
    <w:p>
      <w:pPr>
        <w:adjustRightInd w:val="0"/>
        <w:snapToGrid w:val="0"/>
        <w:spacing w:line="360" w:lineRule="auto"/>
        <w:rPr>
          <w:rFonts w:hint="eastAsia" w:ascii="仿宋" w:hAnsi="仿宋" w:eastAsia="仿宋" w:cs="仿宋"/>
          <w:b/>
          <w:color w:val="auto"/>
          <w:sz w:val="24"/>
          <w:szCs w:val="24"/>
          <w:highlight w:val="none"/>
          <w:vertAlign w:val="baseli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本单位郑重声明，根据《财政部民政部中国残疾人联合会关于促进残疾人就业政府采购政策的通知》（财库〔2017〕 141号）的规定，</w:t>
      </w:r>
      <w:r>
        <w:rPr>
          <w:rFonts w:hint="eastAsia" w:ascii="仿宋" w:hAnsi="仿宋" w:eastAsia="仿宋" w:cs="仿宋"/>
          <w:b/>
          <w:bCs/>
          <w:color w:val="auto"/>
          <w:sz w:val="24"/>
          <w:szCs w:val="24"/>
          <w:highlight w:val="none"/>
          <w:vertAlign w:val="baseline"/>
        </w:rPr>
        <w:t>本单位为符合条件的残疾人福利性单位</w:t>
      </w:r>
      <w:r>
        <w:rPr>
          <w:rFonts w:hint="eastAsia" w:ascii="仿宋" w:hAnsi="仿宋" w:eastAsia="仿宋" w:cs="仿宋"/>
          <w:color w:val="auto"/>
          <w:sz w:val="24"/>
          <w:szCs w:val="24"/>
          <w:highlight w:val="none"/>
          <w:vertAlign w:val="baseline"/>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本单位对上述声明的真实性负责。如有虚假，将依法承担相应责任。</w:t>
      </w:r>
    </w:p>
    <w:p>
      <w:pPr>
        <w:keepNext w:val="0"/>
        <w:keepLines w:val="0"/>
        <w:pageBreakBefore w:val="0"/>
        <w:widowControl w:val="0"/>
        <w:tabs>
          <w:tab w:val="left" w:pos="4860"/>
        </w:tabs>
        <w:kinsoku/>
        <w:wordWrap/>
        <w:overflowPunct/>
        <w:topLinePunct w:val="0"/>
        <w:autoSpaceDE/>
        <w:autoSpaceDN/>
        <w:bidi w:val="0"/>
        <w:adjustRightInd w:val="0"/>
        <w:snapToGrid w:val="0"/>
        <w:spacing w:line="520" w:lineRule="exact"/>
        <w:ind w:right="1560" w:firstLine="480" w:firstLineChars="20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单位名称（盖章）：</w:t>
      </w:r>
    </w:p>
    <w:p>
      <w:pPr>
        <w:keepNext w:val="0"/>
        <w:keepLines w:val="0"/>
        <w:pageBreakBefore w:val="0"/>
        <w:widowControl w:val="0"/>
        <w:tabs>
          <w:tab w:val="left" w:pos="4860"/>
        </w:tabs>
        <w:kinsoku/>
        <w:wordWrap/>
        <w:overflowPunct/>
        <w:topLinePunct w:val="0"/>
        <w:autoSpaceDE/>
        <w:autoSpaceDN/>
        <w:bidi w:val="0"/>
        <w:adjustRightInd w:val="0"/>
        <w:snapToGrid w:val="0"/>
        <w:spacing w:line="520" w:lineRule="exact"/>
        <w:ind w:right="1560" w:firstLine="480" w:firstLineChars="20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日期：</w:t>
      </w:r>
    </w:p>
    <w:p>
      <w:pPr>
        <w:adjustRightInd w:val="0"/>
        <w:snapToGrid w:val="0"/>
        <w:spacing w:line="360" w:lineRule="auto"/>
        <w:rPr>
          <w:rFonts w:hint="eastAsia" w:ascii="仿宋" w:hAnsi="仿宋" w:eastAsia="仿宋" w:cs="仿宋"/>
          <w:color w:val="auto"/>
          <w:sz w:val="24"/>
          <w:szCs w:val="24"/>
          <w:highlight w:val="none"/>
          <w:vertAlign w:val="baseline"/>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 w:hAnsi="仿宋" w:eastAsia="仿宋" w:cs="仿宋"/>
          <w:b/>
          <w:bCs/>
          <w:color w:val="auto"/>
          <w:highlight w:val="none"/>
          <w:vertAlign w:val="baseline"/>
        </w:rPr>
      </w:pPr>
      <w:r>
        <w:rPr>
          <w:rFonts w:hint="eastAsia" w:ascii="仿宋" w:hAnsi="仿宋" w:eastAsia="仿宋" w:cs="仿宋"/>
          <w:b/>
          <w:bCs/>
          <w:color w:val="auto"/>
          <w:highlight w:val="none"/>
          <w:vertAlign w:val="baseline"/>
        </w:rPr>
        <w:t>说明：</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一、享受政府采购支持政策的残疾人福利性单位应当同时满足以下条件：</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（一）安置的残疾人占本单位在职职工人数的比例不低于25%（含25%），并且安置的残疾人人数不少于10人（含10人）；</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（二）依法与安置的每位残疾人订立了一年以上（含一年）的劳动合同或服务协议；</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（三）为安置的每位残疾人按月足额缴纳了基本养老保险、基本医疗保险、失业保险、工伤保险和生育保险等社会保险费；</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（四）通过银行等金融机构向安置的每位残疾人，按月支付了不低于单位所在区县适用的经省级人民政府批准的月最低工资标准的工资；</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（五）提供本单位制造的货物、承担的工程或者服务（以下简称产品），或者提供其他残疾人福利性单位制造的货物（不包括使用非残疾人福利性单位注册商标的货物）。</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订立劳动合同或者服务协议的雇员人数。</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二、符合条件的残疾人福利性单位在参加政府采购活动时，应当提供财库[2017]141号文件规定的《残疾人福利性单位声明函》，并对声明的真实性负责。</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三、在政府采购活动中，残疾人福利性单位视同小型、微型企业，享受预留份额、评审中价格扣除等促进中小企业发展的政府采购政策。</w:t>
      </w:r>
    </w:p>
    <w:p>
      <w:pPr>
        <w:pStyle w:val="13"/>
        <w:shd w:val="clear" w:color="auto" w:fill="FFFFFF"/>
        <w:adjustRightInd w:val="0"/>
        <w:snapToGrid w:val="0"/>
        <w:spacing w:before="0" w:beforeAutospacing="0" w:after="0" w:afterAutospacing="0"/>
        <w:ind w:firstLine="371" w:firstLineChars="177"/>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残疾人福利性单位属于小型、微型企业的，不重复享受政策。</w:t>
      </w:r>
    </w:p>
    <w:p>
      <w:pPr>
        <w:snapToGrid w:val="0"/>
        <w:spacing w:before="50" w:after="50"/>
        <w:jc w:val="center"/>
        <w:rPr>
          <w:rFonts w:hint="eastAsia" w:ascii="仿宋" w:hAnsi="仿宋" w:eastAsia="仿宋" w:cs="仿宋"/>
          <w:bCs/>
          <w:color w:val="auto"/>
          <w:sz w:val="24"/>
          <w:highlight w:val="none"/>
          <w:vertAlign w:val="baseline"/>
        </w:rPr>
      </w:pPr>
    </w:p>
    <w:p>
      <w:pPr>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br w:type="page"/>
      </w:r>
    </w:p>
    <w:p>
      <w:pPr>
        <w:snapToGrid w:val="0"/>
        <w:spacing w:before="50" w:after="5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二、资格性审查响应对照表（格式）</w:t>
      </w:r>
    </w:p>
    <w:p>
      <w:pPr>
        <w:ind w:firstLine="30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投标人全称（加盖公章）：</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5447"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资格性审查响应内容</w:t>
            </w:r>
          </w:p>
        </w:tc>
        <w:tc>
          <w:tcPr>
            <w:tcW w:w="1680"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是否响应</w:t>
            </w:r>
          </w:p>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（填是或者否）</w:t>
            </w:r>
          </w:p>
        </w:tc>
        <w:tc>
          <w:tcPr>
            <w:tcW w:w="1785"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投标文件中的</w:t>
            </w:r>
          </w:p>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5447" w:type="dxa"/>
            <w:noWrap w:val="0"/>
            <w:vAlign w:val="center"/>
          </w:tcPr>
          <w:p>
            <w:pPr>
              <w:spacing w:line="480" w:lineRule="exact"/>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b/>
                <w:color w:val="auto"/>
                <w:sz w:val="24"/>
                <w:szCs w:val="24"/>
                <w:highlight w:val="none"/>
              </w:rPr>
            </w:pPr>
          </w:p>
        </w:tc>
        <w:tc>
          <w:tcPr>
            <w:tcW w:w="1785" w:type="dxa"/>
            <w:noWrap w:val="0"/>
            <w:vAlign w:val="center"/>
          </w:tcPr>
          <w:p>
            <w:pP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5447" w:type="dxa"/>
            <w:noWrap w:val="0"/>
            <w:vAlign w:val="center"/>
          </w:tcPr>
          <w:p>
            <w:pPr>
              <w:spacing w:line="480" w:lineRule="exact"/>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color w:val="auto"/>
                <w:sz w:val="24"/>
                <w:szCs w:val="24"/>
                <w:highlight w:val="none"/>
              </w:rPr>
            </w:pPr>
          </w:p>
        </w:tc>
        <w:tc>
          <w:tcPr>
            <w:tcW w:w="1785" w:type="dxa"/>
            <w:noWrap w:val="0"/>
            <w:vAlign w:val="center"/>
          </w:tcPr>
          <w:p>
            <w:pP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5447" w:type="dxa"/>
            <w:noWrap w:val="0"/>
            <w:vAlign w:val="center"/>
          </w:tcPr>
          <w:p>
            <w:pPr>
              <w:spacing w:line="480" w:lineRule="exact"/>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color w:val="auto"/>
                <w:sz w:val="24"/>
                <w:szCs w:val="24"/>
                <w:highlight w:val="none"/>
              </w:rPr>
            </w:pPr>
          </w:p>
        </w:tc>
        <w:tc>
          <w:tcPr>
            <w:tcW w:w="1785" w:type="dxa"/>
            <w:noWrap w:val="0"/>
            <w:vAlign w:val="center"/>
          </w:tcPr>
          <w:p>
            <w:pP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5447" w:type="dxa"/>
            <w:noWrap w:val="0"/>
            <w:vAlign w:val="center"/>
          </w:tcPr>
          <w:p>
            <w:pPr>
              <w:spacing w:line="360" w:lineRule="auto"/>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color w:val="auto"/>
                <w:sz w:val="24"/>
                <w:szCs w:val="24"/>
                <w:highlight w:val="none"/>
              </w:rPr>
            </w:pPr>
          </w:p>
        </w:tc>
        <w:tc>
          <w:tcPr>
            <w:tcW w:w="1785" w:type="dxa"/>
            <w:noWrap w:val="0"/>
            <w:vAlign w:val="center"/>
          </w:tcPr>
          <w:p>
            <w:pP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5447" w:type="dxa"/>
            <w:noWrap w:val="0"/>
            <w:vAlign w:val="center"/>
          </w:tcPr>
          <w:p>
            <w:pPr>
              <w:snapToGrid w:val="0"/>
              <w:spacing w:line="590" w:lineRule="atLeast"/>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color w:val="auto"/>
                <w:sz w:val="24"/>
                <w:szCs w:val="24"/>
                <w:highlight w:val="none"/>
              </w:rPr>
            </w:pPr>
          </w:p>
        </w:tc>
        <w:tc>
          <w:tcPr>
            <w:tcW w:w="1785" w:type="dxa"/>
            <w:noWrap w:val="0"/>
            <w:vAlign w:val="center"/>
          </w:tcPr>
          <w:p>
            <w:pP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5447" w:type="dxa"/>
            <w:noWrap w:val="0"/>
            <w:vAlign w:val="center"/>
          </w:tcPr>
          <w:p>
            <w:pPr>
              <w:snapToGrid w:val="0"/>
              <w:spacing w:line="590" w:lineRule="atLeast"/>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color w:val="auto"/>
                <w:sz w:val="24"/>
                <w:szCs w:val="24"/>
                <w:highlight w:val="none"/>
              </w:rPr>
            </w:pPr>
          </w:p>
        </w:tc>
        <w:tc>
          <w:tcPr>
            <w:tcW w:w="1785" w:type="dxa"/>
            <w:noWrap w:val="0"/>
            <w:vAlign w:val="center"/>
          </w:tcPr>
          <w:p>
            <w:pP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5447" w:type="dxa"/>
            <w:noWrap w:val="0"/>
            <w:vAlign w:val="center"/>
          </w:tcPr>
          <w:p>
            <w:pPr>
              <w:snapToGrid w:val="0"/>
              <w:spacing w:line="590" w:lineRule="atLeast"/>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color w:val="auto"/>
                <w:sz w:val="24"/>
                <w:szCs w:val="24"/>
                <w:highlight w:val="none"/>
              </w:rPr>
            </w:pPr>
          </w:p>
        </w:tc>
        <w:tc>
          <w:tcPr>
            <w:tcW w:w="1785" w:type="dxa"/>
            <w:noWrap w:val="0"/>
            <w:vAlign w:val="center"/>
          </w:tcPr>
          <w:p>
            <w:pP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47" w:type="dxa"/>
            <w:noWrap w:val="0"/>
            <w:vAlign w:val="center"/>
          </w:tcPr>
          <w:p>
            <w:pPr>
              <w:snapToGrid w:val="0"/>
              <w:spacing w:line="590" w:lineRule="atLeast"/>
              <w:rPr>
                <w:rFonts w:hint="eastAsia" w:ascii="仿宋" w:hAnsi="仿宋" w:eastAsia="仿宋" w:cs="仿宋"/>
                <w:iCs/>
                <w:color w:val="auto"/>
                <w:sz w:val="24"/>
                <w:szCs w:val="24"/>
                <w:highlight w:val="none"/>
              </w:rPr>
            </w:pPr>
          </w:p>
        </w:tc>
        <w:tc>
          <w:tcPr>
            <w:tcW w:w="1680" w:type="dxa"/>
            <w:noWrap w:val="0"/>
            <w:vAlign w:val="center"/>
          </w:tcPr>
          <w:p>
            <w:pPr>
              <w:rPr>
                <w:rFonts w:hint="eastAsia" w:ascii="仿宋" w:hAnsi="仿宋" w:eastAsia="仿宋" w:cs="仿宋"/>
                <w:color w:val="auto"/>
                <w:sz w:val="24"/>
                <w:szCs w:val="24"/>
                <w:highlight w:val="none"/>
              </w:rPr>
            </w:pPr>
          </w:p>
        </w:tc>
        <w:tc>
          <w:tcPr>
            <w:tcW w:w="1785" w:type="dxa"/>
            <w:noWrap w:val="0"/>
            <w:vAlign w:val="center"/>
          </w:tcPr>
          <w:p>
            <w:pPr>
              <w:rPr>
                <w:rFonts w:hint="eastAsia" w:ascii="仿宋" w:hAnsi="仿宋" w:eastAsia="仿宋" w:cs="仿宋"/>
                <w:color w:val="auto"/>
                <w:sz w:val="24"/>
                <w:szCs w:val="24"/>
                <w:highlight w:val="none"/>
              </w:rPr>
            </w:pPr>
          </w:p>
        </w:tc>
      </w:tr>
    </w:tbl>
    <w:p>
      <w:pPr>
        <w:spacing w:line="440" w:lineRule="exact"/>
        <w:ind w:firstLine="480" w:firstLineChars="200"/>
        <w:rPr>
          <w:rFonts w:hint="eastAsia" w:ascii="宋体" w:hAnsi="宋体"/>
          <w:color w:val="auto"/>
          <w:sz w:val="24"/>
          <w:highlight w:val="none"/>
        </w:rPr>
      </w:pPr>
    </w:p>
    <w:p>
      <w:pPr>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br w:type="page"/>
      </w:r>
    </w:p>
    <w:p>
      <w:pPr>
        <w:numPr>
          <w:ilvl w:val="0"/>
          <w:numId w:val="4"/>
        </w:numPr>
        <w:snapToGrid w:val="0"/>
        <w:spacing w:before="50" w:after="5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符合性检查响应对照表（格式）</w:t>
      </w:r>
    </w:p>
    <w:p>
      <w:pPr>
        <w:pStyle w:val="8"/>
        <w:numPr>
          <w:ilvl w:val="0"/>
          <w:numId w:val="0"/>
        </w:numPr>
        <w:rPr>
          <w:rFonts w:hint="eastAsia"/>
          <w:color w:val="auto"/>
          <w:highlight w:val="none"/>
        </w:rPr>
      </w:pPr>
    </w:p>
    <w:p>
      <w:pPr>
        <w:ind w:firstLine="30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投标人全称（加盖公章）：</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5447"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符合性检查响应内容</w:t>
            </w:r>
          </w:p>
        </w:tc>
        <w:tc>
          <w:tcPr>
            <w:tcW w:w="1680"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是否响应</w:t>
            </w:r>
          </w:p>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（填是或者否）</w:t>
            </w:r>
          </w:p>
        </w:tc>
        <w:tc>
          <w:tcPr>
            <w:tcW w:w="1785" w:type="dxa"/>
            <w:noWrap w:val="0"/>
            <w:vAlign w:val="center"/>
          </w:tcPr>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投标文件中的</w:t>
            </w:r>
          </w:p>
          <w:p>
            <w:pPr>
              <w:snapToGrid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5447" w:type="dxa"/>
            <w:noWrap w:val="0"/>
            <w:vAlign w:val="center"/>
          </w:tcPr>
          <w:p>
            <w:pPr>
              <w:spacing w:line="480" w:lineRule="exact"/>
              <w:jc w:val="center"/>
              <w:rPr>
                <w:rFonts w:hint="eastAsia" w:ascii="仿宋" w:hAnsi="仿宋" w:eastAsia="仿宋" w:cs="仿宋"/>
                <w:iCs/>
                <w:color w:val="auto"/>
                <w:sz w:val="24"/>
                <w:szCs w:val="24"/>
                <w:highlight w:val="none"/>
              </w:rPr>
            </w:pPr>
          </w:p>
        </w:tc>
        <w:tc>
          <w:tcPr>
            <w:tcW w:w="1680" w:type="dxa"/>
            <w:noWrap w:val="0"/>
            <w:vAlign w:val="center"/>
          </w:tcPr>
          <w:p>
            <w:pPr>
              <w:jc w:val="center"/>
              <w:rPr>
                <w:rFonts w:hint="eastAsia" w:ascii="仿宋" w:hAnsi="仿宋" w:eastAsia="仿宋" w:cs="仿宋"/>
                <w:b/>
                <w:color w:val="auto"/>
                <w:sz w:val="24"/>
                <w:szCs w:val="24"/>
                <w:highlight w:val="none"/>
              </w:rPr>
            </w:pPr>
          </w:p>
        </w:tc>
        <w:tc>
          <w:tcPr>
            <w:tcW w:w="1785" w:type="dxa"/>
            <w:noWrap w:val="0"/>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5447" w:type="dxa"/>
            <w:noWrap w:val="0"/>
            <w:vAlign w:val="center"/>
          </w:tcPr>
          <w:p>
            <w:pPr>
              <w:spacing w:line="480" w:lineRule="exact"/>
              <w:jc w:val="center"/>
              <w:rPr>
                <w:rFonts w:hint="eastAsia" w:ascii="仿宋" w:hAnsi="仿宋" w:eastAsia="仿宋" w:cs="仿宋"/>
                <w:iCs/>
                <w:color w:val="auto"/>
                <w:sz w:val="24"/>
                <w:szCs w:val="24"/>
                <w:highlight w:val="none"/>
              </w:rPr>
            </w:pPr>
          </w:p>
        </w:tc>
        <w:tc>
          <w:tcPr>
            <w:tcW w:w="1680" w:type="dxa"/>
            <w:noWrap w:val="0"/>
            <w:vAlign w:val="center"/>
          </w:tcPr>
          <w:p>
            <w:pPr>
              <w:jc w:val="center"/>
              <w:rPr>
                <w:rFonts w:hint="eastAsia" w:ascii="仿宋" w:hAnsi="仿宋" w:eastAsia="仿宋" w:cs="仿宋"/>
                <w:color w:val="auto"/>
                <w:sz w:val="24"/>
                <w:szCs w:val="24"/>
                <w:highlight w:val="none"/>
              </w:rPr>
            </w:pPr>
          </w:p>
        </w:tc>
        <w:tc>
          <w:tcPr>
            <w:tcW w:w="1785"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5447" w:type="dxa"/>
            <w:noWrap w:val="0"/>
            <w:vAlign w:val="center"/>
          </w:tcPr>
          <w:p>
            <w:pPr>
              <w:spacing w:line="480" w:lineRule="exact"/>
              <w:jc w:val="center"/>
              <w:rPr>
                <w:rFonts w:hint="eastAsia" w:ascii="仿宋" w:hAnsi="仿宋" w:eastAsia="仿宋" w:cs="仿宋"/>
                <w:iCs/>
                <w:color w:val="auto"/>
                <w:sz w:val="24"/>
                <w:szCs w:val="24"/>
                <w:highlight w:val="none"/>
              </w:rPr>
            </w:pPr>
          </w:p>
        </w:tc>
        <w:tc>
          <w:tcPr>
            <w:tcW w:w="1680" w:type="dxa"/>
            <w:noWrap w:val="0"/>
            <w:vAlign w:val="center"/>
          </w:tcPr>
          <w:p>
            <w:pPr>
              <w:jc w:val="center"/>
              <w:rPr>
                <w:rFonts w:hint="eastAsia" w:ascii="仿宋" w:hAnsi="仿宋" w:eastAsia="仿宋" w:cs="仿宋"/>
                <w:color w:val="auto"/>
                <w:sz w:val="24"/>
                <w:szCs w:val="24"/>
                <w:highlight w:val="none"/>
              </w:rPr>
            </w:pPr>
          </w:p>
        </w:tc>
        <w:tc>
          <w:tcPr>
            <w:tcW w:w="1785"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5447" w:type="dxa"/>
            <w:noWrap w:val="0"/>
            <w:vAlign w:val="center"/>
          </w:tcPr>
          <w:p>
            <w:pPr>
              <w:spacing w:line="360" w:lineRule="auto"/>
              <w:jc w:val="center"/>
              <w:rPr>
                <w:rFonts w:hint="eastAsia" w:ascii="仿宋" w:hAnsi="仿宋" w:eastAsia="仿宋" w:cs="仿宋"/>
                <w:iCs/>
                <w:color w:val="auto"/>
                <w:sz w:val="24"/>
                <w:szCs w:val="24"/>
                <w:highlight w:val="none"/>
              </w:rPr>
            </w:pPr>
          </w:p>
        </w:tc>
        <w:tc>
          <w:tcPr>
            <w:tcW w:w="1680" w:type="dxa"/>
            <w:noWrap w:val="0"/>
            <w:vAlign w:val="center"/>
          </w:tcPr>
          <w:p>
            <w:pPr>
              <w:jc w:val="center"/>
              <w:rPr>
                <w:rFonts w:hint="eastAsia" w:ascii="仿宋" w:hAnsi="仿宋" w:eastAsia="仿宋" w:cs="仿宋"/>
                <w:color w:val="auto"/>
                <w:sz w:val="24"/>
                <w:szCs w:val="24"/>
                <w:highlight w:val="none"/>
              </w:rPr>
            </w:pPr>
          </w:p>
        </w:tc>
        <w:tc>
          <w:tcPr>
            <w:tcW w:w="1785"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5447" w:type="dxa"/>
            <w:noWrap w:val="0"/>
            <w:vAlign w:val="center"/>
          </w:tcPr>
          <w:p>
            <w:pPr>
              <w:snapToGrid w:val="0"/>
              <w:spacing w:line="590" w:lineRule="atLeast"/>
              <w:jc w:val="center"/>
              <w:rPr>
                <w:rFonts w:hint="eastAsia" w:ascii="仿宋" w:hAnsi="仿宋" w:eastAsia="仿宋" w:cs="仿宋"/>
                <w:iCs/>
                <w:color w:val="auto"/>
                <w:sz w:val="24"/>
                <w:szCs w:val="24"/>
                <w:highlight w:val="none"/>
              </w:rPr>
            </w:pPr>
          </w:p>
        </w:tc>
        <w:tc>
          <w:tcPr>
            <w:tcW w:w="1680" w:type="dxa"/>
            <w:noWrap w:val="0"/>
            <w:vAlign w:val="center"/>
          </w:tcPr>
          <w:p>
            <w:pPr>
              <w:jc w:val="center"/>
              <w:rPr>
                <w:rFonts w:hint="eastAsia" w:ascii="仿宋" w:hAnsi="仿宋" w:eastAsia="仿宋" w:cs="仿宋"/>
                <w:color w:val="auto"/>
                <w:sz w:val="24"/>
                <w:szCs w:val="24"/>
                <w:highlight w:val="none"/>
              </w:rPr>
            </w:pPr>
          </w:p>
        </w:tc>
        <w:tc>
          <w:tcPr>
            <w:tcW w:w="1785"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5447" w:type="dxa"/>
            <w:noWrap w:val="0"/>
            <w:vAlign w:val="center"/>
          </w:tcPr>
          <w:p>
            <w:pPr>
              <w:snapToGrid w:val="0"/>
              <w:spacing w:line="590" w:lineRule="atLeast"/>
              <w:jc w:val="center"/>
              <w:rPr>
                <w:rFonts w:hint="eastAsia" w:ascii="仿宋" w:hAnsi="仿宋" w:eastAsia="仿宋" w:cs="仿宋"/>
                <w:iCs/>
                <w:color w:val="auto"/>
                <w:sz w:val="24"/>
                <w:szCs w:val="24"/>
                <w:highlight w:val="none"/>
              </w:rPr>
            </w:pPr>
          </w:p>
        </w:tc>
        <w:tc>
          <w:tcPr>
            <w:tcW w:w="1680" w:type="dxa"/>
            <w:noWrap w:val="0"/>
            <w:vAlign w:val="center"/>
          </w:tcPr>
          <w:p>
            <w:pPr>
              <w:jc w:val="center"/>
              <w:rPr>
                <w:rFonts w:hint="eastAsia" w:ascii="仿宋" w:hAnsi="仿宋" w:eastAsia="仿宋" w:cs="仿宋"/>
                <w:color w:val="auto"/>
                <w:sz w:val="24"/>
                <w:szCs w:val="24"/>
                <w:highlight w:val="none"/>
              </w:rPr>
            </w:pPr>
          </w:p>
        </w:tc>
        <w:tc>
          <w:tcPr>
            <w:tcW w:w="1785"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5447"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招标文件中的其他实质性要求</w:t>
            </w:r>
          </w:p>
        </w:tc>
        <w:tc>
          <w:tcPr>
            <w:tcW w:w="1680" w:type="dxa"/>
            <w:noWrap w:val="0"/>
            <w:vAlign w:val="center"/>
          </w:tcPr>
          <w:p>
            <w:pPr>
              <w:jc w:val="center"/>
              <w:rPr>
                <w:rFonts w:hint="eastAsia" w:ascii="仿宋" w:hAnsi="仿宋" w:eastAsia="仿宋" w:cs="仿宋"/>
                <w:color w:val="auto"/>
                <w:sz w:val="24"/>
                <w:szCs w:val="24"/>
                <w:highlight w:val="none"/>
              </w:rPr>
            </w:pPr>
          </w:p>
        </w:tc>
        <w:tc>
          <w:tcPr>
            <w:tcW w:w="1785" w:type="dxa"/>
            <w:noWrap w:val="0"/>
            <w:vAlign w:val="center"/>
          </w:tcPr>
          <w:p>
            <w:pPr>
              <w:jc w:val="center"/>
              <w:rPr>
                <w:rFonts w:hint="eastAsia" w:ascii="仿宋" w:hAnsi="仿宋" w:eastAsia="仿宋" w:cs="仿宋"/>
                <w:color w:val="auto"/>
                <w:sz w:val="24"/>
                <w:szCs w:val="24"/>
                <w:highlight w:val="none"/>
              </w:rPr>
            </w:pPr>
          </w:p>
        </w:tc>
      </w:tr>
    </w:tbl>
    <w:p>
      <w:pPr>
        <w:snapToGrid w:val="0"/>
        <w:spacing w:before="50" w:after="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napToGrid w:val="0"/>
        <w:spacing w:before="50" w:after="50"/>
        <w:jc w:val="center"/>
        <w:rPr>
          <w:rFonts w:hint="eastAsia" w:ascii="仿宋" w:hAnsi="仿宋" w:eastAsia="仿宋" w:cs="仿宋"/>
          <w:b/>
          <w:bCs/>
          <w:color w:val="auto"/>
          <w:sz w:val="32"/>
          <w:szCs w:val="32"/>
          <w:highlight w:val="none"/>
        </w:rPr>
      </w:pPr>
      <w:r>
        <w:rPr>
          <w:rFonts w:hint="eastAsia" w:ascii="仿宋" w:hAnsi="仿宋" w:eastAsia="仿宋" w:cs="仿宋"/>
          <w:color w:val="auto"/>
          <w:sz w:val="24"/>
          <w:szCs w:val="24"/>
          <w:highlight w:val="none"/>
          <w:vertAlign w:val="baseline"/>
        </w:rPr>
        <w:br w:type="page"/>
      </w:r>
      <w:r>
        <w:rPr>
          <w:rFonts w:hint="eastAsia" w:ascii="仿宋" w:hAnsi="仿宋" w:eastAsia="仿宋" w:cs="仿宋"/>
          <w:b/>
          <w:bCs/>
          <w:color w:val="auto"/>
          <w:sz w:val="32"/>
          <w:szCs w:val="32"/>
          <w:highlight w:val="none"/>
          <w:vertAlign w:val="baseline"/>
          <w:lang w:val="en-US" w:eastAsia="zh-CN"/>
        </w:rPr>
        <w:t>四、投标函</w:t>
      </w:r>
      <w:r>
        <w:rPr>
          <w:rFonts w:hint="eastAsia" w:ascii="仿宋" w:hAnsi="仿宋" w:eastAsia="仿宋" w:cs="仿宋"/>
          <w:b/>
          <w:bCs/>
          <w:color w:val="auto"/>
          <w:sz w:val="32"/>
          <w:szCs w:val="32"/>
          <w:highlight w:val="none"/>
        </w:rPr>
        <w:t>（格式）</w:t>
      </w:r>
    </w:p>
    <w:bookmarkEnd w:id="465"/>
    <w:bookmarkEnd w:id="466"/>
    <w:bookmarkEnd w:id="467"/>
    <w:p>
      <w:pPr>
        <w:snapToGrid w:val="0"/>
        <w:spacing w:line="480" w:lineRule="exact"/>
        <w:rPr>
          <w:rFonts w:hint="eastAsia" w:ascii="仿宋" w:hAnsi="仿宋" w:eastAsia="仿宋" w:cs="仿宋"/>
          <w:color w:val="auto"/>
          <w:sz w:val="24"/>
          <w:highlight w:val="none"/>
        </w:rPr>
      </w:pPr>
    </w:p>
    <w:p>
      <w:pPr>
        <w:snapToGrid w:val="0"/>
        <w:spacing w:line="48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盐城市大丰人民医院</w:t>
      </w:r>
      <w:r>
        <w:rPr>
          <w:rFonts w:hint="eastAsia" w:ascii="仿宋" w:hAnsi="仿宋" w:eastAsia="仿宋" w:cs="仿宋"/>
          <w:color w:val="auto"/>
          <w:sz w:val="24"/>
          <w:szCs w:val="24"/>
          <w:highlight w:val="none"/>
        </w:rPr>
        <w:t>：</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根据贵方</w:t>
      </w:r>
      <w:r>
        <w:rPr>
          <w:rFonts w:hint="eastAsia" w:ascii="仿宋" w:hAnsi="仿宋" w:eastAsia="仿宋" w:cs="仿宋"/>
          <w:bCs/>
          <w:color w:val="auto"/>
          <w:sz w:val="24"/>
          <w:szCs w:val="24"/>
          <w:highlight w:val="none"/>
          <w:u w:val="single"/>
        </w:rPr>
        <w:t xml:space="preserve"> 盐城市大丰人民医院智能化轨道小车物流系统维保项目 </w:t>
      </w:r>
      <w:r>
        <w:rPr>
          <w:rFonts w:hint="eastAsia" w:ascii="仿宋" w:hAnsi="仿宋" w:eastAsia="仿宋" w:cs="仿宋"/>
          <w:color w:val="auto"/>
          <w:sz w:val="24"/>
          <w:szCs w:val="24"/>
          <w:highlight w:val="none"/>
        </w:rPr>
        <w:t>的招标采购文件，签字代表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（全名）经正式授权并代表投标人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（投标人名称）提交投标文件。</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据此函，我方承诺：</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2.我单位承诺本项目投标报价为：</w:t>
      </w:r>
      <w:r>
        <w:rPr>
          <w:rFonts w:hint="eastAsia" w:ascii="仿宋" w:hAnsi="仿宋" w:eastAsia="仿宋" w:cs="仿宋"/>
          <w:color w:val="auto"/>
          <w:sz w:val="24"/>
          <w:szCs w:val="24"/>
          <w:highlight w:val="none"/>
          <w:u w:val="single"/>
        </w:rPr>
        <w:t>（人民币大写：           ）</w:t>
      </w: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snapToGrid w:val="0"/>
        <w:spacing w:line="480" w:lineRule="exact"/>
        <w:ind w:firstLine="480" w:firstLineChars="2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如我单位中标，我单位承诺按招标文件约定时间的完成全部采购内容。</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如果我方的投标书被接受，我方将严格履行招标文件中规定的每一项要求，严格履行合同的责任和义务，保证按期、按质履行合同，完成合同内容所规定的全部工作；投标人在投标之前已经完全理解并接受招标文件的各项规定和要求，对招标文件的合理性、合法性不再有异议。</w:t>
      </w:r>
    </w:p>
    <w:p>
      <w:pPr>
        <w:tabs>
          <w:tab w:val="left" w:pos="780"/>
          <w:tab w:val="left" w:pos="1400"/>
        </w:tabs>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4.本投标有效期自开标日起90日历天。</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5.如中标，本投标文件至本项目合同履行完毕止均保持有效，本投标人将按“招标文件”及政府采购法律、法规的规定履行合同责任和义务。</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6.投标人同意按照贵方要求提供与投标有关的一切数据或资料。</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7.与本投标有关的一切正式往来信函请寄：</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电话：</w:t>
      </w:r>
      <w:r>
        <w:rPr>
          <w:rFonts w:hint="eastAsia" w:ascii="仿宋" w:hAnsi="仿宋" w:eastAsia="仿宋" w:cs="仿宋"/>
          <w:color w:val="auto"/>
          <w:sz w:val="24"/>
          <w:szCs w:val="24"/>
          <w:highlight w:val="none"/>
          <w:u w:val="single"/>
        </w:rPr>
        <w:t xml:space="preserve">             </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投标人代表姓名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职务：</w:t>
      </w:r>
      <w:r>
        <w:rPr>
          <w:rFonts w:hint="eastAsia" w:ascii="仿宋" w:hAnsi="仿宋" w:eastAsia="仿宋" w:cs="仿宋"/>
          <w:color w:val="auto"/>
          <w:sz w:val="24"/>
          <w:szCs w:val="24"/>
          <w:highlight w:val="none"/>
          <w:u w:val="single"/>
        </w:rPr>
        <w:t xml:space="preserve">               </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投标人名称(公章):</w:t>
      </w:r>
      <w:r>
        <w:rPr>
          <w:rFonts w:hint="eastAsia" w:ascii="仿宋" w:hAnsi="仿宋" w:eastAsia="仿宋" w:cs="仿宋"/>
          <w:color w:val="auto"/>
          <w:sz w:val="24"/>
          <w:szCs w:val="24"/>
          <w:highlight w:val="none"/>
          <w:u w:val="single"/>
        </w:rPr>
        <w:t xml:space="preserve">               </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法定代表人（负责人）或授权委托人（签字且盖章）：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napToGrid w:val="0"/>
        <w:spacing w:before="50" w:after="50"/>
        <w:rPr>
          <w:rFonts w:hint="eastAsia" w:ascii="仿宋" w:hAnsi="仿宋" w:eastAsia="仿宋" w:cs="仿宋"/>
          <w:color w:val="auto"/>
          <w:sz w:val="44"/>
          <w:highlight w:val="none"/>
        </w:rPr>
      </w:pPr>
    </w:p>
    <w:p>
      <w:pPr>
        <w:pStyle w:val="8"/>
        <w:ind w:left="0" w:leftChars="0" w:firstLine="0" w:firstLineChars="0"/>
        <w:rPr>
          <w:rFonts w:hint="eastAsia" w:ascii="仿宋" w:hAnsi="仿宋" w:eastAsia="仿宋" w:cs="仿宋"/>
          <w:color w:val="auto"/>
          <w:highlight w:val="none"/>
        </w:rPr>
      </w:pPr>
    </w:p>
    <w:p>
      <w:pPr>
        <w:snapToGrid w:val="0"/>
        <w:spacing w:before="50" w:after="50"/>
        <w:jc w:val="center"/>
        <w:rPr>
          <w:rFonts w:hint="eastAsia" w:ascii="仿宋" w:hAnsi="仿宋" w:eastAsia="仿宋" w:cs="仿宋"/>
          <w:color w:val="auto"/>
          <w:sz w:val="32"/>
          <w:szCs w:val="32"/>
          <w:highlight w:val="none"/>
        </w:rPr>
      </w:pPr>
      <w:bookmarkStart w:id="471" w:name="_Toc120614284"/>
      <w:r>
        <w:rPr>
          <w:rFonts w:hint="eastAsia" w:ascii="仿宋" w:hAnsi="仿宋" w:eastAsia="仿宋" w:cs="仿宋"/>
          <w:color w:val="auto"/>
          <w:sz w:val="32"/>
          <w:szCs w:val="32"/>
          <w:highlight w:val="none"/>
        </w:rPr>
        <w:br w:type="page"/>
      </w:r>
      <w:r>
        <w:rPr>
          <w:rFonts w:hint="eastAsia" w:ascii="仿宋" w:hAnsi="仿宋" w:eastAsia="仿宋" w:cs="仿宋"/>
          <w:b/>
          <w:bCs/>
          <w:color w:val="auto"/>
          <w:sz w:val="32"/>
          <w:szCs w:val="32"/>
          <w:highlight w:val="none"/>
        </w:rPr>
        <w:t>五、开标一览表（格式）</w:t>
      </w:r>
    </w:p>
    <w:p>
      <w:pPr>
        <w:snapToGrid w:val="0"/>
        <w:spacing w:before="50" w:after="50"/>
        <w:jc w:val="center"/>
        <w:rPr>
          <w:rFonts w:hint="eastAsia" w:ascii="仿宋" w:hAnsi="仿宋" w:eastAsia="仿宋" w:cs="仿宋"/>
          <w:color w:val="auto"/>
          <w:sz w:val="32"/>
          <w:szCs w:val="32"/>
          <w:highlight w:val="none"/>
        </w:rPr>
      </w:pPr>
    </w:p>
    <w:tbl>
      <w:tblPr>
        <w:tblStyle w:val="16"/>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0"/>
            <w:vAlign w:val="center"/>
          </w:tcPr>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 目 编 号</w:t>
            </w:r>
          </w:p>
        </w:tc>
        <w:tc>
          <w:tcPr>
            <w:tcW w:w="7445" w:type="dxa"/>
            <w:noWrap w:val="0"/>
            <w:vAlign w:val="center"/>
          </w:tcPr>
          <w:p>
            <w:pPr>
              <w:pStyle w:val="4"/>
              <w:ind w:firstLine="590" w:firstLineChars="245"/>
              <w:jc w:val="both"/>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0"/>
            <w:vAlign w:val="center"/>
          </w:tcPr>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 目 名 称</w:t>
            </w:r>
          </w:p>
        </w:tc>
        <w:tc>
          <w:tcPr>
            <w:tcW w:w="7445" w:type="dxa"/>
            <w:noWrap w:val="0"/>
            <w:vAlign w:val="center"/>
          </w:tcPr>
          <w:p>
            <w:pPr>
              <w:pStyle w:val="4"/>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盐城市大丰人民医院智能化轨道小车物流系统维保项目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项目投标报价：（大写）</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，小写：</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noWrap w:val="0"/>
            <w:vAlign w:val="center"/>
          </w:tcPr>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是否提供《企业类型声明函》：</w:t>
            </w:r>
            <w:r>
              <w:rPr>
                <w:rFonts w:hint="eastAsia" w:ascii="仿宋" w:hAnsi="仿宋" w:eastAsia="仿宋" w:cs="仿宋"/>
                <w:b/>
                <w:bCs/>
                <w:color w:val="auto"/>
                <w:sz w:val="24"/>
                <w:szCs w:val="24"/>
                <w:highlight w:val="none"/>
                <w:u w:val="single"/>
              </w:rPr>
              <w:t xml:space="preserve">  是/否   </w:t>
            </w:r>
            <w:r>
              <w:rPr>
                <w:rFonts w:hint="eastAsia" w:ascii="仿宋" w:hAnsi="仿宋" w:eastAsia="仿宋" w:cs="仿宋"/>
                <w:b/>
                <w:bCs/>
                <w:color w:val="auto"/>
                <w:sz w:val="24"/>
                <w:szCs w:val="24"/>
                <w:highlight w:val="none"/>
              </w:rPr>
              <w:t xml:space="preserve">           见</w:t>
            </w:r>
            <w:r>
              <w:rPr>
                <w:rFonts w:hint="eastAsia" w:ascii="仿宋" w:hAnsi="仿宋" w:eastAsia="仿宋" w:cs="仿宋"/>
                <w:b/>
                <w:bCs/>
                <w:color w:val="auto"/>
                <w:sz w:val="24"/>
                <w:szCs w:val="24"/>
                <w:highlight w:val="none"/>
                <w:u w:val="single"/>
              </w:rPr>
              <w:t>（          ）</w:t>
            </w:r>
            <w:r>
              <w:rPr>
                <w:rFonts w:hint="eastAsia" w:ascii="仿宋" w:hAnsi="仿宋" w:eastAsia="仿宋" w:cs="仿宋"/>
                <w:b/>
                <w:bCs/>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0"/>
            <w:vAlign w:val="center"/>
          </w:tcPr>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0"/>
            <w:vAlign w:val="center"/>
          </w:tcPr>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项目负责人：</w:t>
            </w:r>
          </w:p>
        </w:tc>
      </w:tr>
    </w:tbl>
    <w:p>
      <w:pPr>
        <w:spacing w:line="18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填写说明：</w:t>
      </w:r>
    </w:p>
    <w:p>
      <w:pPr>
        <w:numPr>
          <w:ilvl w:val="0"/>
          <w:numId w:val="5"/>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开标一览表不得填报选择性报价，否则将作为无效投标；</w:t>
      </w:r>
    </w:p>
    <w:p>
      <w:pPr>
        <w:numPr>
          <w:ilvl w:val="0"/>
          <w:numId w:val="5"/>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开标一览表中报价与投标分项明细报价表中不符时时，以开标一览表为准；</w:t>
      </w:r>
    </w:p>
    <w:p>
      <w:pPr>
        <w:rPr>
          <w:rFonts w:hint="eastAsia" w:ascii="仿宋" w:hAnsi="仿宋" w:eastAsia="仿宋" w:cs="仿宋"/>
          <w:b/>
          <w:color w:val="auto"/>
          <w:sz w:val="24"/>
          <w:highlight w:val="none"/>
        </w:rPr>
      </w:pPr>
      <w:r>
        <w:rPr>
          <w:rFonts w:hint="eastAsia" w:ascii="仿宋" w:hAnsi="仿宋" w:eastAsia="仿宋" w:cs="仿宋"/>
          <w:b/>
          <w:color w:val="auto"/>
          <w:sz w:val="24"/>
          <w:szCs w:val="24"/>
          <w:highlight w:val="none"/>
        </w:rPr>
        <w:t>★如服务类项目采购人可根据项目需求特点自行制作。</w:t>
      </w:r>
    </w:p>
    <w:p>
      <w:pPr>
        <w:ind w:firstLine="2640" w:firstLineChars="600"/>
        <w:rPr>
          <w:rFonts w:hint="eastAsia" w:ascii="仿宋" w:hAnsi="仿宋" w:eastAsia="仿宋" w:cs="仿宋"/>
          <w:color w:val="auto"/>
          <w:sz w:val="44"/>
          <w:highlight w:val="none"/>
        </w:rPr>
      </w:pPr>
    </w:p>
    <w:p>
      <w:pPr>
        <w:ind w:firstLine="480"/>
        <w:rPr>
          <w:rFonts w:hint="eastAsia" w:ascii="仿宋" w:hAnsi="仿宋" w:eastAsia="仿宋" w:cs="仿宋"/>
          <w:color w:val="auto"/>
          <w:sz w:val="24"/>
          <w:highlight w:val="none"/>
        </w:rPr>
      </w:pPr>
    </w:p>
    <w:p>
      <w:pPr>
        <w:ind w:firstLine="480"/>
        <w:rPr>
          <w:rFonts w:hint="eastAsia" w:ascii="仿宋" w:hAnsi="仿宋" w:eastAsia="仿宋" w:cs="仿宋"/>
          <w:color w:val="auto"/>
          <w:sz w:val="24"/>
          <w:highlight w:val="none"/>
        </w:rPr>
      </w:pPr>
    </w:p>
    <w:p>
      <w:pPr>
        <w:ind w:firstLine="480"/>
        <w:jc w:val="center"/>
        <w:rPr>
          <w:rFonts w:hint="eastAsia" w:ascii="仿宋" w:hAnsi="仿宋" w:eastAsia="仿宋" w:cs="仿宋"/>
          <w:color w:val="auto"/>
          <w:sz w:val="24"/>
          <w:highlight w:val="none"/>
        </w:rPr>
      </w:pP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供应商名称（公章）：</w:t>
      </w:r>
    </w:p>
    <w:p>
      <w:pPr>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jc w:val="center"/>
        <w:rPr>
          <w:rFonts w:hint="eastAsia" w:ascii="仿宋" w:hAnsi="仿宋" w:eastAsia="仿宋" w:cs="仿宋"/>
          <w:b/>
          <w:color w:val="auto"/>
          <w:sz w:val="32"/>
          <w:szCs w:val="32"/>
          <w:highlight w:val="none"/>
        </w:rPr>
      </w:pP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numPr>
          <w:ilvl w:val="0"/>
          <w:numId w:val="6"/>
        </w:numPr>
        <w:snapToGrid w:val="0"/>
        <w:spacing w:before="50" w:after="5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投标报价明细表</w:t>
      </w:r>
    </w:p>
    <w:p>
      <w:pPr>
        <w:pStyle w:val="8"/>
        <w:numPr>
          <w:ilvl w:val="0"/>
          <w:numId w:val="0"/>
        </w:numPr>
        <w:rPr>
          <w:rFonts w:hint="eastAsia"/>
          <w:color w:val="auto"/>
          <w:highlight w:val="none"/>
        </w:rPr>
      </w:pPr>
    </w:p>
    <w:p>
      <w:pPr>
        <w:spacing w:line="500" w:lineRule="exact"/>
        <w:ind w:firstLine="120" w:firstLineChars="50"/>
        <w:jc w:val="left"/>
        <w:rPr>
          <w:rFonts w:ascii="宋体" w:hAnsi="宋体"/>
          <w:color w:val="auto"/>
          <w:sz w:val="24"/>
          <w:highlight w:val="none"/>
        </w:rPr>
      </w:pPr>
      <w:r>
        <w:rPr>
          <w:rFonts w:ascii="宋体" w:hAnsi="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287655</wp:posOffset>
                </wp:positionV>
                <wp:extent cx="1714500" cy="0"/>
                <wp:effectExtent l="0" t="4445" r="0" b="50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68.25pt;margin-top:22.65pt;height:0pt;width:135pt;z-index:251659264;mso-width-relative:page;mso-height-relative:page;" filled="f" stroked="t" coordsize="21600,21600" o:gfxdata="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DdeF1gAAAAkBAAAPAAAAAAAAAAEAIAAAACIAAABkcnMvZG93bnJldi54bWxQ&#10;SwECFAAUAAAACACHTuJAx+NPq/kBAADMAwAADgAAAAAAAAABACAAAAAlAQAAZHJzL2Uyb0RvYy54&#10;bWxQSwUGAAAAAAYABgBZAQAAkAUAAAAA&#10;">
                <v:fill on="f" focussize="0,0"/>
                <v:stroke color="#000000" joinstyle="round"/>
                <v:imagedata o:title=""/>
                <o:lock v:ext="edit" aspectratio="f"/>
              </v:shape>
            </w:pict>
          </mc:Fallback>
        </mc:AlternateContent>
      </w:r>
      <w:r>
        <w:rPr>
          <w:rFonts w:hint="eastAsia" w:ascii="宋体" w:hAnsi="宋体"/>
          <w:color w:val="auto"/>
          <w:sz w:val="24"/>
          <w:highlight w:val="none"/>
        </w:rPr>
        <w:t>投标人全称：                     （加盖公章）</w:t>
      </w:r>
    </w:p>
    <w:p>
      <w:pPr>
        <w:pStyle w:val="8"/>
        <w:rPr>
          <w:rFonts w:hint="eastAsia"/>
          <w:color w:val="auto"/>
          <w:highlight w:val="none"/>
        </w:rPr>
      </w:pPr>
    </w:p>
    <w:tbl>
      <w:tblPr>
        <w:tblStyle w:val="16"/>
        <w:tblW w:w="9781" w:type="dxa"/>
        <w:jc w:val="center"/>
        <w:tblLayout w:type="fixed"/>
        <w:tblCellMar>
          <w:top w:w="0" w:type="dxa"/>
          <w:left w:w="0" w:type="dxa"/>
          <w:bottom w:w="0" w:type="dxa"/>
          <w:right w:w="0" w:type="dxa"/>
        </w:tblCellMar>
      </w:tblPr>
      <w:tblGrid>
        <w:gridCol w:w="662"/>
        <w:gridCol w:w="1194"/>
        <w:gridCol w:w="4554"/>
        <w:gridCol w:w="1528"/>
        <w:gridCol w:w="1843"/>
      </w:tblGrid>
      <w:tr>
        <w:tblPrEx>
          <w:tblCellMar>
            <w:top w:w="0" w:type="dxa"/>
            <w:left w:w="0" w:type="dxa"/>
            <w:bottom w:w="0" w:type="dxa"/>
            <w:right w:w="0" w:type="dxa"/>
          </w:tblCellMar>
        </w:tblPrEx>
        <w:trPr>
          <w:trHeight w:val="120" w:hRule="atLeast"/>
          <w:jc w:val="center"/>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项目名称</w:t>
            </w:r>
          </w:p>
        </w:tc>
        <w:tc>
          <w:tcPr>
            <w:tcW w:w="45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服务项目</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w:t>
            </w:r>
          </w:p>
          <w:p>
            <w:pPr>
              <w:pStyle w:val="19"/>
              <w:jc w:val="center"/>
              <w:rPr>
                <w:rFonts w:hint="eastAsia" w:ascii="仿宋" w:hAnsi="仿宋" w:eastAsia="仿宋" w:cs="仿宋"/>
                <w:b/>
                <w:color w:val="auto"/>
                <w:highlight w:val="none"/>
              </w:rPr>
            </w:pPr>
            <w:r>
              <w:rPr>
                <w:rFonts w:hint="eastAsia" w:ascii="仿宋" w:hAnsi="仿宋" w:eastAsia="仿宋" w:cs="仿宋"/>
                <w:b/>
                <w:color w:val="auto"/>
                <w:highlight w:val="none"/>
              </w:rPr>
              <w:t>（元/年）</w:t>
            </w:r>
          </w:p>
        </w:tc>
        <w:tc>
          <w:tcPr>
            <w:tcW w:w="18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总价</w:t>
            </w:r>
          </w:p>
          <w:p>
            <w:pPr>
              <w:pStyle w:val="19"/>
              <w:jc w:val="center"/>
              <w:rPr>
                <w:rFonts w:hint="eastAsia" w:ascii="仿宋" w:hAnsi="仿宋" w:eastAsia="仿宋" w:cs="仿宋"/>
                <w:b/>
                <w:color w:val="auto"/>
                <w:highlight w:val="none"/>
              </w:rPr>
            </w:pPr>
            <w:r>
              <w:rPr>
                <w:rFonts w:hint="eastAsia" w:ascii="仿宋" w:hAnsi="仿宋" w:eastAsia="仿宋" w:cs="仿宋"/>
                <w:b/>
                <w:color w:val="auto"/>
                <w:highlight w:val="none"/>
              </w:rPr>
              <w:t>（元/</w:t>
            </w:r>
            <w:r>
              <w:rPr>
                <w:rFonts w:hint="eastAsia" w:ascii="仿宋" w:hAnsi="仿宋" w:eastAsia="仿宋" w:cs="仿宋"/>
                <w:b/>
                <w:color w:val="auto"/>
                <w:highlight w:val="none"/>
                <w:lang w:val="en-US" w:eastAsia="zh-CN"/>
              </w:rPr>
              <w:t>两</w:t>
            </w:r>
            <w:r>
              <w:rPr>
                <w:rFonts w:hint="eastAsia" w:ascii="仿宋" w:hAnsi="仿宋" w:eastAsia="仿宋" w:cs="仿宋"/>
                <w:b/>
                <w:color w:val="auto"/>
                <w:highlight w:val="none"/>
              </w:rPr>
              <w:t>年）</w:t>
            </w:r>
          </w:p>
        </w:tc>
      </w:tr>
      <w:tr>
        <w:tblPrEx>
          <w:tblCellMar>
            <w:top w:w="0" w:type="dxa"/>
            <w:left w:w="0" w:type="dxa"/>
            <w:bottom w:w="0" w:type="dxa"/>
            <w:right w:w="0" w:type="dxa"/>
          </w:tblCellMar>
        </w:tblPrEx>
        <w:trPr>
          <w:trHeight w:val="270" w:hRule="atLeast"/>
          <w:jc w:val="center"/>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highlight w:val="none"/>
              </w:rPr>
              <w:t>盐城市大丰人民医院智能化轨道小车物流系统维保项目</w:t>
            </w:r>
          </w:p>
        </w:tc>
        <w:tc>
          <w:tcPr>
            <w:tcW w:w="4554" w:type="dxa"/>
            <w:tcBorders>
              <w:top w:val="single" w:color="auto" w:sz="4" w:space="0"/>
              <w:left w:val="single" w:color="auto" w:sz="4" w:space="0"/>
              <w:bottom w:val="single" w:color="auto" w:sz="4" w:space="0"/>
              <w:right w:val="single" w:color="auto" w:sz="4" w:space="0"/>
            </w:tcBorders>
            <w:noWrap w:val="0"/>
            <w:vAlign w:val="center"/>
          </w:tcPr>
          <w:p>
            <w:pPr>
              <w:pStyle w:val="19"/>
              <w:ind w:firstLine="436" w:firstLineChars="182"/>
              <w:rPr>
                <w:rFonts w:hint="eastAsia" w:ascii="仿宋" w:hAnsi="仿宋" w:eastAsia="仿宋" w:cs="仿宋"/>
                <w:color w:val="auto"/>
                <w:highlight w:val="none"/>
              </w:rPr>
            </w:pPr>
            <w:r>
              <w:rPr>
                <w:rFonts w:hint="eastAsia" w:ascii="仿宋" w:hAnsi="仿宋" w:eastAsia="仿宋" w:cs="仿宋"/>
                <w:color w:val="auto"/>
                <w:szCs w:val="24"/>
                <w:highlight w:val="none"/>
              </w:rPr>
              <w:t>投标人须提供常驻人员不少于</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人驻点进行维保（含所有配件及一年六次保养</w:t>
            </w:r>
            <w:r>
              <w:rPr>
                <w:rFonts w:hint="eastAsia" w:ascii="仿宋" w:hAnsi="仿宋" w:eastAsia="仿宋" w:cs="仿宋"/>
                <w:color w:val="auto"/>
                <w:szCs w:val="22"/>
                <w:highlight w:val="none"/>
              </w:rPr>
              <w:t>），</w:t>
            </w:r>
            <w:r>
              <w:rPr>
                <w:rFonts w:hint="eastAsia" w:ascii="仿宋" w:hAnsi="仿宋" w:eastAsia="仿宋" w:cs="仿宋"/>
                <w:color w:val="auto"/>
                <w:szCs w:val="24"/>
                <w:highlight w:val="none"/>
              </w:rPr>
              <w:t>响应时间</w:t>
            </w:r>
            <w:r>
              <w:rPr>
                <w:rFonts w:hint="eastAsia" w:ascii="仿宋" w:hAnsi="仿宋" w:eastAsia="仿宋" w:cs="仿宋"/>
                <w:color w:val="auto"/>
                <w:szCs w:val="24"/>
                <w:highlight w:val="none"/>
                <w:lang w:val="en-US" w:eastAsia="zh-CN"/>
              </w:rPr>
              <w:t>两</w:t>
            </w:r>
            <w:r>
              <w:rPr>
                <w:rFonts w:hint="eastAsia" w:ascii="仿宋" w:hAnsi="仿宋" w:eastAsia="仿宋" w:cs="仿宋"/>
                <w:color w:val="auto"/>
                <w:szCs w:val="24"/>
                <w:highlight w:val="none"/>
              </w:rPr>
              <w:t>个小时以内。注：小车物流系统为</w:t>
            </w:r>
            <w:r>
              <w:rPr>
                <w:rFonts w:hint="eastAsia" w:ascii="仿宋" w:hAnsi="仿宋" w:eastAsia="仿宋" w:cs="仿宋"/>
                <w:color w:val="auto"/>
                <w:szCs w:val="24"/>
                <w:highlight w:val="none"/>
                <w:lang w:eastAsia="zh-CN"/>
              </w:rPr>
              <w:t>：德国德列孚Telelift，</w:t>
            </w:r>
            <w:r>
              <w:rPr>
                <w:rFonts w:hint="eastAsia" w:ascii="仿宋" w:hAnsi="仿宋" w:eastAsia="仿宋" w:cs="仿宋"/>
                <w:color w:val="auto"/>
                <w:szCs w:val="24"/>
                <w:highlight w:val="none"/>
              </w:rPr>
              <w:t>服务满足招标文件的全部要求及采购人的实际使用需求。</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color w:val="auto"/>
                <w:sz w:val="24"/>
                <w:szCs w:val="24"/>
                <w:highlight w:val="none"/>
              </w:rPr>
            </w:pPr>
          </w:p>
        </w:tc>
      </w:tr>
    </w:tbl>
    <w:p>
      <w:pPr>
        <w:spacing w:line="440" w:lineRule="exact"/>
        <w:ind w:firstLine="424" w:firstLineChars="177"/>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注：投标人须对服务现场进行全面的现场勘测，了解设备现状，结合设备现况预计检修及维保费用进行报价，投标人的报价及总价中包括（但不限于）为完成招标文件所确定的全部检测、维保内容中所必须的配件、耗材及材料费、人工费、成品保护费、维护费、试验费、安全措施费、食宿、差旅费、社会保险、公积金、不可预见性风险费、招标代理费、直接成本、间接成本、风险、税金、规费、合理利润等有可能发生的全部费用，服务过程中招标人不再另行支付其他任何费用。报价时应逐项填写数量、单价和合价，最后汇总得出总价。</w:t>
      </w:r>
    </w:p>
    <w:p>
      <w:pPr>
        <w:spacing w:line="440" w:lineRule="exact"/>
        <w:ind w:firstLine="424" w:firstLineChars="177"/>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本项目维保为小车物流系统在维保期内的全保，即在维保期内不论发生任何故障及物流系统所需更换的材料、配件均由中标人负责采购安装，采购人不承担任何费用。中标人必须至</w:t>
      </w:r>
      <w:r>
        <w:rPr>
          <w:rFonts w:hint="eastAsia" w:ascii="仿宋" w:hAnsi="仿宋" w:eastAsia="仿宋" w:cs="仿宋"/>
          <w:color w:val="auto"/>
          <w:sz w:val="24"/>
          <w:highlight w:val="none"/>
          <w:lang w:val="en-US" w:eastAsia="zh-CN"/>
        </w:rPr>
        <w:t>盐城市大丰人民医院</w:t>
      </w:r>
      <w:r>
        <w:rPr>
          <w:rFonts w:hint="eastAsia" w:ascii="仿宋" w:hAnsi="仿宋" w:eastAsia="仿宋" w:cs="仿宋"/>
          <w:color w:val="auto"/>
          <w:sz w:val="24"/>
          <w:highlight w:val="none"/>
        </w:rPr>
        <w:t>查看现有小车物流运行情况，将小车物流可能需要更换的设备、耗材、易损件、辅材等考虑在投标报价内。中标后小车物流更换的相关材料均由中标人提供并更换，采购人不再支付其他任何费用。</w:t>
      </w:r>
    </w:p>
    <w:p>
      <w:pPr>
        <w:pStyle w:val="19"/>
        <w:rPr>
          <w:rFonts w:hint="eastAsia" w:ascii="仿宋" w:hAnsi="仿宋" w:eastAsia="仿宋" w:cs="仿宋"/>
          <w:color w:val="auto"/>
          <w:highlight w:val="none"/>
        </w:rPr>
      </w:pPr>
    </w:p>
    <w:p>
      <w:pPr>
        <w:spacing w:line="6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法定代表人或被授权人（签字）：</w:t>
      </w:r>
    </w:p>
    <w:p>
      <w:pPr>
        <w:spacing w:line="600" w:lineRule="exact"/>
        <w:ind w:firstLine="3360" w:firstLineChars="14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投标人（盖单位公章）：</w:t>
      </w:r>
    </w:p>
    <w:p>
      <w:pPr>
        <w:wordWrap w:val="0"/>
        <w:spacing w:line="600" w:lineRule="exact"/>
        <w:ind w:firstLine="1200" w:firstLineChars="5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bookmarkEnd w:id="471"/>
    <w:p>
      <w:pPr>
        <w:spacing w:line="440" w:lineRule="exact"/>
        <w:jc w:val="center"/>
        <w:rPr>
          <w:rFonts w:hint="eastAsia" w:ascii="仿宋" w:hAnsi="仿宋" w:eastAsia="仿宋" w:cs="仿宋"/>
          <w:color w:val="auto"/>
          <w:sz w:val="32"/>
          <w:szCs w:val="32"/>
          <w:highlight w:val="none"/>
        </w:rPr>
      </w:pPr>
      <w:bookmarkStart w:id="472" w:name="_Hlt26955054"/>
      <w:bookmarkEnd w:id="472"/>
      <w:r>
        <w:rPr>
          <w:rFonts w:hint="eastAsia" w:ascii="仿宋" w:hAnsi="仿宋" w:eastAsia="仿宋" w:cs="仿宋"/>
          <w:color w:val="auto"/>
          <w:sz w:val="32"/>
          <w:szCs w:val="32"/>
          <w:highlight w:val="none"/>
        </w:rPr>
        <w:br w:type="page"/>
      </w: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、商务条款响应及偏离表（如有）</w:t>
      </w:r>
    </w:p>
    <w:p>
      <w:pPr>
        <w:jc w:val="cente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投标人全称（加盖公章）：        </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是否响应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服务时间</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hint="eastAsia" w:ascii="仿宋" w:hAnsi="仿宋" w:eastAsia="仿宋" w:cs="仿宋"/>
                <w:color w:val="auto"/>
                <w:sz w:val="24"/>
                <w:szCs w:val="20"/>
                <w:highlight w:val="none"/>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highlight w:val="none"/>
              </w:rPr>
            </w:pPr>
          </w:p>
          <w:p>
            <w:pPr>
              <w:snapToGrid w:val="0"/>
              <w:spacing w:before="145" w:beforeLines="50"/>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hint="eastAsia" w:ascii="仿宋" w:hAnsi="仿宋" w:eastAsia="仿宋" w:cs="仿宋"/>
                <w:color w:val="auto"/>
                <w:sz w:val="24"/>
                <w:szCs w:val="20"/>
                <w:highlight w:val="none"/>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ind w:left="43"/>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付款方式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投标货币</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元</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45"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其他</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45" w:beforeLines="50"/>
              <w:rPr>
                <w:rFonts w:hint="eastAsia" w:ascii="仿宋" w:hAnsi="仿宋" w:eastAsia="仿宋" w:cs="仿宋"/>
                <w:color w:val="auto"/>
                <w:sz w:val="24"/>
                <w:szCs w:val="20"/>
                <w:highlight w:val="none"/>
              </w:rPr>
            </w:pPr>
          </w:p>
        </w:tc>
      </w:tr>
    </w:tbl>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法定代表人或授权代表签字：</w:t>
      </w:r>
    </w:p>
    <w:p>
      <w:pPr>
        <w:spacing w:line="480" w:lineRule="auto"/>
        <w:rPr>
          <w:rFonts w:hint="eastAsia" w:ascii="仿宋" w:hAnsi="仿宋" w:eastAsia="仿宋" w:cs="仿宋"/>
          <w:color w:val="auto"/>
          <w:sz w:val="30"/>
          <w:highlight w:val="none"/>
        </w:rPr>
      </w:pPr>
      <w:bookmarkStart w:id="473" w:name="_Hlt26671343"/>
      <w:bookmarkEnd w:id="473"/>
      <w:bookmarkStart w:id="474" w:name="_Hlt26671374"/>
      <w:bookmarkEnd w:id="474"/>
      <w:bookmarkStart w:id="475" w:name="_Hlt26955056"/>
      <w:bookmarkEnd w:id="475"/>
      <w:bookmarkStart w:id="476" w:name="_Hlt26955066"/>
      <w:bookmarkEnd w:id="476"/>
      <w:bookmarkStart w:id="477" w:name="_Hlt26580838"/>
      <w:bookmarkEnd w:id="477"/>
      <w:bookmarkStart w:id="478" w:name="_Hlt26609391"/>
      <w:bookmarkEnd w:id="478"/>
      <w:bookmarkStart w:id="479" w:name="_Hlt26609389"/>
      <w:bookmarkEnd w:id="479"/>
      <w:bookmarkStart w:id="480" w:name="_Hlt26671372"/>
      <w:bookmarkEnd w:id="480"/>
      <w:bookmarkStart w:id="481" w:name="_Hlt24879081"/>
      <w:bookmarkEnd w:id="481"/>
      <w:bookmarkStart w:id="482" w:name="_Hlt26955064"/>
      <w:bookmarkEnd w:id="482"/>
      <w:bookmarkStart w:id="483" w:name="_Hlt26782999"/>
      <w:bookmarkEnd w:id="483"/>
      <w:bookmarkStart w:id="484" w:name="_Toc462564146"/>
    </w:p>
    <w:p>
      <w:pPr>
        <w:pStyle w:val="6"/>
        <w:ind w:firstLine="0"/>
        <w:rPr>
          <w:rFonts w:hint="eastAsia" w:ascii="仿宋" w:hAnsi="仿宋" w:eastAsia="仿宋" w:cs="仿宋"/>
          <w:color w:val="auto"/>
          <w:sz w:val="24"/>
          <w:highlight w:val="none"/>
        </w:rPr>
      </w:pPr>
    </w:p>
    <w:p>
      <w:pPr>
        <w:snapToGrid w:val="0"/>
        <w:spacing w:before="50" w:after="50"/>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r>
        <w:rPr>
          <w:rFonts w:hint="eastAsia" w:ascii="仿宋" w:hAnsi="仿宋" w:eastAsia="仿宋" w:cs="仿宋"/>
          <w:b/>
          <w:bCs/>
          <w:color w:val="auto"/>
          <w:sz w:val="32"/>
          <w:szCs w:val="32"/>
          <w:highlight w:val="none"/>
        </w:rPr>
        <w:t>八、技术部分等</w:t>
      </w:r>
      <w:bookmarkEnd w:id="484"/>
      <w:bookmarkStart w:id="485" w:name="_格式2__法定代表人授权书"/>
      <w:bookmarkEnd w:id="485"/>
    </w:p>
    <w:p>
      <w:pPr>
        <w:snapToGrid w:val="0"/>
        <w:spacing w:before="50" w:after="50"/>
        <w:jc w:val="both"/>
        <w:rPr>
          <w:rFonts w:hint="eastAsia" w:ascii="仿宋" w:hAnsi="仿宋" w:eastAsia="仿宋" w:cs="仿宋"/>
          <w:color w:val="auto"/>
          <w:sz w:val="32"/>
          <w:szCs w:val="32"/>
          <w:highlight w:val="none"/>
        </w:rPr>
      </w:pPr>
    </w:p>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投标产品配置及分项报价表</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投标人全称（加盖公章）：</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83"/>
        <w:gridCol w:w="1227"/>
        <w:gridCol w:w="1559"/>
        <w:gridCol w:w="851"/>
        <w:gridCol w:w="1134"/>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09"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标的名称</w:t>
            </w:r>
          </w:p>
        </w:tc>
        <w:tc>
          <w:tcPr>
            <w:tcW w:w="1183"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所投品牌</w:t>
            </w:r>
          </w:p>
        </w:tc>
        <w:tc>
          <w:tcPr>
            <w:tcW w:w="1227"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规格型号</w:t>
            </w:r>
          </w:p>
        </w:tc>
        <w:tc>
          <w:tcPr>
            <w:tcW w:w="155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所投标的参数、功能</w:t>
            </w:r>
          </w:p>
        </w:tc>
        <w:tc>
          <w:tcPr>
            <w:tcW w:w="85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13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w:t>
            </w:r>
          </w:p>
        </w:tc>
        <w:tc>
          <w:tcPr>
            <w:tcW w:w="18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09" w:type="dxa"/>
            <w:noWrap w:val="0"/>
            <w:vAlign w:val="center"/>
          </w:tcPr>
          <w:p>
            <w:pPr>
              <w:rPr>
                <w:rFonts w:hint="eastAsia" w:ascii="仿宋" w:hAnsi="仿宋" w:eastAsia="仿宋" w:cs="仿宋"/>
                <w:color w:val="auto"/>
                <w:sz w:val="24"/>
                <w:highlight w:val="none"/>
              </w:rPr>
            </w:pPr>
          </w:p>
        </w:tc>
        <w:tc>
          <w:tcPr>
            <w:tcW w:w="1183" w:type="dxa"/>
            <w:noWrap w:val="0"/>
            <w:vAlign w:val="center"/>
          </w:tcPr>
          <w:p>
            <w:pPr>
              <w:rPr>
                <w:rFonts w:hint="eastAsia" w:ascii="仿宋" w:hAnsi="仿宋" w:eastAsia="仿宋" w:cs="仿宋"/>
                <w:color w:val="auto"/>
                <w:sz w:val="24"/>
                <w:highlight w:val="none"/>
              </w:rPr>
            </w:pPr>
          </w:p>
        </w:tc>
        <w:tc>
          <w:tcPr>
            <w:tcW w:w="1227" w:type="dxa"/>
            <w:noWrap w:val="0"/>
            <w:vAlign w:val="center"/>
          </w:tcPr>
          <w:p>
            <w:pPr>
              <w:rPr>
                <w:rFonts w:hint="eastAsia" w:ascii="仿宋" w:hAnsi="仿宋" w:eastAsia="仿宋" w:cs="仿宋"/>
                <w:color w:val="auto"/>
                <w:sz w:val="24"/>
                <w:highlight w:val="none"/>
              </w:rPr>
            </w:pPr>
          </w:p>
        </w:tc>
        <w:tc>
          <w:tcPr>
            <w:tcW w:w="1559" w:type="dxa"/>
            <w:noWrap w:val="0"/>
            <w:vAlign w:val="center"/>
          </w:tcPr>
          <w:p>
            <w:pPr>
              <w:rPr>
                <w:rFonts w:hint="eastAsia" w:ascii="仿宋" w:hAnsi="仿宋" w:eastAsia="仿宋" w:cs="仿宋"/>
                <w:color w:val="auto"/>
                <w:sz w:val="24"/>
                <w:highlight w:val="none"/>
              </w:rPr>
            </w:pPr>
          </w:p>
        </w:tc>
        <w:tc>
          <w:tcPr>
            <w:tcW w:w="851" w:type="dxa"/>
            <w:noWrap w:val="0"/>
            <w:vAlign w:val="center"/>
          </w:tcPr>
          <w:p>
            <w:pPr>
              <w:rPr>
                <w:rFonts w:hint="eastAsia" w:ascii="仿宋" w:hAnsi="仿宋" w:eastAsia="仿宋" w:cs="仿宋"/>
                <w:color w:val="auto"/>
                <w:sz w:val="24"/>
                <w:highlight w:val="none"/>
              </w:rPr>
            </w:pPr>
          </w:p>
        </w:tc>
        <w:tc>
          <w:tcPr>
            <w:tcW w:w="1134" w:type="dxa"/>
            <w:noWrap w:val="0"/>
            <w:vAlign w:val="center"/>
          </w:tcPr>
          <w:p>
            <w:pPr>
              <w:rPr>
                <w:rFonts w:hint="eastAsia" w:ascii="仿宋" w:hAnsi="仿宋" w:eastAsia="仿宋" w:cs="仿宋"/>
                <w:color w:val="auto"/>
                <w:sz w:val="24"/>
                <w:highlight w:val="none"/>
              </w:rPr>
            </w:pPr>
          </w:p>
        </w:tc>
        <w:tc>
          <w:tcPr>
            <w:tcW w:w="1821" w:type="dxa"/>
            <w:noWrap w:val="0"/>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09" w:type="dxa"/>
            <w:noWrap w:val="0"/>
            <w:vAlign w:val="center"/>
          </w:tcPr>
          <w:p>
            <w:pPr>
              <w:rPr>
                <w:rFonts w:hint="eastAsia" w:ascii="仿宋" w:hAnsi="仿宋" w:eastAsia="仿宋" w:cs="仿宋"/>
                <w:color w:val="auto"/>
                <w:sz w:val="24"/>
                <w:highlight w:val="none"/>
              </w:rPr>
            </w:pPr>
          </w:p>
        </w:tc>
        <w:tc>
          <w:tcPr>
            <w:tcW w:w="1183" w:type="dxa"/>
            <w:noWrap w:val="0"/>
            <w:vAlign w:val="center"/>
          </w:tcPr>
          <w:p>
            <w:pPr>
              <w:rPr>
                <w:rFonts w:hint="eastAsia" w:ascii="仿宋" w:hAnsi="仿宋" w:eastAsia="仿宋" w:cs="仿宋"/>
                <w:color w:val="auto"/>
                <w:sz w:val="24"/>
                <w:highlight w:val="none"/>
              </w:rPr>
            </w:pPr>
          </w:p>
        </w:tc>
        <w:tc>
          <w:tcPr>
            <w:tcW w:w="1227" w:type="dxa"/>
            <w:noWrap w:val="0"/>
            <w:vAlign w:val="center"/>
          </w:tcPr>
          <w:p>
            <w:pPr>
              <w:rPr>
                <w:rFonts w:hint="eastAsia" w:ascii="仿宋" w:hAnsi="仿宋" w:eastAsia="仿宋" w:cs="仿宋"/>
                <w:color w:val="auto"/>
                <w:sz w:val="24"/>
                <w:highlight w:val="none"/>
              </w:rPr>
            </w:pPr>
          </w:p>
        </w:tc>
        <w:tc>
          <w:tcPr>
            <w:tcW w:w="1559" w:type="dxa"/>
            <w:noWrap w:val="0"/>
            <w:vAlign w:val="center"/>
          </w:tcPr>
          <w:p>
            <w:pPr>
              <w:rPr>
                <w:rFonts w:hint="eastAsia" w:ascii="仿宋" w:hAnsi="仿宋" w:eastAsia="仿宋" w:cs="仿宋"/>
                <w:color w:val="auto"/>
                <w:sz w:val="24"/>
                <w:highlight w:val="none"/>
              </w:rPr>
            </w:pPr>
          </w:p>
        </w:tc>
        <w:tc>
          <w:tcPr>
            <w:tcW w:w="851" w:type="dxa"/>
            <w:noWrap w:val="0"/>
            <w:vAlign w:val="center"/>
          </w:tcPr>
          <w:p>
            <w:pPr>
              <w:rPr>
                <w:rFonts w:hint="eastAsia" w:ascii="仿宋" w:hAnsi="仿宋" w:eastAsia="仿宋" w:cs="仿宋"/>
                <w:color w:val="auto"/>
                <w:sz w:val="24"/>
                <w:highlight w:val="none"/>
              </w:rPr>
            </w:pPr>
          </w:p>
        </w:tc>
        <w:tc>
          <w:tcPr>
            <w:tcW w:w="1134" w:type="dxa"/>
            <w:noWrap w:val="0"/>
            <w:vAlign w:val="center"/>
          </w:tcPr>
          <w:p>
            <w:pPr>
              <w:rPr>
                <w:rFonts w:hint="eastAsia" w:ascii="仿宋" w:hAnsi="仿宋" w:eastAsia="仿宋" w:cs="仿宋"/>
                <w:color w:val="auto"/>
                <w:sz w:val="24"/>
                <w:highlight w:val="none"/>
              </w:rPr>
            </w:pPr>
          </w:p>
        </w:tc>
        <w:tc>
          <w:tcPr>
            <w:tcW w:w="1821" w:type="dxa"/>
            <w:noWrap w:val="0"/>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09" w:type="dxa"/>
            <w:noWrap w:val="0"/>
            <w:vAlign w:val="center"/>
          </w:tcPr>
          <w:p>
            <w:pPr>
              <w:rPr>
                <w:rFonts w:hint="eastAsia" w:ascii="仿宋" w:hAnsi="仿宋" w:eastAsia="仿宋" w:cs="仿宋"/>
                <w:color w:val="auto"/>
                <w:sz w:val="24"/>
                <w:highlight w:val="none"/>
              </w:rPr>
            </w:pPr>
          </w:p>
        </w:tc>
        <w:tc>
          <w:tcPr>
            <w:tcW w:w="1183" w:type="dxa"/>
            <w:noWrap w:val="0"/>
            <w:vAlign w:val="center"/>
          </w:tcPr>
          <w:p>
            <w:pPr>
              <w:rPr>
                <w:rFonts w:hint="eastAsia" w:ascii="仿宋" w:hAnsi="仿宋" w:eastAsia="仿宋" w:cs="仿宋"/>
                <w:color w:val="auto"/>
                <w:sz w:val="24"/>
                <w:highlight w:val="none"/>
              </w:rPr>
            </w:pPr>
          </w:p>
        </w:tc>
        <w:tc>
          <w:tcPr>
            <w:tcW w:w="1227" w:type="dxa"/>
            <w:noWrap w:val="0"/>
            <w:vAlign w:val="center"/>
          </w:tcPr>
          <w:p>
            <w:pPr>
              <w:rPr>
                <w:rFonts w:hint="eastAsia" w:ascii="仿宋" w:hAnsi="仿宋" w:eastAsia="仿宋" w:cs="仿宋"/>
                <w:color w:val="auto"/>
                <w:sz w:val="24"/>
                <w:highlight w:val="none"/>
              </w:rPr>
            </w:pPr>
          </w:p>
        </w:tc>
        <w:tc>
          <w:tcPr>
            <w:tcW w:w="1559" w:type="dxa"/>
            <w:noWrap w:val="0"/>
            <w:vAlign w:val="center"/>
          </w:tcPr>
          <w:p>
            <w:pPr>
              <w:rPr>
                <w:rFonts w:hint="eastAsia" w:ascii="仿宋" w:hAnsi="仿宋" w:eastAsia="仿宋" w:cs="仿宋"/>
                <w:color w:val="auto"/>
                <w:sz w:val="24"/>
                <w:highlight w:val="none"/>
              </w:rPr>
            </w:pPr>
          </w:p>
        </w:tc>
        <w:tc>
          <w:tcPr>
            <w:tcW w:w="851" w:type="dxa"/>
            <w:noWrap w:val="0"/>
            <w:vAlign w:val="center"/>
          </w:tcPr>
          <w:p>
            <w:pPr>
              <w:rPr>
                <w:rFonts w:hint="eastAsia" w:ascii="仿宋" w:hAnsi="仿宋" w:eastAsia="仿宋" w:cs="仿宋"/>
                <w:color w:val="auto"/>
                <w:sz w:val="24"/>
                <w:highlight w:val="none"/>
              </w:rPr>
            </w:pPr>
          </w:p>
        </w:tc>
        <w:tc>
          <w:tcPr>
            <w:tcW w:w="1134" w:type="dxa"/>
            <w:noWrap w:val="0"/>
            <w:vAlign w:val="center"/>
          </w:tcPr>
          <w:p>
            <w:pPr>
              <w:rPr>
                <w:rFonts w:hint="eastAsia" w:ascii="仿宋" w:hAnsi="仿宋" w:eastAsia="仿宋" w:cs="仿宋"/>
                <w:color w:val="auto"/>
                <w:sz w:val="24"/>
                <w:highlight w:val="none"/>
              </w:rPr>
            </w:pPr>
          </w:p>
        </w:tc>
        <w:tc>
          <w:tcPr>
            <w:tcW w:w="1821" w:type="dxa"/>
            <w:noWrap w:val="0"/>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9" w:type="dxa"/>
            <w:noWrap w:val="0"/>
            <w:vAlign w:val="center"/>
          </w:tcPr>
          <w:p>
            <w:pPr>
              <w:rPr>
                <w:rFonts w:hint="eastAsia" w:ascii="仿宋" w:hAnsi="仿宋" w:eastAsia="仿宋" w:cs="仿宋"/>
                <w:color w:val="auto"/>
                <w:sz w:val="24"/>
                <w:highlight w:val="none"/>
              </w:rPr>
            </w:pPr>
          </w:p>
        </w:tc>
        <w:tc>
          <w:tcPr>
            <w:tcW w:w="1183" w:type="dxa"/>
            <w:noWrap w:val="0"/>
            <w:vAlign w:val="center"/>
          </w:tcPr>
          <w:p>
            <w:pPr>
              <w:rPr>
                <w:rFonts w:hint="eastAsia" w:ascii="仿宋" w:hAnsi="仿宋" w:eastAsia="仿宋" w:cs="仿宋"/>
                <w:color w:val="auto"/>
                <w:sz w:val="24"/>
                <w:highlight w:val="none"/>
              </w:rPr>
            </w:pPr>
          </w:p>
        </w:tc>
        <w:tc>
          <w:tcPr>
            <w:tcW w:w="1227" w:type="dxa"/>
            <w:noWrap w:val="0"/>
            <w:vAlign w:val="center"/>
          </w:tcPr>
          <w:p>
            <w:pPr>
              <w:rPr>
                <w:rFonts w:hint="eastAsia" w:ascii="仿宋" w:hAnsi="仿宋" w:eastAsia="仿宋" w:cs="仿宋"/>
                <w:color w:val="auto"/>
                <w:sz w:val="24"/>
                <w:highlight w:val="none"/>
              </w:rPr>
            </w:pPr>
          </w:p>
        </w:tc>
        <w:tc>
          <w:tcPr>
            <w:tcW w:w="1559" w:type="dxa"/>
            <w:noWrap w:val="0"/>
            <w:vAlign w:val="center"/>
          </w:tcPr>
          <w:p>
            <w:pPr>
              <w:rPr>
                <w:rFonts w:hint="eastAsia" w:ascii="仿宋" w:hAnsi="仿宋" w:eastAsia="仿宋" w:cs="仿宋"/>
                <w:color w:val="auto"/>
                <w:sz w:val="24"/>
                <w:highlight w:val="none"/>
              </w:rPr>
            </w:pPr>
          </w:p>
        </w:tc>
        <w:tc>
          <w:tcPr>
            <w:tcW w:w="851" w:type="dxa"/>
            <w:noWrap w:val="0"/>
            <w:vAlign w:val="center"/>
          </w:tcPr>
          <w:p>
            <w:pPr>
              <w:rPr>
                <w:rFonts w:hint="eastAsia" w:ascii="仿宋" w:hAnsi="仿宋" w:eastAsia="仿宋" w:cs="仿宋"/>
                <w:color w:val="auto"/>
                <w:sz w:val="24"/>
                <w:highlight w:val="none"/>
              </w:rPr>
            </w:pPr>
          </w:p>
        </w:tc>
        <w:tc>
          <w:tcPr>
            <w:tcW w:w="1134" w:type="dxa"/>
            <w:noWrap w:val="0"/>
            <w:vAlign w:val="center"/>
          </w:tcPr>
          <w:p>
            <w:pPr>
              <w:rPr>
                <w:rFonts w:hint="eastAsia" w:ascii="仿宋" w:hAnsi="仿宋" w:eastAsia="仿宋" w:cs="仿宋"/>
                <w:color w:val="auto"/>
                <w:sz w:val="24"/>
                <w:highlight w:val="none"/>
              </w:rPr>
            </w:pPr>
          </w:p>
        </w:tc>
        <w:tc>
          <w:tcPr>
            <w:tcW w:w="1821" w:type="dxa"/>
            <w:noWrap w:val="0"/>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2992" w:type="dxa"/>
            <w:gridSpan w:val="2"/>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合计</w:t>
            </w:r>
          </w:p>
        </w:tc>
        <w:tc>
          <w:tcPr>
            <w:tcW w:w="6592" w:type="dxa"/>
            <w:gridSpan w:val="5"/>
            <w:noWrap w:val="0"/>
            <w:vAlign w:val="top"/>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r>
    </w:tbl>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注：此表可以根据需要自行增减行数。</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法定代表人（负责人）或授权代表签字：</w:t>
      </w:r>
    </w:p>
    <w:p>
      <w:pPr>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210"/>
        <w:rPr>
          <w:rFonts w:hint="eastAsia" w:ascii="仿宋" w:hAnsi="仿宋" w:eastAsia="仿宋" w:cs="仿宋"/>
          <w:color w:val="auto"/>
          <w:highlight w:val="none"/>
        </w:rPr>
      </w:pPr>
    </w:p>
    <w:p>
      <w:pPr>
        <w:pStyle w:val="14"/>
        <w:ind w:firstLine="0" w:firstLineChars="0"/>
        <w:rPr>
          <w:rFonts w:hint="eastAsia" w:ascii="仿宋" w:hAnsi="仿宋" w:eastAsia="仿宋" w:cs="仿宋"/>
          <w:color w:val="auto"/>
          <w:highlight w:val="none"/>
        </w:rPr>
      </w:pPr>
    </w:p>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技术参数、功能、配置响应及偏离表</w:t>
      </w:r>
    </w:p>
    <w:p>
      <w:pPr>
        <w:autoSpaceDE w:val="0"/>
        <w:autoSpaceDN w:val="0"/>
        <w:adjustRightInd w:val="0"/>
        <w:spacing w:line="360" w:lineRule="exact"/>
        <w:ind w:firstLine="480" w:firstLineChars="20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（须与招标文件采购需求点对点应答）</w:t>
      </w:r>
    </w:p>
    <w:p>
      <w:pPr>
        <w:pStyle w:val="14"/>
        <w:ind w:firstLine="210"/>
        <w:rPr>
          <w:rFonts w:hint="eastAsia" w:ascii="仿宋" w:hAnsi="仿宋" w:eastAsia="仿宋" w:cs="仿宋"/>
          <w:color w:val="auto"/>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投标人全称（加盖公章）：        </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6"/>
        <w:gridCol w:w="2685"/>
        <w:gridCol w:w="1725"/>
        <w:gridCol w:w="1365"/>
        <w:gridCol w:w="24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标的名称</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投标参数、功能、配置</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招标文件要求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是否响应</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ind w:left="43"/>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ind w:left="43"/>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highlight w:val="none"/>
              </w:rPr>
            </w:pPr>
          </w:p>
          <w:p>
            <w:pPr>
              <w:snapToGrid w:val="0"/>
              <w:spacing w:beforeLines="50"/>
              <w:jc w:val="center"/>
              <w:rPr>
                <w:rFonts w:hint="eastAsia" w:ascii="仿宋" w:hAnsi="仿宋" w:eastAsia="仿宋" w:cs="仿宋"/>
                <w:color w:val="auto"/>
                <w:sz w:val="24"/>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highlight w:val="none"/>
              </w:rPr>
            </w:pPr>
          </w:p>
          <w:p>
            <w:pPr>
              <w:snapToGrid w:val="0"/>
              <w:spacing w:beforeLines="50"/>
              <w:jc w:val="center"/>
              <w:rPr>
                <w:rFonts w:hint="eastAsia" w:ascii="仿宋" w:hAnsi="仿宋" w:eastAsia="仿宋" w:cs="仿宋"/>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ind w:left="43"/>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ind w:left="43"/>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highlight w:val="none"/>
              </w:rPr>
            </w:pPr>
          </w:p>
          <w:p>
            <w:pPr>
              <w:snapToGrid w:val="0"/>
              <w:spacing w:beforeLines="50"/>
              <w:jc w:val="center"/>
              <w:rPr>
                <w:rFonts w:hint="eastAsia" w:ascii="仿宋" w:hAnsi="仿宋" w:eastAsia="仿宋" w:cs="仿宋"/>
                <w:color w:val="auto"/>
                <w:sz w:val="24"/>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highlight w:val="none"/>
              </w:rPr>
            </w:pPr>
          </w:p>
          <w:p>
            <w:pPr>
              <w:snapToGrid w:val="0"/>
              <w:spacing w:beforeLines="50"/>
              <w:jc w:val="center"/>
              <w:rPr>
                <w:rFonts w:hint="eastAsia" w:ascii="仿宋" w:hAnsi="仿宋" w:eastAsia="仿宋" w:cs="仿宋"/>
                <w:color w:val="auto"/>
                <w:sz w:val="24"/>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ind w:left="43"/>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ind w:left="43"/>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p>
            <w:pPr>
              <w:snapToGrid w:val="0"/>
              <w:spacing w:beforeLines="50"/>
              <w:jc w:val="center"/>
              <w:rPr>
                <w:rFonts w:hint="eastAsia" w:ascii="仿宋" w:hAnsi="仿宋" w:eastAsia="仿宋" w:cs="仿宋"/>
                <w:color w:val="auto"/>
                <w:sz w:val="24"/>
                <w:szCs w:val="20"/>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szCs w:val="20"/>
                <w:highlight w:val="none"/>
              </w:rPr>
            </w:pPr>
          </w:p>
          <w:p>
            <w:pPr>
              <w:snapToGrid w:val="0"/>
              <w:spacing w:beforeLines="50"/>
              <w:jc w:val="center"/>
              <w:rPr>
                <w:rFonts w:hint="eastAsia" w:ascii="仿宋" w:hAnsi="仿宋" w:eastAsia="仿宋" w:cs="仿宋"/>
                <w:color w:val="auto"/>
                <w:sz w:val="24"/>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hint="eastAsia" w:ascii="仿宋" w:hAnsi="仿宋" w:eastAsia="仿宋" w:cs="仿宋"/>
                <w:color w:val="auto"/>
                <w:sz w:val="24"/>
                <w:szCs w:val="20"/>
                <w:highlight w:val="none"/>
              </w:rPr>
            </w:pPr>
          </w:p>
        </w:tc>
      </w:tr>
    </w:tbl>
    <w:p>
      <w:pP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注：此表可以根据需要自行增减行数。</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法定代表人（负责人）或授权代表签字：</w:t>
      </w:r>
    </w:p>
    <w:p>
      <w:pPr>
        <w:snapToGrid w:val="0"/>
        <w:spacing w:before="50" w:after="50"/>
        <w:jc w:val="center"/>
        <w:rPr>
          <w:rFonts w:hint="eastAsia" w:ascii="仿宋" w:hAnsi="仿宋" w:eastAsia="仿宋" w:cs="仿宋"/>
          <w:color w:val="auto"/>
          <w:sz w:val="32"/>
          <w:szCs w:val="32"/>
          <w:highlight w:val="none"/>
        </w:rPr>
      </w:pPr>
    </w:p>
    <w:p>
      <w:pPr>
        <w:snapToGrid w:val="0"/>
        <w:spacing w:before="50" w:after="50"/>
        <w:jc w:val="center"/>
        <w:rPr>
          <w:rFonts w:hint="eastAsia" w:ascii="仿宋" w:hAnsi="仿宋" w:eastAsia="仿宋" w:cs="仿宋"/>
          <w:color w:val="auto"/>
          <w:sz w:val="32"/>
          <w:szCs w:val="32"/>
          <w:highlight w:val="none"/>
        </w:rPr>
      </w:pPr>
    </w:p>
    <w:p>
      <w:pPr>
        <w:snapToGrid w:val="0"/>
        <w:spacing w:before="50" w:after="50"/>
        <w:jc w:val="center"/>
        <w:rPr>
          <w:rFonts w:hint="eastAsia" w:ascii="仿宋" w:hAnsi="仿宋" w:eastAsia="仿宋" w:cs="仿宋"/>
          <w:color w:val="auto"/>
          <w:sz w:val="32"/>
          <w:szCs w:val="32"/>
          <w:highlight w:val="none"/>
        </w:rPr>
      </w:pPr>
    </w:p>
    <w:p>
      <w:pPr>
        <w:snapToGrid w:val="0"/>
        <w:spacing w:before="50" w:after="50"/>
        <w:jc w:val="center"/>
        <w:rPr>
          <w:rFonts w:hint="eastAsia" w:ascii="仿宋" w:hAnsi="仿宋" w:eastAsia="仿宋" w:cs="仿宋"/>
          <w:color w:val="auto"/>
          <w:sz w:val="32"/>
          <w:szCs w:val="32"/>
          <w:highlight w:val="none"/>
        </w:rPr>
      </w:pPr>
    </w:p>
    <w:p>
      <w:pPr>
        <w:snapToGrid w:val="0"/>
        <w:spacing w:before="50" w:after="50"/>
        <w:jc w:val="center"/>
        <w:rPr>
          <w:rFonts w:hint="eastAsia" w:ascii="仿宋" w:hAnsi="仿宋" w:eastAsia="仿宋" w:cs="仿宋"/>
          <w:color w:val="auto"/>
          <w:sz w:val="32"/>
          <w:szCs w:val="32"/>
          <w:highlight w:val="none"/>
        </w:rPr>
      </w:pPr>
    </w:p>
    <w:p>
      <w:pPr>
        <w:snapToGrid w:val="0"/>
        <w:spacing w:before="50" w:after="50"/>
        <w:jc w:val="center"/>
        <w:rPr>
          <w:rFonts w:hint="eastAsia" w:ascii="仿宋" w:hAnsi="仿宋" w:eastAsia="仿宋" w:cs="仿宋"/>
          <w:color w:val="auto"/>
          <w:sz w:val="32"/>
          <w:szCs w:val="32"/>
          <w:highlight w:val="none"/>
        </w:rPr>
      </w:pPr>
    </w:p>
    <w:p>
      <w:pPr>
        <w:snapToGrid w:val="0"/>
        <w:spacing w:before="50" w:after="50"/>
        <w:jc w:val="center"/>
        <w:rPr>
          <w:rFonts w:hint="eastAsia" w:ascii="仿宋" w:hAnsi="仿宋" w:eastAsia="仿宋" w:cs="仿宋"/>
          <w:color w:val="auto"/>
          <w:sz w:val="24"/>
          <w:szCs w:val="24"/>
          <w:highlight w:val="none"/>
        </w:rPr>
      </w:pPr>
      <w:r>
        <w:rPr>
          <w:rFonts w:hint="eastAsia" w:ascii="仿宋" w:hAnsi="仿宋" w:eastAsia="仿宋" w:cs="仿宋"/>
          <w:color w:val="auto"/>
          <w:sz w:val="32"/>
          <w:szCs w:val="32"/>
          <w:highlight w:val="none"/>
        </w:rPr>
        <w:br w:type="page"/>
      </w:r>
      <w:r>
        <w:rPr>
          <w:rFonts w:hint="eastAsia" w:ascii="仿宋" w:hAnsi="仿宋" w:eastAsia="仿宋" w:cs="仿宋"/>
          <w:b/>
          <w:bCs/>
          <w:color w:val="auto"/>
          <w:sz w:val="32"/>
          <w:szCs w:val="32"/>
          <w:highlight w:val="none"/>
        </w:rPr>
        <w:t>九、</w:t>
      </w:r>
      <w:bookmarkStart w:id="486" w:name="_Toc19498"/>
      <w:r>
        <w:rPr>
          <w:rFonts w:hint="eastAsia" w:ascii="仿宋" w:hAnsi="仿宋" w:eastAsia="仿宋" w:cs="仿宋"/>
          <w:b/>
          <w:bCs/>
          <w:color w:val="auto"/>
          <w:sz w:val="32"/>
          <w:szCs w:val="32"/>
          <w:highlight w:val="none"/>
        </w:rPr>
        <w:t>盐城市大丰区政府招标采购供应商承诺书</w:t>
      </w:r>
      <w:bookmarkEnd w:id="486"/>
    </w:p>
    <w:p>
      <w:pPr>
        <w:spacing w:line="360" w:lineRule="auto"/>
        <w:ind w:firstLine="480" w:firstLineChars="200"/>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为营造公开、公平、公正、诚实守信的政府招标采购交易环境，树立诚信守法的投标人形象，本单位参加政府招标采购项目：</w:t>
      </w:r>
      <w:r>
        <w:rPr>
          <w:rFonts w:hint="eastAsia" w:ascii="仿宋" w:hAnsi="仿宋" w:eastAsia="仿宋" w:cs="仿宋"/>
          <w:color w:val="auto"/>
          <w:sz w:val="24"/>
          <w:highlight w:val="none"/>
          <w:u w:val="single"/>
        </w:rPr>
        <w:t xml:space="preserve">                                       </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的招标采购活动，本人代表本单位作出以下承诺：</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（三）严格依照国家和省、市关于政府招标采购的法律、法规、规章、规范性文件，参加政府招标采购的投标活动；积极履行社会责任，促进廉政建设； </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（四）严格遵守即时信息公示规定，及时维护和更新盐城市政府采购网、公共资源交易平台中与本单位相关的信息；</w:t>
      </w:r>
    </w:p>
    <w:p>
      <w:pPr>
        <w:spacing w:line="360" w:lineRule="auto"/>
        <w:ind w:firstLine="36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360" w:lineRule="auto"/>
        <w:ind w:firstLine="36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（六）自觉接受政府、行业组织、社会公众、新闻舆论的监督；</w:t>
      </w:r>
    </w:p>
    <w:p>
      <w:pPr>
        <w:spacing w:line="360" w:lineRule="auto"/>
        <w:ind w:firstLine="36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360" w:lineRule="auto"/>
        <w:ind w:firstLine="36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（八）本人已认真阅读了上述承诺，并向本单位员工作了宣传教育。</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法定代表人签名：                            单位名称（盖章）：</w:t>
      </w:r>
    </w:p>
    <w:p>
      <w:pPr>
        <w:spacing w:line="360" w:lineRule="auto"/>
        <w:ind w:firstLine="6720" w:firstLineChars="2800"/>
        <w:jc w:val="left"/>
        <w:rPr>
          <w:rFonts w:hint="eastAsia" w:ascii="仿宋" w:hAnsi="仿宋" w:eastAsia="仿宋" w:cs="仿宋"/>
          <w:color w:val="auto"/>
          <w:sz w:val="32"/>
          <w:szCs w:val="32"/>
          <w:highlight w:val="none"/>
        </w:rPr>
      </w:pPr>
      <w:r>
        <w:rPr>
          <w:rFonts w:hint="eastAsia" w:ascii="仿宋" w:hAnsi="仿宋" w:eastAsia="仿宋" w:cs="仿宋"/>
          <w:color w:val="auto"/>
          <w:sz w:val="24"/>
          <w:highlight w:val="none"/>
        </w:rPr>
        <w:t>年    月    日</w:t>
      </w:r>
    </w:p>
    <w:p>
      <w:pPr>
        <w:spacing w:line="520" w:lineRule="exact"/>
        <w:ind w:left="-1075" w:leftChars="-512" w:firstLine="480" w:firstLineChars="200"/>
        <w:rPr>
          <w:rFonts w:hint="eastAsia" w:ascii="仿宋" w:hAnsi="仿宋" w:eastAsia="仿宋" w:cs="仿宋"/>
          <w:color w:val="auto"/>
          <w:sz w:val="24"/>
          <w:highlight w:val="none"/>
        </w:rPr>
      </w:pPr>
    </w:p>
    <w:sectPr>
      <w:headerReference r:id="rId3" w:type="default"/>
      <w:footerReference r:id="rId4" w:type="default"/>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jc w:val="center"/>
                          </w:pPr>
                          <w:r>
                            <w:fldChar w:fldCharType="begin"/>
                          </w:r>
                          <w:r>
                            <w:instrText xml:space="preserve"> PAGE  \* MERGEFORMAT </w:instrText>
                          </w:r>
                          <w:r>
                            <w:fldChar w:fldCharType="separate"/>
                          </w:r>
                          <w:r>
                            <w:t>51</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GmCS9MAAAAFAQAA&#10;DwAAAAAAAAABACAAAAAiAAAAZHJzL2Rvd25yZXYueG1sUEsBAhQAFAAAAAgAh07iQIUlV/zlAQAA&#10;ygMAAA4AAAAAAAAAAQAgAAAAIgEAAGRycy9lMm9Eb2MueG1sUEsFBgAAAAAGAAYAWQEAAHkFAAAA&#10;AA==&#10;">
              <v:fill on="f" focussize="0,0"/>
              <v:stroke on="f" weight="1.25pt"/>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EEBBD"/>
    <w:multiLevelType w:val="singleLevel"/>
    <w:tmpl w:val="8EAEEBBD"/>
    <w:lvl w:ilvl="0" w:tentative="0">
      <w:start w:val="6"/>
      <w:numFmt w:val="chineseCounting"/>
      <w:suff w:val="nothing"/>
      <w:lvlText w:val="%1、"/>
      <w:lvlJc w:val="left"/>
      <w:rPr>
        <w:rFonts w:hint="eastAsia"/>
      </w:rPr>
    </w:lvl>
  </w:abstractNum>
  <w:abstractNum w:abstractNumId="1">
    <w:nsid w:val="E0F0DDD6"/>
    <w:multiLevelType w:val="singleLevel"/>
    <w:tmpl w:val="E0F0DDD6"/>
    <w:lvl w:ilvl="0" w:tentative="0">
      <w:start w:val="2"/>
      <w:numFmt w:val="decimal"/>
      <w:suff w:val="nothing"/>
      <w:lvlText w:val="（%1）"/>
      <w:lvlJc w:val="left"/>
    </w:lvl>
  </w:abstractNum>
  <w:abstractNum w:abstractNumId="2">
    <w:nsid w:val="23CA3DFE"/>
    <w:multiLevelType w:val="singleLevel"/>
    <w:tmpl w:val="23CA3DFE"/>
    <w:lvl w:ilvl="0" w:tentative="0">
      <w:start w:val="1"/>
      <w:numFmt w:val="decimal"/>
      <w:lvlText w:val="%1、"/>
      <w:lvlJc w:val="left"/>
      <w:pPr>
        <w:tabs>
          <w:tab w:val="left" w:pos="480"/>
        </w:tabs>
        <w:ind w:left="480" w:hanging="480"/>
      </w:pPr>
    </w:lvl>
  </w:abstractNum>
  <w:abstractNum w:abstractNumId="3">
    <w:nsid w:val="526609CF"/>
    <w:multiLevelType w:val="singleLevel"/>
    <w:tmpl w:val="526609CF"/>
    <w:lvl w:ilvl="0" w:tentative="0">
      <w:start w:val="3"/>
      <w:numFmt w:val="chineseCounting"/>
      <w:suff w:val="nothing"/>
      <w:lvlText w:val="%1、"/>
      <w:lvlJc w:val="left"/>
      <w:rPr>
        <w:rFonts w:hint="eastAsia"/>
      </w:rPr>
    </w:lvl>
  </w:abstractNum>
  <w:abstractNum w:abstractNumId="4">
    <w:nsid w:val="54191AD3"/>
    <w:multiLevelType w:val="singleLevel"/>
    <w:tmpl w:val="54191AD3"/>
    <w:lvl w:ilvl="0" w:tentative="0">
      <w:start w:val="1"/>
      <w:numFmt w:val="decimal"/>
      <w:suff w:val="nothing"/>
      <w:lvlText w:val="%1、"/>
      <w:lvlJc w:val="left"/>
    </w:lvl>
  </w:abstractNum>
  <w:abstractNum w:abstractNumId="5">
    <w:nsid w:val="553C4588"/>
    <w:multiLevelType w:val="singleLevel"/>
    <w:tmpl w:val="553C4588"/>
    <w:lvl w:ilvl="0" w:tentative="0">
      <w:start w:val="1"/>
      <w:numFmt w:val="decimal"/>
      <w:lvlText w:val="(%1)"/>
      <w:lvlJc w:val="left"/>
      <w:pPr>
        <w:ind w:left="425" w:hanging="425"/>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MjRmNTcwNGY1NjIwNDVlYTZiZTgyNmEzZjEzNjAifQ=="/>
  </w:docVars>
  <w:rsids>
    <w:rsidRoot w:val="25AF77A3"/>
    <w:rsid w:val="000066CB"/>
    <w:rsid w:val="00015708"/>
    <w:rsid w:val="001444C7"/>
    <w:rsid w:val="0026657E"/>
    <w:rsid w:val="002A5D76"/>
    <w:rsid w:val="00322456"/>
    <w:rsid w:val="003470B7"/>
    <w:rsid w:val="0036744D"/>
    <w:rsid w:val="003D0358"/>
    <w:rsid w:val="0043517E"/>
    <w:rsid w:val="004423F6"/>
    <w:rsid w:val="004C02A3"/>
    <w:rsid w:val="009B273A"/>
    <w:rsid w:val="009C054C"/>
    <w:rsid w:val="00A408F7"/>
    <w:rsid w:val="00A57FF4"/>
    <w:rsid w:val="00A60B6E"/>
    <w:rsid w:val="00B16B67"/>
    <w:rsid w:val="00BD1756"/>
    <w:rsid w:val="00BD5CE3"/>
    <w:rsid w:val="00BF202A"/>
    <w:rsid w:val="00CD0AC7"/>
    <w:rsid w:val="00D765AE"/>
    <w:rsid w:val="00DB2C20"/>
    <w:rsid w:val="00DC4A0E"/>
    <w:rsid w:val="00E119A5"/>
    <w:rsid w:val="00E3454A"/>
    <w:rsid w:val="00F01799"/>
    <w:rsid w:val="00F81D06"/>
    <w:rsid w:val="0176597C"/>
    <w:rsid w:val="06163BD1"/>
    <w:rsid w:val="06A31934"/>
    <w:rsid w:val="08031F3F"/>
    <w:rsid w:val="093F7248"/>
    <w:rsid w:val="097529BD"/>
    <w:rsid w:val="09D65B51"/>
    <w:rsid w:val="0DF21858"/>
    <w:rsid w:val="10376C1E"/>
    <w:rsid w:val="108C51BC"/>
    <w:rsid w:val="13325F99"/>
    <w:rsid w:val="1609105D"/>
    <w:rsid w:val="182771F0"/>
    <w:rsid w:val="193E726F"/>
    <w:rsid w:val="19D11E91"/>
    <w:rsid w:val="1BD73063"/>
    <w:rsid w:val="1C817B9F"/>
    <w:rsid w:val="1CB6711D"/>
    <w:rsid w:val="1E5D0198"/>
    <w:rsid w:val="1FA3460F"/>
    <w:rsid w:val="21CA5B44"/>
    <w:rsid w:val="22E569AE"/>
    <w:rsid w:val="25755DC7"/>
    <w:rsid w:val="25AF77A3"/>
    <w:rsid w:val="2823179D"/>
    <w:rsid w:val="2889399B"/>
    <w:rsid w:val="2B993CAD"/>
    <w:rsid w:val="31E340B8"/>
    <w:rsid w:val="3B4534E1"/>
    <w:rsid w:val="3EBF0647"/>
    <w:rsid w:val="40322DDA"/>
    <w:rsid w:val="42731271"/>
    <w:rsid w:val="42902CE7"/>
    <w:rsid w:val="44406DAA"/>
    <w:rsid w:val="45561319"/>
    <w:rsid w:val="46AE6F33"/>
    <w:rsid w:val="47501D98"/>
    <w:rsid w:val="481A105A"/>
    <w:rsid w:val="4E8E6616"/>
    <w:rsid w:val="50025BF9"/>
    <w:rsid w:val="55A817C3"/>
    <w:rsid w:val="56F40992"/>
    <w:rsid w:val="58FC1D80"/>
    <w:rsid w:val="5BDE751B"/>
    <w:rsid w:val="5FCA04E2"/>
    <w:rsid w:val="654A5C21"/>
    <w:rsid w:val="6AC81AC2"/>
    <w:rsid w:val="6B1B7E43"/>
    <w:rsid w:val="6CA33B4D"/>
    <w:rsid w:val="6D8A0CFE"/>
    <w:rsid w:val="6E20323A"/>
    <w:rsid w:val="6EAD34A8"/>
    <w:rsid w:val="71364B7F"/>
    <w:rsid w:val="71900E5F"/>
    <w:rsid w:val="74085625"/>
    <w:rsid w:val="7D4E4321"/>
    <w:rsid w:val="7DD22E64"/>
    <w:rsid w:val="7F637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spacing w:before="340" w:after="330" w:line="576" w:lineRule="auto"/>
      <w:jc w:val="center"/>
      <w:outlineLvl w:val="0"/>
    </w:pPr>
    <w:rPr>
      <w:b/>
      <w:bCs/>
      <w:kern w:val="44"/>
      <w:sz w:val="44"/>
      <w:szCs w:val="44"/>
    </w:rPr>
  </w:style>
  <w:style w:type="paragraph" w:styleId="4">
    <w:name w:val="heading 2"/>
    <w:basedOn w:val="1"/>
    <w:next w:val="1"/>
    <w:link w:val="21"/>
    <w:autoRedefine/>
    <w:qFormat/>
    <w:uiPriority w:val="9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99"/>
    <w:pPr>
      <w:keepNext/>
      <w:keepLines/>
      <w:spacing w:before="20" w:after="20" w:line="415" w:lineRule="auto"/>
      <w:ind w:firstLine="137" w:firstLineChars="49"/>
      <w:outlineLvl w:val="2"/>
    </w:pPr>
    <w:rPr>
      <w:rFonts w:hAnsi="黑体" w:eastAsia="黑体"/>
      <w:sz w:val="24"/>
      <w:szCs w:val="20"/>
    </w:rPr>
  </w:style>
  <w:style w:type="character" w:default="1" w:styleId="17">
    <w:name w:val="Default Paragraph Font"/>
    <w:unhideWhenUsed/>
    <w:qFormat/>
    <w:uiPriority w:val="1"/>
  </w:style>
  <w:style w:type="table" w:default="1" w:styleId="16">
    <w:name w:val="Normal Table"/>
    <w:autoRedefine/>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ind w:firstLine="480"/>
    </w:pPr>
    <w:rPr>
      <w:szCs w:val="20"/>
      <w:lang w:val="zh-CN"/>
    </w:rPr>
  </w:style>
  <w:style w:type="paragraph" w:styleId="6">
    <w:name w:val="Normal Indent"/>
    <w:basedOn w:val="1"/>
    <w:autoRedefine/>
    <w:qFormat/>
    <w:uiPriority w:val="99"/>
    <w:pPr>
      <w:ind w:firstLine="420"/>
    </w:pPr>
    <w:rPr>
      <w:b/>
      <w:sz w:val="24"/>
      <w:szCs w:val="20"/>
    </w:rPr>
  </w:style>
  <w:style w:type="paragraph" w:styleId="7">
    <w:name w:val="Body Text"/>
    <w:basedOn w:val="1"/>
    <w:next w:val="1"/>
    <w:autoRedefine/>
    <w:qFormat/>
    <w:uiPriority w:val="0"/>
    <w:pPr>
      <w:spacing w:after="120"/>
    </w:pPr>
  </w:style>
  <w:style w:type="paragraph" w:styleId="8">
    <w:name w:val="Body Text Indent"/>
    <w:basedOn w:val="1"/>
    <w:autoRedefine/>
    <w:qFormat/>
    <w:uiPriority w:val="0"/>
    <w:pPr>
      <w:spacing w:line="360" w:lineRule="auto"/>
      <w:ind w:firstLine="420"/>
    </w:pPr>
    <w:rPr>
      <w:rFonts w:ascii="宋体"/>
      <w:sz w:val="24"/>
      <w:szCs w:val="20"/>
    </w:rPr>
  </w:style>
  <w:style w:type="paragraph" w:styleId="9">
    <w:name w:val="Plain Text"/>
    <w:basedOn w:val="1"/>
    <w:link w:val="22"/>
    <w:autoRedefine/>
    <w:qFormat/>
    <w:uiPriority w:val="0"/>
    <w:pPr>
      <w:snapToGrid w:val="0"/>
      <w:spacing w:line="400" w:lineRule="exact"/>
      <w:ind w:firstLine="420" w:firstLineChars="200"/>
    </w:pPr>
    <w:rPr>
      <w:rFonts w:ascii="宋体" w:hAnsi="宋体" w:cs="宋体"/>
      <w:szCs w:val="21"/>
    </w:rPr>
  </w:style>
  <w:style w:type="paragraph" w:styleId="10">
    <w:name w:val="footer"/>
    <w:basedOn w:val="1"/>
    <w:autoRedefine/>
    <w:qFormat/>
    <w:uiPriority w:val="99"/>
    <w:pPr>
      <w:tabs>
        <w:tab w:val="center" w:pos="4153"/>
        <w:tab w:val="right" w:pos="8306"/>
      </w:tabs>
      <w:snapToGrid w:val="0"/>
      <w:jc w:val="left"/>
    </w:pPr>
    <w:rPr>
      <w:sz w:val="18"/>
      <w:szCs w:val="20"/>
    </w:rPr>
  </w:style>
  <w:style w:type="paragraph" w:styleId="11">
    <w:name w:val="envelope return"/>
    <w:basedOn w:val="1"/>
    <w:autoRedefine/>
    <w:qFormat/>
    <w:uiPriority w:val="0"/>
    <w:pPr>
      <w:snapToGrid w:val="0"/>
      <w:spacing w:line="360" w:lineRule="auto"/>
      <w:ind w:firstLine="200" w:firstLineChars="200"/>
    </w:pPr>
    <w:rPr>
      <w:rFonts w:ascii="Arial" w:hAnsi="Arial" w:eastAsia="仿宋_GB2312" w:cs="Arial"/>
      <w:sz w:val="24"/>
    </w:rPr>
  </w:style>
  <w:style w:type="paragraph" w:styleId="12">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w:basedOn w:val="1"/>
    <w:autoRedefine/>
    <w:unhideWhenUsed/>
    <w:qFormat/>
    <w:uiPriority w:val="99"/>
    <w:pPr>
      <w:ind w:firstLine="420" w:firstLineChars="100"/>
    </w:pPr>
  </w:style>
  <w:style w:type="paragraph" w:styleId="15">
    <w:name w:val="Body Text First Indent 2"/>
    <w:basedOn w:val="8"/>
    <w:autoRedefine/>
    <w:unhideWhenUsed/>
    <w:qFormat/>
    <w:uiPriority w:val="0"/>
    <w:pPr>
      <w:spacing w:after="120" w:line="240" w:lineRule="auto"/>
      <w:ind w:left="420" w:leftChars="200" w:firstLine="200" w:firstLineChars="200"/>
    </w:pPr>
    <w:rPr>
      <w:rFonts w:ascii="仿宋_GB2312" w:eastAsia="仿宋_GB2312"/>
    </w:rPr>
  </w:style>
  <w:style w:type="character" w:styleId="18">
    <w:name w:val="page number"/>
    <w:autoRedefine/>
    <w:qFormat/>
    <w:uiPriority w:val="0"/>
  </w:style>
  <w:style w:type="paragraph" w:customStyle="1" w:styleId="19">
    <w:name w:val="Default"/>
    <w:autoRedefine/>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20">
    <w:name w:val="标题 1 Char"/>
    <w:link w:val="3"/>
    <w:autoRedefine/>
    <w:qFormat/>
    <w:uiPriority w:val="0"/>
    <w:rPr>
      <w:b/>
      <w:bCs/>
      <w:kern w:val="44"/>
      <w:sz w:val="44"/>
      <w:szCs w:val="44"/>
    </w:rPr>
  </w:style>
  <w:style w:type="character" w:customStyle="1" w:styleId="21">
    <w:name w:val="标题 2 Char"/>
    <w:link w:val="4"/>
    <w:autoRedefine/>
    <w:qFormat/>
    <w:uiPriority w:val="99"/>
    <w:rPr>
      <w:rFonts w:ascii="Arial" w:hAnsi="Arial" w:eastAsia="黑体"/>
      <w:b/>
      <w:bCs/>
      <w:sz w:val="32"/>
      <w:szCs w:val="32"/>
    </w:rPr>
  </w:style>
  <w:style w:type="character" w:customStyle="1" w:styleId="22">
    <w:name w:val="纯文本 Char"/>
    <w:link w:val="9"/>
    <w:autoRedefine/>
    <w:qFormat/>
    <w:uiPriority w:val="0"/>
    <w:rPr>
      <w:rFonts w:ascii="宋体" w:hAnsi="宋体" w:cs="宋体"/>
      <w:kern w:val="2"/>
      <w:sz w:val="21"/>
      <w:szCs w:val="21"/>
    </w:rPr>
  </w:style>
  <w:style w:type="character" w:customStyle="1" w:styleId="23">
    <w:name w:val="页眉 Char"/>
    <w:basedOn w:val="17"/>
    <w:link w:val="12"/>
    <w:autoRedefine/>
    <w:qFormat/>
    <w:uiPriority w:val="0"/>
    <w:rPr>
      <w:kern w:val="2"/>
      <w:sz w:val="18"/>
      <w:szCs w:val="18"/>
    </w:rPr>
  </w:style>
  <w:style w:type="paragraph" w:customStyle="1" w:styleId="24">
    <w:name w:val="样式 标题 2 + 黑色 行距: 1.5 倍行距"/>
    <w:basedOn w:val="4"/>
    <w:autoRedefine/>
    <w:qFormat/>
    <w:uiPriority w:val="0"/>
    <w:pPr>
      <w:spacing w:line="360" w:lineRule="auto"/>
    </w:pPr>
    <w:rPr>
      <w:rFonts w:eastAsia="宋体" w:cs="宋体"/>
      <w:color w:val="000000"/>
    </w:rPr>
  </w:style>
  <w:style w:type="paragraph" w:customStyle="1" w:styleId="25">
    <w:name w:val="Table Paragraph"/>
    <w:basedOn w:val="1"/>
    <w:autoRedefine/>
    <w:qFormat/>
    <w:uiPriority w:val="1"/>
    <w:pPr>
      <w:jc w:val="left"/>
    </w:pPr>
    <w:rPr>
      <w:rFonts w:ascii="等线" w:hAnsi="等线" w:eastAsia="等线"/>
      <w:kern w:val="0"/>
      <w:sz w:val="22"/>
      <w:szCs w:val="22"/>
      <w:lang w:eastAsia="en-US"/>
    </w:rPr>
  </w:style>
  <w:style w:type="paragraph" w:customStyle="1" w:styleId="26">
    <w:name w:val="纯文本2"/>
    <w:basedOn w:val="1"/>
    <w:autoRedefine/>
    <w:qFormat/>
    <w:uiPriority w:val="0"/>
    <w:rPr>
      <w:rFonts w:ascii="宋体" w:hAnsi="Courier New"/>
      <w:sz w:val="28"/>
    </w:rPr>
  </w:style>
  <w:style w:type="paragraph" w:customStyle="1" w:styleId="27">
    <w:name w:val="纯文本1"/>
    <w:basedOn w:val="1"/>
    <w:autoRedefine/>
    <w:qFormat/>
    <w:uiPriority w:val="0"/>
    <w:rPr>
      <w:rFonts w:ascii="宋体" w:hAnsi="Courier New"/>
      <w:sz w:val="28"/>
    </w:rPr>
  </w:style>
  <w:style w:type="character" w:customStyle="1" w:styleId="28">
    <w:name w:val="正文文本 Char"/>
    <w:link w:val="29"/>
    <w:autoRedefine/>
    <w:qFormat/>
    <w:uiPriority w:val="0"/>
    <w:rPr>
      <w:sz w:val="28"/>
      <w:szCs w:val="24"/>
    </w:rPr>
  </w:style>
  <w:style w:type="paragraph" w:customStyle="1" w:styleId="29">
    <w:name w:val="正文文本1"/>
    <w:basedOn w:val="1"/>
    <w:next w:val="1"/>
    <w:link w:val="28"/>
    <w:autoRedefine/>
    <w:qFormat/>
    <w:uiPriority w:val="0"/>
    <w:pPr>
      <w:spacing w:after="120"/>
    </w:pPr>
    <w:rPr>
      <w:kern w:val="0"/>
      <w:sz w:val="28"/>
    </w:rPr>
  </w:style>
  <w:style w:type="paragraph" w:customStyle="1" w:styleId="30">
    <w:name w:val="列出段落1"/>
    <w:basedOn w:val="1"/>
    <w:autoRedefine/>
    <w:qFormat/>
    <w:uiPriority w:val="0"/>
    <w:pPr>
      <w:widowControl/>
      <w:ind w:left="720"/>
      <w:contextualSpacing/>
      <w:jc w:val="left"/>
    </w:pPr>
    <w:rPr>
      <w:rFonts w:ascii="Calibri" w:hAnsi="Calibri"/>
      <w:kern w:val="0"/>
      <w:sz w:val="24"/>
      <w:szCs w:val="24"/>
      <w:lang w:eastAsia="en-US" w:bidi="en-US"/>
    </w:rPr>
  </w:style>
  <w:style w:type="paragraph" w:customStyle="1" w:styleId="31">
    <w:name w:val="Char"/>
    <w:basedOn w:val="1"/>
    <w:autoRedefine/>
    <w:qFormat/>
    <w:uiPriority w:val="0"/>
    <w:pPr>
      <w:tabs>
        <w:tab w:val="left" w:pos="360"/>
      </w:tabs>
      <w:ind w:firstLine="200" w:firstLineChars="200"/>
    </w:pPr>
    <w:rPr>
      <w:sz w:val="28"/>
      <w:szCs w:val="30"/>
    </w:rPr>
  </w:style>
  <w:style w:type="paragraph" w:customStyle="1" w:styleId="32">
    <w:name w:val="普通正文"/>
    <w:basedOn w:val="1"/>
    <w:autoRedefine/>
    <w:qFormat/>
    <w:uiPriority w:val="99"/>
    <w:pPr>
      <w:adjustRightInd w:val="0"/>
      <w:spacing w:before="120" w:after="120" w:line="360" w:lineRule="auto"/>
      <w:ind w:firstLine="480"/>
      <w:jc w:val="left"/>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4671</Words>
  <Characters>26630</Characters>
  <Lines>221</Lines>
  <Paragraphs>62</Paragraphs>
  <TotalTime>18</TotalTime>
  <ScaleCrop>false</ScaleCrop>
  <LinksUpToDate>false</LinksUpToDate>
  <CharactersWithSpaces>31239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2024-03-04T01:32:00Z</dcterms:created>
  <dc:creator>刘小刘</dc:creator>
  <cp:lastModifiedBy>刘小刘</cp:lastModifiedBy>
  <dcterms:modified xsi:type="dcterms:W3CDTF">2024-04-15T09:04:09Z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896FE81F6F85429A91744C8922547E03_13</vt:lpwstr>
  </property>
</Properties>
</file>