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D5E1">
      <w:pPr>
        <w:spacing w:line="460" w:lineRule="exact"/>
        <w:jc w:val="center"/>
        <w:rPr>
          <w:rFonts w:hint="eastAsia" w:hAnsi="宋体" w:cs="Courier New"/>
          <w:sz w:val="36"/>
          <w:szCs w:val="36"/>
          <w:lang w:eastAsia="zh-CN"/>
        </w:rPr>
      </w:pPr>
      <w:r>
        <w:rPr>
          <w:rFonts w:hint="eastAsia" w:hAnsi="宋体" w:cs="Courier New"/>
          <w:sz w:val="36"/>
          <w:szCs w:val="36"/>
          <w:lang w:eastAsia="zh-CN"/>
        </w:rPr>
        <w:t>宿迁市宿城区清华名邸幼儿园附属工程</w:t>
      </w:r>
    </w:p>
    <w:p w14:paraId="111F9E54">
      <w:pPr>
        <w:spacing w:line="460" w:lineRule="exact"/>
        <w:jc w:val="center"/>
        <w:rPr>
          <w:rFonts w:hAnsi="宋体" w:cs="Courier New"/>
          <w:sz w:val="36"/>
          <w:szCs w:val="36"/>
        </w:rPr>
      </w:pPr>
      <w:r>
        <w:rPr>
          <w:rFonts w:hint="eastAsia" w:hAnsi="宋体" w:cs="Courier New"/>
          <w:sz w:val="36"/>
          <w:szCs w:val="36"/>
        </w:rPr>
        <w:t>编制说明</w:t>
      </w:r>
    </w:p>
    <w:p w14:paraId="13E34C30">
      <w:pPr>
        <w:spacing w:line="460" w:lineRule="exact"/>
        <w:jc w:val="center"/>
        <w:rPr>
          <w:rFonts w:hAnsi="宋体" w:cs="Courier New"/>
          <w:sz w:val="30"/>
          <w:szCs w:val="30"/>
        </w:rPr>
      </w:pPr>
    </w:p>
    <w:p w14:paraId="391366C8">
      <w:pPr>
        <w:spacing w:line="460" w:lineRule="exact"/>
        <w:jc w:val="left"/>
        <w:rPr>
          <w:rFonts w:ascii="Calibri" w:hAnsi="宋体" w:eastAsia="宋体" w:cs="Courier New"/>
          <w:b/>
          <w:sz w:val="24"/>
          <w:szCs w:val="24"/>
        </w:rPr>
      </w:pPr>
      <w:r>
        <w:rPr>
          <w:rFonts w:hint="eastAsia" w:ascii="Calibri" w:hAnsi="宋体" w:eastAsia="宋体" w:cs="Courier New"/>
          <w:b/>
          <w:sz w:val="24"/>
          <w:szCs w:val="24"/>
        </w:rPr>
        <w:t>一、工程概况:</w:t>
      </w:r>
    </w:p>
    <w:p w14:paraId="70CA7CE4">
      <w:pPr>
        <w:pStyle w:val="2"/>
        <w:spacing w:line="460" w:lineRule="exact"/>
        <w:ind w:firstLine="480" w:firstLineChars="200"/>
        <w:rPr>
          <w:rFonts w:hint="eastAsia" w:ascii="宋体" w:hAnsi="宋体" w:eastAsia="宋体" w:cs="Courier New"/>
          <w:sz w:val="24"/>
          <w:szCs w:val="24"/>
        </w:rPr>
      </w:pPr>
      <w:r>
        <w:rPr>
          <w:rFonts w:hint="eastAsia" w:hAnsi="宋体" w:cs="Courier New"/>
          <w:sz w:val="24"/>
          <w:szCs w:val="24"/>
          <w:lang w:eastAsia="zh-CN"/>
        </w:rPr>
        <w:t>宿迁市宿城区清华名邸幼儿园附属工程，建设单位为：宿迁市宿城区清华名邸幼儿园</w:t>
      </w:r>
      <w:r>
        <w:rPr>
          <w:rFonts w:hint="eastAsia" w:hAnsi="宋体" w:cs="Courier New"/>
          <w:sz w:val="24"/>
          <w:szCs w:val="24"/>
          <w:lang w:val="en-US" w:eastAsia="zh-CN"/>
        </w:rPr>
        <w:t>。</w:t>
      </w:r>
      <w:r>
        <w:rPr>
          <w:rFonts w:hint="eastAsia" w:hAnsi="宋体" w:cs="Courier New"/>
          <w:sz w:val="24"/>
          <w:szCs w:val="24"/>
          <w:lang w:eastAsia="zh-CN"/>
        </w:rPr>
        <w:t>主体为：</w:t>
      </w:r>
      <w:r>
        <w:rPr>
          <w:rFonts w:hint="eastAsia" w:hAnsi="宋体" w:cs="Courier New"/>
          <w:sz w:val="24"/>
          <w:szCs w:val="24"/>
          <w:lang w:val="en-US" w:eastAsia="zh-CN"/>
        </w:rPr>
        <w:t>室外</w:t>
      </w:r>
      <w:r>
        <w:rPr>
          <w:rFonts w:hint="eastAsia" w:hAnsi="宋体" w:cs="Courier New"/>
          <w:sz w:val="24"/>
          <w:szCs w:val="24"/>
          <w:lang w:eastAsia="zh-CN"/>
        </w:rPr>
        <w:t>工程（包含绿化、</w:t>
      </w:r>
      <w:r>
        <w:rPr>
          <w:rFonts w:hint="eastAsia" w:hAnsi="宋体" w:cs="Courier New"/>
          <w:sz w:val="24"/>
          <w:szCs w:val="24"/>
          <w:lang w:val="en-US" w:eastAsia="zh-CN"/>
        </w:rPr>
        <w:t>道路</w:t>
      </w:r>
      <w:r>
        <w:rPr>
          <w:rFonts w:hint="eastAsia" w:hAnsi="宋体" w:cs="Courier New"/>
          <w:sz w:val="24"/>
          <w:szCs w:val="24"/>
          <w:lang w:eastAsia="zh-CN"/>
        </w:rPr>
        <w:t>、</w:t>
      </w:r>
      <w:r>
        <w:rPr>
          <w:rFonts w:hint="eastAsia" w:ascii="宋体" w:hAnsi="宋体" w:eastAsia="宋体" w:cs="Courier New"/>
          <w:sz w:val="24"/>
          <w:szCs w:val="24"/>
        </w:rPr>
        <w:t>旗台</w:t>
      </w:r>
      <w:r>
        <w:rPr>
          <w:rFonts w:hint="eastAsia" w:ascii="宋体" w:hAnsi="宋体" w:eastAsia="宋体" w:cs="Courier New"/>
          <w:sz w:val="24"/>
          <w:szCs w:val="24"/>
          <w:lang w:eastAsia="zh-CN"/>
        </w:rPr>
        <w:t>、</w:t>
      </w:r>
      <w:r>
        <w:rPr>
          <w:rFonts w:hint="eastAsia" w:ascii="宋体" w:hAnsi="宋体" w:eastAsia="宋体" w:cs="Courier New"/>
          <w:sz w:val="24"/>
          <w:szCs w:val="24"/>
          <w:lang w:val="en-US" w:eastAsia="zh-CN"/>
        </w:rPr>
        <w:t>路灯及强弱电、给</w:t>
      </w:r>
      <w:r>
        <w:rPr>
          <w:rFonts w:hint="eastAsia" w:hAnsi="宋体" w:cs="Courier New"/>
          <w:sz w:val="24"/>
          <w:szCs w:val="24"/>
          <w:lang w:val="en-US" w:eastAsia="zh-CN"/>
        </w:rPr>
        <w:t>排水工程</w:t>
      </w:r>
      <w:r>
        <w:rPr>
          <w:rFonts w:hint="eastAsia" w:ascii="宋体" w:hAnsi="宋体" w:eastAsia="宋体" w:cs="Courier New"/>
          <w:sz w:val="24"/>
          <w:szCs w:val="24"/>
        </w:rPr>
        <w:t>）。</w:t>
      </w:r>
    </w:p>
    <w:p w14:paraId="7A6F777F">
      <w:pPr>
        <w:pStyle w:val="2"/>
        <w:spacing w:line="460" w:lineRule="exact"/>
        <w:rPr>
          <w:rFonts w:hAnsi="宋体"/>
          <w:b/>
          <w:sz w:val="24"/>
          <w:szCs w:val="24"/>
        </w:rPr>
      </w:pPr>
      <w:r>
        <w:rPr>
          <w:rFonts w:hint="eastAsia" w:hAnsi="宋体"/>
          <w:b/>
          <w:sz w:val="24"/>
          <w:szCs w:val="24"/>
        </w:rPr>
        <w:t>二、工程量清单编制依据：</w:t>
      </w:r>
    </w:p>
    <w:p w14:paraId="1DA2BDC5">
      <w:pPr>
        <w:pStyle w:val="2"/>
        <w:spacing w:line="480" w:lineRule="exact"/>
        <w:ind w:firstLine="480" w:firstLineChars="200"/>
        <w:rPr>
          <w:rFonts w:hAnsi="宋体"/>
          <w:sz w:val="24"/>
          <w:szCs w:val="24"/>
        </w:rPr>
      </w:pPr>
      <w:r>
        <w:rPr>
          <w:rFonts w:hint="eastAsia" w:hAnsi="宋体"/>
          <w:sz w:val="24"/>
          <w:szCs w:val="24"/>
        </w:rPr>
        <w:t>1.法规执行：《建设工程工程量清单计价规范》（GB 50500-2013）、《房屋建筑与装饰工程工程量清单计算规范》（GB 50854-2013）、《通用安装工程工程量计算规范》（GB 50856-2013）、《江苏省建筑与装饰工程计价定额》（2014年）、《江苏省安装工程计价定额》（2014年）、</w:t>
      </w:r>
      <w:r>
        <w:rPr>
          <w:rFonts w:hint="eastAsia" w:hAnsi="宋体"/>
          <w:sz w:val="24"/>
          <w:szCs w:val="24"/>
          <w:lang w:eastAsia="zh-CN"/>
        </w:rPr>
        <w:t>《</w:t>
      </w:r>
      <w:r>
        <w:rPr>
          <w:rFonts w:hint="eastAsia" w:hAnsi="宋体"/>
          <w:sz w:val="24"/>
          <w:szCs w:val="24"/>
          <w:lang w:val="en-US" w:eastAsia="zh-CN"/>
        </w:rPr>
        <w:t>江苏省仿古建筑与园林工程计价表</w:t>
      </w:r>
      <w:r>
        <w:rPr>
          <w:rFonts w:hint="eastAsia" w:hAnsi="宋体"/>
          <w:sz w:val="24"/>
          <w:szCs w:val="24"/>
          <w:lang w:eastAsia="zh-CN"/>
        </w:rPr>
        <w:t>》（</w:t>
      </w:r>
      <w:r>
        <w:rPr>
          <w:rFonts w:hint="eastAsia" w:hAnsi="宋体"/>
          <w:sz w:val="24"/>
          <w:szCs w:val="24"/>
          <w:lang w:val="en-US" w:eastAsia="zh-CN"/>
        </w:rPr>
        <w:t>2007</w:t>
      </w:r>
      <w:r>
        <w:rPr>
          <w:rFonts w:hint="eastAsia" w:hAnsi="宋体"/>
          <w:sz w:val="24"/>
          <w:szCs w:val="24"/>
          <w:lang w:eastAsia="zh-CN"/>
        </w:rPr>
        <w:t>）、</w:t>
      </w:r>
      <w:r>
        <w:rPr>
          <w:rFonts w:hint="eastAsia" w:hAnsi="宋体"/>
          <w:sz w:val="24"/>
          <w:szCs w:val="24"/>
        </w:rPr>
        <w:t>《江苏省建设工程费用定额》（2014年）、《江苏省住房和城乡建设厅公告》【2018】第24号、《江苏省住房和城乡建设厅公告》【2019】第19号及相关配套文件；</w:t>
      </w:r>
    </w:p>
    <w:p w14:paraId="52F41F9B">
      <w:pPr>
        <w:pStyle w:val="2"/>
        <w:spacing w:line="480" w:lineRule="exact"/>
        <w:ind w:firstLine="480" w:firstLineChars="200"/>
        <w:rPr>
          <w:rFonts w:hAnsi="宋体"/>
          <w:sz w:val="24"/>
          <w:szCs w:val="24"/>
        </w:rPr>
      </w:pPr>
      <w:r>
        <w:rPr>
          <w:rFonts w:hint="eastAsia" w:hAnsi="宋体"/>
          <w:sz w:val="24"/>
          <w:szCs w:val="24"/>
        </w:rPr>
        <w:t>2.本工程涉及的图集、规范等其他相关造价资料；</w:t>
      </w:r>
    </w:p>
    <w:p w14:paraId="676F8CE7">
      <w:pPr>
        <w:pStyle w:val="2"/>
        <w:spacing w:line="480" w:lineRule="exact"/>
        <w:ind w:firstLine="480" w:firstLineChars="200"/>
        <w:rPr>
          <w:rFonts w:hAnsi="Times New Roman" w:cs="Times New Roman"/>
          <w:sz w:val="24"/>
          <w:szCs w:val="24"/>
        </w:rPr>
      </w:pPr>
      <w:r>
        <w:rPr>
          <w:rFonts w:hint="eastAsia" w:hAnsi="宋体"/>
          <w:sz w:val="24"/>
          <w:szCs w:val="24"/>
        </w:rPr>
        <w:t>3.</w:t>
      </w:r>
      <w:r>
        <w:rPr>
          <w:rFonts w:hint="eastAsia" w:hAnsi="Times New Roman" w:cs="Times New Roman"/>
          <w:sz w:val="24"/>
          <w:szCs w:val="24"/>
        </w:rPr>
        <w:t>材料信息价参照执行2025年《宿迁工程造价管理第</w:t>
      </w:r>
      <w:r>
        <w:rPr>
          <w:rFonts w:hint="eastAsia" w:hAnsi="Times New Roman" w:cs="Times New Roman"/>
          <w:sz w:val="24"/>
          <w:szCs w:val="24"/>
          <w:lang w:val="en-US" w:eastAsia="zh-CN"/>
        </w:rPr>
        <w:t>6</w:t>
      </w:r>
      <w:r>
        <w:rPr>
          <w:rFonts w:hint="eastAsia" w:hAnsi="Times New Roman" w:cs="Times New Roman"/>
          <w:sz w:val="24"/>
          <w:szCs w:val="24"/>
        </w:rPr>
        <w:t>期》；</w:t>
      </w:r>
    </w:p>
    <w:p w14:paraId="0D2061FA">
      <w:pPr>
        <w:pStyle w:val="2"/>
        <w:spacing w:line="480" w:lineRule="exact"/>
        <w:ind w:firstLine="480" w:firstLineChars="200"/>
        <w:rPr>
          <w:rFonts w:hAnsi="Times New Roman" w:cs="Times New Roman"/>
          <w:sz w:val="24"/>
          <w:szCs w:val="24"/>
        </w:rPr>
      </w:pPr>
      <w:r>
        <w:rPr>
          <w:rFonts w:hint="eastAsia" w:hAnsi="Times New Roman" w:cs="Times New Roman"/>
          <w:sz w:val="24"/>
          <w:szCs w:val="24"/>
        </w:rPr>
        <w:t>4.</w:t>
      </w:r>
      <w:r>
        <w:rPr>
          <w:rFonts w:hint="eastAsia" w:hAnsi="宋体"/>
          <w:sz w:val="24"/>
          <w:szCs w:val="24"/>
        </w:rPr>
        <w:t>本工程依据设计图纸（2025年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17</w:t>
      </w:r>
      <w:r>
        <w:rPr>
          <w:rFonts w:hint="eastAsia" w:hAnsi="宋体"/>
          <w:sz w:val="24"/>
          <w:szCs w:val="24"/>
        </w:rPr>
        <w:t>日电子版）进行工程量清单及招标控制价的编制。</w:t>
      </w:r>
    </w:p>
    <w:p w14:paraId="51CF430C">
      <w:pPr>
        <w:spacing w:line="360" w:lineRule="auto"/>
        <w:rPr>
          <w:b/>
          <w:sz w:val="24"/>
          <w:szCs w:val="24"/>
        </w:rPr>
      </w:pPr>
      <w:r>
        <w:rPr>
          <w:rFonts w:hint="eastAsia" w:ascii="宋体" w:hAnsi="宋体" w:eastAsia="宋体"/>
          <w:b/>
          <w:sz w:val="28"/>
          <w:szCs w:val="28"/>
        </w:rPr>
        <w:t>三、</w:t>
      </w:r>
      <w:r>
        <w:rPr>
          <w:rFonts w:hint="eastAsia" w:ascii="宋体" w:hAnsi="宋体" w:eastAsia="宋体" w:cs="Courier New"/>
          <w:b/>
          <w:kern w:val="2"/>
          <w:sz w:val="28"/>
          <w:szCs w:val="28"/>
          <w:lang w:val="en-US" w:eastAsia="zh-CN" w:bidi="ar-SA"/>
        </w:rPr>
        <w:t>根据建设单位要求，结合工程具体情况，本工</w:t>
      </w:r>
      <w:bookmarkStart w:id="0" w:name="_GoBack"/>
      <w:bookmarkEnd w:id="0"/>
      <w:r>
        <w:rPr>
          <w:rFonts w:hint="eastAsia" w:ascii="宋体" w:hAnsi="宋体" w:eastAsia="宋体" w:cs="Courier New"/>
          <w:b/>
          <w:kern w:val="2"/>
          <w:sz w:val="28"/>
          <w:szCs w:val="28"/>
          <w:lang w:val="en-US" w:eastAsia="zh-CN" w:bidi="ar-SA"/>
        </w:rPr>
        <w:t>程做如下说明</w:t>
      </w:r>
    </w:p>
    <w:p w14:paraId="42A8FDF8">
      <w:pPr>
        <w:spacing w:line="460" w:lineRule="exac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土方开挖按招标人提供的原始自然地面高程计算，各投标单位自行考察现场，土方开挖方式及运距由各投标单位结合施工组织设计综合考虑报价</w:t>
      </w:r>
      <w:r>
        <w:rPr>
          <w:rFonts w:hint="eastAsia" w:ascii="宋体" w:hAnsi="宋体" w:eastAsia="宋体" w:cs="Times New Roman"/>
          <w:sz w:val="24"/>
          <w:szCs w:val="24"/>
          <w:lang w:eastAsia="zh-CN"/>
        </w:rPr>
        <w:t>；</w:t>
      </w:r>
      <w:r>
        <w:rPr>
          <w:rFonts w:hint="eastAsia" w:ascii="宋体" w:hAnsi="宋体" w:eastAsia="宋体" w:cs="Times New Roman"/>
          <w:sz w:val="24"/>
          <w:szCs w:val="24"/>
        </w:rPr>
        <w:t>室外土方回填至自然地面</w:t>
      </w:r>
      <w:r>
        <w:rPr>
          <w:rFonts w:hint="eastAsia" w:ascii="宋体" w:hAnsi="宋体" w:eastAsia="宋体" w:cs="Times New Roman"/>
          <w:sz w:val="24"/>
          <w:szCs w:val="24"/>
          <w:lang w:eastAsia="zh-CN"/>
        </w:rPr>
        <w:t>；</w:t>
      </w:r>
    </w:p>
    <w:p w14:paraId="3E0D3D40">
      <w:pPr>
        <w:spacing w:line="460" w:lineRule="exact"/>
        <w:rPr>
          <w:rFonts w:ascii="宋体" w:hAnsi="宋体" w:eastAsia="宋体"/>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sz w:val="24"/>
          <w:szCs w:val="24"/>
          <w:lang w:val="en-US" w:eastAsia="zh-CN"/>
        </w:rPr>
        <w:t>2.</w:t>
      </w:r>
      <w:r>
        <w:rPr>
          <w:rFonts w:hint="eastAsia" w:ascii="宋体" w:hAnsi="宋体" w:eastAsia="宋体"/>
          <w:sz w:val="24"/>
          <w:szCs w:val="24"/>
        </w:rPr>
        <w:t>本工程所有砂浆按照预拌砂浆计入</w:t>
      </w:r>
      <w:r>
        <w:rPr>
          <w:rFonts w:hint="eastAsia" w:ascii="宋体" w:hAnsi="宋体" w:eastAsia="宋体"/>
          <w:sz w:val="24"/>
          <w:szCs w:val="24"/>
          <w:lang w:eastAsia="zh-CN"/>
        </w:rPr>
        <w:t>；</w:t>
      </w:r>
    </w:p>
    <w:p w14:paraId="1CA557C9">
      <w:pPr>
        <w:spacing w:line="460" w:lineRule="exact"/>
        <w:ind w:firstLine="480"/>
        <w:rPr>
          <w:rFonts w:hint="eastAsia" w:ascii="宋体" w:hAnsi="宋体" w:eastAsia="宋体"/>
          <w:sz w:val="24"/>
          <w:szCs w:val="24"/>
          <w:lang w:eastAsia="zh-CN"/>
        </w:rPr>
      </w:pPr>
      <w:r>
        <w:rPr>
          <w:rFonts w:hint="eastAsia" w:ascii="宋体" w:hAnsi="宋体" w:eastAsia="宋体"/>
          <w:sz w:val="24"/>
          <w:szCs w:val="24"/>
          <w:lang w:val="en-US" w:eastAsia="zh-CN"/>
        </w:rPr>
        <w:t>3.</w:t>
      </w:r>
      <w:r>
        <w:rPr>
          <w:rFonts w:hint="eastAsia" w:ascii="宋体" w:hAnsi="宋体" w:eastAsia="宋体"/>
          <w:sz w:val="24"/>
          <w:szCs w:val="24"/>
        </w:rPr>
        <w:t>本工程所有基坑</w:t>
      </w:r>
      <w:r>
        <w:rPr>
          <w:rFonts w:hint="eastAsia" w:ascii="宋体" w:hAnsi="宋体" w:eastAsia="宋体"/>
          <w:sz w:val="24"/>
          <w:szCs w:val="24"/>
          <w:lang w:eastAsia="zh-CN"/>
        </w:rPr>
        <w:t>、</w:t>
      </w:r>
      <w:r>
        <w:rPr>
          <w:rFonts w:hint="eastAsia" w:ascii="宋体" w:hAnsi="宋体" w:eastAsia="宋体"/>
          <w:sz w:val="24"/>
          <w:szCs w:val="24"/>
          <w:lang w:val="en-US" w:eastAsia="zh-CN"/>
        </w:rPr>
        <w:t>基槽</w:t>
      </w:r>
      <w:r>
        <w:rPr>
          <w:rFonts w:hint="eastAsia" w:ascii="宋体" w:hAnsi="宋体" w:eastAsia="宋体"/>
          <w:sz w:val="24"/>
          <w:szCs w:val="24"/>
        </w:rPr>
        <w:t>回填均采用素土回填</w:t>
      </w:r>
      <w:r>
        <w:rPr>
          <w:rFonts w:hint="eastAsia" w:ascii="宋体" w:hAnsi="宋体" w:eastAsia="宋体"/>
          <w:sz w:val="24"/>
          <w:szCs w:val="24"/>
          <w:lang w:eastAsia="zh-CN"/>
        </w:rPr>
        <w:t>；</w:t>
      </w:r>
    </w:p>
    <w:p w14:paraId="751022A0">
      <w:pPr>
        <w:spacing w:line="460" w:lineRule="exact"/>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4.绿化施工保养期为三年，第一年绿化成活率需&gt;95%、第二第三年按照二级养护</w:t>
      </w:r>
    </w:p>
    <w:p w14:paraId="67754E42">
      <w:pPr>
        <w:spacing w:line="460" w:lineRule="exact"/>
        <w:ind w:firstLine="480"/>
        <w:rPr>
          <w:rFonts w:hint="eastAsia" w:ascii="宋体" w:hAnsi="宋体" w:eastAsia="宋体"/>
          <w:sz w:val="24"/>
          <w:szCs w:val="24"/>
          <w:lang w:val="en-US" w:eastAsia="zh-CN"/>
        </w:rPr>
      </w:pPr>
      <w:r>
        <w:rPr>
          <w:rFonts w:hint="eastAsia" w:ascii="宋体" w:hAnsi="宋体" w:eastAsia="宋体"/>
          <w:sz w:val="24"/>
          <w:szCs w:val="24"/>
          <w:lang w:val="en-US" w:eastAsia="zh-CN"/>
        </w:rPr>
        <w:t>5.悬浮地板：（1）产品外观地板表面无龟裂、无起泡、塑化不亮、无瘢痕、无毛刺、无扭曲、翘曲等现象（2）阻燃：Ⅰ级（3）重直变形检测：≤2.0mm；</w:t>
      </w:r>
    </w:p>
    <w:p w14:paraId="159FA482">
      <w:pPr>
        <w:spacing w:line="46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（4）篮球反弹率检测:≥90%；（5）高温试验:（70℃，72h）试验后无气泡、无麻点、无明显色差，低温试验:（-40℃，72h）试验后无龟裂、无破损，无变形。</w:t>
      </w:r>
    </w:p>
    <w:p w14:paraId="3E0FA4C0">
      <w:pPr>
        <w:spacing w:line="46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（6）抗滑值（干测）依据DB13/T 5088-2019&lt;悬浮式拼装地板技术规范&gt;检测：80-120；（7）16种多环芳烃（PAH）总量：未检出（8）苯并[a]芘（mg/kg）：未检出（9）产品经过不低于8000h紫外线照射试验后，邵氏硬度符合GB/T22517.4标准:50-90（邵A，度）；（10）产品雨水浸泡不低于4000h后，重直变形符合GB 36246-2018《中小学合成材料面层运动场地》检测标准:0.6-3.0mm;（11）产品在模拟冰雪霜冻条件不低于4000h后，外观符合GB36246-2018《中小学合成材料面层运动场地》检测标准，表面无龟裂无气泡、塑化不良、无颠痕、无毛刺、无扭曲、翘曲等现象。</w:t>
      </w:r>
    </w:p>
    <w:p w14:paraId="3C43C3A5">
      <w:pPr>
        <w:pStyle w:val="2"/>
        <w:spacing w:line="460" w:lineRule="exact"/>
        <w:rPr>
          <w:rFonts w:ascii="宋体" w:hAnsi="宋体" w:eastAsia="宋体"/>
          <w:b/>
          <w:sz w:val="28"/>
          <w:szCs w:val="28"/>
        </w:rPr>
      </w:pPr>
      <w:r>
        <w:rPr>
          <w:rFonts w:hint="eastAsia" w:ascii="宋体" w:hAnsi="宋体" w:eastAsia="宋体"/>
          <w:b/>
          <w:sz w:val="28"/>
          <w:szCs w:val="28"/>
        </w:rPr>
        <w:t>四、其他说明</w:t>
      </w:r>
    </w:p>
    <w:p w14:paraId="7A70DB09">
      <w:pPr>
        <w:spacing w:line="480" w:lineRule="exact"/>
        <w:ind w:firstLine="465"/>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工程施工及生活用水、用电由投标</w:t>
      </w:r>
      <w:r>
        <w:rPr>
          <w:rFonts w:hint="eastAsia" w:ascii="宋体" w:hAnsi="宋体" w:eastAsia="宋体"/>
          <w:color w:val="auto"/>
          <w:kern w:val="0"/>
          <w:sz w:val="24"/>
          <w:szCs w:val="24"/>
          <w:highlight w:val="none"/>
          <w:lang w:bidi="ar"/>
        </w:rPr>
        <w:t>单</w:t>
      </w:r>
      <w:r>
        <w:rPr>
          <w:rFonts w:hint="eastAsia" w:ascii="宋体" w:hAnsi="宋体" w:eastAsia="宋体"/>
          <w:color w:val="auto"/>
          <w:sz w:val="24"/>
          <w:szCs w:val="24"/>
          <w:highlight w:val="none"/>
        </w:rPr>
        <w:t>位自行勘察现场后自行采取措施，投标单位将此费用综合考虑在投标报价中，后期结算时不予调整；</w:t>
      </w:r>
    </w:p>
    <w:p w14:paraId="5CDCE5F1">
      <w:pPr>
        <w:spacing w:line="480" w:lineRule="exact"/>
        <w:ind w:firstLine="465"/>
        <w:rPr>
          <w:sz w:val="24"/>
          <w:szCs w:val="24"/>
        </w:rPr>
      </w:pPr>
      <w:r>
        <w:rPr>
          <w:rFonts w:hint="eastAsia" w:ascii="宋体" w:hAnsi="宋体" w:eastAsia="宋体"/>
          <w:sz w:val="24"/>
          <w:szCs w:val="24"/>
        </w:rPr>
        <w:t xml:space="preserve"> 2</w:t>
      </w:r>
      <w:r>
        <w:rPr>
          <w:rFonts w:hint="eastAsia" w:ascii="宋体" w:hAnsi="宋体" w:eastAsia="宋体"/>
          <w:sz w:val="24"/>
          <w:szCs w:val="24"/>
          <w:lang w:val="en-US" w:eastAsia="zh-CN"/>
        </w:rPr>
        <w:t>.</w:t>
      </w:r>
      <w:r>
        <w:rPr>
          <w:rFonts w:hint="eastAsia"/>
          <w:sz w:val="24"/>
          <w:szCs w:val="24"/>
        </w:rPr>
        <w:t>投标单位应认真核查工程量清单及施工图并结合现场的实际情况综合考虑对本工程进行投标报价；</w:t>
      </w:r>
    </w:p>
    <w:p w14:paraId="7E0895BE">
      <w:pPr>
        <w:autoSpaceDE w:val="0"/>
        <w:autoSpaceDN w:val="0"/>
        <w:snapToGrid w:val="0"/>
        <w:spacing w:line="460" w:lineRule="exact"/>
        <w:ind w:firstLine="480" w:firstLineChars="200"/>
        <w:jc w:val="left"/>
        <w:rPr>
          <w:rFonts w:hint="eastAsia" w:ascii="宋体" w:hAnsi="宋体" w:eastAsia="宋体"/>
          <w:sz w:val="24"/>
          <w:szCs w:val="24"/>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施工过程中不得损坏周边已有建筑物等，如遇特殊情况应及时联系建设单位，待处</w:t>
      </w:r>
      <w:r>
        <w:rPr>
          <w:rFonts w:hint="eastAsia" w:ascii="宋体" w:hAnsi="宋体" w:eastAsia="宋体"/>
          <w:sz w:val="24"/>
          <w:szCs w:val="24"/>
        </w:rPr>
        <w:t>理确认后方可施工。</w:t>
      </w:r>
    </w:p>
    <w:p w14:paraId="786D74A9">
      <w:pPr>
        <w:pStyle w:val="2"/>
        <w:spacing w:line="460" w:lineRule="exact"/>
        <w:rPr>
          <w:rFonts w:hint="eastAsia" w:ascii="宋体" w:hAnsi="宋体" w:eastAsia="宋体"/>
          <w:b/>
          <w:sz w:val="28"/>
          <w:szCs w:val="28"/>
          <w:lang w:val="en-US" w:eastAsia="zh-CN"/>
        </w:rPr>
      </w:pPr>
      <w:r>
        <w:rPr>
          <w:rFonts w:hint="eastAsia" w:ascii="宋体" w:hAnsi="宋体" w:eastAsia="宋体"/>
          <w:b/>
          <w:sz w:val="28"/>
          <w:szCs w:val="28"/>
          <w:lang w:val="en-US" w:eastAsia="zh-CN"/>
        </w:rPr>
        <w:t>五、本工程及编制说明未尽之处，详见招标文件、答疑文件，各投标单位在投标中应充分考虑其相关费用。</w:t>
      </w:r>
    </w:p>
    <w:p w14:paraId="258B09E8">
      <w:pPr>
        <w:spacing w:line="460" w:lineRule="exact"/>
        <w:ind w:firstLine="465"/>
        <w:rPr>
          <w:rFonts w:ascii="宋体" w:hAnsi="宋体" w:eastAsia="宋体"/>
          <w:sz w:val="24"/>
          <w:szCs w:val="24"/>
        </w:rPr>
      </w:pPr>
    </w:p>
    <w:p w14:paraId="467629BF">
      <w:pPr>
        <w:spacing w:line="460" w:lineRule="exact"/>
        <w:ind w:firstLine="465"/>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A3"/>
    <w:rsid w:val="000329A4"/>
    <w:rsid w:val="000369A7"/>
    <w:rsid w:val="0005142D"/>
    <w:rsid w:val="00052F1D"/>
    <w:rsid w:val="0008205E"/>
    <w:rsid w:val="000B793B"/>
    <w:rsid w:val="000D0FEE"/>
    <w:rsid w:val="001021BA"/>
    <w:rsid w:val="0012119F"/>
    <w:rsid w:val="00147BE5"/>
    <w:rsid w:val="0015433D"/>
    <w:rsid w:val="001741AF"/>
    <w:rsid w:val="001B6DBD"/>
    <w:rsid w:val="001D572A"/>
    <w:rsid w:val="00210B18"/>
    <w:rsid w:val="00244D6F"/>
    <w:rsid w:val="00251EB3"/>
    <w:rsid w:val="00262BC8"/>
    <w:rsid w:val="00272BA3"/>
    <w:rsid w:val="002745B3"/>
    <w:rsid w:val="002A74F5"/>
    <w:rsid w:val="002B2264"/>
    <w:rsid w:val="003126CC"/>
    <w:rsid w:val="00317B62"/>
    <w:rsid w:val="00352C2F"/>
    <w:rsid w:val="003D79B3"/>
    <w:rsid w:val="003E0033"/>
    <w:rsid w:val="00402A5F"/>
    <w:rsid w:val="004B4F9B"/>
    <w:rsid w:val="004F753C"/>
    <w:rsid w:val="005112B0"/>
    <w:rsid w:val="00511695"/>
    <w:rsid w:val="0053630A"/>
    <w:rsid w:val="005473A2"/>
    <w:rsid w:val="00555E94"/>
    <w:rsid w:val="0056407E"/>
    <w:rsid w:val="00583F1F"/>
    <w:rsid w:val="0058430C"/>
    <w:rsid w:val="0059553B"/>
    <w:rsid w:val="005A6540"/>
    <w:rsid w:val="005B68AE"/>
    <w:rsid w:val="005C116A"/>
    <w:rsid w:val="005D7AA4"/>
    <w:rsid w:val="005E382E"/>
    <w:rsid w:val="005E4D3E"/>
    <w:rsid w:val="005F60E7"/>
    <w:rsid w:val="006146E4"/>
    <w:rsid w:val="00616604"/>
    <w:rsid w:val="00636FB6"/>
    <w:rsid w:val="006B29E6"/>
    <w:rsid w:val="006F0E52"/>
    <w:rsid w:val="006F44C2"/>
    <w:rsid w:val="00733AA7"/>
    <w:rsid w:val="007552A7"/>
    <w:rsid w:val="00776D83"/>
    <w:rsid w:val="007860EF"/>
    <w:rsid w:val="007D3690"/>
    <w:rsid w:val="007D6A47"/>
    <w:rsid w:val="007E22A6"/>
    <w:rsid w:val="007E2534"/>
    <w:rsid w:val="007E3CF4"/>
    <w:rsid w:val="0080492E"/>
    <w:rsid w:val="00811295"/>
    <w:rsid w:val="00824E5F"/>
    <w:rsid w:val="008400EB"/>
    <w:rsid w:val="00845283"/>
    <w:rsid w:val="00861C10"/>
    <w:rsid w:val="00862D37"/>
    <w:rsid w:val="0087492A"/>
    <w:rsid w:val="00877B89"/>
    <w:rsid w:val="0088092C"/>
    <w:rsid w:val="008A6ECE"/>
    <w:rsid w:val="008D033D"/>
    <w:rsid w:val="00906280"/>
    <w:rsid w:val="009104A7"/>
    <w:rsid w:val="00932DE8"/>
    <w:rsid w:val="00936456"/>
    <w:rsid w:val="00956589"/>
    <w:rsid w:val="00965051"/>
    <w:rsid w:val="009709B5"/>
    <w:rsid w:val="009727C1"/>
    <w:rsid w:val="009910DC"/>
    <w:rsid w:val="00992EF7"/>
    <w:rsid w:val="00A00A9A"/>
    <w:rsid w:val="00A3002C"/>
    <w:rsid w:val="00A34B36"/>
    <w:rsid w:val="00A35488"/>
    <w:rsid w:val="00A40DDF"/>
    <w:rsid w:val="00A74DDD"/>
    <w:rsid w:val="00A90373"/>
    <w:rsid w:val="00A96402"/>
    <w:rsid w:val="00AA14CE"/>
    <w:rsid w:val="00AD6088"/>
    <w:rsid w:val="00AF32E8"/>
    <w:rsid w:val="00B12251"/>
    <w:rsid w:val="00B34D37"/>
    <w:rsid w:val="00B3556C"/>
    <w:rsid w:val="00B367E6"/>
    <w:rsid w:val="00B37544"/>
    <w:rsid w:val="00B4300A"/>
    <w:rsid w:val="00B54FF0"/>
    <w:rsid w:val="00B7324A"/>
    <w:rsid w:val="00B850B7"/>
    <w:rsid w:val="00BA4F92"/>
    <w:rsid w:val="00BB0B8A"/>
    <w:rsid w:val="00BC028C"/>
    <w:rsid w:val="00BD7E0D"/>
    <w:rsid w:val="00BE7A1E"/>
    <w:rsid w:val="00BF16B6"/>
    <w:rsid w:val="00BF312B"/>
    <w:rsid w:val="00BF7B06"/>
    <w:rsid w:val="00C15740"/>
    <w:rsid w:val="00C17F86"/>
    <w:rsid w:val="00C429A4"/>
    <w:rsid w:val="00C45B5A"/>
    <w:rsid w:val="00C6734D"/>
    <w:rsid w:val="00C86463"/>
    <w:rsid w:val="00C9011F"/>
    <w:rsid w:val="00C91E86"/>
    <w:rsid w:val="00C946C9"/>
    <w:rsid w:val="00CA1123"/>
    <w:rsid w:val="00CA1791"/>
    <w:rsid w:val="00CB1C07"/>
    <w:rsid w:val="00CD1E82"/>
    <w:rsid w:val="00D60833"/>
    <w:rsid w:val="00D73BD4"/>
    <w:rsid w:val="00DD53EE"/>
    <w:rsid w:val="00E84957"/>
    <w:rsid w:val="00EA3106"/>
    <w:rsid w:val="00EA40CB"/>
    <w:rsid w:val="00EB5B6C"/>
    <w:rsid w:val="00EC0784"/>
    <w:rsid w:val="00ED6B18"/>
    <w:rsid w:val="00EE2008"/>
    <w:rsid w:val="00F149CD"/>
    <w:rsid w:val="00F1505A"/>
    <w:rsid w:val="00F21FB8"/>
    <w:rsid w:val="00F23950"/>
    <w:rsid w:val="00F26A2A"/>
    <w:rsid w:val="00F872A2"/>
    <w:rsid w:val="00F950D5"/>
    <w:rsid w:val="00FE4ED2"/>
    <w:rsid w:val="00FE5DD9"/>
    <w:rsid w:val="00FE6B03"/>
    <w:rsid w:val="02477318"/>
    <w:rsid w:val="02DA750A"/>
    <w:rsid w:val="07100621"/>
    <w:rsid w:val="081C2630"/>
    <w:rsid w:val="090D306A"/>
    <w:rsid w:val="0BCF3C2E"/>
    <w:rsid w:val="0C1741FF"/>
    <w:rsid w:val="0C3F27AE"/>
    <w:rsid w:val="134753CA"/>
    <w:rsid w:val="1B9969DF"/>
    <w:rsid w:val="1C8C02F2"/>
    <w:rsid w:val="1E77606F"/>
    <w:rsid w:val="205B6D58"/>
    <w:rsid w:val="219A0DBB"/>
    <w:rsid w:val="21D3763A"/>
    <w:rsid w:val="23B73EA6"/>
    <w:rsid w:val="264F36B7"/>
    <w:rsid w:val="26C16DEA"/>
    <w:rsid w:val="26EE6CCF"/>
    <w:rsid w:val="27D36DD5"/>
    <w:rsid w:val="28110042"/>
    <w:rsid w:val="285E6FE6"/>
    <w:rsid w:val="29257B04"/>
    <w:rsid w:val="294C32E2"/>
    <w:rsid w:val="2A6E7289"/>
    <w:rsid w:val="324A2389"/>
    <w:rsid w:val="35757295"/>
    <w:rsid w:val="3589141A"/>
    <w:rsid w:val="35DE246A"/>
    <w:rsid w:val="394F0C97"/>
    <w:rsid w:val="395A7356"/>
    <w:rsid w:val="39F73903"/>
    <w:rsid w:val="3AC84793"/>
    <w:rsid w:val="3EBC63BD"/>
    <w:rsid w:val="40DE086C"/>
    <w:rsid w:val="48541CC8"/>
    <w:rsid w:val="489F666E"/>
    <w:rsid w:val="4AC9433B"/>
    <w:rsid w:val="4BB24DCF"/>
    <w:rsid w:val="4D6245D3"/>
    <w:rsid w:val="4ECF02E5"/>
    <w:rsid w:val="4EDB463D"/>
    <w:rsid w:val="4F585C8E"/>
    <w:rsid w:val="513A56C3"/>
    <w:rsid w:val="513B7615"/>
    <w:rsid w:val="51957EED"/>
    <w:rsid w:val="51D11D27"/>
    <w:rsid w:val="53980D4F"/>
    <w:rsid w:val="54E653F6"/>
    <w:rsid w:val="577A1D24"/>
    <w:rsid w:val="5D431D2B"/>
    <w:rsid w:val="5F210406"/>
    <w:rsid w:val="60FB291D"/>
    <w:rsid w:val="63BA086D"/>
    <w:rsid w:val="64436AB5"/>
    <w:rsid w:val="65913850"/>
    <w:rsid w:val="664B39FF"/>
    <w:rsid w:val="66CC5F55"/>
    <w:rsid w:val="68E63EB3"/>
    <w:rsid w:val="69825362"/>
    <w:rsid w:val="6B8F25DF"/>
    <w:rsid w:val="6C2E1DF8"/>
    <w:rsid w:val="6E3631E6"/>
    <w:rsid w:val="6EB26D11"/>
    <w:rsid w:val="6EBA5BC5"/>
    <w:rsid w:val="71CF7BDA"/>
    <w:rsid w:val="72037883"/>
    <w:rsid w:val="7758241F"/>
    <w:rsid w:val="78654DF4"/>
    <w:rsid w:val="79D73ACF"/>
    <w:rsid w:val="7A081EDB"/>
    <w:rsid w:val="7AE213EB"/>
    <w:rsid w:val="7DDC7906"/>
    <w:rsid w:val="7ECF1219"/>
    <w:rsid w:val="7F0E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beikeit</Company>
  <Pages>2</Pages>
  <Words>1138</Words>
  <Characters>1311</Characters>
  <Lines>13</Lines>
  <Paragraphs>3</Paragraphs>
  <TotalTime>2</TotalTime>
  <ScaleCrop>false</ScaleCrop>
  <LinksUpToDate>false</LinksUpToDate>
  <CharactersWithSpaces>1326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2019-11-05T01:34:00Z</dcterms:created>
  <dc:creator>beikeit.com</dc:creator>
  <cp:lastModifiedBy>月亮之上</cp:lastModifiedBy>
  <dcterms:modified xsi:type="dcterms:W3CDTF">2025-08-11T06:54:02Z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4D988A2D84544E42931D5DAEC87C9A1B</vt:lpwstr>
  </property>
  <property fmtid="{D5CDD505-2E9C-101B-9397-08002B2CF9AE}" pid="4" name="KSOTemplateDocerSaveRecord">
    <vt:lpwstr>eyJoZGlkIjoiNTRhMTgwZDY0YzA4ZTc4Nzk2OWFiMDk0YmY2YzEyMDEiLCJ1c2VySWQiOiIyODU0MjcxMDMifQ==</vt:lpwstr>
  </property>
</Properties>
</file>