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ind w:firstLine="0"/>
        <w:rPr>
          <w:rFonts w:hint="eastAsia" w:eastAsia="黑体"/>
          <w:b/>
          <w:bCs/>
          <w:sz w:val="84"/>
        </w:rPr>
      </w:pPr>
      <w:r>
        <w:rPr>
          <w:rFonts w:hint="eastAsia" w:eastAsia="黑体"/>
          <w:b/>
          <w:bCs/>
          <w:sz w:val="84"/>
        </w:rPr>
      </w:r>
      <w:r/>
    </w:p>
    <w:p>
      <w:pPr>
        <w:pStyle w:val="750"/>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50"/>
        <w:ind w:firstLine="2249"/>
        <w:rPr>
          <w:rFonts w:hint="eastAsia"/>
          <w:b/>
          <w:bCs/>
          <w:sz w:val="32"/>
        </w:rPr>
      </w:pPr>
      <w:r>
        <w:rPr>
          <w:rFonts w:hint="eastAsia"/>
          <w:b/>
          <w:bCs/>
          <w:sz w:val="32"/>
        </w:rPr>
        <w:t xml:space="preserve">项目名称：南通市肿瘤医院AI影像辅助诊断采购项目</w:t>
      </w:r>
      <w:r>
        <w:rPr>
          <w:rFonts w:hint="eastAsia"/>
          <w:b/>
          <w:bCs/>
          <w:sz w:val="32"/>
        </w:rPr>
      </w:r>
      <w:r/>
    </w:p>
    <w:p>
      <w:pPr>
        <w:pStyle w:val="662"/>
        <w:ind w:left="2100" w:firstLine="161"/>
        <w:rPr>
          <w:b/>
          <w:color w:val="000000"/>
          <w:sz w:val="30"/>
          <w:szCs w:val="30"/>
        </w:rPr>
      </w:pPr>
      <w:r>
        <w:rPr>
          <w:rFonts w:hint="eastAsia"/>
          <w:b/>
          <w:bCs/>
          <w:color w:val="000000"/>
          <w:sz w:val="32"/>
        </w:rPr>
        <w:t xml:space="preserve">项目编号：JSZC-320600-JZCG-G2024-0088</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662"/>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服务类项目，适用苏采云系统</w:t>
      </w:r>
      <w:r>
        <w:rPr>
          <w:b/>
          <w:color w:val="000000"/>
          <w:sz w:val="30"/>
          <w:szCs w:val="30"/>
        </w:rPr>
        <w:t xml:space="preserve">，</w:t>
      </w:r>
      <w:r>
        <w:rPr>
          <w:rFonts w:hint="eastAsia"/>
          <w:b/>
          <w:color w:val="000000"/>
          <w:sz w:val="30"/>
          <w:szCs w:val="30"/>
        </w:rPr>
        <w:t xml:space="preserve">专门面向中小企业）</w:t>
      </w:r>
      <w:r>
        <w:rPr>
          <w:rFonts w:hint="eastAsia"/>
          <w:b/>
          <w:color w:val="000000"/>
          <w:sz w:val="30"/>
          <w:szCs w:val="30"/>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spacing w:before="0" w:after="0"/>
        <w:rPr>
          <w:rFonts w:hint="eastAsia" w:ascii="宋体" w:hAnsi="宋体"/>
        </w:rPr>
      </w:pPr>
      <w:r>
        <w:rPr>
          <w:rFonts w:hint="eastAsia" w:ascii="宋体" w:hAnsi="宋体"/>
        </w:rPr>
      </w:r>
      <w:r/>
    </w:p>
    <w:p>
      <w:pPr>
        <w:pStyle w:val="750"/>
        <w:ind w:firstLine="0"/>
        <w:jc w:val="center"/>
        <w:rPr>
          <w:rFonts w:hint="eastAsia"/>
          <w:b/>
          <w:bCs/>
          <w:sz w:val="32"/>
        </w:rPr>
      </w:pPr>
      <w:r>
        <w:rPr>
          <w:rFonts w:hint="eastAsia"/>
          <w:b/>
          <w:bCs/>
          <w:sz w:val="32"/>
        </w:rPr>
        <w:t xml:space="preserve">江苏省政府采购中心</w:t>
      </w:r>
      <w:r>
        <w:rPr>
          <w:rFonts w:hint="eastAsia"/>
          <w:b/>
          <w:bCs/>
          <w:sz w:val="32"/>
        </w:rPr>
      </w:r>
      <w:r/>
    </w:p>
    <w:p>
      <w:pPr>
        <w:pStyle w:val="750"/>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rPr>
        <w:t xml:space="preserve">年</w:t>
      </w:r>
      <w:r>
        <w:rPr>
          <w:rFonts w:hint="eastAsia"/>
          <w:b/>
          <w:bCs/>
          <w:sz w:val="32"/>
          <w:lang w:val="en-US" w:eastAsia="zh-CN"/>
        </w:rPr>
        <w:t xml:space="preserve">7</w:t>
      </w:r>
      <w:r>
        <w:rPr>
          <w:rFonts w:hint="eastAsia"/>
          <w:b/>
          <w:bCs/>
          <w:sz w:val="32"/>
        </w:rPr>
        <w:t xml:space="preserve">月</w:t>
      </w:r>
      <w:r>
        <w:rPr>
          <w:rFonts w:hint="eastAsia"/>
          <w:b/>
          <w:bCs/>
          <w:sz w:val="32"/>
        </w:rPr>
      </w:r>
      <w:r/>
    </w:p>
    <w:p>
      <w:pPr>
        <w:pStyle w:val="750"/>
        <w:ind w:firstLine="0"/>
        <w:rPr>
          <w:rFonts w:hint="eastAsia"/>
          <w:u w:val="single"/>
        </w:rPr>
      </w:pPr>
      <w:r>
        <w:rPr>
          <w:rFonts w:hint="eastAsia"/>
        </w:rPr>
        <w:t xml:space="preserve">                        </w:t>
      </w:r>
      <w:r>
        <w:rPr>
          <w:rFonts w:hint="eastAsia"/>
          <w:u w:val="single"/>
        </w:rPr>
      </w:r>
      <w:r/>
    </w:p>
    <w:p>
      <w:pPr>
        <w:pStyle w:val="750"/>
        <w:ind w:firstLine="0"/>
        <w:jc w:val="center"/>
        <w:rPr>
          <w:rFonts w:hint="eastAsia"/>
        </w:rPr>
      </w:pPr>
      <w:r>
        <w:rPr>
          <w:rFonts w:hint="eastAsia"/>
        </w:rPr>
      </w:r>
      <w:r/>
    </w:p>
    <w:p>
      <w:pPr>
        <w:pStyle w:val="662"/>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62"/>
        <w:spacing w:line="480" w:lineRule="auto"/>
        <w:rPr>
          <w:rFonts w:hint="eastAsia" w:ascii="仿宋_GB2312" w:hAnsi="Arial" w:eastAsia="仿宋_GB2312"/>
          <w:b/>
          <w:sz w:val="28"/>
        </w:rPr>
      </w:pPr>
      <w:r>
        <w:rPr>
          <w:rFonts w:hint="eastAsia" w:ascii="仿宋_GB2312" w:hAnsi="Arial" w:eastAsia="仿宋_GB2312"/>
          <w:b/>
          <w:sz w:val="28"/>
        </w:rPr>
      </w:r>
      <w:r/>
    </w:p>
    <w:p>
      <w:pPr>
        <w:pStyle w:val="66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66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62"/>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南通市肿瘤医院</w:t>
      </w:r>
      <w:r>
        <w:rPr>
          <w:rFonts w:hint="eastAsia" w:ascii="宋体" w:hAnsi="宋体"/>
          <w:sz w:val="24"/>
          <w:szCs w:val="24"/>
        </w:rPr>
        <w:t xml:space="preserve">]的委托，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政府采购中心就[南通市肿瘤医院AI影像辅助诊断采购项目]([JSZC-320600-JZCG-G2024-0088])项目进行公开招标采购，欢迎符合条件的供应商投标。</w:t>
      </w:r>
      <w:r>
        <w:rPr>
          <w:rFonts w:ascii="宋体" w:hAnsi="宋体"/>
          <w:sz w:val="24"/>
          <w:szCs w:val="24"/>
        </w:rPr>
      </w:r>
      <w:r/>
    </w:p>
    <w:p>
      <w:pPr>
        <w:pStyle w:val="66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62"/>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南通市肿瘤医院AI影像辅助诊断采购项目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2024</w:t>
      </w:r>
      <w:r>
        <w:rPr>
          <w:rFonts w:hint="eastAsia" w:ascii="宋体" w:hAnsi="宋体"/>
          <w:bCs/>
          <w:sz w:val="24"/>
          <w:szCs w:val="24"/>
          <w:u w:val="single"/>
        </w:rPr>
        <w:t xml:space="preserve">年7月30日14点00分（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65"/>
        <w:ind w:firstLine="498"/>
        <w:spacing w:before="145" w:after="145" w:line="360" w:lineRule="auto"/>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662"/>
        <w:ind w:firstLine="480"/>
        <w:rPr>
          <w:rFonts w:ascii="宋体" w:hAnsi="宋体"/>
          <w:sz w:val="24"/>
          <w:szCs w:val="24"/>
        </w:rPr>
      </w:pPr>
      <w:r>
        <w:rPr>
          <w:rFonts w:hint="eastAsia" w:ascii="宋体" w:hAnsi="宋体"/>
          <w:sz w:val="24"/>
          <w:szCs w:val="24"/>
        </w:rPr>
        <w:t xml:space="preserve">1.项目编号：JSZC-320600-JZCG-G2024-0088</w:t>
      </w:r>
      <w:r>
        <w:rPr>
          <w:rFonts w:ascii="宋体" w:hAnsi="宋体"/>
          <w:sz w:val="24"/>
          <w:szCs w:val="24"/>
        </w:rPr>
      </w:r>
      <w:r/>
    </w:p>
    <w:p>
      <w:pPr>
        <w:pStyle w:val="662"/>
        <w:ind w:firstLine="480"/>
        <w:rPr>
          <w:rFonts w:ascii="宋体" w:hAnsi="宋体"/>
          <w:sz w:val="24"/>
          <w:szCs w:val="24"/>
        </w:rPr>
      </w:pPr>
      <w:r>
        <w:rPr>
          <w:rFonts w:hint="eastAsia" w:ascii="宋体" w:hAnsi="宋体"/>
          <w:sz w:val="24"/>
          <w:szCs w:val="24"/>
        </w:rPr>
        <w:t xml:space="preserve">2.项目名称：南通市肿瘤医院AI影像辅助诊断采购项目</w:t>
      </w:r>
      <w:r>
        <w:rPr>
          <w:rFonts w:ascii="宋体" w:hAnsi="宋体"/>
          <w:sz w:val="24"/>
          <w:szCs w:val="24"/>
        </w:rPr>
      </w:r>
      <w:r/>
    </w:p>
    <w:p>
      <w:pPr>
        <w:pStyle w:val="662"/>
        <w:ind w:firstLine="480"/>
        <w:rPr>
          <w:rFonts w:hint="eastAsia" w:ascii="宋体" w:hAnsi="宋体" w:cs="宋体"/>
          <w:sz w:val="24"/>
          <w:szCs w:val="24"/>
          <w:highlight w:val="yellow"/>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96万元</w:t>
      </w:r>
      <w:r>
        <w:rPr>
          <w:rFonts w:hint="eastAsia" w:ascii="宋体" w:hAnsi="宋体" w:cs="宋体"/>
          <w:sz w:val="24"/>
          <w:szCs w:val="24"/>
          <w:highlight w:val="yellow"/>
        </w:rPr>
      </w:r>
      <w:r/>
    </w:p>
    <w:p>
      <w:pPr>
        <w:pStyle w:val="662"/>
        <w:ind w:firstLine="480"/>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本项目设定最高限价，最高限价为</w:t>
      </w:r>
      <w:r>
        <w:rPr>
          <w:rFonts w:hint="eastAsia" w:ascii="宋体" w:hAnsi="宋体"/>
          <w:sz w:val="24"/>
          <w:szCs w:val="24"/>
          <w:u w:val="single"/>
          <w:lang w:val="en-US" w:eastAsia="zh-CN"/>
        </w:rPr>
        <w:t xml:space="preserve">96</w:t>
      </w:r>
      <w:r>
        <w:rPr>
          <w:rFonts w:hint="eastAsia" w:ascii="宋体" w:hAnsi="宋体"/>
          <w:sz w:val="24"/>
          <w:szCs w:val="24"/>
        </w:rPr>
        <w:t xml:space="preserve">万元。</w:t>
      </w:r>
      <w:r>
        <w:rPr>
          <w:rFonts w:hint="eastAsia" w:ascii="宋体" w:hAnsi="宋体"/>
          <w:sz w:val="24"/>
          <w:szCs w:val="24"/>
        </w:rPr>
      </w:r>
      <w:r/>
    </w:p>
    <w:p>
      <w:pPr>
        <w:pStyle w:val="662"/>
        <w:ind w:firstLine="480"/>
        <w:rPr>
          <w:rFonts w:hint="eastAsia" w:ascii="宋体" w:hAnsi="宋体" w:eastAsia="宋体"/>
          <w:sz w:val="24"/>
          <w:szCs w:val="24"/>
          <w:u w:val="single"/>
          <w:lang w:eastAsia="zh-CN"/>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hint="eastAsia" w:ascii="宋体" w:hAnsi="宋体" w:cs="宋体"/>
          <w:sz w:val="24"/>
          <w:szCs w:val="24"/>
          <w:lang w:eastAsia="zh-CN"/>
        </w:rPr>
        <w:t xml:space="preserve">。</w:t>
      </w:r>
      <w:r>
        <w:rPr>
          <w:rFonts w:hint="eastAsia" w:ascii="宋体" w:hAnsi="宋体" w:eastAsia="宋体"/>
          <w:sz w:val="24"/>
          <w:szCs w:val="24"/>
          <w:u w:val="single"/>
          <w:lang w:eastAsia="zh-CN"/>
        </w:rPr>
      </w:r>
      <w:r/>
    </w:p>
    <w:p>
      <w:pPr>
        <w:pStyle w:val="662"/>
        <w:ind w:firstLine="480"/>
        <w:rPr>
          <w:rFonts w:hint="eastAsia" w:ascii="宋体" w:hAnsi="宋体" w:eastAsia="宋体"/>
          <w:sz w:val="24"/>
          <w:szCs w:val="24"/>
          <w:u w:val="single"/>
          <w:lang w:eastAsia="zh-CN"/>
        </w:rPr>
      </w:pPr>
      <w:r>
        <w:rPr>
          <w:rFonts w:hint="eastAsia" w:ascii="宋体" w:hAnsi="宋体"/>
          <w:sz w:val="24"/>
          <w:szCs w:val="24"/>
        </w:rPr>
        <w:t xml:space="preserve">6.合同履行期限：</w:t>
      </w:r>
      <w:r>
        <w:rPr>
          <w:rFonts w:hint="eastAsia" w:ascii="宋体" w:hAnsi="宋体"/>
          <w:sz w:val="24"/>
          <w:szCs w:val="24"/>
          <w:lang w:eastAsia="zh-CN"/>
        </w:rPr>
        <w:t xml:space="preserve">三年。</w:t>
      </w:r>
      <w:r>
        <w:rPr>
          <w:rFonts w:hint="eastAsia" w:ascii="宋体" w:hAnsi="宋体" w:eastAsia="宋体"/>
          <w:sz w:val="24"/>
          <w:szCs w:val="24"/>
          <w:u w:val="single"/>
          <w:lang w:eastAsia="zh-CN"/>
        </w:rPr>
      </w:r>
      <w:r/>
    </w:p>
    <w:p>
      <w:pPr>
        <w:pStyle w:val="665"/>
        <w:ind w:firstLine="498"/>
        <w:spacing w:before="145" w:after="145" w:line="360" w:lineRule="auto"/>
      </w:pPr>
      <w:r/>
      <w:bookmarkStart w:id="12" w:name="_Toc38985264"/>
      <w:r/>
      <w:bookmarkStart w:id="13" w:name="_Toc35393791"/>
      <w:r/>
      <w:bookmarkStart w:id="14" w:name="_Toc28359003"/>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662"/>
        <w:ind w:firstLine="480"/>
        <w:rPr>
          <w:rFonts w:hint="eastAsia" w:ascii="宋体" w:hAnsi="宋体"/>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2"/>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6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62"/>
        <w:numPr>
          <w:ilvl w:val="0"/>
          <w:numId w:val="0"/>
        </w:numPr>
        <w:ind w:firstLine="480"/>
        <w:spacing w:line="360" w:lineRule="auto"/>
        <w:rPr>
          <w:rFonts w:hint="eastAsia" w:ascii="宋体" w:hAnsi="宋体" w:eastAsia="宋体" w:cs="Times New Roman"/>
          <w:sz w:val="24"/>
          <w:szCs w:val="24"/>
        </w:rPr>
      </w:pPr>
      <w:r>
        <w:rPr>
          <w:rFonts w:hint="eastAsia" w:ascii="宋体" w:hAnsi="宋体"/>
          <w:sz w:val="24"/>
          <w:szCs w:val="24"/>
        </w:rPr>
        <w:t xml:space="preserve">3.落实政府采购政策需满足的资格要求：</w:t>
      </w:r>
      <w:r>
        <w:rPr>
          <w:rFonts w:hint="eastAsia" w:ascii="宋体" w:hAnsi="宋体" w:eastAsia="宋体" w:cs="Times New Roman"/>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Times New Roman"/>
          <w:sz w:val="24"/>
          <w:szCs w:val="24"/>
        </w:rPr>
      </w:r>
      <w:r/>
    </w:p>
    <w:p>
      <w:pPr>
        <w:pStyle w:val="662"/>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本项目不接受联合体投标。</w:t>
      </w:r>
      <w:r>
        <w:rPr>
          <w:rFonts w:hint="eastAsia" w:ascii="宋体" w:hAnsi="宋体" w:eastAsia="宋体" w:cs="Times New Roman"/>
          <w:sz w:val="24"/>
          <w:szCs w:val="24"/>
        </w:rPr>
      </w:r>
      <w:r/>
    </w:p>
    <w:p>
      <w:pPr>
        <w:pStyle w:val="662"/>
        <w:numPr>
          <w:ilvl w:val="0"/>
          <w:numId w:val="0"/>
        </w:num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本项目不接受分包。</w:t>
      </w:r>
      <w:r>
        <w:rPr>
          <w:rFonts w:hint="eastAsia" w:ascii="宋体" w:hAnsi="宋体" w:eastAsia="宋体" w:cs="Times New Roman"/>
          <w:sz w:val="24"/>
          <w:szCs w:val="24"/>
        </w:rPr>
      </w:r>
      <w:r/>
    </w:p>
    <w:p>
      <w:pPr>
        <w:pStyle w:val="66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62"/>
        <w:ind w:firstLine="480"/>
        <w:rPr>
          <w:rFonts w:hint="eastAsia" w:ascii="宋体" w:hAnsi="宋体" w:cs="宋体"/>
          <w:sz w:val="24"/>
          <w:szCs w:val="24"/>
          <w:highlight w:val="yellow"/>
        </w:rPr>
      </w:pPr>
      <w:r>
        <w:rPr>
          <w:rFonts w:hint="eastAsia" w:ascii="宋体" w:hAnsi="宋体"/>
          <w:sz w:val="24"/>
          <w:szCs w:val="24"/>
          <w:lang w:eastAsia="zh-CN"/>
        </w:rPr>
        <w:t xml:space="preserve">无</w:t>
      </w:r>
      <w:r>
        <w:rPr>
          <w:rFonts w:hint="eastAsia" w:ascii="宋体" w:hAnsi="宋体" w:cs="宋体"/>
          <w:sz w:val="24"/>
          <w:szCs w:val="24"/>
          <w:highlight w:val="yellow"/>
        </w:rPr>
      </w:r>
      <w:r/>
    </w:p>
    <w:p>
      <w:pPr>
        <w:pStyle w:val="665"/>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662"/>
        <w:ind w:firstLine="540"/>
        <w:spacing w:line="360"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2.方式：</w:t>
      </w:r>
      <w:r>
        <w:rPr>
          <w:rFonts w:ascii="宋体" w:hAnsi="宋体" w:cs="宋体"/>
          <w:sz w:val="24"/>
          <w:szCs w:val="24"/>
          <w:u w:val="single"/>
        </w:rPr>
      </w:r>
      <w:r>
        <w:rPr>
          <w:rFonts w:ascii="SimSun" w:hAnsi="SimSun" w:eastAsia="SimSun" w:cs="SimSun"/>
          <w:color w:val="000000"/>
          <w:sz w:val="24"/>
        </w:rPr>
        <w:t xml:space="preserve">凡有意参与投标的供应商须登录江苏省政府采购网首页点击“苏采云”→通过CA锁进行响应确认，并自行在招标文件有效获取期内及时下载获取</w:t>
      </w:r>
      <w:r/>
      <w:r>
        <w:rPr>
          <w:rFonts w:hint="eastAsia" w:ascii="宋体" w:hAnsi="宋体" w:cs="宋体"/>
          <w:sz w:val="24"/>
          <w:szCs w:val="24"/>
        </w:rPr>
      </w:r>
      <w:r/>
      <w:r/>
      <w:r>
        <w:rPr>
          <w:sz w:val="21"/>
        </w:rPr>
      </w:r>
    </w:p>
    <w:p>
      <w:pPr>
        <w:pStyle w:val="665"/>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62"/>
        <w:ind w:firstLine="480"/>
        <w:rPr>
          <w:rFonts w:ascii="宋体" w:hAnsi="宋体"/>
          <w:bCs/>
          <w:color w:val="000000"/>
          <w:sz w:val="24"/>
          <w:szCs w:val="24"/>
          <w:u w:val="single"/>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024</w:t>
      </w:r>
      <w:r>
        <w:rPr>
          <w:rFonts w:hint="eastAsia" w:ascii="宋体" w:hAnsi="宋体"/>
          <w:bCs/>
          <w:sz w:val="24"/>
          <w:szCs w:val="24"/>
          <w:u w:val="single"/>
        </w:rPr>
        <w:t xml:space="preserve">年7月30日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color w:val="000000"/>
          <w:sz w:val="24"/>
          <w:szCs w:val="24"/>
          <w:u w:val="single"/>
        </w:rPr>
      </w:r>
      <w:r/>
    </w:p>
    <w:p>
      <w:pPr>
        <w:pStyle w:val="662"/>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665"/>
        <w:ind w:firstLine="498"/>
        <w:spacing w:before="145" w:after="145" w:line="360" w:lineRule="auto"/>
      </w:pPr>
      <w:r/>
      <w:bookmarkStart w:id="27" w:name="_Toc28359007"/>
      <w:r/>
      <w:bookmarkStart w:id="28" w:name="_Toc38985267"/>
      <w:r/>
      <w:bookmarkStart w:id="29" w:name="_Toc35393625"/>
      <w:r/>
      <w:bookmarkStart w:id="30" w:name="_Toc28359084"/>
      <w:r/>
      <w:bookmarkStart w:id="31" w:name="_Toc35393794"/>
      <w:r>
        <w:rPr>
          <w:rFonts w:hint="eastAsia"/>
        </w:rPr>
        <w:t xml:space="preserve">五、公告期限</w:t>
      </w:r>
      <w:bookmarkEnd w:id="27"/>
      <w:r/>
      <w:bookmarkEnd w:id="28"/>
      <w:r/>
      <w:bookmarkEnd w:id="29"/>
      <w:r/>
      <w:bookmarkEnd w:id="30"/>
      <w:r/>
      <w:bookmarkEnd w:id="31"/>
      <w:r/>
      <w:r/>
    </w:p>
    <w:p>
      <w:pPr>
        <w:pStyle w:val="662"/>
        <w:ind w:firstLine="480"/>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65"/>
        <w:ind w:firstLine="498"/>
        <w:spacing w:before="145" w:after="145" w:line="360" w:lineRule="auto"/>
      </w:pPr>
      <w:r>
        <w:rPr>
          <w:rFonts w:hint="eastAsia"/>
        </w:rPr>
        <w:t xml:space="preserve">六、其他补充事宜</w:t>
      </w:r>
      <w:bookmarkEnd w:id="32"/>
      <w:r/>
      <w:bookmarkEnd w:id="33"/>
      <w:r/>
      <w:bookmarkEnd w:id="34"/>
      <w:r/>
      <w:r/>
    </w:p>
    <w:p>
      <w:pPr>
        <w:pStyle w:val="662"/>
        <w:ind w:firstLine="480"/>
        <w:spacing w:line="480" w:lineRule="exact"/>
        <w:rPr>
          <w:rFonts w:hint="eastAsia" w:ascii="宋体" w:hAnsi="宋体" w:eastAsia="宋体" w:cs="Times New Roman"/>
          <w:bCs/>
          <w:sz w:val="24"/>
          <w:szCs w:val="24"/>
        </w:rPr>
      </w:pPr>
      <w:r/>
      <w:bookmarkStart w:id="35" w:name="_Toc35393627"/>
      <w:r/>
      <w:bookmarkStart w:id="36" w:name="_Toc28359008"/>
      <w:r/>
      <w:bookmarkStart w:id="37" w:name="_Toc38985269"/>
      <w:r/>
      <w:bookmarkStart w:id="38" w:name="_Toc28359085"/>
      <w:r/>
      <w:bookmarkStart w:id="39" w:name="_Toc35393796"/>
      <w:r>
        <w:rPr>
          <w:rFonts w:hint="eastAsia" w:ascii="宋体" w:hAnsi="宋体" w:eastAsia="宋体" w:cs="Times New Roman"/>
          <w:bCs/>
          <w:sz w:val="24"/>
          <w:szCs w:val="24"/>
        </w:rPr>
        <w:t xml:space="preserve">1. 投标保证金：免收</w:t>
      </w:r>
      <w:r>
        <w:rPr>
          <w:rFonts w:hint="eastAsia" w:ascii="宋体" w:hAnsi="宋体" w:eastAsia="宋体" w:cs="Times New Roman"/>
          <w:bCs/>
          <w:sz w:val="24"/>
          <w:szCs w:val="24"/>
        </w:rPr>
      </w:r>
      <w:r/>
    </w:p>
    <w:p>
      <w:pPr>
        <w:pStyle w:val="662"/>
        <w:ind w:firstLine="480"/>
        <w:spacing w:line="480" w:lineRule="exact"/>
        <w:rPr>
          <w:rFonts w:ascii="宋体" w:hAnsi="宋体" w:eastAsia="宋体" w:cs="Times New Roman"/>
          <w:bCs/>
          <w:sz w:val="24"/>
          <w:szCs w:val="24"/>
          <w:lang w:val="en-US" w:eastAsia="zh-CN"/>
        </w:rPr>
      </w:pPr>
      <w:r>
        <w:rPr>
          <w:rFonts w:hint="eastAsia" w:ascii="宋体" w:hAnsi="宋体" w:eastAsia="宋体" w:cs="Times New Roman"/>
          <w:bCs/>
          <w:sz w:val="24"/>
          <w:szCs w:val="24"/>
        </w:rPr>
        <w:t xml:space="preserve">2. 项目演示、样品、答辩等：</w:t>
      </w:r>
      <w:r>
        <w:rPr>
          <w:rFonts w:hint="eastAsia" w:ascii="宋体" w:hAnsi="宋体" w:eastAsia="宋体" w:cs="Times New Roman"/>
          <w:bCs/>
          <w:sz w:val="24"/>
          <w:szCs w:val="24"/>
          <w:lang w:val="en-US" w:eastAsia="zh-CN"/>
        </w:rPr>
        <w:t xml:space="preserve">无。</w:t>
      </w:r>
      <w:r>
        <w:rPr>
          <w:rFonts w:ascii="宋体" w:hAnsi="宋体" w:eastAsia="宋体" w:cs="Times New Roman"/>
          <w:bCs/>
          <w:sz w:val="24"/>
          <w:szCs w:val="24"/>
          <w:lang w:val="en-US" w:eastAsia="zh-CN"/>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系统操作过程中如遇问题，请致电“苏采云”客服0519-86722801。</w:t>
      </w:r>
      <w:r>
        <w:rPr>
          <w:rFonts w:hint="eastAsia" w:ascii="宋体" w:hAnsi="宋体" w:eastAsia="宋体" w:cs="Times New Roman"/>
          <w:bCs/>
          <w:sz w:val="24"/>
          <w:szCs w:val="24"/>
          <w:lang w:val="en-US" w:eastAsia="zh-CN"/>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有关本次招标的事项若存在变动或修改，均以江苏政府采购网发布的更正或补充通知为准，敬请及时关注。</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662"/>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665"/>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66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62"/>
        <w:ind w:left="1079" w:hanging="300"/>
        <w:jc w:val="left"/>
        <w:spacing w:line="360" w:lineRule="auto"/>
        <w:rPr>
          <w:rFonts w:ascii="宋体" w:hAnsi="宋体"/>
          <w:sz w:val="24"/>
          <w:szCs w:val="24"/>
        </w:rPr>
      </w:pPr>
      <w:r/>
      <w:bookmarkStart w:id="40" w:name="_Toc28359086"/>
      <w:r/>
      <w:bookmarkStart w:id="41" w:name="_Toc28359009"/>
      <w:r>
        <w:rPr>
          <w:rFonts w:hint="eastAsia" w:ascii="宋体" w:hAnsi="宋体"/>
          <w:sz w:val="24"/>
          <w:szCs w:val="24"/>
        </w:rPr>
        <w:t xml:space="preserve">名 称：南通市肿瘤医院</w:t>
      </w:r>
      <w:r>
        <w:rPr>
          <w:rFonts w:ascii="宋体" w:hAnsi="宋体"/>
          <w:sz w:val="24"/>
          <w:szCs w:val="24"/>
        </w:rPr>
      </w:r>
      <w:r/>
    </w:p>
    <w:p>
      <w:pPr>
        <w:pStyle w:val="662"/>
        <w:ind w:left="1079" w:hanging="300"/>
        <w:jc w:val="left"/>
        <w:spacing w:line="360" w:lineRule="auto"/>
        <w:rPr>
          <w:rFonts w:ascii="宋体" w:hAnsi="宋体"/>
          <w:sz w:val="24"/>
          <w:szCs w:val="24"/>
        </w:rPr>
      </w:pPr>
      <w:r>
        <w:rPr>
          <w:rFonts w:hint="eastAsia" w:ascii="宋体" w:hAnsi="宋体"/>
          <w:sz w:val="24"/>
          <w:szCs w:val="24"/>
        </w:rPr>
        <w:t xml:space="preserve">地</w:t>
      </w:r>
      <w:r>
        <w:rPr>
          <w:rFonts w:hint="eastAsia" w:ascii="宋体" w:hAnsi="宋体" w:eastAsia="宋体" w:cs="Times New Roman"/>
          <w:sz w:val="24"/>
          <w:szCs w:val="24"/>
        </w:rPr>
        <w:t xml:space="preserve">址：崇川区青年西路48号</w:t>
      </w:r>
      <w:r>
        <w:rPr>
          <w:rFonts w:ascii="宋体" w:hAnsi="宋体"/>
          <w:sz w:val="24"/>
          <w:szCs w:val="24"/>
        </w:rPr>
      </w:r>
      <w:r/>
    </w:p>
    <w:p>
      <w:pPr>
        <w:pStyle w:val="662"/>
        <w:ind w:left="1079" w:hanging="300"/>
        <w:jc w:val="left"/>
        <w:spacing w:line="360" w:lineRule="auto"/>
        <w:rPr>
          <w:rFonts w:ascii="宋体" w:hAnsi="宋体"/>
          <w:sz w:val="24"/>
          <w:szCs w:val="24"/>
        </w:rPr>
      </w:pPr>
      <w:r>
        <w:rPr>
          <w:rFonts w:hint="eastAsia" w:ascii="宋体" w:hAnsi="宋体"/>
          <w:sz w:val="24"/>
          <w:szCs w:val="24"/>
        </w:rPr>
        <w:t xml:space="preserve">联系人：杨智洋</w:t>
      </w:r>
      <w:r>
        <w:rPr>
          <w:rFonts w:ascii="宋体" w:hAnsi="宋体"/>
          <w:sz w:val="24"/>
          <w:szCs w:val="24"/>
        </w:rPr>
      </w:r>
      <w:r/>
    </w:p>
    <w:p>
      <w:pPr>
        <w:pStyle w:val="662"/>
        <w:ind w:left="1079" w:hanging="300"/>
        <w:jc w:val="left"/>
        <w:spacing w:line="360" w:lineRule="auto"/>
        <w:rPr>
          <w:rFonts w:ascii="宋体" w:hAnsi="宋体"/>
          <w:sz w:val="24"/>
          <w:szCs w:val="24"/>
          <w:u w:val="single"/>
        </w:rPr>
      </w:pPr>
      <w:r>
        <w:rPr>
          <w:rFonts w:hint="eastAsia" w:ascii="宋体" w:hAnsi="宋体"/>
          <w:sz w:val="24"/>
          <w:szCs w:val="24"/>
        </w:rPr>
        <w:t xml:space="preserve">联系方式：13862923805</w:t>
      </w:r>
      <w:r>
        <w:rPr>
          <w:rFonts w:ascii="宋体" w:hAnsi="宋体"/>
          <w:sz w:val="24"/>
          <w:szCs w:val="24"/>
          <w:u w:val="single"/>
        </w:rPr>
      </w:r>
      <w:r/>
    </w:p>
    <w:p>
      <w:pPr>
        <w:pStyle w:val="662"/>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662"/>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105号</w:t>
      </w:r>
      <w:r>
        <w:rPr>
          <w:rFonts w:ascii="宋体" w:hAnsi="宋体" w:eastAsia="宋体"/>
          <w:sz w:val="24"/>
          <w:szCs w:val="24"/>
          <w:lang w:val="en-US" w:eastAsia="zh-CN"/>
        </w:rPr>
      </w:r>
      <w:r/>
    </w:p>
    <w:p>
      <w:pPr>
        <w:pStyle w:val="662"/>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lang w:eastAsia="zh-CN"/>
        </w:rPr>
        <w:t xml:space="preserve">陈露</w:t>
      </w:r>
      <w:r>
        <w:rPr>
          <w:rFonts w:hint="eastAsia" w:ascii="宋体" w:hAnsi="宋体" w:eastAsia="宋体"/>
          <w:sz w:val="24"/>
          <w:szCs w:val="24"/>
          <w:lang w:eastAsia="zh-CN"/>
        </w:rPr>
      </w:r>
      <w:r/>
    </w:p>
    <w:p>
      <w:pPr>
        <w:pStyle w:val="662"/>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lang w:val="en-US" w:eastAsia="zh-CN"/>
        </w:rPr>
        <w:t xml:space="preserve">0513-59001986</w:t>
      </w:r>
      <w:r>
        <w:rPr>
          <w:rFonts w:ascii="宋体" w:hAnsi="宋体" w:eastAsia="宋体"/>
          <w:sz w:val="24"/>
          <w:szCs w:val="24"/>
          <w:u w:val="single"/>
          <w:lang w:val="en-US" w:eastAsia="zh-CN"/>
        </w:rPr>
      </w:r>
      <w:r/>
    </w:p>
    <w:p>
      <w:pPr>
        <w:pStyle w:val="662"/>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662"/>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那家铭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662"/>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662"/>
        <w:ind w:firstLine="480"/>
        <w:spacing w:line="560" w:lineRule="exact"/>
        <w:rPr>
          <w:rFonts w:hint="eastAsia" w:ascii="宋体" w:hAnsi="宋体"/>
          <w:sz w:val="24"/>
        </w:rPr>
      </w:pPr>
      <w:r/>
      <w:bookmarkEnd w:id="42"/>
      <w:r/>
      <w:bookmarkEnd w:id="43"/>
      <w:r>
        <w:rPr>
          <w:rFonts w:hint="eastAsia" w:ascii="宋体" w:hAnsi="宋体"/>
          <w:sz w:val="24"/>
        </w:rPr>
      </w:r>
      <w:r/>
    </w:p>
    <w:p>
      <w:pPr>
        <w:pStyle w:val="662"/>
        <w:ind w:right="84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730"/>
        <w:rPr>
          <w:rFonts w:hint="eastAsia" w:ascii="宋体" w:hAnsi="宋体"/>
          <w:sz w:val="24"/>
          <w:szCs w:val="24"/>
        </w:rPr>
      </w:pPr>
      <w:r>
        <w:rPr>
          <w:rFonts w:hint="eastAsia" w:ascii="宋体" w:hAnsi="宋体"/>
          <w:sz w:val="24"/>
          <w:szCs w:val="24"/>
        </w:rPr>
      </w:r>
      <w:r/>
    </w:p>
    <w:p>
      <w:pPr>
        <w:pStyle w:val="66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65"/>
        <w:ind w:firstLine="498"/>
        <w:spacing w:before="145" w:after="145" w:line="360" w:lineRule="auto"/>
        <w:rPr>
          <w:rFonts w:hint="eastAsia"/>
        </w:rPr>
      </w:pPr>
      <w:r/>
      <w:bookmarkStart w:id="49" w:name="_Toc513029203"/>
      <w:r/>
      <w:bookmarkStart w:id="50" w:name="_Toc20823275"/>
      <w:r/>
      <w:bookmarkStart w:id="51" w:name="_Toc120614214"/>
      <w:r/>
      <w:bookmarkStart w:id="52" w:name="_Toc16938519"/>
      <w:r>
        <w:rPr>
          <w:rFonts w:hint="eastAsia"/>
        </w:rPr>
        <w:t xml:space="preserve">一、总则</w:t>
      </w:r>
      <w:bookmarkEnd w:id="49"/>
      <w:r/>
      <w:bookmarkEnd w:id="50"/>
      <w:r/>
      <w:bookmarkEnd w:id="51"/>
      <w:r/>
      <w:bookmarkEnd w:id="52"/>
      <w:r>
        <w:rPr>
          <w:rFonts w:hint="eastAsia"/>
        </w:rPr>
      </w:r>
      <w:r/>
    </w:p>
    <w:p>
      <w:pPr>
        <w:pStyle w:val="666"/>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6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66"/>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6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666"/>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6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66"/>
        <w:ind w:firstLine="420"/>
        <w:spacing w:before="0" w:after="0" w:line="240" w:lineRule="auto"/>
        <w:rPr>
          <w:rFonts w:hint="eastAsia"/>
          <w:b w:val="0"/>
          <w:bCs w:val="0"/>
        </w:rPr>
      </w:pPr>
      <w:r/>
      <w:bookmarkStart w:id="64" w:name="_Toc16938523"/>
      <w:r/>
      <w:bookmarkStart w:id="65" w:name="_Toc462564067"/>
      <w:r/>
      <w:bookmarkStart w:id="66" w:name="_Toc51302920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6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6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65"/>
        <w:ind w:firstLine="321"/>
        <w:spacing w:before="145" w:after="145" w:line="360" w:lineRule="auto"/>
        <w:rPr>
          <w:rFonts w:hint="eastAsia"/>
        </w:rPr>
      </w:pPr>
      <w:r/>
      <w:bookmarkStart w:id="68" w:name="_Toc20823281"/>
      <w:r/>
      <w:bookmarkStart w:id="69" w:name="_Toc513029209"/>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666"/>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6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6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6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6"/>
        <w:ind w:firstLine="560"/>
        <w:spacing w:before="0" w:after="0" w:line="240" w:lineRule="auto"/>
        <w:rPr>
          <w:rFonts w:hint="eastAsia"/>
          <w:b w:val="0"/>
          <w:bCs w:val="0"/>
        </w:rPr>
      </w:pPr>
      <w:r/>
      <w:bookmarkStart w:id="75" w:name="_Toc20823283"/>
      <w:r/>
      <w:bookmarkStart w:id="76" w:name="_Toc16938527"/>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662"/>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666"/>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6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6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65"/>
        <w:ind w:firstLine="482"/>
        <w:spacing w:before="145" w:after="145" w:line="360" w:lineRule="auto"/>
        <w:rPr>
          <w:rFonts w:hint="eastAsia"/>
        </w:rPr>
      </w:pPr>
      <w:r/>
      <w:bookmarkStart w:id="83" w:name="_Toc20823285"/>
      <w:r/>
      <w:bookmarkStart w:id="84" w:name="_Toc120614216"/>
      <w:r/>
      <w:bookmarkStart w:id="85" w:name="_Toc513029213"/>
      <w:r/>
      <w:bookmarkStart w:id="86" w:name="_Toc16938529"/>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666"/>
        <w:ind w:firstLine="560"/>
        <w:spacing w:before="0" w:after="0" w:line="240" w:lineRule="auto"/>
        <w:rPr>
          <w:rFonts w:hint="eastAsia"/>
          <w:bCs w:val="0"/>
        </w:rPr>
      </w:pPr>
      <w:r/>
      <w:bookmarkStart w:id="88" w:name="_Toc20823286"/>
      <w:r/>
      <w:bookmarkStart w:id="89" w:name="_Toc16938530"/>
      <w:r/>
      <w:bookmarkStart w:id="90" w:name="_Toc462564073"/>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6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66"/>
        <w:ind w:firstLine="420"/>
        <w:spacing w:before="0" w:after="0" w:line="240" w:lineRule="auto"/>
        <w:rPr>
          <w:rFonts w:hint="eastAsia"/>
          <w:b w:val="0"/>
          <w:bCs w:val="0"/>
        </w:rPr>
      </w:pPr>
      <w:r/>
      <w:bookmarkStart w:id="92" w:name="_Toc16938531"/>
      <w:r/>
      <w:bookmarkStart w:id="93" w:name="_Toc513029215"/>
      <w:r/>
      <w:bookmarkStart w:id="94" w:name="_Toc462564074"/>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662"/>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62"/>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666"/>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14577357"/>
      <w:r/>
      <w:bookmarkStart w:id="100" w:name="_Toc513029219"/>
      <w:r/>
      <w:bookmarkStart w:id="101" w:name="_Toc4909050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62"/>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66"/>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6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6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66"/>
        <w:ind w:firstLine="420"/>
        <w:spacing w:before="0" w:after="0" w:line="240" w:lineRule="auto"/>
        <w:rPr>
          <w:rFonts w:hint="eastAsia"/>
          <w:b w:val="0"/>
          <w:bCs w:val="0"/>
        </w:rPr>
      </w:pPr>
      <w:r/>
      <w:bookmarkStart w:id="110" w:name="_Hlt26954848"/>
      <w:r/>
      <w:bookmarkEnd w:id="110"/>
      <w:r/>
      <w:bookmarkStart w:id="111" w:name="_Hlt26954844"/>
      <w:r/>
      <w:bookmarkEnd w:id="111"/>
      <w:r/>
      <w:bookmarkStart w:id="112" w:name="_Hlt26670482"/>
      <w:r/>
      <w:bookmarkEnd w:id="112"/>
      <w:r/>
      <w:bookmarkStart w:id="113" w:name="_Hlt26954842"/>
      <w:r/>
      <w:bookmarkEnd w:id="113"/>
      <w:r/>
      <w:bookmarkStart w:id="114" w:name="_Hlt26954731"/>
      <w:r/>
      <w:bookmarkEnd w:id="114"/>
      <w:r/>
      <w:bookmarkStart w:id="115" w:name="_Hlt26670403"/>
      <w:r/>
      <w:bookmarkEnd w:id="115"/>
      <w:r/>
      <w:bookmarkStart w:id="116" w:name="_Hlt26668983"/>
      <w:r/>
      <w:bookmarkEnd w:id="116"/>
      <w:r/>
      <w:bookmarkStart w:id="117" w:name="_Hlt26954846"/>
      <w:r/>
      <w:bookmarkEnd w:id="117"/>
      <w:r/>
      <w:bookmarkStart w:id="118" w:name="_Hlt26670486"/>
      <w:r/>
      <w:bookmarkEnd w:id="118"/>
      <w:r/>
      <w:bookmarkStart w:id="119" w:name="_Hlt26670425"/>
      <w:r/>
      <w:bookmarkEnd w:id="119"/>
      <w:r>
        <w:rPr>
          <w:rFonts w:hint="eastAsia"/>
          <w:b w:val="0"/>
          <w:bCs w:val="0"/>
        </w:rPr>
        <w:t xml:space="preserve">13、技术要求响应及偏离表、商务要求响应及偏离表</w:t>
      </w:r>
      <w:r>
        <w:rPr>
          <w:rFonts w:hint="eastAsia"/>
          <w:b w:val="0"/>
          <w:bCs w:val="0"/>
        </w:rPr>
      </w:r>
      <w:r/>
    </w:p>
    <w:p>
      <w:pPr>
        <w:pStyle w:val="66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6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66"/>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66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6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66"/>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66"/>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65"/>
        <w:ind w:firstLine="482"/>
        <w:spacing w:before="145" w:after="145" w:line="360" w:lineRule="auto"/>
        <w:rPr>
          <w:rFonts w:hint="eastAsia"/>
        </w:rPr>
      </w:pPr>
      <w:r/>
      <w:bookmarkStart w:id="127" w:name="_Hlt26954739"/>
      <w:r/>
      <w:bookmarkEnd w:id="127"/>
      <w:r/>
      <w:bookmarkStart w:id="128" w:name="_Hlt26954852"/>
      <w:r/>
      <w:bookmarkEnd w:id="128"/>
      <w:r/>
      <w:bookmarkStart w:id="129" w:name="_Toc513029224"/>
      <w:r/>
      <w:bookmarkStart w:id="130" w:name="_Toc120614217"/>
      <w:r/>
      <w:bookmarkStart w:id="131" w:name="_Toc20823296"/>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666"/>
        <w:ind w:firstLine="560"/>
        <w:spacing w:before="0" w:after="0" w:line="240" w:lineRule="auto"/>
        <w:rPr>
          <w:rFonts w:hint="eastAsia"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7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666"/>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66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66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66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66"/>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66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66"/>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662"/>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62"/>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66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6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6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6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65"/>
        <w:ind w:firstLine="482"/>
        <w:spacing w:before="145" w:after="145" w:line="360" w:lineRule="auto"/>
        <w:rPr>
          <w:rFonts w:hint="eastAsia"/>
        </w:rPr>
      </w:pPr>
      <w:r/>
      <w:bookmarkStart w:id="146" w:name="_Toc513029229"/>
      <w:r/>
      <w:bookmarkStart w:id="147" w:name="_Toc20823301"/>
      <w:r/>
      <w:bookmarkStart w:id="148" w:name="_Toc120614218"/>
      <w:r/>
      <w:bookmarkStart w:id="149" w:name="_Toc16938545"/>
      <w:r>
        <w:rPr>
          <w:rFonts w:hint="eastAsia"/>
        </w:rPr>
        <w:t xml:space="preserve">五、开标与评标</w:t>
      </w:r>
      <w:bookmarkEnd w:id="146"/>
      <w:r/>
      <w:bookmarkEnd w:id="147"/>
      <w:r/>
      <w:bookmarkEnd w:id="148"/>
      <w:r/>
      <w:bookmarkEnd w:id="149"/>
      <w:r>
        <w:rPr>
          <w:rFonts w:hint="eastAsia"/>
        </w:rPr>
      </w:r>
      <w:r/>
    </w:p>
    <w:p>
      <w:pPr>
        <w:pStyle w:val="666"/>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662"/>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662"/>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662"/>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662"/>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666"/>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rPr>
          <w:rFonts w:hint="eastAsia"/>
          <w:b w:val="0"/>
          <w:bCs w:val="0"/>
        </w:rPr>
      </w:r>
      <w:r/>
    </w:p>
    <w:p>
      <w:pPr>
        <w:pStyle w:val="66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6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6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666"/>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6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6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666"/>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66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6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666"/>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66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62"/>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66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6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6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6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6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6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6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6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62"/>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662"/>
        <w:ind w:firstLine="420"/>
        <w:spacing w:line="460" w:lineRule="exact"/>
        <w:rPr>
          <w:rFonts w:hint="eastAsia" w:ascii="宋体" w:hAnsi="宋体"/>
          <w:color w:val="000000"/>
          <w:sz w:val="24"/>
        </w:rPr>
      </w:pPr>
      <w:r/>
      <w:bookmarkStart w:id="162" w:name="_Toc513029234"/>
      <w:r/>
      <w:bookmarkStart w:id="163" w:name="_Toc20823306"/>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666"/>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662"/>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rPr>
          <w:rFonts w:hint="eastAsia" w:ascii="宋体" w:hAnsi="宋体"/>
          <w:bCs/>
          <w:sz w:val="24"/>
        </w:rPr>
      </w:r>
      <w:r/>
    </w:p>
    <w:p>
      <w:pPr>
        <w:pStyle w:val="66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66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6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6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66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62"/>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662"/>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6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6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65"/>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666"/>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6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6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66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62"/>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6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6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6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6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6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6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62"/>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662"/>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6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6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65"/>
        <w:spacing w:before="145" w:after="145"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666"/>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6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6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66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66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66"/>
        <w:ind w:firstLine="600"/>
        <w:spacing w:before="0" w:after="0" w:line="240" w:lineRule="auto"/>
        <w:rPr>
          <w:rFonts w:ascii="黑体" w:hAnsi="宋体" w:cs="Times New Roman"/>
          <w:b w:val="0"/>
          <w:sz w:val="30"/>
          <w:szCs w:val="30"/>
        </w:rPr>
      </w:pPr>
      <w:r/>
      <w:bookmarkEnd w:id="177"/>
      <w:r/>
      <w:bookmarkEnd w:id="178"/>
      <w:r/>
      <w:bookmarkEnd w:id="179"/>
      <w:r/>
      <w:bookmarkStart w:id="180" w:name="_Toc120614221"/>
      <w:r/>
      <w:bookmarkStart w:id="181" w:name="_Toc16938558"/>
      <w:r/>
      <w:bookmarkStart w:id="182" w:name="_Toc479757207"/>
      <w:r/>
      <w:bookmarkStart w:id="183" w:name="_Toc20823314"/>
      <w:r/>
      <w:bookmarkStart w:id="184" w:name="_Toc513029242"/>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678"/>
        <w:rPr>
          <w:rFonts w:hint="eastAsia"/>
        </w:rPr>
      </w:pP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rPr>
          <w:rFonts w:hint="eastAsia"/>
        </w:rPr>
      </w:pPr>
      <w:r>
        <w:rPr>
          <w:rFonts w:hint="eastAsia"/>
        </w:rPr>
      </w:r>
      <w:r/>
    </w:p>
    <w:p>
      <w:pPr>
        <w:pStyle w:val="662"/>
      </w:pPr>
      <w:r/>
      <w:r/>
    </w:p>
    <w:p>
      <w:pPr>
        <w:pStyle w:val="662"/>
      </w:pPr>
      <w:r/>
      <w:r/>
    </w:p>
    <w:p>
      <w:pPr>
        <w:pStyle w:val="662"/>
      </w:pPr>
      <w:r/>
      <w:r/>
    </w:p>
    <w:p>
      <w:pPr>
        <w:pStyle w:val="662"/>
      </w:pPr>
      <w:r/>
      <w:r/>
    </w:p>
    <w:p>
      <w:pPr>
        <w:pStyle w:val="662"/>
      </w:pPr>
      <w:r/>
      <w:r/>
    </w:p>
    <w:p>
      <w:pPr>
        <w:pStyle w:val="662"/>
        <w:rPr>
          <w:rFonts w:hint="eastAsia"/>
        </w:rPr>
      </w:pPr>
      <w:r>
        <w:rPr>
          <w:rFonts w:hint="eastAsia"/>
        </w:rPr>
      </w:r>
      <w:r/>
    </w:p>
    <w:p>
      <w:pPr>
        <w:pStyle w:val="662"/>
        <w:rPr>
          <w:rFonts w:hint="eastAsia"/>
        </w:rPr>
      </w:pPr>
      <w:r>
        <w:rPr>
          <w:rFonts w:hint="eastAsia"/>
        </w:rPr>
      </w:r>
      <w:r/>
    </w:p>
    <w:p>
      <w:pPr>
        <w:pStyle w:val="663"/>
        <w:rPr>
          <w:rFonts w:ascii="黑体" w:eastAsia="黑体"/>
          <w:bCs/>
          <w:sz w:val="44"/>
        </w:rPr>
      </w:pPr>
      <w:r>
        <w:rPr>
          <w:rFonts w:ascii="黑体" w:eastAsia="黑体"/>
          <w:bCs/>
          <w:sz w:val="44"/>
        </w:rPr>
      </w:r>
      <w:r/>
    </w:p>
    <w:p>
      <w:pPr>
        <w:pStyle w:val="662"/>
        <w:rPr>
          <w:rFonts w:ascii="黑体" w:eastAsia="黑体"/>
          <w:bCs/>
          <w:sz w:val="44"/>
        </w:rPr>
      </w:pPr>
      <w:r>
        <w:rPr>
          <w:rFonts w:ascii="黑体" w:eastAsia="黑体"/>
          <w:bCs/>
          <w:sz w:val="44"/>
        </w:rPr>
      </w:r>
      <w:r/>
    </w:p>
    <w:p>
      <w:pPr>
        <w:pStyle w:val="674"/>
      </w:pPr>
      <w:r/>
      <w:r/>
    </w:p>
    <w:p>
      <w:pPr>
        <w:pStyle w:val="66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662"/>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662"/>
        <w:jc w:val="center"/>
        <w:spacing w:before="145" w:after="145"/>
        <w:rPr>
          <w:rFonts w:hint="eastAsia" w:ascii="宋体" w:hAnsi="宋体"/>
          <w:b/>
          <w:sz w:val="30"/>
        </w:rPr>
        <w:outlineLvl w:val="0"/>
      </w:pPr>
      <w:r>
        <w:rPr>
          <w:rFonts w:hint="eastAsia" w:ascii="宋体" w:hAnsi="宋体"/>
          <w:b/>
          <w:sz w:val="30"/>
        </w:rPr>
      </w:r>
      <w:r/>
    </w:p>
    <w:p>
      <w:pPr>
        <w:pStyle w:val="662"/>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02"/>
        <w:spacing w:before="120" w:after="120"/>
        <w:rPr>
          <w:rFonts w:hAnsi="宋体"/>
          <w:sz w:val="24"/>
          <w:szCs w:val="24"/>
        </w:rPr>
      </w:pPr>
      <w:r>
        <w:rPr>
          <w:rFonts w:hAnsi="宋体"/>
          <w:sz w:val="24"/>
          <w:szCs w:val="24"/>
        </w:rPr>
        <w:t xml:space="preserve">项目名称：                                     </w:t>
      </w:r>
      <w:r>
        <w:rPr>
          <w:rFonts w:hAnsi="宋体"/>
          <w:sz w:val="24"/>
          <w:szCs w:val="24"/>
        </w:rPr>
      </w:r>
      <w:r/>
    </w:p>
    <w:p>
      <w:pPr>
        <w:pStyle w:val="702"/>
        <w:spacing w:before="120" w:after="120"/>
        <w:rPr>
          <w:rFonts w:hAnsi="宋体"/>
          <w:sz w:val="24"/>
          <w:szCs w:val="24"/>
        </w:rPr>
      </w:pPr>
      <w:r>
        <w:rPr>
          <w:rFonts w:hAnsi="宋体"/>
          <w:sz w:val="24"/>
          <w:szCs w:val="24"/>
        </w:rPr>
        <w:t xml:space="preserve">项目编号：</w:t>
      </w:r>
      <w:r>
        <w:rPr>
          <w:rFonts w:hAnsi="宋体"/>
          <w:sz w:val="24"/>
          <w:szCs w:val="24"/>
        </w:rPr>
      </w:r>
      <w:r/>
    </w:p>
    <w:p>
      <w:pPr>
        <w:pStyle w:val="662"/>
        <w:spacing w:before="120" w:after="120"/>
        <w:rPr>
          <w:rFonts w:hAnsi="宋体"/>
          <w:color w:val="000000"/>
          <w:sz w:val="24"/>
          <w:szCs w:val="24"/>
        </w:rPr>
      </w:pPr>
      <w:r>
        <w:rPr>
          <w:rFonts w:hint="eastAsia" w:ascii="宋体" w:hAnsi="宋体" w:cs="Courier New"/>
          <w:color w:val="000000"/>
          <w:sz w:val="24"/>
          <w:szCs w:val="24"/>
        </w:rPr>
        <w:t xml:space="preserve">分包号：*</w:t>
      </w:r>
      <w:r>
        <w:rPr>
          <w:rFonts w:ascii="宋体" w:hAnsi="宋体" w:cs="Courier New"/>
          <w:color w:val="000000"/>
          <w:sz w:val="24"/>
          <w:szCs w:val="24"/>
        </w:rPr>
        <w:t xml:space="preserve">****</w:t>
      </w:r>
      <w:r>
        <w:rPr>
          <w:rFonts w:hAnsi="宋体"/>
          <w:color w:val="000000"/>
          <w:sz w:val="24"/>
          <w:szCs w:val="24"/>
        </w:rPr>
      </w:r>
      <w:r/>
    </w:p>
    <w:p>
      <w:pPr>
        <w:pStyle w:val="702"/>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0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70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0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0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0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0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0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0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0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0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0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0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0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0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0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0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0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0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0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02"/>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702"/>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02"/>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702"/>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702"/>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702"/>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662"/>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62"/>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62"/>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62"/>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0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02"/>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702"/>
        <w:spacing w:before="120" w:after="120"/>
        <w:rPr>
          <w:rFonts w:hint="eastAsia" w:hAnsi="宋体"/>
          <w:sz w:val="24"/>
          <w:szCs w:val="24"/>
          <w:u w:val="single"/>
        </w:rPr>
      </w:pPr>
      <w:r>
        <w:rPr>
          <w:rFonts w:hint="eastAsia" w:hAnsi="宋体"/>
          <w:sz w:val="24"/>
          <w:szCs w:val="24"/>
          <w:u w:val="single"/>
        </w:rPr>
        <w:t xml:space="preserve">8.1.1 预付款支付时间：合同签订后***日内，预付款支付比例：合同金额的**%。</w:t>
      </w:r>
      <w:r>
        <w:rPr>
          <w:rFonts w:hint="eastAsia" w:hAnsi="宋体"/>
          <w:sz w:val="24"/>
          <w:szCs w:val="24"/>
          <w:u w:val="single"/>
        </w:rPr>
      </w:r>
      <w:r/>
    </w:p>
    <w:p>
      <w:pPr>
        <w:pStyle w:val="702"/>
        <w:spacing w:before="120" w:after="120"/>
        <w:rPr>
          <w:rFonts w:hint="eastAsia" w:hAnsi="宋体"/>
          <w:sz w:val="24"/>
          <w:szCs w:val="24"/>
          <w:u w:val="single"/>
        </w:rPr>
      </w:pPr>
      <w:r>
        <w:rPr>
          <w:rFonts w:hint="eastAsia" w:hAnsi="宋体"/>
          <w:sz w:val="24"/>
          <w:szCs w:val="24"/>
          <w:u w:val="single"/>
        </w:rPr>
        <w:t xml:space="preserve">8.1.2 尾款支付时间：服务结束并验收合格,采购人收到发票后15日内，尾款支付比例：合同金额的**%。</w:t>
      </w:r>
      <w:r>
        <w:rPr>
          <w:rFonts w:hint="eastAsia" w:hAnsi="宋体"/>
          <w:sz w:val="24"/>
          <w:szCs w:val="24"/>
          <w:u w:val="single"/>
        </w:rPr>
      </w:r>
      <w:r/>
    </w:p>
    <w:p>
      <w:pPr>
        <w:pStyle w:val="662"/>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62"/>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0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0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0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0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0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0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0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0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0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0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0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0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0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0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0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0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0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0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ascii="宋体" w:hAnsi="宋体" w:eastAsia="宋体" w:cs="Courier New"/>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70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0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0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0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0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02"/>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120614244"/>
      <w:r/>
      <w:bookmarkStart w:id="192" w:name="_Toc20823346"/>
      <w:r/>
      <w:r/>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662"/>
        <w:spacing w:line="0" w:lineRule="atLeast"/>
        <w:rPr>
          <w:rFonts w:hint="eastAsia" w:ascii="宋体" w:hAnsi="宋体"/>
          <w:color w:val="000000"/>
          <w:sz w:val="24"/>
          <w:szCs w:val="24"/>
          <w:highlight w:val="yellow"/>
        </w:rPr>
      </w:pPr>
      <w:r/>
      <w:bookmarkStart w:id="195" w:name="_Toc26554093"/>
      <w:r/>
      <w:bookmarkStart w:id="196" w:name="_Toc49090575"/>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662"/>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662"/>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3819"/>
        <w:gridCol w:w="3618"/>
      </w:tblGrid>
      <w:tr>
        <w:trPr>
          <w:cantSplit/>
          <w:trHeight w:val="962"/>
        </w:trPr>
        <w:tc>
          <w:tcPr>
            <w:tcW w:w="1281" w:type="dxa"/>
            <w:vAlign w:val="center"/>
            <w:textDirection w:val="lrTb"/>
            <w:noWrap w:val="false"/>
          </w:tcPr>
          <w:p>
            <w:pPr>
              <w:pStyle w:val="662"/>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序号</w:t>
            </w:r>
            <w:r>
              <w:rPr>
                <w:rFonts w:ascii="仿宋" w:hAnsi="仿宋" w:eastAsia="仿宋"/>
                <w:color w:val="000000"/>
                <w:sz w:val="24"/>
                <w:szCs w:val="24"/>
              </w:rPr>
            </w:r>
            <w:r/>
          </w:p>
        </w:tc>
        <w:tc>
          <w:tcPr>
            <w:tcW w:w="3819" w:type="dxa"/>
            <w:vAlign w:val="center"/>
            <w:textDirection w:val="lrTb"/>
            <w:noWrap w:val="false"/>
          </w:tcPr>
          <w:p>
            <w:pPr>
              <w:pStyle w:val="662"/>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rPr>
                <w:rFonts w:ascii="仿宋" w:hAnsi="仿宋" w:eastAsia="仿宋"/>
                <w:color w:val="000000"/>
                <w:sz w:val="24"/>
                <w:szCs w:val="24"/>
              </w:rPr>
            </w:r>
            <w:r/>
          </w:p>
        </w:tc>
        <w:tc>
          <w:tcPr>
            <w:tcW w:w="3618" w:type="dxa"/>
            <w:vAlign w:val="center"/>
            <w:textDirection w:val="lrTb"/>
            <w:noWrap w:val="false"/>
          </w:tcPr>
          <w:p>
            <w:pPr>
              <w:pStyle w:val="662"/>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小企业划分标准所属行业</w:t>
            </w:r>
            <w:r>
              <w:rPr>
                <w:rFonts w:ascii="仿宋" w:hAnsi="仿宋" w:eastAsia="仿宋"/>
                <w:color w:val="000000"/>
                <w:sz w:val="24"/>
                <w:szCs w:val="24"/>
              </w:rPr>
            </w:r>
            <w:r/>
          </w:p>
        </w:tc>
      </w:tr>
      <w:tr>
        <w:trPr>
          <w:cantSplit/>
          <w:trHeight w:val="962"/>
        </w:trPr>
        <w:tc>
          <w:tcPr>
            <w:tcW w:w="1281" w:type="dxa"/>
            <w:vAlign w:val="top"/>
            <w:textDirection w:val="lrTb"/>
            <w:noWrap w:val="false"/>
          </w:tcPr>
          <w:p>
            <w:pPr>
              <w:pStyle w:val="662"/>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1</w:t>
            </w:r>
            <w:r>
              <w:rPr>
                <w:rFonts w:ascii="仿宋" w:hAnsi="仿宋" w:eastAsia="仿宋"/>
                <w:color w:val="000000"/>
                <w:sz w:val="24"/>
                <w:szCs w:val="24"/>
              </w:rPr>
            </w:r>
            <w:r/>
          </w:p>
        </w:tc>
        <w:tc>
          <w:tcPr>
            <w:tcW w:w="3819" w:type="dxa"/>
            <w:vAlign w:val="center"/>
            <w:textDirection w:val="lrTb"/>
            <w:noWrap w:val="false"/>
          </w:tcPr>
          <w:p>
            <w:pPr>
              <w:pStyle w:val="662"/>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肺部疾病智能影像辅助诊断系统</w:t>
            </w:r>
            <w:r>
              <w:rPr>
                <w:rFonts w:hint="eastAsia" w:ascii="仿宋" w:hAnsi="仿宋" w:eastAsia="仿宋" w:cs="Times New Roman"/>
                <w:color w:val="000000"/>
                <w:sz w:val="24"/>
                <w:szCs w:val="24"/>
              </w:rPr>
            </w:r>
            <w:r/>
          </w:p>
        </w:tc>
        <w:tc>
          <w:tcPr>
            <w:tcW w:w="3618" w:type="dxa"/>
            <w:vAlign w:val="center"/>
            <w:textDirection w:val="lrTb"/>
            <w:noWrap w:val="false"/>
          </w:tcPr>
          <w:p>
            <w:pPr>
              <w:pStyle w:val="662"/>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软件和信息技术服务业</w:t>
            </w:r>
            <w:r>
              <w:rPr>
                <w:rFonts w:hint="eastAsia" w:ascii="仿宋" w:hAnsi="仿宋" w:eastAsia="仿宋" w:cs="Times New Roman"/>
                <w:color w:val="000000"/>
                <w:sz w:val="24"/>
                <w:szCs w:val="24"/>
              </w:rPr>
            </w:r>
            <w:r/>
          </w:p>
        </w:tc>
      </w:tr>
      <w:tr>
        <w:trPr>
          <w:cantSplit/>
          <w:trHeight w:val="962"/>
        </w:trPr>
        <w:tc>
          <w:tcPr>
            <w:tcW w:w="1281" w:type="dxa"/>
            <w:vAlign w:val="top"/>
            <w:textDirection w:val="lrTb"/>
            <w:noWrap w:val="false"/>
          </w:tcPr>
          <w:p>
            <w:pPr>
              <w:pStyle w:val="662"/>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2</w:t>
            </w:r>
            <w:r>
              <w:rPr>
                <w:rFonts w:ascii="仿宋" w:hAnsi="仿宋" w:eastAsia="仿宋"/>
                <w:color w:val="000000"/>
                <w:sz w:val="24"/>
                <w:szCs w:val="24"/>
              </w:rPr>
            </w:r>
            <w:r/>
          </w:p>
        </w:tc>
        <w:tc>
          <w:tcPr>
            <w:tcW w:w="3819" w:type="dxa"/>
            <w:vAlign w:val="center"/>
            <w:textDirection w:val="lrTb"/>
            <w:noWrap w:val="false"/>
          </w:tcPr>
          <w:p>
            <w:pPr>
              <w:pStyle w:val="662"/>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胸部骨折智能影像辅助诊断系统</w:t>
            </w:r>
            <w:r>
              <w:rPr>
                <w:rFonts w:hint="eastAsia" w:ascii="仿宋" w:hAnsi="仿宋" w:eastAsia="仿宋" w:cs="Times New Roman"/>
                <w:color w:val="000000"/>
                <w:sz w:val="24"/>
                <w:szCs w:val="24"/>
              </w:rPr>
            </w:r>
            <w:r/>
          </w:p>
        </w:tc>
        <w:tc>
          <w:tcPr>
            <w:tcW w:w="3618" w:type="dxa"/>
            <w:vAlign w:val="center"/>
            <w:textDirection w:val="lrTb"/>
            <w:noWrap w:val="false"/>
          </w:tcPr>
          <w:p>
            <w:pPr>
              <w:pStyle w:val="662"/>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软件和信息技术服务业</w:t>
            </w:r>
            <w:r>
              <w:rPr>
                <w:rFonts w:hint="eastAsia" w:ascii="仿宋" w:hAnsi="仿宋" w:eastAsia="仿宋" w:cs="Times New Roman"/>
                <w:color w:val="000000"/>
                <w:sz w:val="24"/>
                <w:szCs w:val="24"/>
              </w:rPr>
            </w:r>
            <w:r/>
          </w:p>
        </w:tc>
      </w:tr>
      <w:tr>
        <w:trPr>
          <w:cantSplit/>
          <w:trHeight w:val="496"/>
        </w:trPr>
        <w:tc>
          <w:tcPr>
            <w:tcW w:w="1281" w:type="dxa"/>
            <w:vAlign w:val="top"/>
            <w:textDirection w:val="lrTb"/>
            <w:noWrap w:val="false"/>
          </w:tcPr>
          <w:p>
            <w:pPr>
              <w:pStyle w:val="662"/>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3</w:t>
            </w:r>
            <w:r>
              <w:rPr>
                <w:rFonts w:ascii="仿宋" w:hAnsi="仿宋" w:eastAsia="仿宋"/>
                <w:color w:val="000000"/>
                <w:sz w:val="24"/>
                <w:szCs w:val="24"/>
              </w:rPr>
            </w:r>
            <w:r/>
          </w:p>
        </w:tc>
        <w:tc>
          <w:tcPr>
            <w:tcW w:w="3819" w:type="dxa"/>
            <w:vAlign w:val="center"/>
            <w:textDirection w:val="lrTb"/>
            <w:noWrap w:val="false"/>
          </w:tcPr>
          <w:p>
            <w:pPr>
              <w:pStyle w:val="662"/>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防勒索系统</w:t>
            </w:r>
            <w:r>
              <w:rPr>
                <w:rFonts w:hint="eastAsia" w:ascii="仿宋" w:hAnsi="仿宋" w:eastAsia="仿宋" w:cs="Times New Roman"/>
                <w:color w:val="000000"/>
                <w:sz w:val="24"/>
                <w:szCs w:val="24"/>
              </w:rPr>
            </w:r>
            <w:r/>
          </w:p>
        </w:tc>
        <w:tc>
          <w:tcPr>
            <w:tcW w:w="3618" w:type="dxa"/>
            <w:vAlign w:val="center"/>
            <w:textDirection w:val="lrTb"/>
            <w:noWrap w:val="false"/>
          </w:tcPr>
          <w:p>
            <w:pPr>
              <w:pStyle w:val="662"/>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软件和信息技术服务业</w:t>
            </w:r>
            <w:r>
              <w:rPr>
                <w:rFonts w:hint="eastAsia" w:ascii="仿宋" w:hAnsi="仿宋" w:eastAsia="仿宋" w:cs="Times New Roman"/>
                <w:color w:val="000000"/>
                <w:sz w:val="24"/>
                <w:szCs w:val="24"/>
              </w:rPr>
            </w:r>
            <w:r/>
          </w:p>
        </w:tc>
      </w:tr>
    </w:tbl>
    <w:p>
      <w:pPr>
        <w:pStyle w:val="662"/>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r>
      <w:r/>
    </w:p>
    <w:p>
      <w:pPr>
        <w:pStyle w:val="662"/>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rPr>
          <w:rFonts w:hint="eastAsia" w:ascii="宋体" w:hAnsi="宋体"/>
          <w:color w:val="000000"/>
          <w:sz w:val="24"/>
          <w:szCs w:val="24"/>
          <w:highlight w:val="yellow"/>
        </w:rPr>
      </w:r>
      <w:r/>
    </w:p>
    <w:p>
      <w:pPr>
        <w:pStyle w:val="662"/>
        <w:ind w:firstLine="480"/>
        <w:spacing w:line="0" w:lineRule="atLeast"/>
        <w:rPr>
          <w:rFonts w:hint="eastAsia"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rPr>
          <w:rFonts w:hint="eastAsia" w:ascii="宋体" w:hAnsi="宋体"/>
          <w:bCs/>
          <w:sz w:val="24"/>
          <w:szCs w:val="24"/>
        </w:rPr>
      </w:r>
      <w:r/>
    </w:p>
    <w:p>
      <w:pPr>
        <w:pStyle w:val="662"/>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Times New Roman"/>
          <w:bCs/>
          <w:sz w:val="24"/>
          <w:szCs w:val="24"/>
          <w:highlight w:val="none"/>
        </w:rPr>
        <w:t xml:space="preserve">〔202</w:t>
      </w: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65</w:t>
      </w:r>
      <w:r>
        <w:rPr>
          <w:rFonts w:hint="eastAsia" w:ascii="宋体" w:hAnsi="宋体" w:eastAsia="宋体" w:cs="Times New Roman"/>
          <w:bCs/>
          <w:sz w:val="24"/>
          <w:szCs w:val="24"/>
          <w:highlight w:val="none"/>
        </w:rPr>
        <w:t xml:space="preserve">号</w:t>
      </w:r>
      <w:r>
        <w:rPr>
          <w:rFonts w:hint="eastAsia" w:ascii="宋体" w:hAnsi="宋体" w:eastAsia="宋体"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hint="eastAsia" w:ascii="宋体" w:hAnsi="宋体" w:eastAsia="宋体" w:cs="Times New Roman"/>
          <w:bCs/>
          <w:sz w:val="24"/>
          <w:szCs w:val="24"/>
          <w:highlight w:val="none"/>
          <w:lang w:eastAsia="zh-CN"/>
        </w:rPr>
      </w:r>
      <w:r/>
    </w:p>
    <w:p>
      <w:pPr>
        <w:pStyle w:val="674"/>
        <w:rPr>
          <w:rFonts w:hint="eastAsia"/>
        </w:rPr>
      </w:pPr>
      <w:r>
        <w:rPr>
          <w:rFonts w:hint="eastAsia"/>
        </w:rPr>
      </w:r>
      <w:r/>
    </w:p>
    <w:p>
      <w:pPr>
        <w:pStyle w:val="662"/>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 xml:space="preserve">三、商务要求</w:t>
      </w:r>
      <w:r>
        <w:rPr>
          <w:rFonts w:hint="eastAsia" w:ascii="仿宋" w:hAnsi="仿宋" w:eastAsia="仿宋" w:cs="Times New Roman"/>
          <w:b/>
          <w:color w:val="000000"/>
          <w:sz w:val="24"/>
          <w:szCs w:val="24"/>
          <w:lang w:eastAsia="zh-CN"/>
        </w:rPr>
      </w:r>
      <w:r/>
    </w:p>
    <w:p>
      <w:pPr>
        <w:pStyle w:val="662"/>
        <w:ind w:firstLine="480"/>
        <w:spacing w:line="0" w:lineRule="atLeast"/>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662"/>
        <w:spacing w:line="0" w:lineRule="atLeast"/>
        <w:rPr>
          <w:rFonts w:ascii="宋体" w:hAnsi="宋体"/>
          <w:bCs/>
          <w:sz w:val="24"/>
          <w:szCs w:val="24"/>
        </w:rPr>
      </w:pP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ascii="宋体" w:hAnsi="宋体"/>
          <w:bCs/>
          <w:sz w:val="24"/>
          <w:szCs w:val="24"/>
        </w:rPr>
      </w:r>
      <w:r/>
    </w:p>
    <w:p>
      <w:pPr>
        <w:pStyle w:val="674"/>
        <w:rPr>
          <w:rFonts w:hint="eastAsia"/>
        </w:rPr>
      </w:pPr>
      <w:r>
        <w:rPr>
          <w:rFonts w:hint="eastAsia"/>
        </w:rPr>
      </w:r>
      <w:r/>
    </w:p>
    <w:p>
      <w:pPr>
        <w:pStyle w:val="662"/>
        <w:numPr>
          <w:ilvl w:val="0"/>
          <w:numId w:val="5"/>
        </w:numPr>
        <w:spacing w:line="0" w:lineRule="atLeast"/>
        <w:rPr>
          <w:rFonts w:hint="eastAsia"/>
          <w:sz w:val="24"/>
          <w:szCs w:val="24"/>
        </w:rPr>
      </w:pPr>
      <w:r>
        <w:rPr>
          <w:rFonts w:hint="eastAsia"/>
          <w:sz w:val="24"/>
          <w:szCs w:val="24"/>
        </w:rPr>
        <w:t xml:space="preserve">采购标的需实现的功能或者目标，以及为落实政府采购政策需满足的要求；</w:t>
      </w:r>
      <w:r>
        <w:rPr>
          <w:rFonts w:hint="eastAsia"/>
          <w:sz w:val="24"/>
          <w:szCs w:val="24"/>
        </w:rPr>
      </w:r>
      <w:r/>
    </w:p>
    <w:p>
      <w:pPr>
        <w:pStyle w:val="662"/>
        <w:ind w:firstLine="315"/>
        <w:spacing w:line="460" w:lineRule="exact"/>
        <w:rPr>
          <w:highlight w:val="none"/>
        </w:rPr>
      </w:pPr>
      <w:r>
        <w:rPr>
          <w:rFonts w:hint="eastAsia" w:ascii="宋体" w:hAnsi="宋体" w:eastAsia="宋体" w:cs="宋体"/>
          <w:bCs/>
          <w:highlight w:val="none"/>
        </w:rPr>
        <w:t xml:space="preserve">随着就诊服务需求不断增加，我院影像检查业务持续高负荷运转，针对目前存在的“医生与影像供给不均、人工阅片效率低”等问题，我院研究探索通过人工智能辅助手段进行改善。现拟采购人工智能影像辅助筛查系统，支持基于人工智能的智能影像筛查、智能鉴别诊断应用，提升医疗影像辅助筛查水平，提升医生工作效率，提高病灶检出率与精准率，提升百姓就医服务满意度。</w:t>
      </w:r>
      <w:r>
        <w:rPr>
          <w:highlight w:val="none"/>
        </w:rPr>
      </w:r>
      <w:r/>
    </w:p>
    <w:p>
      <w:pPr>
        <w:pStyle w:val="674"/>
        <w:numPr>
          <w:ilvl w:val="0"/>
          <w:numId w:val="0"/>
        </w:numPr>
      </w:pPr>
      <w:r/>
      <w:r/>
    </w:p>
    <w:p>
      <w:pPr>
        <w:pStyle w:val="662"/>
        <w:numPr>
          <w:ilvl w:val="0"/>
          <w:numId w:val="5"/>
        </w:numPr>
        <w:ind w:left="0" w:firstLine="0"/>
        <w:spacing w:line="0" w:lineRule="atLeast"/>
        <w:rPr>
          <w:rFonts w:hint="eastAsia"/>
          <w:sz w:val="24"/>
          <w:szCs w:val="24"/>
        </w:rPr>
      </w:pPr>
      <w:r>
        <w:rPr>
          <w:rFonts w:hint="eastAsia"/>
          <w:sz w:val="24"/>
          <w:szCs w:val="24"/>
        </w:rPr>
        <w:t xml:space="preserve">采购标的需执行的国家相关标准、行业标准、地方标准或者其他标准、规范；</w:t>
      </w:r>
      <w:r>
        <w:rPr>
          <w:rFonts w:hint="eastAsia"/>
          <w:sz w:val="24"/>
          <w:szCs w:val="24"/>
        </w:rPr>
      </w:r>
      <w:r/>
    </w:p>
    <w:p>
      <w:pPr>
        <w:pStyle w:val="662"/>
        <w:ind w:firstLine="315"/>
        <w:spacing w:line="460" w:lineRule="exact"/>
        <w:rPr>
          <w:highlight w:val="none"/>
        </w:rPr>
      </w:pPr>
      <w:r>
        <w:rPr>
          <w:rFonts w:hint="eastAsia" w:ascii="宋体" w:hAnsi="宋体" w:eastAsia="宋体" w:cs="宋体"/>
          <w:bCs/>
          <w:highlight w:val="none"/>
        </w:rPr>
        <w:t xml:space="preserve">产品的技术标准按国家标准执行，无国家标准的，按行业标准执行，无国家和行业标准的，按企业标准执行；但在采购文件中有特别要求的，按采购文件中规定的要求执行，并且符合相关法律、法规规定的要求。</w:t>
      </w:r>
      <w:r>
        <w:rPr>
          <w:highlight w:val="none"/>
        </w:rPr>
      </w:r>
      <w:r/>
    </w:p>
    <w:p>
      <w:pPr>
        <w:pStyle w:val="674"/>
        <w:numPr>
          <w:ilvl w:val="0"/>
          <w:numId w:val="0"/>
        </w:numPr>
      </w:pPr>
      <w:r/>
      <w:r/>
    </w:p>
    <w:p>
      <w:pPr>
        <w:pStyle w:val="662"/>
        <w:numPr>
          <w:ilvl w:val="0"/>
          <w:numId w:val="5"/>
        </w:numPr>
        <w:ind w:left="0" w:firstLine="0"/>
        <w:spacing w:line="0" w:lineRule="atLeast"/>
        <w:rPr>
          <w:rFonts w:hint="eastAsia"/>
          <w:sz w:val="24"/>
          <w:szCs w:val="24"/>
        </w:rPr>
      </w:pPr>
      <w:r>
        <w:rPr>
          <w:rFonts w:hint="eastAsia"/>
          <w:sz w:val="24"/>
          <w:szCs w:val="24"/>
        </w:rPr>
        <w:t xml:space="preserve">采购标的需满足的质量、安全、技术规格、物理特性等要求；</w:t>
      </w:r>
      <w:r>
        <w:rPr>
          <w:rFonts w:hint="eastAsia"/>
          <w:sz w:val="24"/>
          <w:szCs w:val="24"/>
        </w:rPr>
      </w:r>
      <w:r/>
    </w:p>
    <w:p>
      <w:pPr>
        <w:pStyle w:val="776"/>
        <w:numPr>
          <w:ilvl w:val="2"/>
          <w:numId w:val="0"/>
        </w:numPr>
        <w:spacing w:before="120" w:after="12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系统架构与平台功能</w:t>
      </w:r>
      <w:r>
        <w:rPr>
          <w:rFonts w:hint="eastAsia" w:ascii="宋体" w:hAnsi="宋体" w:eastAsia="宋体" w:cs="宋体"/>
          <w:color w:val="000000"/>
          <w:sz w:val="21"/>
          <w:szCs w:val="21"/>
          <w:highlight w:val="none"/>
        </w:rPr>
      </w:r>
      <w:r/>
    </w:p>
    <w:tbl>
      <w:tblPr>
        <w:tblStyle w:val="778"/>
        <w:tblW w:w="89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7655"/>
      </w:tblGrid>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技术规格和服务要求</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系统架构及技术规格</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系统架构：B/S架构设计</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支持常见医疗影像设备直接连接，在统一网络环境中可以支持影像设备的主动推送DICOM影像</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支持医院PACS/RIS系统对接，传输DICOM图像信息及RIS跳转整合</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具有影像过滤功能，可以快速且有效地筛选需要服务器智能预测的影像</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支持常见的NFS协议，支持虚拟硬盘远程挂载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支持将AI预测结果归档回传PACS，将带AI预测结果的影像长期存储在PACS，并可应用PACS所有功能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1.6.1</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应支持 GSPS（灰度拷贝显示状态）回传归档方式，按照DICOM GSPS协议创建归档序列回传PACS</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1.6.2</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支持关键序列回传归档方式，可截取原始DICOM中含有病灶的关键层面与结节信息，生成独立序列回传PACS</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软件与主流报告终端及后处理工作站兼容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提供软件配套的基础承载环境</w:t>
            </w:r>
            <w:r>
              <w:rPr>
                <w:rFonts w:ascii="宋体" w:hAnsi="宋体" w:eastAsia="宋体" w:cs="宋体"/>
                <w:sz w:val="21"/>
                <w:szCs w:val="21"/>
                <w:highlight w:val="none"/>
                <w:lang w:val="en-US" w:eastAsia="zh-CN"/>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平台管理功能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具备对影像数据统一管理的功能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具备影像数据列表显示功能，并在列表中显示病例的编号、姓名、病例号、检查号、设备类型、检查日期、预测结果等信息</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具备影像数据排序功能，可在列表中按序号、病历号、检查号、检查日期等对病例数据进行排序</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具备影像数据搜索功能，可通过输入患者姓名、病历号、检查号、检查日期区间等信息进行影像数据搜索</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具备对数据进行重新预测、优先预测、删除等操作的功能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具备预测结果显示功能，可在影像数据列表中显示预测结果和正在预测中的状态</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具备对系统用户统一管理的功能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具备用户添加、删除及密码修改的功能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具备多选病例并进行批量管理与修改操作的功能</w:t>
            </w:r>
            <w:r>
              <w:rPr>
                <w:rFonts w:hint="eastAsia" w:ascii="宋体" w:hAnsi="宋体" w:eastAsia="宋体" w:cs="宋体"/>
                <w:sz w:val="21"/>
                <w:szCs w:val="21"/>
                <w:highlight w:val="none"/>
              </w:rPr>
            </w:r>
            <w:r/>
          </w:p>
        </w:tc>
      </w:tr>
      <w:tr>
        <w:trPr>
          <w:trHeight w:val="454"/>
        </w:trPr>
        <w:tc>
          <w:tcPr>
            <w:tcW w:w="126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w:t>
            </w:r>
            <w:r>
              <w:rPr>
                <w:rFonts w:hint="eastAsia" w:ascii="宋体" w:hAnsi="宋体" w:eastAsia="宋体" w:cs="宋体"/>
                <w:sz w:val="21"/>
                <w:szCs w:val="21"/>
                <w:highlight w:val="none"/>
              </w:rPr>
            </w:r>
            <w:r/>
          </w:p>
        </w:tc>
        <w:tc>
          <w:tcPr>
            <w:tcW w:w="765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具备影像数据本地上传功能</w:t>
            </w:r>
            <w:r>
              <w:rPr>
                <w:rFonts w:hint="eastAsia" w:ascii="宋体" w:hAnsi="宋体" w:eastAsia="宋体" w:cs="宋体"/>
                <w:sz w:val="21"/>
                <w:szCs w:val="21"/>
                <w:highlight w:val="none"/>
              </w:rPr>
            </w:r>
            <w:r/>
          </w:p>
        </w:tc>
      </w:tr>
    </w:tbl>
    <w:p>
      <w:pPr>
        <w:pStyle w:val="776"/>
        <w:numPr>
          <w:ilvl w:val="2"/>
          <w:numId w:val="0"/>
        </w:numPr>
        <w:spacing w:before="120" w:after="12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肺部疾病智能影像辅助诊断系统</w:t>
      </w:r>
      <w:r>
        <w:rPr>
          <w:rFonts w:hint="eastAsia" w:ascii="宋体" w:hAnsi="宋体" w:eastAsia="宋体" w:cs="宋体"/>
          <w:color w:val="000000"/>
          <w:sz w:val="21"/>
          <w:szCs w:val="21"/>
          <w:highlight w:val="none"/>
          <w:lang w:val="en-US" w:eastAsia="zh-CN"/>
        </w:rPr>
      </w:r>
      <w:r/>
    </w:p>
    <w:tbl>
      <w:tblPr>
        <w:tblW w:w="88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765"/>
      </w:tblGrid>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基础阅片功能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具备图像放大与缩小功能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具备图像窗宽窗位的调整功能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具备拖动鼠标调节窗宽窗位功能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具备自定义预设图像窗宽窗位自功能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具备多种图像测量工具包括：长度测量、角度测量、点测量、区域测量多边形、闭合曲线等</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具备标签功能，可添加文本标签和箭头标签</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具备序列电影播放功能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具备图像放大镜功能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四角信息显示</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具备四角信息显示/隐藏功能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具备四角信息自定义功能。可根据科室习惯对四角信息（如：医院、检查时间、患者姓名、设备型号、当前缩放比、窗宽窗位、当前CT值等）进行自定义配置</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具备恢复设置功能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病灶增强显示功能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具备自动显示医学图像中的病灶，并用标记框框选的功能。标记框支持显示和隐藏</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具备将所有检出的肺结节以列表形式展现在界面上的功能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具备自动分析结节性质信息（钙化、实性、纯磨玻璃、混合磨玻璃、疑似肿块、胸膜、叶间裂）的功能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具备自动分析结节长径数据和平均径数据；自动分析结节体积数据、结节密度数据、结节位置信息（肺叶/肺段位置）的功能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具备多平面重建(MPR)功能，方便在不同角度上观察同一结节病灶。支持轴位、冠状位、矢状位图像层厚和层间距调整并支持正交十字线的任意角度旋转</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具备最大/最小密度（MIP/MinIP）投影重建功能，并支持轴位，矢状位，冠状位保持同步。支持轴位、冠状位、矢状位图像层厚和层间距调整并支持正交十字线的任意角度旋转</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具备结节排序功能，应该包括按层面数，结节类型，长径大小，良恶性，左右肺不同排序方式</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具备结节筛选功能，应包括结节类型，长径大小。且具备多条件组合筛选，以满足特殊筛选需求；并按照结节大小，有选择地隐藏和显示感兴趣的结节</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具备一键式点击实现检出结节病灶的放大，移动及测量的功能，提高工作效率</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肺结节辅助诊断功能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3.1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结节参数分析</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仿宋" w:hAnsi="仿宋" w:eastAsia="仿宋" w:cs="宋体"/>
                <w:highlight w:val="none"/>
              </w:rPr>
              <w:t xml:space="preserve">★</w:t>
            </w:r>
            <w:r>
              <w:rPr>
                <w:rFonts w:hint="eastAsia" w:ascii="宋体" w:hAnsi="宋体" w:eastAsia="宋体" w:cs="宋体"/>
                <w:sz w:val="21"/>
                <w:szCs w:val="21"/>
                <w:highlight w:val="none"/>
              </w:rPr>
              <w:t xml:space="preserve">3.1.1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自动测量结节面积、体积数据（结节表面积、3D长径、3D最小径、最大面面积、结节质量），结节密度数据（CT最大值、最小值、平均值、中位数、标准值，实性占比）和结节影像组学参数，影像组学参数超1200种</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自动生成结节密度直方图。并在轴位图上用不同颜色展示结节实性成分和非实性成分区域。实性/非实性成分阈值可调整</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自动给出结节表征:</w:t>
            </w:r>
            <w:r>
              <w:rPr>
                <w:rFonts w:hint="eastAsia" w:ascii="宋体" w:hAnsi="宋体" w:eastAsia="宋体" w:cs="宋体"/>
                <w:sz w:val="21"/>
                <w:szCs w:val="21"/>
                <w:highlight w:val="none"/>
              </w:rPr>
            </w:r>
            <w:r/>
          </w:p>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支持29种表征类别，包括：</w:t>
            </w:r>
            <w:r>
              <w:rPr>
                <w:rFonts w:hint="eastAsia" w:ascii="宋体" w:hAnsi="宋体" w:eastAsia="宋体" w:cs="宋体"/>
                <w:sz w:val="21"/>
                <w:szCs w:val="21"/>
                <w:highlight w:val="none"/>
              </w:rPr>
            </w:r>
            <w:r/>
          </w:p>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结节形态：规则、不规则</w:t>
            </w:r>
            <w:r>
              <w:rPr>
                <w:rFonts w:hint="eastAsia" w:ascii="宋体" w:hAnsi="宋体" w:eastAsia="宋体" w:cs="宋体"/>
                <w:sz w:val="21"/>
                <w:szCs w:val="21"/>
                <w:highlight w:val="none"/>
              </w:rPr>
            </w:r>
            <w:r/>
          </w:p>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边缘：分叶、毛刺、光滑、棘状突起、边缘模糊</w:t>
            </w:r>
            <w:r>
              <w:rPr>
                <w:rFonts w:hint="eastAsia" w:ascii="宋体" w:hAnsi="宋体" w:eastAsia="宋体" w:cs="宋体"/>
                <w:sz w:val="21"/>
                <w:szCs w:val="21"/>
                <w:highlight w:val="none"/>
              </w:rPr>
            </w:r>
            <w:r/>
          </w:p>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内部结构：空泡征、囊状结构、空洞、伴钙化、脂肪、混杂密度、牛眼征、空气新月征</w:t>
            </w:r>
            <w:r>
              <w:rPr>
                <w:rFonts w:hint="eastAsia" w:ascii="宋体" w:hAnsi="宋体" w:eastAsia="宋体" w:cs="宋体"/>
                <w:sz w:val="21"/>
                <w:szCs w:val="21"/>
                <w:highlight w:val="none"/>
              </w:rPr>
            </w:r>
            <w:r/>
          </w:p>
          <w:p>
            <w:pPr>
              <w:pStyle w:val="66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邻近结构：卫星灶、胸膜凹陷、胸膜牵拉、胸膜侵犯、血管包被、血管集束、血管推移、血管穿行、血管增粗、血管模糊、支气管截断征、支气管扩张、支气管推移、充气支气管</w:t>
            </w:r>
            <w:r>
              <w:rPr>
                <w:rFonts w:hint="eastAsia" w:ascii="宋体" w:hAnsi="宋体" w:eastAsia="宋体" w:cs="宋体"/>
                <w:sz w:val="21"/>
                <w:szCs w:val="21"/>
                <w:highlight w:val="none"/>
                <w:lang w:eastAsia="zh-CN"/>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具备通过对CT单层图像的局部区域框选，可自动识别、新增结节的功能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具备自动对新增结节所在层面逐层生成标记框标记的功能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具备对新增结节自动分割，并自动逐层标记新增结节轮廓的功能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具备自动生成新增结节病灶卡的功能，并自动分析结节性质、所在层面、所在肺段、长短径、体积、CT值等信息</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具备新增结节轮廓增大调整功能。支持手动增大已经由AI自动识别出的结节轮廓，并自动重新分析结节性质、所在层面、所在肺段、长短径、体积、CT值等信息</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3.3.5</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具备新增结节轮廓缩小调整功能。支持手动缩小已经由AI自动识别出的结节轮廓，并自动重新分析结节性质、所在层面、所在肺段、长短径、体积、CT值等信息</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3.3.6</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具备新增结节自动生成描述信息的功能，描述内容包括，结节性质、所在层面、所在肺段、长短径、体积、结节表征、CT值、实性占比等</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3.3.7</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具备通过对CT单层图像局部区域框选自动新增结节，并自动生成该结节密度直方图的功能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3.3.8</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具备新增结节信息自动添加至图文报告的功能，自动添加内容包括，结节性质、所在层面、所在肺段、长短径、体积、结节表征、CT值、实性占比等</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3.3.9</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结节轮廓调整后的信息自动同步到诊断报告的功能。支持手动调整已由AI自动识别出的结节轮廓，并自动重新计算调整后结节的结节性质、所在层面、所在肺段、长短径、体积、CT值等信息，调整后重新计算的结果可实现在诊断报告栏的同步修改</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3.3.10</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结节轮廓调整后的信息自动同步到图文报告的功能。支持手动调整已由AI自动识别出的结节轮廓，并自动重新计算调整后结节的结节性质、所在层面、所在肺段、长短径、体积、CT值等信息，调整后重新计算的结果可以实现在图文报告的同步修改</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具备新增结节自动归档功能，支持自动将新增结节的关键层面图像及结节性质、所在层面、所在肺段、长短径、体积、CT值等信息自动分析并归档的功能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具备任意两次随访图像对比功能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具备自动调取患者历史影像数据，无需手动输入，实现前后片联动，对比分析结节历史影像表现，直观显示结节变化等信息的功能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具备本地上传患者历史数据，并与患者当前影像对比的功能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当前后片功能开启时，点击任一结节，可自动分析结节前后片的长短径、体积、CT值（最大、最小值）的变化，生成体积趋势预估图、密度分析图并自动计算倍增时间</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当前后片功能开启时，点击任一结节，提供前后片的结节实性部分占比变化、结节表征变化、结节质量变化、结节标准差变化等信息</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具备医生手动配准前后片功能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内置AI智能数据库，根据当前浏览影像，AI自动提供类似影像特征的图像，每个当前病例至少可匹配5例相似病例。相似病例具备病灶相似度百分比、结节实性占比和病理信息描述，用于辅助当前病例诊断与教学</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同时支持Brock、Mayo肺癌风险评估模型，结合患者年龄、性别，合并肺癌家族史与肺气肿史，评估结节的恶性概率</w:t>
            </w:r>
            <w:r>
              <w:rPr>
                <w:rFonts w:hint="eastAsia" w:ascii="宋体" w:hAnsi="宋体" w:eastAsia="宋体" w:cs="宋体"/>
                <w:sz w:val="21"/>
                <w:szCs w:val="21"/>
                <w:highlight w:val="none"/>
                <w:lang w:eastAsia="zh-CN"/>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患者随访管理</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仿宋" w:hAnsi="仿宋" w:eastAsia="仿宋" w:cs="宋体"/>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具备“加入随访”功能，具备将随访结果一键加入患者随访管理系统</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具备在随访系统中查询、添加、删除、归档患者任意一次随访记录</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具备在随访系统中生成Recist疗效评估建议，提供给医生作为参考</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具备病例收藏功能，且收藏列表支持批量修改和批量删除，并有单独控件</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结构化图文报告模块</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具备一键生成“图文报告”功能。并支持报告PACS推送功能，支持报告的保存、下载、推送、打印操作</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提供不少于10种随访指南（至少包括NCCN指南，RADS指南，Fleischner指南，中国专家共识指南，亚洲共识指南、中国县域指南、中国肺癌筛查标准、ACCP指南、亚太指南、《中国肺癌低剂量CT筛查指南（2023）》 ）</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在产品界面的“诊断报告”栏处，可直接选择超过10种诊断报告模板，已生成的诊断报告内容会根据模板选择自动调整</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提供不少于20种图文报告模板</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图文报告图片支持在报告编辑页的替换，可替换为预设截图、手工截图及本地上传图片</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图文报告可以报告或dicom格式回传至PACS</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智能胶片功能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具备胶片预排版功能。可预设置符合习惯的胶片图像和排版布局</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具备快速选片功能。可按图像类型快速调整胶片图像</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具备胶片布局快速调整功能。可根据需求快速调整指定胶片布局</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具备新增或删除胶片功能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具备胶片图像调整功能。可对胶片图像进行缩放、移动、窗宽窗位调整、拖拽、删除、显示/隐藏基本信息等操作，且支持批量操作</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具备将带有AI标记或手动标记的图像加入胶片</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具备自定义截图功能，可截取轴位、冠状位、矢状位、MIP、MinIP等多种序列的任意层面图像</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具备自定义图库功能。图库中的图像可以加入胶片，图库中已加入胶片的图像会有提示标识</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具备图像自动填充功能。自动填充胶片空白区域也可保留空白区域</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具备打印机设置功能。可设置打印尺寸、打印数量、打印模式、打印范围等</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具备胶片归档功能。以DICOM格式将胶片打印排版状态的图像推送至 PACS 存储</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投标产品性能需求</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产品具备较高成熟度：对超高分辨率（1024*1024）重建图像具有很好的兼容性</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产品对小结节具备高敏感性：产品对超高分辨率图像中≤4mm结节的敏感性＞96%</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对于超高分辨率图像中肺结节的敏感性≥97%</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投标产品在平扫图像和增强扫描动脉期、延迟期图像上都能有效检出病灶。对平扫、增强双期图像中的恶性亚实性结节（腺癌、不典型腺瘤样增生和原位腺癌结节)的检出敏感度都达到100%，</w:t>
            </w:r>
            <w:r>
              <w:rPr>
                <w:rFonts w:hint="eastAsia" w:ascii="宋体" w:hAnsi="宋体" w:eastAsia="宋体" w:cs="宋体"/>
                <w:sz w:val="21"/>
                <w:szCs w:val="21"/>
                <w:highlight w:val="none"/>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提供已发表</w:t>
            </w:r>
            <w:r>
              <w:rPr>
                <w:rFonts w:hint="eastAsia" w:ascii="宋体" w:hAnsi="宋体" w:cs="宋体"/>
                <w:b/>
                <w:bCs/>
                <w:sz w:val="21"/>
                <w:szCs w:val="21"/>
                <w:highlight w:val="none"/>
                <w:lang w:val="en-US" w:eastAsia="zh-CN"/>
              </w:rPr>
              <w:t xml:space="preserve">的</w:t>
            </w:r>
            <w:r>
              <w:rPr>
                <w:rFonts w:hint="eastAsia" w:ascii="宋体" w:hAnsi="宋体" w:eastAsia="宋体" w:cs="宋体"/>
                <w:b/>
                <w:bCs/>
                <w:sz w:val="21"/>
                <w:szCs w:val="21"/>
                <w:highlight w:val="none"/>
              </w:rPr>
              <w:t xml:space="preserve">临床验证文章</w:t>
            </w:r>
            <w:r>
              <w:rPr>
                <w:rFonts w:hint="eastAsia" w:ascii="宋体" w:hAnsi="宋体" w:cs="宋体"/>
                <w:b/>
                <w:bCs/>
                <w:sz w:val="21"/>
                <w:szCs w:val="21"/>
                <w:highlight w:val="none"/>
                <w:lang w:val="en-US" w:eastAsia="zh-CN"/>
              </w:rPr>
              <w:t xml:space="preserve">证明材料</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投标产品对能谱CT单能图像具有优异的检测性能。在无人工干预情况下，投标产品在85keV单能图像中对肺外带结节、肺内带结节、支气管血管树旁结节的敏感性都＞97%</w:t>
            </w:r>
            <w:r>
              <w:rPr>
                <w:rFonts w:hint="eastAsia" w:ascii="宋体" w:hAnsi="宋体" w:eastAsia="宋体" w:cs="宋体"/>
                <w:sz w:val="21"/>
                <w:szCs w:val="21"/>
                <w:highlight w:val="none"/>
                <w:lang w:eastAsia="zh-CN"/>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提供已发表</w:t>
            </w:r>
            <w:r>
              <w:rPr>
                <w:rFonts w:hint="eastAsia" w:ascii="宋体" w:hAnsi="宋体" w:cs="宋体"/>
                <w:b/>
                <w:bCs/>
                <w:sz w:val="21"/>
                <w:szCs w:val="21"/>
                <w:highlight w:val="none"/>
                <w:lang w:val="en-US" w:eastAsia="zh-CN"/>
              </w:rPr>
              <w:t xml:space="preserve">的</w:t>
            </w:r>
            <w:r>
              <w:rPr>
                <w:rFonts w:hint="eastAsia" w:ascii="宋体" w:hAnsi="宋体" w:eastAsia="宋体" w:cs="宋体"/>
                <w:b/>
                <w:bCs/>
                <w:sz w:val="21"/>
                <w:szCs w:val="21"/>
                <w:highlight w:val="none"/>
              </w:rPr>
              <w:t xml:space="preserve">临床验证文章</w:t>
            </w:r>
            <w:r>
              <w:rPr>
                <w:rFonts w:hint="eastAsia" w:ascii="宋体" w:hAnsi="宋体" w:cs="宋体"/>
                <w:b/>
                <w:bCs/>
                <w:sz w:val="21"/>
                <w:szCs w:val="21"/>
                <w:highlight w:val="none"/>
                <w:lang w:val="en-US" w:eastAsia="zh-CN"/>
              </w:rPr>
              <w:t xml:space="preserve">证明材料</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7765" w:type="dxa"/>
            <w:vAlign w:val="center"/>
            <w:textDirection w:val="lrTb"/>
            <w:noWrap w:val="false"/>
          </w:tcPr>
          <w:p>
            <w:pPr>
              <w:pStyle w:val="66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产品对不同层厚（0.625mm、1.25mm、2.5mm）重建图像中肺结节长径和体积的APE差异均无统计学意义(均P&gt;0.05) </w:t>
            </w:r>
            <w:r>
              <w:rPr>
                <w:rFonts w:hint="eastAsia" w:ascii="宋体" w:hAnsi="宋体" w:eastAsia="宋体" w:cs="宋体"/>
                <w:sz w:val="21"/>
                <w:szCs w:val="21"/>
                <w:highlight w:val="none"/>
                <w:lang w:eastAsia="zh-CN"/>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提供已发表</w:t>
            </w:r>
            <w:r>
              <w:rPr>
                <w:rFonts w:hint="eastAsia" w:ascii="宋体" w:hAnsi="宋体" w:cs="宋体"/>
                <w:b/>
                <w:bCs/>
                <w:sz w:val="21"/>
                <w:szCs w:val="21"/>
                <w:highlight w:val="none"/>
                <w:lang w:val="en-US" w:eastAsia="zh-CN"/>
              </w:rPr>
              <w:t xml:space="preserve">的</w:t>
            </w:r>
            <w:r>
              <w:rPr>
                <w:rFonts w:hint="eastAsia" w:ascii="宋体" w:hAnsi="宋体" w:eastAsia="宋体" w:cs="宋体"/>
                <w:b/>
                <w:bCs/>
                <w:sz w:val="21"/>
                <w:szCs w:val="21"/>
                <w:highlight w:val="none"/>
              </w:rPr>
              <w:t xml:space="preserve">临床验证文章</w:t>
            </w:r>
            <w:r>
              <w:rPr>
                <w:rFonts w:hint="eastAsia" w:ascii="宋体" w:hAnsi="宋体" w:cs="宋体"/>
                <w:b/>
                <w:bCs/>
                <w:sz w:val="21"/>
                <w:szCs w:val="21"/>
                <w:highlight w:val="none"/>
                <w:lang w:val="en-US" w:eastAsia="zh-CN"/>
              </w:rPr>
              <w:t xml:space="preserve">证明材料</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7765" w:type="dxa"/>
            <w:vAlign w:val="center"/>
            <w:textDirection w:val="lrTb"/>
            <w:noWrap w:val="false"/>
          </w:tcPr>
          <w:p>
            <w:pPr>
              <w:pStyle w:val="662"/>
              <w:numPr>
                <w:ilvl w:val="0"/>
                <w:numId w:val="0"/>
              </w:numPr>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产品能够在LDCT影像中，辅助低年资医生实现对血管粘连型肺结节(JVPN)的有效检出。（对肺门旁JVPN检出率＞94%、对肺中央区JVPN检出率＞96%、对＜5mmJVPN检出率＞95%）</w:t>
            </w:r>
            <w:r>
              <w:rPr>
                <w:rFonts w:hint="eastAsia" w:ascii="宋体" w:hAnsi="宋体" w:eastAsia="宋体" w:cs="宋体"/>
                <w:sz w:val="21"/>
                <w:szCs w:val="21"/>
                <w:highlight w:val="none"/>
                <w:lang w:eastAsia="zh-CN"/>
              </w:rPr>
            </w:r>
            <w:r/>
          </w:p>
          <w:p>
            <w:pPr>
              <w:pStyle w:val="662"/>
              <w:numPr>
                <w:ilvl w:val="0"/>
                <w:numId w:val="0"/>
              </w:numPr>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提供已发表</w:t>
            </w:r>
            <w:r>
              <w:rPr>
                <w:rFonts w:hint="eastAsia" w:ascii="宋体" w:hAnsi="宋体" w:cs="宋体"/>
                <w:b/>
                <w:bCs/>
                <w:sz w:val="21"/>
                <w:szCs w:val="21"/>
                <w:highlight w:val="none"/>
                <w:lang w:val="en-US" w:eastAsia="zh-CN"/>
              </w:rPr>
              <w:t xml:space="preserve">的</w:t>
            </w:r>
            <w:r>
              <w:rPr>
                <w:rFonts w:hint="eastAsia" w:ascii="宋体" w:hAnsi="宋体" w:eastAsia="宋体" w:cs="宋体"/>
                <w:b/>
                <w:bCs/>
                <w:sz w:val="21"/>
                <w:szCs w:val="21"/>
                <w:highlight w:val="none"/>
              </w:rPr>
              <w:t xml:space="preserve">临床验证文章</w:t>
            </w:r>
            <w:r>
              <w:rPr>
                <w:rFonts w:hint="eastAsia" w:ascii="宋体" w:hAnsi="宋体" w:cs="宋体"/>
                <w:b/>
                <w:bCs/>
                <w:sz w:val="21"/>
                <w:szCs w:val="21"/>
                <w:highlight w:val="none"/>
                <w:lang w:val="en-US" w:eastAsia="zh-CN"/>
              </w:rPr>
              <w:t xml:space="preserve">证明材料</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numPr>
                <w:ilvl w:val="0"/>
                <w:numId w:val="0"/>
              </w:num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投标产品资质要求</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仿宋" w:hAnsi="仿宋" w:eastAsia="仿宋" w:cs="宋体"/>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bottom"/>
            <w:textDirection w:val="lrTb"/>
            <w:noWrap w:val="false"/>
          </w:tcPr>
          <w:p>
            <w:pPr>
              <w:pStyle w:val="662"/>
              <w:numPr>
                <w:ilvl w:val="0"/>
                <w:numId w:val="0"/>
              </w:num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具备肺结节CT影像辅助检测软件中华人民共和国医疗器械注册证（三类证）</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numPr>
                <w:ilvl w:val="0"/>
                <w:numId w:val="0"/>
              </w:numPr>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产品具备中国软件行业协会颁发的软件产品证书</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多病种可配置显示，多病种有单独的报告</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淋巴结肿大自动检测功能模块。</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选中淋巴结病灶可自动高亮示意图中对应区域分组</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冠脉钙化积分自动检测功能模块</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提供钙化积分数值和风险评级</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有钙化风险提示时，自动跳转钙化灶最大的层面并显示相关信息</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囊状影、条索影自动检测功能：具备检出、定位功能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支持全肺VR功能，通过AI三维重建精准展示患者肺部解剖结构。</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支持立体360度自由旋转高便捷性、高自由度的查看功能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支持不同颜色单独展示肺叶三维轮廓</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系统支持全肺分析功能，对全肺、左右肺、肺叶进行精准识别，并提供对肺部体积、密度、肺气肿、间质性肺病、气体潴留的量化分析功能。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提供全肺、不同肺叶的密度体积分布波形及肺部体积测量、分析</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支持肺部密度值测量及分析，并提供CT标准差、CT值半峰全宽的分析，方便进行肺功能分析</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提供肺气肿分析，对肺部气肿体积及气肿占比分析，并DICOM中标识疑似气肿区域。</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提供间质性肺疾病（ILD）分析，对肺部疑似ILD区域进行体积及ILD占比分析，并在DICOM中标识疑似ILD区域。</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提供双气相潴留分析，对包含呼气相、吸气相两个序列的的检查进行肺体积、气体变化分析及平均肺密度E/I对比分析。</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提供气管分析功能，对气管进行三维重建、曲面重建、气管导航、气管横截面截图等，可辅助对支气管的检查。</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提供气管三维重建分析，对气管进行容积三维重建，重建精度可达到亚段级支气管（6-7级）。</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提供气管曲面重建，对选中的支气管进行伸展及拉直两种曲面重建，支持任意角度旋转及各视图的联动，以方便医生观察。</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支持支气管虚拟导航，对气管的空间重建，可进行虚拟支气管镜导航，并可显示导航路径和气管中线</w:t>
            </w:r>
            <w:r>
              <w:rPr>
                <w:rFonts w:hint="eastAsia" w:ascii="宋体" w:hAnsi="宋体" w:eastAsia="宋体" w:cs="宋体"/>
                <w:sz w:val="21"/>
                <w:szCs w:val="21"/>
                <w:highlight w:val="none"/>
              </w:rPr>
            </w:r>
            <w:r/>
          </w:p>
          <w:p>
            <w:pPr>
              <w:pStyle w:val="662"/>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根据不同用户，可在产品界面保存收藏相关病例，用于教学和科研，并提供快速查询功能</w:t>
            </w:r>
            <w:r>
              <w:rPr>
                <w:rFonts w:hint="eastAsia" w:ascii="宋体" w:hAnsi="宋体" w:eastAsia="宋体" w:cs="宋体"/>
                <w:sz w:val="21"/>
                <w:szCs w:val="21"/>
                <w:highlight w:val="none"/>
              </w:rPr>
            </w:r>
            <w:r/>
          </w:p>
        </w:tc>
      </w:tr>
      <w:tr>
        <w:trPr>
          <w:trHeight w:val="113"/>
        </w:trPr>
        <w:tc>
          <w:tcPr>
            <w:tcW w:w="1134" w:type="dxa"/>
            <w:vAlign w:val="center"/>
            <w:textDirection w:val="lrTb"/>
            <w:noWrap w:val="false"/>
          </w:tcPr>
          <w:p>
            <w:pPr>
              <w:pStyle w:val="662"/>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r>
            <w:r/>
          </w:p>
        </w:tc>
        <w:tc>
          <w:tcPr>
            <w:tcW w:w="7765" w:type="dxa"/>
            <w:vAlign w:val="center"/>
            <w:textDirection w:val="lrTb"/>
            <w:noWrap w:val="false"/>
          </w:tcPr>
          <w:p>
            <w:pPr>
              <w:pStyle w:val="662"/>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医生确认后，可一键生成图文报告。医生可根据具体要求，将图文报告中的logo替换为医院logo。</w:t>
            </w:r>
            <w:r>
              <w:rPr>
                <w:rFonts w:hint="eastAsia" w:ascii="宋体" w:hAnsi="宋体" w:eastAsia="宋体" w:cs="宋体"/>
                <w:sz w:val="21"/>
                <w:szCs w:val="21"/>
                <w:highlight w:val="none"/>
              </w:rPr>
            </w:r>
            <w:r/>
          </w:p>
        </w:tc>
      </w:tr>
    </w:tbl>
    <w:p>
      <w:pPr>
        <w:pStyle w:val="776"/>
        <w:numPr>
          <w:ilvl w:val="2"/>
          <w:numId w:val="0"/>
        </w:numPr>
        <w:spacing w:before="120" w:after="12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胸部骨折智能影像辅助诊断系统</w:t>
      </w:r>
      <w:r>
        <w:rPr>
          <w:rFonts w:hint="eastAsia" w:ascii="宋体" w:hAnsi="宋体" w:eastAsia="宋体" w:cs="宋体"/>
          <w:color w:val="000000"/>
          <w:sz w:val="21"/>
          <w:szCs w:val="21"/>
          <w:highlight w:val="none"/>
          <w:lang w:val="en-US" w:eastAsia="zh-CN"/>
        </w:rPr>
      </w:r>
      <w:r/>
    </w:p>
    <w:tbl>
      <w:tblPr>
        <w:tblStyle w:val="778"/>
        <w:tblW w:w="89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7786"/>
      </w:tblGrid>
      <w:tr>
        <w:trPr>
          <w:trHeight w:val="385"/>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骨折病灶检出功能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具备自动检出胸部骨骼可疑骨折病灶，并自动提示骨折位置信息（前／后，左／右位置）的功能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具备在右侧导航栏显示病灶所在层面位置的功能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具备将所有检测出的可疑骨折病灶以列表形式展现，并自动提示骨折分类信息（肋骨骨折、锁骨骨折、肩胛骨骨折、椎骨骨折、胸骨骨折、其他骨折）的功能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具备自动提示骨折性质信息（新鲜骨折、陈旧性骨折、半陈旧性骨折、骨破坏、骨转移、术后、其他骨折）的功能</w:t>
            </w:r>
            <w:r>
              <w:rPr>
                <w:rFonts w:hint="eastAsia" w:ascii="宋体" w:hAnsi="宋体" w:eastAsia="宋体" w:cs="宋体"/>
                <w:sz w:val="21"/>
                <w:szCs w:val="21"/>
                <w:highlight w:val="none"/>
              </w:rPr>
            </w:r>
            <w:r/>
          </w:p>
        </w:tc>
      </w:tr>
      <w:tr>
        <w:trPr>
          <w:trHeight w:val="519"/>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具备自动识别所有肋骨并将肋骨计数标记在DICOM每层图像上的功能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具备肋骨病灶分析功能。检出肋骨骨折后，能自动识别骨折位于1到12根肋骨中的哪一根肋骨，并自动体现在结构化报告中</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具备检出肋骨骨折后，自动在对应的每层DICOM影像上标注显示骨折区域的功能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具备在DICOM每层图像上自动识别胸椎，并自动计数的功能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具备新增病灶功能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具备手动标记，新增可疑病灶且标记病灶可删除的功能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在框选区域新增病灶并自动在病灶列表新增病灶卡，及自动生成骨病灶相关参数。包括所在层面、骨折性质、骨折部位、骨折类型等信息的功能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在诊断报告栏自动生成新增病灶的描述信息。描述内容包括，所在层面、骨折性质、骨折部位、骨折类型等信息的功能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1.9.4</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新增病灶信息可自动添加至图文报告。自动添加内容包括，所在层面、骨折性质、骨折部位、骨折类型等信息的功能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具备对病灶列表中的病灶筛选和排序的功能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按骨病灶类别（肋骨骨折、锁骨骨折、肩胛骨骨折、椎骨骨折、胸骨骨折、其他骨折）</w:t>
            </w:r>
            <w:bookmarkStart w:id="197" w:name="OLE_LINK3"/>
            <w:r>
              <w:rPr>
                <w:rFonts w:hint="eastAsia" w:ascii="宋体" w:hAnsi="宋体" w:eastAsia="宋体" w:cs="宋体"/>
                <w:sz w:val="21"/>
                <w:szCs w:val="21"/>
                <w:highlight w:val="none"/>
              </w:rPr>
              <w:t xml:space="preserve">筛选的功能</w:t>
            </w:r>
            <w:bookmarkEnd w:id="197"/>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按骨病灶性质（新鲜骨折、陈旧性骨折、半陈旧性骨折、骨破坏、骨转移、术后、骨密度异常、其他骨折、未知）筛选的功能</w:t>
            </w:r>
            <w:r>
              <w:rPr>
                <w:rFonts w:hint="eastAsia" w:ascii="宋体" w:hAnsi="宋体" w:eastAsia="宋体" w:cs="宋体"/>
                <w:sz w:val="21"/>
                <w:szCs w:val="21"/>
                <w:highlight w:val="none"/>
                <w:lang w:eastAsia="zh-CN"/>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1.10.3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具备病灶排序功能。提供按病灶层面数和左右肋的病灶排序</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具备骨折动态局部图功能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自动生成指定病灶骨折轴位局部动态图</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自动生成指定病灶骨折VMIP局部动态图</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每个病灶的轴位局部动态图和VMIP局部动态图都不少于12张</w:t>
            </w:r>
            <w:r>
              <w:rPr>
                <w:rFonts w:hint="eastAsia" w:ascii="宋体" w:hAnsi="宋体" w:eastAsia="宋体" w:cs="宋体"/>
                <w:sz w:val="21"/>
                <w:szCs w:val="21"/>
                <w:highlight w:val="none"/>
              </w:rPr>
            </w:r>
            <w:r/>
          </w:p>
        </w:tc>
      </w:tr>
      <w:tr>
        <w:trPr>
          <w:trHeight w:val="90"/>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重建功能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具备MPR功能，方便医生从轴位、冠状位、矢状位多角度观察。且三个方位图像间具备联动功能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具备MIP、MinIP展示功能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具备在冠状位、矢状位图像显示肋骨和椎骨计数的功能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具备胸部骨骼的VR重建功能，VR图像支持任意方位旋转，以便更直观地显示病灶</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具备胸部骨骼不同部位VR重建的单独显示功能。可单独显示，左侧肋骨、右侧肋骨、椎骨和其它骨的VR图像。且重建图像都支持任意角度旋转</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具备在VR图像上显示肋骨计数的功能。鼠标移动到VR图像的肋骨上，自动显示该肋骨的计数号</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具备在VR图像上标记病灶位置的功能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具备肋骨自动CPR重建功能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肋骨自动CPR重建功能，并提供拉直曲面重建（Straightened CPR）和伸展曲面重建（Stretched CPR）两种</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单根肋骨伸展曲面重建（Stretched CPR），图像具备360°旋转功能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肋骨拉直曲面重建（Straightened CPR），图像具备自动360°旋转功能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▲2.8.4</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单根、单侧、全部肋骨的拉直曲面重建（Straightened CPR）图像展示功能</w:t>
            </w:r>
            <w:r>
              <w:rPr>
                <w:rFonts w:hint="eastAsia" w:ascii="宋体" w:hAnsi="宋体" w:eastAsia="宋体" w:cs="宋体"/>
                <w:sz w:val="21"/>
                <w:szCs w:val="21"/>
                <w:highlight w:val="none"/>
                <w:lang w:eastAsia="zh-CN"/>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具备轴位图像、VR、拉直曲面重建（Straightened CPR）和伸展曲面重建（Stretched CPR）的联动展示功能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具备肋骨骨折病灶在VR、拉直曲面重建（Straightened CPR）和伸展曲面重建（Stretched CPR）的标记显示功能</w:t>
            </w:r>
            <w:r>
              <w:rPr>
                <w:rFonts w:hint="eastAsia" w:ascii="宋体" w:hAnsi="宋体" w:eastAsia="宋体" w:cs="宋体"/>
                <w:sz w:val="21"/>
                <w:szCs w:val="21"/>
                <w:highlight w:val="none"/>
              </w:rPr>
            </w:r>
            <w:r/>
          </w:p>
        </w:tc>
      </w:tr>
      <w:tr>
        <w:trPr/>
        <w:tc>
          <w:tcPr>
            <w:tcW w:w="1129" w:type="dxa"/>
            <w:vAlign w:val="top"/>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w:t>
            </w:r>
            <w:r>
              <w:rPr>
                <w:rFonts w:hint="eastAsia" w:ascii="宋体" w:hAnsi="宋体" w:eastAsia="宋体" w:cs="宋体"/>
                <w:sz w:val="21"/>
                <w:szCs w:val="21"/>
                <w:highlight w:val="none"/>
              </w:rPr>
            </w:r>
            <w:r/>
          </w:p>
        </w:tc>
        <w:tc>
          <w:tcPr>
            <w:tcW w:w="7786" w:type="dxa"/>
            <w:vAlign w:val="top"/>
            <w:textDirection w:val="lrTb"/>
            <w:noWrap w:val="false"/>
          </w:tcPr>
          <w:p>
            <w:pPr>
              <w:pStyle w:val="662"/>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具备肋骨类CPR重建功能。自动生成类轴位图像，并能够在该图像上展示该肋骨全貌的功能</w:t>
            </w:r>
            <w:r>
              <w:rPr>
                <w:rFonts w:hint="eastAsia" w:ascii="宋体" w:hAnsi="宋体" w:eastAsia="宋体" w:cs="宋体"/>
                <w:sz w:val="21"/>
                <w:szCs w:val="21"/>
                <w:highlight w:val="none"/>
                <w:lang w:eastAsia="zh-CN"/>
              </w:rPr>
            </w:r>
            <w:r/>
          </w:p>
          <w:p>
            <w:pPr>
              <w:pStyle w:val="662"/>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提供功能截图）</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结构化报告功能</w:t>
            </w:r>
            <w:r>
              <w:rPr>
                <w:rFonts w:hint="eastAsia" w:ascii="宋体" w:hAnsi="宋体" w:eastAsia="宋体" w:cs="宋体"/>
                <w:sz w:val="21"/>
                <w:szCs w:val="21"/>
                <w:highlight w:val="none"/>
              </w:rPr>
            </w:r>
            <w:r/>
          </w:p>
        </w:tc>
      </w:tr>
      <w:tr>
        <w:trPr>
          <w:trHeight w:val="90"/>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具备结构化报告一键复制功能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具备诊断报告栏一键清空功能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具备一键生成“图文报告”功能。并支持报告PACS推送功能，支持报告的保存、下载、推送、打印操作</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图文报告图片支持在报告编辑页的替换，可替换为预设截图、手工截图及本地上传图片</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图文报告可以报告或dicom格式回传至PACS</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智能胶片功能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具备胶片预排版功能。可预设置符合习惯的胶片图像和排版布局</w:t>
            </w:r>
            <w:r>
              <w:rPr>
                <w:rFonts w:hint="eastAsia" w:ascii="宋体" w:hAnsi="宋体" w:eastAsia="宋体" w:cs="宋体"/>
                <w:sz w:val="21"/>
                <w:szCs w:val="21"/>
                <w:highlight w:val="none"/>
              </w:rPr>
            </w:r>
            <w:r/>
          </w:p>
        </w:tc>
      </w:tr>
      <w:tr>
        <w:trPr>
          <w:trHeight w:val="90"/>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具备快速选片功能。可按图像类型快速调整胶片图像</w:t>
            </w:r>
            <w:r>
              <w:rPr>
                <w:rFonts w:hint="eastAsia" w:ascii="宋体" w:hAnsi="宋体" w:eastAsia="宋体" w:cs="宋体"/>
                <w:sz w:val="21"/>
                <w:szCs w:val="21"/>
                <w:highlight w:val="none"/>
              </w:rPr>
            </w:r>
            <w:r/>
          </w:p>
        </w:tc>
      </w:tr>
      <w:tr>
        <w:trPr>
          <w:trHeight w:val="90"/>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具备胶片布局快速调整功能。可根据需求快速调整指定胶片布局</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4.4</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具备新增或删除胶片功能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具备胶片图像调整功能。可对胶片图像进行缩放、移动、窗宽窗位调整、拖拽、删除、显示/隐藏基本信息等操作，且支持批量操作</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4.6</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具备将带有AI标记或手动标记的图像加入胶片</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4.7</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具备自定义截图功能，可截取轴位、冠状位、矢状位、MIP、MinIP、VR、拉直曲面重建、伸展曲面重建、两种曲面重建组合图等多种序列的任意层面、角度图像</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4.8</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具备自定义图库功能。图库中的图像可以加入胶片，图库中已加入胶片的图像会有提示标识</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具备图像自动填充功能。自动填充胶片空白区域也可保留空白区域</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4.10</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具备打印机设置功能。可设置打印尺寸、打印数量、打印模式、打印范围等</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具备胶片归档功能。以DICOM格式将胶片打印排版状态的图像推送至 PACS 存储</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投标产品性能</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w:t>
            </w:r>
            <w:r>
              <w:rPr>
                <w:rFonts w:hint="eastAsia" w:ascii="宋体" w:hAnsi="宋体" w:eastAsia="宋体" w:cs="宋体"/>
                <w:sz w:val="21"/>
                <w:szCs w:val="21"/>
                <w:highlight w:val="none"/>
              </w:rPr>
            </w:r>
            <w:r/>
          </w:p>
        </w:tc>
        <w:tc>
          <w:tcPr>
            <w:tcW w:w="7786" w:type="dxa"/>
            <w:vAlign w:val="center"/>
            <w:textDirection w:val="lrTb"/>
            <w:noWrap w:val="false"/>
          </w:tcPr>
          <w:p>
            <w:pPr>
              <w:pStyle w:val="662"/>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肋骨骨折的检测灵敏度＞87%，完全性骨折的检出率＞95%，陈旧性骨折的检出率＞85%</w:t>
            </w:r>
            <w:r>
              <w:rPr>
                <w:rFonts w:hint="eastAsia" w:ascii="宋体" w:hAnsi="宋体" w:eastAsia="宋体" w:cs="宋体"/>
                <w:sz w:val="21"/>
                <w:szCs w:val="21"/>
                <w:highlight w:val="none"/>
                <w:lang w:eastAsia="zh-CN"/>
              </w:rPr>
            </w:r>
            <w:r/>
          </w:p>
          <w:p>
            <w:pPr>
              <w:pStyle w:val="662"/>
              <w:jc w:val="lef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投标时</w:t>
            </w:r>
            <w:r>
              <w:rPr>
                <w:rFonts w:hint="eastAsia" w:ascii="宋体" w:hAnsi="宋体" w:eastAsia="宋体" w:cs="宋体"/>
                <w:b/>
                <w:bCs/>
                <w:sz w:val="21"/>
                <w:szCs w:val="21"/>
                <w:highlight w:val="none"/>
              </w:rPr>
              <w:t xml:space="preserve">提供已发表</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rPr>
              <w:t xml:space="preserve">临床验证文章</w:t>
            </w:r>
            <w:r>
              <w:rPr>
                <w:rFonts w:hint="eastAsia" w:ascii="宋体" w:hAnsi="宋体" w:eastAsia="宋体" w:cs="宋体"/>
                <w:b/>
                <w:bCs/>
                <w:sz w:val="21"/>
                <w:szCs w:val="21"/>
                <w:highlight w:val="none"/>
                <w:lang w:val="en-US" w:eastAsia="zh-CN"/>
              </w:rPr>
              <w:t xml:space="preserve">证明材料</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c>
      </w:tr>
      <w:tr>
        <w:trPr/>
        <w:tc>
          <w:tcPr>
            <w:tcW w:w="1129" w:type="dxa"/>
            <w:vAlign w:val="center"/>
            <w:textDirection w:val="lrTb"/>
            <w:noWrap w:val="false"/>
          </w:tcPr>
          <w:p>
            <w:pPr>
              <w:pStyle w:val="662"/>
              <w:jc w:val="center"/>
              <w:rPr>
                <w:rFonts w:hint="eastAsia" w:ascii="宋体" w:hAnsi="宋体" w:eastAsia="宋体" w:cs="宋体"/>
                <w:sz w:val="21"/>
                <w:szCs w:val="21"/>
                <w:highlight w:val="none"/>
              </w:rPr>
            </w:pPr>
            <w:r>
              <w:rPr>
                <w:rFonts w:hint="eastAsia" w:ascii="仿宋" w:hAnsi="仿宋" w:eastAsia="仿宋" w:cs="宋体"/>
                <w:highlight w:val="none"/>
              </w:rPr>
              <w:t xml:space="preserve">★</w:t>
            </w:r>
            <w:r>
              <w:rPr>
                <w:rFonts w:hint="eastAsia" w:ascii="宋体" w:hAnsi="宋体" w:eastAsia="宋体" w:cs="宋体"/>
                <w:sz w:val="21"/>
                <w:szCs w:val="21"/>
                <w:highlight w:val="none"/>
              </w:rPr>
              <w:t xml:space="preserve">5.2</w:t>
            </w:r>
            <w:r>
              <w:rPr>
                <w:rFonts w:hint="eastAsia" w:ascii="宋体" w:hAnsi="宋体" w:eastAsia="宋体" w:cs="宋体"/>
                <w:sz w:val="21"/>
                <w:szCs w:val="21"/>
                <w:highlight w:val="none"/>
              </w:rPr>
            </w:r>
            <w:r/>
          </w:p>
        </w:tc>
        <w:tc>
          <w:tcPr>
            <w:tcW w:w="7786" w:type="dxa"/>
            <w:vAlign w:val="bottom"/>
            <w:textDirection w:val="lrTb"/>
            <w:noWrap w:val="false"/>
          </w:tcPr>
          <w:p>
            <w:pPr>
              <w:pStyle w:val="662"/>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具备胸部骨折CT图像辅助分诊软件中华人民共和国医疗器械注册证（三类证）</w:t>
            </w:r>
            <w:r>
              <w:rPr>
                <w:rFonts w:hint="eastAsia" w:ascii="宋体" w:hAnsi="宋体" w:eastAsia="宋体" w:cs="宋体"/>
                <w:sz w:val="21"/>
                <w:szCs w:val="21"/>
                <w:highlight w:val="none"/>
              </w:rPr>
            </w:r>
            <w:r/>
          </w:p>
        </w:tc>
      </w:tr>
    </w:tbl>
    <w:p>
      <w:pPr>
        <w:pStyle w:val="662"/>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防勒索系统</w:t>
      </w:r>
      <w:r>
        <w:rPr>
          <w:rFonts w:hint="eastAsia" w:ascii="宋体" w:hAnsi="宋体" w:eastAsia="宋体" w:cs="宋体"/>
          <w:b/>
          <w:bCs/>
          <w:color w:val="000000"/>
          <w:sz w:val="21"/>
          <w:szCs w:val="21"/>
          <w:highlight w:val="none"/>
          <w:lang w:val="en-US" w:eastAsia="zh-CN"/>
        </w:rPr>
      </w:r>
      <w:r/>
    </w:p>
    <w:tbl>
      <w:tblPr>
        <w:tblW w:w="89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7634"/>
      </w:tblGrid>
      <w:tr>
        <w:trPr>
          <w:trHeight w:val="90"/>
        </w:trPr>
        <w:tc>
          <w:tcPr>
            <w:shd w:val="clear" w:color="auto" w:fill="d8d8d8"/>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指标</w:t>
            </w:r>
            <w:r>
              <w:rPr>
                <w:rFonts w:hint="eastAsia" w:ascii="宋体" w:hAnsi="宋体" w:eastAsia="宋体" w:cs="宋体"/>
                <w:b/>
                <w:bCs/>
                <w:color w:val="000000"/>
                <w:sz w:val="21"/>
                <w:szCs w:val="21"/>
                <w:highlight w:val="none"/>
              </w:rPr>
            </w:r>
            <w:r/>
          </w:p>
        </w:tc>
        <w:tc>
          <w:tcPr>
            <w:shd w:val="clear" w:color="auto" w:fill="d8d8d8"/>
            <w:tcW w:w="7634"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详细功能要求</w:t>
            </w:r>
            <w:r>
              <w:rPr>
                <w:rFonts w:hint="eastAsia" w:ascii="宋体" w:hAnsi="宋体" w:eastAsia="宋体" w:cs="宋体"/>
                <w:b/>
                <w:bCs/>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仿宋" w:hAnsi="仿宋" w:eastAsia="仿宋" w:cs="宋体"/>
                <w:highlight w:val="none"/>
              </w:rPr>
              <w:t xml:space="preserve">★</w:t>
            </w: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7634" w:type="dxa"/>
            <w:vAlign w:val="top"/>
            <w:textDirection w:val="lrTb"/>
            <w:noWrap w:val="false"/>
          </w:tcPr>
          <w:p>
            <w:pPr>
              <w:pStyle w:val="662"/>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自主研发的国产化品牌，非OEM，具有软件著作权证书，带有“防勒索”字样。</w:t>
            </w:r>
            <w:r>
              <w:rPr>
                <w:rFonts w:hint="eastAsia" w:ascii="宋体" w:hAnsi="宋体" w:eastAsia="宋体" w:cs="宋体"/>
                <w:color w:val="000000"/>
                <w:sz w:val="21"/>
                <w:szCs w:val="21"/>
                <w:highlight w:val="none"/>
              </w:rPr>
            </w:r>
            <w:r/>
          </w:p>
        </w:tc>
      </w:tr>
      <w:tr>
        <w:trPr>
          <w:trHeight w:val="115"/>
        </w:trPr>
        <w:tc>
          <w:tcPr>
            <w:tcW w:w="1281" w:type="dxa"/>
            <w:vAlign w:val="top"/>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仿宋" w:hAnsi="仿宋" w:eastAsia="仿宋" w:cs="宋体"/>
                <w:highlight w:val="none"/>
              </w:rPr>
              <w:t xml:space="preserve">★</w:t>
            </w:r>
            <w:r>
              <w:rPr>
                <w:rFonts w:hint="eastAsia" w:ascii="宋体" w:hAnsi="宋体" w:eastAsia="宋体" w:cs="宋体"/>
                <w:color w:val="000000"/>
                <w:sz w:val="21"/>
                <w:szCs w:val="21"/>
                <w:highlight w:val="none"/>
              </w:rPr>
              <w:t xml:space="preserve">配置</w:t>
            </w:r>
            <w:r>
              <w:rPr>
                <w:rFonts w:hint="eastAsia" w:ascii="宋体" w:hAnsi="宋体" w:eastAsia="宋体" w:cs="宋体"/>
                <w:color w:val="000000"/>
                <w:sz w:val="21"/>
                <w:szCs w:val="21"/>
                <w:highlight w:val="none"/>
              </w:rPr>
            </w:r>
            <w:r/>
          </w:p>
        </w:tc>
        <w:tc>
          <w:tcPr>
            <w:tcW w:w="7634" w:type="dxa"/>
            <w:vAlign w:val="top"/>
            <w:textDirection w:val="lrTb"/>
            <w:noWrap w:val="false"/>
          </w:tcPr>
          <w:p>
            <w:pPr>
              <w:pStyle w:val="662"/>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包含4台数据库服务器防勒索授权。</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稳定性</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终端主机安装防勒索系统客户端代理软件后，CPU性能平均消耗不超过1%。</w:t>
            </w:r>
            <w:r>
              <w:rPr>
                <w:rFonts w:hint="eastAsia" w:ascii="宋体" w:hAnsi="宋体" w:eastAsia="宋体" w:cs="宋体"/>
                <w:color w:val="000000"/>
                <w:sz w:val="21"/>
                <w:szCs w:val="21"/>
                <w:highlight w:val="none"/>
              </w:rPr>
            </w:r>
            <w:r/>
          </w:p>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（投标时提供测试报告）</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管理界面</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支持SSL的WEB界面。</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安全通信</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终端客户端与服务管理端通信使用https加密协议进行通信，终端客户端执行服务管理端下发的安全策略，并将相关安全日志上传到服务端。</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网络协议</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333333"/>
                <w:sz w:val="21"/>
                <w:szCs w:val="21"/>
                <w:highlight w:val="none"/>
                <w:shd w:val="clear" w:color="auto" w:fill="ffffff"/>
              </w:rPr>
              <w:t xml:space="preserve">支持IPV4、IPV6协议。</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操作系统兼容</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终端客户端至少支持Windows Server、Windows XP、Win7、Win8、Win10等Windows操作系统，RedHat、CentOS、Oracle Linux、Ubuntu、Debian、suse等Linux操作系统，银河麒麟、统信等国产操作系统。</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终端安装</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支持管理平台下载至本地安装，同时支持管理平台推送自动下发到终端进行安装。</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保护对象</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755"/>
              <w:numPr>
                <w:ilvl w:val="0"/>
                <w:numId w:val="6"/>
              </w:numPr>
              <w:jc w:val="both"/>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支持所有类型的数据库，防护机制与数据库类型无关，无需额外进行开发适配。</w:t>
            </w:r>
            <w:bookmarkStart w:id="198" w:name="_Hlk118640735"/>
            <w:r>
              <w:rPr>
                <w:rFonts w:hint="eastAsia" w:ascii="宋体" w:hAnsi="宋体" w:eastAsia="宋体" w:cs="宋体"/>
                <w:color w:val="000000"/>
                <w:sz w:val="21"/>
                <w:szCs w:val="21"/>
                <w:highlight w:val="none"/>
              </w:rPr>
            </w:r>
            <w:r/>
          </w:p>
          <w:p>
            <w:pPr>
              <w:pStyle w:val="755"/>
              <w:numPr>
                <w:ilvl w:val="0"/>
                <w:numId w:val="0"/>
              </w:numPr>
              <w:jc w:val="both"/>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（投标时提供原理说明）</w:t>
            </w:r>
            <w:bookmarkEnd w:id="198"/>
            <w:r>
              <w:rPr>
                <w:rFonts w:hint="eastAsia" w:ascii="宋体" w:hAnsi="宋体" w:eastAsia="宋体" w:cs="宋体"/>
                <w:b/>
                <w:bCs/>
                <w:color w:val="000000"/>
                <w:sz w:val="21"/>
                <w:szCs w:val="21"/>
                <w:highlight w:val="none"/>
              </w:rPr>
            </w:r>
            <w:r/>
          </w:p>
          <w:p>
            <w:pPr>
              <w:pStyle w:val="755"/>
              <w:numPr>
                <w:ilvl w:val="0"/>
                <w:numId w:val="6"/>
              </w:numPr>
              <w:jc w:val="both"/>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内置主流文档类型保护机制，支持保护核心数据文档如对WORD、EXCEL、PPT、PDF、设计图纸等文件类型的非法篡改、非法删除、非法勒索加密等手段进行防护。</w:t>
            </w:r>
            <w:r>
              <w:rPr>
                <w:rFonts w:hint="eastAsia" w:ascii="宋体" w:hAnsi="宋体" w:eastAsia="宋体" w:cs="宋体"/>
                <w:color w:val="000000"/>
                <w:sz w:val="21"/>
                <w:szCs w:val="21"/>
                <w:highlight w:val="none"/>
              </w:rPr>
            </w:r>
            <w:r/>
          </w:p>
          <w:p>
            <w:pPr>
              <w:pStyle w:val="755"/>
              <w:numPr>
                <w:ilvl w:val="0"/>
                <w:numId w:val="6"/>
              </w:numPr>
              <w:jc w:val="both"/>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支持自助终端防护。</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防护原理</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系统不依赖于特征库识别方式防御勒索病毒攻击，要求基于内核级管控技术原理实现对数据库、文档、自助终端等防护对象的非法篡改、非法删除、勒索加密等攻击进行防护，实现对已知及未知勒索病毒的防御能力。</w:t>
            </w:r>
            <w:r>
              <w:rPr>
                <w:rFonts w:hint="eastAsia" w:ascii="宋体" w:hAnsi="宋体" w:eastAsia="宋体" w:cs="宋体"/>
                <w:color w:val="000000"/>
                <w:sz w:val="21"/>
                <w:szCs w:val="21"/>
                <w:highlight w:val="none"/>
              </w:rPr>
            </w:r>
            <w:r/>
          </w:p>
          <w:p>
            <w:pPr>
              <w:pStyle w:val="755"/>
              <w:numPr>
                <w:ilvl w:val="0"/>
                <w:numId w:val="0"/>
              </w:numPr>
              <w:jc w:val="both"/>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（投标时提供</w:t>
            </w:r>
            <w:r>
              <w:rPr>
                <w:rFonts w:hint="eastAsia" w:ascii="宋体" w:hAnsi="宋体" w:eastAsia="宋体" w:cs="宋体"/>
                <w:b/>
                <w:bCs/>
                <w:color w:val="000000"/>
                <w:sz w:val="21"/>
                <w:szCs w:val="21"/>
                <w:highlight w:val="none"/>
                <w:lang w:val="en-US" w:eastAsia="zh-CN"/>
              </w:rPr>
              <w:t xml:space="preserve">详细的</w:t>
            </w:r>
            <w:r>
              <w:rPr>
                <w:rFonts w:hint="eastAsia" w:ascii="宋体" w:hAnsi="宋体" w:eastAsia="宋体" w:cs="宋体"/>
                <w:b/>
                <w:bCs/>
                <w:color w:val="000000"/>
                <w:sz w:val="21"/>
                <w:szCs w:val="21"/>
                <w:highlight w:val="none"/>
              </w:rPr>
              <w:t xml:space="preserve">保护原理机制）</w:t>
            </w:r>
            <w:r>
              <w:rPr>
                <w:rFonts w:hint="eastAsia" w:ascii="宋体" w:hAnsi="宋体" w:eastAsia="宋体" w:cs="宋体"/>
                <w:color w:val="000000"/>
                <w:sz w:val="21"/>
                <w:szCs w:val="21"/>
                <w:highlight w:val="none"/>
              </w:rPr>
            </w:r>
            <w:r/>
          </w:p>
        </w:tc>
      </w:tr>
      <w:tr>
        <w:trPr>
          <w:trHeight w:val="115"/>
        </w:trPr>
        <w:tc>
          <w:tcPr>
            <w:tcW w:w="1281" w:type="dxa"/>
            <w:vAlign w:val="center"/>
            <w:vMerge w:val="restart"/>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策略管理</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WEB服务管理端支持全局策略制定、下发和回收。</w:t>
            </w:r>
            <w:r>
              <w:rPr>
                <w:rFonts w:hint="eastAsia" w:ascii="宋体" w:hAnsi="宋体" w:eastAsia="宋体" w:cs="宋体"/>
                <w:color w:val="000000"/>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支持智能化添加保护策略，客户端自动采集程序名、程序签名、安全标签，管理中心可一键配置保护策略。</w:t>
            </w:r>
            <w:r>
              <w:rPr>
                <w:rFonts w:hint="eastAsia" w:ascii="宋体" w:hAnsi="宋体" w:eastAsia="宋体" w:cs="宋体"/>
                <w:color w:val="000000"/>
                <w:sz w:val="21"/>
                <w:szCs w:val="21"/>
                <w:highlight w:val="none"/>
              </w:rPr>
            </w:r>
            <w:r/>
          </w:p>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（投标时提供功能截图）</w:t>
            </w:r>
            <w:r>
              <w:rPr>
                <w:rFonts w:hint="eastAsia" w:ascii="宋体" w:hAnsi="宋体" w:eastAsia="宋体" w:cs="宋体"/>
                <w:color w:val="000000"/>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支持在终端客户端本地自定义数据保护策略。</w:t>
            </w:r>
            <w:r>
              <w:rPr>
                <w:rFonts w:hint="eastAsia" w:ascii="宋体" w:hAnsi="宋体" w:eastAsia="宋体" w:cs="宋体"/>
                <w:color w:val="000000"/>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支持策略在线分组推送，可根据不同分组下发自定义策略。</w:t>
            </w:r>
            <w:r>
              <w:rPr>
                <w:rFonts w:hint="eastAsia" w:ascii="宋体" w:hAnsi="宋体" w:eastAsia="宋体" w:cs="宋体"/>
                <w:color w:val="000000"/>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支持在服务端远程控制客户端的强安全保护模式、引导区防护模式。</w:t>
            </w:r>
            <w:r>
              <w:rPr>
                <w:rFonts w:hint="eastAsia" w:ascii="宋体" w:hAnsi="宋体" w:eastAsia="宋体" w:cs="宋体"/>
                <w:color w:val="000000"/>
                <w:sz w:val="21"/>
                <w:szCs w:val="21"/>
                <w:highlight w:val="none"/>
              </w:rPr>
            </w:r>
            <w:r/>
          </w:p>
        </w:tc>
      </w:tr>
      <w:tr>
        <w:trPr>
          <w:trHeight w:val="115"/>
        </w:trPr>
        <w:tc>
          <w:tcPr>
            <w:tcW w:w="1281" w:type="dxa"/>
            <w:vAlign w:val="center"/>
            <w:vMerge w:val="restart"/>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保护模式</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支持客户端强安全保护模式，启用强安全保护模式后所有未授权软件启动时均被隔离，包括勒索软件、已知勒索病毒、未知勒索病毒、挖矿病毒等恶意攻击程序以及非授权应用运行。</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▲支持引导区保护模式，通过锁住系统引导区，防止恶意指令或代码修改操作系统系统引导区。</w:t>
            </w:r>
            <w:r>
              <w:rPr>
                <w:rFonts w:hint="eastAsia" w:ascii="宋体" w:hAnsi="宋体" w:eastAsia="宋体" w:cs="宋体"/>
                <w:sz w:val="21"/>
                <w:szCs w:val="21"/>
                <w:highlight w:val="none"/>
              </w:rPr>
            </w:r>
            <w:r/>
          </w:p>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（投标时提供功能截图）</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▲支持终端模拟保护模式，模拟验证各终端强安全保护模式的运行情况。</w:t>
            </w:r>
            <w:r>
              <w:rPr>
                <w:rFonts w:hint="eastAsia" w:ascii="宋体" w:hAnsi="宋体" w:eastAsia="宋体" w:cs="宋体"/>
                <w:sz w:val="21"/>
                <w:szCs w:val="21"/>
                <w:highlight w:val="none"/>
              </w:rPr>
            </w:r>
            <w:r/>
          </w:p>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（投标时提供功能截图）</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内置文件保护引擎，防范RootKit等各类病毒攻击，</w:t>
            </w:r>
            <w:r>
              <w:rPr>
                <w:rFonts w:hint="eastAsia" w:ascii="宋体" w:hAnsi="宋体" w:eastAsia="宋体" w:cs="宋体"/>
                <w:color w:val="000000"/>
                <w:sz w:val="21"/>
                <w:szCs w:val="21"/>
                <w:highlight w:val="none"/>
                <w:lang w:val="zh-CN"/>
              </w:rPr>
              <w:t xml:space="preserve">保护数据库等各类文件免受勒索病毒的加密和删除。</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支持诱饵文件对勒索病毒的诱捕，精确识别勒索病毒，并记录受影响的设备名、IP地址、进程名、访问时间等。</w:t>
            </w:r>
            <w:r>
              <w:rPr>
                <w:rFonts w:hint="eastAsia" w:ascii="宋体" w:hAnsi="宋体" w:eastAsia="宋体" w:cs="宋体"/>
                <w:color w:val="000000"/>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▲支持信任应用保护策略，信任验证机制至少通过识别程序名、程序签名及安全标签（程序哈希值）三种方式对应用进行保护</w:t>
            </w:r>
            <w:r>
              <w:rPr>
                <w:rFonts w:hint="eastAsia" w:ascii="宋体" w:hAnsi="宋体" w:eastAsia="宋体" w:cs="宋体"/>
                <w:sz w:val="21"/>
                <w:szCs w:val="21"/>
                <w:highlight w:val="none"/>
              </w:rPr>
            </w:r>
            <w:r/>
          </w:p>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（投标时提供功能截图）</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支持根据独立文件名、后缀和目录提供应用数据文件保护配置。</w:t>
            </w:r>
            <w:r>
              <w:rPr>
                <w:rFonts w:hint="eastAsia" w:ascii="宋体" w:hAnsi="宋体" w:eastAsia="宋体" w:cs="宋体"/>
                <w:color w:val="000000"/>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支持通过目录保护的方式实现关键应用的运行保护。</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支持远程登录防暴力破解，精准识别攻击源IP、目的IP。</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支持挖矿病毒防护，通过匹配挖矿病毒程序运行、矿池链接规则，对恶意挖矿行为进行告警。</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支持数据库文件落地加密，非信任进程、非信任终端访问返回密文。</w:t>
            </w:r>
            <w:r>
              <w:rPr>
                <w:rFonts w:hint="eastAsia" w:ascii="宋体" w:hAnsi="宋体" w:eastAsia="宋体" w:cs="宋体"/>
                <w:sz w:val="21"/>
                <w:szCs w:val="21"/>
                <w:highlight w:val="none"/>
              </w:rPr>
            </w:r>
            <w:r/>
          </w:p>
        </w:tc>
      </w:tr>
      <w:tr>
        <w:trPr>
          <w:trHeight w:val="115"/>
        </w:trPr>
        <w:tc>
          <w:tcPr>
            <w:tcW w:w="1281" w:type="dxa"/>
            <w:vAlign w:val="center"/>
            <w:vMerge w:val="restart"/>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系统安全</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登陆管理端失败、退出客户端失败超过5次时告警。</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▲客户端具备防杀机制，仅能通过预设密码退出，阻止人为或病毒非法结束保护进程。</w:t>
            </w:r>
            <w:r>
              <w:rPr>
                <w:rFonts w:hint="eastAsia" w:ascii="宋体" w:hAnsi="宋体" w:eastAsia="宋体" w:cs="宋体"/>
                <w:sz w:val="21"/>
                <w:szCs w:val="21"/>
                <w:highlight w:val="none"/>
              </w:rPr>
            </w:r>
            <w:r/>
          </w:p>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（投标时提供功能截图）</w:t>
            </w:r>
            <w:r>
              <w:rPr>
                <w:rFonts w:hint="eastAsia" w:ascii="宋体" w:hAnsi="宋体" w:eastAsia="宋体" w:cs="宋体"/>
                <w:sz w:val="21"/>
                <w:szCs w:val="21"/>
                <w:highlight w:val="none"/>
              </w:rPr>
            </w:r>
            <w:r/>
          </w:p>
        </w:tc>
      </w:tr>
      <w:tr>
        <w:trPr>
          <w:trHeight w:val="115"/>
        </w:trPr>
        <w:tc>
          <w:tcPr>
            <w:tcW w:w="1281" w:type="dxa"/>
            <w:vAlign w:val="center"/>
            <w:vMerge w:val="continue"/>
            <w:textDirection w:val="lrTb"/>
            <w:noWrap w:val="false"/>
          </w:tcPr>
          <w:p>
            <w:pPr>
              <w:pStyle w:val="662"/>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终端客户端在离线模式下仍然具备数据安全保护能力。</w:t>
            </w:r>
            <w:r>
              <w:rPr>
                <w:rFonts w:hint="eastAsia" w:ascii="宋体" w:hAnsi="宋体" w:eastAsia="宋体" w:cs="宋体"/>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防御</w:t>
            </w:r>
            <w:r>
              <w:rPr>
                <w:rFonts w:hint="eastAsia" w:ascii="宋体" w:hAnsi="宋体" w:eastAsia="宋体" w:cs="宋体"/>
                <w:color w:val="000000"/>
                <w:sz w:val="21"/>
                <w:szCs w:val="21"/>
                <w:highlight w:val="none"/>
              </w:rPr>
            </w:r>
            <w:r/>
          </w:p>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可视化</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支持资产访问可视化分析，可描绘进程访问资产关系图，分析恶意进程运行方式，及监控恶意进程主机入侵生命周期。</w:t>
            </w:r>
            <w:r>
              <w:rPr>
                <w:rFonts w:hint="eastAsia" w:ascii="宋体" w:hAnsi="宋体" w:eastAsia="宋体" w:cs="宋体"/>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告警功能</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告警方式包括：邮件（包括SMTP、Exchange）、短信（包括短信猫、第翼短信平台、容联云通讯短信平台）两种方式。</w:t>
            </w:r>
            <w:r>
              <w:rPr>
                <w:rFonts w:hint="eastAsia" w:ascii="宋体" w:hAnsi="宋体" w:eastAsia="宋体" w:cs="宋体"/>
                <w:color w:val="000000"/>
                <w:sz w:val="21"/>
                <w:szCs w:val="21"/>
                <w:highlight w:val="none"/>
              </w:rPr>
            </w:r>
            <w:r/>
          </w:p>
        </w:tc>
      </w:tr>
      <w:tr>
        <w:trPr>
          <w:trHeight w:val="115"/>
        </w:trPr>
        <w:tc>
          <w:tcPr>
            <w:tcW w:w="1281" w:type="dxa"/>
            <w:vAlign w:val="center"/>
            <w:vMerge w:val="restart"/>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日志审计</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终端客户端与服务端控制中心通信，将日志内容上传到服务端，包括策略名、行为名、设备名、IP地址（内部IP、外部IP）、访问目标路径、访问使用的进程路径及名称、进程HASH值、主机信息、主体设备类型、操作系统类型、主机MAC地址、时间、操作结果等；支持以图表方式查看近期全网客户端保护情况。</w:t>
            </w:r>
            <w:r>
              <w:rPr>
                <w:rFonts w:hint="eastAsia" w:ascii="宋体" w:hAnsi="宋体" w:eastAsia="宋体" w:cs="宋体"/>
                <w:color w:val="000000"/>
                <w:sz w:val="21"/>
                <w:szCs w:val="21"/>
                <w:highlight w:val="none"/>
              </w:rPr>
            </w:r>
            <w:r/>
          </w:p>
        </w:tc>
      </w:tr>
      <w:tr>
        <w:trPr>
          <w:trHeight w:val="115"/>
        </w:trPr>
        <w:tc>
          <w:tcPr>
            <w:tcW w:w="1281" w:type="dxa"/>
            <w:vAlign w:val="center"/>
            <w:vMerge w:val="continue"/>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支持访问控制日志事件翻译，清晰描述事件发起主体、目标客体、访问行为、访问时间，以及该事件产生的访问结果。</w:t>
            </w:r>
            <w:r>
              <w:rPr>
                <w:rFonts w:hint="eastAsia" w:ascii="宋体" w:hAnsi="宋体" w:eastAsia="宋体" w:cs="宋体"/>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集中管控</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支持通过统一的管理中心对多个服务器进行监控。</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系统监控展示</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以列表形式展现受保护的终端设备状态，至少包括设备名、客户端版本、操作系统类型及版本、IP地址（公网及私网）、设备在线状态、最近被访问的时间等信息。</w:t>
            </w:r>
            <w:r>
              <w:rPr>
                <w:rFonts w:hint="eastAsia" w:ascii="宋体" w:hAnsi="宋体" w:eastAsia="宋体" w:cs="宋体"/>
                <w:color w:val="000000"/>
                <w:sz w:val="21"/>
                <w:szCs w:val="21"/>
                <w:highlight w:val="none"/>
              </w:rPr>
            </w:r>
            <w:r/>
          </w:p>
        </w:tc>
      </w:tr>
      <w:tr>
        <w:trPr>
          <w:trHeight w:val="115"/>
        </w:trPr>
        <w:tc>
          <w:tcPr>
            <w:tcW w:w="1281" w:type="dxa"/>
            <w:vAlign w:val="center"/>
            <w:textDirection w:val="lrTb"/>
            <w:noWrap w:val="false"/>
          </w:tcPr>
          <w:p>
            <w:pPr>
              <w:pStyle w:val="662"/>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操作日志</w:t>
            </w:r>
            <w:r>
              <w:rPr>
                <w:rFonts w:hint="eastAsia" w:ascii="宋体" w:hAnsi="宋体" w:eastAsia="宋体" w:cs="宋体"/>
                <w:color w:val="000000"/>
                <w:sz w:val="21"/>
                <w:szCs w:val="21"/>
                <w:highlight w:val="none"/>
              </w:rPr>
            </w:r>
            <w:r/>
          </w:p>
        </w:tc>
        <w:tc>
          <w:tcPr>
            <w:tcW w:w="7634" w:type="dxa"/>
            <w:vAlign w:val="center"/>
            <w:textDirection w:val="lrTb"/>
            <w:noWrap w:val="false"/>
          </w:tcPr>
          <w:p>
            <w:pPr>
              <w:pStyle w:val="662"/>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监控记录服务端操作日志，至少应包括事件类型、事件、操作用户、IP来源、操作模块、操作行为、响应结果等。</w:t>
            </w:r>
            <w:r>
              <w:rPr>
                <w:rFonts w:hint="eastAsia" w:ascii="宋体" w:hAnsi="宋体" w:eastAsia="宋体" w:cs="宋体"/>
                <w:color w:val="000000"/>
                <w:sz w:val="21"/>
                <w:szCs w:val="21"/>
                <w:highlight w:val="none"/>
              </w:rPr>
            </w:r>
            <w:r/>
          </w:p>
        </w:tc>
      </w:tr>
    </w:tbl>
    <w:p>
      <w:pPr>
        <w:pStyle w:val="674"/>
        <w:numPr>
          <w:ilvl w:val="0"/>
          <w:numId w:val="0"/>
        </w:numPr>
        <w:rPr>
          <w:highlight w:val="none"/>
        </w:rPr>
      </w:pPr>
      <w:r>
        <w:rPr>
          <w:highlight w:val="none"/>
        </w:rPr>
      </w:r>
      <w:r/>
    </w:p>
    <w:p>
      <w:pPr>
        <w:pStyle w:val="662"/>
        <w:numPr>
          <w:ilvl w:val="0"/>
          <w:numId w:val="6"/>
        </w:numPr>
        <w:ind w:left="360" w:hanging="360"/>
        <w:spacing w:line="0" w:lineRule="atLeast"/>
        <w:rPr>
          <w:rFonts w:hint="eastAsia"/>
          <w:sz w:val="24"/>
          <w:szCs w:val="24"/>
          <w:highlight w:val="none"/>
        </w:rPr>
      </w:pPr>
      <w:r>
        <w:rPr>
          <w:rFonts w:hint="eastAsia"/>
          <w:sz w:val="24"/>
          <w:szCs w:val="24"/>
          <w:highlight w:val="none"/>
        </w:rPr>
        <w:t xml:space="preserve">采购标的的数量、采购项目交付或者实施的时间和地点；</w:t>
      </w:r>
      <w:r>
        <w:rPr>
          <w:rFonts w:hint="eastAsia"/>
          <w:sz w:val="24"/>
          <w:szCs w:val="24"/>
          <w:highlight w:val="none"/>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57" w:type="dxa"/>
        </w:tblCellMar>
        <w:tblLook w:val="04A0" w:firstRow="1" w:lastRow="0" w:firstColumn="1" w:lastColumn="0" w:noHBand="0" w:noVBand="1"/>
      </w:tblPr>
      <w:tblGrid>
        <w:gridCol w:w="846"/>
        <w:gridCol w:w="3600"/>
        <w:gridCol w:w="3204"/>
        <w:gridCol w:w="1276"/>
      </w:tblGrid>
      <w:tr>
        <w:trPr>
          <w:trHeight w:val="647"/>
        </w:trPr>
        <w:tc>
          <w:tcPr>
            <w:tcW w:w="846" w:type="dxa"/>
            <w:vAlign w:val="center"/>
            <w:textDirection w:val="lrTb"/>
            <w:noWrap w:val="false"/>
          </w:tcPr>
          <w:p>
            <w:pPr>
              <w:pStyle w:val="662"/>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ascii="宋体" w:hAnsi="宋体" w:cs="宋体"/>
                <w:b/>
                <w:color w:val="000000"/>
                <w:sz w:val="24"/>
                <w:szCs w:val="24"/>
                <w:highlight w:val="none"/>
              </w:rPr>
            </w:r>
            <w:r/>
          </w:p>
        </w:tc>
        <w:tc>
          <w:tcPr>
            <w:tcW w:w="3600" w:type="dxa"/>
            <w:vAlign w:val="center"/>
            <w:textDirection w:val="lrTb"/>
            <w:noWrap w:val="false"/>
          </w:tcPr>
          <w:p>
            <w:pPr>
              <w:pStyle w:val="662"/>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采购系统</w:t>
            </w:r>
            <w:r>
              <w:rPr>
                <w:rFonts w:hint="eastAsia" w:ascii="宋体" w:hAnsi="宋体" w:cs="宋体"/>
                <w:b/>
                <w:color w:val="000000"/>
                <w:sz w:val="24"/>
                <w:szCs w:val="24"/>
                <w:highlight w:val="none"/>
              </w:rPr>
              <w:t xml:space="preserve">名称</w:t>
            </w:r>
            <w:r>
              <w:rPr>
                <w:rFonts w:ascii="宋体" w:hAnsi="宋体" w:cs="宋体"/>
                <w:b/>
                <w:color w:val="000000"/>
                <w:sz w:val="24"/>
                <w:szCs w:val="24"/>
                <w:highlight w:val="none"/>
              </w:rPr>
            </w:r>
            <w:r/>
          </w:p>
        </w:tc>
        <w:tc>
          <w:tcPr>
            <w:tcW w:w="3204" w:type="dxa"/>
            <w:vAlign w:val="center"/>
            <w:textDirection w:val="lrTb"/>
            <w:noWrap w:val="false"/>
          </w:tcPr>
          <w:p>
            <w:pPr>
              <w:pStyle w:val="662"/>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功能模块</w:t>
            </w:r>
            <w:r>
              <w:rPr>
                <w:rFonts w:ascii="宋体" w:hAnsi="宋体" w:cs="宋体"/>
                <w:b/>
                <w:color w:val="000000"/>
                <w:sz w:val="24"/>
                <w:szCs w:val="24"/>
                <w:highlight w:val="none"/>
              </w:rPr>
            </w:r>
            <w:r/>
          </w:p>
        </w:tc>
        <w:tc>
          <w:tcPr>
            <w:tcW w:w="1276" w:type="dxa"/>
            <w:vAlign w:val="center"/>
            <w:textDirection w:val="lrTb"/>
            <w:noWrap w:val="false"/>
          </w:tcPr>
          <w:p>
            <w:pPr>
              <w:pStyle w:val="662"/>
              <w:jc w:val="center"/>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数量</w:t>
            </w:r>
            <w:r>
              <w:rPr>
                <w:rFonts w:ascii="宋体" w:hAnsi="宋体" w:cs="宋体"/>
                <w:b/>
                <w:color w:val="000000"/>
                <w:sz w:val="24"/>
                <w:szCs w:val="24"/>
                <w:highlight w:val="none"/>
              </w:rPr>
            </w:r>
            <w:r/>
          </w:p>
        </w:tc>
      </w:tr>
      <w:tr>
        <w:trPr>
          <w:trHeight w:val="925"/>
        </w:trPr>
        <w:tc>
          <w:tcPr>
            <w:tcW w:w="846"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1</w:t>
            </w:r>
            <w:r>
              <w:rPr>
                <w:rFonts w:hint="eastAsia" w:ascii="宋体" w:hAnsi="宋体" w:eastAsia="宋体" w:cs="宋体"/>
                <w:b w:val="0"/>
                <w:bCs w:val="0"/>
                <w:caps/>
                <w:sz w:val="21"/>
                <w:szCs w:val="21"/>
                <w:highlight w:val="none"/>
                <w:lang w:val="en-US" w:eastAsia="zh-CN" w:bidi="ar-SA"/>
              </w:rPr>
            </w:r>
            <w:r/>
          </w:p>
        </w:tc>
        <w:tc>
          <w:tcPr>
            <w:tcW w:w="3600"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肺部疾病智能影像辅助诊断系统</w:t>
            </w:r>
            <w:r>
              <w:rPr>
                <w:rFonts w:hint="eastAsia" w:ascii="宋体" w:hAnsi="宋体" w:eastAsia="宋体" w:cs="宋体"/>
                <w:b w:val="0"/>
                <w:bCs w:val="0"/>
                <w:caps/>
                <w:sz w:val="21"/>
                <w:szCs w:val="21"/>
                <w:highlight w:val="none"/>
                <w:lang w:val="en-US" w:eastAsia="zh-CN" w:bidi="ar-SA"/>
              </w:rPr>
            </w:r>
            <w:r/>
          </w:p>
        </w:tc>
        <w:tc>
          <w:tcPr>
            <w:tcW w:w="3204" w:type="dxa"/>
            <w:vAlign w:val="center"/>
            <w:textDirection w:val="lrTb"/>
            <w:noWrap w:val="false"/>
          </w:tcPr>
          <w:p>
            <w:pPr>
              <w:pStyle w:val="662"/>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同本章第（三）条采购标的需满足的质量、安全、技术规格、物理特性等要求“技术参数要求”</w:t>
            </w:r>
            <w:r>
              <w:rPr>
                <w:rFonts w:hint="eastAsia" w:ascii="宋体" w:hAnsi="宋体" w:eastAsia="宋体" w:cs="宋体"/>
                <w:b w:val="0"/>
                <w:bCs w:val="0"/>
                <w:caps/>
                <w:sz w:val="21"/>
                <w:szCs w:val="21"/>
                <w:highlight w:val="none"/>
                <w:lang w:val="en-US" w:eastAsia="zh-CN" w:bidi="ar-SA"/>
              </w:rPr>
            </w:r>
            <w:r/>
          </w:p>
        </w:tc>
        <w:tc>
          <w:tcPr>
            <w:tcW w:w="1276"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1套</w:t>
            </w:r>
            <w:r>
              <w:rPr>
                <w:rFonts w:hint="eastAsia" w:ascii="宋体" w:hAnsi="宋体" w:eastAsia="宋体" w:cs="宋体"/>
                <w:b w:val="0"/>
                <w:bCs w:val="0"/>
                <w:caps/>
                <w:sz w:val="21"/>
                <w:szCs w:val="21"/>
                <w:highlight w:val="none"/>
                <w:lang w:val="en-US" w:eastAsia="zh-CN" w:bidi="ar-SA"/>
              </w:rPr>
            </w:r>
            <w:r/>
          </w:p>
        </w:tc>
      </w:tr>
      <w:tr>
        <w:trPr>
          <w:trHeight w:val="925"/>
        </w:trPr>
        <w:tc>
          <w:tcPr>
            <w:tcW w:w="846"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2</w:t>
            </w:r>
            <w:r>
              <w:rPr>
                <w:rFonts w:hint="eastAsia" w:ascii="宋体" w:hAnsi="宋体" w:eastAsia="宋体" w:cs="宋体"/>
                <w:b w:val="0"/>
                <w:bCs w:val="0"/>
                <w:caps/>
                <w:sz w:val="21"/>
                <w:szCs w:val="21"/>
                <w:highlight w:val="none"/>
                <w:lang w:val="en-US" w:eastAsia="zh-CN" w:bidi="ar-SA"/>
              </w:rPr>
            </w:r>
            <w:r/>
          </w:p>
        </w:tc>
        <w:tc>
          <w:tcPr>
            <w:tcW w:w="3600"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胸部骨折智能影像辅助诊断系统</w:t>
            </w:r>
            <w:r>
              <w:rPr>
                <w:rFonts w:hint="eastAsia" w:ascii="宋体" w:hAnsi="宋体" w:eastAsia="宋体" w:cs="宋体"/>
                <w:b w:val="0"/>
                <w:bCs w:val="0"/>
                <w:caps/>
                <w:sz w:val="21"/>
                <w:szCs w:val="21"/>
                <w:highlight w:val="none"/>
                <w:lang w:val="en-US" w:eastAsia="zh-CN" w:bidi="ar-SA"/>
              </w:rPr>
            </w:r>
            <w:r/>
          </w:p>
        </w:tc>
        <w:tc>
          <w:tcPr>
            <w:tcW w:w="3204" w:type="dxa"/>
            <w:vAlign w:val="center"/>
            <w:textDirection w:val="lrTb"/>
            <w:noWrap w:val="false"/>
          </w:tcPr>
          <w:p>
            <w:pPr>
              <w:pStyle w:val="662"/>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同本章第（三）条采购标的需满足的质量、安全、技术规格、物理特性等要求“技术参数要求”</w:t>
            </w:r>
            <w:r>
              <w:rPr>
                <w:rFonts w:hint="eastAsia" w:ascii="宋体" w:hAnsi="宋体" w:eastAsia="宋体" w:cs="宋体"/>
                <w:b w:val="0"/>
                <w:bCs w:val="0"/>
                <w:caps/>
                <w:sz w:val="21"/>
                <w:szCs w:val="21"/>
                <w:highlight w:val="none"/>
                <w:lang w:val="en-US" w:eastAsia="zh-CN" w:bidi="ar-SA"/>
              </w:rPr>
            </w:r>
            <w:r/>
          </w:p>
        </w:tc>
        <w:tc>
          <w:tcPr>
            <w:tcW w:w="1276"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1套</w:t>
            </w:r>
            <w:r>
              <w:rPr>
                <w:rFonts w:hint="eastAsia" w:ascii="宋体" w:hAnsi="宋体" w:eastAsia="宋体" w:cs="宋体"/>
                <w:b w:val="0"/>
                <w:bCs w:val="0"/>
                <w:caps/>
                <w:sz w:val="21"/>
                <w:szCs w:val="21"/>
                <w:highlight w:val="none"/>
                <w:lang w:val="en-US" w:eastAsia="zh-CN" w:bidi="ar-SA"/>
              </w:rPr>
            </w:r>
            <w:r/>
          </w:p>
        </w:tc>
      </w:tr>
      <w:tr>
        <w:trPr>
          <w:trHeight w:val="925"/>
        </w:trPr>
        <w:tc>
          <w:tcPr>
            <w:tcW w:w="846"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3</w:t>
            </w:r>
            <w:r>
              <w:rPr>
                <w:rFonts w:hint="eastAsia" w:ascii="宋体" w:hAnsi="宋体" w:eastAsia="宋体" w:cs="宋体"/>
                <w:b w:val="0"/>
                <w:bCs w:val="0"/>
                <w:caps/>
                <w:sz w:val="21"/>
                <w:szCs w:val="21"/>
                <w:highlight w:val="none"/>
                <w:lang w:val="en-US" w:eastAsia="zh-CN" w:bidi="ar-SA"/>
              </w:rPr>
            </w:r>
            <w:r/>
          </w:p>
        </w:tc>
        <w:tc>
          <w:tcPr>
            <w:tcW w:w="3600"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防勒索系统</w:t>
            </w:r>
            <w:r>
              <w:rPr>
                <w:rFonts w:hint="eastAsia" w:ascii="宋体" w:hAnsi="宋体" w:eastAsia="宋体" w:cs="宋体"/>
                <w:b w:val="0"/>
                <w:bCs w:val="0"/>
                <w:caps/>
                <w:sz w:val="21"/>
                <w:szCs w:val="21"/>
                <w:highlight w:val="none"/>
                <w:lang w:val="en-US" w:eastAsia="zh-CN" w:bidi="ar-SA"/>
              </w:rPr>
            </w:r>
            <w:r/>
          </w:p>
        </w:tc>
        <w:tc>
          <w:tcPr>
            <w:tcW w:w="3204" w:type="dxa"/>
            <w:vAlign w:val="center"/>
            <w:textDirection w:val="lrTb"/>
            <w:noWrap w:val="false"/>
          </w:tcPr>
          <w:p>
            <w:pPr>
              <w:pStyle w:val="662"/>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同本章第（三）条采购标的需满足的质量、安全、技术规格、物理特性等要求“技术参数要求”</w:t>
            </w:r>
            <w:r>
              <w:rPr>
                <w:rFonts w:hint="eastAsia" w:ascii="宋体" w:hAnsi="宋体" w:eastAsia="宋体" w:cs="宋体"/>
                <w:b w:val="0"/>
                <w:bCs w:val="0"/>
                <w:caps/>
                <w:sz w:val="21"/>
                <w:szCs w:val="21"/>
                <w:highlight w:val="none"/>
                <w:lang w:val="en-US" w:eastAsia="zh-CN" w:bidi="ar-SA"/>
              </w:rPr>
            </w:r>
            <w:r/>
          </w:p>
        </w:tc>
        <w:tc>
          <w:tcPr>
            <w:tcW w:w="1276" w:type="dxa"/>
            <w:vAlign w:val="center"/>
            <w:textDirection w:val="lrTb"/>
            <w:noWrap w:val="false"/>
          </w:tcPr>
          <w:p>
            <w:pPr>
              <w:pStyle w:val="662"/>
              <w:jc w:val="center"/>
              <w:widowControl/>
              <w:rPr>
                <w:rFonts w:hint="eastAsia" w:ascii="宋体" w:hAnsi="宋体" w:eastAsia="宋体" w:cs="宋体"/>
                <w:b w:val="0"/>
                <w:bCs w:val="0"/>
                <w:caps/>
                <w:sz w:val="21"/>
                <w:szCs w:val="21"/>
                <w:highlight w:val="none"/>
                <w:lang w:val="en-US" w:eastAsia="zh-CN" w:bidi="ar-SA"/>
              </w:rPr>
            </w:pPr>
            <w:r>
              <w:rPr>
                <w:rFonts w:hint="eastAsia" w:ascii="宋体" w:hAnsi="宋体" w:eastAsia="宋体" w:cs="宋体"/>
                <w:b w:val="0"/>
                <w:bCs w:val="0"/>
                <w:caps/>
                <w:sz w:val="21"/>
                <w:szCs w:val="21"/>
                <w:highlight w:val="none"/>
                <w:lang w:val="en-US" w:eastAsia="zh-CN" w:bidi="ar-SA"/>
              </w:rPr>
              <w:t xml:space="preserve">1套</w:t>
            </w:r>
            <w:r>
              <w:rPr>
                <w:rFonts w:hint="eastAsia" w:ascii="宋体" w:hAnsi="宋体" w:eastAsia="宋体" w:cs="宋体"/>
                <w:b w:val="0"/>
                <w:bCs w:val="0"/>
                <w:caps/>
                <w:sz w:val="21"/>
                <w:szCs w:val="21"/>
                <w:highlight w:val="none"/>
                <w:lang w:val="en-US" w:eastAsia="zh-CN" w:bidi="ar-SA"/>
              </w:rPr>
            </w:r>
            <w:r/>
          </w:p>
        </w:tc>
      </w:tr>
    </w:tbl>
    <w:p>
      <w:pPr>
        <w:pStyle w:val="702"/>
        <w:ind w:firstLine="480"/>
        <w:spacing w:before="120" w:after="120"/>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采购项目交付或者实施的时间：自合同签署生效之日起 15 个工作日，完成系统上线并试运行。</w:t>
      </w:r>
      <w:r>
        <w:rPr>
          <w:rFonts w:hint="eastAsia" w:ascii="宋体" w:hAnsi="宋体" w:eastAsia="宋体" w:cs="Courier New"/>
          <w:sz w:val="24"/>
          <w:szCs w:val="24"/>
          <w:lang w:val="en-US" w:eastAsia="zh-CN"/>
        </w:rPr>
      </w:r>
      <w:r/>
    </w:p>
    <w:p>
      <w:pPr>
        <w:pStyle w:val="702"/>
        <w:ind w:firstLine="480"/>
        <w:spacing w:before="120" w:after="120"/>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采购项目交付或者实施的地点：南通市肿瘤医院指定地点。</w:t>
      </w:r>
      <w:r>
        <w:rPr>
          <w:rFonts w:hint="eastAsia" w:ascii="宋体" w:hAnsi="宋体" w:eastAsia="宋体" w:cs="Courier New"/>
          <w:sz w:val="24"/>
          <w:szCs w:val="24"/>
          <w:lang w:val="en-US" w:eastAsia="zh-CN"/>
        </w:rPr>
      </w:r>
      <w:r/>
    </w:p>
    <w:p>
      <w:pPr>
        <w:pStyle w:val="674"/>
        <w:numPr>
          <w:ilvl w:val="0"/>
          <w:numId w:val="0"/>
        </w:numPr>
        <w:rPr>
          <w:highlight w:val="none"/>
        </w:rPr>
      </w:pPr>
      <w:r>
        <w:rPr>
          <w:highlight w:val="none"/>
        </w:rPr>
      </w:r>
      <w:r/>
    </w:p>
    <w:p>
      <w:pPr>
        <w:pStyle w:val="662"/>
        <w:numPr>
          <w:ilvl w:val="0"/>
          <w:numId w:val="6"/>
        </w:numPr>
        <w:ind w:left="360" w:hanging="360"/>
        <w:spacing w:line="0" w:lineRule="atLeast"/>
        <w:rPr>
          <w:rFonts w:hint="eastAsia"/>
          <w:sz w:val="24"/>
          <w:szCs w:val="24"/>
          <w:highlight w:val="none"/>
        </w:rPr>
      </w:pPr>
      <w:r>
        <w:rPr>
          <w:rFonts w:hint="eastAsia"/>
          <w:sz w:val="24"/>
          <w:szCs w:val="24"/>
          <w:highlight w:val="none"/>
        </w:rPr>
        <w:t xml:space="preserve">采购标的需满足的服务标准、期限、效率等要求；</w:t>
      </w:r>
      <w:r>
        <w:rPr>
          <w:rFonts w:hint="eastAsia"/>
          <w:sz w:val="24"/>
          <w:szCs w:val="24"/>
          <w:highlight w:val="none"/>
        </w:rPr>
      </w:r>
      <w:r/>
    </w:p>
    <w:p>
      <w:pPr>
        <w:pStyle w:val="780"/>
        <w:tabs>
          <w:tab w:val="right" w:pos="8720" w:leader="dot"/>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服务标准：中标单位应承诺在软件安装调试期间及完毕后，为采购单位技术人员提供全面、系统、深入的培训和中文操作手册，包括软件的工作原理、安装、操作、连接、培训应达到使系统运行人员能“熟练操作、应付突发事件，判断故障、进行应急处理”的目的，提供驻场培训不低于2个工作日，所有培训所产生的费用由中标单位承担。</w:t>
      </w:r>
      <w:r>
        <w:rPr>
          <w:rFonts w:hint="eastAsia" w:ascii="宋体" w:hAnsi="宋体" w:eastAsia="宋体" w:cs="宋体"/>
          <w:b w:val="0"/>
          <w:bCs w:val="0"/>
          <w:sz w:val="21"/>
          <w:szCs w:val="21"/>
          <w:highlight w:val="none"/>
        </w:rPr>
      </w:r>
      <w:r/>
    </w:p>
    <w:p>
      <w:pPr>
        <w:pStyle w:val="780"/>
        <w:tabs>
          <w:tab w:val="right" w:pos="8720" w:leader="dot"/>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质保期限：质保期自验收合格之日起3年；保修期内软件的维保、升级、开发应用、更换等所需一切支出（包括技术人员差旅费等支出）由中标单位负责。</w:t>
      </w:r>
      <w:r>
        <w:rPr>
          <w:rFonts w:hint="eastAsia" w:ascii="宋体" w:hAnsi="宋体" w:eastAsia="宋体" w:cs="宋体"/>
          <w:b w:val="0"/>
          <w:bCs w:val="0"/>
          <w:sz w:val="21"/>
          <w:szCs w:val="21"/>
          <w:highlight w:val="none"/>
        </w:rPr>
      </w:r>
      <w:r/>
    </w:p>
    <w:p>
      <w:pPr>
        <w:pStyle w:val="780"/>
        <w:tabs>
          <w:tab w:val="right" w:pos="8720" w:leader="dot"/>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服务效率：中标单位应提供及时周到的售后服务，应保证每2个月至少一次上门回访、检修。中标单位在接采购人通知后2小时作出响应，48小时内到达现场，提供7*24维保技术服务。</w:t>
      </w:r>
      <w:r>
        <w:rPr>
          <w:rFonts w:hint="eastAsia" w:ascii="宋体" w:hAnsi="宋体" w:eastAsia="宋体" w:cs="宋体"/>
          <w:b w:val="0"/>
          <w:bCs w:val="0"/>
          <w:sz w:val="21"/>
          <w:szCs w:val="21"/>
          <w:highlight w:val="none"/>
        </w:rPr>
      </w:r>
      <w:r/>
    </w:p>
    <w:p>
      <w:pPr>
        <w:pStyle w:val="780"/>
        <w:tabs>
          <w:tab w:val="right" w:pos="8720" w:leader="dot"/>
        </w:tabs>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项目售后：</w:t>
      </w:r>
      <w:r>
        <w:rPr>
          <w:rFonts w:hint="eastAsia" w:ascii="宋体" w:hAnsi="宋体" w:eastAsia="宋体" w:cs="宋体"/>
          <w:b w:val="0"/>
          <w:bCs w:val="0"/>
          <w:sz w:val="21"/>
          <w:szCs w:val="21"/>
          <w:highlight w:val="none"/>
          <w:lang w:val="en-US" w:eastAsia="zh-CN"/>
        </w:rPr>
        <w:t xml:space="preserve">①</w:t>
      </w:r>
      <w:r>
        <w:rPr>
          <w:rFonts w:hint="eastAsia" w:ascii="宋体" w:hAnsi="宋体" w:eastAsia="宋体" w:cs="宋体"/>
          <w:b w:val="0"/>
          <w:bCs w:val="0"/>
          <w:sz w:val="21"/>
          <w:szCs w:val="21"/>
          <w:highlight w:val="none"/>
        </w:rPr>
        <w:t xml:space="preserve">根据医院需求调整交互系统以适应医院工作流；</w:t>
      </w:r>
      <w:r>
        <w:rPr>
          <w:rFonts w:hint="eastAsia" w:ascii="宋体" w:hAnsi="宋体" w:eastAsia="宋体" w:cs="宋体"/>
          <w:b w:val="0"/>
          <w:bCs w:val="0"/>
          <w:sz w:val="21"/>
          <w:szCs w:val="21"/>
          <w:highlight w:val="none"/>
          <w:lang w:val="en-US" w:eastAsia="zh-CN"/>
        </w:rPr>
        <w:t xml:space="preserve">②</w:t>
      </w:r>
      <w:r>
        <w:rPr>
          <w:rFonts w:hint="eastAsia" w:ascii="宋体" w:hAnsi="宋体" w:eastAsia="宋体" w:cs="宋体"/>
          <w:b w:val="0"/>
          <w:bCs w:val="0"/>
          <w:sz w:val="21"/>
          <w:szCs w:val="21"/>
          <w:highlight w:val="none"/>
        </w:rPr>
        <w:t xml:space="preserve">提供远程软件维护诊断系统；</w:t>
      </w:r>
      <w:r>
        <w:rPr>
          <w:rFonts w:hint="eastAsia" w:ascii="宋体" w:hAnsi="宋体" w:eastAsia="宋体" w:cs="宋体"/>
          <w:b w:val="0"/>
          <w:bCs w:val="0"/>
          <w:sz w:val="21"/>
          <w:szCs w:val="21"/>
          <w:highlight w:val="none"/>
          <w:lang w:val="en-US" w:eastAsia="zh-CN"/>
        </w:rPr>
        <w:t xml:space="preserve">③</w:t>
      </w:r>
      <w:r>
        <w:rPr>
          <w:rFonts w:hint="eastAsia" w:ascii="宋体" w:hAnsi="宋体" w:eastAsia="宋体" w:cs="宋体"/>
          <w:b w:val="0"/>
          <w:bCs w:val="0"/>
          <w:sz w:val="21"/>
          <w:szCs w:val="21"/>
          <w:highlight w:val="none"/>
        </w:rPr>
        <w:t xml:space="preserve">确保软件的应用信息系统迅速、准确地跟上医院业务流程的变化，保证医院业务正常、稳定、高效的运转；</w:t>
      </w:r>
      <w:r>
        <w:rPr>
          <w:rFonts w:hint="eastAsia" w:ascii="宋体" w:hAnsi="宋体" w:eastAsia="宋体" w:cs="宋体"/>
          <w:b w:val="0"/>
          <w:bCs w:val="0"/>
          <w:sz w:val="21"/>
          <w:szCs w:val="21"/>
          <w:highlight w:val="none"/>
          <w:lang w:val="en-US" w:eastAsia="zh-CN"/>
        </w:rPr>
        <w:t xml:space="preserve">④</w:t>
      </w:r>
      <w:r>
        <w:rPr>
          <w:rFonts w:hint="eastAsia" w:ascii="宋体" w:hAnsi="宋体" w:eastAsia="宋体" w:cs="宋体"/>
          <w:b w:val="0"/>
          <w:bCs w:val="0"/>
          <w:sz w:val="21"/>
          <w:szCs w:val="21"/>
          <w:highlight w:val="none"/>
        </w:rPr>
        <w:t xml:space="preserve">其他售后服务须满足国家、省市相关规范及其他相关专业现行规范。</w:t>
      </w:r>
      <w:r>
        <w:rPr>
          <w:rFonts w:hint="eastAsia" w:ascii="宋体" w:hAnsi="宋体" w:eastAsia="宋体" w:cs="宋体"/>
          <w:b w:val="0"/>
          <w:bCs w:val="0"/>
          <w:sz w:val="21"/>
          <w:szCs w:val="21"/>
          <w:highlight w:val="none"/>
        </w:rPr>
      </w:r>
      <w:r/>
    </w:p>
    <w:p>
      <w:pPr>
        <w:pStyle w:val="674"/>
        <w:numPr>
          <w:ilvl w:val="0"/>
          <w:numId w:val="0"/>
        </w:numPr>
        <w:rPr>
          <w:highlight w:val="none"/>
        </w:rPr>
      </w:pPr>
      <w:r>
        <w:rPr>
          <w:highlight w:val="none"/>
        </w:rPr>
      </w:r>
      <w:r/>
    </w:p>
    <w:p>
      <w:pPr>
        <w:pStyle w:val="662"/>
        <w:numPr>
          <w:ilvl w:val="0"/>
          <w:numId w:val="6"/>
        </w:numPr>
        <w:ind w:left="360" w:hanging="360"/>
        <w:spacing w:line="0" w:lineRule="atLeast"/>
        <w:rPr>
          <w:rFonts w:hint="eastAsia"/>
          <w:sz w:val="24"/>
          <w:szCs w:val="24"/>
          <w:highlight w:val="none"/>
        </w:rPr>
      </w:pPr>
      <w:r>
        <w:rPr>
          <w:rFonts w:hint="eastAsia"/>
          <w:sz w:val="24"/>
          <w:szCs w:val="24"/>
          <w:highlight w:val="none"/>
        </w:rPr>
        <w:t xml:space="preserve">采购标的的验收标准；</w:t>
      </w:r>
      <w:r>
        <w:rPr>
          <w:rFonts w:hint="eastAsia"/>
          <w:sz w:val="24"/>
          <w:szCs w:val="24"/>
          <w:highlight w:val="none"/>
        </w:rPr>
      </w:r>
      <w:r/>
    </w:p>
    <w:p>
      <w:pPr>
        <w:pStyle w:val="662"/>
        <w:spacing w:line="420" w:lineRule="exact"/>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软件安装运行后，采购人将对软件的功能、应用等进行检验。如发现软件和应用功能或者两者都与合同不符，采购人有权根据检验结果要求中标单位立即更换或者提出索赔要求。</w:t>
      </w:r>
      <w:r>
        <w:rPr>
          <w:rFonts w:hint="eastAsia" w:ascii="宋体" w:hAnsi="宋体" w:eastAsia="宋体" w:cs="宋体"/>
          <w:highlight w:val="none"/>
        </w:rPr>
      </w:r>
      <w:r/>
    </w:p>
    <w:p>
      <w:pPr>
        <w:pStyle w:val="662"/>
        <w:spacing w:line="420" w:lineRule="exact"/>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软件由中标单位进行安装调试，完毕后，中标单位提供的书面技术资料应是能满足确保系统正常运行所需的管理、运营及维护有关的全套文件。</w:t>
      </w:r>
      <w:r>
        <w:rPr>
          <w:rFonts w:hint="eastAsia" w:ascii="宋体" w:hAnsi="宋体" w:eastAsia="宋体" w:cs="宋体"/>
          <w:highlight w:val="none"/>
        </w:rPr>
      </w:r>
      <w:r/>
    </w:p>
    <w:p>
      <w:pPr>
        <w:pStyle w:val="662"/>
        <w:spacing w:line="420" w:lineRule="exact"/>
        <w:rPr>
          <w:rFonts w:hint="eastAsia" w:ascii="宋体" w:hAnsi="宋体" w:eastAsia="宋体" w:cs="宋体"/>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如发现非合格产品，或产品有明显瑕疵等原因，采购人有权拒收。</w:t>
      </w:r>
      <w:r>
        <w:rPr>
          <w:rFonts w:hint="eastAsia" w:ascii="宋体" w:hAnsi="宋体" w:eastAsia="宋体" w:cs="宋体"/>
          <w:highlight w:val="none"/>
        </w:rPr>
      </w:r>
      <w:r/>
    </w:p>
    <w:p>
      <w:pPr>
        <w:pStyle w:val="674"/>
        <w:numPr>
          <w:ilvl w:val="0"/>
          <w:numId w:val="0"/>
        </w:numPr>
        <w:rPr>
          <w:highlight w:val="none"/>
        </w:rPr>
      </w:pPr>
      <w:r>
        <w:rPr>
          <w:highlight w:val="none"/>
        </w:rPr>
      </w:r>
      <w:r/>
    </w:p>
    <w:p>
      <w:pPr>
        <w:pStyle w:val="662"/>
        <w:numPr>
          <w:ilvl w:val="0"/>
          <w:numId w:val="6"/>
        </w:numPr>
        <w:ind w:left="360" w:hanging="360"/>
        <w:spacing w:line="0" w:lineRule="atLeast"/>
        <w:rPr>
          <w:rFonts w:hint="eastAsia"/>
          <w:sz w:val="24"/>
          <w:szCs w:val="24"/>
          <w:highlight w:val="none"/>
        </w:rPr>
      </w:pPr>
      <w:r>
        <w:rPr>
          <w:rFonts w:hint="eastAsia"/>
          <w:sz w:val="24"/>
          <w:szCs w:val="24"/>
          <w:highlight w:val="none"/>
        </w:rPr>
        <w:t xml:space="preserve">采购标的的其他技术、服务等要求；</w:t>
      </w:r>
      <w:r>
        <w:rPr>
          <w:rFonts w:hint="eastAsia"/>
          <w:sz w:val="24"/>
          <w:szCs w:val="24"/>
          <w:highlight w:val="none"/>
        </w:rPr>
      </w:r>
      <w:r/>
    </w:p>
    <w:p>
      <w:pPr>
        <w:pStyle w:val="674"/>
        <w:numPr>
          <w:ilvl w:val="0"/>
          <w:numId w:val="0"/>
        </w:num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w:t>
      </w:r>
      <w:r>
        <w:rPr>
          <w:rFonts w:hint="eastAsia" w:ascii="宋体" w:hAnsi="宋体" w:eastAsia="宋体" w:cs="宋体"/>
          <w:sz w:val="21"/>
          <w:szCs w:val="21"/>
          <w:highlight w:val="none"/>
          <w:lang w:val="en-US" w:eastAsia="zh-CN" w:bidi="ar-SA"/>
        </w:rPr>
      </w:r>
      <w:r/>
    </w:p>
    <w:p>
      <w:pPr>
        <w:pStyle w:val="674"/>
        <w:numPr>
          <w:ilvl w:val="0"/>
          <w:numId w:val="0"/>
        </w:num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662"/>
        <w:numPr>
          <w:ilvl w:val="0"/>
          <w:numId w:val="6"/>
        </w:numPr>
        <w:ind w:left="360" w:hanging="360"/>
        <w:spacing w:line="0" w:lineRule="atLeast"/>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支付要求</w:t>
      </w:r>
      <w:r>
        <w:rPr>
          <w:rFonts w:hint="eastAsia" w:eastAsia="宋体" w:cs="Times New Roman"/>
          <w:sz w:val="24"/>
          <w:szCs w:val="24"/>
          <w:highlight w:val="none"/>
          <w:lang w:val="en-US" w:eastAsia="zh-CN"/>
        </w:rPr>
      </w:r>
      <w:r/>
    </w:p>
    <w:p>
      <w:pPr>
        <w:pStyle w:val="674"/>
        <w:numPr>
          <w:ilvl w:val="0"/>
          <w:numId w:val="0"/>
        </w:numPr>
        <w:ind w:firstLine="42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合同签订生效后15个工作日内，支付合同全款的30%；实施完毕验收合格后15个工作日内，支付合同全款的60%；余款10%在质保期满后15个工作日内付清。</w:t>
      </w:r>
      <w:r>
        <w:rPr>
          <w:rFonts w:hint="eastAsia" w:ascii="宋体" w:hAnsi="宋体" w:eastAsia="宋体" w:cs="宋体"/>
          <w:sz w:val="21"/>
          <w:szCs w:val="21"/>
          <w:highlight w:val="none"/>
          <w:lang w:val="en-US" w:eastAsia="zh-CN" w:bidi="ar-SA"/>
        </w:rPr>
      </w:r>
      <w:r/>
    </w:p>
    <w:p>
      <w:pPr>
        <w:pStyle w:val="674"/>
        <w:numPr>
          <w:ilvl w:val="0"/>
          <w:numId w:val="0"/>
        </w:numPr>
        <w:rPr>
          <w:rFonts w:hint="eastAsia"/>
          <w:highlight w:val="none"/>
          <w:lang w:val="en-US" w:eastAsia="zh-CN"/>
        </w:rPr>
      </w:pPr>
      <w:r>
        <w:rPr>
          <w:rFonts w:hint="eastAsia"/>
          <w:highlight w:val="none"/>
          <w:lang w:val="en-US" w:eastAsia="zh-CN"/>
        </w:rPr>
      </w:r>
      <w:r/>
    </w:p>
    <w:p>
      <w:pPr>
        <w:pStyle w:val="662"/>
        <w:numPr>
          <w:ilvl w:val="0"/>
          <w:numId w:val="0"/>
        </w:numPr>
        <w:rPr>
          <w:rFonts w:hint="eastAsia" w:ascii="宋体" w:hAnsi="宋体"/>
          <w:i/>
          <w:sz w:val="24"/>
          <w:szCs w:val="24"/>
          <w:highlight w:val="none"/>
          <w:u w:val="single"/>
        </w:rPr>
      </w:pPr>
      <w:r>
        <w:rPr>
          <w:rFonts w:hint="eastAsia" w:ascii="宋体" w:hAnsi="宋体"/>
          <w:i/>
          <w:sz w:val="24"/>
          <w:szCs w:val="24"/>
          <w:highlight w:val="none"/>
          <w:u w:val="single"/>
          <w:lang w:val="en-US" w:eastAsia="zh-CN"/>
        </w:rPr>
        <w:t xml:space="preserve">9、</w:t>
      </w:r>
      <w:r>
        <w:rPr>
          <w:rFonts w:hint="eastAsia" w:ascii="宋体" w:hAnsi="宋体"/>
          <w:i/>
          <w:sz w:val="24"/>
          <w:szCs w:val="24"/>
          <w:highlight w:val="none"/>
          <w:u w:val="single"/>
        </w:rPr>
        <w:t xml:space="preserve">本项目</w:t>
      </w:r>
      <w:r>
        <w:rPr>
          <w:rFonts w:hint="eastAsia" w:ascii="宋体" w:hAnsi="宋体"/>
          <w:i/>
          <w:sz w:val="24"/>
          <w:szCs w:val="24"/>
          <w:highlight w:val="none"/>
          <w:u w:val="single"/>
        </w:rPr>
        <w:t xml:space="preserve">不接受</w:t>
      </w:r>
      <w:r>
        <w:rPr>
          <w:rFonts w:hint="eastAsia" w:ascii="宋体" w:hAnsi="宋体"/>
          <w:i/>
          <w:sz w:val="24"/>
          <w:szCs w:val="24"/>
          <w:highlight w:val="none"/>
          <w:u w:val="single"/>
        </w:rPr>
        <w:t xml:space="preserve">进口产品投标。</w:t>
      </w:r>
      <w:r>
        <w:rPr>
          <w:rFonts w:hint="eastAsia" w:ascii="宋体" w:hAnsi="宋体"/>
          <w:i/>
          <w:sz w:val="24"/>
          <w:szCs w:val="24"/>
          <w:highlight w:val="none"/>
          <w:u w:val="single"/>
        </w:rPr>
      </w:r>
      <w:r/>
    </w:p>
    <w:p>
      <w:pPr>
        <w:pStyle w:val="662"/>
        <w:spacing w:line="5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10、履约保证金要求</w:t>
      </w:r>
      <w:r>
        <w:rPr>
          <w:rFonts w:ascii="宋体" w:hAnsi="宋体" w:eastAsia="宋体" w:cs="Times New Roman"/>
          <w:color w:val="000000"/>
          <w:sz w:val="24"/>
          <w:szCs w:val="24"/>
          <w:highlight w:val="none"/>
          <w:lang w:val="en-US" w:eastAsia="zh-CN"/>
        </w:rPr>
      </w:r>
      <w:r/>
    </w:p>
    <w:p>
      <w:pPr>
        <w:pStyle w:val="73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w:t>
      </w:r>
      <w:r>
        <w:rPr>
          <w:rFonts w:hint="eastAsia" w:ascii="宋体" w:hAnsi="宋体" w:eastAsia="宋体" w:cs="Times New Roman"/>
          <w:color w:val="000000"/>
          <w:sz w:val="24"/>
          <w:szCs w:val="24"/>
          <w:highlight w:val="none"/>
          <w:lang w:eastAsia="zh-CN"/>
        </w:rPr>
        <w:t xml:space="preserve">不收取</w:t>
      </w:r>
      <w:r>
        <w:rPr>
          <w:rFonts w:hint="eastAsia" w:ascii="宋体" w:hAnsi="宋体" w:eastAsia="宋体" w:cs="Times New Roman"/>
          <w:color w:val="000000"/>
          <w:sz w:val="24"/>
          <w:szCs w:val="24"/>
          <w:highlight w:val="none"/>
        </w:rPr>
        <w:t xml:space="preserve">履约保证金。</w:t>
      </w:r>
      <w:r>
        <w:rPr>
          <w:rFonts w:hint="eastAsia" w:ascii="宋体" w:hAnsi="宋体" w:eastAsia="宋体" w:cs="Times New Roman"/>
          <w:color w:val="000000"/>
          <w:sz w:val="24"/>
          <w:szCs w:val="24"/>
          <w:highlight w:val="none"/>
        </w:rPr>
      </w:r>
      <w:r/>
    </w:p>
    <w:p>
      <w:pPr>
        <w:pStyle w:val="730"/>
        <w:rPr>
          <w:rFonts w:eastAsia="宋体"/>
          <w:highlight w:val="none"/>
          <w:lang w:val="en-US" w:eastAsia="zh-CN"/>
        </w:rPr>
      </w:pPr>
      <w:r>
        <w:rPr>
          <w:rFonts w:hint="eastAsia" w:ascii="宋体" w:hAnsi="宋体" w:eastAsia="宋体" w:cs="Times New Roman"/>
          <w:color w:val="000000"/>
          <w:sz w:val="24"/>
          <w:szCs w:val="24"/>
          <w:highlight w:val="none"/>
          <w:lang w:val="en-US" w:eastAsia="zh-CN"/>
        </w:rPr>
        <w:t xml:space="preserve">   </w:t>
      </w:r>
      <w:r>
        <w:rPr>
          <w:rFonts w:eastAsia="宋体"/>
          <w:highlight w:val="none"/>
          <w:lang w:val="en-US" w:eastAsia="zh-CN"/>
        </w:rPr>
      </w:r>
      <w:r/>
    </w:p>
    <w:p>
      <w:pPr>
        <w:pStyle w:val="662"/>
        <w:spacing w:line="480" w:lineRule="exact"/>
        <w:rPr>
          <w:rFonts w:hint="eastAsia" w:ascii="仿宋" w:hAnsi="仿宋" w:eastAsia="仿宋"/>
          <w:b/>
          <w:i/>
          <w:color w:val="000000"/>
          <w:sz w:val="28"/>
          <w:szCs w:val="28"/>
          <w:highlight w:val="none"/>
          <w:u w:val="single"/>
        </w:rPr>
      </w:pPr>
      <w:r>
        <w:rPr>
          <w:rFonts w:hint="eastAsia" w:ascii="仿宋" w:hAnsi="仿宋" w:eastAsia="仿宋"/>
          <w:color w:val="000000"/>
          <w:sz w:val="28"/>
          <w:szCs w:val="28"/>
          <w:highlight w:val="none"/>
        </w:rPr>
        <w:t xml:space="preserve">四、</w:t>
      </w:r>
      <w:r>
        <w:rPr>
          <w:rFonts w:hint="eastAsia" w:ascii="仿宋" w:hAnsi="仿宋" w:eastAsia="仿宋"/>
          <w:b/>
          <w:i/>
          <w:color w:val="000000"/>
          <w:sz w:val="28"/>
          <w:szCs w:val="28"/>
          <w:highlight w:val="none"/>
          <w:u w:val="single"/>
        </w:rPr>
        <w:t xml:space="preserve">采购需求中必须满足的实质性要求。（请单独列出并加斜体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仿宋" w:hAnsi="仿宋" w:eastAsia="仿宋"/>
          <w:b/>
          <w:i/>
          <w:color w:val="000000"/>
          <w:sz w:val="28"/>
          <w:szCs w:val="28"/>
          <w:highlight w:val="none"/>
          <w:u w:val="single"/>
        </w:rPr>
      </w:r>
      <w:r/>
    </w:p>
    <w:p>
      <w:pPr>
        <w:pStyle w:val="662"/>
        <w:ind w:firstLine="560"/>
        <w:spacing w:line="480" w:lineRule="exact"/>
        <w:rPr>
          <w:rFonts w:hint="eastAsia" w:ascii="仿宋" w:hAnsi="仿宋" w:eastAsia="仿宋"/>
          <w:b/>
          <w:i/>
          <w:color w:val="000000"/>
          <w:sz w:val="28"/>
          <w:szCs w:val="28"/>
          <w:highlight w:val="none"/>
          <w:u w:val="single"/>
        </w:rPr>
      </w:pPr>
      <w:r>
        <w:rPr>
          <w:rFonts w:hint="eastAsia" w:ascii="仿宋" w:hAnsi="仿宋" w:eastAsia="仿宋"/>
          <w:i/>
          <w:sz w:val="28"/>
          <w:szCs w:val="28"/>
          <w:highlight w:val="none"/>
          <w:u w:val="single"/>
        </w:rPr>
        <w:t xml:space="preserve">4.1技术部分实质性要求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r>
        <w:rPr>
          <w:rFonts w:hint="eastAsia" w:ascii="仿宋" w:hAnsi="仿宋" w:eastAsia="仿宋"/>
          <w:b/>
          <w:i/>
          <w:color w:val="000000"/>
          <w:sz w:val="28"/>
          <w:szCs w:val="28"/>
          <w:highlight w:val="none"/>
          <w:u w:val="single"/>
        </w:rPr>
      </w:r>
      <w:r/>
    </w:p>
    <w:tbl>
      <w:tblPr>
        <w:tblW w:w="9316"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28"/>
        <w:gridCol w:w="1363"/>
        <w:gridCol w:w="5925"/>
      </w:tblGrid>
      <w:tr>
        <w:trPr/>
        <w:tc>
          <w:tcPr>
            <w:tcW w:w="2028" w:type="dxa"/>
            <w:vAlign w:val="top"/>
            <w:textDirection w:val="lrTb"/>
            <w:noWrap w:val="false"/>
          </w:tcPr>
          <w:p>
            <w:pPr>
              <w:pStyle w:val="662"/>
              <w:jc w:val="center"/>
              <w:spacing w:line="520" w:lineRule="exact"/>
              <w:rPr>
                <w:rFonts w:hint="eastAsia" w:ascii="宋体" w:hAnsi="宋体" w:eastAsia="宋体" w:cs="宋体"/>
                <w:bCs/>
                <w:iCs/>
                <w:sz w:val="24"/>
                <w:szCs w:val="24"/>
                <w:highlight w:val="none"/>
                <w:lang w:val="en-US" w:eastAsia="zh-CN"/>
              </w:rPr>
            </w:pPr>
            <w:r>
              <w:rPr>
                <w:rFonts w:hint="eastAsia" w:ascii="宋体" w:hAnsi="宋体" w:eastAsia="宋体" w:cs="宋体"/>
                <w:bCs/>
                <w:iCs/>
                <w:sz w:val="24"/>
                <w:szCs w:val="24"/>
                <w:highlight w:val="none"/>
                <w:lang w:val="en-US" w:eastAsia="zh-CN"/>
              </w:rPr>
              <w:t xml:space="preserve">类别</w:t>
            </w:r>
            <w:r>
              <w:rPr>
                <w:rFonts w:hint="eastAsia" w:ascii="宋体" w:hAnsi="宋体" w:eastAsia="宋体" w:cs="宋体"/>
                <w:bCs/>
                <w:iCs/>
                <w:sz w:val="24"/>
                <w:szCs w:val="24"/>
                <w:highlight w:val="none"/>
                <w:lang w:val="en-US" w:eastAsia="zh-CN"/>
              </w:rPr>
            </w:r>
            <w:r/>
          </w:p>
        </w:tc>
        <w:tc>
          <w:tcPr>
            <w:tcW w:w="1363" w:type="dxa"/>
            <w:vAlign w:val="top"/>
            <w:textDirection w:val="lrTb"/>
            <w:noWrap w:val="false"/>
          </w:tcPr>
          <w:p>
            <w:pPr>
              <w:pStyle w:val="662"/>
              <w:jc w:val="center"/>
              <w:spacing w:line="5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要求名称</w:t>
            </w:r>
            <w:r>
              <w:rPr>
                <w:rFonts w:hint="eastAsia" w:ascii="宋体" w:hAnsi="宋体" w:eastAsia="宋体" w:cs="宋体"/>
                <w:bCs/>
                <w:iCs/>
                <w:sz w:val="24"/>
                <w:szCs w:val="24"/>
                <w:highlight w:val="none"/>
              </w:rPr>
            </w:r>
            <w:r/>
          </w:p>
        </w:tc>
        <w:tc>
          <w:tcPr>
            <w:tcW w:w="5925" w:type="dxa"/>
            <w:vAlign w:val="top"/>
            <w:textDirection w:val="lrTb"/>
            <w:noWrap w:val="false"/>
          </w:tcPr>
          <w:p>
            <w:pPr>
              <w:pStyle w:val="662"/>
              <w:jc w:val="center"/>
              <w:spacing w:line="5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要求内容</w:t>
            </w:r>
            <w:r>
              <w:rPr>
                <w:rFonts w:hint="eastAsia" w:ascii="宋体" w:hAnsi="宋体" w:eastAsia="宋体" w:cs="宋体"/>
                <w:bCs/>
                <w:iCs/>
                <w:sz w:val="24"/>
                <w:szCs w:val="24"/>
                <w:highlight w:val="none"/>
              </w:rPr>
            </w:r>
            <w:r/>
          </w:p>
        </w:tc>
      </w:tr>
      <w:tr>
        <w:trPr/>
        <w:tc>
          <w:tcPr>
            <w:tcW w:w="2028" w:type="dxa"/>
            <w:vAlign w:val="center"/>
            <w:vMerge w:val="restart"/>
            <w:textDirection w:val="lrTb"/>
            <w:noWrap w:val="false"/>
          </w:tcPr>
          <w:p>
            <w:pPr>
              <w:pStyle w:val="662"/>
              <w:jc w:val="both"/>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t xml:space="preserve">肺部疾病智能影像辅助诊断系统</w:t>
            </w:r>
            <w:r>
              <w:rPr>
                <w:rFonts w:hint="eastAsia" w:ascii="宋体" w:hAnsi="宋体" w:eastAsia="宋体" w:cs="宋体"/>
                <w:bCs/>
                <w:i/>
                <w:sz w:val="24"/>
                <w:szCs w:val="24"/>
                <w:highlight w:val="none"/>
                <w:u w:val="single"/>
              </w:rPr>
            </w:r>
            <w:r/>
          </w:p>
        </w:tc>
        <w:tc>
          <w:tcPr>
            <w:tcW w:w="1363" w:type="dxa"/>
            <w:vAlign w:val="center"/>
            <w:textDirection w:val="lrTb"/>
            <w:noWrap w:val="false"/>
          </w:tcPr>
          <w:p>
            <w:pPr>
              <w:pStyle w:val="662"/>
              <w:jc w:val="center"/>
              <w:rPr>
                <w:rFonts w:hint="eastAsia" w:ascii="宋体" w:hAnsi="宋体" w:eastAsia="宋体" w:cs="宋体"/>
                <w:bCs/>
                <w:i/>
                <w:sz w:val="24"/>
                <w:szCs w:val="24"/>
                <w:highlight w:val="none"/>
                <w:u w:val="single"/>
              </w:rPr>
            </w:pPr>
            <w:r>
              <w:rPr>
                <w:rFonts w:hint="eastAsia" w:ascii="宋体" w:hAnsi="宋体" w:eastAsia="宋体" w:cs="宋体"/>
                <w:i/>
                <w:color w:val="000000"/>
                <w:sz w:val="24"/>
                <w:szCs w:val="24"/>
                <w:highlight w:val="none"/>
                <w:u w:val="single"/>
              </w:rPr>
              <w:t xml:space="preserve">3.1.1</w:t>
            </w:r>
            <w:r>
              <w:rPr>
                <w:rFonts w:hint="eastAsia" w:ascii="宋体" w:hAnsi="宋体" w:eastAsia="宋体" w:cs="宋体"/>
                <w:bCs/>
                <w:i/>
                <w:sz w:val="24"/>
                <w:szCs w:val="24"/>
                <w:highlight w:val="none"/>
                <w:u w:val="single"/>
              </w:rPr>
            </w:r>
            <w:r/>
          </w:p>
        </w:tc>
        <w:tc>
          <w:tcPr>
            <w:tcW w:w="5925" w:type="dxa"/>
            <w:vAlign w:val="top"/>
            <w:textDirection w:val="lrTb"/>
            <w:noWrap w:val="false"/>
          </w:tcPr>
          <w:p>
            <w:pPr>
              <w:pStyle w:val="662"/>
              <w:rPr>
                <w:rFonts w:hint="eastAsia" w:ascii="宋体" w:hAnsi="宋体" w:eastAsia="宋体" w:cs="宋体"/>
                <w:bCs/>
                <w:i/>
                <w:sz w:val="24"/>
                <w:szCs w:val="24"/>
                <w:highlight w:val="none"/>
                <w:u w:val="single"/>
              </w:rPr>
            </w:pPr>
            <w:r>
              <w:rPr>
                <w:rFonts w:hint="eastAsia" w:ascii="宋体" w:hAnsi="宋体" w:eastAsia="宋体" w:cs="宋体"/>
                <w:i/>
                <w:iCs/>
                <w:color w:val="000000"/>
                <w:sz w:val="24"/>
                <w:szCs w:val="24"/>
                <w:highlight w:val="none"/>
                <w:u w:val="single"/>
                <w:lang w:bidi="ar"/>
              </w:rPr>
              <w:t xml:space="preserve">自动测量结节面积、体积数据（结节表面积、3D长径、3D最小径、最大面面积、结节质量），结节密度数据（CT最大值、最小值、平均值、中位数、标准值，实性占比）和结节影像组学参数，影像组学参数超1200种。</w:t>
            </w:r>
            <w:r>
              <w:rPr>
                <w:rFonts w:hint="eastAsia" w:ascii="宋体" w:hAnsi="宋体" w:eastAsia="宋体" w:cs="宋体"/>
                <w:bCs/>
                <w:i/>
                <w:sz w:val="24"/>
                <w:szCs w:val="24"/>
                <w:highlight w:val="none"/>
                <w:u w:val="single"/>
              </w:rPr>
            </w:r>
            <w:r/>
          </w:p>
        </w:tc>
      </w:tr>
      <w:tr>
        <w:trPr/>
        <w:tc>
          <w:tcPr>
            <w:tcW w:w="2028" w:type="dxa"/>
            <w:vAlign w:val="center"/>
            <w:vMerge w:val="continue"/>
            <w:textDirection w:val="lrTb"/>
            <w:noWrap w:val="false"/>
          </w:tcPr>
          <w:p>
            <w:pPr>
              <w:pStyle w:val="662"/>
              <w:jc w:val="both"/>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r>
            <w:r/>
          </w:p>
        </w:tc>
        <w:tc>
          <w:tcPr>
            <w:tcW w:w="1363" w:type="dxa"/>
            <w:vAlign w:val="center"/>
            <w:textDirection w:val="lrTb"/>
            <w:noWrap w:val="false"/>
          </w:tcPr>
          <w:p>
            <w:pPr>
              <w:pStyle w:val="662"/>
              <w:jc w:val="center"/>
              <w:rPr>
                <w:rFonts w:hint="eastAsia" w:ascii="宋体" w:hAnsi="宋体" w:eastAsia="宋体" w:cs="宋体"/>
                <w:bCs/>
                <w:i/>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4.1</w:t>
            </w:r>
            <w:r>
              <w:rPr>
                <w:rFonts w:hint="eastAsia" w:ascii="宋体" w:hAnsi="宋体" w:eastAsia="宋体" w:cs="宋体"/>
                <w:bCs/>
                <w:i/>
                <w:sz w:val="24"/>
                <w:szCs w:val="24"/>
                <w:highlight w:val="none"/>
                <w:u w:val="single"/>
                <w:lang w:val="en-US" w:eastAsia="zh-CN"/>
              </w:rPr>
            </w:r>
            <w:r/>
          </w:p>
        </w:tc>
        <w:tc>
          <w:tcPr>
            <w:tcW w:w="5925" w:type="dxa"/>
            <w:vAlign w:val="top"/>
            <w:textDirection w:val="lrTb"/>
            <w:noWrap w:val="false"/>
          </w:tcPr>
          <w:p>
            <w:pPr>
              <w:pStyle w:val="662"/>
              <w:rPr>
                <w:rFonts w:hint="eastAsia" w:ascii="宋体" w:hAnsi="宋体" w:eastAsia="宋体" w:cs="宋体"/>
                <w:bCs/>
                <w:i/>
                <w:sz w:val="24"/>
                <w:szCs w:val="24"/>
                <w:highlight w:val="none"/>
                <w:u w:val="single"/>
                <w:lang w:eastAsia="zh-CN"/>
              </w:rPr>
            </w:pPr>
            <w:r>
              <w:rPr>
                <w:rFonts w:hint="eastAsia" w:ascii="宋体" w:hAnsi="宋体" w:eastAsia="宋体" w:cs="宋体"/>
                <w:i/>
                <w:iCs/>
                <w:color w:val="000000"/>
                <w:sz w:val="24"/>
                <w:szCs w:val="24"/>
                <w:highlight w:val="none"/>
                <w:u w:val="single"/>
                <w:lang w:bidi="ar"/>
              </w:rPr>
              <w:t xml:space="preserve">具备“加入随访”功能，具备将随访结果一键加入患者随访管理系统</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bCs/>
                <w:i/>
                <w:sz w:val="24"/>
                <w:szCs w:val="24"/>
                <w:highlight w:val="none"/>
                <w:u w:val="single"/>
                <w:lang w:eastAsia="zh-CN"/>
              </w:rPr>
            </w:r>
            <w:r/>
          </w:p>
        </w:tc>
      </w:tr>
      <w:tr>
        <w:trPr/>
        <w:tc>
          <w:tcPr>
            <w:tcW w:w="2028" w:type="dxa"/>
            <w:vAlign w:val="center"/>
            <w:vMerge w:val="continue"/>
            <w:textDirection w:val="lrTb"/>
            <w:noWrap w:val="false"/>
          </w:tcPr>
          <w:p>
            <w:pPr>
              <w:pStyle w:val="662"/>
              <w:jc w:val="both"/>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r>
            <w:r/>
          </w:p>
        </w:tc>
        <w:tc>
          <w:tcPr>
            <w:tcW w:w="1363" w:type="dxa"/>
            <w:vAlign w:val="center"/>
            <w:textDirection w:val="lrTb"/>
            <w:noWrap w:val="false"/>
          </w:tcPr>
          <w:p>
            <w:pPr>
              <w:pStyle w:val="662"/>
              <w:jc w:val="center"/>
              <w:rPr>
                <w:rFonts w:hint="eastAsia" w:ascii="宋体" w:hAnsi="宋体" w:eastAsia="宋体" w:cs="宋体"/>
                <w:bCs/>
                <w:i/>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8.1</w:t>
            </w:r>
            <w:r>
              <w:rPr>
                <w:rFonts w:hint="eastAsia" w:ascii="宋体" w:hAnsi="宋体" w:eastAsia="宋体" w:cs="宋体"/>
                <w:bCs/>
                <w:i/>
                <w:sz w:val="24"/>
                <w:szCs w:val="24"/>
                <w:highlight w:val="none"/>
                <w:u w:val="single"/>
                <w:lang w:val="en-US" w:eastAsia="zh-CN"/>
              </w:rPr>
            </w:r>
            <w:r/>
          </w:p>
        </w:tc>
        <w:tc>
          <w:tcPr>
            <w:tcW w:w="5925" w:type="dxa"/>
            <w:vAlign w:val="top"/>
            <w:textDirection w:val="lrTb"/>
            <w:noWrap w:val="false"/>
          </w:tcPr>
          <w:p>
            <w:pPr>
              <w:pStyle w:val="662"/>
              <w:rPr>
                <w:rFonts w:hint="eastAsia" w:ascii="宋体" w:hAnsi="宋体" w:eastAsia="宋体" w:cs="宋体"/>
                <w:bCs/>
                <w:i/>
                <w:sz w:val="24"/>
                <w:szCs w:val="24"/>
                <w:highlight w:val="none"/>
                <w:u w:val="single"/>
              </w:rPr>
            </w:pPr>
            <w:r>
              <w:rPr>
                <w:rFonts w:hint="eastAsia" w:ascii="宋体" w:hAnsi="宋体" w:eastAsia="宋体" w:cs="宋体"/>
                <w:i/>
                <w:iCs/>
                <w:color w:val="000000"/>
                <w:sz w:val="24"/>
                <w:szCs w:val="24"/>
                <w:highlight w:val="none"/>
                <w:u w:val="single"/>
                <w:lang w:bidi="ar"/>
              </w:rPr>
              <w:t xml:space="preserve">具备肺结节CT影像辅助检测软件中华人民共和国医疗器械注册证（三类证）。</w:t>
            </w:r>
            <w:r>
              <w:rPr>
                <w:rFonts w:hint="eastAsia" w:ascii="宋体" w:hAnsi="宋体" w:eastAsia="宋体" w:cs="宋体"/>
                <w:bCs/>
                <w:i/>
                <w:sz w:val="24"/>
                <w:szCs w:val="24"/>
                <w:highlight w:val="none"/>
                <w:u w:val="single"/>
              </w:rPr>
            </w:r>
            <w:r/>
          </w:p>
        </w:tc>
      </w:tr>
      <w:tr>
        <w:trPr/>
        <w:tc>
          <w:tcPr>
            <w:tcW w:w="2028" w:type="dxa"/>
            <w:vAlign w:val="center"/>
            <w:textDirection w:val="lrTb"/>
            <w:noWrap w:val="false"/>
          </w:tcPr>
          <w:p>
            <w:pPr>
              <w:pStyle w:val="662"/>
              <w:jc w:val="both"/>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t xml:space="preserve">胸部骨折智能影像辅助诊断系统</w:t>
            </w:r>
            <w:r>
              <w:rPr>
                <w:rFonts w:hint="eastAsia" w:ascii="宋体" w:hAnsi="宋体" w:eastAsia="宋体" w:cs="宋体"/>
                <w:bCs/>
                <w:i/>
                <w:sz w:val="24"/>
                <w:szCs w:val="24"/>
                <w:highlight w:val="none"/>
                <w:u w:val="single"/>
              </w:rPr>
            </w:r>
            <w:r/>
          </w:p>
        </w:tc>
        <w:tc>
          <w:tcPr>
            <w:tcW w:w="1363" w:type="dxa"/>
            <w:vAlign w:val="center"/>
            <w:textDirection w:val="lrTb"/>
            <w:noWrap w:val="false"/>
          </w:tcPr>
          <w:p>
            <w:pPr>
              <w:pStyle w:val="662"/>
              <w:jc w:val="center"/>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5.2</w:t>
            </w:r>
            <w:r>
              <w:rPr>
                <w:rFonts w:hint="eastAsia" w:ascii="宋体" w:hAnsi="宋体" w:eastAsia="宋体" w:cs="宋体"/>
                <w:i/>
                <w:color w:val="000000"/>
                <w:sz w:val="24"/>
                <w:szCs w:val="24"/>
                <w:highlight w:val="none"/>
                <w:u w:val="single"/>
                <w:lang w:val="en-US" w:eastAsia="zh-CN"/>
              </w:rPr>
            </w:r>
            <w:r/>
          </w:p>
        </w:tc>
        <w:tc>
          <w:tcPr>
            <w:tcW w:w="5925" w:type="dxa"/>
            <w:vAlign w:val="top"/>
            <w:textDirection w:val="lrTb"/>
            <w:noWrap w:val="false"/>
          </w:tcPr>
          <w:p>
            <w:pPr>
              <w:pStyle w:val="662"/>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具备胸部骨折CT图像辅助分诊软件中华人民共和国医疗器械注册证（三类证）</w:t>
            </w:r>
            <w:r>
              <w:rPr>
                <w:rFonts w:hint="eastAsia" w:ascii="宋体" w:hAnsi="宋体" w:eastAsia="宋体" w:cs="宋体"/>
                <w:i/>
                <w:iCs/>
                <w:color w:val="000000"/>
                <w:sz w:val="24"/>
                <w:szCs w:val="24"/>
                <w:highlight w:val="none"/>
                <w:u w:val="single"/>
                <w:lang w:bidi="ar"/>
              </w:rPr>
            </w:r>
            <w:r/>
          </w:p>
        </w:tc>
      </w:tr>
      <w:tr>
        <w:trPr/>
        <w:tc>
          <w:tcPr>
            <w:tcW w:w="2028" w:type="dxa"/>
            <w:vAlign w:val="center"/>
            <w:vMerge w:val="restart"/>
            <w:textDirection w:val="lrTb"/>
            <w:noWrap w:val="false"/>
          </w:tcPr>
          <w:p>
            <w:pPr>
              <w:pStyle w:val="662"/>
              <w:jc w:val="both"/>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t xml:space="preserve">防勒索系统</w:t>
            </w:r>
            <w:r>
              <w:rPr>
                <w:rFonts w:hint="eastAsia" w:ascii="宋体" w:hAnsi="宋体" w:eastAsia="宋体" w:cs="宋体"/>
                <w:bCs/>
                <w:i/>
                <w:sz w:val="24"/>
                <w:szCs w:val="24"/>
                <w:highlight w:val="none"/>
                <w:u w:val="single"/>
              </w:rPr>
            </w:r>
            <w:r/>
          </w:p>
        </w:tc>
        <w:tc>
          <w:tcPr>
            <w:tcW w:w="1363" w:type="dxa"/>
            <w:vAlign w:val="center"/>
            <w:textDirection w:val="lrTb"/>
            <w:noWrap w:val="false"/>
          </w:tcPr>
          <w:p>
            <w:pPr>
              <w:pStyle w:val="662"/>
              <w:jc w:val="center"/>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品牌</w:t>
            </w:r>
            <w:r>
              <w:rPr>
                <w:rFonts w:hint="eastAsia" w:ascii="宋体" w:hAnsi="宋体" w:eastAsia="宋体" w:cs="宋体"/>
                <w:i/>
                <w:color w:val="000000"/>
                <w:sz w:val="24"/>
                <w:szCs w:val="24"/>
                <w:highlight w:val="none"/>
                <w:u w:val="single"/>
                <w:lang w:val="en-US" w:eastAsia="zh-CN"/>
              </w:rPr>
            </w:r>
            <w:r/>
          </w:p>
        </w:tc>
        <w:tc>
          <w:tcPr>
            <w:tcW w:w="5925" w:type="dxa"/>
            <w:vAlign w:val="top"/>
            <w:textDirection w:val="lrTb"/>
            <w:noWrap w:val="false"/>
          </w:tcPr>
          <w:p>
            <w:pPr>
              <w:pStyle w:val="662"/>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自主研发的国产化品牌，非OEM，具有软件著作权证书，带有“防勒索”字样。</w:t>
            </w:r>
            <w:r>
              <w:rPr>
                <w:rFonts w:hint="eastAsia" w:ascii="宋体" w:hAnsi="宋体" w:eastAsia="宋体" w:cs="宋体"/>
                <w:i/>
                <w:iCs/>
                <w:color w:val="000000"/>
                <w:sz w:val="24"/>
                <w:szCs w:val="24"/>
                <w:highlight w:val="none"/>
                <w:u w:val="single"/>
                <w:lang w:bidi="ar"/>
              </w:rPr>
            </w:r>
            <w:r/>
          </w:p>
        </w:tc>
      </w:tr>
      <w:tr>
        <w:trPr/>
        <w:tc>
          <w:tcPr>
            <w:tcW w:w="2028" w:type="dxa"/>
            <w:vAlign w:val="center"/>
            <w:vMerge w:val="continue"/>
            <w:textDirection w:val="lrTb"/>
            <w:noWrap w:val="false"/>
          </w:tcPr>
          <w:p>
            <w:pPr>
              <w:pStyle w:val="662"/>
              <w:jc w:val="both"/>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r>
            <w:r/>
          </w:p>
        </w:tc>
        <w:tc>
          <w:tcPr>
            <w:tcW w:w="1363" w:type="dxa"/>
            <w:vAlign w:val="center"/>
            <w:textDirection w:val="lrTb"/>
            <w:noWrap w:val="false"/>
          </w:tcPr>
          <w:p>
            <w:pPr>
              <w:pStyle w:val="662"/>
              <w:jc w:val="center"/>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配置</w:t>
            </w:r>
            <w:r>
              <w:rPr>
                <w:rFonts w:hint="eastAsia" w:ascii="宋体" w:hAnsi="宋体" w:eastAsia="宋体" w:cs="宋体"/>
                <w:i/>
                <w:color w:val="000000"/>
                <w:sz w:val="24"/>
                <w:szCs w:val="24"/>
                <w:highlight w:val="none"/>
                <w:u w:val="single"/>
                <w:lang w:val="en-US" w:eastAsia="zh-CN"/>
              </w:rPr>
            </w:r>
            <w:r/>
          </w:p>
        </w:tc>
        <w:tc>
          <w:tcPr>
            <w:tcW w:w="5925" w:type="dxa"/>
            <w:vAlign w:val="top"/>
            <w:textDirection w:val="lrTb"/>
            <w:noWrap w:val="false"/>
          </w:tcPr>
          <w:p>
            <w:pPr>
              <w:pStyle w:val="662"/>
              <w:rPr>
                <w:rFonts w:hint="eastAsia" w:ascii="宋体" w:hAnsi="宋体" w:eastAsia="宋体" w:cs="宋体"/>
                <w:i/>
                <w:iCs/>
                <w:color w:val="000000"/>
                <w:sz w:val="24"/>
                <w:szCs w:val="24"/>
                <w:highlight w:val="none"/>
                <w:u w:val="single"/>
                <w:lang w:bidi="ar"/>
              </w:rPr>
            </w:pPr>
            <w:r>
              <w:rPr>
                <w:rFonts w:hint="eastAsia" w:ascii="宋体" w:hAnsi="宋体" w:eastAsia="宋体" w:cs="宋体"/>
                <w:i/>
                <w:iCs/>
                <w:color w:val="000000"/>
                <w:sz w:val="24"/>
                <w:szCs w:val="24"/>
                <w:highlight w:val="none"/>
                <w:u w:val="single"/>
                <w:lang w:bidi="ar"/>
              </w:rPr>
              <w:t xml:space="preserve">包含4台数据库服务器防勒索授权。</w:t>
            </w:r>
            <w:r>
              <w:rPr>
                <w:rFonts w:hint="eastAsia" w:ascii="宋体" w:hAnsi="宋体" w:eastAsia="宋体" w:cs="宋体"/>
                <w:i/>
                <w:iCs/>
                <w:color w:val="000000"/>
                <w:sz w:val="24"/>
                <w:szCs w:val="24"/>
                <w:highlight w:val="none"/>
                <w:u w:val="single"/>
                <w:lang w:bidi="ar"/>
              </w:rPr>
            </w:r>
            <w:r/>
          </w:p>
        </w:tc>
      </w:tr>
    </w:tbl>
    <w:p>
      <w:pPr>
        <w:pStyle w:val="674"/>
        <w:rPr>
          <w:rFonts w:hint="eastAsia"/>
        </w:rPr>
      </w:pPr>
      <w:r>
        <w:rPr>
          <w:rFonts w:hint="eastAsia"/>
        </w:rPr>
      </w:r>
      <w:r/>
    </w:p>
    <w:p>
      <w:pPr>
        <w:pStyle w:val="662"/>
        <w:ind w:firstLine="560"/>
        <w:spacing w:line="480" w:lineRule="exact"/>
        <w:rPr>
          <w:rFonts w:ascii="黑体" w:eastAsia="黑体"/>
          <w:bCs/>
          <w:sz w:val="44"/>
          <w:highlight w:val="yellow"/>
        </w:rPr>
      </w:pPr>
      <w:r>
        <w:rPr>
          <w:rFonts w:hint="eastAsia" w:ascii="仿宋" w:hAnsi="仿宋" w:eastAsia="仿宋"/>
          <w:i/>
          <w:sz w:val="28"/>
          <w:szCs w:val="28"/>
          <w:highlight w:val="none"/>
          <w:u w:val="single"/>
        </w:rPr>
        <w:t xml:space="preserve">4.2商务部分实质性要求</w:t>
      </w:r>
      <w:r>
        <w:rPr>
          <w:rFonts w:hint="eastAsia" w:ascii="仿宋" w:hAnsi="仿宋" w:eastAsia="仿宋"/>
          <w:b/>
          <w:i/>
          <w:color w:val="000000"/>
          <w:sz w:val="28"/>
          <w:szCs w:val="28"/>
          <w:highlight w:val="none"/>
          <w:u w:val="single"/>
        </w:rPr>
        <w:t xml:space="preserve">（请单独列出并加斜体</w:t>
      </w:r>
      <w:r>
        <w:rPr>
          <w:rFonts w:ascii="仿宋" w:hAnsi="仿宋" w:eastAsia="仿宋"/>
          <w:b/>
          <w:i/>
          <w:color w:val="000000"/>
          <w:sz w:val="28"/>
          <w:szCs w:val="28"/>
          <w:highlight w:val="none"/>
          <w:u w:val="single"/>
        </w:rPr>
        <w:t xml:space="preserve">下划线</w:t>
      </w:r>
      <w:r>
        <w:rPr>
          <w:rFonts w:hint="eastAsia" w:ascii="仿宋" w:hAnsi="仿宋" w:eastAsia="仿宋"/>
          <w:b/>
          <w:i/>
          <w:color w:val="000000"/>
          <w:sz w:val="28"/>
          <w:szCs w:val="28"/>
          <w:highlight w:val="none"/>
          <w:u w:val="single"/>
        </w:rPr>
        <w:t xml:space="preserve">）</w:t>
      </w:r>
      <w:bookmarkStart w:id="199" w:name="_Toc120614281"/>
      <w:r>
        <w:rPr>
          <w:rFonts w:ascii="黑体" w:eastAsia="黑体"/>
          <w:bCs/>
          <w:sz w:val="44"/>
          <w:highlight w:val="yellow"/>
        </w:rPr>
      </w:r>
      <w:r/>
    </w:p>
    <w:tbl>
      <w:tblPr>
        <w:tblW w:w="9316"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6906"/>
      </w:tblGrid>
      <w:tr>
        <w:trPr/>
        <w:tc>
          <w:tcPr>
            <w:tcW w:w="709" w:type="dxa"/>
            <w:vAlign w:val="top"/>
            <w:textDirection w:val="lrTb"/>
            <w:noWrap w:val="false"/>
          </w:tcPr>
          <w:p>
            <w:pPr>
              <w:pStyle w:val="662"/>
              <w:jc w:val="center"/>
              <w:spacing w:line="5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序号</w:t>
            </w:r>
            <w:r>
              <w:rPr>
                <w:rFonts w:hint="eastAsia" w:ascii="宋体" w:hAnsi="宋体" w:eastAsia="宋体" w:cs="宋体"/>
                <w:bCs/>
                <w:iCs/>
                <w:sz w:val="24"/>
                <w:szCs w:val="24"/>
                <w:highlight w:val="none"/>
              </w:rPr>
            </w:r>
            <w:r/>
          </w:p>
        </w:tc>
        <w:tc>
          <w:tcPr>
            <w:tcW w:w="1701" w:type="dxa"/>
            <w:vAlign w:val="top"/>
            <w:textDirection w:val="lrTb"/>
            <w:noWrap w:val="false"/>
          </w:tcPr>
          <w:p>
            <w:pPr>
              <w:pStyle w:val="662"/>
              <w:jc w:val="center"/>
              <w:spacing w:line="5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要求名称</w:t>
            </w:r>
            <w:r>
              <w:rPr>
                <w:rFonts w:hint="eastAsia" w:ascii="宋体" w:hAnsi="宋体" w:eastAsia="宋体" w:cs="宋体"/>
                <w:bCs/>
                <w:iCs/>
                <w:sz w:val="24"/>
                <w:szCs w:val="24"/>
                <w:highlight w:val="none"/>
              </w:rPr>
            </w:r>
            <w:r/>
          </w:p>
        </w:tc>
        <w:tc>
          <w:tcPr>
            <w:tcW w:w="6906" w:type="dxa"/>
            <w:vAlign w:val="top"/>
            <w:textDirection w:val="lrTb"/>
            <w:noWrap w:val="false"/>
          </w:tcPr>
          <w:p>
            <w:pPr>
              <w:pStyle w:val="662"/>
              <w:jc w:val="center"/>
              <w:spacing w:line="520" w:lineRule="exact"/>
              <w:rPr>
                <w:rFonts w:hint="eastAsia" w:ascii="宋体" w:hAnsi="宋体" w:eastAsia="宋体" w:cs="宋体"/>
                <w:bCs/>
                <w:iCs/>
                <w:sz w:val="24"/>
                <w:szCs w:val="24"/>
                <w:highlight w:val="none"/>
              </w:rPr>
            </w:pPr>
            <w:r>
              <w:rPr>
                <w:rFonts w:hint="eastAsia" w:ascii="宋体" w:hAnsi="宋体" w:eastAsia="宋体" w:cs="宋体"/>
                <w:bCs/>
                <w:iCs/>
                <w:sz w:val="24"/>
                <w:szCs w:val="24"/>
                <w:highlight w:val="none"/>
              </w:rPr>
              <w:t xml:space="preserve">要求内容</w:t>
            </w:r>
            <w:r>
              <w:rPr>
                <w:rFonts w:hint="eastAsia" w:ascii="宋体" w:hAnsi="宋体" w:eastAsia="宋体" w:cs="宋体"/>
                <w:bCs/>
                <w:iCs/>
                <w:sz w:val="24"/>
                <w:szCs w:val="24"/>
                <w:highlight w:val="none"/>
              </w:rPr>
            </w:r>
            <w:r/>
          </w:p>
        </w:tc>
      </w:tr>
      <w:tr>
        <w:trPr/>
        <w:tc>
          <w:tcPr>
            <w:tcW w:w="709" w:type="dxa"/>
            <w:vAlign w:val="center"/>
            <w:textDirection w:val="lrTb"/>
            <w:noWrap w:val="false"/>
          </w:tcPr>
          <w:p>
            <w:pPr>
              <w:pStyle w:val="662"/>
              <w:jc w:val="center"/>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t xml:space="preserve">1</w:t>
            </w:r>
            <w:r>
              <w:rPr>
                <w:rFonts w:hint="eastAsia" w:ascii="宋体" w:hAnsi="宋体" w:eastAsia="宋体" w:cs="宋体"/>
                <w:bCs/>
                <w:i/>
                <w:sz w:val="24"/>
                <w:szCs w:val="24"/>
                <w:highlight w:val="none"/>
                <w:u w:val="single"/>
              </w:rPr>
            </w:r>
            <w:r/>
          </w:p>
        </w:tc>
        <w:tc>
          <w:tcPr>
            <w:tcW w:w="1701" w:type="dxa"/>
            <w:vAlign w:val="center"/>
            <w:textDirection w:val="lrTb"/>
            <w:noWrap w:val="false"/>
          </w:tcPr>
          <w:p>
            <w:pPr>
              <w:pStyle w:val="662"/>
              <w:jc w:val="center"/>
              <w:rPr>
                <w:rFonts w:hint="eastAsia" w:ascii="宋体" w:hAnsi="宋体" w:eastAsia="宋体" w:cs="宋体"/>
                <w:bCs/>
                <w:i/>
                <w:sz w:val="24"/>
                <w:szCs w:val="24"/>
                <w:highlight w:val="none"/>
                <w:u w:val="single"/>
              </w:rPr>
            </w:pPr>
            <w:r>
              <w:rPr>
                <w:rFonts w:hint="eastAsia" w:ascii="宋体" w:hAnsi="宋体" w:eastAsia="宋体" w:cs="宋体"/>
                <w:i/>
                <w:color w:val="000000"/>
                <w:sz w:val="24"/>
                <w:szCs w:val="24"/>
                <w:highlight w:val="none"/>
                <w:u w:val="single"/>
              </w:rPr>
              <w:t xml:space="preserve">质保期限</w:t>
            </w:r>
            <w:r>
              <w:rPr>
                <w:rFonts w:hint="eastAsia" w:ascii="宋体" w:hAnsi="宋体" w:eastAsia="宋体" w:cs="宋体"/>
                <w:bCs/>
                <w:i/>
                <w:sz w:val="24"/>
                <w:szCs w:val="24"/>
                <w:highlight w:val="none"/>
                <w:u w:val="single"/>
              </w:rPr>
            </w:r>
            <w:r/>
          </w:p>
        </w:tc>
        <w:tc>
          <w:tcPr>
            <w:tcW w:w="6906" w:type="dxa"/>
            <w:vAlign w:val="top"/>
            <w:textDirection w:val="lrTb"/>
            <w:noWrap w:val="false"/>
          </w:tcPr>
          <w:p>
            <w:pPr>
              <w:pStyle w:val="662"/>
              <w:rPr>
                <w:rFonts w:hint="eastAsia" w:ascii="宋体" w:hAnsi="宋体" w:eastAsia="宋体" w:cs="宋体"/>
                <w:bCs/>
                <w:i/>
                <w:sz w:val="24"/>
                <w:szCs w:val="24"/>
                <w:highlight w:val="none"/>
                <w:u w:val="single"/>
              </w:rPr>
            </w:pPr>
            <w:r>
              <w:rPr>
                <w:rFonts w:hint="eastAsia" w:ascii="宋体" w:hAnsi="宋体" w:eastAsia="宋体" w:cs="宋体"/>
                <w:b/>
                <w:bCs/>
                <w:i/>
                <w:iCs/>
                <w:color w:val="000000"/>
                <w:sz w:val="24"/>
                <w:szCs w:val="24"/>
                <w:highlight w:val="none"/>
                <w:u w:val="single"/>
                <w:lang w:bidi="ar"/>
              </w:rPr>
              <w:t xml:space="preserve">质保期限：</w:t>
            </w:r>
            <w:r>
              <w:rPr>
                <w:rFonts w:hint="eastAsia" w:ascii="宋体" w:hAnsi="宋体" w:eastAsia="宋体" w:cs="宋体"/>
                <w:i/>
                <w:iCs/>
                <w:color w:val="000000"/>
                <w:sz w:val="24"/>
                <w:szCs w:val="24"/>
                <w:highlight w:val="none"/>
                <w:u w:val="single"/>
                <w:lang w:bidi="ar"/>
              </w:rPr>
              <w:t xml:space="preserve">质保期自验收合格之日起3年；保修期内软件的维保、升级、开发应用、更换等所需一切支出（包括技术人员差旅费等支出）由中标单位负责。。</w:t>
            </w:r>
            <w:r>
              <w:rPr>
                <w:rFonts w:hint="eastAsia" w:ascii="宋体" w:hAnsi="宋体" w:eastAsia="宋体" w:cs="宋体"/>
                <w:bCs/>
                <w:i/>
                <w:sz w:val="24"/>
                <w:szCs w:val="24"/>
                <w:highlight w:val="none"/>
                <w:u w:val="single"/>
              </w:rPr>
            </w:r>
            <w:r/>
          </w:p>
        </w:tc>
      </w:tr>
      <w:tr>
        <w:trPr/>
        <w:tc>
          <w:tcPr>
            <w:tcW w:w="709" w:type="dxa"/>
            <w:vAlign w:val="center"/>
            <w:textDirection w:val="lrTb"/>
            <w:noWrap w:val="false"/>
          </w:tcPr>
          <w:p>
            <w:pPr>
              <w:pStyle w:val="662"/>
              <w:jc w:val="center"/>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t xml:space="preserve">2</w:t>
            </w:r>
            <w:r>
              <w:rPr>
                <w:rFonts w:hint="eastAsia" w:ascii="宋体" w:hAnsi="宋体" w:eastAsia="宋体" w:cs="宋体"/>
                <w:bCs/>
                <w:i/>
                <w:sz w:val="24"/>
                <w:szCs w:val="24"/>
                <w:highlight w:val="none"/>
                <w:u w:val="single"/>
              </w:rPr>
            </w:r>
            <w:r/>
          </w:p>
        </w:tc>
        <w:tc>
          <w:tcPr>
            <w:tcW w:w="1701" w:type="dxa"/>
            <w:vAlign w:val="center"/>
            <w:textDirection w:val="lrTb"/>
            <w:noWrap w:val="false"/>
          </w:tcPr>
          <w:p>
            <w:pPr>
              <w:pStyle w:val="662"/>
              <w:jc w:val="center"/>
              <w:rPr>
                <w:rFonts w:ascii="宋体" w:hAnsi="宋体" w:eastAsia="宋体" w:cs="宋体"/>
                <w:bCs/>
                <w:i/>
                <w:sz w:val="24"/>
                <w:szCs w:val="24"/>
                <w:highlight w:val="none"/>
                <w:u w:val="single"/>
                <w:lang w:val="en-US" w:eastAsia="zh-CN"/>
              </w:rPr>
            </w:pPr>
            <w:r>
              <w:rPr>
                <w:rFonts w:hint="eastAsia" w:ascii="宋体" w:hAnsi="宋体" w:cs="宋体"/>
                <w:bCs/>
                <w:i/>
                <w:sz w:val="24"/>
                <w:szCs w:val="24"/>
                <w:highlight w:val="none"/>
                <w:u w:val="single"/>
                <w:lang w:val="en-US" w:eastAsia="zh-CN"/>
              </w:rPr>
              <w:t xml:space="preserve">交付时间</w:t>
            </w:r>
            <w:r>
              <w:rPr>
                <w:rFonts w:ascii="宋体" w:hAnsi="宋体" w:eastAsia="宋体" w:cs="宋体"/>
                <w:bCs/>
                <w:i/>
                <w:sz w:val="24"/>
                <w:szCs w:val="24"/>
                <w:highlight w:val="none"/>
                <w:u w:val="single"/>
                <w:lang w:val="en-US" w:eastAsia="zh-CN"/>
              </w:rPr>
            </w:r>
            <w:r/>
          </w:p>
        </w:tc>
        <w:tc>
          <w:tcPr>
            <w:tcW w:w="6906" w:type="dxa"/>
            <w:vAlign w:val="top"/>
            <w:textDirection w:val="lrTb"/>
            <w:noWrap w:val="false"/>
          </w:tcPr>
          <w:p>
            <w:pPr>
              <w:pStyle w:val="662"/>
              <w:rPr>
                <w:rFonts w:hint="eastAsia" w:ascii="宋体" w:hAnsi="宋体" w:eastAsia="宋体" w:cs="宋体"/>
                <w:bCs/>
                <w:i/>
                <w:sz w:val="24"/>
                <w:szCs w:val="24"/>
                <w:highlight w:val="none"/>
                <w:u w:val="single"/>
              </w:rPr>
            </w:pPr>
            <w:r>
              <w:rPr>
                <w:rFonts w:hint="eastAsia" w:ascii="宋体" w:hAnsi="宋体" w:cs="宋体"/>
                <w:b/>
                <w:bCs/>
                <w:i/>
                <w:iCs/>
                <w:color w:val="000000"/>
                <w:sz w:val="24"/>
                <w:szCs w:val="24"/>
                <w:highlight w:val="none"/>
                <w:u w:val="single"/>
                <w:lang w:val="en-US" w:eastAsia="zh-CN" w:bidi="ar"/>
              </w:rPr>
              <w:t xml:space="preserve">交付时间</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自合同签署生效之日起 15 个工作日，完成系统上线并试运行。</w:t>
            </w:r>
            <w:r>
              <w:rPr>
                <w:rFonts w:hint="eastAsia" w:ascii="宋体" w:hAnsi="宋体" w:eastAsia="宋体" w:cs="宋体"/>
                <w:bCs/>
                <w:i/>
                <w:sz w:val="24"/>
                <w:szCs w:val="24"/>
                <w:highlight w:val="none"/>
                <w:u w:val="single"/>
              </w:rPr>
            </w:r>
            <w:r/>
          </w:p>
        </w:tc>
      </w:tr>
      <w:tr>
        <w:trPr/>
        <w:tc>
          <w:tcPr>
            <w:tcW w:w="709" w:type="dxa"/>
            <w:vAlign w:val="center"/>
            <w:textDirection w:val="lrTb"/>
            <w:noWrap w:val="false"/>
          </w:tcPr>
          <w:p>
            <w:pPr>
              <w:pStyle w:val="662"/>
              <w:jc w:val="center"/>
              <w:rPr>
                <w:rFonts w:hint="eastAsia" w:ascii="宋体" w:hAnsi="宋体" w:eastAsia="宋体" w:cs="宋体"/>
                <w:bCs/>
                <w:i/>
                <w:sz w:val="24"/>
                <w:szCs w:val="24"/>
                <w:highlight w:val="none"/>
                <w:u w:val="single"/>
              </w:rPr>
            </w:pPr>
            <w:r>
              <w:rPr>
                <w:rFonts w:hint="eastAsia" w:ascii="宋体" w:hAnsi="宋体" w:eastAsia="宋体" w:cs="宋体"/>
                <w:bCs/>
                <w:i/>
                <w:sz w:val="24"/>
                <w:szCs w:val="24"/>
                <w:highlight w:val="none"/>
                <w:u w:val="single"/>
              </w:rPr>
              <w:t xml:space="preserve">3</w:t>
            </w:r>
            <w:r>
              <w:rPr>
                <w:rFonts w:hint="eastAsia" w:ascii="宋体" w:hAnsi="宋体" w:eastAsia="宋体" w:cs="宋体"/>
                <w:bCs/>
                <w:i/>
                <w:sz w:val="24"/>
                <w:szCs w:val="24"/>
                <w:highlight w:val="none"/>
                <w:u w:val="single"/>
              </w:rPr>
            </w:r>
            <w:r/>
          </w:p>
        </w:tc>
        <w:tc>
          <w:tcPr>
            <w:tcW w:w="1701" w:type="dxa"/>
            <w:vAlign w:val="center"/>
            <w:textDirection w:val="lrTb"/>
            <w:noWrap w:val="false"/>
          </w:tcPr>
          <w:p>
            <w:pPr>
              <w:pStyle w:val="662"/>
              <w:jc w:val="center"/>
              <w:rPr>
                <w:rFonts w:ascii="宋体" w:hAnsi="宋体" w:eastAsia="宋体" w:cs="宋体"/>
                <w:bCs/>
                <w:i/>
                <w:sz w:val="24"/>
                <w:szCs w:val="24"/>
                <w:highlight w:val="none"/>
                <w:u w:val="single"/>
                <w:lang w:val="en-US" w:eastAsia="zh-CN"/>
              </w:rPr>
            </w:pPr>
            <w:r>
              <w:rPr>
                <w:rFonts w:hint="eastAsia" w:ascii="宋体" w:hAnsi="宋体" w:cs="宋体"/>
                <w:bCs/>
                <w:i/>
                <w:sz w:val="24"/>
                <w:szCs w:val="24"/>
                <w:highlight w:val="none"/>
                <w:u w:val="single"/>
                <w:lang w:val="en-US" w:eastAsia="zh-CN"/>
              </w:rPr>
              <w:t xml:space="preserve">服务效率</w:t>
            </w:r>
            <w:r>
              <w:rPr>
                <w:rFonts w:ascii="宋体" w:hAnsi="宋体" w:eastAsia="宋体" w:cs="宋体"/>
                <w:bCs/>
                <w:i/>
                <w:sz w:val="24"/>
                <w:szCs w:val="24"/>
                <w:highlight w:val="none"/>
                <w:u w:val="single"/>
                <w:lang w:val="en-US" w:eastAsia="zh-CN"/>
              </w:rPr>
            </w:r>
            <w:r/>
          </w:p>
        </w:tc>
        <w:tc>
          <w:tcPr>
            <w:tcW w:w="6906" w:type="dxa"/>
            <w:vAlign w:val="top"/>
            <w:textDirection w:val="lrTb"/>
            <w:noWrap w:val="false"/>
          </w:tcPr>
          <w:p>
            <w:pPr>
              <w:pStyle w:val="662"/>
              <w:rPr>
                <w:rFonts w:hint="eastAsia" w:ascii="宋体" w:hAnsi="宋体" w:eastAsia="宋体" w:cs="宋体"/>
                <w:bCs/>
                <w:i/>
                <w:sz w:val="24"/>
                <w:szCs w:val="24"/>
                <w:highlight w:val="none"/>
                <w:u w:val="single"/>
              </w:rPr>
            </w:pPr>
            <w:r>
              <w:rPr>
                <w:rFonts w:hint="eastAsia" w:ascii="宋体" w:hAnsi="宋体" w:cs="宋体"/>
                <w:b/>
                <w:bCs/>
                <w:i/>
                <w:iCs/>
                <w:color w:val="000000"/>
                <w:sz w:val="24"/>
                <w:szCs w:val="24"/>
                <w:highlight w:val="none"/>
                <w:u w:val="single"/>
                <w:lang w:val="en-US" w:eastAsia="zh-CN" w:bidi="ar"/>
              </w:rPr>
              <w:t xml:space="preserve">服务效率</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中标单位应提供及时周到的售后服务，应保证每2个月至少一次上门回访、检修。中标单位在接采购人通知后2小时作出响应，48小时内到达现场，提供7*24维保技术服务。</w:t>
            </w:r>
            <w:r>
              <w:rPr>
                <w:rFonts w:hint="eastAsia" w:ascii="宋体" w:hAnsi="宋体" w:eastAsia="宋体" w:cs="宋体"/>
                <w:bCs/>
                <w:i/>
                <w:sz w:val="24"/>
                <w:szCs w:val="24"/>
                <w:highlight w:val="none"/>
                <w:u w:val="single"/>
              </w:rPr>
            </w:r>
            <w:r/>
          </w:p>
        </w:tc>
      </w:tr>
    </w:tbl>
    <w:p>
      <w:pPr>
        <w:pStyle w:val="663"/>
        <w:rPr>
          <w:rFonts w:hint="eastAsia" w:ascii="黑体" w:eastAsia="黑体"/>
          <w:bCs/>
          <w:sz w:val="44"/>
        </w:rPr>
      </w:pPr>
      <w:r>
        <w:rPr>
          <w:rFonts w:hint="eastAsia" w:ascii="黑体" w:eastAsia="黑体"/>
          <w:bCs/>
          <w:sz w:val="44"/>
        </w:rPr>
      </w:r>
      <w:r/>
    </w:p>
    <w:p>
      <w:pPr>
        <w:pStyle w:val="674"/>
        <w:ind w:left="0" w:firstLine="0"/>
        <w:rPr>
          <w:rFonts w:hint="eastAsia"/>
        </w:rPr>
      </w:pPr>
      <w:r>
        <w:rPr>
          <w:rFonts w:hint="eastAsia"/>
        </w:rPr>
      </w:r>
      <w:r/>
    </w:p>
    <w:p>
      <w:pPr>
        <w:pStyle w:val="663"/>
        <w:jc w:val="both"/>
        <w:rPr>
          <w:rFonts w:hint="eastAsia" w:ascii="黑体" w:eastAsia="黑体"/>
          <w:bCs/>
          <w:sz w:val="44"/>
        </w:rPr>
      </w:pPr>
      <w:r>
        <w:rPr>
          <w:rFonts w:hint="eastAsia" w:ascii="黑体" w:eastAsia="黑体"/>
          <w:bCs/>
          <w:sz w:val="44"/>
        </w:rPr>
      </w:r>
      <w:r/>
    </w:p>
    <w:p>
      <w:pPr>
        <w:pStyle w:val="66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62"/>
        <w:rPr>
          <w:rFonts w:hint="eastAsia"/>
        </w:rPr>
      </w:pPr>
      <w:r>
        <w:rPr>
          <w:rFonts w:hint="eastAsia"/>
        </w:rPr>
      </w:r>
      <w:r/>
    </w:p>
    <w:p>
      <w:pPr>
        <w:pStyle w:val="75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750"/>
        <w:ind w:firstLine="441"/>
        <w:rPr>
          <w:rFonts w:ascii="宋体" w:hAnsi="宋体" w:eastAsia="宋体"/>
          <w:b/>
          <w:highlight w:val="yellow"/>
          <w:lang w:val="en-US" w:eastAsia="zh-CN"/>
        </w:rPr>
      </w:pPr>
      <w:r>
        <w:rPr>
          <w:rFonts w:hint="eastAsia" w:ascii="宋体" w:hAnsi="宋体"/>
          <w:b/>
        </w:rPr>
        <w:t xml:space="preserve">政府采购政策功能落实</w:t>
      </w:r>
      <w:r>
        <w:rPr>
          <w:rFonts w:hint="eastAsia" w:ascii="宋体" w:hAnsi="宋体"/>
          <w:b/>
          <w:lang w:eastAsia="zh-CN"/>
        </w:rPr>
        <w:t xml:space="preserve">：本项目专门面向中小微企业采购，价格评审不再执行折扣优惠。</w:t>
      </w:r>
      <w:r>
        <w:rPr>
          <w:rFonts w:ascii="宋体" w:hAnsi="宋体" w:eastAsia="宋体"/>
          <w:b/>
          <w:highlight w:val="yellow"/>
          <w:lang w:val="en-US" w:eastAsia="zh-CN"/>
        </w:rPr>
      </w:r>
      <w:r/>
    </w:p>
    <w:p>
      <w:pPr>
        <w:pStyle w:val="750"/>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750"/>
        <w:numPr>
          <w:ilvl w:val="0"/>
          <w:numId w:val="7"/>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价格分：30分</w:t>
      </w:r>
      <w:r>
        <w:rPr>
          <w:rFonts w:hint="eastAsia" w:ascii="宋体" w:hAnsi="宋体"/>
          <w:b/>
          <w:highlight w:val="none"/>
          <w:lang w:val="en-US" w:eastAsia="zh-CN"/>
        </w:rPr>
      </w:r>
      <w:r/>
    </w:p>
    <w:p>
      <w:pPr>
        <w:pStyle w:val="662"/>
        <w:ind w:firstLine="422"/>
        <w:spacing w:line="500" w:lineRule="exact"/>
        <w:rPr>
          <w:rFonts w:ascii="Arial" w:hAnsi="Arial" w:eastAsia="宋体" w:cs="Arial"/>
          <w:sz w:val="24"/>
          <w:szCs w:val="24"/>
          <w:lang w:val="en-US" w:eastAsia="zh-CN" w:bidi="ar-SA"/>
        </w:rPr>
      </w:pPr>
      <w:r>
        <w:rPr>
          <w:rFonts w:hint="eastAsia" w:ascii="宋体" w:hAnsi="宋体"/>
          <w:b/>
          <w:highlight w:val="none"/>
          <w:lang w:val="en-US" w:eastAsia="zh-CN"/>
        </w:rPr>
        <w:t xml:space="preserve"> </w:t>
      </w:r>
      <w:r>
        <w:rPr>
          <w:rFonts w:hint="eastAsia" w:ascii="Arial" w:hAnsi="Arial" w:eastAsia="宋体" w:cs="Arial"/>
          <w:sz w:val="24"/>
          <w:szCs w:val="24"/>
          <w:lang w:val="en-US" w:eastAsia="zh-CN" w:bidi="ar-SA"/>
        </w:rPr>
        <w:t xml:space="preserve"> </w:t>
      </w:r>
      <w:r>
        <w:rPr>
          <w:rFonts w:ascii="Arial" w:hAnsi="Arial" w:eastAsia="宋体" w:cs="Arial"/>
          <w:sz w:val="24"/>
          <w:szCs w:val="24"/>
          <w:lang w:val="en-US" w:eastAsia="zh-CN" w:bidi="ar-SA"/>
        </w:rPr>
        <w:t xml:space="preserve">价格分统一采用低价优先法计算，即满足招标文件要求且投标价格最低的投标报价为评标基准价，其价格分为满分。其他投标人的价格分统一按照下列公式计算：</w:t>
      </w:r>
      <w:r>
        <w:rPr>
          <w:rFonts w:ascii="Arial" w:hAnsi="Arial" w:eastAsia="宋体" w:cs="Arial"/>
          <w:sz w:val="24"/>
          <w:szCs w:val="24"/>
          <w:lang w:val="en-US" w:eastAsia="zh-CN" w:bidi="ar-SA"/>
        </w:rPr>
      </w:r>
      <w:r/>
    </w:p>
    <w:p>
      <w:pPr>
        <w:pStyle w:val="662"/>
        <w:ind w:firstLine="480"/>
        <w:spacing w:line="500" w:lineRule="exact"/>
        <w:rPr>
          <w:rFonts w:ascii="Arial" w:hAnsi="Arial" w:eastAsia="宋体" w:cs="Arial"/>
          <w:sz w:val="24"/>
          <w:szCs w:val="24"/>
          <w:lang w:val="en-US" w:eastAsia="zh-CN" w:bidi="ar-SA"/>
        </w:rPr>
      </w:pPr>
      <w:r>
        <w:rPr>
          <w:rFonts w:ascii="Arial" w:hAnsi="Arial" w:eastAsia="宋体" w:cs="Arial"/>
          <w:sz w:val="24"/>
          <w:szCs w:val="24"/>
          <w:lang w:val="en-US" w:eastAsia="zh-CN" w:bidi="ar-SA"/>
        </w:rPr>
        <w:t xml:space="preserve">投标报价得分=（评标基准价/投标报价）×价格权值×100</w:t>
      </w:r>
      <w:r>
        <w:rPr>
          <w:rFonts w:ascii="Arial" w:hAnsi="Arial" w:eastAsia="宋体" w:cs="Arial"/>
          <w:sz w:val="24"/>
          <w:szCs w:val="24"/>
          <w:lang w:val="en-US" w:eastAsia="zh-CN" w:bidi="ar-SA"/>
        </w:rPr>
      </w:r>
      <w:r/>
    </w:p>
    <w:p>
      <w:pPr>
        <w:pStyle w:val="750"/>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750"/>
        <w:numPr>
          <w:ilvl w:val="0"/>
          <w:numId w:val="7"/>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技术分：35分</w:t>
      </w:r>
      <w:r>
        <w:rPr>
          <w:rFonts w:ascii="宋体" w:hAnsi="宋体"/>
          <w:b/>
          <w:highlight w:val="none"/>
          <w:lang w:val="en-US" w:eastAsia="zh-CN"/>
        </w:rPr>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48"/>
        <w:gridCol w:w="3660"/>
        <w:gridCol w:w="990"/>
        <w:gridCol w:w="982"/>
        <w:gridCol w:w="1321"/>
      </w:tblGrid>
      <w:tr>
        <w:trPr/>
        <w:tc>
          <w:tcPr>
            <w:tcW w:w="766" w:type="dxa"/>
            <w:vAlign w:val="top"/>
            <w:textDirection w:val="lrTb"/>
            <w:noWrap w:val="false"/>
          </w:tcPr>
          <w:p>
            <w:pPr>
              <w:pStyle w:val="750"/>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序号</w:t>
            </w:r>
            <w:r>
              <w:rPr>
                <w:rFonts w:ascii="宋体" w:hAnsi="宋体"/>
                <w:b/>
                <w:highlight w:val="none"/>
                <w:vertAlign w:val="baseline"/>
                <w:lang w:val="en-US" w:eastAsia="zh-CN"/>
              </w:rPr>
            </w:r>
            <w:r/>
          </w:p>
        </w:tc>
        <w:tc>
          <w:tcPr>
            <w:tcW w:w="1448" w:type="dxa"/>
            <w:vAlign w:val="top"/>
            <w:textDirection w:val="lrTb"/>
            <w:noWrap w:val="false"/>
          </w:tcPr>
          <w:p>
            <w:pPr>
              <w:pStyle w:val="750"/>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评分点名称</w:t>
            </w:r>
            <w:r>
              <w:rPr>
                <w:rFonts w:ascii="宋体" w:hAnsi="宋体"/>
                <w:b/>
                <w:highlight w:val="none"/>
                <w:vertAlign w:val="baseline"/>
                <w:lang w:val="en-US" w:eastAsia="zh-CN"/>
              </w:rPr>
            </w:r>
            <w:r/>
          </w:p>
        </w:tc>
        <w:tc>
          <w:tcPr>
            <w:tcW w:w="3660" w:type="dxa"/>
            <w:vAlign w:val="top"/>
            <w:textDirection w:val="lrTb"/>
            <w:noWrap w:val="false"/>
          </w:tcPr>
          <w:p>
            <w:pPr>
              <w:pStyle w:val="750"/>
              <w:numPr>
                <w:ilvl w:val="0"/>
                <w:numId w:val="0"/>
              </w:numPr>
              <w:jc w:val="cente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评审标准</w:t>
            </w:r>
            <w:r>
              <w:rPr>
                <w:rFonts w:ascii="宋体" w:hAnsi="宋体"/>
                <w:b/>
                <w:highlight w:val="none"/>
                <w:vertAlign w:val="baseline"/>
                <w:lang w:val="en-US" w:eastAsia="zh-CN"/>
              </w:rPr>
            </w:r>
            <w:r/>
          </w:p>
        </w:tc>
        <w:tc>
          <w:tcPr>
            <w:tcW w:w="990" w:type="dxa"/>
            <w:vAlign w:val="top"/>
            <w:textDirection w:val="lrTb"/>
            <w:noWrap w:val="false"/>
          </w:tcPr>
          <w:p>
            <w:pPr>
              <w:pStyle w:val="750"/>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最高分</w:t>
            </w:r>
            <w:r>
              <w:rPr>
                <w:rFonts w:ascii="宋体" w:hAnsi="宋体"/>
                <w:b/>
                <w:highlight w:val="none"/>
                <w:vertAlign w:val="baseline"/>
                <w:lang w:val="en-US" w:eastAsia="zh-CN"/>
              </w:rPr>
            </w:r>
            <w:r/>
          </w:p>
        </w:tc>
        <w:tc>
          <w:tcPr>
            <w:tcW w:w="982" w:type="dxa"/>
            <w:vAlign w:val="top"/>
            <w:textDirection w:val="lrTb"/>
            <w:noWrap w:val="false"/>
          </w:tcPr>
          <w:p>
            <w:pPr>
              <w:pStyle w:val="750"/>
              <w:numPr>
                <w:ilvl w:val="0"/>
                <w:numId w:val="0"/>
              </w:numPr>
              <w:spacing w:line="0" w:lineRule="atLeast"/>
              <w:rPr>
                <w:rFonts w:ascii="宋体" w:hAnsi="宋体"/>
                <w:b/>
                <w:highlight w:val="none"/>
                <w:vertAlign w:val="baseline"/>
                <w:lang w:val="en-US" w:eastAsia="zh-CN"/>
              </w:rPr>
            </w:pPr>
            <w:r>
              <w:rPr>
                <w:rFonts w:hint="eastAsia" w:ascii="宋体" w:hAnsi="宋体"/>
                <w:b/>
                <w:highlight w:val="none"/>
                <w:vertAlign w:val="baseline"/>
                <w:lang w:val="en-US" w:eastAsia="zh-CN"/>
              </w:rPr>
              <w:t xml:space="preserve">最低分</w:t>
            </w:r>
            <w:r>
              <w:rPr>
                <w:rFonts w:ascii="宋体" w:hAnsi="宋体"/>
                <w:b/>
                <w:highlight w:val="none"/>
                <w:vertAlign w:val="baseline"/>
                <w:lang w:val="en-US" w:eastAsia="zh-CN"/>
              </w:rPr>
            </w:r>
            <w:r/>
          </w:p>
        </w:tc>
        <w:tc>
          <w:tcPr>
            <w:tcW w:w="1321" w:type="dxa"/>
            <w:vAlign w:val="top"/>
            <w:textDirection w:val="lrTb"/>
            <w:noWrap w:val="false"/>
          </w:tcPr>
          <w:p>
            <w:pPr>
              <w:pStyle w:val="750"/>
              <w:numPr>
                <w:ilvl w:val="0"/>
                <w:numId w:val="0"/>
              </w:numPr>
              <w:spacing w:line="0" w:lineRule="atLeast"/>
              <w:rPr>
                <w:rFonts w:hint="eastAsia" w:ascii="宋体" w:hAnsi="宋体" w:eastAsia="宋体"/>
                <w:b/>
                <w:highlight w:val="none"/>
                <w:vertAlign w:val="baseline"/>
                <w:lang w:val="en-US" w:eastAsia="zh-CN"/>
              </w:rPr>
            </w:pPr>
            <w:r>
              <w:rPr>
                <w:rFonts w:hint="eastAsia" w:ascii="宋体" w:hAnsi="宋体"/>
                <w:b/>
                <w:highlight w:val="none"/>
                <w:vertAlign w:val="baseline"/>
                <w:lang w:val="en-US" w:eastAsia="zh-CN"/>
              </w:rPr>
              <w:t xml:space="preserve">主/客观分</w:t>
            </w:r>
            <w:r>
              <w:rPr>
                <w:rFonts w:hint="eastAsia" w:ascii="宋体" w:hAnsi="宋体" w:eastAsia="宋体"/>
                <w:b/>
                <w:highlight w:val="none"/>
                <w:vertAlign w:val="baseline"/>
                <w:lang w:val="en-US" w:eastAsia="zh-CN"/>
              </w:rPr>
            </w:r>
            <w:r/>
          </w:p>
        </w:tc>
      </w:tr>
      <w:tr>
        <w:trPr/>
        <w:tc>
          <w:tcPr>
            <w:tcW w:w="766" w:type="dxa"/>
            <w:vAlign w:val="center"/>
            <w:textDirection w:val="lrTb"/>
            <w:noWrap w:val="false"/>
          </w:tcPr>
          <w:p>
            <w:pPr>
              <w:pStyle w:val="662"/>
              <w:jc w:val="center"/>
              <w:rPr>
                <w:rFonts w:ascii="宋体" w:hAnsi="宋体"/>
                <w:b/>
                <w:highlight w:val="none"/>
                <w:vertAlign w:val="baseline"/>
                <w:lang w:val="en-US" w:eastAsia="zh-CN"/>
              </w:rPr>
            </w:pPr>
            <w:r>
              <w:rPr>
                <w:rFonts w:hint="eastAsia" w:ascii="宋体" w:hAnsi="宋体" w:eastAsia="宋体" w:cs="宋体"/>
                <w:bCs/>
                <w:highlight w:val="none"/>
              </w:rPr>
              <w:t xml:space="preserve">1</w:t>
            </w:r>
            <w:r>
              <w:rPr>
                <w:rFonts w:ascii="宋体" w:hAnsi="宋体"/>
                <w:b/>
                <w:highlight w:val="none"/>
                <w:vertAlign w:val="baseline"/>
                <w:lang w:val="en-US" w:eastAsia="zh-CN"/>
              </w:rPr>
            </w:r>
            <w:r/>
          </w:p>
        </w:tc>
        <w:tc>
          <w:tcPr>
            <w:tcW w:w="1448" w:type="dxa"/>
            <w:vAlign w:val="center"/>
            <w:textDirection w:val="lrTb"/>
            <w:noWrap w:val="false"/>
          </w:tcPr>
          <w:p>
            <w:pPr>
              <w:pStyle w:val="662"/>
              <w:jc w:val="center"/>
              <w:rPr>
                <w:rFonts w:ascii="宋体" w:hAnsi="宋体"/>
                <w:b/>
                <w:highlight w:val="none"/>
                <w:vertAlign w:val="baseline"/>
                <w:lang w:val="en-US" w:eastAsia="zh-CN"/>
              </w:rPr>
            </w:pPr>
            <w:r>
              <w:rPr>
                <w:rFonts w:hint="eastAsia" w:ascii="宋体" w:hAnsi="宋体" w:eastAsia="宋体" w:cs="宋体"/>
                <w:bCs/>
                <w:color w:val="000000"/>
                <w:highlight w:val="none"/>
              </w:rPr>
              <w:t xml:space="preserve">设备技术参数要求</w:t>
            </w:r>
            <w:r>
              <w:rPr>
                <w:rFonts w:ascii="宋体" w:hAnsi="宋体"/>
                <w:b/>
                <w:highlight w:val="none"/>
                <w:vertAlign w:val="baseline"/>
                <w:lang w:val="en-US" w:eastAsia="zh-CN"/>
              </w:rPr>
            </w:r>
            <w:r/>
          </w:p>
        </w:tc>
        <w:tc>
          <w:tcPr>
            <w:tcW w:w="3660" w:type="dxa"/>
            <w:vAlign w:val="top"/>
            <w:textDirection w:val="lrTb"/>
            <w:noWrap w:val="false"/>
          </w:tcPr>
          <w:p>
            <w:pPr>
              <w:pStyle w:val="662"/>
              <w:rPr>
                <w:rFonts w:hint="eastAsia" w:ascii="宋体" w:hAnsi="宋体" w:eastAsia="宋体" w:cs="宋体"/>
                <w:highlight w:val="none"/>
              </w:rPr>
            </w:pPr>
            <w:r>
              <w:rPr>
                <w:rFonts w:hint="eastAsia" w:ascii="宋体" w:hAnsi="宋体" w:eastAsia="宋体" w:cs="宋体"/>
                <w:highlight w:val="none"/>
              </w:rPr>
              <w:t xml:space="preserve">评委根据供应商所投产品对招标文件规定的技术参数及要求逐项响应情况，由评委进行评议打分。完全满足招标文件要求的得满分；其中，标”★”为核心指标，不允许负偏离；</w:t>
            </w:r>
            <w:r>
              <w:rPr>
                <w:rFonts w:hint="eastAsia" w:ascii="宋体" w:hAnsi="宋体" w:cs="宋体"/>
                <w:highlight w:val="none"/>
                <w:lang w:val="en-US" w:eastAsia="zh-CN"/>
              </w:rPr>
              <w:t xml:space="preserve">标</w:t>
            </w:r>
            <w:r>
              <w:rPr>
                <w:rFonts w:hint="eastAsia" w:ascii="宋体" w:hAnsi="宋体" w:eastAsia="宋体" w:cs="宋体"/>
                <w:highlight w:val="none"/>
              </w:rPr>
              <w:t xml:space="preserve">”▲”</w:t>
            </w:r>
            <w:r>
              <w:rPr>
                <w:rFonts w:hint="eastAsia" w:ascii="宋体" w:hAnsi="宋体" w:cs="宋体"/>
                <w:highlight w:val="none"/>
                <w:lang w:val="en-US" w:eastAsia="zh-CN"/>
              </w:rPr>
              <w:t xml:space="preserve">为重要指标</w:t>
            </w:r>
            <w:r>
              <w:rPr>
                <w:rFonts w:hint="eastAsia" w:ascii="宋体" w:hAnsi="宋体" w:eastAsia="宋体" w:cs="宋体"/>
                <w:highlight w:val="none"/>
              </w:rPr>
              <w:t xml:space="preserve">，每负偏离一项扣</w:t>
            </w:r>
            <w:r>
              <w:rPr>
                <w:rFonts w:hint="eastAsia" w:ascii="宋体" w:hAnsi="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cs="宋体"/>
                <w:highlight w:val="none"/>
                <w:lang w:val="en-US" w:eastAsia="zh-CN"/>
              </w:rPr>
              <w:t xml:space="preserve">其他项，</w:t>
            </w:r>
            <w:r>
              <w:rPr>
                <w:rFonts w:hint="eastAsia" w:ascii="宋体" w:hAnsi="宋体" w:eastAsia="宋体" w:cs="宋体"/>
                <w:highlight w:val="none"/>
              </w:rPr>
              <w:t xml:space="preserve">每负偏离一项扣</w:t>
            </w:r>
            <w:r>
              <w:rPr>
                <w:rFonts w:hint="eastAsia" w:ascii="宋体" w:hAnsi="宋体" w:cs="宋体"/>
                <w:highlight w:val="none"/>
                <w:lang w:val="en-US" w:eastAsia="zh-CN"/>
              </w:rPr>
              <w:t xml:space="preserve">1</w:t>
            </w:r>
            <w:r>
              <w:rPr>
                <w:rFonts w:hint="eastAsia" w:ascii="宋体" w:hAnsi="宋体" w:eastAsia="宋体" w:cs="宋体"/>
                <w:highlight w:val="none"/>
              </w:rPr>
              <w:t xml:space="preserve">分，分数扣完为止。</w:t>
            </w:r>
            <w:r>
              <w:rPr>
                <w:rFonts w:hint="eastAsia" w:ascii="宋体" w:hAnsi="宋体" w:eastAsia="宋体" w:cs="宋体"/>
                <w:highlight w:val="none"/>
              </w:rPr>
            </w:r>
            <w:r/>
          </w:p>
          <w:p>
            <w:pPr>
              <w:pStyle w:val="662"/>
              <w:rPr>
                <w:rFonts w:ascii="宋体" w:hAnsi="宋体"/>
                <w:b/>
                <w:highlight w:val="none"/>
                <w:vertAlign w:val="baseline"/>
                <w:lang w:val="en-US" w:eastAsia="zh-CN"/>
              </w:rPr>
            </w:pPr>
            <w:r>
              <w:rPr>
                <w:rFonts w:hint="eastAsia" w:ascii="宋体" w:hAnsi="宋体" w:eastAsia="宋体" w:cs="宋体"/>
                <w:highlight w:val="none"/>
              </w:rPr>
              <w:t xml:space="preserve">备注：技术参数要求提供证明的，以产品制造商出具的技术参数截图或</w:t>
            </w:r>
            <w:r>
              <w:rPr>
                <w:rFonts w:hint="eastAsia" w:ascii="宋体" w:hAnsi="宋体" w:cs="宋体"/>
                <w:highlight w:val="none"/>
                <w:lang w:val="en-US" w:eastAsia="zh-CN"/>
              </w:rPr>
              <w:t xml:space="preserve">相关</w:t>
            </w:r>
            <w:r>
              <w:rPr>
                <w:rFonts w:hint="eastAsia" w:ascii="宋体" w:hAnsi="宋体" w:eastAsia="宋体" w:cs="宋体"/>
                <w:highlight w:val="none"/>
              </w:rPr>
              <w:t xml:space="preserve">证明</w:t>
            </w:r>
            <w:r>
              <w:rPr>
                <w:rFonts w:hint="eastAsia" w:ascii="宋体" w:hAnsi="宋体" w:cs="宋体"/>
                <w:highlight w:val="none"/>
                <w:lang w:val="en-US" w:eastAsia="zh-CN"/>
              </w:rPr>
              <w:t xml:space="preserve">材料</w:t>
            </w:r>
            <w:r>
              <w:rPr>
                <w:rFonts w:hint="eastAsia" w:ascii="宋体" w:hAnsi="宋体" w:eastAsia="宋体" w:cs="宋体"/>
                <w:highlight w:val="none"/>
              </w:rPr>
              <w:t xml:space="preserve">扫描件为准，没有出具的判为负偏离。</w:t>
            </w:r>
            <w:r>
              <w:rPr>
                <w:rFonts w:ascii="宋体" w:hAnsi="宋体"/>
                <w:b/>
                <w:highlight w:val="none"/>
                <w:vertAlign w:val="baseline"/>
                <w:lang w:val="en-US" w:eastAsia="zh-CN"/>
              </w:rPr>
            </w:r>
            <w:r/>
          </w:p>
        </w:tc>
        <w:tc>
          <w:tcPr>
            <w:tcW w:w="990" w:type="dxa"/>
            <w:vAlign w:val="center"/>
            <w:textDirection w:val="lrTb"/>
            <w:noWrap w:val="false"/>
          </w:tcPr>
          <w:p>
            <w:pPr>
              <w:pStyle w:val="662"/>
              <w:jc w:val="center"/>
              <w:rPr>
                <w:rFonts w:ascii="宋体" w:hAnsi="宋体"/>
                <w:b/>
                <w:highlight w:val="none"/>
                <w:vertAlign w:val="baseline"/>
                <w:lang w:val="en-US" w:eastAsia="zh-CN"/>
              </w:rPr>
            </w:pPr>
            <w:r>
              <w:rPr>
                <w:rFonts w:hint="eastAsia" w:ascii="仿宋" w:hAnsi="仿宋" w:eastAsia="仿宋"/>
                <w:b/>
                <w:sz w:val="28"/>
                <w:szCs w:val="28"/>
                <w:highlight w:val="none"/>
                <w:lang w:val="en-US" w:eastAsia="zh-CN"/>
              </w:rPr>
              <w:t xml:space="preserve">35</w:t>
            </w:r>
            <w:r>
              <w:rPr>
                <w:rFonts w:ascii="宋体" w:hAnsi="宋体"/>
                <w:b/>
                <w:highlight w:val="none"/>
                <w:vertAlign w:val="baseline"/>
                <w:lang w:val="en-US" w:eastAsia="zh-CN"/>
              </w:rPr>
            </w:r>
            <w:r/>
          </w:p>
        </w:tc>
        <w:tc>
          <w:tcPr>
            <w:tcW w:w="982" w:type="dxa"/>
            <w:vAlign w:val="center"/>
            <w:textDirection w:val="lrTb"/>
            <w:noWrap w:val="false"/>
          </w:tcPr>
          <w:p>
            <w:pPr>
              <w:pStyle w:val="662"/>
              <w:jc w:val="center"/>
              <w:rPr>
                <w:rFonts w:ascii="宋体" w:hAnsi="宋体"/>
                <w:b/>
                <w:highlight w:val="none"/>
                <w:vertAlign w:val="baseline"/>
                <w:lang w:val="en-US" w:eastAsia="zh-CN"/>
              </w:rPr>
            </w:pPr>
            <w:r>
              <w:rPr>
                <w:rFonts w:hint="eastAsia" w:ascii="宋体" w:hAnsi="宋体" w:eastAsia="宋体" w:cs="宋体"/>
                <w:b/>
                <w:highlight w:val="none"/>
              </w:rPr>
              <w:t xml:space="preserve">0</w:t>
            </w:r>
            <w:r>
              <w:rPr>
                <w:rFonts w:ascii="宋体" w:hAnsi="宋体"/>
                <w:b/>
                <w:highlight w:val="none"/>
                <w:vertAlign w:val="baseline"/>
                <w:lang w:val="en-US" w:eastAsia="zh-CN"/>
              </w:rPr>
            </w:r>
            <w:r/>
          </w:p>
        </w:tc>
        <w:tc>
          <w:tcPr>
            <w:tcW w:w="1321" w:type="dxa"/>
            <w:vAlign w:val="center"/>
            <w:textDirection w:val="lrTb"/>
            <w:noWrap w:val="false"/>
          </w:tcPr>
          <w:p>
            <w:pPr>
              <w:pStyle w:val="662"/>
              <w:jc w:val="center"/>
              <w:rPr>
                <w:rFonts w:ascii="宋体" w:hAnsi="宋体"/>
                <w:b/>
                <w:highlight w:val="none"/>
                <w:vertAlign w:val="baseline"/>
                <w:lang w:val="en-US" w:eastAsia="zh-CN"/>
              </w:rPr>
            </w:pPr>
            <w:r>
              <w:rPr>
                <w:rFonts w:hint="eastAsia" w:ascii="宋体" w:hAnsi="宋体" w:eastAsia="宋体" w:cs="宋体"/>
                <w:b/>
                <w:highlight w:val="none"/>
              </w:rPr>
              <w:t xml:space="preserve">客观分</w:t>
            </w:r>
            <w:r>
              <w:rPr>
                <w:rFonts w:ascii="宋体" w:hAnsi="宋体"/>
                <w:b/>
                <w:highlight w:val="none"/>
                <w:vertAlign w:val="baseline"/>
                <w:lang w:val="en-US" w:eastAsia="zh-CN"/>
              </w:rPr>
            </w:r>
            <w:r/>
          </w:p>
        </w:tc>
      </w:tr>
    </w:tbl>
    <w:p>
      <w:pPr>
        <w:pStyle w:val="750"/>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750"/>
        <w:numPr>
          <w:ilvl w:val="0"/>
          <w:numId w:val="7"/>
        </w:numPr>
        <w:ind w:firstLine="482"/>
        <w:spacing w:line="0" w:lineRule="atLeast"/>
        <w:tabs>
          <w:tab w:val="left" w:pos="312" w:leader="none"/>
        </w:tabs>
        <w:rPr>
          <w:rFonts w:hint="eastAsia"/>
          <w:highlight w:val="none"/>
        </w:rPr>
      </w:pPr>
      <w:r>
        <w:rPr>
          <w:rFonts w:hint="eastAsia" w:ascii="宋体" w:hAnsi="宋体"/>
          <w:b/>
          <w:highlight w:val="none"/>
          <w:lang w:val="en-US" w:eastAsia="zh-CN"/>
        </w:rPr>
        <w:t xml:space="preserve">商务分：35分</w:t>
      </w:r>
      <w:r>
        <w:rPr>
          <w:rFonts w:hint="eastAsia"/>
          <w:highlight w:val="none"/>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54"/>
        <w:gridCol w:w="3765"/>
        <w:gridCol w:w="945"/>
        <w:gridCol w:w="1020"/>
        <w:gridCol w:w="1397"/>
      </w:tblGrid>
      <w:tr>
        <w:trPr/>
        <w:tc>
          <w:tcPr>
            <w:tcW w:w="783" w:type="dxa"/>
            <w:vAlign w:val="top"/>
            <w:textDirection w:val="lrTb"/>
            <w:noWrap w:val="false"/>
          </w:tcPr>
          <w:p>
            <w:pPr>
              <w:pStyle w:val="750"/>
              <w:numPr>
                <w:ilvl w:val="0"/>
                <w:numId w:val="0"/>
              </w:numP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序号</w:t>
            </w:r>
            <w:r>
              <w:rPr>
                <w:rFonts w:hint="eastAsia" w:ascii="宋体" w:hAnsi="宋体" w:eastAsia="宋体" w:cs="Times New Roman"/>
                <w:b/>
                <w:highlight w:val="none"/>
                <w:vertAlign w:val="baseline"/>
                <w:lang w:val="en-US" w:eastAsia="zh-CN"/>
              </w:rPr>
            </w:r>
            <w:r/>
          </w:p>
        </w:tc>
        <w:tc>
          <w:tcPr>
            <w:tcW w:w="1554" w:type="dxa"/>
            <w:vAlign w:val="top"/>
            <w:textDirection w:val="lrTb"/>
            <w:noWrap w:val="false"/>
          </w:tcPr>
          <w:p>
            <w:pPr>
              <w:pStyle w:val="750"/>
              <w:numPr>
                <w:ilvl w:val="0"/>
                <w:numId w:val="0"/>
              </w:numP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评分点名称</w:t>
            </w:r>
            <w:r>
              <w:rPr>
                <w:rFonts w:hint="eastAsia" w:ascii="宋体" w:hAnsi="宋体" w:eastAsia="宋体" w:cs="Times New Roman"/>
                <w:b/>
                <w:highlight w:val="none"/>
                <w:vertAlign w:val="baseline"/>
                <w:lang w:val="en-US" w:eastAsia="zh-CN"/>
              </w:rPr>
            </w:r>
            <w:r/>
          </w:p>
        </w:tc>
        <w:tc>
          <w:tcPr>
            <w:tcW w:w="3765" w:type="dxa"/>
            <w:vAlign w:val="top"/>
            <w:textDirection w:val="lrTb"/>
            <w:noWrap w:val="false"/>
          </w:tcPr>
          <w:p>
            <w:pPr>
              <w:pStyle w:val="750"/>
              <w:numPr>
                <w:ilvl w:val="0"/>
                <w:numId w:val="0"/>
              </w:numP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评审标准</w:t>
            </w:r>
            <w:r>
              <w:rPr>
                <w:rFonts w:hint="eastAsia" w:ascii="宋体" w:hAnsi="宋体" w:eastAsia="宋体" w:cs="Times New Roman"/>
                <w:b/>
                <w:highlight w:val="none"/>
                <w:vertAlign w:val="baseline"/>
                <w:lang w:val="en-US" w:eastAsia="zh-CN"/>
              </w:rPr>
            </w:r>
            <w:r/>
          </w:p>
        </w:tc>
        <w:tc>
          <w:tcPr>
            <w:tcW w:w="945" w:type="dxa"/>
            <w:vAlign w:val="top"/>
            <w:textDirection w:val="lrTb"/>
            <w:noWrap w:val="false"/>
          </w:tcPr>
          <w:p>
            <w:pPr>
              <w:pStyle w:val="750"/>
              <w:numPr>
                <w:ilvl w:val="0"/>
                <w:numId w:val="0"/>
              </w:numP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最高分</w:t>
            </w:r>
            <w:r>
              <w:rPr>
                <w:rFonts w:hint="eastAsia" w:ascii="宋体" w:hAnsi="宋体" w:eastAsia="宋体" w:cs="Times New Roman"/>
                <w:b/>
                <w:highlight w:val="none"/>
                <w:vertAlign w:val="baseline"/>
                <w:lang w:val="en-US" w:eastAsia="zh-CN"/>
              </w:rPr>
            </w:r>
            <w:r/>
          </w:p>
        </w:tc>
        <w:tc>
          <w:tcPr>
            <w:tcW w:w="1020" w:type="dxa"/>
            <w:vAlign w:val="top"/>
            <w:textDirection w:val="lrTb"/>
            <w:noWrap w:val="false"/>
          </w:tcPr>
          <w:p>
            <w:pPr>
              <w:pStyle w:val="750"/>
              <w:numPr>
                <w:ilvl w:val="0"/>
                <w:numId w:val="0"/>
              </w:numP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最低分</w:t>
            </w:r>
            <w:r>
              <w:rPr>
                <w:rFonts w:hint="eastAsia" w:ascii="宋体" w:hAnsi="宋体" w:eastAsia="宋体" w:cs="Times New Roman"/>
                <w:b/>
                <w:highlight w:val="none"/>
                <w:vertAlign w:val="baseline"/>
                <w:lang w:val="en-US" w:eastAsia="zh-CN"/>
              </w:rPr>
            </w:r>
            <w:r/>
          </w:p>
        </w:tc>
        <w:tc>
          <w:tcPr>
            <w:tcW w:w="1397" w:type="dxa"/>
            <w:vAlign w:val="top"/>
            <w:textDirection w:val="lrTb"/>
            <w:noWrap w:val="false"/>
          </w:tcPr>
          <w:p>
            <w:pPr>
              <w:pStyle w:val="750"/>
              <w:numPr>
                <w:ilvl w:val="0"/>
                <w:numId w:val="0"/>
              </w:numPr>
              <w:spacing w:line="0" w:lineRule="atLeast"/>
              <w:rPr>
                <w:rFonts w:hint="eastAsia" w:ascii="宋体" w:hAnsi="宋体" w:eastAsia="宋体" w:cs="Times New Roman"/>
                <w:b/>
                <w:highlight w:val="none"/>
                <w:vertAlign w:val="baseline"/>
                <w:lang w:val="en-US" w:eastAsia="zh-CN"/>
              </w:rPr>
            </w:pPr>
            <w:r>
              <w:rPr>
                <w:rFonts w:hint="eastAsia" w:ascii="宋体" w:hAnsi="宋体" w:eastAsia="宋体" w:cs="Times New Roman"/>
                <w:b/>
                <w:highlight w:val="none"/>
                <w:vertAlign w:val="baseline"/>
                <w:lang w:val="en-US" w:eastAsia="zh-CN"/>
              </w:rPr>
              <w:t xml:space="preserve">主/客观分</w:t>
            </w:r>
            <w:r>
              <w:rPr>
                <w:rFonts w:hint="eastAsia" w:ascii="宋体" w:hAnsi="宋体" w:eastAsia="宋体" w:cs="Times New Roman"/>
                <w:b/>
                <w:highlight w:val="none"/>
                <w:vertAlign w:val="baseline"/>
                <w:lang w:val="en-US" w:eastAsia="zh-CN"/>
              </w:rPr>
            </w:r>
            <w:r/>
          </w:p>
        </w:tc>
      </w:tr>
      <w:tr>
        <w:trPr/>
        <w:tc>
          <w:tcPr>
            <w:tcW w:w="783" w:type="dxa"/>
            <w:vAlign w:val="center"/>
            <w:textDirection w:val="lrTb"/>
            <w:noWrap w:val="false"/>
          </w:tcPr>
          <w:p>
            <w:pPr>
              <w:pStyle w:val="662"/>
              <w:jc w:val="center"/>
              <w:rPr>
                <w:rFonts w:ascii="仿宋" w:hAnsi="仿宋" w:eastAsia="仿宋"/>
                <w:b/>
                <w:sz w:val="28"/>
                <w:szCs w:val="28"/>
                <w:highlight w:val="none"/>
                <w:lang w:val="en-US" w:eastAsia="zh-CN" w:bidi="ar-SA"/>
              </w:rPr>
            </w:pPr>
            <w:r>
              <w:rPr>
                <w:rFonts w:hint="eastAsia" w:ascii="宋体" w:hAnsi="宋体" w:eastAsia="宋体" w:cs="宋体"/>
                <w:bCs/>
                <w:highlight w:val="none"/>
              </w:rPr>
              <w:t xml:space="preserve">1</w:t>
            </w:r>
            <w:r>
              <w:rPr>
                <w:rFonts w:ascii="仿宋" w:hAnsi="仿宋" w:eastAsia="仿宋"/>
                <w:b/>
                <w:sz w:val="28"/>
                <w:szCs w:val="28"/>
                <w:highlight w:val="none"/>
                <w:lang w:val="en-US" w:eastAsia="zh-CN" w:bidi="ar-SA"/>
              </w:rPr>
            </w:r>
            <w:r/>
          </w:p>
        </w:tc>
        <w:tc>
          <w:tcPr>
            <w:tcW w:w="1554" w:type="dxa"/>
            <w:vAlign w:val="center"/>
            <w:textDirection w:val="lrTb"/>
            <w:noWrap w:val="false"/>
          </w:tcPr>
          <w:p>
            <w:pPr>
              <w:pStyle w:val="662"/>
              <w:jc w:val="both"/>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rPr>
              <w:t xml:space="preserve">案例业绩</w:t>
            </w:r>
            <w:r>
              <w:rPr>
                <w:rFonts w:ascii="仿宋" w:hAnsi="仿宋" w:eastAsia="仿宋"/>
                <w:b/>
                <w:sz w:val="28"/>
                <w:szCs w:val="28"/>
                <w:highlight w:val="none"/>
                <w:lang w:val="en-US" w:eastAsia="zh-CN" w:bidi="ar-SA"/>
              </w:rPr>
            </w:r>
            <w:r/>
          </w:p>
        </w:tc>
        <w:tc>
          <w:tcPr>
            <w:tcW w:w="3765" w:type="dxa"/>
            <w:vAlign w:val="center"/>
            <w:textDirection w:val="lrTb"/>
            <w:noWrap w:val="false"/>
          </w:tcPr>
          <w:p>
            <w:pPr>
              <w:pStyle w:val="662"/>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rPr>
              <w:t xml:space="preserve">产品原厂商自2021年01月01日（合同签订时间）以来承揽的</w:t>
            </w:r>
            <w:r>
              <w:rPr>
                <w:rFonts w:hint="eastAsia" w:ascii="宋体" w:hAnsi="宋体" w:cs="宋体"/>
                <w:color w:val="000000"/>
                <w:sz w:val="21"/>
                <w:szCs w:val="21"/>
                <w:highlight w:val="none"/>
                <w:lang w:val="en-US" w:eastAsia="zh-CN"/>
              </w:rPr>
              <w:t xml:space="preserve">类似</w:t>
            </w:r>
            <w:r>
              <w:rPr>
                <w:rFonts w:hint="eastAsia" w:ascii="宋体" w:hAnsi="宋体" w:cs="宋体"/>
                <w:color w:val="000000"/>
                <w:sz w:val="21"/>
                <w:szCs w:val="21"/>
                <w:highlight w:val="none"/>
              </w:rPr>
              <w:t xml:space="preserve">案例业绩，每</w:t>
            </w:r>
            <w:r>
              <w:rPr>
                <w:rFonts w:hint="eastAsia" w:ascii="宋体" w:hAnsi="宋体" w:cs="宋体"/>
                <w:color w:val="000000"/>
                <w:sz w:val="21"/>
                <w:szCs w:val="21"/>
                <w:highlight w:val="none"/>
                <w:lang w:val="en-US" w:eastAsia="zh-CN"/>
              </w:rPr>
              <w:t xml:space="preserve">提供一</w:t>
            </w:r>
            <w:r>
              <w:rPr>
                <w:rFonts w:hint="eastAsia" w:ascii="宋体" w:hAnsi="宋体" w:cs="宋体"/>
                <w:color w:val="000000"/>
                <w:sz w:val="21"/>
                <w:szCs w:val="21"/>
                <w:highlight w:val="none"/>
              </w:rPr>
              <w:t xml:space="preserve">个案例得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需提供合同扫描件</w:t>
            </w:r>
            <w:r>
              <w:rPr>
                <w:rFonts w:hint="eastAsia" w:ascii="宋体" w:hAnsi="宋体" w:cs="宋体"/>
                <w:color w:val="000000"/>
                <w:sz w:val="21"/>
                <w:szCs w:val="21"/>
                <w:highlight w:val="none"/>
                <w:lang w:val="en-US" w:eastAsia="zh-CN"/>
              </w:rPr>
              <w:t xml:space="preserve">加盖供应商公章</w:t>
            </w:r>
            <w:r>
              <w:rPr>
                <w:rFonts w:hint="eastAsia" w:ascii="宋体" w:hAnsi="宋体" w:cs="宋体"/>
                <w:color w:val="000000"/>
                <w:sz w:val="21"/>
                <w:szCs w:val="21"/>
                <w:highlight w:val="none"/>
              </w:rPr>
              <w:t xml:space="preserve">，否则</w:t>
            </w:r>
            <w:r>
              <w:rPr>
                <w:rFonts w:hint="eastAsia" w:ascii="宋体" w:hAnsi="宋体" w:cs="宋体"/>
                <w:color w:val="000000"/>
                <w:sz w:val="21"/>
                <w:szCs w:val="21"/>
                <w:highlight w:val="none"/>
                <w:lang w:val="en-US" w:eastAsia="zh-CN"/>
              </w:rPr>
              <w:t xml:space="preserve">不得分</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ascii="仿宋" w:hAnsi="仿宋" w:eastAsia="仿宋"/>
                <w:b/>
                <w:sz w:val="28"/>
                <w:szCs w:val="28"/>
                <w:highlight w:val="none"/>
                <w:lang w:val="en-US" w:eastAsia="zh-CN" w:bidi="ar-SA"/>
              </w:rPr>
            </w:r>
            <w:r/>
          </w:p>
        </w:tc>
        <w:tc>
          <w:tcPr>
            <w:tcW w:w="945"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sz w:val="21"/>
                <w:szCs w:val="21"/>
                <w:highlight w:val="none"/>
                <w:lang w:val="en-US" w:eastAsia="zh-CN"/>
              </w:rPr>
              <w:t xml:space="preserve">6</w:t>
            </w:r>
            <w:r>
              <w:rPr>
                <w:rFonts w:ascii="仿宋" w:hAnsi="仿宋" w:eastAsia="仿宋"/>
                <w:b/>
                <w:sz w:val="28"/>
                <w:szCs w:val="28"/>
                <w:highlight w:val="none"/>
                <w:lang w:val="en-US" w:eastAsia="zh-CN" w:bidi="ar-SA"/>
              </w:rPr>
            </w:r>
            <w:r/>
          </w:p>
        </w:tc>
        <w:tc>
          <w:tcPr>
            <w:tcW w:w="1020"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sz w:val="21"/>
                <w:szCs w:val="21"/>
                <w:highlight w:val="none"/>
                <w:lang w:val="en-US" w:eastAsia="zh-CN"/>
              </w:rPr>
              <w:t xml:space="preserve">0</w:t>
            </w:r>
            <w:r>
              <w:rPr>
                <w:rFonts w:ascii="仿宋" w:hAnsi="仿宋" w:eastAsia="仿宋"/>
                <w:b/>
                <w:sz w:val="28"/>
                <w:szCs w:val="28"/>
                <w:highlight w:val="none"/>
                <w:lang w:val="en-US" w:eastAsia="zh-CN" w:bidi="ar-SA"/>
              </w:rPr>
            </w:r>
            <w:r/>
          </w:p>
        </w:tc>
        <w:tc>
          <w:tcPr>
            <w:tcW w:w="1397"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客观分</w:t>
            </w:r>
            <w:r>
              <w:rPr>
                <w:rFonts w:ascii="仿宋" w:hAnsi="仿宋" w:eastAsia="仿宋"/>
                <w:b/>
                <w:sz w:val="28"/>
                <w:szCs w:val="28"/>
                <w:highlight w:val="none"/>
                <w:lang w:val="en-US" w:eastAsia="zh-CN" w:bidi="ar-SA"/>
              </w:rPr>
            </w:r>
            <w:r/>
          </w:p>
        </w:tc>
      </w:tr>
      <w:tr>
        <w:trPr/>
        <w:tc>
          <w:tcPr>
            <w:tcW w:w="783" w:type="dxa"/>
            <w:vAlign w:val="center"/>
            <w:textDirection w:val="lrTb"/>
            <w:noWrap w:val="false"/>
          </w:tcPr>
          <w:p>
            <w:pPr>
              <w:pStyle w:val="662"/>
              <w:jc w:val="center"/>
              <w:rPr>
                <w:rFonts w:ascii="仿宋" w:hAnsi="仿宋" w:eastAsia="仿宋"/>
                <w:b/>
                <w:sz w:val="28"/>
                <w:szCs w:val="28"/>
                <w:highlight w:val="none"/>
                <w:lang w:val="en-US" w:eastAsia="zh-CN" w:bidi="ar-SA"/>
              </w:rPr>
            </w:pPr>
            <w:r>
              <w:rPr>
                <w:rFonts w:hint="eastAsia" w:ascii="宋体" w:hAnsi="宋体" w:eastAsia="宋体" w:cs="宋体"/>
                <w:bCs/>
                <w:highlight w:val="none"/>
              </w:rPr>
              <w:t xml:space="preserve">2</w:t>
            </w:r>
            <w:r>
              <w:rPr>
                <w:rFonts w:ascii="仿宋" w:hAnsi="仿宋" w:eastAsia="仿宋"/>
                <w:b/>
                <w:sz w:val="28"/>
                <w:szCs w:val="28"/>
                <w:highlight w:val="none"/>
                <w:lang w:val="en-US" w:eastAsia="zh-CN" w:bidi="ar-SA"/>
              </w:rPr>
            </w:r>
            <w:r/>
          </w:p>
        </w:tc>
        <w:tc>
          <w:tcPr>
            <w:tcW w:w="1554" w:type="dxa"/>
            <w:vAlign w:val="center"/>
            <w:textDirection w:val="lrTb"/>
            <w:noWrap w:val="false"/>
          </w:tcPr>
          <w:p>
            <w:pPr>
              <w:pStyle w:val="662"/>
              <w:jc w:val="both"/>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实施</w:t>
            </w:r>
            <w:r>
              <w:rPr>
                <w:rFonts w:hint="eastAsia" w:ascii="宋体" w:hAnsi="宋体" w:cs="宋体"/>
                <w:color w:val="000000"/>
                <w:sz w:val="21"/>
                <w:szCs w:val="21"/>
                <w:highlight w:val="none"/>
              </w:rPr>
              <w:t xml:space="preserve">方案</w:t>
            </w:r>
            <w:r>
              <w:rPr>
                <w:rFonts w:ascii="仿宋" w:hAnsi="仿宋" w:eastAsia="仿宋"/>
                <w:b/>
                <w:sz w:val="28"/>
                <w:szCs w:val="28"/>
                <w:highlight w:val="none"/>
                <w:lang w:val="en-US" w:eastAsia="zh-CN" w:bidi="ar-SA"/>
              </w:rPr>
            </w:r>
            <w:r/>
          </w:p>
        </w:tc>
        <w:tc>
          <w:tcPr>
            <w:tcW w:w="3765" w:type="dxa"/>
            <w:vAlign w:val="center"/>
            <w:textDirection w:val="lrTb"/>
            <w:noWrap w:val="false"/>
          </w:tcPr>
          <w:p>
            <w:pPr>
              <w:pStyle w:val="662"/>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投标供应商</w:t>
            </w:r>
            <w:r>
              <w:rPr>
                <w:rFonts w:hint="eastAsia" w:ascii="宋体" w:hAnsi="宋体" w:cs="宋体"/>
                <w:color w:val="000000"/>
                <w:sz w:val="21"/>
                <w:szCs w:val="21"/>
                <w:highlight w:val="none"/>
                <w:lang w:val="en-US" w:eastAsia="zh-CN"/>
              </w:rPr>
              <w:t xml:space="preserve">应</w:t>
            </w:r>
            <w:r>
              <w:rPr>
                <w:rFonts w:hint="eastAsia" w:ascii="宋体" w:hAnsi="宋体" w:cs="宋体"/>
                <w:color w:val="000000"/>
                <w:sz w:val="21"/>
                <w:szCs w:val="21"/>
                <w:highlight w:val="none"/>
              </w:rPr>
              <w:t xml:space="preserve">积极响应招标文件要求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提供针对本项目系统实施方案，包含项目基本情况、项目实施计划、项目培训计划、信息安全保证措施等内容，</w:t>
            </w:r>
            <w:r>
              <w:rPr>
                <w:rFonts w:hint="eastAsia" w:ascii="宋体" w:hAnsi="宋体" w:cs="宋体"/>
                <w:color w:val="000000"/>
                <w:sz w:val="21"/>
                <w:szCs w:val="21"/>
                <w:highlight w:val="none"/>
              </w:rPr>
              <w:t xml:space="preserve">评委</w:t>
            </w:r>
            <w:r>
              <w:rPr>
                <w:rFonts w:hint="eastAsia" w:ascii="宋体" w:hAnsi="宋体" w:cs="宋体"/>
                <w:color w:val="000000"/>
                <w:sz w:val="21"/>
                <w:szCs w:val="21"/>
                <w:highlight w:val="none"/>
                <w:lang w:val="en-US" w:eastAsia="zh-CN"/>
              </w:rPr>
              <w:t xml:space="preserve">根据</w:t>
            </w:r>
            <w:r>
              <w:rPr>
                <w:rFonts w:hint="eastAsia" w:ascii="宋体" w:hAnsi="宋体" w:cs="宋体"/>
                <w:color w:val="000000"/>
                <w:sz w:val="21"/>
                <w:szCs w:val="21"/>
                <w:highlight w:val="none"/>
              </w:rPr>
              <w:t xml:space="preserve">投标供应商</w:t>
            </w:r>
            <w:r>
              <w:rPr>
                <w:rFonts w:hint="eastAsia" w:ascii="宋体" w:hAnsi="宋体" w:cs="宋体"/>
                <w:color w:val="000000"/>
                <w:sz w:val="21"/>
                <w:szCs w:val="21"/>
                <w:highlight w:val="none"/>
                <w:lang w:val="en-US" w:eastAsia="zh-CN"/>
              </w:rPr>
              <w:t xml:space="preserve">提供的方案，综合</w:t>
            </w:r>
            <w:r>
              <w:rPr>
                <w:rFonts w:hint="eastAsia" w:ascii="宋体" w:hAnsi="宋体" w:cs="宋体"/>
                <w:color w:val="000000"/>
                <w:sz w:val="21"/>
                <w:szCs w:val="21"/>
                <w:highlight w:val="none"/>
              </w:rPr>
              <w:t xml:space="preserve">比较</w:t>
            </w:r>
            <w:r>
              <w:rPr>
                <w:rFonts w:hint="eastAsia" w:ascii="宋体" w:hAnsi="宋体" w:cs="宋体"/>
                <w:color w:val="000000"/>
                <w:sz w:val="21"/>
                <w:szCs w:val="21"/>
                <w:highlight w:val="none"/>
                <w:lang w:val="en-US" w:eastAsia="zh-CN"/>
              </w:rPr>
              <w:t xml:space="preserve">后</w:t>
            </w:r>
            <w:r>
              <w:rPr>
                <w:rFonts w:hint="eastAsia" w:ascii="宋体" w:hAnsi="宋体" w:cs="宋体"/>
                <w:color w:val="000000"/>
                <w:sz w:val="21"/>
                <w:szCs w:val="21"/>
                <w:highlight w:val="none"/>
              </w:rPr>
              <w:t xml:space="preserve">进行打分。</w:t>
            </w:r>
            <w:r>
              <w:rPr>
                <w:rFonts w:hint="eastAsia" w:ascii="宋体" w:hAnsi="宋体" w:cs="宋体"/>
                <w:color w:val="000000"/>
                <w:sz w:val="21"/>
                <w:szCs w:val="21"/>
                <w:highlight w:val="none"/>
              </w:rPr>
            </w:r>
            <w:r/>
          </w:p>
          <w:p>
            <w:pPr>
              <w:pStyle w:val="662"/>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1、思路清晰</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方案内容点齐全</w:t>
            </w:r>
            <w:r>
              <w:rPr>
                <w:rFonts w:hint="eastAsia" w:ascii="宋体" w:hAnsi="宋体" w:cs="宋体"/>
                <w:color w:val="000000"/>
                <w:sz w:val="21"/>
                <w:szCs w:val="21"/>
                <w:highlight w:val="none"/>
              </w:rPr>
              <w:t xml:space="preserve">、语言表达流畅的得</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662"/>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2、思路不够清晰，</w:t>
            </w:r>
            <w:r>
              <w:rPr>
                <w:rFonts w:hint="eastAsia" w:ascii="宋体" w:hAnsi="宋体" w:cs="宋体"/>
                <w:color w:val="000000"/>
                <w:sz w:val="21"/>
                <w:szCs w:val="21"/>
                <w:highlight w:val="none"/>
                <w:lang w:val="en-US" w:eastAsia="zh-CN"/>
              </w:rPr>
              <w:t xml:space="preserve">方案内容点有少量缺漏</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语言表达流畅</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662"/>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方案内容点缺漏较多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语言表达较为混乱</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662"/>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对项目完全不了解，方案内容点与要求提供的不一致</w:t>
            </w:r>
            <w:r>
              <w:rPr>
                <w:rFonts w:hint="eastAsia" w:ascii="宋体" w:hAnsi="宋体" w:cs="宋体"/>
                <w:color w:val="000000"/>
                <w:sz w:val="21"/>
                <w:szCs w:val="21"/>
                <w:highlight w:val="none"/>
              </w:rPr>
              <w:t xml:space="preserve">，表达混乱的得1分；</w:t>
            </w:r>
            <w:r>
              <w:rPr>
                <w:rFonts w:hint="eastAsia" w:ascii="宋体" w:hAnsi="宋体" w:cs="宋体"/>
                <w:color w:val="000000"/>
                <w:sz w:val="21"/>
                <w:szCs w:val="21"/>
                <w:highlight w:val="none"/>
              </w:rPr>
            </w:r>
            <w:r/>
          </w:p>
          <w:p>
            <w:pPr>
              <w:pStyle w:val="662"/>
              <w:widowControl/>
              <w:rPr>
                <w:rFonts w:hint="eastAsia" w:eastAsia="宋体"/>
                <w:highlight w:val="none"/>
                <w:lang w:val="en-US" w:eastAsia="zh-CN"/>
              </w:rPr>
            </w:pPr>
            <w:r>
              <w:rPr>
                <w:rFonts w:hint="eastAsia" w:ascii="宋体" w:hAnsi="宋体" w:cs="宋体"/>
                <w:color w:val="000000"/>
                <w:sz w:val="21"/>
                <w:szCs w:val="21"/>
                <w:highlight w:val="none"/>
                <w:lang w:val="en-US" w:eastAsia="zh-CN"/>
              </w:rPr>
              <w:t xml:space="preserve">5、不提供不</w:t>
            </w:r>
            <w:r>
              <w:rPr>
                <w:rFonts w:hint="eastAsia" w:ascii="宋体" w:hAnsi="宋体" w:cs="宋体"/>
                <w:color w:val="000000"/>
                <w:sz w:val="21"/>
                <w:szCs w:val="21"/>
                <w:highlight w:val="none"/>
              </w:rPr>
              <w:t xml:space="preserve">得分</w:t>
            </w:r>
            <w:r>
              <w:rPr>
                <w:rFonts w:hint="eastAsia" w:ascii="宋体" w:hAnsi="宋体" w:cs="宋体"/>
                <w:color w:val="000000"/>
                <w:sz w:val="21"/>
                <w:szCs w:val="21"/>
                <w:highlight w:val="none"/>
                <w:lang w:eastAsia="zh-CN"/>
              </w:rPr>
              <w:t xml:space="preserve">。</w:t>
            </w:r>
            <w:r>
              <w:rPr>
                <w:rFonts w:hint="eastAsia" w:eastAsia="宋体"/>
                <w:highlight w:val="none"/>
                <w:lang w:val="en-US" w:eastAsia="zh-CN"/>
              </w:rPr>
            </w:r>
            <w:r/>
          </w:p>
        </w:tc>
        <w:tc>
          <w:tcPr>
            <w:tcW w:w="945"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8</w:t>
            </w:r>
            <w:r>
              <w:rPr>
                <w:rFonts w:ascii="仿宋" w:hAnsi="仿宋" w:eastAsia="仿宋"/>
                <w:b/>
                <w:sz w:val="28"/>
                <w:szCs w:val="28"/>
                <w:highlight w:val="none"/>
                <w:lang w:val="en-US" w:eastAsia="zh-CN" w:bidi="ar-SA"/>
              </w:rPr>
            </w:r>
            <w:r/>
          </w:p>
        </w:tc>
        <w:tc>
          <w:tcPr>
            <w:tcW w:w="1020"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0</w:t>
            </w:r>
            <w:r>
              <w:rPr>
                <w:rFonts w:ascii="仿宋" w:hAnsi="仿宋" w:eastAsia="仿宋"/>
                <w:b/>
                <w:sz w:val="28"/>
                <w:szCs w:val="28"/>
                <w:highlight w:val="none"/>
                <w:lang w:val="en-US" w:eastAsia="zh-CN" w:bidi="ar-SA"/>
              </w:rPr>
            </w:r>
            <w:r/>
          </w:p>
        </w:tc>
        <w:tc>
          <w:tcPr>
            <w:tcW w:w="1397"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主观分</w:t>
            </w:r>
            <w:r>
              <w:rPr>
                <w:rFonts w:ascii="仿宋" w:hAnsi="仿宋" w:eastAsia="仿宋"/>
                <w:b/>
                <w:sz w:val="28"/>
                <w:szCs w:val="28"/>
                <w:highlight w:val="none"/>
                <w:lang w:val="en-US" w:eastAsia="zh-CN" w:bidi="ar-SA"/>
              </w:rPr>
            </w:r>
            <w:r/>
          </w:p>
        </w:tc>
      </w:tr>
      <w:tr>
        <w:trPr/>
        <w:tc>
          <w:tcPr>
            <w:tcW w:w="783" w:type="dxa"/>
            <w:vAlign w:val="center"/>
            <w:textDirection w:val="lrTb"/>
            <w:noWrap w:val="false"/>
          </w:tcPr>
          <w:p>
            <w:pPr>
              <w:pStyle w:val="662"/>
              <w:jc w:val="center"/>
              <w:rPr>
                <w:rFonts w:ascii="仿宋" w:hAnsi="仿宋" w:eastAsia="仿宋"/>
                <w:b/>
                <w:sz w:val="28"/>
                <w:szCs w:val="28"/>
                <w:highlight w:val="none"/>
                <w:lang w:val="en-US" w:eastAsia="zh-CN" w:bidi="ar-SA"/>
              </w:rPr>
            </w:pPr>
            <w:r>
              <w:rPr>
                <w:rFonts w:hint="eastAsia" w:ascii="宋体" w:hAnsi="宋体" w:eastAsia="宋体" w:cs="宋体"/>
                <w:bCs/>
                <w:highlight w:val="none"/>
              </w:rPr>
              <w:t xml:space="preserve">3</w:t>
            </w:r>
            <w:r>
              <w:rPr>
                <w:rFonts w:ascii="仿宋" w:hAnsi="仿宋" w:eastAsia="仿宋"/>
                <w:b/>
                <w:sz w:val="28"/>
                <w:szCs w:val="28"/>
                <w:highlight w:val="none"/>
                <w:lang w:val="en-US" w:eastAsia="zh-CN" w:bidi="ar-SA"/>
              </w:rPr>
            </w:r>
            <w:r/>
          </w:p>
        </w:tc>
        <w:tc>
          <w:tcPr>
            <w:tcW w:w="1554" w:type="dxa"/>
            <w:vAlign w:val="center"/>
            <w:textDirection w:val="lrTb"/>
            <w:noWrap w:val="false"/>
          </w:tcPr>
          <w:p>
            <w:pPr>
              <w:pStyle w:val="662"/>
              <w:jc w:val="both"/>
              <w:widowControl/>
              <w:rPr>
                <w:rFonts w:hint="eastAsia" w:ascii="仿宋" w:hAnsi="仿宋" w:eastAsia="宋体"/>
                <w:b/>
                <w:sz w:val="28"/>
                <w:szCs w:val="28"/>
                <w:highlight w:val="none"/>
                <w:lang w:val="en-US" w:eastAsia="zh-CN" w:bidi="ar-SA"/>
              </w:rPr>
            </w:pPr>
            <w:r>
              <w:rPr>
                <w:rFonts w:hint="eastAsia" w:ascii="宋体" w:hAnsi="宋体" w:cs="宋体"/>
                <w:color w:val="000000"/>
                <w:sz w:val="21"/>
                <w:szCs w:val="21"/>
                <w:highlight w:val="none"/>
              </w:rPr>
              <w:t xml:space="preserve">售后服务</w:t>
            </w:r>
            <w:r>
              <w:rPr>
                <w:rFonts w:hint="eastAsia" w:ascii="宋体" w:hAnsi="宋体" w:cs="宋体"/>
                <w:color w:val="000000"/>
                <w:sz w:val="21"/>
                <w:szCs w:val="21"/>
                <w:highlight w:val="none"/>
                <w:lang w:val="en-US" w:eastAsia="zh-CN"/>
              </w:rPr>
              <w:t xml:space="preserve">方案</w:t>
            </w:r>
            <w:r>
              <w:rPr>
                <w:rFonts w:hint="eastAsia" w:ascii="仿宋" w:hAnsi="仿宋" w:eastAsia="宋体"/>
                <w:b/>
                <w:sz w:val="28"/>
                <w:szCs w:val="28"/>
                <w:highlight w:val="none"/>
                <w:lang w:val="en-US" w:eastAsia="zh-CN" w:bidi="ar-SA"/>
              </w:rPr>
            </w:r>
            <w:r/>
          </w:p>
        </w:tc>
        <w:tc>
          <w:tcPr>
            <w:tcW w:w="3765" w:type="dxa"/>
            <w:vAlign w:val="center"/>
            <w:textDirection w:val="lrTb"/>
            <w:noWrap w:val="false"/>
          </w:tcPr>
          <w:p>
            <w:pPr>
              <w:pStyle w:val="775"/>
              <w:jc w:val="both"/>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投标供应商</w:t>
            </w:r>
            <w:r>
              <w:rPr>
                <w:rFonts w:hint="eastAsia" w:ascii="宋体" w:hAnsi="宋体" w:cs="宋体"/>
                <w:color w:val="000000"/>
                <w:sz w:val="21"/>
                <w:szCs w:val="21"/>
                <w:highlight w:val="none"/>
                <w:lang w:val="en-US" w:eastAsia="zh-CN"/>
              </w:rPr>
              <w:t xml:space="preserve">应</w:t>
            </w:r>
            <w:r>
              <w:rPr>
                <w:rFonts w:hint="eastAsia" w:ascii="宋体" w:hAnsi="宋体" w:cs="宋体"/>
                <w:color w:val="000000"/>
                <w:sz w:val="21"/>
                <w:szCs w:val="21"/>
                <w:highlight w:val="none"/>
              </w:rPr>
              <w:t xml:space="preserve">积极响应招标文件</w:t>
            </w:r>
            <w:r>
              <w:rPr>
                <w:rFonts w:hint="eastAsia" w:ascii="宋体" w:hAnsi="宋体" w:cs="宋体"/>
                <w:color w:val="000000"/>
                <w:sz w:val="21"/>
                <w:szCs w:val="21"/>
                <w:highlight w:val="none"/>
                <w:lang w:val="en-US" w:eastAsia="zh-CN"/>
              </w:rPr>
              <w:t xml:space="preserve">要求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提供本项目的</w:t>
            </w:r>
            <w:r>
              <w:rPr>
                <w:rFonts w:hint="eastAsia" w:ascii="宋体" w:hAnsi="宋体" w:cs="宋体"/>
                <w:color w:val="000000"/>
                <w:sz w:val="21"/>
                <w:szCs w:val="21"/>
                <w:highlight w:val="none"/>
              </w:rPr>
              <w:t xml:space="preserve">售后服务</w:t>
            </w:r>
            <w:r>
              <w:rPr>
                <w:rFonts w:hint="eastAsia" w:ascii="宋体" w:hAnsi="宋体" w:cs="宋体"/>
                <w:color w:val="000000"/>
                <w:sz w:val="21"/>
                <w:szCs w:val="21"/>
                <w:highlight w:val="none"/>
                <w:lang w:val="en-US" w:eastAsia="zh-CN"/>
              </w:rPr>
              <w:t xml:space="preserve">方案，应包括具体的售后服务内容、故障响应时间、故障响应方式等，评委根据</w:t>
            </w:r>
            <w:r>
              <w:rPr>
                <w:rFonts w:hint="eastAsia" w:ascii="宋体" w:hAnsi="宋体" w:cs="宋体"/>
                <w:color w:val="000000"/>
                <w:sz w:val="21"/>
                <w:szCs w:val="21"/>
                <w:highlight w:val="none"/>
              </w:rPr>
              <w:t xml:space="preserve">投标供应商</w:t>
            </w:r>
            <w:r>
              <w:rPr>
                <w:rFonts w:hint="eastAsia" w:ascii="宋体" w:hAnsi="宋体" w:cs="宋体"/>
                <w:color w:val="000000"/>
                <w:sz w:val="21"/>
                <w:szCs w:val="21"/>
                <w:highlight w:val="none"/>
                <w:lang w:val="en-US" w:eastAsia="zh-CN"/>
              </w:rPr>
              <w:t xml:space="preserve">提供的售后服务方案，综合比较后</w:t>
            </w:r>
            <w:r>
              <w:rPr>
                <w:rFonts w:hint="eastAsia" w:ascii="宋体" w:hAnsi="宋体" w:cs="宋体"/>
                <w:color w:val="000000"/>
                <w:sz w:val="21"/>
                <w:szCs w:val="21"/>
                <w:highlight w:val="none"/>
              </w:rPr>
              <w:t xml:space="preserve">进行评分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75"/>
              <w:jc w:val="both"/>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思路清晰、</w:t>
            </w:r>
            <w:r>
              <w:rPr>
                <w:rFonts w:hint="eastAsia" w:ascii="宋体" w:hAnsi="宋体" w:cs="宋体"/>
                <w:color w:val="000000"/>
                <w:sz w:val="21"/>
                <w:szCs w:val="21"/>
                <w:highlight w:val="none"/>
                <w:lang w:val="en-US" w:eastAsia="zh-CN"/>
              </w:rPr>
              <w:t xml:space="preserve">方案内容点齐全</w:t>
            </w:r>
            <w:r>
              <w:rPr>
                <w:rFonts w:hint="eastAsia" w:ascii="宋体" w:hAnsi="宋体" w:cs="宋体"/>
                <w:color w:val="000000"/>
                <w:sz w:val="21"/>
                <w:szCs w:val="21"/>
                <w:highlight w:val="none"/>
              </w:rPr>
              <w:t xml:space="preserve">、语言表达流畅的得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w:t>
            </w:r>
            <w:r>
              <w:rPr>
                <w:rFonts w:ascii="宋体" w:hAnsi="宋体" w:cs="宋体"/>
                <w:color w:val="000000"/>
                <w:sz w:val="21"/>
                <w:szCs w:val="21"/>
                <w:highlight w:val="none"/>
                <w:lang w:val="en-US" w:eastAsia="zh-CN"/>
              </w:rPr>
            </w:r>
            <w:r/>
          </w:p>
          <w:p>
            <w:pPr>
              <w:pStyle w:val="775"/>
              <w:jc w:val="both"/>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2、方案内容点有部分缺漏，语言表达流畅</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lang w:val="en-US" w:eastAsia="zh-CN"/>
              </w:rPr>
              <w:t xml:space="preserve">得3分；</w:t>
            </w:r>
            <w:r>
              <w:rPr>
                <w:rFonts w:hint="eastAsia" w:ascii="宋体" w:hAnsi="宋体" w:cs="宋体"/>
                <w:color w:val="000000"/>
                <w:sz w:val="21"/>
                <w:szCs w:val="21"/>
                <w:highlight w:val="none"/>
                <w:lang w:val="en-US" w:eastAsia="zh-CN"/>
              </w:rPr>
            </w:r>
            <w:r/>
          </w:p>
          <w:p>
            <w:pPr>
              <w:pStyle w:val="775"/>
              <w:jc w:val="both"/>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3、方案内容点与要求提供的不一致</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语言表达混乱</w:t>
            </w:r>
            <w:r>
              <w:rPr>
                <w:rFonts w:hint="eastAsia" w:ascii="宋体" w:hAnsi="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val="en-US" w:eastAsia="zh-CN"/>
              </w:rPr>
            </w:r>
            <w:r/>
          </w:p>
          <w:p>
            <w:pPr>
              <w:pStyle w:val="775"/>
              <w:jc w:val="both"/>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4、未提供的不得分；</w:t>
            </w:r>
            <w:r>
              <w:rPr>
                <w:rFonts w:ascii="仿宋" w:hAnsi="仿宋" w:eastAsia="仿宋"/>
                <w:b/>
                <w:sz w:val="28"/>
                <w:szCs w:val="28"/>
                <w:highlight w:val="none"/>
                <w:lang w:val="en-US" w:eastAsia="zh-CN" w:bidi="ar-SA"/>
              </w:rPr>
            </w:r>
            <w:r/>
          </w:p>
        </w:tc>
        <w:tc>
          <w:tcPr>
            <w:tcW w:w="945" w:type="dxa"/>
            <w:vAlign w:val="center"/>
            <w:textDirection w:val="lrTb"/>
            <w:noWrap w:val="false"/>
          </w:tcPr>
          <w:p>
            <w:pPr>
              <w:pStyle w:val="662"/>
              <w:jc w:val="center"/>
              <w:widowControl/>
              <w:rPr>
                <w:rFonts w:hint="eastAsia" w:ascii="仿宋" w:hAnsi="仿宋" w:eastAsia="仿宋"/>
                <w:b/>
                <w:sz w:val="28"/>
                <w:szCs w:val="28"/>
                <w:highlight w:val="none"/>
                <w:lang w:val="en-US" w:eastAsia="zh-CN" w:bidi="ar-SA"/>
              </w:rPr>
            </w:pPr>
            <w:r>
              <w:rPr>
                <w:rFonts w:hint="eastAsia" w:ascii="宋体" w:hAnsi="宋体" w:eastAsia="仿宋" w:cs="宋体"/>
                <w:sz w:val="21"/>
                <w:szCs w:val="21"/>
                <w:highlight w:val="none"/>
                <w:lang w:val="en-US" w:eastAsia="zh-CN"/>
              </w:rPr>
              <w:t xml:space="preserve">5</w:t>
            </w:r>
            <w:r>
              <w:rPr>
                <w:rFonts w:hint="eastAsia" w:ascii="仿宋" w:hAnsi="仿宋" w:eastAsia="仿宋"/>
                <w:b/>
                <w:sz w:val="28"/>
                <w:szCs w:val="28"/>
                <w:highlight w:val="none"/>
                <w:lang w:val="en-US" w:eastAsia="zh-CN" w:bidi="ar-SA"/>
              </w:rPr>
            </w:r>
            <w:r/>
          </w:p>
        </w:tc>
        <w:tc>
          <w:tcPr>
            <w:tcW w:w="1020"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sz w:val="21"/>
                <w:szCs w:val="21"/>
                <w:highlight w:val="none"/>
                <w:lang w:val="en-US" w:eastAsia="zh-CN"/>
              </w:rPr>
              <w:t xml:space="preserve">0</w:t>
            </w:r>
            <w:r>
              <w:rPr>
                <w:rFonts w:ascii="仿宋" w:hAnsi="仿宋" w:eastAsia="仿宋"/>
                <w:b/>
                <w:sz w:val="28"/>
                <w:szCs w:val="28"/>
                <w:highlight w:val="none"/>
                <w:lang w:val="en-US" w:eastAsia="zh-CN" w:bidi="ar-SA"/>
              </w:rPr>
            </w:r>
            <w:r/>
          </w:p>
        </w:tc>
        <w:tc>
          <w:tcPr>
            <w:tcW w:w="1397"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sz w:val="21"/>
                <w:szCs w:val="21"/>
                <w:highlight w:val="none"/>
                <w:lang w:val="en-US" w:eastAsia="zh-CN"/>
              </w:rPr>
              <w:t xml:space="preserve">主观分</w:t>
            </w:r>
            <w:r>
              <w:rPr>
                <w:rFonts w:ascii="仿宋" w:hAnsi="仿宋" w:eastAsia="仿宋"/>
                <w:b/>
                <w:sz w:val="28"/>
                <w:szCs w:val="28"/>
                <w:highlight w:val="none"/>
                <w:lang w:val="en-US" w:eastAsia="zh-CN" w:bidi="ar-SA"/>
              </w:rPr>
            </w:r>
            <w:r/>
          </w:p>
        </w:tc>
      </w:tr>
      <w:tr>
        <w:trPr/>
        <w:tc>
          <w:tcPr>
            <w:tcW w:w="783" w:type="dxa"/>
            <w:vAlign w:val="center"/>
            <w:textDirection w:val="lrTb"/>
            <w:noWrap w:val="false"/>
          </w:tcPr>
          <w:p>
            <w:pPr>
              <w:pStyle w:val="662"/>
              <w:jc w:val="center"/>
              <w:rPr>
                <w:rFonts w:ascii="仿宋" w:hAnsi="仿宋" w:eastAsia="仿宋"/>
                <w:b/>
                <w:sz w:val="28"/>
                <w:szCs w:val="28"/>
                <w:highlight w:val="none"/>
                <w:lang w:val="en-US" w:eastAsia="zh-CN" w:bidi="ar-SA"/>
              </w:rPr>
            </w:pPr>
            <w:r>
              <w:rPr>
                <w:rFonts w:hint="eastAsia" w:ascii="宋体" w:hAnsi="宋体" w:eastAsia="宋体" w:cs="宋体"/>
                <w:bCs/>
                <w:highlight w:val="none"/>
              </w:rPr>
              <w:t xml:space="preserve">4</w:t>
            </w:r>
            <w:r>
              <w:rPr>
                <w:rFonts w:ascii="仿宋" w:hAnsi="仿宋" w:eastAsia="仿宋"/>
                <w:b/>
                <w:sz w:val="28"/>
                <w:szCs w:val="28"/>
                <w:highlight w:val="none"/>
                <w:lang w:val="en-US" w:eastAsia="zh-CN" w:bidi="ar-SA"/>
              </w:rPr>
            </w:r>
            <w:r/>
          </w:p>
        </w:tc>
        <w:tc>
          <w:tcPr>
            <w:tcW w:w="1554" w:type="dxa"/>
            <w:vAlign w:val="center"/>
            <w:textDirection w:val="lrTb"/>
            <w:noWrap w:val="false"/>
          </w:tcPr>
          <w:p>
            <w:pPr>
              <w:pStyle w:val="662"/>
              <w:jc w:val="both"/>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人员资质</w:t>
            </w:r>
            <w:r>
              <w:rPr>
                <w:rFonts w:ascii="仿宋" w:hAnsi="仿宋" w:eastAsia="仿宋"/>
                <w:b/>
                <w:sz w:val="28"/>
                <w:szCs w:val="28"/>
                <w:highlight w:val="none"/>
                <w:lang w:val="en-US" w:eastAsia="zh-CN" w:bidi="ar-SA"/>
              </w:rPr>
            </w:r>
            <w:r/>
          </w:p>
        </w:tc>
        <w:tc>
          <w:tcPr>
            <w:tcW w:w="3765" w:type="dxa"/>
            <w:vAlign w:val="center"/>
            <w:textDirection w:val="lrTb"/>
            <w:noWrap w:val="false"/>
          </w:tcPr>
          <w:p>
            <w:pPr>
              <w:pStyle w:val="662"/>
              <w:jc w:val="both"/>
              <w:widowControl/>
              <w:rPr>
                <w:rFonts w:ascii="宋体" w:hAnsi="宋体" w:eastAsia="宋体" w:cs="宋体"/>
                <w:sz w:val="21"/>
                <w:szCs w:val="21"/>
                <w:highlight w:val="none"/>
                <w:lang w:val="en-US" w:eastAsia="zh-CN"/>
              </w:rPr>
            </w:pPr>
            <w:r>
              <w:rPr>
                <w:rFonts w:hint="eastAsia" w:ascii="宋体" w:hAnsi="宋体" w:cs="宋体"/>
                <w:color w:val="000000"/>
                <w:sz w:val="21"/>
                <w:szCs w:val="21"/>
                <w:highlight w:val="none"/>
              </w:rPr>
              <w:t xml:space="preserve">本次项目建设对数据信息安全有较高要求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为支持系统</w:t>
            </w:r>
            <w:r>
              <w:rPr>
                <w:rFonts w:hint="eastAsia" w:ascii="宋体" w:hAnsi="宋体" w:cs="宋体"/>
                <w:sz w:val="21"/>
                <w:szCs w:val="21"/>
                <w:highlight w:val="none"/>
              </w:rPr>
              <w:t xml:space="preserve">的顺利运行，投标供应商</w:t>
            </w:r>
            <w:r>
              <w:rPr>
                <w:rFonts w:hint="eastAsia" w:ascii="宋体" w:hAnsi="宋体" w:cs="宋体"/>
                <w:sz w:val="21"/>
                <w:szCs w:val="21"/>
                <w:highlight w:val="none"/>
                <w:lang w:val="en-US" w:eastAsia="zh-CN"/>
              </w:rPr>
              <w:t xml:space="preserve">拟派的实施技术团队具备以下资质:</w:t>
            </w:r>
            <w:r>
              <w:rPr>
                <w:rFonts w:ascii="宋体" w:hAnsi="宋体" w:eastAsia="宋体" w:cs="宋体"/>
                <w:sz w:val="21"/>
                <w:szCs w:val="21"/>
                <w:highlight w:val="none"/>
                <w:lang w:val="en-US" w:eastAsia="zh-CN"/>
              </w:rPr>
            </w:r>
            <w:r/>
          </w:p>
          <w:p>
            <w:pPr>
              <w:pStyle w:val="662"/>
              <w:numPr>
                <w:ilvl w:val="0"/>
                <w:numId w:val="8"/>
              </w:numPr>
              <w:jc w:val="left"/>
              <w:widowControl/>
              <w:rPr>
                <w:rFonts w:hint="eastAsia" w:ascii="宋体" w:hAnsi="宋体" w:cs="宋体"/>
                <w:sz w:val="21"/>
                <w:szCs w:val="21"/>
                <w:highlight w:val="none"/>
                <w:lang w:eastAsia="zh-CN"/>
              </w:rPr>
            </w:pPr>
            <w:r>
              <w:rPr>
                <w:rFonts w:hint="eastAsia" w:ascii="宋体" w:hAnsi="宋体" w:cs="宋体"/>
                <w:sz w:val="21"/>
                <w:szCs w:val="21"/>
                <w:highlight w:val="none"/>
              </w:rPr>
              <w:t xml:space="preserve">拟派团队成员具有 CISAW 信息安全保障(安全集成)人员认证证书，得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分；具有 CISAW 信息安全保障(风险管理)人员认证证书，得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 分；具有 CISAW 信息安全保障(安全运维)人员认证证书，得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分；本项最多可得</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 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本项中</w:t>
            </w:r>
            <w:r>
              <w:rPr>
                <w:rFonts w:hint="eastAsia" w:ascii="宋体" w:hAnsi="宋体" w:cs="宋体"/>
                <w:sz w:val="21"/>
                <w:szCs w:val="21"/>
                <w:highlight w:val="none"/>
              </w:rPr>
              <w:t xml:space="preserve">提供的 CISAW 安全集成、风险管理、安全运维工程师证书不可为相同人员持证，如提供相同人员认证证书只按一个证书</w:t>
            </w:r>
            <w:r>
              <w:rPr>
                <w:rFonts w:hint="eastAsia" w:ascii="宋体" w:hAnsi="宋体" w:cs="宋体"/>
                <w:sz w:val="21"/>
                <w:szCs w:val="21"/>
                <w:highlight w:val="none"/>
                <w:lang w:val="en-US" w:eastAsia="zh-CN"/>
              </w:rPr>
              <w:t xml:space="preserve">计算</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eastAsia="zh-CN"/>
              </w:rPr>
            </w:r>
            <w:r/>
          </w:p>
          <w:p>
            <w:pPr>
              <w:pStyle w:val="662"/>
              <w:jc w:val="both"/>
              <w:widowControl/>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拟派团队成员具有注册信息安全工程师证书（CISP）每提供一个，可得 1 分，本项最多可得 2 分。</w:t>
            </w:r>
            <w:r>
              <w:rPr>
                <w:rFonts w:hint="eastAsia" w:ascii="宋体" w:hAnsi="宋体" w:cs="宋体"/>
                <w:sz w:val="21"/>
                <w:szCs w:val="21"/>
                <w:highlight w:val="none"/>
                <w:lang w:eastAsia="zh-CN"/>
              </w:rPr>
            </w:r>
            <w:r/>
          </w:p>
          <w:p>
            <w:pPr>
              <w:pStyle w:val="662"/>
              <w:jc w:val="left"/>
              <w:widowControl/>
              <w:rPr>
                <w:rFonts w:ascii="仿宋" w:hAnsi="仿宋" w:eastAsia="仿宋"/>
                <w:b/>
                <w:sz w:val="28"/>
                <w:szCs w:val="28"/>
                <w:highlight w:val="none"/>
                <w:lang w:val="en-US" w:eastAsia="zh-CN" w:bidi="ar-SA"/>
              </w:rPr>
            </w:pPr>
            <w:r>
              <w:rPr>
                <w:rFonts w:hint="eastAsia" w:ascii="宋体" w:hAnsi="宋体" w:cs="宋体"/>
                <w:sz w:val="21"/>
                <w:szCs w:val="21"/>
                <w:highlight w:val="none"/>
              </w:rPr>
              <w:t xml:space="preserve">（以上证书人员需均为投标供应商在职员工，需提供</w:t>
            </w:r>
            <w:r>
              <w:rPr>
                <w:rFonts w:hint="eastAsia" w:ascii="宋体" w:hAnsi="宋体" w:cs="宋体"/>
                <w:sz w:val="21"/>
                <w:szCs w:val="21"/>
                <w:highlight w:val="none"/>
                <w:lang w:val="en-US" w:eastAsia="zh-CN"/>
              </w:rPr>
              <w:t xml:space="preserve">员工在</w:t>
            </w:r>
            <w:r>
              <w:rPr>
                <w:rFonts w:hint="eastAsia" w:ascii="宋体" w:hAnsi="宋体" w:cs="宋体"/>
                <w:sz w:val="21"/>
                <w:szCs w:val="21"/>
                <w:highlight w:val="none"/>
              </w:rPr>
              <w:t xml:space="preserve">投标供应商近 1 个月的社保证明材料</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以及</w:t>
            </w:r>
            <w:r>
              <w:rPr>
                <w:rFonts w:hint="eastAsia" w:ascii="宋体" w:hAnsi="宋体" w:cs="宋体"/>
                <w:sz w:val="21"/>
                <w:szCs w:val="21"/>
                <w:highlight w:val="none"/>
              </w:rPr>
              <w:t xml:space="preserve">工程师证书复印件</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加盖</w:t>
            </w:r>
            <w:r>
              <w:rPr>
                <w:rFonts w:hint="eastAsia" w:ascii="宋体" w:hAnsi="宋体" w:cs="宋体"/>
                <w:sz w:val="21"/>
                <w:szCs w:val="21"/>
                <w:highlight w:val="none"/>
                <w:lang w:val="en-US" w:eastAsia="zh-CN"/>
              </w:rPr>
              <w:t xml:space="preserve">投标供应商</w:t>
            </w:r>
            <w:r>
              <w:rPr>
                <w:rFonts w:hint="eastAsia" w:ascii="宋体" w:hAnsi="宋体" w:cs="宋体"/>
                <w:sz w:val="21"/>
                <w:szCs w:val="21"/>
                <w:highlight w:val="none"/>
              </w:rPr>
              <w:t xml:space="preserve">公章</w:t>
            </w:r>
            <w:r>
              <w:rPr>
                <w:rFonts w:hint="eastAsia" w:ascii="宋体" w:hAnsi="宋体" w:cs="宋体"/>
                <w:sz w:val="21"/>
                <w:szCs w:val="21"/>
                <w:highlight w:val="none"/>
                <w:lang w:val="en-US" w:eastAsia="zh-CN"/>
              </w:rPr>
              <w:t xml:space="preserve">，没有提供不得分。</w:t>
            </w:r>
            <w:r>
              <w:rPr>
                <w:rFonts w:hint="eastAsia" w:ascii="宋体" w:hAnsi="宋体" w:cs="宋体"/>
                <w:sz w:val="21"/>
                <w:szCs w:val="21"/>
                <w:highlight w:val="none"/>
              </w:rPr>
              <w:t xml:space="preserve">）</w:t>
            </w:r>
            <w:r>
              <w:rPr>
                <w:rFonts w:ascii="仿宋" w:hAnsi="仿宋" w:eastAsia="仿宋"/>
                <w:b/>
                <w:sz w:val="28"/>
                <w:szCs w:val="28"/>
                <w:highlight w:val="none"/>
                <w:lang w:val="en-US" w:eastAsia="zh-CN" w:bidi="ar-SA"/>
              </w:rPr>
            </w:r>
            <w:r/>
          </w:p>
        </w:tc>
        <w:tc>
          <w:tcPr>
            <w:tcW w:w="945"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sz w:val="21"/>
                <w:szCs w:val="21"/>
                <w:highlight w:val="none"/>
                <w:lang w:val="en-US" w:eastAsia="zh-CN"/>
              </w:rPr>
              <w:t xml:space="preserve">8</w:t>
            </w:r>
            <w:r>
              <w:rPr>
                <w:rFonts w:ascii="仿宋" w:hAnsi="仿宋" w:eastAsia="仿宋"/>
                <w:b/>
                <w:sz w:val="28"/>
                <w:szCs w:val="28"/>
                <w:highlight w:val="none"/>
                <w:lang w:val="en-US" w:eastAsia="zh-CN" w:bidi="ar-SA"/>
              </w:rPr>
            </w:r>
            <w:r/>
          </w:p>
        </w:tc>
        <w:tc>
          <w:tcPr>
            <w:tcW w:w="1020"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sz w:val="21"/>
                <w:szCs w:val="21"/>
                <w:highlight w:val="none"/>
                <w:lang w:val="en-US" w:eastAsia="zh-CN"/>
              </w:rPr>
              <w:t xml:space="preserve">0</w:t>
            </w:r>
            <w:r>
              <w:rPr>
                <w:rFonts w:ascii="仿宋" w:hAnsi="仿宋" w:eastAsia="仿宋"/>
                <w:b/>
                <w:sz w:val="28"/>
                <w:szCs w:val="28"/>
                <w:highlight w:val="none"/>
                <w:lang w:val="en-US" w:eastAsia="zh-CN" w:bidi="ar-SA"/>
              </w:rPr>
            </w:r>
            <w:r/>
          </w:p>
        </w:tc>
        <w:tc>
          <w:tcPr>
            <w:tcW w:w="1397"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客观分</w:t>
            </w:r>
            <w:r>
              <w:rPr>
                <w:rFonts w:ascii="仿宋" w:hAnsi="仿宋" w:eastAsia="仿宋"/>
                <w:b/>
                <w:sz w:val="28"/>
                <w:szCs w:val="28"/>
                <w:highlight w:val="none"/>
                <w:lang w:val="en-US" w:eastAsia="zh-CN" w:bidi="ar-SA"/>
              </w:rPr>
            </w:r>
            <w:r/>
          </w:p>
        </w:tc>
      </w:tr>
      <w:tr>
        <w:trPr/>
        <w:tc>
          <w:tcPr>
            <w:tcW w:w="783" w:type="dxa"/>
            <w:vAlign w:val="center"/>
            <w:textDirection w:val="lrTb"/>
            <w:noWrap w:val="false"/>
          </w:tcPr>
          <w:p>
            <w:pPr>
              <w:pStyle w:val="662"/>
              <w:jc w:val="center"/>
              <w:rPr>
                <w:rFonts w:ascii="仿宋" w:hAnsi="仿宋" w:eastAsia="仿宋"/>
                <w:b/>
                <w:sz w:val="28"/>
                <w:szCs w:val="28"/>
                <w:highlight w:val="none"/>
                <w:lang w:val="en-US" w:eastAsia="zh-CN" w:bidi="ar-SA"/>
              </w:rPr>
            </w:pPr>
            <w:r>
              <w:rPr>
                <w:rFonts w:hint="eastAsia" w:ascii="宋体" w:hAnsi="宋体" w:eastAsia="宋体" w:cs="宋体"/>
                <w:bCs/>
                <w:highlight w:val="none"/>
              </w:rPr>
              <w:t xml:space="preserve">5</w:t>
            </w:r>
            <w:r>
              <w:rPr>
                <w:rFonts w:ascii="仿宋" w:hAnsi="仿宋" w:eastAsia="仿宋"/>
                <w:b/>
                <w:sz w:val="28"/>
                <w:szCs w:val="28"/>
                <w:highlight w:val="none"/>
                <w:lang w:val="en-US" w:eastAsia="zh-CN" w:bidi="ar-SA"/>
              </w:rPr>
            </w:r>
            <w:r/>
          </w:p>
        </w:tc>
        <w:tc>
          <w:tcPr>
            <w:tcW w:w="1554" w:type="dxa"/>
            <w:vAlign w:val="center"/>
            <w:textDirection w:val="lrTb"/>
            <w:noWrap w:val="false"/>
          </w:tcPr>
          <w:p>
            <w:pPr>
              <w:pStyle w:val="662"/>
              <w:jc w:val="both"/>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企业资质</w:t>
            </w:r>
            <w:r>
              <w:rPr>
                <w:rFonts w:ascii="仿宋" w:hAnsi="仿宋" w:eastAsia="仿宋"/>
                <w:b/>
                <w:sz w:val="28"/>
                <w:szCs w:val="28"/>
                <w:highlight w:val="none"/>
                <w:lang w:val="en-US" w:eastAsia="zh-CN" w:bidi="ar-SA"/>
              </w:rPr>
            </w:r>
            <w:r/>
          </w:p>
        </w:tc>
        <w:tc>
          <w:tcPr>
            <w:tcW w:w="3765" w:type="dxa"/>
            <w:vAlign w:val="center"/>
            <w:textDirection w:val="lrTb"/>
            <w:noWrap w:val="false"/>
          </w:tcPr>
          <w:p>
            <w:pPr>
              <w:pStyle w:val="775"/>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hint="eastAsia" w:ascii="宋体" w:hAnsi="宋体" w:cs="宋体"/>
                <w:sz w:val="21"/>
                <w:szCs w:val="21"/>
                <w:highlight w:val="none"/>
              </w:rPr>
              <w:t xml:space="preserve">投标供应商</w:t>
            </w:r>
            <w:r>
              <w:rPr>
                <w:rFonts w:hint="eastAsia" w:ascii="宋体" w:hAnsi="宋体" w:cs="宋体"/>
                <w:color w:val="000000"/>
                <w:sz w:val="21"/>
                <w:szCs w:val="21"/>
                <w:highlight w:val="none"/>
              </w:rPr>
              <w:t xml:space="preserve">或所投产品原厂商</w:t>
            </w:r>
            <w:r>
              <w:rPr>
                <w:rFonts w:hint="eastAsia" w:ascii="宋体" w:hAnsi="宋体" w:cs="宋体"/>
                <w:sz w:val="21"/>
                <w:szCs w:val="21"/>
                <w:highlight w:val="none"/>
              </w:rPr>
              <w:t xml:space="preserve">具有效期内的信息技术服务标准（ITSS）资质三级及以上</w:t>
            </w:r>
            <w:r>
              <w:rPr>
                <w:rFonts w:hint="eastAsia" w:ascii="宋体" w:hAnsi="宋体" w:cs="宋体"/>
                <w:sz w:val="21"/>
                <w:szCs w:val="21"/>
                <w:highlight w:val="none"/>
                <w:lang w:eastAsia="zh-CN"/>
              </w:rPr>
              <w:t xml:space="preserve">，</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时提供https://www.itss.cn/web/itss/c/xxcx/cert（官方查询网站）有效截图证明材料，得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775"/>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②</w:t>
            </w:r>
            <w:r>
              <w:rPr>
                <w:rFonts w:hint="eastAsia" w:ascii="宋体" w:hAnsi="宋体" w:cs="宋体"/>
                <w:sz w:val="21"/>
                <w:szCs w:val="21"/>
                <w:highlight w:val="none"/>
              </w:rPr>
              <w:t xml:space="preserve">投标供应商</w:t>
            </w:r>
            <w:r>
              <w:rPr>
                <w:rFonts w:hint="eastAsia" w:ascii="宋体" w:hAnsi="宋体" w:cs="宋体"/>
                <w:color w:val="000000"/>
                <w:sz w:val="21"/>
                <w:szCs w:val="21"/>
                <w:highlight w:val="none"/>
              </w:rPr>
              <w:t xml:space="preserve">或所投产品原厂商</w:t>
            </w:r>
            <w:r>
              <w:rPr>
                <w:rFonts w:hint="eastAsia" w:ascii="宋体" w:hAnsi="宋体" w:eastAsia="宋体" w:cs="宋体"/>
                <w:color w:val="000000"/>
                <w:sz w:val="21"/>
                <w:szCs w:val="21"/>
                <w:highlight w:val="none"/>
              </w:rPr>
              <w:t xml:space="preserve">具有信息安全服务资质认证证书（CCRC）资质，得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5"/>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w:t>
            </w:r>
            <w:r>
              <w:rPr>
                <w:rFonts w:hint="eastAsia" w:ascii="宋体" w:hAnsi="宋体" w:cs="宋体"/>
                <w:sz w:val="21"/>
                <w:szCs w:val="21"/>
                <w:highlight w:val="none"/>
              </w:rPr>
              <w:t xml:space="preserve">投标供应商</w:t>
            </w:r>
            <w:r>
              <w:rPr>
                <w:rFonts w:hint="eastAsia" w:ascii="宋体" w:hAnsi="宋体" w:cs="宋体"/>
                <w:color w:val="000000"/>
                <w:sz w:val="21"/>
                <w:szCs w:val="21"/>
                <w:highlight w:val="none"/>
              </w:rPr>
              <w:t xml:space="preserve">或所投产品原厂商</w:t>
            </w:r>
            <w:r>
              <w:rPr>
                <w:rFonts w:hint="eastAsia" w:ascii="宋体" w:hAnsi="宋体" w:eastAsia="宋体" w:cs="宋体"/>
                <w:color w:val="000000"/>
                <w:sz w:val="21"/>
                <w:szCs w:val="21"/>
                <w:highlight w:val="none"/>
              </w:rPr>
              <w:t xml:space="preserve">具</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rPr>
              <w:t xml:space="preserve">隐私信息管理体系认证证书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ISO27701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75"/>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④</w:t>
            </w:r>
            <w:r>
              <w:rPr>
                <w:rFonts w:hint="eastAsia" w:ascii="宋体" w:hAnsi="宋体" w:cs="宋体"/>
                <w:sz w:val="21"/>
                <w:szCs w:val="21"/>
                <w:highlight w:val="none"/>
              </w:rPr>
              <w:t xml:space="preserve">投标供应商</w:t>
            </w:r>
            <w:r>
              <w:rPr>
                <w:rFonts w:hint="eastAsia" w:ascii="宋体" w:hAnsi="宋体" w:cs="宋体"/>
                <w:color w:val="000000"/>
                <w:sz w:val="21"/>
                <w:szCs w:val="21"/>
                <w:highlight w:val="none"/>
              </w:rPr>
              <w:t xml:space="preserve">或所投产品原厂商</w:t>
            </w:r>
            <w:r>
              <w:rPr>
                <w:rFonts w:hint="eastAsia" w:ascii="宋体" w:hAnsi="宋体" w:eastAsia="宋体" w:cs="宋体"/>
                <w:color w:val="000000"/>
                <w:sz w:val="21"/>
                <w:szCs w:val="21"/>
                <w:highlight w:val="none"/>
              </w:rPr>
              <w:t xml:space="preserve">具</w:t>
            </w:r>
            <w:r>
              <w:rPr>
                <w:rFonts w:hint="eastAsia" w:ascii="宋体" w:hAnsi="宋体" w:eastAsia="宋体" w:cs="宋体"/>
                <w:color w:val="000000"/>
                <w:sz w:val="21"/>
                <w:szCs w:val="21"/>
                <w:highlight w:val="none"/>
                <w:lang w:val="en-US" w:eastAsia="zh-CN"/>
              </w:rPr>
              <w:t xml:space="preserve">有</w:t>
            </w:r>
            <w:r>
              <w:rPr>
                <w:rFonts w:hint="eastAsia" w:ascii="宋体" w:hAnsi="宋体" w:eastAsia="宋体" w:cs="宋体"/>
                <w:color w:val="000000"/>
                <w:sz w:val="21"/>
                <w:szCs w:val="21"/>
                <w:highlight w:val="none"/>
              </w:rPr>
              <w:t xml:space="preserve">知识产权管理体系认证证书，符合GB/T 29490-2013标准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775"/>
              <w:jc w:val="both"/>
              <w:rPr>
                <w:rFonts w:ascii="仿宋" w:hAnsi="仿宋" w:eastAsia="仿宋"/>
                <w:b/>
                <w:sz w:val="28"/>
                <w:szCs w:val="28"/>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以上所要求具备资质</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均需在</w:t>
            </w:r>
            <w:r>
              <w:rPr>
                <w:rFonts w:hint="eastAsia" w:ascii="宋体" w:hAnsi="宋体" w:eastAsia="宋体" w:cs="宋体"/>
                <w:color w:val="000000"/>
                <w:sz w:val="21"/>
                <w:szCs w:val="21"/>
                <w:highlight w:val="none"/>
              </w:rPr>
              <w:t xml:space="preserve">响应文件中提供相应证书复印件或其他同等效力证明文件</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加盖</w:t>
            </w:r>
            <w:r>
              <w:rPr>
                <w:rFonts w:hint="eastAsia" w:ascii="宋体" w:hAnsi="宋体" w:cs="宋体"/>
                <w:sz w:val="21"/>
                <w:szCs w:val="21"/>
                <w:highlight w:val="none"/>
              </w:rPr>
              <w:t xml:space="preserve">投标供应商</w:t>
            </w:r>
            <w:r>
              <w:rPr>
                <w:rFonts w:hint="eastAsia" w:ascii="宋体" w:hAnsi="宋体" w:eastAsia="宋体" w:cs="宋体"/>
                <w:color w:val="000000"/>
                <w:sz w:val="21"/>
                <w:szCs w:val="21"/>
                <w:highlight w:val="none"/>
              </w:rPr>
              <w:t xml:space="preserve">公章，没有提供不得分</w:t>
            </w:r>
            <w:r>
              <w:rPr>
                <w:rFonts w:hint="eastAsia" w:ascii="宋体" w:hAnsi="宋体" w:eastAsia="宋体" w:cs="宋体"/>
                <w:color w:val="000000"/>
                <w:sz w:val="21"/>
                <w:szCs w:val="21"/>
                <w:highlight w:val="none"/>
                <w:lang w:eastAsia="zh-CN"/>
              </w:rPr>
              <w:t xml:space="preserve">。）</w:t>
            </w:r>
            <w:r>
              <w:rPr>
                <w:rFonts w:ascii="仿宋" w:hAnsi="仿宋" w:eastAsia="仿宋"/>
                <w:b/>
                <w:sz w:val="28"/>
                <w:szCs w:val="28"/>
                <w:highlight w:val="none"/>
                <w:lang w:val="en-US" w:eastAsia="zh-CN" w:bidi="ar-SA"/>
              </w:rPr>
            </w:r>
            <w:r/>
          </w:p>
        </w:tc>
        <w:tc>
          <w:tcPr>
            <w:tcW w:w="945"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8</w:t>
            </w:r>
            <w:r>
              <w:rPr>
                <w:rFonts w:ascii="仿宋" w:hAnsi="仿宋" w:eastAsia="仿宋"/>
                <w:b/>
                <w:sz w:val="28"/>
                <w:szCs w:val="28"/>
                <w:highlight w:val="none"/>
                <w:lang w:val="en-US" w:eastAsia="zh-CN" w:bidi="ar-SA"/>
              </w:rPr>
            </w:r>
            <w:r/>
          </w:p>
        </w:tc>
        <w:tc>
          <w:tcPr>
            <w:tcW w:w="1020"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0</w:t>
            </w:r>
            <w:r>
              <w:rPr>
                <w:rFonts w:ascii="仿宋" w:hAnsi="仿宋" w:eastAsia="仿宋"/>
                <w:b/>
                <w:sz w:val="28"/>
                <w:szCs w:val="28"/>
                <w:highlight w:val="none"/>
                <w:lang w:val="en-US" w:eastAsia="zh-CN" w:bidi="ar-SA"/>
              </w:rPr>
            </w:r>
            <w:r/>
          </w:p>
        </w:tc>
        <w:tc>
          <w:tcPr>
            <w:tcW w:w="1397" w:type="dxa"/>
            <w:vAlign w:val="center"/>
            <w:textDirection w:val="lrTb"/>
            <w:noWrap w:val="false"/>
          </w:tcPr>
          <w:p>
            <w:pPr>
              <w:pStyle w:val="662"/>
              <w:jc w:val="center"/>
              <w:widowControl/>
              <w:rPr>
                <w:rFonts w:ascii="仿宋" w:hAnsi="仿宋" w:eastAsia="仿宋"/>
                <w:b/>
                <w:sz w:val="28"/>
                <w:szCs w:val="28"/>
                <w:highlight w:val="none"/>
                <w:lang w:val="en-US" w:eastAsia="zh-CN" w:bidi="ar-SA"/>
              </w:rPr>
            </w:pPr>
            <w:r>
              <w:rPr>
                <w:rFonts w:hint="eastAsia" w:ascii="宋体" w:hAnsi="宋体" w:cs="宋体"/>
                <w:color w:val="000000"/>
                <w:sz w:val="21"/>
                <w:szCs w:val="21"/>
                <w:highlight w:val="none"/>
                <w:lang w:val="en-US" w:eastAsia="zh-CN"/>
              </w:rPr>
              <w:t xml:space="preserve">客观分</w:t>
            </w:r>
            <w:r>
              <w:rPr>
                <w:rFonts w:ascii="仿宋" w:hAnsi="仿宋" w:eastAsia="仿宋"/>
                <w:b/>
                <w:sz w:val="28"/>
                <w:szCs w:val="28"/>
                <w:highlight w:val="none"/>
                <w:lang w:val="en-US" w:eastAsia="zh-CN" w:bidi="ar-SA"/>
              </w:rPr>
            </w:r>
            <w:r/>
          </w:p>
        </w:tc>
      </w:tr>
    </w:tbl>
    <w:p>
      <w:pPr>
        <w:pStyle w:val="662"/>
        <w:rPr>
          <w:rFonts w:hint="eastAsia"/>
        </w:rPr>
      </w:pPr>
      <w:r>
        <w:rPr>
          <w:rFonts w:hint="eastAsia"/>
        </w:rPr>
      </w:r>
      <w:r/>
    </w:p>
    <w:p>
      <w:pPr>
        <w:pStyle w:val="662"/>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63"/>
        <w:rPr>
          <w:rFonts w:hint="eastAsia" w:ascii="黑体" w:eastAsia="黑体"/>
          <w:bCs/>
          <w:sz w:val="44"/>
        </w:rPr>
      </w:pPr>
      <w:r>
        <w:rPr>
          <w:rFonts w:hint="eastAsia" w:ascii="黑体" w:eastAsia="黑体"/>
          <w:bCs/>
          <w:sz w:val="44"/>
        </w:rPr>
        <w:t xml:space="preserve">第六章  投标</w:t>
      </w:r>
      <w:bookmarkEnd w:id="195"/>
      <w:r/>
      <w:bookmarkEnd w:id="196"/>
      <w:r/>
      <w:bookmarkEnd w:id="199"/>
      <w:r>
        <w:rPr>
          <w:rFonts w:hint="eastAsia" w:ascii="黑体" w:eastAsia="黑体"/>
          <w:bCs/>
          <w:sz w:val="44"/>
        </w:rPr>
        <w:t xml:space="preserve">文件格式 </w:t>
      </w:r>
      <w:r>
        <w:rPr>
          <w:rFonts w:hint="eastAsia" w:ascii="黑体" w:eastAsia="黑体"/>
          <w:bCs/>
          <w:sz w:val="44"/>
        </w:rPr>
      </w:r>
      <w:r/>
    </w:p>
    <w:p>
      <w:pPr>
        <w:pStyle w:val="662"/>
        <w:jc w:val="center"/>
        <w:rPr>
          <w:rFonts w:hint="eastAsia" w:ascii="宋体" w:hAnsi="宋体"/>
          <w:b/>
          <w:sz w:val="72"/>
        </w:rPr>
      </w:pPr>
      <w:r/>
      <w:bookmarkStart w:id="200" w:name="_Hlt26671244"/>
      <w:r/>
      <w:bookmarkEnd w:id="200"/>
      <w:r/>
      <w:bookmarkStart w:id="201" w:name="_Hlt26955039"/>
      <w:r/>
      <w:bookmarkEnd w:id="201"/>
      <w:r/>
      <w:bookmarkStart w:id="202" w:name="_Toc120614282"/>
      <w:r/>
      <w:bookmarkStart w:id="203" w:name="_Toc49090576"/>
      <w:r/>
      <w:bookmarkStart w:id="204" w:name="_Toc26554094"/>
      <w:r>
        <w:rPr>
          <w:rFonts w:hint="eastAsia" w:ascii="宋体" w:hAnsi="宋体"/>
          <w:b/>
          <w:sz w:val="72"/>
        </w:rPr>
      </w:r>
      <w:r/>
    </w:p>
    <w:p>
      <w:pPr>
        <w:pStyle w:val="66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72"/>
        </w:rPr>
      </w:pPr>
      <w:r>
        <w:rPr>
          <w:rFonts w:hint="eastAsia" w:ascii="宋体" w:hAnsi="宋体"/>
          <w:b/>
          <w:sz w:val="72"/>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jc w:val="center"/>
        <w:rPr>
          <w:rFonts w:hint="eastAsia" w:ascii="宋体" w:hAnsi="宋体"/>
          <w:b/>
          <w:sz w:val="36"/>
        </w:rPr>
      </w:pPr>
      <w:r>
        <w:rPr>
          <w:rFonts w:hint="eastAsia" w:ascii="宋体" w:hAnsi="宋体"/>
          <w:b/>
          <w:sz w:val="36"/>
        </w:rPr>
      </w:r>
      <w:r/>
    </w:p>
    <w:p>
      <w:pPr>
        <w:pStyle w:val="66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6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6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6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spacing w:line="440" w:lineRule="exact"/>
        <w:rPr>
          <w:rFonts w:ascii="宋体" w:hAnsi="宋体"/>
        </w:rPr>
      </w:pPr>
      <w:r>
        <w:rPr>
          <w:rFonts w:ascii="宋体" w:hAnsi="宋体"/>
        </w:rPr>
      </w:r>
      <w:r/>
    </w:p>
    <w:p>
      <w:pPr>
        <w:pStyle w:val="662"/>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730"/>
        <w:rPr>
          <w:rFonts w:ascii="宋体" w:hAnsi="宋体"/>
          <w:b/>
          <w:bCs/>
          <w:sz w:val="32"/>
          <w:szCs w:val="32"/>
        </w:rPr>
      </w:pPr>
      <w:r>
        <w:rPr>
          <w:rFonts w:ascii="宋体" w:hAnsi="宋体"/>
          <w:b/>
          <w:bCs/>
          <w:sz w:val="32"/>
          <w:szCs w:val="32"/>
        </w:rPr>
      </w:r>
      <w:r/>
    </w:p>
    <w:p>
      <w:pPr>
        <w:pStyle w:val="662"/>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662"/>
        <w:jc w:val="center"/>
        <w:spacing w:line="440" w:lineRule="exact"/>
        <w:rPr>
          <w:rFonts w:hint="eastAsia" w:ascii="宋体" w:hAnsi="宋体"/>
          <w:b/>
          <w:bCs/>
          <w:sz w:val="32"/>
          <w:szCs w:val="32"/>
        </w:rPr>
      </w:pPr>
      <w:r>
        <w:rPr>
          <w:rFonts w:hint="eastAsia" w:ascii="宋体" w:hAnsi="宋体"/>
          <w:b/>
          <w:bCs/>
          <w:sz w:val="32"/>
          <w:szCs w:val="32"/>
        </w:rPr>
      </w:r>
      <w:r/>
    </w:p>
    <w:p>
      <w:pPr>
        <w:pStyle w:val="662"/>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662"/>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2"/>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2"/>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2"/>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662"/>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662"/>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662"/>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662"/>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10）</w:t>
      </w:r>
      <w:r>
        <w:rPr>
          <w:rFonts w:ascii="仿宋" w:hAnsi="仿宋" w:eastAsia="仿宋"/>
          <w:b/>
          <w:bCs/>
          <w:color w:val="000000"/>
          <w:sz w:val="24"/>
          <w:szCs w:val="24"/>
          <w:lang w:val="en-US" w:eastAsia="zh-CN"/>
        </w:rPr>
      </w:r>
      <w:r/>
    </w:p>
    <w:p>
      <w:pPr>
        <w:pStyle w:val="662"/>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662"/>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2"/>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730"/>
        <w:ind w:left="0" w:firstLine="0"/>
        <w:rPr>
          <w:rFonts w:hint="eastAsia" w:ascii="宋体" w:hAnsi="宋体"/>
          <w:b/>
          <w:bCs/>
          <w:color w:val="000000"/>
          <w:sz w:val="32"/>
          <w:szCs w:val="32"/>
        </w:rPr>
      </w:pPr>
      <w:r>
        <w:rPr>
          <w:rFonts w:hint="eastAsia" w:ascii="宋体" w:hAnsi="宋体"/>
          <w:b/>
          <w:bCs/>
          <w:color w:val="000000"/>
          <w:sz w:val="32"/>
          <w:szCs w:val="32"/>
        </w:rPr>
      </w:r>
      <w:r/>
    </w:p>
    <w:p>
      <w:pPr>
        <w:pStyle w:val="662"/>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662"/>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62"/>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62"/>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662"/>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2"/>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750"/>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62"/>
        <w:ind w:firstLine="480"/>
        <w:rPr>
          <w:rFonts w:hint="eastAsia" w:ascii="宋体" w:hAnsi="宋体"/>
          <w:color w:val="000000"/>
          <w:sz w:val="24"/>
          <w:szCs w:val="24"/>
        </w:rPr>
      </w:pPr>
      <w:r>
        <w:rPr>
          <w:rFonts w:hint="eastAsia" w:ascii="宋体" w:hAnsi="宋体"/>
          <w:color w:val="000000"/>
          <w:sz w:val="24"/>
          <w:szCs w:val="24"/>
        </w:rPr>
      </w:r>
      <w:r/>
    </w:p>
    <w:p>
      <w:pPr>
        <w:pStyle w:val="662"/>
        <w:rPr>
          <w:rFonts w:ascii="宋体" w:hAnsi="宋体"/>
          <w:color w:val="000000"/>
          <w:sz w:val="24"/>
          <w:szCs w:val="24"/>
        </w:rPr>
      </w:pPr>
      <w:r>
        <w:rPr>
          <w:rFonts w:ascii="宋体" w:hAnsi="宋体"/>
          <w:color w:val="000000"/>
          <w:sz w:val="24"/>
          <w:szCs w:val="24"/>
        </w:rPr>
      </w:r>
      <w:r/>
    </w:p>
    <w:p>
      <w:pPr>
        <w:pStyle w:val="662"/>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662"/>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662"/>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662"/>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2"/>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662"/>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662"/>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662"/>
        <w:jc w:val="both"/>
        <w:rPr>
          <w:rFonts w:hint="eastAsia" w:ascii="黑体" w:hAnsi="黑体" w:eastAsia="黑体"/>
          <w:b/>
          <w:sz w:val="32"/>
          <w:szCs w:val="32"/>
        </w:rPr>
      </w:pPr>
      <w:r>
        <w:rPr>
          <w:rFonts w:hint="eastAsia" w:ascii="黑体" w:hAnsi="黑体" w:eastAsia="黑体"/>
          <w:b/>
          <w:sz w:val="32"/>
          <w:szCs w:val="32"/>
        </w:rPr>
      </w:r>
      <w:r/>
    </w:p>
    <w:p>
      <w:pPr>
        <w:pStyle w:val="662"/>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r>
      <w:r/>
    </w:p>
    <w:p>
      <w:pPr>
        <w:pStyle w:val="662"/>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730"/>
        <w:rPr>
          <w:rFonts w:hint="eastAsia" w:ascii="宋体" w:hAnsi="宋体"/>
          <w:b/>
          <w:bCs/>
          <w:sz w:val="32"/>
          <w:szCs w:val="32"/>
        </w:rPr>
      </w:pPr>
      <w:r>
        <w:rPr>
          <w:rFonts w:hint="eastAsia" w:ascii="宋体" w:hAnsi="宋体"/>
          <w:b/>
          <w:bCs/>
          <w:sz w:val="32"/>
          <w:szCs w:val="32"/>
        </w:rPr>
      </w:r>
      <w:r/>
    </w:p>
    <w:p>
      <w:pPr>
        <w:pStyle w:val="730"/>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62"/>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662"/>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730"/>
        <w:ind w:left="0" w:firstLine="0"/>
        <w:rPr>
          <w:rFonts w:hint="eastAsia" w:ascii="宋体" w:hAnsi="宋体"/>
          <w:color w:val="000000"/>
          <w:sz w:val="24"/>
          <w:highlight w:val="none"/>
        </w:rPr>
      </w:pPr>
      <w:r>
        <w:rPr>
          <w:rFonts w:hint="eastAsia" w:ascii="宋体" w:hAnsi="宋体"/>
          <w:color w:val="000000"/>
          <w:sz w:val="24"/>
          <w:highlight w:val="none"/>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748"/>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48"/>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48"/>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48"/>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48"/>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48"/>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48"/>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8"/>
        <w:rPr>
          <w:rFonts w:hint="eastAsia"/>
          <w:i/>
          <w:sz w:val="24"/>
          <w:szCs w:val="24"/>
          <w:u w:val="single"/>
        </w:rPr>
      </w:pPr>
      <w:r>
        <w:rPr>
          <w:rFonts w:hint="eastAsia"/>
          <w:i/>
          <w:sz w:val="24"/>
          <w:szCs w:val="24"/>
          <w:u w:val="single"/>
        </w:rPr>
      </w:r>
      <w:r/>
    </w:p>
    <w:p>
      <w:pPr>
        <w:pStyle w:val="678"/>
        <w:ind w:firstLine="0"/>
        <w:rPr>
          <w:rFonts w:hint="eastAsia"/>
        </w:rPr>
      </w:pPr>
      <w:r>
        <w:rPr>
          <w:rFonts w:hint="eastAsia"/>
        </w:rPr>
      </w:r>
      <w:r/>
    </w:p>
    <w:p>
      <w:pPr>
        <w:pStyle w:val="662"/>
        <w:spacing w:line="460" w:lineRule="exact"/>
        <w:rPr>
          <w:rFonts w:hint="eastAsia" w:ascii="楷体" w:hAnsi="楷体" w:eastAsia="楷体"/>
          <w:bCs/>
          <w:sz w:val="24"/>
          <w:szCs w:val="24"/>
        </w:rPr>
      </w:pPr>
      <w:r>
        <w:rPr>
          <w:rFonts w:hint="eastAsia" w:ascii="楷体" w:hAnsi="楷体" w:eastAsia="楷体"/>
          <w:bCs/>
          <w:sz w:val="24"/>
          <w:szCs w:val="24"/>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750"/>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5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50"/>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30"/>
        <w:rPr>
          <w:rFonts w:ascii="宋体" w:hAnsi="宋体"/>
          <w:b w:val="0"/>
          <w:bCs w:val="0"/>
          <w:sz w:val="32"/>
          <w:szCs w:val="32"/>
          <w:lang w:val="en-US" w:eastAsia="zh-CN"/>
        </w:rPr>
      </w:pPr>
      <w:r>
        <w:rPr>
          <w:rFonts w:ascii="宋体" w:hAnsi="宋体"/>
          <w:b w:val="0"/>
          <w:bCs w:val="0"/>
          <w:sz w:val="32"/>
          <w:szCs w:val="32"/>
          <w:lang w:val="en-US" w:eastAsia="zh-CN"/>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66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2"/>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662"/>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662"/>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62"/>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62"/>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662"/>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662"/>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62"/>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62"/>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730"/>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66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6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62"/>
        <w:ind w:firstLine="480"/>
        <w:spacing w:line="588" w:lineRule="exact"/>
        <w:rPr>
          <w:rFonts w:hint="eastAsia" w:ascii="宋体" w:hAnsi="宋体"/>
          <w:sz w:val="24"/>
        </w:rPr>
      </w:pPr>
      <w:r>
        <w:rPr>
          <w:rFonts w:hint="eastAsia" w:ascii="宋体" w:hAnsi="宋体"/>
          <w:sz w:val="24"/>
        </w:rPr>
      </w:r>
      <w:r/>
    </w:p>
    <w:p>
      <w:pPr>
        <w:pStyle w:val="66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6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6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6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62"/>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62"/>
        <w:ind w:firstLine="645"/>
        <w:spacing w:line="560" w:lineRule="exact"/>
        <w:rPr>
          <w:rFonts w:hint="eastAsia" w:ascii="宋体" w:hAnsi="宋体"/>
          <w:sz w:val="24"/>
        </w:rPr>
      </w:pPr>
      <w:r>
        <w:rPr>
          <w:rFonts w:hint="eastAsia" w:ascii="宋体" w:hAnsi="宋体"/>
          <w:sz w:val="24"/>
        </w:rPr>
      </w:r>
      <w:r/>
    </w:p>
    <w:p>
      <w:pPr>
        <w:pStyle w:val="662"/>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6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2"/>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0</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6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662"/>
        <w:spacing w:line="400" w:lineRule="exact"/>
        <w:rPr>
          <w:rFonts w:hint="eastAsia" w:ascii="宋体" w:hAnsi="宋体"/>
          <w:color w:val="000000"/>
          <w:sz w:val="24"/>
          <w:szCs w:val="24"/>
        </w:rPr>
      </w:pPr>
      <w:r>
        <w:rPr>
          <w:rFonts w:hint="eastAsia" w:ascii="宋体" w:hAnsi="宋体"/>
          <w:color w:val="000000"/>
          <w:sz w:val="24"/>
          <w:szCs w:val="24"/>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2"/>
        <w:spacing w:line="300" w:lineRule="auto"/>
        <w:rPr>
          <w:rFonts w:eastAsia="方正黑体_GBK"/>
          <w:sz w:val="32"/>
          <w:szCs w:val="32"/>
          <w:highlight w:val="green"/>
        </w:rPr>
        <w:outlineLvl w:val="0"/>
      </w:pPr>
      <w:r>
        <w:rPr>
          <w:rFonts w:eastAsia="方正黑体_GBK"/>
          <w:sz w:val="32"/>
          <w:szCs w:val="32"/>
          <w:highlight w:val="green"/>
        </w:rPr>
      </w:r>
      <w:r/>
    </w:p>
    <w:p>
      <w:pPr>
        <w:pStyle w:val="6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730"/>
        <w:rPr>
          <w:rFonts w:hint="eastAsia" w:ascii="宋体" w:hAnsi="宋体"/>
          <w:b/>
          <w:bCs/>
          <w:sz w:val="32"/>
          <w:szCs w:val="32"/>
        </w:rPr>
      </w:pPr>
      <w:r>
        <w:rPr>
          <w:rFonts w:hint="eastAsia" w:ascii="宋体" w:hAnsi="宋体"/>
          <w:b/>
          <w:bCs/>
          <w:sz w:val="32"/>
          <w:szCs w:val="32"/>
        </w:rPr>
      </w:r>
      <w:r/>
    </w:p>
    <w:p>
      <w:pPr>
        <w:pStyle w:val="662"/>
        <w:jc w:val="center"/>
        <w:rPr>
          <w:rFonts w:hint="eastAsia" w:ascii="宋体" w:hAnsi="宋体" w:cs="仿宋"/>
          <w:b/>
          <w:bCs/>
          <w:sz w:val="32"/>
          <w:szCs w:val="32"/>
        </w:rPr>
      </w:pPr>
      <w:r/>
      <w:bookmarkEnd w:id="202"/>
      <w:r/>
      <w:bookmarkEnd w:id="203"/>
      <w:r/>
      <w:bookmarkEnd w:id="204"/>
      <w:r/>
      <w:r>
        <w:rPr>
          <w:rFonts w:hint="eastAsia" w:ascii="宋体" w:hAnsi="宋体" w:cs="仿宋"/>
          <w:b/>
          <w:bCs/>
          <w:sz w:val="32"/>
          <w:szCs w:val="32"/>
        </w:rPr>
      </w:r>
      <w:r/>
    </w:p>
    <w:p>
      <w:pPr>
        <w:pStyle w:val="730"/>
        <w:rPr>
          <w:rFonts w:hint="eastAsia"/>
        </w:rPr>
      </w:pPr>
      <w:r>
        <w:rPr>
          <w:rFonts w:hint="eastAsia"/>
        </w:rPr>
      </w:r>
      <w:r/>
    </w:p>
    <w:p>
      <w:pPr>
        <w:pStyle w:val="66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6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78"/>
        <w:rPr>
          <w:rFonts w:hint="eastAsia"/>
          <w:sz w:val="24"/>
          <w:szCs w:val="24"/>
        </w:rPr>
      </w:pPr>
      <w:r>
        <w:rPr>
          <w:rFonts w:hint="eastAsia"/>
          <w:sz w:val="24"/>
          <w:szCs w:val="24"/>
        </w:rPr>
      </w:r>
      <w:r/>
    </w:p>
    <w:p>
      <w:pPr>
        <w:pStyle w:val="678"/>
        <w:rPr>
          <w:sz w:val="24"/>
          <w:szCs w:val="24"/>
        </w:rPr>
      </w:pPr>
      <w:r>
        <w:rPr>
          <w:sz w:val="24"/>
          <w:szCs w:val="24"/>
        </w:rPr>
      </w:r>
      <w:r/>
    </w:p>
    <w:p>
      <w:pPr>
        <w:pStyle w:val="662"/>
      </w:pPr>
      <w:r/>
      <w:r/>
    </w:p>
    <w:p>
      <w:pPr>
        <w:pStyle w:val="662"/>
        <w:jc w:val="center"/>
        <w:rPr>
          <w:rFonts w:hint="eastAsia" w:ascii="黑体" w:hAnsi="黑体" w:eastAsia="黑体"/>
          <w:b/>
          <w:sz w:val="32"/>
          <w:szCs w:val="32"/>
        </w:rPr>
      </w:pPr>
      <w:r>
        <w:rPr>
          <w:rFonts w:hint="eastAsia" w:ascii="黑体" w:hAnsi="黑体" w:eastAsia="黑体"/>
          <w:b/>
          <w:sz w:val="32"/>
          <w:szCs w:val="32"/>
        </w:rPr>
      </w:r>
      <w:r/>
    </w:p>
    <w:p>
      <w:pPr>
        <w:pStyle w:val="662"/>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Fonts w:ascii="宋体" w:hAnsi="宋体"/>
      </w:rPr>
      <w:framePr w:wrap="around" w:vAnchor="text" w:hAnchor="margin" w:xAlign="center" w:y="1"/>
    </w:pPr>
    <w:r>
      <w:rPr>
        <w:rFonts w:ascii="宋体" w:hAnsi="宋体"/>
      </w:rPr>
      <w:fldChar w:fldCharType="begin"/>
    </w:r>
    <w:r>
      <w:rPr>
        <w:rStyle w:val="736"/>
        <w:rFonts w:ascii="宋体" w:hAnsi="宋体"/>
      </w:rPr>
      <w:instrText xml:space="preserve">PAGE  </w:instrText>
    </w:r>
    <w:r>
      <w:rPr>
        <w:rFonts w:ascii="宋体" w:hAnsi="宋体"/>
      </w:rPr>
      <w:fldChar w:fldCharType="separate"/>
    </w:r>
    <w:r>
      <w:rPr>
        <w:rStyle w:val="736"/>
        <w:rFonts w:ascii="宋体" w:hAnsi="宋体"/>
      </w:rPr>
      <w:t xml:space="preserve">３５</w:t>
    </w:r>
    <w:r>
      <w:rPr>
        <w:rFonts w:ascii="宋体" w:hAnsi="宋体"/>
      </w:rPr>
      <w:fldChar w:fldCharType="end"/>
    </w:r>
    <w:r>
      <w:rPr>
        <w:rStyle w:val="736"/>
        <w:rFonts w:ascii="宋体" w:hAnsi="宋体"/>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3">
    <w:multiLevelType w:val="hybridMultilevel"/>
    <w:lvl w:ilvl="0">
      <w:start w:val="1"/>
      <w:numFmt w:val="upperLetter"/>
      <w:pStyle w:val="742"/>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662"/>
        <w:ind w:left="360" w:hanging="360"/>
      </w:pPr>
    </w:lvl>
    <w:lvl w:ilvl="1">
      <w:start w:val="1"/>
      <w:numFmt w:val="lowerLetter"/>
      <w:isLgl w:val="false"/>
      <w:suff w:val="tab"/>
      <w:lvlText w:val="%2)"/>
      <w:lvlJc w:val="left"/>
      <w:pPr>
        <w:pStyle w:val="662"/>
        <w:ind w:left="840" w:hanging="420"/>
      </w:pPr>
    </w:lvl>
    <w:lvl w:ilvl="2">
      <w:start w:val="1"/>
      <w:numFmt w:val="lowerRoman"/>
      <w:isLgl w:val="false"/>
      <w:suff w:val="tab"/>
      <w:lvlText w:val="%3."/>
      <w:lvlJc w:val="right"/>
      <w:pPr>
        <w:pStyle w:val="662"/>
        <w:ind w:left="1260" w:hanging="420"/>
      </w:pPr>
    </w:lvl>
    <w:lvl w:ilvl="3">
      <w:start w:val="1"/>
      <w:numFmt w:val="decimal"/>
      <w:isLgl w:val="false"/>
      <w:suff w:val="tab"/>
      <w:lvlText w:val="%4."/>
      <w:lvlJc w:val="left"/>
      <w:pPr>
        <w:pStyle w:val="662"/>
        <w:ind w:left="1680" w:hanging="420"/>
      </w:pPr>
    </w:lvl>
    <w:lvl w:ilvl="4">
      <w:start w:val="1"/>
      <w:numFmt w:val="lowerLetter"/>
      <w:isLgl w:val="false"/>
      <w:suff w:val="tab"/>
      <w:lvlText w:val="%5)"/>
      <w:lvlJc w:val="left"/>
      <w:pPr>
        <w:pStyle w:val="662"/>
        <w:ind w:left="2100" w:hanging="420"/>
      </w:pPr>
    </w:lvl>
    <w:lvl w:ilvl="5">
      <w:start w:val="1"/>
      <w:numFmt w:val="lowerRoman"/>
      <w:isLgl w:val="false"/>
      <w:suff w:val="tab"/>
      <w:lvlText w:val="%6."/>
      <w:lvlJc w:val="right"/>
      <w:pPr>
        <w:pStyle w:val="662"/>
        <w:ind w:left="2520" w:hanging="420"/>
      </w:pPr>
    </w:lvl>
    <w:lvl w:ilvl="6">
      <w:start w:val="1"/>
      <w:numFmt w:val="decimal"/>
      <w:isLgl w:val="false"/>
      <w:suff w:val="tab"/>
      <w:lvlText w:val="%7."/>
      <w:lvlJc w:val="left"/>
      <w:pPr>
        <w:pStyle w:val="662"/>
        <w:ind w:left="2940" w:hanging="420"/>
      </w:pPr>
    </w:lvl>
    <w:lvl w:ilvl="7">
      <w:start w:val="1"/>
      <w:numFmt w:val="lowerLetter"/>
      <w:isLgl w:val="false"/>
      <w:suff w:val="tab"/>
      <w:lvlText w:val="%8)"/>
      <w:lvlJc w:val="left"/>
      <w:pPr>
        <w:pStyle w:val="662"/>
        <w:ind w:left="3360" w:hanging="420"/>
      </w:pPr>
    </w:lvl>
    <w:lvl w:ilvl="8">
      <w:start w:val="1"/>
      <w:numFmt w:val="lowerRoman"/>
      <w:isLgl w:val="false"/>
      <w:suff w:val="tab"/>
      <w:lvlText w:val="%9."/>
      <w:lvlJc w:val="right"/>
      <w:pPr>
        <w:pStyle w:val="662"/>
        <w:ind w:left="3780" w:hanging="420"/>
      </w:pPr>
    </w:lvl>
  </w:abstractNum>
  <w:abstractNum w:abstractNumId="5">
    <w:multiLevelType w:val="hybridMultilevel"/>
    <w:lvl w:ilvl="0">
      <w:start w:val="1"/>
      <w:numFmt w:val="decimal"/>
      <w:pStyle w:val="759"/>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1"/>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74"/>
    <w:link w:val="662"/>
    <w:qFormat/>
    <w:pPr>
      <w:jc w:val="both"/>
      <w:widowControl w:val="off"/>
    </w:pPr>
    <w:rPr>
      <w:rFonts w:ascii="Times New Roman" w:hAnsi="Times New Roman"/>
      <w:sz w:val="21"/>
      <w:szCs w:val="21"/>
      <w:lang w:val="en-US" w:eastAsia="zh-CN" w:bidi="ar-SA"/>
    </w:rPr>
  </w:style>
  <w:style w:type="paragraph" w:styleId="663">
    <w:name w:val="标题 1"/>
    <w:basedOn w:val="662"/>
    <w:next w:val="662"/>
    <w:link w:val="676"/>
    <w:qFormat/>
    <w:pPr>
      <w:jc w:val="center"/>
      <w:keepNext/>
      <w:outlineLvl w:val="0"/>
    </w:pPr>
    <w:rPr>
      <w:rFonts w:ascii="楷体_GB2312" w:eastAsia="楷体_GB2312"/>
      <w:sz w:val="28"/>
      <w:szCs w:val="28"/>
    </w:rPr>
  </w:style>
  <w:style w:type="paragraph" w:styleId="664">
    <w:name w:val="标题 2"/>
    <w:basedOn w:val="662"/>
    <w:next w:val="678"/>
    <w:link w:val="677"/>
    <w:qFormat/>
    <w:pPr>
      <w:jc w:val="center"/>
      <w:keepLines/>
      <w:keepNext/>
      <w:spacing w:before="260" w:after="260" w:line="416" w:lineRule="auto"/>
      <w:outlineLvl w:val="1"/>
    </w:pPr>
    <w:rPr>
      <w:rFonts w:ascii="Arial" w:hAnsi="Arial" w:eastAsia="幼圆" w:cs="Arial"/>
      <w:b/>
      <w:bCs/>
      <w:sz w:val="44"/>
      <w:szCs w:val="44"/>
    </w:rPr>
  </w:style>
  <w:style w:type="paragraph" w:styleId="665">
    <w:name w:val="标题 3"/>
    <w:basedOn w:val="662"/>
    <w:next w:val="678"/>
    <w:link w:val="680"/>
    <w:qFormat/>
    <w:pPr>
      <w:keepLines/>
      <w:keepNext/>
      <w:spacing w:before="260" w:after="260" w:line="416" w:lineRule="auto"/>
      <w:outlineLvl w:val="2"/>
    </w:pPr>
    <w:rPr>
      <w:b/>
      <w:bCs/>
      <w:sz w:val="32"/>
      <w:szCs w:val="32"/>
    </w:rPr>
  </w:style>
  <w:style w:type="paragraph" w:styleId="666">
    <w:name w:val="标题 4"/>
    <w:basedOn w:val="662"/>
    <w:next w:val="678"/>
    <w:link w:val="681"/>
    <w:qFormat/>
    <w:pPr>
      <w:keepLines/>
      <w:keepNext/>
      <w:spacing w:before="280" w:after="290" w:line="376" w:lineRule="auto"/>
      <w:outlineLvl w:val="3"/>
    </w:pPr>
    <w:rPr>
      <w:rFonts w:ascii="Arial" w:hAnsi="Arial" w:eastAsia="黑体" w:cs="Arial"/>
      <w:b/>
      <w:bCs/>
      <w:sz w:val="28"/>
      <w:szCs w:val="28"/>
    </w:rPr>
  </w:style>
  <w:style w:type="paragraph" w:styleId="667">
    <w:name w:val="标题 5"/>
    <w:basedOn w:val="662"/>
    <w:next w:val="678"/>
    <w:link w:val="682"/>
    <w:qFormat/>
    <w:pPr>
      <w:keepNext/>
      <w:outlineLvl w:val="4"/>
    </w:pPr>
    <w:rPr>
      <w:rFonts w:ascii="宋体"/>
      <w:color w:val="000000"/>
      <w:sz w:val="28"/>
      <w:szCs w:val="28"/>
    </w:rPr>
  </w:style>
  <w:style w:type="paragraph" w:styleId="668">
    <w:name w:val="标题 6"/>
    <w:basedOn w:val="662"/>
    <w:next w:val="662"/>
    <w:link w:val="683"/>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标题 7"/>
    <w:basedOn w:val="662"/>
    <w:next w:val="662"/>
    <w:link w:val="684"/>
    <w:qFormat/>
    <w:pPr>
      <w:numPr>
        <w:ilvl w:val="6"/>
        <w:numId w:val="1"/>
      </w:numPr>
      <w:keepLines/>
      <w:keepNext/>
      <w:spacing w:before="240" w:after="64" w:line="320" w:lineRule="auto"/>
      <w:outlineLvl w:val="6"/>
    </w:pPr>
    <w:rPr>
      <w:b/>
      <w:bCs/>
      <w:sz w:val="24"/>
      <w:szCs w:val="24"/>
    </w:rPr>
  </w:style>
  <w:style w:type="paragraph" w:styleId="670">
    <w:name w:val="标题 8"/>
    <w:basedOn w:val="662"/>
    <w:next w:val="662"/>
    <w:link w:val="685"/>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标题 9"/>
    <w:basedOn w:val="662"/>
    <w:next w:val="662"/>
    <w:link w:val="686"/>
    <w:qFormat/>
    <w:pPr>
      <w:numPr>
        <w:ilvl w:val="8"/>
        <w:numId w:val="1"/>
      </w:numPr>
      <w:keepLines/>
      <w:keepNext/>
      <w:spacing w:before="240" w:after="64" w:line="320" w:lineRule="auto"/>
      <w:outlineLvl w:val="8"/>
    </w:pPr>
    <w:rPr>
      <w:rFonts w:ascii="Arial" w:hAnsi="Arial" w:eastAsia="黑体"/>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paragraph" w:styleId="674">
    <w:name w:val="正文首行缩进1"/>
    <w:basedOn w:val="675"/>
    <w:next w:val="674"/>
    <w:link w:val="662"/>
    <w:qFormat/>
    <w:pPr>
      <w:ind w:firstLine="200"/>
      <w:spacing w:line="360" w:lineRule="auto"/>
    </w:pPr>
    <w:rPr>
      <w:rFonts w:ascii="仿宋_GB2312" w:eastAsia="仿宋_GB2312"/>
      <w:sz w:val="30"/>
      <w:szCs w:val="30"/>
    </w:rPr>
  </w:style>
  <w:style w:type="paragraph" w:styleId="675">
    <w:name w:val="正文文本1"/>
    <w:basedOn w:val="662"/>
    <w:next w:val="662"/>
    <w:link w:val="662"/>
    <w:qFormat/>
    <w:rPr>
      <w:rFonts w:ascii="楷体_GB2312" w:hAnsi="Arial" w:eastAsia="楷体_GB2312"/>
      <w:sz w:val="28"/>
      <w:szCs w:val="28"/>
    </w:rPr>
  </w:style>
  <w:style w:type="character" w:styleId="676">
    <w:name w:val="标题 1 Char"/>
    <w:next w:val="676"/>
    <w:link w:val="663"/>
    <w:rPr>
      <w:rFonts w:ascii="楷体_GB2312" w:hAnsi="Times New Roman" w:eastAsia="楷体_GB2312" w:cs="Times New Roman"/>
      <w:sz w:val="28"/>
      <w:szCs w:val="28"/>
    </w:rPr>
  </w:style>
  <w:style w:type="character" w:styleId="677">
    <w:name w:val="标题 2 Char"/>
    <w:next w:val="677"/>
    <w:link w:val="664"/>
    <w:rPr>
      <w:rFonts w:ascii="Arial" w:hAnsi="Arial" w:eastAsia="幼圆" w:cs="Arial"/>
      <w:b/>
      <w:bCs/>
      <w:sz w:val="44"/>
      <w:szCs w:val="44"/>
    </w:rPr>
  </w:style>
  <w:style w:type="paragraph" w:styleId="678">
    <w:name w:val="正文缩进"/>
    <w:basedOn w:val="662"/>
    <w:next w:val="678"/>
    <w:link w:val="679"/>
    <w:pPr>
      <w:ind w:firstLine="420"/>
    </w:pPr>
  </w:style>
  <w:style w:type="character" w:styleId="679">
    <w:name w:val="正文缩进 Char"/>
    <w:next w:val="679"/>
    <w:link w:val="678"/>
    <w:rPr>
      <w:rFonts w:ascii="Times New Roman" w:hAnsi="Times New Roman" w:eastAsia="宋体" w:cs="Times New Roman"/>
      <w:szCs w:val="21"/>
    </w:rPr>
  </w:style>
  <w:style w:type="character" w:styleId="680">
    <w:name w:val="标题 3 Char"/>
    <w:next w:val="680"/>
    <w:link w:val="665"/>
    <w:rPr>
      <w:rFonts w:ascii="Times New Roman" w:hAnsi="Times New Roman" w:eastAsia="宋体" w:cs="Times New Roman"/>
      <w:b/>
      <w:bCs/>
      <w:sz w:val="32"/>
      <w:szCs w:val="32"/>
    </w:rPr>
  </w:style>
  <w:style w:type="character" w:styleId="681">
    <w:name w:val="标题 4 Char"/>
    <w:next w:val="681"/>
    <w:link w:val="666"/>
    <w:rPr>
      <w:rFonts w:ascii="Arial" w:hAnsi="Arial" w:eastAsia="黑体" w:cs="Arial"/>
      <w:b/>
      <w:bCs/>
      <w:sz w:val="28"/>
      <w:szCs w:val="28"/>
    </w:rPr>
  </w:style>
  <w:style w:type="character" w:styleId="682">
    <w:name w:val="标题 5 Char"/>
    <w:next w:val="682"/>
    <w:link w:val="667"/>
    <w:rPr>
      <w:rFonts w:ascii="宋体" w:hAnsi="Times New Roman" w:eastAsia="宋体" w:cs="Times New Roman"/>
      <w:color w:val="000000"/>
      <w:sz w:val="28"/>
      <w:szCs w:val="28"/>
    </w:rPr>
  </w:style>
  <w:style w:type="character" w:styleId="683">
    <w:name w:val="标题 6 Char"/>
    <w:next w:val="683"/>
    <w:link w:val="668"/>
    <w:rPr>
      <w:rFonts w:ascii="Arial" w:hAnsi="Arial" w:eastAsia="黑体" w:cs="Times New Roman"/>
      <w:b/>
      <w:bCs/>
      <w:sz w:val="24"/>
      <w:szCs w:val="24"/>
    </w:rPr>
  </w:style>
  <w:style w:type="character" w:styleId="684">
    <w:name w:val="标题 7 Char"/>
    <w:next w:val="684"/>
    <w:link w:val="669"/>
    <w:rPr>
      <w:rFonts w:ascii="Times New Roman" w:hAnsi="Times New Roman" w:eastAsia="宋体" w:cs="Times New Roman"/>
      <w:b/>
      <w:bCs/>
      <w:sz w:val="24"/>
      <w:szCs w:val="24"/>
    </w:rPr>
  </w:style>
  <w:style w:type="character" w:styleId="685">
    <w:name w:val="标题 8 Char"/>
    <w:next w:val="685"/>
    <w:link w:val="670"/>
    <w:rPr>
      <w:rFonts w:ascii="Arial" w:hAnsi="Arial" w:eastAsia="黑体" w:cs="Times New Roman"/>
      <w:sz w:val="24"/>
      <w:szCs w:val="24"/>
    </w:rPr>
  </w:style>
  <w:style w:type="character" w:styleId="686">
    <w:name w:val="标题 9 Char"/>
    <w:next w:val="686"/>
    <w:link w:val="671"/>
    <w:rPr>
      <w:rFonts w:ascii="Arial" w:hAnsi="Arial" w:eastAsia="黑体" w:cs="Times New Roman"/>
      <w:szCs w:val="21"/>
    </w:rPr>
  </w:style>
  <w:style w:type="paragraph" w:styleId="687">
    <w:name w:val="列表 3"/>
    <w:basedOn w:val="662"/>
    <w:next w:val="687"/>
    <w:link w:val="662"/>
    <w:pPr>
      <w:ind w:left="100" w:hanging="200"/>
    </w:pPr>
  </w:style>
  <w:style w:type="paragraph" w:styleId="688">
    <w:name w:val="目录 7"/>
    <w:basedOn w:val="662"/>
    <w:next w:val="662"/>
    <w:link w:val="662"/>
    <w:semiHidden/>
    <w:pPr>
      <w:ind w:left="1260"/>
      <w:jc w:val="left"/>
    </w:pPr>
  </w:style>
  <w:style w:type="paragraph" w:styleId="689">
    <w:name w:val="文档结构图"/>
    <w:basedOn w:val="662"/>
    <w:next w:val="689"/>
    <w:link w:val="690"/>
    <w:semiHidden/>
    <w:pPr>
      <w:shd w:val="clear" w:color="auto" w:fill="000080"/>
    </w:pPr>
  </w:style>
  <w:style w:type="character" w:styleId="690">
    <w:name w:val="文档结构图 Char"/>
    <w:next w:val="690"/>
    <w:link w:val="689"/>
    <w:semiHidden/>
    <w:rPr>
      <w:rFonts w:ascii="Times New Roman" w:hAnsi="Times New Roman" w:eastAsia="宋体" w:cs="Times New Roman"/>
      <w:szCs w:val="21"/>
      <w:shd w:val="clear" w:color="auto" w:fill="000080"/>
    </w:rPr>
  </w:style>
  <w:style w:type="paragraph" w:styleId="691">
    <w:name w:val="批注文字"/>
    <w:basedOn w:val="662"/>
    <w:next w:val="691"/>
    <w:link w:val="692"/>
    <w:semiHidden/>
    <w:pPr>
      <w:jc w:val="left"/>
    </w:pPr>
  </w:style>
  <w:style w:type="character" w:styleId="692">
    <w:name w:val="批注文字 Char"/>
    <w:next w:val="692"/>
    <w:link w:val="691"/>
    <w:semiHidden/>
    <w:rPr>
      <w:rFonts w:ascii="Times New Roman" w:hAnsi="Times New Roman" w:eastAsia="宋体" w:cs="Times New Roman"/>
      <w:szCs w:val="21"/>
    </w:rPr>
  </w:style>
  <w:style w:type="paragraph" w:styleId="693">
    <w:name w:val="正文文本 3"/>
    <w:basedOn w:val="662"/>
    <w:next w:val="693"/>
    <w:link w:val="694"/>
    <w:rPr>
      <w:rFonts w:ascii="仿宋_GB2312" w:hAnsi="Arial" w:eastAsia="仿宋_GB2312"/>
      <w:sz w:val="32"/>
      <w:szCs w:val="32"/>
    </w:rPr>
  </w:style>
  <w:style w:type="character" w:styleId="694">
    <w:name w:val="正文文本 3 Char"/>
    <w:next w:val="694"/>
    <w:link w:val="693"/>
    <w:rPr>
      <w:rFonts w:ascii="仿宋_GB2312" w:hAnsi="Arial" w:eastAsia="仿宋_GB2312" w:cs="Times New Roman"/>
      <w:sz w:val="32"/>
      <w:szCs w:val="32"/>
    </w:rPr>
  </w:style>
  <w:style w:type="paragraph" w:styleId="695">
    <w:name w:val="正文文本"/>
    <w:basedOn w:val="662"/>
    <w:next w:val="662"/>
    <w:link w:val="696"/>
    <w:rPr>
      <w:rFonts w:ascii="楷体_GB2312" w:hAnsi="Arial" w:eastAsia="楷体_GB2312"/>
      <w:sz w:val="28"/>
      <w:szCs w:val="28"/>
    </w:rPr>
  </w:style>
  <w:style w:type="character" w:styleId="696">
    <w:name w:val="正文文本 Char"/>
    <w:next w:val="696"/>
    <w:link w:val="695"/>
    <w:rPr>
      <w:rFonts w:ascii="楷体_GB2312" w:hAnsi="Arial" w:eastAsia="楷体_GB2312" w:cs="Times New Roman"/>
      <w:sz w:val="28"/>
      <w:szCs w:val="28"/>
    </w:rPr>
  </w:style>
  <w:style w:type="paragraph" w:styleId="697">
    <w:name w:val="正文文本缩进"/>
    <w:basedOn w:val="662"/>
    <w:next w:val="697"/>
    <w:link w:val="698"/>
    <w:pPr>
      <w:ind w:firstLine="645"/>
    </w:pPr>
    <w:rPr>
      <w:rFonts w:ascii="楷体_GB2312" w:eastAsia="楷体_GB2312"/>
      <w:sz w:val="32"/>
      <w:szCs w:val="32"/>
    </w:rPr>
  </w:style>
  <w:style w:type="character" w:styleId="698">
    <w:name w:val="正文文本缩进 Char"/>
    <w:next w:val="698"/>
    <w:link w:val="697"/>
    <w:rPr>
      <w:rFonts w:ascii="楷体_GB2312" w:hAnsi="Times New Roman" w:eastAsia="楷体_GB2312" w:cs="Times New Roman"/>
      <w:sz w:val="32"/>
      <w:szCs w:val="32"/>
    </w:rPr>
  </w:style>
  <w:style w:type="paragraph" w:styleId="699">
    <w:name w:val="列表 2"/>
    <w:basedOn w:val="662"/>
    <w:next w:val="699"/>
    <w:link w:val="662"/>
    <w:pPr>
      <w:ind w:left="100" w:hanging="200"/>
    </w:pPr>
  </w:style>
  <w:style w:type="paragraph" w:styleId="700">
    <w:name w:val="目录 5"/>
    <w:basedOn w:val="662"/>
    <w:next w:val="662"/>
    <w:link w:val="662"/>
    <w:semiHidden/>
    <w:pPr>
      <w:ind w:left="840"/>
      <w:jc w:val="left"/>
    </w:pPr>
  </w:style>
  <w:style w:type="paragraph" w:styleId="701">
    <w:name w:val="目录 3"/>
    <w:basedOn w:val="662"/>
    <w:next w:val="662"/>
    <w:link w:val="662"/>
    <w:semiHidden/>
    <w:pPr>
      <w:ind w:left="420"/>
      <w:jc w:val="left"/>
    </w:pPr>
    <w:rPr>
      <w:i/>
      <w:iCs/>
      <w:szCs w:val="24"/>
    </w:rPr>
  </w:style>
  <w:style w:type="paragraph" w:styleId="702">
    <w:name w:val="纯文本"/>
    <w:basedOn w:val="662"/>
    <w:next w:val="702"/>
    <w:link w:val="703"/>
    <w:rPr>
      <w:rFonts w:ascii="宋体" w:hAnsi="Courier New" w:cs="Courier New"/>
    </w:rPr>
  </w:style>
  <w:style w:type="character" w:styleId="703">
    <w:name w:val="纯文本 Char"/>
    <w:next w:val="703"/>
    <w:link w:val="702"/>
    <w:rPr>
      <w:rFonts w:ascii="宋体" w:hAnsi="Courier New" w:eastAsia="宋体" w:cs="Courier New"/>
      <w:szCs w:val="21"/>
    </w:rPr>
  </w:style>
  <w:style w:type="paragraph" w:styleId="704">
    <w:name w:val="目录 8"/>
    <w:basedOn w:val="662"/>
    <w:next w:val="662"/>
    <w:link w:val="662"/>
    <w:semiHidden/>
    <w:pPr>
      <w:ind w:left="1470"/>
      <w:jc w:val="left"/>
    </w:pPr>
  </w:style>
  <w:style w:type="paragraph" w:styleId="705">
    <w:name w:val="日期"/>
    <w:basedOn w:val="662"/>
    <w:next w:val="662"/>
    <w:link w:val="706"/>
    <w:rPr>
      <w:sz w:val="24"/>
      <w:szCs w:val="24"/>
    </w:rPr>
  </w:style>
  <w:style w:type="character" w:styleId="706">
    <w:name w:val="日期 Char"/>
    <w:next w:val="706"/>
    <w:link w:val="705"/>
    <w:rPr>
      <w:rFonts w:ascii="Times New Roman" w:hAnsi="Times New Roman" w:eastAsia="宋体" w:cs="Times New Roman"/>
      <w:sz w:val="24"/>
      <w:szCs w:val="24"/>
    </w:rPr>
  </w:style>
  <w:style w:type="paragraph" w:styleId="707">
    <w:name w:val="正文文本缩进 2"/>
    <w:basedOn w:val="662"/>
    <w:next w:val="707"/>
    <w:link w:val="708"/>
    <w:pPr>
      <w:ind w:left="630" w:firstLine="645"/>
    </w:pPr>
    <w:rPr>
      <w:rFonts w:ascii="Arial" w:hAnsi="Arial" w:eastAsia="仿宋_GB2312" w:cs="Arial"/>
      <w:sz w:val="32"/>
      <w:szCs w:val="32"/>
    </w:rPr>
  </w:style>
  <w:style w:type="character" w:styleId="708">
    <w:name w:val="正文文本缩进 2 Char"/>
    <w:next w:val="708"/>
    <w:link w:val="707"/>
    <w:rPr>
      <w:rFonts w:ascii="Arial" w:hAnsi="Arial" w:eastAsia="仿宋_GB2312" w:cs="Arial"/>
      <w:sz w:val="32"/>
      <w:szCs w:val="32"/>
    </w:rPr>
  </w:style>
  <w:style w:type="paragraph" w:styleId="709">
    <w:name w:val="批注框文本"/>
    <w:basedOn w:val="662"/>
    <w:next w:val="709"/>
    <w:link w:val="710"/>
    <w:semiHidden/>
    <w:rPr>
      <w:sz w:val="18"/>
      <w:szCs w:val="18"/>
    </w:rPr>
  </w:style>
  <w:style w:type="character" w:styleId="710">
    <w:name w:val="批注框文本 Char"/>
    <w:next w:val="710"/>
    <w:link w:val="709"/>
    <w:semiHidden/>
    <w:rPr>
      <w:rFonts w:ascii="Times New Roman" w:hAnsi="Times New Roman" w:eastAsia="宋体" w:cs="Times New Roman"/>
      <w:sz w:val="18"/>
      <w:szCs w:val="18"/>
    </w:rPr>
  </w:style>
  <w:style w:type="paragraph" w:styleId="711">
    <w:name w:val="页脚"/>
    <w:basedOn w:val="662"/>
    <w:next w:val="711"/>
    <w:link w:val="712"/>
    <w:pPr>
      <w:jc w:val="left"/>
      <w:tabs>
        <w:tab w:val="center" w:pos="4153" w:leader="none"/>
        <w:tab w:val="right" w:pos="8306" w:leader="none"/>
      </w:tabs>
    </w:pPr>
    <w:rPr>
      <w:sz w:val="18"/>
      <w:szCs w:val="18"/>
    </w:rPr>
  </w:style>
  <w:style w:type="character" w:styleId="712">
    <w:name w:val="页脚 Char"/>
    <w:next w:val="712"/>
    <w:link w:val="711"/>
    <w:rPr>
      <w:rFonts w:ascii="Times New Roman" w:hAnsi="Times New Roman" w:eastAsia="宋体" w:cs="Times New Roman"/>
      <w:sz w:val="18"/>
      <w:szCs w:val="18"/>
    </w:rPr>
  </w:style>
  <w:style w:type="paragraph" w:styleId="713">
    <w:name w:val="页眉"/>
    <w:basedOn w:val="662"/>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Char"/>
    <w:next w:val="714"/>
    <w:link w:val="713"/>
    <w:rPr>
      <w:rFonts w:ascii="Times New Roman" w:hAnsi="Times New Roman" w:eastAsia="宋体" w:cs="Times New Roman"/>
      <w:sz w:val="18"/>
      <w:szCs w:val="18"/>
    </w:rPr>
  </w:style>
  <w:style w:type="paragraph" w:styleId="715">
    <w:name w:val="目录 1"/>
    <w:basedOn w:val="662"/>
    <w:next w:val="662"/>
    <w:link w:val="662"/>
    <w:semiHidden/>
    <w:pPr>
      <w:jc w:val="left"/>
      <w:spacing w:before="120" w:after="120" w:line="400" w:lineRule="exact"/>
      <w:tabs>
        <w:tab w:val="right" w:pos="8720" w:leader="dot"/>
      </w:tabs>
    </w:pPr>
    <w:rPr>
      <w:rFonts w:ascii="宋体" w:hAnsi="宋体"/>
      <w:caps/>
      <w:sz w:val="24"/>
      <w:szCs w:val="24"/>
    </w:rPr>
  </w:style>
  <w:style w:type="paragraph" w:styleId="716">
    <w:name w:val="目录 4"/>
    <w:basedOn w:val="662"/>
    <w:next w:val="662"/>
    <w:link w:val="662"/>
    <w:semiHidden/>
    <w:pPr>
      <w:ind w:left="630"/>
      <w:jc w:val="left"/>
    </w:pPr>
  </w:style>
  <w:style w:type="paragraph" w:styleId="717">
    <w:name w:val="列表"/>
    <w:basedOn w:val="662"/>
    <w:next w:val="717"/>
    <w:link w:val="662"/>
    <w:pPr>
      <w:ind w:left="200" w:hanging="200"/>
    </w:pPr>
  </w:style>
  <w:style w:type="paragraph" w:styleId="718">
    <w:name w:val="目录 6"/>
    <w:basedOn w:val="662"/>
    <w:next w:val="662"/>
    <w:link w:val="662"/>
    <w:semiHidden/>
    <w:pPr>
      <w:ind w:left="1050"/>
      <w:jc w:val="left"/>
    </w:pPr>
  </w:style>
  <w:style w:type="paragraph" w:styleId="719">
    <w:name w:val="正文文本缩进 3"/>
    <w:basedOn w:val="662"/>
    <w:next w:val="719"/>
    <w:link w:val="720"/>
    <w:pPr>
      <w:ind w:left="645" w:firstLine="645"/>
    </w:pPr>
    <w:rPr>
      <w:rFonts w:ascii="Arial" w:hAnsi="Arial" w:eastAsia="仿宋_GB2312" w:cs="Arial"/>
      <w:color w:val="ffff00"/>
      <w:sz w:val="32"/>
      <w:szCs w:val="32"/>
    </w:rPr>
  </w:style>
  <w:style w:type="character" w:styleId="720">
    <w:name w:val="正文文本缩进 3 Char"/>
    <w:next w:val="720"/>
    <w:link w:val="719"/>
    <w:rPr>
      <w:rFonts w:ascii="Arial" w:hAnsi="Arial" w:eastAsia="仿宋_GB2312" w:cs="Arial"/>
      <w:color w:val="ffff00"/>
      <w:sz w:val="32"/>
      <w:szCs w:val="32"/>
    </w:rPr>
  </w:style>
  <w:style w:type="paragraph" w:styleId="721">
    <w:name w:val="图表目录"/>
    <w:basedOn w:val="662"/>
    <w:next w:val="662"/>
    <w:link w:val="662"/>
    <w:semiHidden/>
    <w:pPr>
      <w:ind w:left="840" w:hanging="420"/>
    </w:pPr>
  </w:style>
  <w:style w:type="paragraph" w:styleId="722">
    <w:name w:val="目录 2"/>
    <w:basedOn w:val="662"/>
    <w:next w:val="662"/>
    <w:link w:val="662"/>
    <w:semiHidden/>
    <w:pPr>
      <w:ind w:left="210"/>
      <w:jc w:val="left"/>
    </w:pPr>
    <w:rPr>
      <w:smallCaps/>
      <w:szCs w:val="24"/>
    </w:rPr>
  </w:style>
  <w:style w:type="paragraph" w:styleId="723">
    <w:name w:val="目录 9"/>
    <w:basedOn w:val="662"/>
    <w:next w:val="662"/>
    <w:link w:val="662"/>
    <w:semiHidden/>
    <w:pPr>
      <w:ind w:left="1680"/>
      <w:jc w:val="left"/>
    </w:pPr>
  </w:style>
  <w:style w:type="paragraph" w:styleId="724">
    <w:name w:val="正文文本 2"/>
    <w:basedOn w:val="662"/>
    <w:next w:val="724"/>
    <w:link w:val="725"/>
    <w:pPr>
      <w:jc w:val="center"/>
      <w:widowControl/>
    </w:pPr>
    <w:rPr>
      <w:rFonts w:ascii="楷体_GB2312" w:eastAsia="楷体_GB2312"/>
      <w:sz w:val="28"/>
      <w:szCs w:val="28"/>
    </w:rPr>
  </w:style>
  <w:style w:type="character" w:styleId="725">
    <w:name w:val="正文文本 2 Char"/>
    <w:next w:val="725"/>
    <w:link w:val="724"/>
    <w:rPr>
      <w:rFonts w:ascii="楷体_GB2312" w:hAnsi="Times New Roman" w:eastAsia="楷体_GB2312" w:cs="Times New Roman"/>
      <w:sz w:val="28"/>
      <w:szCs w:val="28"/>
    </w:rPr>
  </w:style>
  <w:style w:type="paragraph" w:styleId="726">
    <w:name w:val="普通(网站)"/>
    <w:basedOn w:val="662"/>
    <w:next w:val="726"/>
    <w:link w:val="662"/>
    <w:uiPriority w:val="99"/>
    <w:pPr>
      <w:jc w:val="left"/>
      <w:spacing w:before="100" w:beforeAutospacing="1" w:after="100" w:afterAutospacing="1"/>
      <w:widowControl/>
    </w:pPr>
    <w:rPr>
      <w:rFonts w:ascii="宋体" w:hAnsi="宋体" w:cs="宋体"/>
      <w:sz w:val="24"/>
      <w:szCs w:val="24"/>
    </w:rPr>
  </w:style>
  <w:style w:type="paragraph" w:styleId="727">
    <w:name w:val="索引 1"/>
    <w:basedOn w:val="662"/>
    <w:next w:val="662"/>
    <w:link w:val="662"/>
    <w:semiHidden/>
    <w:pPr>
      <w:spacing w:line="240" w:lineRule="atLeast"/>
    </w:pPr>
    <w:rPr>
      <w:b/>
      <w:bCs/>
    </w:rPr>
  </w:style>
  <w:style w:type="paragraph" w:styleId="728">
    <w:name w:val="批注主题"/>
    <w:basedOn w:val="691"/>
    <w:next w:val="691"/>
    <w:link w:val="729"/>
    <w:semiHidden/>
    <w:rPr>
      <w:b/>
      <w:bCs/>
    </w:rPr>
  </w:style>
  <w:style w:type="character" w:styleId="729">
    <w:name w:val="批注主题 Char"/>
    <w:next w:val="729"/>
    <w:link w:val="728"/>
    <w:semiHidden/>
    <w:rPr>
      <w:rFonts w:ascii="Times New Roman" w:hAnsi="Times New Roman" w:eastAsia="宋体" w:cs="Times New Roman"/>
      <w:b/>
      <w:bCs/>
      <w:szCs w:val="21"/>
    </w:rPr>
  </w:style>
  <w:style w:type="paragraph" w:styleId="730">
    <w:name w:val="正文首行缩进"/>
    <w:basedOn w:val="695"/>
    <w:next w:val="730"/>
    <w:link w:val="731"/>
    <w:pPr>
      <w:ind w:firstLine="200"/>
      <w:spacing w:line="360" w:lineRule="auto"/>
    </w:pPr>
    <w:rPr>
      <w:rFonts w:ascii="仿宋_GB2312" w:eastAsia="仿宋_GB2312"/>
      <w:sz w:val="30"/>
      <w:szCs w:val="30"/>
    </w:rPr>
  </w:style>
  <w:style w:type="character" w:styleId="731">
    <w:name w:val="正文首行缩进 Char"/>
    <w:next w:val="731"/>
    <w:link w:val="730"/>
    <w:rPr>
      <w:rFonts w:ascii="仿宋_GB2312" w:hAnsi="Times New Roman" w:eastAsia="仿宋_GB2312" w:cs="Times New Roman"/>
      <w:sz w:val="30"/>
      <w:szCs w:val="30"/>
    </w:rPr>
  </w:style>
  <w:style w:type="paragraph" w:styleId="732">
    <w:name w:val="正文首行缩进 2"/>
    <w:basedOn w:val="697"/>
    <w:next w:val="732"/>
    <w:link w:val="733"/>
    <w:pPr>
      <w:ind w:firstLine="420"/>
      <w:spacing w:line="360" w:lineRule="auto"/>
    </w:pPr>
    <w:rPr>
      <w:rFonts w:ascii="宋体" w:hAnsi="宋体" w:eastAsia="宋体"/>
      <w:sz w:val="21"/>
      <w:szCs w:val="20"/>
    </w:rPr>
  </w:style>
  <w:style w:type="character" w:styleId="733">
    <w:name w:val="正文首行缩进 2 Char"/>
    <w:next w:val="733"/>
    <w:link w:val="732"/>
    <w:rPr>
      <w:rFonts w:ascii="宋体" w:hAnsi="宋体" w:eastAsia="宋体" w:cs="Times New Roman"/>
      <w:sz w:val="32"/>
      <w:szCs w:val="20"/>
    </w:rPr>
  </w:style>
  <w:style w:type="table" w:styleId="734">
    <w:name w:val="网格型"/>
    <w:basedOn w:val="673"/>
    <w:next w:val="734"/>
    <w:link w:val="662"/>
    <w:pPr>
      <w:jc w:val="both"/>
      <w:widowControl w:val="off"/>
    </w:pPr>
    <w:rPr>
      <w:rFonts w:ascii="Times New Roman" w:hAnsi="Times New Roman" w:eastAsia="宋体" w:cs="Times New Roman"/>
      <w:sz w:val="20"/>
      <w:szCs w:val="20"/>
    </w:rPr>
    <w:tblPr/>
  </w:style>
  <w:style w:type="character" w:styleId="735">
    <w:name w:val="要点"/>
    <w:next w:val="735"/>
    <w:link w:val="662"/>
    <w:qFormat/>
    <w:rPr>
      <w:b/>
      <w:bCs/>
    </w:rPr>
  </w:style>
  <w:style w:type="character" w:styleId="736">
    <w:name w:val="页码"/>
    <w:next w:val="736"/>
    <w:link w:val="662"/>
  </w:style>
  <w:style w:type="character" w:styleId="737">
    <w:name w:val="已访问的超链接"/>
    <w:next w:val="737"/>
    <w:link w:val="662"/>
    <w:rPr>
      <w:color w:val="800080"/>
      <w:u w:val="single"/>
    </w:rPr>
  </w:style>
  <w:style w:type="character" w:styleId="738">
    <w:name w:val="超链接"/>
    <w:next w:val="738"/>
    <w:link w:val="662"/>
    <w:rPr>
      <w:color w:val="0000ff"/>
      <w:u w:val="single"/>
    </w:rPr>
  </w:style>
  <w:style w:type="character" w:styleId="739">
    <w:name w:val="批注引用"/>
    <w:next w:val="739"/>
    <w:link w:val="662"/>
    <w:semiHidden/>
    <w:rPr>
      <w:sz w:val="21"/>
      <w:szCs w:val="21"/>
    </w:rPr>
  </w:style>
  <w:style w:type="character" w:styleId="740">
    <w:name w:val="font5 Char"/>
    <w:next w:val="740"/>
    <w:link w:val="662"/>
    <w:rPr>
      <w:rFonts w:ascii="宋体" w:hAnsi="宋体" w:eastAsia="宋体"/>
      <w:sz w:val="28"/>
      <w:szCs w:val="28"/>
      <w:lang w:val="en-US" w:eastAsia="zh-CN" w:bidi="ar-SA"/>
    </w:rPr>
  </w:style>
  <w:style w:type="character" w:styleId="741">
    <w:name w:val="二级目录 Char"/>
    <w:next w:val="741"/>
    <w:link w:val="742"/>
    <w:rPr>
      <w:b/>
      <w:sz w:val="30"/>
      <w:szCs w:val="28"/>
    </w:rPr>
  </w:style>
  <w:style w:type="paragraph" w:styleId="742">
    <w:name w:val="二级目录"/>
    <w:next w:val="662"/>
    <w:link w:val="741"/>
    <w:pPr>
      <w:numPr>
        <w:ilvl w:val="0"/>
        <w:numId w:val="2"/>
      </w:numPr>
      <w:tabs>
        <w:tab w:val="left" w:pos="907" w:leader="none"/>
        <w:tab w:val="left" w:pos="1145" w:leader="none"/>
      </w:tabs>
      <w:outlineLvl w:val="1"/>
    </w:pPr>
    <w:rPr>
      <w:b/>
      <w:sz w:val="30"/>
      <w:szCs w:val="28"/>
      <w:lang w:val="en-US" w:eastAsia="zh-CN" w:bidi="ar-SA"/>
    </w:rPr>
  </w:style>
  <w:style w:type="character" w:styleId="743">
    <w:name w:val="列出段落 Char,Bullet List Char,numbered Char,FooterText Char,List Paragraph1 Char,Paragraphe de liste1 Char"/>
    <w:next w:val="743"/>
    <w:link w:val="744"/>
    <w:rPr>
      <w:rFonts w:ascii="Calibri" w:hAnsi="Calibri"/>
      <w:sz w:val="24"/>
      <w:szCs w:val="24"/>
      <w:lang w:eastAsia="en-US" w:bidi="en-US"/>
    </w:rPr>
  </w:style>
  <w:style w:type="paragraph" w:styleId="744">
    <w:name w:val="列出段落1"/>
    <w:basedOn w:val="662"/>
    <w:next w:val="744"/>
    <w:link w:val="743"/>
    <w:qFormat/>
    <w:pPr>
      <w:contextualSpacing/>
      <w:ind w:left="720"/>
      <w:jc w:val="left"/>
      <w:widowControl/>
    </w:pPr>
    <w:rPr>
      <w:rFonts w:ascii="Calibri" w:hAnsi="Calibri" w:eastAsia="宋体" w:cs="Times New Roman"/>
      <w:sz w:val="24"/>
      <w:szCs w:val="24"/>
      <w:lang w:eastAsia="en-US" w:bidi="en-US"/>
    </w:rPr>
  </w:style>
  <w:style w:type="paragraph" w:styleId="745">
    <w:name w:val="Body Text(ch)"/>
    <w:basedOn w:val="662"/>
    <w:next w:val="695"/>
    <w:link w:val="662"/>
    <w:pPr>
      <w:spacing w:after="120"/>
    </w:pPr>
    <w:rPr>
      <w:rFonts w:ascii="宋体" w:hAnsi="Arial"/>
      <w:bCs/>
      <w:iCs/>
      <w:szCs w:val="24"/>
    </w:rPr>
  </w:style>
  <w:style w:type="paragraph" w:styleId="746">
    <w:name w:val="xl27"/>
    <w:basedOn w:val="662"/>
    <w:next w:val="746"/>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7">
    <w:name w:val="xl26"/>
    <w:basedOn w:val="662"/>
    <w:next w:val="747"/>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8">
    <w:name w:val="Char"/>
    <w:basedOn w:val="662"/>
    <w:next w:val="748"/>
    <w:link w:val="662"/>
    <w:pPr>
      <w:ind w:firstLine="200"/>
      <w:tabs>
        <w:tab w:val="left" w:pos="360" w:leader="none"/>
      </w:tabs>
    </w:pPr>
    <w:rPr>
      <w:sz w:val="28"/>
      <w:szCs w:val="30"/>
    </w:rPr>
  </w:style>
  <w:style w:type="paragraph" w:styleId="749">
    <w:name w:val=" Char"/>
    <w:basedOn w:val="689"/>
    <w:next w:val="749"/>
    <w:link w:val="662"/>
    <w:rPr>
      <w:rFonts w:ascii="Tahoma" w:hAnsi="Tahoma"/>
      <w:sz w:val="24"/>
      <w:szCs w:val="24"/>
    </w:rPr>
  </w:style>
  <w:style w:type="paragraph" w:styleId="750">
    <w:name w:val="普通正文"/>
    <w:basedOn w:val="662"/>
    <w:next w:val="750"/>
    <w:link w:val="662"/>
    <w:pPr>
      <w:ind w:firstLine="480"/>
      <w:jc w:val="left"/>
      <w:spacing w:before="120" w:after="120" w:line="360" w:lineRule="auto"/>
    </w:pPr>
    <w:rPr>
      <w:rFonts w:ascii="Arial" w:hAnsi="Arial"/>
      <w:sz w:val="24"/>
      <w:szCs w:val="24"/>
    </w:rPr>
  </w:style>
  <w:style w:type="paragraph" w:styleId="751">
    <w:name w:val="table_lines"/>
    <w:basedOn w:val="662"/>
    <w:next w:val="751"/>
    <w:link w:val="662"/>
    <w:pPr>
      <w:jc w:val="left"/>
      <w:widowControl/>
    </w:pPr>
    <w:rPr>
      <w:sz w:val="20"/>
      <w:szCs w:val="20"/>
      <w:lang w:val="de-DE" w:eastAsia="de-DE"/>
    </w:rPr>
  </w:style>
  <w:style w:type="paragraph" w:styleId="752">
    <w:name w:val="附录1"/>
    <w:next w:val="752"/>
    <w:link w:val="6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3">
    <w:name w:val="font7"/>
    <w:basedOn w:val="662"/>
    <w:next w:val="753"/>
    <w:link w:val="662"/>
    <w:pPr>
      <w:jc w:val="left"/>
      <w:spacing w:before="100" w:beforeAutospacing="1" w:after="100" w:afterAutospacing="1"/>
      <w:widowControl/>
    </w:pPr>
    <w:rPr>
      <w:rFonts w:hint="eastAsia" w:ascii="宋体" w:hAnsi="宋体"/>
      <w:sz w:val="18"/>
      <w:szCs w:val="18"/>
    </w:rPr>
  </w:style>
  <w:style w:type="paragraph" w:styleId="754">
    <w:name w:val=" Char Char Char Char"/>
    <w:basedOn w:val="689"/>
    <w:next w:val="754"/>
    <w:link w:val="662"/>
    <w:pPr>
      <w:spacing w:line="360" w:lineRule="auto"/>
    </w:pPr>
    <w:rPr>
      <w:rFonts w:ascii="Tahoma" w:hAnsi="Tahoma"/>
      <w:sz w:val="24"/>
      <w:szCs w:val="24"/>
    </w:rPr>
  </w:style>
  <w:style w:type="paragraph" w:styleId="755">
    <w:name w:val="列出段落"/>
    <w:basedOn w:val="662"/>
    <w:next w:val="755"/>
    <w:link w:val="662"/>
    <w:qFormat/>
    <w:pPr>
      <w:contextualSpacing/>
      <w:ind w:left="720"/>
      <w:jc w:val="left"/>
      <w:widowControl/>
    </w:pPr>
    <w:rPr>
      <w:rFonts w:ascii="Calibri" w:hAnsi="Calibri"/>
      <w:sz w:val="24"/>
      <w:szCs w:val="24"/>
      <w:lang w:eastAsia="en-US" w:bidi="en-US"/>
    </w:rPr>
  </w:style>
  <w:style w:type="paragraph" w:styleId="756">
    <w:name w:val="4"/>
    <w:basedOn w:val="662"/>
    <w:next w:val="719"/>
    <w:link w:val="662"/>
    <w:pPr>
      <w:ind w:firstLine="420"/>
      <w:spacing w:line="360" w:lineRule="auto"/>
    </w:pPr>
    <w:rPr>
      <w:color w:val="ff0000"/>
      <w:sz w:val="24"/>
      <w:szCs w:val="24"/>
    </w:rPr>
  </w:style>
  <w:style w:type="paragraph" w:styleId="757">
    <w:name w:val="普通 (Web)"/>
    <w:basedOn w:val="662"/>
    <w:next w:val="757"/>
    <w:link w:val="662"/>
    <w:pPr>
      <w:jc w:val="left"/>
      <w:spacing w:before="100" w:beforeAutospacing="1" w:after="100" w:afterAutospacing="1"/>
      <w:widowControl/>
    </w:pPr>
    <w:rPr>
      <w:rFonts w:ascii="宋体" w:hAnsi="宋体"/>
      <w:sz w:val="24"/>
      <w:szCs w:val="24"/>
    </w:rPr>
  </w:style>
  <w:style w:type="paragraph" w:styleId="758">
    <w:name w:val=" Char Char Char Char Char Char Char Char Char Char"/>
    <w:basedOn w:val="662"/>
    <w:next w:val="758"/>
    <w:link w:val="662"/>
    <w:pPr>
      <w:spacing w:line="360" w:lineRule="auto"/>
    </w:pPr>
    <w:rPr>
      <w:sz w:val="24"/>
      <w:szCs w:val="20"/>
    </w:rPr>
  </w:style>
  <w:style w:type="paragraph" w:styleId="759">
    <w:name w:val="样式1"/>
    <w:basedOn w:val="662"/>
    <w:next w:val="759"/>
    <w:link w:val="662"/>
    <w:pPr>
      <w:numPr>
        <w:ilvl w:val="0"/>
        <w:numId w:val="3"/>
      </w:numPr>
      <w:tabs>
        <w:tab w:val="left" w:pos="709" w:leader="none"/>
      </w:tabs>
    </w:pPr>
    <w:rPr>
      <w:rFonts w:ascii="宋体" w:hAnsi="宋体"/>
    </w:rPr>
  </w:style>
  <w:style w:type="paragraph" w:styleId="760">
    <w:name w:val="font6"/>
    <w:basedOn w:val="662"/>
    <w:next w:val="760"/>
    <w:link w:val="662"/>
    <w:pPr>
      <w:jc w:val="left"/>
      <w:spacing w:before="100" w:beforeAutospacing="1" w:after="100" w:afterAutospacing="1"/>
      <w:widowControl/>
    </w:pPr>
    <w:rPr>
      <w:rFonts w:hint="eastAsia" w:ascii="宋体" w:hAnsi="宋体"/>
      <w:sz w:val="28"/>
      <w:szCs w:val="28"/>
      <w:u w:val="single"/>
    </w:rPr>
  </w:style>
  <w:style w:type="paragraph" w:styleId="761">
    <w:name w:val="xl25"/>
    <w:basedOn w:val="662"/>
    <w:next w:val="761"/>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2">
    <w:name w:val="图标"/>
    <w:basedOn w:val="662"/>
    <w:next w:val="662"/>
    <w:link w:val="6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3">
    <w:name w:val="标题3"/>
    <w:basedOn w:val="662"/>
    <w:next w:val="662"/>
    <w:link w:val="662"/>
    <w:pPr>
      <w:ind w:firstLine="624"/>
      <w:spacing w:line="590" w:lineRule="atLeast"/>
    </w:pPr>
    <w:rPr>
      <w:rFonts w:ascii="方正黑体_GBK" w:eastAsia="方正黑体_GBK"/>
      <w:sz w:val="32"/>
      <w:szCs w:val="32"/>
    </w:rPr>
  </w:style>
  <w:style w:type="paragraph" w:styleId="764">
    <w:name w:val="xl24"/>
    <w:basedOn w:val="662"/>
    <w:next w:val="764"/>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5">
    <w:name w:val="xl29"/>
    <w:basedOn w:val="662"/>
    <w:next w:val="765"/>
    <w:link w:val="6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6">
    <w:name w:val="Char Char Char Char Char Char Char Char"/>
    <w:basedOn w:val="662"/>
    <w:next w:val="766"/>
    <w:link w:val="662"/>
    <w:pPr>
      <w:jc w:val="left"/>
      <w:spacing w:after="160" w:line="240" w:lineRule="exact"/>
      <w:widowControl/>
    </w:pPr>
    <w:rPr>
      <w:rFonts w:ascii="Verdana" w:hAnsi="Verdana"/>
      <w:sz w:val="20"/>
      <w:szCs w:val="20"/>
      <w:lang w:eastAsia="en-US"/>
    </w:rPr>
  </w:style>
  <w:style w:type="paragraph" w:styleId="767">
    <w:name w:val="xl28"/>
    <w:basedOn w:val="662"/>
    <w:next w:val="767"/>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8">
    <w:name w:val=" Char Char Char Char Char Char Char Char"/>
    <w:basedOn w:val="662"/>
    <w:next w:val="768"/>
    <w:link w:val="662"/>
    <w:pPr>
      <w:jc w:val="left"/>
      <w:spacing w:after="160" w:line="240" w:lineRule="exact"/>
      <w:widowControl/>
    </w:pPr>
    <w:rPr>
      <w:rFonts w:ascii="Verdana" w:hAnsi="Verdana"/>
      <w:sz w:val="20"/>
      <w:szCs w:val="20"/>
      <w:lang w:eastAsia="en-US"/>
    </w:rPr>
  </w:style>
  <w:style w:type="paragraph" w:styleId="769">
    <w:name w:val="xl30"/>
    <w:basedOn w:val="662"/>
    <w:next w:val="769"/>
    <w:link w:val="662"/>
    <w:pPr>
      <w:jc w:val="center"/>
      <w:spacing w:before="100" w:beforeAutospacing="1" w:after="100" w:afterAutospacing="1"/>
      <w:widowControl/>
    </w:pPr>
    <w:rPr>
      <w:rFonts w:ascii="宋体" w:hAnsi="宋体"/>
      <w:b/>
      <w:bCs/>
      <w:sz w:val="36"/>
      <w:szCs w:val="36"/>
    </w:rPr>
  </w:style>
  <w:style w:type="paragraph" w:styleId="770">
    <w:name w:val="Char Char Char Char"/>
    <w:basedOn w:val="689"/>
    <w:next w:val="770"/>
    <w:link w:val="662"/>
    <w:pPr>
      <w:spacing w:line="360" w:lineRule="auto"/>
    </w:pPr>
    <w:rPr>
      <w:rFonts w:ascii="Tahoma" w:hAnsi="Tahoma"/>
      <w:sz w:val="24"/>
      <w:szCs w:val="24"/>
    </w:rPr>
  </w:style>
  <w:style w:type="paragraph" w:styleId="771">
    <w:name w:val="table_1stline"/>
    <w:basedOn w:val="662"/>
    <w:next w:val="771"/>
    <w:link w:val="662"/>
    <w:pPr>
      <w:jc w:val="left"/>
      <w:spacing w:before="120"/>
      <w:widowControl/>
    </w:pPr>
    <w:rPr>
      <w:bCs/>
      <w:sz w:val="20"/>
      <w:szCs w:val="20"/>
      <w:lang w:val="de-DE" w:eastAsia="de-DE"/>
    </w:rPr>
  </w:style>
  <w:style w:type="paragraph" w:styleId="772">
    <w:name w:val="font5"/>
    <w:basedOn w:val="662"/>
    <w:next w:val="772"/>
    <w:link w:val="662"/>
    <w:pPr>
      <w:jc w:val="left"/>
      <w:spacing w:before="100" w:beforeAutospacing="1" w:after="100" w:afterAutospacing="1"/>
      <w:widowControl/>
    </w:pPr>
    <w:rPr>
      <w:rFonts w:hint="eastAsia" w:ascii="宋体" w:hAnsi="宋体"/>
      <w:sz w:val="28"/>
      <w:szCs w:val="28"/>
    </w:rPr>
  </w:style>
  <w:style w:type="paragraph" w:styleId="773">
    <w:name w:val="标题1"/>
    <w:basedOn w:val="662"/>
    <w:next w:val="662"/>
    <w:link w:val="662"/>
    <w:pPr>
      <w:jc w:val="center"/>
      <w:spacing w:line="700" w:lineRule="atLeast"/>
      <w:tabs>
        <w:tab w:val="left" w:pos="9193" w:leader="none"/>
        <w:tab w:val="left" w:pos="9827" w:leader="none"/>
      </w:tabs>
    </w:pPr>
    <w:rPr>
      <w:rFonts w:ascii="方正小标宋_GBK" w:eastAsia="方正小标宋_GBK"/>
      <w:sz w:val="44"/>
      <w:szCs w:val="20"/>
    </w:rPr>
  </w:style>
  <w:style w:type="paragraph" w:styleId="774">
    <w:name w:val="修订"/>
    <w:next w:val="774"/>
    <w:link w:val="662"/>
    <w:uiPriority w:val="99"/>
    <w:semiHidden/>
    <w:rPr>
      <w:rFonts w:ascii="Times New Roman" w:hAnsi="Times New Roman"/>
      <w:sz w:val="21"/>
      <w:szCs w:val="21"/>
      <w:lang w:val="en-US" w:eastAsia="zh-CN" w:bidi="ar-SA"/>
    </w:rPr>
  </w:style>
  <w:style w:type="paragraph" w:styleId="775">
    <w:name w:val="无间隔"/>
    <w:next w:val="775"/>
    <w:link w:val="662"/>
    <w:uiPriority w:val="99"/>
    <w:qFormat/>
    <w:pPr>
      <w:jc w:val="both"/>
      <w:widowControl w:val="off"/>
    </w:pPr>
    <w:rPr>
      <w:rFonts w:ascii="Times New Roman" w:hAnsi="Times New Roman"/>
      <w:sz w:val="21"/>
      <w:szCs w:val="21"/>
      <w:lang w:val="en-US" w:eastAsia="zh-CN" w:bidi="ar-SA"/>
    </w:rPr>
  </w:style>
  <w:style w:type="paragraph" w:styleId="776">
    <w:name w:val="标题 31"/>
    <w:basedOn w:val="662"/>
    <w:next w:val="777"/>
    <w:link w:val="662"/>
    <w:qFormat/>
    <w:pPr>
      <w:keepLines/>
      <w:keepNext/>
      <w:spacing w:before="260" w:after="260" w:line="416" w:lineRule="auto"/>
      <w:outlineLvl w:val="2"/>
    </w:pPr>
    <w:rPr>
      <w:b/>
      <w:bCs/>
      <w:sz w:val="32"/>
      <w:szCs w:val="32"/>
    </w:rPr>
  </w:style>
  <w:style w:type="paragraph" w:styleId="777">
    <w:name w:val="正文缩进1"/>
    <w:basedOn w:val="662"/>
    <w:next w:val="777"/>
    <w:link w:val="662"/>
    <w:qFormat/>
    <w:pPr>
      <w:ind w:firstLine="420"/>
    </w:pPr>
  </w:style>
  <w:style w:type="table" w:styleId="778">
    <w:name w:val="网格型1"/>
    <w:basedOn w:val="779"/>
    <w:next w:val="778"/>
    <w:link w:val="662"/>
    <w:qFormat/>
    <w:pPr>
      <w:jc w:val="both"/>
      <w:widowControl w:val="off"/>
    </w:pPr>
    <w:rPr>
      <w:rFonts w:ascii="Times New Roman" w:hAnsi="Times New Roman" w:eastAsia="宋体" w:cs="Times New Roman"/>
      <w:sz w:val="20"/>
      <w:szCs w:val="20"/>
    </w:rPr>
    <w:tblPr/>
  </w:style>
  <w:style w:type="table" w:styleId="779">
    <w:name w:val="普通表格1"/>
    <w:next w:val="779"/>
    <w:link w:val="662"/>
    <w:uiPriority w:val="99"/>
    <w:unhideWhenUsed/>
    <w:qFormat/>
    <w:tblPr/>
  </w:style>
  <w:style w:type="paragraph" w:styleId="780">
    <w:name w:val="目录 11"/>
    <w:basedOn w:val="662"/>
    <w:next w:val="662"/>
    <w:link w:val="662"/>
    <w:semiHidden/>
    <w:pPr>
      <w:jc w:val="left"/>
      <w:spacing w:before="120" w:after="120" w:line="400" w:lineRule="exact"/>
      <w:tabs>
        <w:tab w:val="right" w:pos="8720" w:leader="dot"/>
      </w:tabs>
    </w:pPr>
    <w:rPr>
      <w:rFonts w:ascii="宋体" w:hAnsi="宋体"/>
      <w:caps/>
      <w:sz w:val="24"/>
      <w:szCs w:val="24"/>
    </w:rPr>
  </w:style>
  <w:style w:type="character" w:styleId="13028" w:default="1">
    <w:name w:val="Default Paragraph Font"/>
    <w:uiPriority w:val="1"/>
    <w:semiHidden/>
    <w:unhideWhenUsed/>
  </w:style>
  <w:style w:type="numbering" w:styleId="13029" w:default="1">
    <w:name w:val="No List"/>
    <w:uiPriority w:val="99"/>
    <w:semiHidden/>
    <w:unhideWhenUsed/>
  </w:style>
  <w:style w:type="table" w:styleId="13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3</cp:revision>
  <dcterms:created xsi:type="dcterms:W3CDTF">2023-03-16T02:16:00Z</dcterms:created>
  <dcterms:modified xsi:type="dcterms:W3CDTF">2024-07-08T02:07:00Z</dcterms:modified>
</cp:coreProperties>
</file>