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86A6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6919595"/>
            <wp:effectExtent l="0" t="0" r="3175" b="14605"/>
            <wp:docPr id="1" name="图片 1" descr="分项价格表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分项价格表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91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ECFE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369810"/>
            <wp:effectExtent l="0" t="0" r="4445" b="2540"/>
            <wp:docPr id="2" name="图片 2" descr="分项价格表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分项价格表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36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0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2025-12-12T03:50:27Z</dcterms:created>
  <dc:creator>Administrator</dc:creator>
  <cp:lastModifiedBy>邳州公共资源交易</cp:lastModifiedBy>
  <dcterms:modified xsi:type="dcterms:W3CDTF">2025-12-12T03:50:50Z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eyJoZGlkIjoiZTEzNThjNTBjYzExNGYxNGYzMGJlOGM2MGI5NDYxZWUiLCJ1c2VySWQiOiIxNzAxODk5OTcyIn0=</vt:lpwstr>
  </property>
  <property fmtid="{D5CDD505-2E9C-101B-9397-08002B2CF9AE}" pid="4" name="ICV">
    <vt:lpwstr>C89876B25EB24A6CA90C54ED7CC14168_12</vt:lpwstr>
  </property>
</Properties>
</file>