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太仓市政府采购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招 标 文 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ind w:firstLine="63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项目编号：</w:t>
      </w:r>
      <w:r>
        <w:rPr>
          <w:rFonts w:hint="eastAsia" w:ascii="宋体" w:hAnsi="宋体" w:eastAsia="宋体" w:cs="宋体"/>
          <w:b/>
          <w:color w:val="000000"/>
          <w:sz w:val="36"/>
          <w:lang w:eastAsia="zh-CN"/>
        </w:rPr>
        <w:t xml:space="preserve">JSZC-320585-JZCG-G2024-0119</w:t>
      </w:r>
      <w:r/>
    </w:p>
    <w:p>
      <w:pPr>
        <w:ind w:firstLine="1084"/>
        <w:jc w:val="both"/>
        <w:spacing w:after="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项目名称：</w:t>
      </w:r>
      <w:r>
        <w:rPr>
          <w:rFonts w:hint="eastAsia" w:ascii="宋体" w:hAnsi="宋体" w:eastAsia="宋体" w:cs="宋体"/>
          <w:b/>
          <w:color w:val="000000"/>
          <w:sz w:val="36"/>
          <w:lang w:eastAsia="zh-CN"/>
        </w:rPr>
        <w:t xml:space="preserve">杨林船闸“近零碳”船闸示范工程-船闸</w:t>
      </w:r>
      <w:r/>
    </w:p>
    <w:p>
      <w:pPr>
        <w:ind w:firstLine="2862"/>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智慧能源管理系统采购</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采购单位：</w:t>
      </w:r>
      <w:r>
        <w:rPr>
          <w:rFonts w:hint="eastAsia" w:ascii="宋体" w:hAnsi="宋体" w:eastAsia="宋体" w:cs="宋体"/>
          <w:b/>
          <w:color w:val="000000"/>
          <w:sz w:val="36"/>
          <w:lang w:eastAsia="zh-CN"/>
        </w:rPr>
        <w:t xml:space="preserve">太仓杨林船闸管理处</w:t>
      </w:r>
      <w:r/>
    </w:p>
    <w:p>
      <w:pPr>
        <w:ind w:firstLine="1084"/>
        <w:jc w:val="both"/>
        <w:spacing w:after="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采购项目类别：服务类</w:t>
      </w:r>
      <w:r/>
    </w:p>
    <w:p>
      <w:pPr>
        <w:ind w:firstLine="1084"/>
        <w:jc w:val="both"/>
        <w:spacing w:after="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标的所属行业：</w:t>
      </w:r>
      <w:r>
        <w:rPr>
          <w:rFonts w:hint="eastAsia" w:ascii="宋体" w:hAnsi="宋体" w:eastAsia="宋体" w:cs="宋体"/>
          <w:b/>
          <w:color w:val="000000"/>
          <w:sz w:val="36"/>
          <w:lang w:eastAsia="zh-CN"/>
        </w:rPr>
        <w:t xml:space="preserve">（十二）软件和信息技术服务业</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jc w:val="center"/>
        <w:spacing w:after="0" w:line="85" w:lineRule="atLeast"/>
        <w:rPr>
          <w:rFonts w:hint="eastAsia" w:ascii="宋体" w:hAnsi="宋体" w:eastAsia="宋体" w:cs="宋体"/>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苏州市公共资源交易中心太仓分中心</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202</w:t>
      </w:r>
      <w:r>
        <w:rPr>
          <w:rFonts w:hint="eastAsia" w:ascii="宋体" w:hAnsi="宋体" w:eastAsia="宋体" w:cs="宋体"/>
          <w:color w:val="000000"/>
          <w:sz w:val="44"/>
          <w:lang w:eastAsia="zh-CN"/>
        </w:rPr>
        <w:t xml:space="preserve">4</w:t>
      </w:r>
      <w:r>
        <w:rPr>
          <w:rFonts w:ascii="宋体" w:hAnsi="宋体" w:eastAsia="宋体" w:cs="宋体"/>
          <w:color w:val="000000"/>
          <w:sz w:val="44"/>
          <w:lang w:eastAsia="zh-CN"/>
        </w:rPr>
        <w:t xml:space="preserve">年</w:t>
      </w:r>
      <w:r>
        <w:rPr>
          <w:rFonts w:hint="eastAsia" w:ascii="宋体" w:hAnsi="宋体" w:eastAsia="宋体" w:cs="宋体"/>
          <w:color w:val="000000"/>
          <w:sz w:val="44"/>
          <w:lang w:eastAsia="zh-CN"/>
        </w:rPr>
        <w:t xml:space="preserve">11</w:t>
      </w:r>
      <w:r>
        <w:rPr>
          <w:rFonts w:ascii="宋体" w:hAnsi="宋体" w:eastAsia="宋体" w:cs="宋体"/>
          <w:color w:val="000000"/>
          <w:sz w:val="44"/>
          <w:lang w:eastAsia="zh-CN"/>
        </w:rPr>
        <w:t xml:space="preserve">月</w:t>
      </w:r>
      <w:r>
        <w:rPr>
          <w:rFonts w:ascii="宋体" w:hAnsi="宋体" w:eastAsia="宋体" w:cs="宋体"/>
          <w:color w:val="000000"/>
          <w:sz w:val="44"/>
          <w:lang w:eastAsia="zh-CN"/>
        </w:rPr>
        <w:br w:type="page" w:clear="all"/>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第一部分：招标公告</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第二部分：投标人须知</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第三部分：项目需求</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第四部分：投标文件格式</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第五部分：评标方法与评标标准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第六部分：合同主要条款</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第一部分</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招标公告</w:t>
      </w:r>
      <w:r/>
    </w:p>
    <w:tbl>
      <w:tblPr>
        <w:tblStyle w:val="666"/>
        <w:tblW w:w="868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68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8681" w:type="dxa"/>
            <w:vAlign w:val="center"/>
            <w:textDirection w:val="lrTb"/>
            <w:noWrap w:val="false"/>
          </w:tcPr>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项目概况</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杨林船闸“近零碳”船闸示范工程-船闸智慧能源管理系统采购JSZC-320585-JZCG-G2024-0119招标项目的潜在投标人应在“苏采云”系统（网址：http://jszfcg.jsczt.cn/）自行下载 获取招标文件，并于2024-12-11 09:30 （北京时间）前递交投标文件。</w:t>
            </w:r>
            <w:r/>
          </w:p>
        </w:tc>
      </w:tr>
    </w:tbl>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一、项目基本情况</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项目编号：JSZC-320585-JZCG-G2024-0119</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项目名称：杨林船闸“近零碳”船闸示范工程-船闸智慧能源管理系统采购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预算金额：53 万元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最高限价（如有）：53 万元</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采购方式：公开招标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采购需求：杨林船闸“近零碳”船闸示范工程-船闸智慧能源管理系统采购,包含“近零碳”能耗监控子系统，配电、光伏等设备监测子系统，多功能仪表回路对接及其它支撑项。</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具体内容详见见第三部分 项目需求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合同履行期限：合同签订后 120个日历天内系统建设完成并交付</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本项目（是/否）接受联合体投标：不接受联合体</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本项目拒绝进口产品投标。</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二、申请人的资格要求</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（一）满足《中华人民共和国政府采购法》第二十二条规定；</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1.具有独立承担民事责任的能力</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2.具有良好的商业信誉和健全的财务会计制度</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3.具有履行合同所必需的设备和专业技术能力</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4.有依法缴纳税收和社会保障资金的良好记录</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5.参加政府采购活动前三年内，在经营活动中没有重大违法记录</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6.法律、行政法规规定的其他条件</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（二）落实政府采购政策需满足的资格要求：</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（三）本项目的特定资格要求：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1.未被“信用中国”网站（www.creditchina.gov.cn）或中国政府采购网（https://www.ccgp.gov.cn/search/cr/）列入失信被执行人、重大税收违法案件当事人名单、政府采购严重违法失信行为记录名单。</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2.落实政府采购政策需满足的资格要求</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（四）拒绝下述供应商参加本次采购活动：</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1、供应商单位负责人为同一人或者存在直接控股、管理关系的不同供应商，不得参加同一合同项下的政府采购活动。</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2、凡为采购项目提供整体设计、规范编制或者项目管理、监理、检测等服务的供应商，不得再参加本项目的采购活动。</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3、法人的分支机构不得参加响应活动（除银行、保险、石油石化、电力、电信等行业特殊情况外）。</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三、获取招标文件</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时间：</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2024年11月15日至</w:t>
      </w:r>
      <w:bookmarkStart w:id="14" w:name="_GoBack"/>
      <w:r/>
      <w:bookmarkEnd w:id="14"/>
      <w:r>
        <w:rPr>
          <w:rFonts w:hint="eastAsia" w:ascii="仿宋" w:hAnsi="仿宋" w:eastAsia="仿宋" w:cs="仿宋"/>
          <w:sz w:val="24"/>
          <w:szCs w:val="24"/>
          <w:lang w:eastAsia="zh-CN"/>
        </w:rPr>
        <w:t xml:space="preserve">2024年11月26日，每天上午00:00-12:00，下午12:00-</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23:59（北京时间，法定节假日除外）</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地点：“苏采云”系统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方式：自行下载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售价：0.00元 </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四、提交投标文件截止时间、开标时间和地点</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2024-12-11 09:30 （北京时间）</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地点：苏采云系统 </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五、公告期限</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自本公告发布之日起5个工作日。</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六、其他补充事宜</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480" w:lineRule="atLeast"/>
        <w:rPr>
          <w:rFonts w:hint="eastAsia" w:ascii="仿宋" w:hAnsi="仿宋" w:eastAsia="仿宋" w:cs="仿宋"/>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6、有关办理CA数字申领及电子签章事项，登录苏州政府采购网，点击页面底部苏采云图标，进入苏采云政府采购一体化平台，下载“新CA办理指南”文件查阅。</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7、有关电子投标制作技术疑问，请咨询苏采云软件公司客服：18261002950、0512-69820854、0519-86722802</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8、政府采购监督电话：0512-53512539</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9、本次招标投标保证金：本项目无须缴纳投标保证金。</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10、政府采购履约资金扶持政策：中标供应商可凭政府采购合同办理融资贷款，详情请见江苏政府采购网“政采贷”专栏。</w:t>
      </w:r>
      <w:r/>
    </w:p>
    <w:p>
      <w:pPr>
        <w:spacing w:after="0" w:line="48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七、对本次招标提出询问，请按以下方式联系</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1.采购人信息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单位名称：太仓杨林船闸管理处</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地    址：</w:t>
      </w:r>
      <w:r>
        <w:rPr>
          <w:rFonts w:ascii="仿宋" w:hAnsi="仿宋" w:eastAsia="仿宋" w:cs="仿宋"/>
          <w:sz w:val="24"/>
          <w:szCs w:val="24"/>
          <w:lang w:eastAsia="zh-CN"/>
        </w:rPr>
        <w:t xml:space="preserve"> </w:t>
      </w:r>
      <w:r>
        <w:rPr>
          <w:rFonts w:hint="eastAsia" w:ascii="仿宋" w:hAnsi="仿宋" w:eastAsia="仿宋" w:cs="仿宋"/>
          <w:color w:val="333333"/>
          <w:sz w:val="24"/>
          <w:szCs w:val="24"/>
          <w:shd w:val="clear" w:color="auto" w:fill="ffffff"/>
          <w:lang w:eastAsia="zh-CN"/>
        </w:rPr>
        <w:t xml:space="preserve">太仓市浮桥镇玖龙大桥太仓杨林船闸管理处</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联系人：朱成海</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联系电话 ：18862241915</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2.采购代理机构信息（如有）</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单位名称：苏州市公共资源交易中心太仓分中心</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单位地址：太仓市县府东街99号</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联系人：周萌   </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联系电话：0512-53890581</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3.项目联系方式</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项目联系人：周萌</w:t>
      </w:r>
      <w:r/>
    </w:p>
    <w:p>
      <w:pPr>
        <w:spacing w:after="0" w:line="48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电话：0512-53890581</w:t>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 </w:t>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312" w:lineRule="atLeast"/>
        <w:rPr>
          <w:rFonts w:hint="eastAsia"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2.17进口产品：指通过中国海关报关验收进入中国境内且产自境外的产品。本项目不接受进口产品投标。</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6. 联合投标及转包、分包</w:t>
      </w:r>
      <w:r/>
    </w:p>
    <w:p>
      <w:pPr>
        <w:ind w:firstLine="36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w:t>
      </w:r>
      <w:r>
        <w:rPr>
          <w:rFonts w:hint="eastAsia" w:ascii="宋体" w:hAnsi="宋体" w:eastAsia="宋体" w:cs="宋体"/>
          <w:sz w:val="24"/>
          <w:lang w:eastAsia="zh-CN"/>
        </w:rPr>
        <w:t xml:space="preserve">本项目不接受联合体投标</w:t>
      </w:r>
      <w:r>
        <w:rPr>
          <w:rFonts w:ascii="宋体" w:hAnsi="宋体" w:eastAsia="宋体" w:cs="宋体"/>
          <w:sz w:val="24"/>
          <w:lang w:eastAsia="zh-CN"/>
        </w:rPr>
        <w:t xml:space="preserve">。</w:t>
      </w:r>
      <w:r/>
    </w:p>
    <w:p>
      <w:pPr>
        <w:ind w:firstLine="36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6.2本项目不接受转包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w:t>
      </w:r>
      <w:r>
        <w:rPr>
          <w:rFonts w:ascii="宋体" w:hAnsi="宋体" w:eastAsia="宋体" w:cs="宋体"/>
          <w:sz w:val="24"/>
          <w:lang w:eastAsia="zh-CN"/>
        </w:rPr>
        <w:t xml:space="preserve">.3</w:t>
      </w:r>
      <w:r>
        <w:rPr>
          <w:rFonts w:hint="eastAsia" w:ascii="宋体" w:hAnsi="宋体" w:eastAsia="宋体" w:cs="宋体"/>
          <w:sz w:val="24"/>
          <w:lang w:eastAsia="zh-CN"/>
        </w:rPr>
        <w:t xml:space="preserve">本项目不接受分包。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11.4.6 提出质疑的日期。</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left="568" w:hanging="88"/>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w:t>
      </w:r>
      <w:r>
        <w:rPr>
          <w:rFonts w:hint="eastAsia" w:ascii="宋体" w:hAnsi="宋体" w:eastAsia="宋体" w:cs="宋体"/>
          <w:color w:val="000000"/>
          <w:sz w:val="24"/>
          <w:lang w:eastAsia="zh-CN"/>
        </w:rPr>
        <w:t xml:space="preserve">对采购文件提出质疑的供应商提供参加本项目的《投标供应商确认函》</w:t>
      </w: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w:t>
      </w:r>
      <w:r>
        <w:rPr>
          <w:rFonts w:hint="eastAsia" w:ascii="宋体" w:hAnsi="宋体" w:eastAsia="宋体" w:cs="宋体"/>
          <w:sz w:val="24"/>
          <w:lang w:eastAsia="zh-CN"/>
        </w:rPr>
        <w:t xml:space="preserve">0</w:t>
      </w:r>
      <w:r>
        <w:rPr>
          <w:rFonts w:ascii="宋体" w:hAnsi="宋体" w:eastAsia="宋体" w:cs="宋体"/>
          <w:sz w:val="24"/>
          <w:lang w:eastAsia="zh-CN"/>
        </w:rPr>
        <w:t xml:space="preserve"> </w:t>
      </w:r>
      <w:r>
        <w:rPr>
          <w:rFonts w:hint="eastAsia" w:ascii="宋体" w:hAnsi="宋体" w:eastAsia="宋体" w:cs="宋体"/>
          <w:sz w:val="24"/>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lang w:eastAsia="zh-CN"/>
        </w:rPr>
        <w:t xml:space="preserve">（即《投标供应商确认函》）</w:t>
      </w:r>
      <w:r>
        <w:rPr>
          <w:rFonts w:hint="eastAsia" w:ascii="宋体" w:hAnsi="宋体" w:eastAsia="宋体" w:cs="宋体"/>
          <w:sz w:val="24"/>
          <w:lang w:eastAsia="zh-CN"/>
        </w:rPr>
        <w:t xml:space="preserve">与质疑函一起递交，否则不予受理。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11.11 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14.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投标文件的组成和顺序</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15.2.2.8其他投标人认为需要提供的材料；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24.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26.1.2.1查询时间：评标开始前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26.7</w:t>
      </w:r>
      <w:r>
        <w:rPr>
          <w:rFonts w:ascii="宋体" w:hAnsi="宋体" w:eastAsia="宋体" w:cs="宋体"/>
          <w:b/>
          <w:color w:val="000000"/>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26.8对不同文字文本投标文件的解释发生异议的，以中文文本为准。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26.9评标委员会对投标文件的判定，只依据投标内容本身，不依靠开标后的任何外来证明。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lang w:eastAsia="zh-CN"/>
        </w:rPr>
        <w:t xml:space="preserve">3</w:t>
      </w:r>
      <w:r>
        <w:rPr>
          <w:rFonts w:ascii="宋体" w:hAnsi="宋体" w:eastAsia="宋体" w:cs="宋体"/>
          <w:b/>
          <w:sz w:val="24"/>
          <w:lang w:eastAsia="zh-CN"/>
        </w:rPr>
        <w:t xml:space="preserve">0日内自行在苏采云系统中下载打印。</w:t>
      </w:r>
      <w:r/>
    </w:p>
    <w:p>
      <w:pPr>
        <w:ind w:firstLine="360"/>
        <w:jc w:val="both"/>
        <w:spacing w:after="0" w:line="43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32.3</w:t>
      </w:r>
      <w:r>
        <w:rPr>
          <w:rFonts w:hint="eastAsia" w:ascii="宋体" w:hAnsi="宋体" w:eastAsia="宋体" w:cs="宋体"/>
          <w:sz w:val="24"/>
          <w:lang w:eastAsia="zh-CN"/>
        </w:rPr>
        <w:t xml:space="preserve">因系统存储空间有限，自中标结果公告届满之日起30日后，“苏采云”系统不再保证提供下载中标通知书服务,因未及时下载而造成的不利后果由中标供应商自行承担。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32.4中标通知书将成为合同的组成部分。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34.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34.2中标供应商应按中标通知书中中规定，由法定代表人或授权代理人与采购人代表签订合同，否则按放弃中标权处理。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35.政府采购节能产品和环境标志产品</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35.2</w:t>
      </w:r>
      <w:r>
        <w:rPr>
          <w:rFonts w:hint="eastAsia" w:ascii="宋体" w:hAnsi="宋体" w:eastAsia="宋体" w:cs="宋体"/>
          <w:color w:val="000000"/>
          <w:sz w:val="24"/>
          <w:lang w:eastAsia="zh-CN"/>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36.中小企业相关政策：</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36.1本项目专门面向中小企业采购，执行以下相关政策：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4"/>
          <w:lang w:eastAsia="zh-CN"/>
        </w:rPr>
        <w:t xml:space="preserve">否则视为投标无效。</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36.1.1中小企业划分：</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（1）符合中小企业划分标准的个体工商户，在政府采购活动中视同中小企业。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（2）中小企业划分标准详见“工信部联企业〔2011〕300号通知”</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36.1.2残疾人福利性单位政策：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36.1.3监狱企业发展政策：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36.1.4、中标、成交供应商享受规定的中小企业扶持政策的，其声明函及相关证明材料应当随中标、成交结果同时公告，接受社会监督。</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36.1.5、</w:t>
      </w:r>
      <w:r>
        <w:rPr>
          <w:rFonts w:ascii="宋体" w:hAnsi="宋体" w:eastAsia="宋体" w:cs="宋体"/>
          <w:b/>
          <w:color w:val="000000"/>
          <w:sz w:val="24"/>
          <w:lang w:eastAsia="zh-CN"/>
        </w:rPr>
        <w:t xml:space="preserve">专门面向中小企业采购的项目，不再执行价格评审优惠的扶持政策。</w:t>
      </w:r>
      <w:r/>
    </w:p>
    <w:p>
      <w:pPr>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37.绿色数据中心政策</w:t>
      </w:r>
      <w:r/>
    </w:p>
    <w:p>
      <w:pPr>
        <w:ind w:firstLine="480"/>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Theme="minorEastAsia"/>
          <w:sz w:val="24"/>
          <w:lang w:eastAsia="zh-CN"/>
        </w:rPr>
        <w:t xml:space="preserve">37.1 </w:t>
      </w:r>
      <w:r>
        <w:rPr>
          <w:rFonts w:hint="eastAsia" w:ascii="宋体" w:hAnsi="宋体"/>
          <w:sz w:val="24"/>
          <w:lang w:eastAsia="zh-CN"/>
        </w:rPr>
        <w:t xml:space="preserve">依据《绿色数据中心政府采购需求标准（试行）》（财办库〔2023〕7 号）文件精神，采购</w:t>
      </w:r>
      <w:r>
        <w:rPr>
          <w:rFonts w:hint="eastAsia" w:ascii="宋体" w:hAnsi="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38.商品包装、快递包装政策</w:t>
      </w:r>
      <w:r/>
    </w:p>
    <w:p>
      <w:pPr>
        <w:ind w:firstLine="480"/>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Theme="minorEastAsia"/>
          <w:sz w:val="24"/>
          <w:lang w:eastAsia="zh-CN"/>
        </w:rPr>
        <w:t xml:space="preserve">38.1 </w:t>
      </w:r>
      <w:r>
        <w:rPr>
          <w:rFonts w:hint="eastAsia" w:ascii="宋体" w:hAnsi="宋体"/>
          <w:sz w:val="24"/>
          <w:lang w:eastAsia="zh-CN"/>
        </w:rPr>
        <w:t xml:space="preserve">依据</w:t>
      </w:r>
      <w:r>
        <w:rPr>
          <w:rFonts w:ascii="宋体" w:hAnsi="宋体"/>
          <w:sz w:val="24"/>
          <w:lang w:eastAsia="zh-CN"/>
        </w:rPr>
        <w:t xml:space="preserve">《关于印发〈商品包装政府采购需求标准（试行）〉、〈快递包装政府采购需求标准（试行）〉的通知》（财办库〔2020〕123号）</w:t>
      </w:r>
      <w:r>
        <w:rPr>
          <w:rFonts w:hint="eastAsia" w:ascii="宋体" w:hAnsi="宋体"/>
          <w:sz w:val="24"/>
          <w:lang w:eastAsia="zh-CN"/>
        </w:rPr>
        <w:t xml:space="preserve">文件</w:t>
      </w:r>
      <w:r>
        <w:rPr>
          <w:rFonts w:ascii="宋体" w:hAnsi="宋体"/>
          <w:sz w:val="24"/>
          <w:lang w:eastAsia="zh-CN"/>
        </w:rPr>
        <w:t xml:space="preserve">精神</w:t>
      </w:r>
      <w:r>
        <w:rPr>
          <w:rFonts w:hint="eastAsia" w:ascii="宋体" w:hAnsi="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九、其他事项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39. 监督和公证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37.1政府有关监督部门将对招投标全过程进行监督。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37.2采购代理机构的招标过程将通过公证机关进行公证。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40.未尽事宜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38.1按《中华人民共和国政府采购法》及其他有关法律法规的规定执行。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rFonts w:ascii="Times New Roman" w:hAnsi="Times New Roman" w:eastAsia="宋体" w:cs="Times New Roman"/>
          <w:b/>
          <w:bCs/>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第三部分项目需求</w:t>
      </w:r>
      <w:bookmarkStart w:id="0" w:name="_Toc281859173"/>
      <w:r/>
      <w:r/>
    </w:p>
    <w:p>
      <w:pPr>
        <w:pStyle w:val="738"/>
        <w:numPr>
          <w:ilvl w:val="0"/>
          <w:numId w:val="2"/>
        </w:numPr>
        <w:spacing w:before="156" w:after="156"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项目背景</w:t>
      </w:r>
      <w:r/>
    </w:p>
    <w:p>
      <w:pPr>
        <w:ind w:firstLine="480"/>
        <w:jc w:val="both"/>
        <w:spacing w:after="0" w:line="439" w:lineRule="atLeast"/>
        <w:rPr>
          <w:rFonts w:hint="eastAsia" w:ascii="宋体" w:hAnsi="宋体"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sz w:val="24"/>
          <w:lang w:eastAsia="zh-CN"/>
        </w:rPr>
        <w:t xml:space="preserve">2021年10月，国务院关于印发《2</w:t>
      </w:r>
      <w:r>
        <w:rPr>
          <w:rFonts w:hint="eastAsia" w:ascii="宋体" w:hAnsi="宋体" w:eastAsiaTheme="minorEastAsia"/>
          <w:sz w:val="24"/>
          <w:lang w:eastAsia="zh-CN"/>
        </w:rPr>
        <w:t xml:space="preserve">030年前碳达峰行动方案》的通知（国发〔2021〕23号）要求加快绿色交通基础设施建设。将绿色低碳理念贯穿于交通基础设施规划、建设、运营和维护全过程，降低全生命周期能耗和碳排放总量。2023年3月，省政府关于加快打造更具特色的“水运江苏”的意见（苏政发〔2023〕24号）要求加快推动水运绿色低碳转型，打造生态绿色文化航道。2024年，全省港航系统贯彻落实省委、省政府要求，积极推进《关于加快打造更具特色的“水运江苏”三年行动计划（2024—2026年）》（苏政办发〔2024〕10号）以及各设区市任务清单工作。</w:t>
      </w:r>
      <w:r/>
    </w:p>
    <w:p>
      <w:pPr>
        <w:ind w:firstLine="480"/>
        <w:jc w:val="both"/>
        <w:spacing w:after="0" w:line="439" w:lineRule="atLeast"/>
        <w:rPr>
          <w:rFonts w:hint="eastAsia" w:ascii="宋体" w:hAnsi="宋体"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sz w:val="24"/>
          <w:lang w:eastAsia="zh-CN"/>
        </w:rPr>
        <w:t xml:space="preserve">在此基础之上，杨林船闸积极响应上级文件，推进水运“双碳”战略，旨在通过实现设施“近零碳”来降低能耗和污染，促进船闸绿色低碳可持续发展，提升船闸日常安全监控及培训演练能力，加强船闸大数据业务分析能力及业务信息管理能力，实现关键信息大屏展示，助力交通行业减排。为符合政策要求和实际需求，启动了此次杨林船闸"近零碳"船闸示范工程-船闸智慧能源管理系统采购。</w:t>
      </w:r>
      <w:r/>
    </w:p>
    <w:p>
      <w:pPr>
        <w:ind w:firstLine="480"/>
        <w:jc w:val="both"/>
        <w:spacing w:after="0" w:line="439" w:lineRule="atLeast"/>
        <w:rPr>
          <w:rFonts w:hint="eastAsia" w:ascii="宋体" w:hAnsi="宋体"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sz w:val="24"/>
          <w:lang w:eastAsia="zh-CN"/>
        </w:rPr>
      </w:r>
      <w:bookmarkEnd w:id="0"/>
      <w:r/>
    </w:p>
    <w:p>
      <w:pPr>
        <w:pStyle w:val="670"/>
        <w:spacing w:line="360" w:lineRule="auto"/>
        <w:shd w:val="clear" w:color="auto" w:fill="auto"/>
        <w:rPr>
          <w:rFonts w:hint="eastAsia" w:ascii="宋体" w:hAnsi="宋体" w:eastAsia="宋体" w:cs="宋体"/>
          <w:b/>
          <w:color w:val="000000"/>
          <w:sz w:val="24"/>
          <w:szCs w:val="24"/>
          <w:lang w:eastAsia="zh-CN"/>
        </w:rPr>
        <w:outlineLvl w:val="0"/>
      </w:pPr>
      <w:r/>
      <w:bookmarkStart w:id="1" w:name="_Toc6389"/>
      <w:r/>
      <w:bookmarkStart w:id="2" w:name="_Toc139881072"/>
      <w:r/>
      <w:bookmarkStart w:id="3" w:name="_Toc138065532"/>
      <w:r/>
      <w:bookmarkStart w:id="4" w:name="_Toc10318"/>
      <w:r/>
      <w:bookmarkStart w:id="5" w:name="_Toc31862"/>
      <w:r/>
      <w:bookmarkStart w:id="6" w:name="_Toc12175"/>
      <w:r>
        <w:rPr>
          <w:rFonts w:hint="eastAsia" w:ascii="宋体" w:hAnsi="宋体" w:eastAsia="宋体" w:cs="宋体"/>
          <w:b/>
          <w:bCs/>
          <w:sz w:val="24"/>
          <w:szCs w:val="24"/>
          <w:lang w:eastAsia="zh-CN"/>
        </w:rPr>
        <w:t xml:space="preserve">二、</w:t>
      </w:r>
      <w:r>
        <w:rPr>
          <w:rFonts w:hint="eastAsia" w:ascii="宋体" w:hAnsi="宋体" w:eastAsia="宋体" w:cs="宋体"/>
          <w:b/>
          <w:color w:val="000000"/>
          <w:sz w:val="24"/>
          <w:szCs w:val="24"/>
          <w:lang w:eastAsia="zh-CN"/>
        </w:rPr>
        <w:t xml:space="preserve">采购清单</w:t>
      </w:r>
      <w:bookmarkEnd w:id="1"/>
      <w:r/>
      <w:r/>
    </w:p>
    <w:p>
      <w:pPr>
        <w:pStyle w:val="670"/>
        <w:spacing w:line="360" w:lineRule="auto"/>
        <w:shd w:val="clear" w:color="auto" w:fill="auto"/>
        <w:rPr>
          <w:rFonts w:hint="eastAsia" w:ascii="宋体" w:hAnsi="宋体" w:eastAsia="宋体" w:cs="宋体"/>
          <w:b/>
          <w:color w:val="000000"/>
          <w:sz w:val="24"/>
          <w:szCs w:val="24"/>
          <w:lang w:eastAsia="zh-CN"/>
        </w:rPr>
        <w:outlineLvl w:val="1"/>
      </w:pPr>
      <w:r/>
      <w:bookmarkStart w:id="7" w:name="_Toc26523"/>
      <w:r>
        <w:rPr>
          <w:rFonts w:hint="eastAsia" w:ascii="宋体" w:hAnsi="宋体" w:eastAsia="宋体" w:cs="宋体"/>
          <w:b/>
          <w:color w:val="000000"/>
          <w:sz w:val="24"/>
          <w:szCs w:val="24"/>
          <w:lang w:eastAsia="zh-CN"/>
        </w:rPr>
        <w:t xml:space="preserve">1.采购模块</w:t>
      </w:r>
      <w:bookmarkEnd w:id="7"/>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（1）杨林船闸智慧能源管理系统：</w:t>
      </w:r>
      <w:r/>
    </w:p>
    <w:tbl>
      <w:tblPr>
        <w:tblStyle w:val="666"/>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2028"/>
        <w:gridCol w:w="4968"/>
        <w:gridCol w:w="744"/>
        <w:gridCol w:w="804"/>
      </w:tblGrid>
      <w:tr>
        <w:trPr>
          <w:jc w:val="center"/>
        </w:trPr>
        <w:tc>
          <w:tcPr>
            <w:tcW w:w="53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w:t>
            </w:r>
            <w:r/>
          </w:p>
        </w:tc>
        <w:tc>
          <w:tcPr>
            <w:tcW w:w="2028"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系统主模块</w:t>
            </w:r>
            <w:r/>
          </w:p>
        </w:tc>
        <w:tc>
          <w:tcPr>
            <w:tcW w:w="4968"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系统子模块</w:t>
            </w:r>
            <w:r/>
          </w:p>
        </w:tc>
        <w:tc>
          <w:tcPr>
            <w:tcW w:w="74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8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jc w:val="center"/>
        </w:trPr>
        <w:tc>
          <w:tcPr>
            <w:tcW w:w="535" w:type="dxa"/>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02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“近零碳”能耗监控子系统</w:t>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实时能耗监控</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2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“碳减排”工作台</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2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系统授权</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2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角色管理</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02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配电、光伏等设备监测子系统</w:t>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船闸在线</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28" w:type="dxa"/>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船闸培训站</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28" w:type="dxa"/>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数据报表统计分析</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28" w:type="dxa"/>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68"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巡检任务闭环</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p>
        </w:tc>
        <w:tc>
          <w:tcPr>
            <w:gridSpan w:val="2"/>
            <w:tcW w:w="6996"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多功能仪表回路对接</w:t>
            </w:r>
            <w:r/>
          </w:p>
        </w:tc>
        <w:tc>
          <w:tcPr>
            <w:tcW w:w="74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w:t>
            </w:r>
            <w:r/>
          </w:p>
        </w:tc>
        <w:tc>
          <w:tcPr>
            <w:tcW w:w="804" w:type="dxa"/>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p>
        </w:tc>
      </w:tr>
    </w:tbl>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（2）其它支撑项：</w:t>
      </w:r>
      <w:r/>
    </w:p>
    <w:tbl>
      <w:tblPr>
        <w:tblStyle w:val="666"/>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2016"/>
        <w:gridCol w:w="5244"/>
        <w:gridCol w:w="756"/>
        <w:gridCol w:w="734"/>
      </w:tblGrid>
      <w:tr>
        <w:trPr>
          <w:jc w:val="center"/>
        </w:trPr>
        <w:tc>
          <w:tcPr>
            <w:tcW w:w="53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w:t>
            </w:r>
            <w:r/>
          </w:p>
        </w:tc>
        <w:tc>
          <w:tcPr>
            <w:tcW w:w="2016"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w:t>
            </w:r>
            <w:r/>
          </w:p>
        </w:tc>
        <w:tc>
          <w:tcPr>
            <w:tcW w:w="5244"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功能描述</w:t>
            </w:r>
            <w:r/>
          </w:p>
        </w:tc>
        <w:tc>
          <w:tcPr>
            <w:tcW w:w="75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73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jc w:val="center"/>
          <w:trHeight w:val="90"/>
        </w:trPr>
        <w:tc>
          <w:tcPr>
            <w:tcW w:w="535"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tcW w:w="2016"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工业交换机</w:t>
            </w:r>
            <w:r/>
          </w:p>
        </w:tc>
        <w:tc>
          <w:tcPr>
            <w:tcW w:w="5244" w:type="dxa"/>
            <w:textDirection w:val="lrTb"/>
            <w:noWrap w:val="false"/>
          </w:tcPr>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性能参数：</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端口类型：支持千兆以太网端口（10/100/1000Base-T）。</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端口数量：8至24个端口，具体取决于网络规模需求。</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管理功能：支持SNMP、Web、CLI等多种管理方式，便于配置和监控。</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协议支持：支持VLAN、QoS、IGMP Snooping等高级网络协议，以优化网络流量管理。</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冗余电源：提供双电源输入选项，增加系统的可靠性和可用性。</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工业特性：</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工作温度：宽温设计，能够在极端温度条件下正常工作（如-20°C 至 55°C）。</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防护等级：满足IP30要求，具备防尘防水功能。</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抗振动/冲击：能够承受工业环境中的振动和冲击。</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安装方式：支持DIN导轨或壁挂安装，适应不同的工业现场需求。</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其他特性：</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环网协议：支持RSTP/RP等快速生成树协议或其他专有的环网冗余技术，提高网络的健壮性和容错能力。</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认证标准：符合CE、FCC、RoHS等行业标准认证。</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基础服务：</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1.供电电源‌：兼容220VAC和220VDC。</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2.数据接口‌：开放，满足子站接入设备的数据接入要求。</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3.辅料配线‌：包含设备安装所需的辅料配线。</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4.安装与调试‌：供货方负责设备的安装与调试，接口扩展与数据点表转发。</w:t>
            </w:r>
            <w:r/>
          </w:p>
        </w:tc>
        <w:tc>
          <w:tcPr>
            <w:tcW w:w="756"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台</w:t>
            </w:r>
            <w:r/>
          </w:p>
        </w:tc>
        <w:tc>
          <w:tcPr>
            <w:tcW w:w="73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r>
        <w:trPr>
          <w:jc w:val="center"/>
          <w:trHeight w:val="90"/>
        </w:trPr>
        <w:tc>
          <w:tcPr>
            <w:tcW w:w="535"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tcW w:w="2016"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通讯管理机及数据采集器</w:t>
            </w:r>
            <w:r/>
          </w:p>
        </w:tc>
        <w:tc>
          <w:tcPr>
            <w:tcW w:w="5244" w:type="dxa"/>
            <w:textDirection w:val="lrTb"/>
            <w:noWrap w:val="false"/>
          </w:tcPr>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配置要求：在-10℃~50℃、数据资源占用极大等高负载恶劣场景下系统稳定、性能优秀，可流畅稳定完成通讯管理及数据采集功能。</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基础服务：</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1.供电电源‌：兼容220VAC和220VDC。</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2.数据接口‌：开放，满足子站接入设备的数据接入要求。</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3.程序：包含系统正常运行的基础应用程序。</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4.辅料配线‌：包含设备安装所需的辅料配线。</w:t>
            </w:r>
            <w:r/>
          </w:p>
          <w:p>
            <w:p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5.安装与调试‌：供货方负责设备的安装与调试，接口扩展与数据点表转发。</w:t>
            </w:r>
            <w:r/>
          </w:p>
        </w:tc>
        <w:tc>
          <w:tcPr>
            <w:tcW w:w="756"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台</w:t>
            </w:r>
            <w:r/>
          </w:p>
        </w:tc>
        <w:tc>
          <w:tcPr>
            <w:tcW w:w="73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r>
    </w:tbl>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670"/>
        <w:spacing w:line="360" w:lineRule="auto"/>
        <w:shd w:val="clear" w:color="auto" w:fill="auto"/>
        <w:rPr>
          <w:rFonts w:hint="eastAsia" w:ascii="宋体" w:hAnsi="宋体" w:eastAsia="宋体" w:cs="宋体"/>
          <w:b/>
          <w:color w:val="000000"/>
          <w:sz w:val="24"/>
          <w:szCs w:val="24"/>
          <w:lang w:eastAsia="zh-CN"/>
        </w:rPr>
        <w:outlineLvl w:val="1"/>
      </w:pPr>
      <w:r/>
      <w:bookmarkStart w:id="8" w:name="_Toc20470"/>
      <w:r>
        <w:rPr>
          <w:rFonts w:hint="eastAsia" w:ascii="宋体" w:hAnsi="宋体" w:eastAsia="宋体" w:cs="宋体"/>
          <w:b/>
          <w:color w:val="000000"/>
          <w:sz w:val="24"/>
          <w:szCs w:val="24"/>
          <w:lang w:eastAsia="zh-CN"/>
        </w:rPr>
        <w:t xml:space="preserve">2.系统功能</w:t>
      </w:r>
      <w:bookmarkEnd w:id="8"/>
      <w:r/>
      <w:r/>
    </w:p>
    <w:tbl>
      <w:tblPr>
        <w:tblStyle w:val="666"/>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1488"/>
        <w:gridCol w:w="1572"/>
        <w:gridCol w:w="5690"/>
      </w:tblGrid>
      <w:tr>
        <w:trPr>
          <w:jc w:val="center"/>
        </w:trPr>
        <w:tc>
          <w:tcPr>
            <w:tcW w:w="53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w:t>
            </w:r>
            <w:r/>
          </w:p>
        </w:tc>
        <w:tc>
          <w:tcPr>
            <w:tcW w:w="1488"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系统主模块</w:t>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系统子模块</w:t>
            </w:r>
            <w:r/>
          </w:p>
        </w:tc>
        <w:tc>
          <w:tcPr>
            <w:tcW w:w="5690"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功能需求简述</w:t>
            </w:r>
            <w:r/>
          </w:p>
        </w:tc>
      </w:tr>
      <w:tr>
        <w:trPr>
          <w:jc w:val="center"/>
        </w:trPr>
        <w:tc>
          <w:tcPr>
            <w:tcW w:w="535" w:type="dxa"/>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48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“近零碳”能耗监控子系统</w:t>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实时能耗监控</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与船闸能耗监测相关硬件对接，将能耗数据归入船闸智慧能源管控系统平台，可根据船闸运转期间用电能耗的实时统计分析，对船闸作业方式进行动态改善。</w:t>
            </w:r>
            <w:r/>
          </w:p>
        </w:tc>
      </w:tr>
      <w:tr>
        <w:trPr>
          <w:jc w:val="center"/>
          <w:trHeight w:val="90"/>
        </w:trPr>
        <w:tc>
          <w:tcPr>
            <w:tcW w:w="535" w:type="dxa"/>
            <w:vAlign w:val="center"/>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488" w:type="dxa"/>
            <w:vAlign w:val="center"/>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“碳减排”工作台</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设置专项“碳减排”工作台，支持线上编制安排碳减排专项人员、资金、投入预算、碳减排年度工作计划等信息，生成“碳减排”成果台账，明确减排路径与减排职责。设置宣传专栏，支持船闸“近零碳”阵地宣发、编制工作总结报告，自动录入碳减排实践经验。</w:t>
            </w:r>
            <w:r/>
          </w:p>
        </w:tc>
      </w:tr>
      <w:tr>
        <w:trPr>
          <w:jc w:val="center"/>
          <w:trHeight w:val="90"/>
        </w:trPr>
        <w:tc>
          <w:tcPr>
            <w:tcW w:w="535" w:type="dxa"/>
            <w:vAlign w:val="center"/>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488" w:type="dxa"/>
            <w:vAlign w:val="center"/>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系统授权</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为系统访问做出权限控制，只有输入合法用户信息才能访问系统。存在输入错误次数超过限制则锁定用户。用户密码需定期修改，如到期未修改则要求登录成功后修改密码。</w:t>
            </w:r>
            <w:r/>
          </w:p>
        </w:tc>
      </w:tr>
      <w:tr>
        <w:trPr>
          <w:jc w:val="center"/>
          <w:trHeight w:val="90"/>
        </w:trPr>
        <w:tc>
          <w:tcPr>
            <w:tcW w:w="535" w:type="dxa"/>
            <w:vAlign w:val="center"/>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488" w:type="dxa"/>
            <w:vAlign w:val="center"/>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角色管理</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用于控制用户角色管理工作权限。需支持配置超级管理员、船闸业务员等角色，并可根据需求新增、修改和删除其它角色。系统需采用基于角色的授权方式，把用户添加到指定的角色中去。并对角色的维护提供查询、修改操作。除超级管理员之外其他用户角色均对应到各自部门的权限。</w:t>
            </w:r>
            <w:r/>
          </w:p>
        </w:tc>
      </w:tr>
      <w:tr>
        <w:trPr>
          <w:jc w:val="center"/>
          <w:trHeight w:val="90"/>
        </w:trPr>
        <w:tc>
          <w:tcPr>
            <w:tcW w:w="535" w:type="dxa"/>
            <w:vAlign w:val="center"/>
            <w:vMerge w:val="restart"/>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48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配电、光伏等设备监测子系统</w:t>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船闸在线</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提供船闸基本介绍展示，内置相关图文及视频流数据，包含发展背景介绍、获评荣誉、业务宣传视频、发展规划等宣传内容。对整体建设及后期规划做直观展示与宣传。</w:t>
            </w:r>
            <w:r/>
          </w:p>
        </w:tc>
      </w:tr>
      <w:tr>
        <w:trPr>
          <w:jc w:val="center"/>
          <w:trHeight w:val="90"/>
        </w:trPr>
        <w:tc>
          <w:tcPr>
            <w:tcW w:w="535" w:type="dxa"/>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488" w:type="dxa"/>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船闸培训站</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支持通过制定培训计划，为船闸工作人员提供科学规范有效的线上培训服务，包括但不限于历史情况及基础知识库、安全操作规程知识库、船闸环境保护知识库、近零碳制度知识库等。</w:t>
            </w:r>
            <w:r/>
          </w:p>
        </w:tc>
      </w:tr>
      <w:tr>
        <w:trPr>
          <w:jc w:val="center"/>
          <w:trHeight w:val="90"/>
        </w:trPr>
        <w:tc>
          <w:tcPr>
            <w:tcW w:w="535" w:type="dxa"/>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488" w:type="dxa"/>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数据报表统计分析</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统计船闸管理处光伏能源接入系统的传感设备，包含视频监控的接入数量，在线离线数量、处理情况，一段时间内物联网设备视频探头、温湿传感器、功率监测计等增量情况，并提供导出功能。</w:t>
            </w:r>
            <w:r/>
          </w:p>
        </w:tc>
      </w:tr>
      <w:tr>
        <w:trPr>
          <w:jc w:val="center"/>
          <w:trHeight w:val="90"/>
        </w:trPr>
        <w:tc>
          <w:tcPr>
            <w:tcW w:w="535" w:type="dxa"/>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488" w:type="dxa"/>
            <w:vMerge w:val="continue"/>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572"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巡检任务闭环</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需支持维保人员基本信息交互：包括设备维保人员姓名、资质、联系方式等信息。</w:t>
            </w:r>
            <w:r/>
          </w:p>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同步对人员、设备进行精准定位，设备发生故障后，运维人员通过管理平台指定的缺陷位置，执行消缺任务，消缺完成，提交处理过程、处理结果并手动反馈至平台，实现全流程数字化管理。</w:t>
            </w:r>
            <w:r/>
          </w:p>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需支持制定定期巡检任务，运维人员进行巡检，巡检的轨迹、巡检的结果在平台进行可视化呈现，保障运维人员的人身安全、保障巡检的规范性和完整性。</w:t>
            </w:r>
            <w:r/>
          </w:p>
        </w:tc>
      </w:tr>
      <w:tr>
        <w:trPr>
          <w:jc w:val="center"/>
          <w:trHeight w:val="90"/>
        </w:trPr>
        <w:tc>
          <w:tcPr>
            <w:tcW w:w="535"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p>
        </w:tc>
        <w:tc>
          <w:tcPr>
            <w:gridSpan w:val="2"/>
            <w:tcW w:w="30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多功能仪表回路对接</w:t>
            </w:r>
            <w:r/>
          </w:p>
        </w:tc>
        <w:tc>
          <w:tcPr>
            <w:tcW w:w="5690" w:type="dxa"/>
            <w:textDirection w:val="lrTb"/>
            <w:noWrap w:val="false"/>
          </w:tcPr>
          <w:p>
            <w:pPr>
              <w:ind w:firstLine="48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与硬件厂商对接，实时获取相应电力参数数据，与软件平台打通。实现实时获取电力参数数据；保障数据传输的安全性和可靠性；与杨林船闸内网集成，确保数据的一致性和完整性。</w:t>
            </w:r>
            <w:r/>
          </w:p>
        </w:tc>
      </w:tr>
    </w:tbl>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670"/>
        <w:spacing w:line="360" w:lineRule="auto"/>
        <w:shd w:val="clear" w:color="auto" w:fill="auto"/>
        <w:rPr>
          <w:rFonts w:hint="eastAsia" w:ascii="宋体" w:hAnsi="宋体" w:eastAsia="宋体" w:cs="宋体"/>
          <w:b/>
          <w:color w:val="000000"/>
          <w:sz w:val="24"/>
          <w:szCs w:val="24"/>
          <w:lang w:eastAsia="zh-CN"/>
        </w:rPr>
        <w:outlineLvl w:val="0"/>
      </w:pPr>
      <w:r/>
      <w:bookmarkStart w:id="9" w:name="_Toc18289"/>
      <w:r>
        <w:rPr>
          <w:rFonts w:hint="eastAsia" w:ascii="宋体" w:hAnsi="宋体" w:eastAsia="宋体" w:cs="宋体"/>
          <w:b/>
          <w:color w:val="000000"/>
          <w:sz w:val="24"/>
          <w:szCs w:val="24"/>
          <w:lang w:eastAsia="zh-CN"/>
        </w:rPr>
        <w:t xml:space="preserve">3.相关要求</w:t>
      </w:r>
      <w:bookmarkEnd w:id="9"/>
      <w:r/>
      <w:bookmarkStart w:id="10" w:name="_Toc1809"/>
      <w:r/>
      <w:r/>
    </w:p>
    <w:p>
      <w:pPr>
        <w:pStyle w:val="670"/>
        <w:spacing w:line="360" w:lineRule="auto"/>
        <w:shd w:val="clear" w:color="auto" w:fill="auto"/>
        <w:rPr>
          <w:rFonts w:hint="eastAsia" w:ascii="宋体" w:hAnsi="宋体" w:eastAsia="宋体" w:cs="宋体"/>
          <w:b/>
          <w:color w:val="000000"/>
          <w:sz w:val="24"/>
          <w:szCs w:val="24"/>
          <w:lang w:eastAsia="zh-CN"/>
        </w:rPr>
        <w:outlineLvl w:val="0"/>
      </w:pPr>
      <w:r>
        <w:rPr>
          <w:rFonts w:hint="eastAsia" w:ascii="宋体" w:hAnsi="宋体" w:eastAsia="宋体" w:cs="宋体"/>
          <w:b/>
          <w:color w:val="000000"/>
          <w:sz w:val="24"/>
          <w:szCs w:val="24"/>
          <w:lang w:eastAsia="zh-CN"/>
        </w:rPr>
        <w:t xml:space="preserve">3.1实施保障：</w:t>
      </w:r>
      <w:bookmarkEnd w:id="10"/>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（1）项目进度要求：本项目需要签订项目合同后120天内完成系统调研、安装、调试和系统上线工作。</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（2）项目组织及人员：投标单位应根据本项</w:t>
      </w:r>
      <w:r>
        <w:rPr>
          <w:rFonts w:hint="eastAsia" w:ascii="宋体" w:hAnsi="宋体" w:eastAsia="宋体" w:cs="宋体"/>
          <w:color w:val="000000"/>
          <w:sz w:val="24"/>
          <w:szCs w:val="24"/>
          <w:highlight w:val="none"/>
          <w:lang w:eastAsia="zh-CN"/>
        </w:rPr>
        <w:t xml:space="preserve">目要求组织一支由资深项目经理带领的经验丰富、数据加工、平台开发和运维能力强的项目团队，包含一名技术负责人及若干专业技术人员，确保在系统调研、分析设计、开发测试和培训实施等各个阶段项目团队的稳定性，项目团队成员变更时，须事先征得项目采购单位的同意后，方可进行变更。</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 xml:space="preserve">（3）投标单位严格按照用户需求进行软件的开发，采购单位有关技术人员、最终用户全程参与整个项目的实施过程，开发过程中将定期举行</w:t>
      </w:r>
      <w:r>
        <w:rPr>
          <w:rFonts w:hint="eastAsia" w:ascii="宋体" w:hAnsi="宋体" w:eastAsia="宋体" w:cs="宋体"/>
          <w:color w:val="000000"/>
          <w:sz w:val="24"/>
          <w:szCs w:val="24"/>
          <w:lang w:eastAsia="zh-CN"/>
        </w:rPr>
        <w:t xml:space="preserve">项目开发会议，分析控制项目进度完成情况、遇到的问题以及解决措施。 </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（4）本项目与外部系统对接时，投标单位负责各外部系统数据的接入整合，并提供本项目实施所需的资源、服务支持，以实现用户对平台整体所需的智能巡检、运营可视化、数字化管理等能力。</w:t>
      </w:r>
      <w:r/>
    </w:p>
    <w:p>
      <w:pPr>
        <w:pStyle w:val="670"/>
        <w:spacing w:line="360" w:lineRule="auto"/>
        <w:shd w:val="clear" w:color="auto" w:fill="auto"/>
        <w:rPr>
          <w:rFonts w:hint="eastAsia" w:ascii="宋体" w:hAnsi="宋体" w:eastAsia="宋体" w:cs="宋体"/>
          <w:b/>
          <w:color w:val="000000"/>
          <w:sz w:val="24"/>
          <w:szCs w:val="24"/>
          <w:lang w:eastAsia="zh-CN"/>
        </w:rPr>
        <w:outlineLvl w:val="1"/>
      </w:pPr>
      <w:r/>
      <w:bookmarkStart w:id="11" w:name="_Toc28395"/>
      <w:r>
        <w:rPr>
          <w:rFonts w:hint="eastAsia" w:ascii="宋体" w:hAnsi="宋体" w:eastAsia="宋体" w:cs="宋体"/>
          <w:b/>
          <w:color w:val="000000"/>
          <w:sz w:val="24"/>
          <w:szCs w:val="24"/>
          <w:lang w:eastAsia="zh-CN"/>
        </w:rPr>
        <w:t xml:space="preserve">3.2质量保证</w:t>
      </w:r>
      <w:bookmarkEnd w:id="11"/>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（1）投标单位须保证所提供产品符合国家有关规定。投标单位须保证所提供产品具有合法的版权或使用权，本项目采购的产品，如在本项目范围内使用过程中出现版权或使用权纠纷，应由投标单位负责。 </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（2）投标单位必须保证解决项目所涉及的技术问题，如因技术原因无法满足采购人需求，由此产生的风险由投标单位承担。 </w:t>
      </w:r>
      <w:r/>
    </w:p>
    <w:p>
      <w:pPr>
        <w:spacing w:line="440" w:lineRule="exact"/>
        <w:tabs>
          <w:tab w:val="left" w:pos="420"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3.3.培训要求</w:t>
      </w:r>
      <w:r/>
    </w:p>
    <w:p>
      <w:pPr>
        <w:ind w:firstLine="480"/>
        <w:spacing w:line="440" w:lineRule="exact"/>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项目验收交付后，安排培训对象集中进行强化培训，需按照培训人数、场地及时间等，提供有针对性的培训方案，以保证培训对象掌握系统操作等。针对用户指定的人员和内容安排针对性培训。 </w:t>
      </w:r>
      <w:r/>
    </w:p>
    <w:p>
      <w:pPr>
        <w:spacing w:line="440" w:lineRule="exact"/>
        <w:tabs>
          <w:tab w:val="left" w:pos="420"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3.4.售后服务要求</w:t>
      </w:r>
      <w:r/>
    </w:p>
    <w:p>
      <w:pPr>
        <w:ind w:firstLine="480"/>
        <w:spacing w:line="440" w:lineRule="exact"/>
        <w:tabs>
          <w:tab w:val="left" w:pos="4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承建单位必须提供至少为期一年的质量保证服务。时间</w:t>
      </w:r>
      <w:r>
        <w:rPr>
          <w:rFonts w:hint="eastAsia" w:ascii="宋体" w:hAnsi="宋体" w:eastAsia="宋体" w:cs="宋体"/>
          <w:sz w:val="24"/>
          <w:szCs w:val="24"/>
          <w:lang w:eastAsia="zh-CN"/>
        </w:rPr>
        <w:t xml:space="preserve">从软件通过验收起算，以保证所提供的系统能够按照合同要求，规范稳定运行，并解答系统在运行过程中可能出现的问题。维保期内，承建单位可通过赶赴现场、电话答疑、或邮寄光盘的方式负责对其提供的系统进行维修维护、软件升级，提供7×24小时电话技术支持，技术支持联系方式变更时必须及时通知用户。对一般性故障须在24小时内答复处理意见，并在72小时完成处理，发生严重影响工作或造成泄密风险的紧急故障必须在8小时内排除。期间如遇软件产品升级、改版，应免费提供更新、升级服务，并安排技术人员持续跟踪平台使用情况，主要技术人员不变更。</w:t>
      </w:r>
      <w:r/>
    </w:p>
    <w:p>
      <w:pPr>
        <w:pStyle w:val="679"/>
        <w:rPr>
          <w:lang w:eastAsia="zh-CN"/>
        </w:rPr>
      </w:pPr>
      <w:r>
        <w:rPr>
          <w:lang w:eastAsia="zh-CN"/>
        </w:rPr>
      </w:r>
      <w:r/>
    </w:p>
    <w:p>
      <w:pPr>
        <w:pStyle w:val="879"/>
        <w:spacing w:line="440" w:lineRule="exact"/>
        <w:rPr>
          <w:rFonts w:hint="eastAsia" w:hAnsi="宋体" w:eastAsia="宋体" w:cs="宋体"/>
          <w:b/>
          <w:bCs/>
          <w:sz w:val="24"/>
          <w:szCs w:val="24"/>
          <w:lang w:eastAsia="zh-CN"/>
        </w:rPr>
        <w:outlineLvl w:val="1"/>
      </w:pPr>
      <w:r>
        <w:rPr>
          <w:rFonts w:hint="eastAsia" w:hAnsi="宋体" w:eastAsia="宋体" w:cs="宋体"/>
          <w:b/>
          <w:sz w:val="24"/>
          <w:szCs w:val="24"/>
          <w:lang w:eastAsia="zh-CN"/>
        </w:rPr>
        <w:t xml:space="preserve">三、</w:t>
      </w:r>
      <w:r>
        <w:rPr>
          <w:rFonts w:hint="eastAsia" w:hAnsi="宋体" w:eastAsia="宋体" w:cs="宋体"/>
          <w:b/>
          <w:bCs/>
          <w:sz w:val="24"/>
          <w:szCs w:val="24"/>
          <w:lang w:eastAsia="zh-CN"/>
        </w:rPr>
        <w:t xml:space="preserve">投标报价要求</w:t>
      </w:r>
      <w:r/>
    </w:p>
    <w:p>
      <w:pPr>
        <w:pStyle w:val="889"/>
        <w:ind w:firstLine="480"/>
        <w:spacing w:line="440" w:lineRule="exact"/>
        <w:rPr>
          <w:rFonts w:hint="eastAsia" w:ascii="宋体" w:hAnsi="宋体" w:eastAsia="宋体" w:cs="宋体"/>
          <w:szCs w:val="24"/>
          <w:lang w:eastAsia="zh-CN"/>
        </w:rPr>
      </w:pPr>
      <w:r>
        <w:rPr>
          <w:rFonts w:hint="eastAsia" w:ascii="宋体" w:hAnsi="宋体" w:eastAsia="宋体" w:cs="宋体"/>
          <w:szCs w:val="24"/>
          <w:lang w:eastAsia="zh-CN"/>
        </w:rPr>
        <w:t xml:space="preserve">1、投标人须对本项目中的所有内容进行投报，否则作无效投标处理。</w:t>
      </w:r>
      <w:r/>
    </w:p>
    <w:p>
      <w:pPr>
        <w:ind w:firstLine="480"/>
        <w:spacing w:line="440" w:lineRule="exact"/>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2、投标应以人民币报价，投标总价一次报定，报价均已包括本项目的所有费用，包括但不限于</w:t>
      </w:r>
      <w:r>
        <w:rPr>
          <w:rFonts w:hint="eastAsia" w:ascii="宋体" w:hAnsi="宋体" w:eastAsia="宋体" w:cs="宋体"/>
          <w:bCs/>
          <w:sz w:val="24"/>
          <w:szCs w:val="24"/>
          <w:lang w:eastAsia="zh-CN"/>
        </w:rPr>
        <w:t xml:space="preserve">本项目所有承包期内需要的人工费（包括人员工资、社保、意外保险费），通讯工具、服装、安全生产费用、管理费、利润、税金以及在服务中发生的一切费用。还包括耗材、各种税费及政策性文件规定及合同包含的所有风险、责任等各项应有费用。如有漏项，视同已包含在其它项目中，合同总价不做调整。</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bookmarkEnd w:id="2"/>
      <w:r/>
    </w:p>
    <w:p>
      <w:pPr>
        <w:ind w:left="482" w:hanging="482"/>
        <w:spacing w:line="440" w:lineRule="exact"/>
        <w:rPr>
          <w:rFonts w:hint="eastAsia" w:ascii="宋体" w:hAnsi="宋体" w:eastAsia="宋体" w:cs="宋体"/>
          <w:b/>
          <w:bCs/>
          <w:sz w:val="24"/>
          <w:szCs w:val="24"/>
          <w:lang w:eastAsia="zh-CN"/>
        </w:rPr>
      </w:pPr>
      <w:r/>
      <w:bookmarkStart w:id="12" w:name="_Toc139881073"/>
      <w:r>
        <w:rPr>
          <w:rFonts w:hint="eastAsia" w:ascii="宋体" w:hAnsi="宋体" w:eastAsia="宋体" w:cs="宋体"/>
          <w:b/>
          <w:bCs/>
          <w:sz w:val="24"/>
          <w:szCs w:val="24"/>
          <w:lang w:eastAsia="zh-CN"/>
        </w:rPr>
        <w:t xml:space="preserve">四、综合说明</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采购单位有保留最终产品测试的权利。若发现有虚假应标，上报财政进行处理。</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2、本次采购不分标段，总报价包括货物、辅材、配件、运输、管理、维护、保险、利润、税金、保险、现场安装调试达到正常可使用状态、政策性文件规定及合同包含的所有风险、责任等各项应有费用（本项目签收验收报告前的约定检测费用，包括货品质量检测及空气检测，均由供应商支付）。本项目为交钥匙项目，中标人的投标报价包含了采购人现有场地条件下，进行中标设备的安装调试达到可使用状态，并验收合格前的所有费用。</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3、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4、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38"/>
        <w:spacing w:before="120" w:after="120" w:line="440" w:lineRule="exact"/>
        <w:tabs>
          <w:tab w:val="left" w:pos="425" w:leader="none"/>
        </w:tabs>
        <w:rPr>
          <w:rFonts w:hint="eastAsia" w:ascii="宋体" w:hAnsi="宋体" w:eastAsia="宋体" w:cs="宋体"/>
          <w:b/>
          <w:sz w:val="24"/>
          <w:szCs w:val="24"/>
          <w:lang w:eastAsia="zh-CN"/>
        </w:rPr>
      </w:pPr>
      <w:r>
        <w:rPr>
          <w:rFonts w:hint="eastAsia" w:hAnsi="宋体" w:eastAsia="宋体" w:cs="宋体"/>
          <w:b/>
          <w:sz w:val="24"/>
          <w:szCs w:val="24"/>
          <w:lang w:eastAsia="zh-CN"/>
        </w:rPr>
        <w:t xml:space="preserve">五、</w:t>
      </w:r>
      <w:r>
        <w:rPr>
          <w:rFonts w:hint="eastAsia" w:ascii="宋体" w:hAnsi="宋体" w:eastAsia="宋体" w:cs="宋体"/>
          <w:b/>
          <w:sz w:val="24"/>
          <w:szCs w:val="24"/>
          <w:lang w:eastAsia="zh-CN"/>
        </w:rPr>
        <w:t xml:space="preserve">付款方式及要求</w:t>
      </w:r>
      <w:bookmarkEnd w:id="12"/>
      <w:r/>
      <w:r/>
    </w:p>
    <w:p>
      <w:pPr>
        <w:ind w:left="20" w:firstLine="480"/>
        <w:spacing w:line="440" w:lineRule="exact"/>
        <w:rPr>
          <w:rFonts w:hint="eastAsia" w:ascii="宋体" w:hAnsi="宋体" w:eastAsia="宋体" w:cs="宋体"/>
          <w:sz w:val="24"/>
          <w:szCs w:val="24"/>
          <w:lang w:eastAsia="zh-CN"/>
        </w:rPr>
      </w:pPr>
      <w:r/>
      <w:bookmarkStart w:id="13" w:name="_Toc139881074"/>
      <w:r>
        <w:rPr>
          <w:rFonts w:hint="eastAsia" w:ascii="宋体" w:hAnsi="宋体" w:eastAsia="宋体" w:cs="宋体"/>
          <w:sz w:val="24"/>
          <w:szCs w:val="24"/>
          <w:lang w:eastAsia="zh-CN"/>
        </w:rPr>
        <w:t xml:space="preserve">（1）合同签订生效后十个工作日内采购方支付合同金额的10%预付款。</w:t>
      </w:r>
      <w:r/>
    </w:p>
    <w:p>
      <w:pPr>
        <w:ind w:left="20"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（2）系统安装部署完成、调试到位、上线试运行半个月后，采购单位组织专家进行验收，验收合格后，采购方在十个工作日内支付合同总额的85%。</w:t>
      </w:r>
      <w:r/>
    </w:p>
    <w:p>
      <w:pPr>
        <w:ind w:left="20" w:firstLine="480"/>
        <w:spacing w:line="440" w:lineRule="exact"/>
        <w:rPr>
          <w:rFonts w:ascii="Times New Roman" w:hAnsi="Times New Roman" w:eastAsia="宋体" w:cs="Times New Roman"/>
          <w:bCs/>
          <w:sz w:val="24"/>
          <w:szCs w:val="24"/>
          <w:lang w:eastAsia="zh-CN"/>
        </w:rPr>
      </w:pPr>
      <w:r>
        <w:rPr>
          <w:rFonts w:hint="eastAsia" w:ascii="宋体" w:hAnsi="宋体" w:eastAsia="宋体" w:cs="宋体"/>
          <w:sz w:val="24"/>
          <w:szCs w:val="24"/>
          <w:lang w:eastAsia="zh-CN"/>
        </w:rPr>
        <w:t xml:space="preserve">（3）余款5%待一年免费质保期后一次性付清。</w:t>
      </w:r>
      <w:bookmarkEnd w:id="3"/>
      <w:bookmarkEnd w:id="4"/>
      <w:bookmarkEnd w:id="5"/>
      <w:bookmarkEnd w:id="6"/>
      <w:bookmarkEnd w:id="13"/>
      <w:r/>
    </w:p>
    <w:p>
      <w:pPr>
        <w:spacing w:after="0"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 xml:space="preserve">六、</w:t>
      </w:r>
      <w:r>
        <w:rPr>
          <w:rFonts w:hint="eastAsia" w:asciiTheme="minorEastAsia" w:hAnsiTheme="minorEastAsia" w:eastAsiaTheme="minorEastAsia" w:cstheme="minorEastAsia"/>
          <w:sz w:val="24"/>
          <w:szCs w:val="24"/>
          <w:lang w:eastAsia="zh-CN"/>
        </w:rPr>
        <w:t xml:space="preserve">凡涉及招标文件的补充说明和修改，均以苏州政府采购网、江苏省政府采购网发布的内容为准。</w:t>
      </w:r>
      <w:r/>
    </w:p>
    <w:p>
      <w:pPr>
        <w:pStyle w:val="879"/>
        <w:spacing w:line="440" w:lineRule="exact"/>
        <w:rPr>
          <w:rFonts w:hint="eastAsia" w:hAnsi="宋体" w:eastAsia="宋体" w:cs="宋体"/>
          <w:sz w:val="24"/>
          <w:szCs w:val="24"/>
          <w:lang w:eastAsia="zh-CN"/>
        </w:rPr>
        <w:outlineLvl w:val="1"/>
      </w:pPr>
      <w:r>
        <w:rPr>
          <w:rFonts w:hint="eastAsia" w:hAnsi="宋体" w:eastAsia="宋体" w:cs="宋体"/>
          <w:sz w:val="24"/>
          <w:szCs w:val="24"/>
          <w:lang w:eastAsia="zh-CN"/>
        </w:rPr>
      </w:r>
      <w:r/>
    </w:p>
    <w:p>
      <w:pPr>
        <w:jc w:val="center"/>
        <w:spacing w:before="240" w:after="240" w:line="440" w:lineRule="exact"/>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color w:val="000000"/>
          <w:sz w:val="24"/>
          <w:u w:val="single"/>
          <w:lang w:eastAsia="zh-CN"/>
        </w:rPr>
        <w:t xml:space="preserve">JSZC-320585-JZCG-G2024-0119</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hint="eastAsia" w:ascii="宋体" w:hAnsi="宋体" w:eastAsia="宋体" w:cs="宋体"/>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投标承诺函</w:t>
      </w:r>
      <w:r/>
    </w:p>
    <w:p>
      <w:pPr>
        <w:ind w:firstLine="240"/>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color w:val="000000"/>
          <w:sz w:val="24"/>
          <w:u w:val="single"/>
          <w:lang w:eastAsia="zh-CN"/>
        </w:rPr>
        <w:t xml:space="preserve">杨林船闸“近零碳”船闸示范工程-船闸智慧能源管理系统采购</w:t>
      </w:r>
      <w:r>
        <w:rPr>
          <w:rFonts w:ascii="宋体" w:hAnsi="宋体" w:eastAsia="宋体" w:cs="宋体"/>
          <w:color w:val="000000"/>
          <w:sz w:val="24"/>
          <w:lang w:eastAsia="zh-CN"/>
        </w:rPr>
        <w:t xml:space="preserve">招标文件（项目编号：</w:t>
      </w:r>
      <w:r>
        <w:rPr>
          <w:rFonts w:hint="eastAsia" w:ascii="宋体" w:hAnsi="宋体" w:eastAsia="宋体" w:cs="宋体"/>
          <w:b/>
          <w:color w:val="000000"/>
          <w:sz w:val="24"/>
          <w:u w:val="single"/>
          <w:lang w:eastAsia="zh-CN"/>
        </w:rPr>
        <w:t xml:space="preserve">JSZC-320585-JZCG-G2024-0119</w:t>
      </w:r>
      <w:r>
        <w:rPr>
          <w:rFonts w:ascii="宋体" w:hAnsi="宋体" w:eastAsia="宋体" w:cs="宋体"/>
          <w:color w:val="000000"/>
          <w:sz w:val="24"/>
          <w:lang w:eastAsia="zh-CN"/>
        </w:rPr>
        <w:t xml:space="preserve"> ），经仔细阅读和研究，我们决定参加投标。</w:t>
      </w:r>
      <w:r/>
    </w:p>
    <w:p>
      <w:pPr>
        <w:ind w:firstLine="24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（1）伴随服务及配合措施；</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（2）要求甲方提供的配合；</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（3）对招标文件有不同意见的偏离说明；</w:t>
      </w:r>
      <w:r/>
    </w:p>
    <w:p>
      <w:pPr>
        <w:ind w:firstLine="42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（4）其它说明。</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投标单位：（单位盖章）</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致：苏州市公共资源交易中心太仓分中心：</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w:t>
      </w:r>
      <w:r>
        <w:rPr>
          <w:rFonts w:ascii="宋体" w:hAnsi="宋体" w:eastAsia="宋体" w:cs="宋体"/>
          <w:color w:val="000000"/>
          <w:sz w:val="24"/>
          <w:u w:val="single"/>
          <w:lang w:eastAsia="zh-CN"/>
        </w:rPr>
        <w:t xml:space="preserve">         （供应商名称）</w:t>
      </w:r>
      <w:r>
        <w:rPr>
          <w:rFonts w:ascii="宋体" w:hAnsi="宋体" w:eastAsia="宋体" w:cs="宋体"/>
          <w:color w:val="000000"/>
          <w:sz w:val="24"/>
          <w:lang w:eastAsia="zh-CN"/>
        </w:rPr>
        <w:t xml:space="preserve"> 在参加政府采购活动前三年内，没有重大违法记录，特此声明。</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供应商名称（单位公章）：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法定代表人（负责人）或代理人（签字或盖章）：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58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vAlign w:val="center"/>
            <w:textDirection w:val="lrTb"/>
            <w:noWrap/>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ascii="宋体" w:hAnsi="宋体" w:eastAsia="宋体" w:cs="宋体"/>
          <w:b/>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u w:val="single"/>
          <w:lang w:eastAsia="zh-CN"/>
        </w:rPr>
        <w:t xml:space="preserve">JSZC-320585-JZCG-G2024-0119</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color w:val="000000"/>
          <w:sz w:val="24"/>
          <w:lang w:eastAsia="zh-CN"/>
        </w:rPr>
        <w:t xml:space="preserve">JSZC-320585-JZCG-G2024-0119</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0"/>
        <w:gridCol w:w="489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杨林船闸“近零碳”船闸示范工程-船闸智慧能源管理系统采购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6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（二）投标报价合理性说明（如有）</w:t>
      </w:r>
      <w:r/>
    </w:p>
    <w:p>
      <w:pPr>
        <w:spacing w:line="420" w:lineRule="exact"/>
        <w:rPr>
          <w:rFonts w:ascii="宋体" w:hAnsi="宋体"/>
          <w:b/>
          <w:bCs/>
          <w:sz w:val="24"/>
          <w:szCs w:val="24"/>
          <w:lang w:eastAsia="zh-CN"/>
        </w:rPr>
      </w:pPr>
      <w:r>
        <w:rPr>
          <w:rFonts w:hint="eastAsia" w:ascii="宋体" w:hAnsi="宋体"/>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667"/>
        <w:ind w:firstLine="0"/>
        <w:rPr>
          <w:rFonts w:hAnsi="宋体"/>
          <w:sz w:val="24"/>
          <w:lang w:eastAsia="zh-CN"/>
        </w:rPr>
      </w:pPr>
      <w:r>
        <w:rPr>
          <w:rFonts w:hint="eastAsia" w:hAnsi="宋体"/>
          <w:sz w:val="24"/>
          <w:lang w:eastAsia="zh-CN"/>
        </w:rPr>
        <w:t xml:space="preserve">日期：      年     月     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8、服务要求偏离表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服务要求偏离表</w:t>
      </w:r>
      <w:r/>
    </w:p>
    <w:p>
      <w:pPr>
        <w:jc w:val="center"/>
        <w:spacing w:after="0" w:line="85" w:lineRule="atLeast"/>
        <w:rPr>
          <w:rFonts w:hint="eastAsia" w:ascii="宋体" w:hAnsi="宋体" w:eastAsia="宋体" w:cs="宋体"/>
          <w:b/>
          <w:color w:val="000000"/>
          <w:spacing w:val="2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30"/>
        </w:rPr>
      </w:r>
      <w:r/>
    </w:p>
    <w:tbl>
      <w:tblPr>
        <w:tblStyle w:val="66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序号</w:t>
            </w:r>
            <w:r/>
          </w:p>
        </w:tc>
        <w:tc>
          <w:tcPr>
            <w:tcW w:w="2010"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内容</w:t>
            </w:r>
            <w:r/>
          </w:p>
        </w:tc>
        <w:tc>
          <w:tcPr>
            <w:tcW w:w="2526"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招标文件</w:t>
            </w:r>
            <w:r/>
          </w:p>
          <w:p>
            <w:pPr>
              <w:jc w:val="center"/>
              <w:spacing w:line="420" w:lineRule="atLeast"/>
              <w:rPr>
                <w:rFonts w:ascii="宋体" w:hAnsi="宋体"/>
                <w:sz w:val="24"/>
              </w:rPr>
            </w:pPr>
            <w:r>
              <w:rPr>
                <w:rFonts w:hint="eastAsia" w:ascii="宋体" w:hAnsi="宋体"/>
                <w:sz w:val="24"/>
              </w:rPr>
              <w:t xml:space="preserve">技术要求</w:t>
            </w:r>
            <w:r/>
          </w:p>
        </w:tc>
        <w:tc>
          <w:tcPr>
            <w:tcW w:w="1843"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投标文件</w:t>
            </w:r>
            <w:r/>
          </w:p>
          <w:p>
            <w:pPr>
              <w:jc w:val="center"/>
              <w:spacing w:line="420" w:lineRule="atLeast"/>
              <w:rPr>
                <w:rFonts w:ascii="宋体" w:hAnsi="宋体"/>
                <w:sz w:val="24"/>
              </w:rPr>
            </w:pPr>
            <w:r>
              <w:rPr>
                <w:rFonts w:hint="eastAsia" w:ascii="宋体" w:hAnsi="宋体"/>
                <w:sz w:val="24"/>
              </w:rPr>
              <w:t xml:space="preserve">响应要求</w:t>
            </w:r>
            <w:r/>
          </w:p>
        </w:tc>
        <w:tc>
          <w:tcPr>
            <w:tcW w:w="15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 偏离情况</w:t>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1</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2</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3</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4</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5</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6</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7</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8</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bl>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2.若事项较多，投标人可根据响应内容的实际情况另纸说明。</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日期：年月日</w:t>
      </w:r>
      <w:r/>
    </w:p>
    <w:p>
      <w:pPr>
        <w:spacing w:line="360" w:lineRule="auto"/>
        <w:rPr>
          <w:rFonts w:hAnsi="宋体"/>
          <w:b/>
          <w:bCs/>
          <w:sz w:val="32"/>
          <w:szCs w:val="32"/>
          <w:lang w:eastAsia="zh-CN"/>
        </w:rPr>
      </w:pPr>
      <w:r>
        <w:rPr>
          <w:rFonts w:hAnsi="宋体"/>
          <w:b/>
          <w:bCs/>
          <w:sz w:val="32"/>
          <w:szCs w:val="32"/>
          <w:lang w:eastAsia="zh-CN"/>
        </w:rPr>
      </w:r>
      <w:r/>
    </w:p>
    <w:p>
      <w:pPr>
        <w:spacing w:line="360" w:lineRule="auto"/>
        <w:rPr>
          <w:rFonts w:hAnsi="宋体"/>
          <w:b/>
          <w:bCs/>
          <w:sz w:val="32"/>
          <w:szCs w:val="32"/>
          <w:lang w:eastAsia="zh-CN"/>
        </w:rPr>
      </w:pPr>
      <w:r>
        <w:rPr>
          <w:rFonts w:hAnsi="宋体"/>
          <w:b/>
          <w:bCs/>
          <w:sz w:val="32"/>
          <w:szCs w:val="32"/>
          <w:lang w:eastAsia="zh-CN"/>
        </w:rPr>
      </w:r>
      <w:r/>
    </w:p>
    <w:p>
      <w:pPr>
        <w:spacing w:line="360" w:lineRule="auto"/>
        <w:rPr>
          <w:rFonts w:hAnsi="宋体"/>
          <w:b/>
          <w:bCs/>
          <w:sz w:val="32"/>
          <w:szCs w:val="32"/>
          <w:lang w:eastAsia="zh-CN"/>
        </w:rPr>
      </w:pPr>
      <w:r>
        <w:rPr>
          <w:rFonts w:hint="eastAsia" w:hAnsi="宋体"/>
          <w:b/>
          <w:bCs/>
          <w:sz w:val="32"/>
          <w:szCs w:val="32"/>
          <w:lang w:eastAsia="zh-CN"/>
        </w:rPr>
        <w:t xml:space="preserve">9、商务要求偏离表</w:t>
      </w:r>
      <w:r/>
    </w:p>
    <w:p>
      <w:pPr>
        <w:jc w:val="center"/>
        <w:spacing w:line="360" w:lineRule="auto"/>
        <w:rPr>
          <w:rFonts w:ascii="宋体" w:hAnsi="宋体"/>
          <w:b/>
          <w:spacing w:val="20"/>
          <w:sz w:val="32"/>
          <w:szCs w:val="32"/>
        </w:rPr>
      </w:pPr>
      <w:r>
        <w:rPr>
          <w:rFonts w:hint="eastAsia" w:ascii="宋体" w:hAnsi="宋体"/>
          <w:b/>
          <w:spacing w:val="20"/>
          <w:sz w:val="32"/>
          <w:szCs w:val="32"/>
        </w:rPr>
        <w:t xml:space="preserve">商务要求偏离表</w:t>
      </w:r>
      <w:r/>
    </w:p>
    <w:tbl>
      <w:tblPr>
        <w:tblStyle w:val="666"/>
        <w:tblW w:w="8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562"/>
        <w:gridCol w:w="1560"/>
        <w:gridCol w:w="1512"/>
        <w:gridCol w:w="888"/>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56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560"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888"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56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60"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1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888"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69"/>
        <w:ind w:firstLine="0"/>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11、项目实施方案及进度方案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12、项目质量保证措施及承诺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sz w:val="32"/>
          <w:szCs w:val="32"/>
          <w:lang w:eastAsia="zh-CN"/>
        </w:rPr>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666"/>
        <w:tblW w:w="770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514"/>
        <w:gridCol w:w="1368"/>
        <w:gridCol w:w="900"/>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514"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368"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900"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514"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68"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900"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pPr>
      <w:r>
        <w:rPr>
          <w:rFonts w:hint="eastAsia" w:ascii="宋体" w:hAnsi="宋体"/>
          <w:b/>
          <w:bCs/>
          <w:sz w:val="32"/>
          <w:szCs w:val="32"/>
          <w:lang w:eastAsia="zh-CN"/>
        </w:rPr>
        <w:t xml:space="preserve">15、拟投入本项目的专业技术（服务）人员情况一览表</w:t>
      </w:r>
      <w:r/>
    </w:p>
    <w:p>
      <w:pPr>
        <w:pStyle w:val="881"/>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666"/>
        <w:tblW w:w="83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952"/>
        <w:gridCol w:w="852"/>
        <w:gridCol w:w="732"/>
        <w:gridCol w:w="768"/>
        <w:gridCol w:w="1548"/>
        <w:gridCol w:w="1104"/>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952"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852"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732"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768"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548"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1104"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000000" w:sz="2" w:space="0"/>
            </w:tcBorders>
            <w:tcW w:w="952"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852"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7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7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54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104"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667"/>
        <w:rPr>
          <w:lang w:eastAsia="zh-CN"/>
        </w:rPr>
      </w:pPr>
      <w:r>
        <w:rPr>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667"/>
        <w:rPr>
          <w:sz w:val="24"/>
          <w:lang w:eastAsia="zh-CN"/>
        </w:rPr>
      </w:pPr>
      <w:r>
        <w:rPr>
          <w:rFonts w:hint="eastAsia" w:hAnsi="宋体"/>
          <w:sz w:val="24"/>
          <w:szCs w:val="24"/>
          <w:lang w:eastAsia="zh-CN"/>
        </w:rPr>
        <w:t xml:space="preserve">日期：年月日</w:t>
      </w:r>
      <w:r/>
    </w:p>
    <w:p>
      <w:pPr>
        <w:spacing w:line="360" w:lineRule="auto"/>
        <w:rPr>
          <w:rFonts w:ascii="宋体" w:hAnsi="宋体"/>
          <w:b/>
          <w:sz w:val="32"/>
          <w:szCs w:val="32"/>
          <w:lang w:eastAsia="zh-CN"/>
        </w:rPr>
      </w:pPr>
      <w:r>
        <w:rPr>
          <w:rFonts w:ascii="宋体" w:hAnsi="宋体"/>
          <w:b/>
          <w:sz w:val="32"/>
          <w:szCs w:val="32"/>
          <w:lang w:eastAsia="zh-CN"/>
        </w:rPr>
      </w:r>
      <w:r/>
    </w:p>
    <w:p>
      <w:pPr>
        <w:spacing w:line="360" w:lineRule="auto"/>
        <w:rPr>
          <w:rFonts w:ascii="宋体" w:hAnsi="宋体"/>
          <w:b/>
          <w:lang w:eastAsia="zh-CN"/>
        </w:rPr>
      </w:pPr>
      <w:r>
        <w:rPr>
          <w:rFonts w:ascii="宋体" w:hAnsi="宋体"/>
          <w:b/>
          <w:sz w:val="32"/>
          <w:szCs w:val="32"/>
          <w:lang w:eastAsia="zh-CN"/>
        </w:rPr>
        <w:t xml:space="preserve">1</w:t>
      </w:r>
      <w:r>
        <w:rPr>
          <w:rFonts w:hint="eastAsia" w:ascii="宋体" w:hAnsi="宋体"/>
          <w:b/>
          <w:sz w:val="32"/>
          <w:szCs w:val="32"/>
          <w:lang w:eastAsia="zh-CN"/>
        </w:rPr>
        <w:t xml:space="preserve">6、中小企业声明函      </w:t>
      </w:r>
      <w:r/>
    </w:p>
    <w:p>
      <w:pPr>
        <w:ind w:firstLine="2520"/>
        <w:spacing w:line="400" w:lineRule="exact"/>
        <w:rPr>
          <w:rFonts w:ascii="宋体" w:hAnsi="宋体"/>
          <w:sz w:val="28"/>
          <w:szCs w:val="28"/>
          <w:lang w:eastAsia="zh-CN"/>
        </w:rPr>
      </w:pPr>
      <w:r>
        <w:rPr>
          <w:rFonts w:ascii="宋体" w:hAnsi="宋体"/>
          <w:sz w:val="28"/>
          <w:szCs w:val="28"/>
          <w:lang w:eastAsia="zh-CN"/>
        </w:rPr>
        <w:t xml:space="preserve">中小企业声明函（服务）</w:t>
      </w:r>
      <w:r/>
    </w:p>
    <w:p>
      <w:pPr>
        <w:ind w:firstLine="480"/>
        <w:spacing w:line="40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eastAsia="宋体"/>
          <w:b/>
          <w:bCs/>
          <w:sz w:val="24"/>
          <w:u w:val="single"/>
          <w:lang w:eastAsia="zh-CN"/>
        </w:rPr>
        <w:t xml:space="preserve">太仓杨林船闸管理处</w:t>
      </w:r>
      <w:r>
        <w:rPr>
          <w:rFonts w:ascii="宋体" w:hAnsi="宋体"/>
          <w:sz w:val="24"/>
          <w:lang w:eastAsia="zh-CN"/>
        </w:rPr>
        <w:t xml:space="preserve">的</w:t>
      </w:r>
      <w:r>
        <w:rPr>
          <w:rFonts w:hint="eastAsia" w:ascii="宋体" w:hAnsi="宋体" w:eastAsia="宋体"/>
          <w:b/>
          <w:bCs/>
          <w:sz w:val="24"/>
          <w:u w:val="single"/>
          <w:lang w:eastAsia="zh-CN"/>
        </w:rPr>
        <w:t xml:space="preserve">杨林船闸“近零碳”船闸示范工程-船闸智慧能源管理系统采购</w:t>
      </w:r>
      <w:r>
        <w:rPr>
          <w:rFonts w:hint="eastAsia" w:ascii="宋体" w:hAnsi="宋体"/>
          <w:b/>
          <w:bCs/>
          <w:sz w:val="24"/>
          <w:u w:val="single"/>
          <w:lang w:eastAsia="zh-CN"/>
        </w:rPr>
        <w:t xml:space="preserve">  </w:t>
      </w:r>
      <w:r>
        <w:rPr>
          <w:rFonts w:ascii="宋体" w:hAnsi="宋体"/>
          <w:sz w:val="24"/>
          <w:lang w:eastAsia="zh-CN"/>
        </w:rPr>
        <w:t xml:space="preserve">采购活动，服务全部由符合政策要求的中小企业承接。相关企业的具体情况如下：</w:t>
      </w:r>
      <w:r/>
    </w:p>
    <w:p>
      <w:pPr>
        <w:ind w:firstLine="480"/>
        <w:spacing w:line="400" w:lineRule="exact"/>
        <w:rPr>
          <w:rFonts w:ascii="宋体" w:hAnsi="宋体"/>
          <w:sz w:val="24"/>
          <w:lang w:eastAsia="zh-CN"/>
        </w:rPr>
      </w:pPr>
      <w:r>
        <w:rPr>
          <w:rFonts w:ascii="宋体" w:hAnsi="宋体"/>
          <w:sz w:val="24"/>
          <w:lang w:eastAsia="zh-CN"/>
        </w:rPr>
        <w:t xml:space="preserve">1</w:t>
      </w:r>
      <w:r>
        <w:rPr>
          <w:rFonts w:hint="eastAsia" w:ascii="宋体" w:hAnsi="宋体"/>
          <w:sz w:val="24"/>
          <w:lang w:eastAsia="zh-CN"/>
        </w:rPr>
        <w:t xml:space="preserve">、</w:t>
      </w:r>
      <w:r>
        <w:rPr>
          <w:rFonts w:hint="eastAsia" w:ascii="宋体" w:hAnsi="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（十二）软件和信息技术服务业</w:t>
      </w:r>
      <w:r>
        <w:rPr>
          <w:rFonts w:ascii="宋体" w:hAnsi="宋体"/>
          <w:sz w:val="24"/>
          <w:lang w:eastAsia="zh-CN"/>
        </w:rPr>
        <w:t xml:space="preserve">；</w:t>
      </w:r>
      <w:r>
        <w:rPr>
          <w:rFonts w:hint="eastAsia" w:ascii="宋体" w:hAnsi="宋体"/>
          <w:sz w:val="24"/>
          <w:lang w:eastAsia="zh-CN"/>
        </w:rPr>
        <w:t xml:space="preserve">承接企业为</w:t>
      </w:r>
      <w:r>
        <w:rPr>
          <w:rFonts w:hint="eastAsia" w:ascii="宋体" w:hAnsi="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ab/>
      </w:r>
      <w:r>
        <w:rPr>
          <w:rFonts w:ascii="宋体" w:hAnsi="宋体"/>
          <w:sz w:val="24"/>
          <w:lang w:eastAsia="zh-CN"/>
        </w:rPr>
        <w:t xml:space="preserve">人，营业收入为</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lang w:eastAsia="zh-CN"/>
        </w:rPr>
        <w:t xml:space="preserve">（中型企业、小型企业、微型企业，</w:t>
      </w:r>
      <w:r>
        <w:rPr>
          <w:rFonts w:hint="eastAsia" w:ascii="宋体" w:hAnsi="宋体"/>
          <w:b/>
          <w:bCs/>
          <w:i/>
          <w:sz w:val="24"/>
          <w:lang w:eastAsia="zh-CN"/>
        </w:rPr>
        <w:t xml:space="preserve">三者选一填写</w:t>
      </w:r>
      <w:r>
        <w:rPr>
          <w:rFonts w:hint="eastAsia" w:ascii="宋体" w:hAnsi="宋体"/>
          <w:i/>
          <w:sz w:val="24"/>
          <w:lang w:eastAsia="zh-CN"/>
        </w:rPr>
        <w:t xml:space="preserve">）</w:t>
      </w:r>
      <w:r>
        <w:rPr>
          <w:rFonts w:ascii="宋体" w:hAnsi="宋体"/>
          <w:sz w:val="24"/>
          <w:lang w:eastAsia="zh-CN"/>
        </w:rPr>
        <w:t xml:space="preserve">；</w:t>
      </w:r>
      <w:r/>
    </w:p>
    <w:p>
      <w:pPr>
        <w:ind w:firstLine="480"/>
        <w:spacing w:line="400" w:lineRule="exact"/>
        <w:rPr>
          <w:rFonts w:ascii="宋体" w:hAnsi="宋体"/>
          <w:sz w:val="24"/>
          <w:lang w:eastAsia="zh-CN"/>
        </w:rPr>
      </w:pPr>
      <w:r>
        <w:rPr>
          <w:rFonts w:ascii="宋体" w:hAnsi="宋体"/>
          <w:sz w:val="24"/>
          <w:lang w:eastAsia="zh-CN"/>
        </w:rPr>
        <w:t xml:space="preserve">……</w:t>
      </w:r>
      <w:r/>
    </w:p>
    <w:p>
      <w:pPr>
        <w:ind w:firstLine="480"/>
        <w:spacing w:line="40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0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0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00" w:lineRule="exact"/>
        <w:rPr>
          <w:rFonts w:ascii="宋体" w:hAnsi="宋体"/>
          <w:sz w:val="24"/>
          <w:lang w:eastAsia="zh-CN"/>
        </w:rPr>
      </w:pPr>
      <w:r>
        <w:rPr>
          <w:rFonts w:hint="eastAsia" w:ascii="宋体" w:hAnsi="宋体"/>
          <w:sz w:val="24"/>
          <w:lang w:eastAsia="zh-CN"/>
        </w:rPr>
        <w:t xml:space="preserve">日期：</w:t>
      </w:r>
      <w:r/>
    </w:p>
    <w:p>
      <w:pPr>
        <w:ind w:firstLine="440"/>
        <w:spacing w:after="0" w:line="400" w:lineRule="exact"/>
        <w:rPr>
          <w:rFonts w:hint="eastAsia" w:ascii="宋体" w:hAnsi="宋体" w:eastAsia="宋体" w:cs="宋体"/>
          <w:sz w:val="24"/>
          <w:szCs w:val="24"/>
          <w:lang w:eastAsia="zh-CN"/>
        </w:rPr>
      </w:pP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b/>
          <w:bCs/>
          <w:sz w:val="24"/>
          <w:szCs w:val="24"/>
          <w:lang w:eastAsia="zh-CN"/>
        </w:rPr>
        <w:t xml:space="preserve">本项目专门面向中小企业采购</w:t>
      </w:r>
      <w:r>
        <w:rPr>
          <w:rFonts w:hint="eastAsia" w:ascii="宋体" w:hAnsi="宋体" w:eastAsia="宋体" w:cs="宋体"/>
          <w:sz w:val="24"/>
          <w:szCs w:val="24"/>
          <w:lang w:eastAsia="zh-CN"/>
        </w:rPr>
        <w:t xml:space="preserve">，投标人应提供中小企业声明函或残疾人福利性单位声明函或省级以上监狱管理局、戒毒管理局（含新疆生产建设兵团）出具的属于监狱企业的证明文件,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 xml:space="preserve">否则视为投标无效</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spacing w:after="0" w:line="400" w:lineRule="exac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17、残疾人福利性单位声明函（如有）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numPr>
          <w:ilvl w:val="0"/>
          <w:numId w:val="3"/>
        </w:num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ind w:left="1325" w:firstLine="1325"/>
        <w:jc w:val="both"/>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评标方法与评标标准</w:t>
      </w:r>
      <w:r/>
    </w:p>
    <w:p>
      <w:pPr>
        <w:ind w:firstLine="42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评标方法</w:t>
      </w:r>
      <w:r/>
    </w:p>
    <w:p>
      <w:pPr>
        <w:numPr>
          <w:ilvl w:val="0"/>
          <w:numId w:val="4"/>
        </w:numPr>
        <w:ind w:firstLine="482"/>
        <w:jc w:val="both"/>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 xml:space="preserve">二</w:t>
      </w:r>
      <w:r>
        <w:rPr>
          <w:rFonts w:ascii="宋体" w:hAnsi="宋体" w:eastAsia="宋体" w:cs="宋体"/>
          <w:color w:val="000000"/>
          <w:sz w:val="24"/>
          <w:lang w:eastAsia="zh-CN"/>
        </w:rPr>
        <w:t xml:space="preserve">、</w:t>
      </w:r>
      <w:r>
        <w:rPr>
          <w:rFonts w:ascii="宋体" w:hAnsi="宋体" w:eastAsia="宋体" w:cs="宋体"/>
          <w:sz w:val="24"/>
          <w:szCs w:val="24"/>
          <w:lang w:eastAsia="zh-CN"/>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color w:val="000000"/>
          <w:sz w:val="24"/>
          <w:lang w:eastAsia="zh-CN"/>
        </w:rPr>
        <w:t xml:space="preserve">三</w:t>
      </w:r>
      <w:r>
        <w:rPr>
          <w:rFonts w:ascii="宋体" w:hAnsi="宋体" w:eastAsia="宋体" w:cs="宋体"/>
          <w:color w:val="000000"/>
          <w:sz w:val="24"/>
          <w:lang w:eastAsia="zh-CN"/>
        </w:rPr>
        <w:t xml:space="preserve">、</w:t>
      </w:r>
      <w:r>
        <w:rPr>
          <w:rFonts w:ascii="宋体" w:hAnsi="宋体" w:eastAsia="宋体" w:cs="宋体"/>
          <w:sz w:val="24"/>
          <w:szCs w:val="24"/>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四</w:t>
      </w:r>
      <w:r>
        <w:rPr>
          <w:rFonts w:ascii="宋体" w:hAnsi="宋体" w:eastAsia="宋体" w:cs="宋体"/>
          <w:sz w:val="24"/>
          <w:szCs w:val="24"/>
          <w:lang w:eastAsia="zh-CN"/>
        </w:rPr>
        <w:t xml:space="preserve">、如出现评审得分最高的投标人有两个或两个以上的，以投标报价较低者优先作为该标段中标候选人，如果投标报价也相同的，则由公证机构组织以抽签方式确定中标候选人。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w:t>
      </w:r>
      <w:r>
        <w:rPr>
          <w:rFonts w:ascii="宋体" w:hAnsi="宋体" w:eastAsia="宋体" w:cs="宋体"/>
          <w:sz w:val="24"/>
          <w:szCs w:val="24"/>
          <w:lang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w:t>
      </w:r>
      <w:r>
        <w:rPr>
          <w:rFonts w:ascii="宋体" w:hAnsi="宋体" w:eastAsia="宋体" w:cs="宋体"/>
          <w:sz w:val="24"/>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七</w:t>
      </w:r>
      <w:r>
        <w:rPr>
          <w:rFonts w:ascii="宋体" w:hAnsi="宋体" w:eastAsia="宋体" w:cs="宋体"/>
          <w:color w:val="000000"/>
          <w:sz w:val="24"/>
          <w:lang w:eastAsia="zh-CN"/>
        </w:rPr>
        <w:t xml:space="preserve">、中小企业相关政策：</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专门面向中小企业采购的项目，不再执行价格评审优惠的扶持政策。</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lang w:eastAsia="zh-CN"/>
        </w:rPr>
        <w:t xml:space="preserve"> </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评分标准</w:t>
      </w:r>
      <w:r/>
    </w:p>
    <w:p>
      <w:pPr>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一、价格分20分</w:t>
      </w:r>
      <w:r/>
    </w:p>
    <w:p>
      <w:pPr>
        <w:ind w:firstLine="480"/>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0"/>
        <w:jc w:val="both"/>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投标报价得分＝（评标基准价/投标报价）×20％×100</w:t>
      </w:r>
      <w:r/>
    </w:p>
    <w:p>
      <w:pPr>
        <w:spacing w:line="440" w:lineRule="exact"/>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二、技术分80分</w:t>
      </w:r>
      <w:r/>
    </w:p>
    <w:tbl>
      <w:tblPr>
        <w:tblStyle w:val="666"/>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37"/>
        <w:gridCol w:w="738"/>
        <w:gridCol w:w="6753"/>
      </w:tblGrid>
      <w:tr>
        <w:trPr>
          <w:jc w:val="center"/>
          <w:trHeight w:val="43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评审因素</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权值</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ind w:firstLine="480"/>
              <w:jc w:val="center"/>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评分标准</w:t>
            </w:r>
            <w:r/>
          </w:p>
        </w:tc>
      </w:tr>
      <w:tr>
        <w:trPr>
          <w:jc w:val="center"/>
          <w:trHeight w:val="1087"/>
        </w:trPr>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tcBorders>
              <w:top w:val="single" w:color="auto" w:sz="4" w:space="0"/>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项目需求理解</w:t>
            </w:r>
            <w:r/>
          </w:p>
        </w:tc>
        <w:tc>
          <w:tcPr>
            <w:tcBorders>
              <w:top w:val="single" w:color="auto" w:sz="4" w:space="0"/>
              <w:left w:val="single" w:color="auto" w:sz="4" w:space="0"/>
              <w:right w:val="single" w:color="auto" w:sz="4" w:space="0"/>
            </w:tcBorders>
            <w:tcW w:w="738"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投标人能充分理解项目实际需求，根据项目背景及建设目标，提供对本次项目服务的①项目基本情况②需求分析。其对应内容齐全、贴合项目实际、分析科学合理的得6分。每缺少一项内容，或内容明显错误，或内容非专门针对本项目，或内容不符合本项目实际情况的，每一项扣3分，扣完为止。</w:t>
            </w:r>
            <w:r/>
          </w:p>
        </w:tc>
      </w:tr>
      <w:tr>
        <w:trPr>
          <w:jc w:val="center"/>
          <w:trHeight w:val="1431"/>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项目整体设计</w:t>
            </w:r>
            <w:r/>
          </w:p>
        </w:tc>
        <w:tc>
          <w:tcPr>
            <w:tcBorders>
              <w:left w:val="single" w:color="auto" w:sz="4" w:space="0"/>
              <w:right w:val="single" w:color="auto" w:sz="4" w:space="0"/>
            </w:tcBorders>
            <w:tcW w:w="738"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投标人需对本项目进行整体设计包括①整体建设规划②开发实施及进度方案③总体架构设计图，其项目整体设计完整、科学、合理，完全符合采购人需求的得6分。每缺少一项内容，或内容明显错误，或内容非专门针对本项目，或内容不符合本项目实际情况的，每一项扣2分，扣完为止。</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建设内容</w:t>
            </w:r>
            <w:r>
              <w:rPr>
                <w:rFonts w:hint="eastAsia" w:ascii="宋体" w:hAnsi="宋体" w:eastAsia="宋体" w:cs="宋体"/>
                <w:color w:val="000000"/>
                <w:sz w:val="24"/>
                <w:szCs w:val="24"/>
              </w:rPr>
              <w:t xml:space="preserve">设计</w:t>
            </w:r>
            <w:r/>
          </w:p>
        </w:tc>
        <w:tc>
          <w:tcPr>
            <w:tcBorders>
              <w:left w:val="single" w:color="auto" w:sz="4" w:space="0"/>
              <w:right w:val="single" w:color="auto" w:sz="4" w:space="0"/>
            </w:tcBorders>
            <w:tcW w:w="738"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18</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after="0" w:line="24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投标人需对本项目采购清单中的系统功能进行详细建设内容设计，包含①实时能耗监控②“碳减排”工作站③系统授权④角色管理⑤船闸在线⑥船闸培训站⑦数据报表统计分析⑧巡检任务闭环。其建设内容设计整体完整、科学、合理，完全符合采购人需求的得18分。每缺少一项内容，或内容明显错误，或内容不符合本项目实际情况的，每一项扣2</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分，扣完为止。</w:t>
            </w:r>
            <w:r/>
          </w:p>
          <w:p>
            <w:pPr>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注：标“▲”模块的相关建设内容设计必须提供功能界面截图或系统业务流程图等证明材料。未提供</w:t>
            </w:r>
            <w:r>
              <w:rPr>
                <w:rFonts w:hint="eastAsia" w:ascii="宋体" w:hAnsi="宋体" w:eastAsia="宋体" w:cs="宋体"/>
                <w:b/>
                <w:bCs/>
                <w:color w:val="000000"/>
                <w:sz w:val="24"/>
                <w:szCs w:val="24"/>
                <w:highlight w:val="none"/>
                <w:lang w:val="en-US" w:eastAsia="zh-CN"/>
              </w:rPr>
              <w:t xml:space="preserve">或有遗漏</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lang w:val="en-US" w:eastAsia="zh-CN"/>
              </w:rPr>
              <w:t xml:space="preserve">本项不得</w:t>
            </w:r>
            <w:r>
              <w:rPr>
                <w:rFonts w:hint="eastAsia" w:ascii="宋体" w:hAnsi="宋体" w:eastAsia="宋体" w:cs="宋体"/>
                <w:b/>
                <w:bCs/>
                <w:color w:val="000000"/>
                <w:sz w:val="24"/>
                <w:szCs w:val="24"/>
                <w:highlight w:val="none"/>
                <w:lang w:eastAsia="zh-CN"/>
              </w:rPr>
              <w:t xml:space="preserve">分。</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项目培训</w:t>
            </w:r>
            <w:r/>
          </w:p>
        </w:tc>
        <w:tc>
          <w:tcPr>
            <w:tcBorders>
              <w:left w:val="single" w:color="auto" w:sz="4" w:space="0"/>
              <w:right w:val="single" w:color="auto" w:sz="4" w:space="0"/>
            </w:tcBorders>
            <w:tcW w:w="738" w:type="dxa"/>
            <w:vAlign w:val="center"/>
            <w:textDirection w:val="lrTb"/>
            <w:noWrap w:val="false"/>
          </w:tcPr>
          <w:p>
            <w:pP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对投标人提供的本次项目培训方案进行综合评定，包含①培训目的、②总体培训计划、③培训内容、④培训方式等，方案完整具体、科学合理、可操作性强的得4分。每缺少一项内容，或内容明显错误，或内容不符合本项目实际情况的，每一项扣1分，扣完为止。</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项目质量保障</w:t>
            </w:r>
            <w:r/>
          </w:p>
        </w:tc>
        <w:tc>
          <w:tcPr>
            <w:tcBorders>
              <w:left w:val="single" w:color="auto" w:sz="4" w:space="0"/>
              <w:right w:val="single" w:color="auto" w:sz="4" w:space="0"/>
            </w:tcBorders>
            <w:tcW w:w="738" w:type="dxa"/>
            <w:vAlign w:val="center"/>
            <w:textDirection w:val="lrTb"/>
            <w:noWrap w:val="false"/>
          </w:tcPr>
          <w:p>
            <w:pP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10</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为保证项目制造厂商所提供的项目产品是经过严格测试，具备高可靠性保障能力。投标单位须提供国家认可的检测机构出具的软件测试报告，包含以下5个重点模块：①实时能耗监控、②“碳减排”工作台、③船闸培训站、④船闸在线、⑤巡检任务闭环。以上全部满足的得10分，每缺少一项扣2分，扣完为止。</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售后运维服务保障</w:t>
            </w:r>
            <w:r/>
          </w:p>
        </w:tc>
        <w:tc>
          <w:tcPr>
            <w:tcBorders>
              <w:left w:val="single" w:color="auto" w:sz="4" w:space="0"/>
              <w:right w:val="single" w:color="auto" w:sz="4" w:space="0"/>
            </w:tcBorders>
            <w:tcW w:w="738"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需提供对应的售后运维服务方案，包括①服务流程、②服务方式和响应时间、③服务内容等进行综合评定，方案完整具体、响应时间短、科学合理、实用性强的得6分。每缺少一项内容，或内容明显错误，或内容不符合本项目实际情况的，每一项扣2分，扣完为止。</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7.</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项目信息安全性保障说明</w:t>
            </w:r>
            <w:r/>
          </w:p>
        </w:tc>
        <w:tc>
          <w:tcPr>
            <w:tcBorders>
              <w:left w:val="single" w:color="auto" w:sz="4" w:space="0"/>
              <w:right w:val="single" w:color="auto" w:sz="4" w:space="0"/>
            </w:tcBorders>
            <w:tcW w:w="738"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信息安全是当前政府部门的信息化建设的重中之重，投标人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lang w:eastAsia="zh-CN"/>
              </w:rPr>
              <w:t xml:space="preserve">提供的项目信息安全性保障方案</w:t>
            </w:r>
            <w:r>
              <w:rPr>
                <w:rFonts w:hint="eastAsia" w:ascii="宋体" w:hAnsi="宋体" w:eastAsia="宋体" w:cs="宋体"/>
                <w:color w:val="000000"/>
                <w:sz w:val="24"/>
                <w:szCs w:val="24"/>
                <w:highlight w:val="none"/>
                <w:lang w:val="en-US" w:eastAsia="zh-CN"/>
              </w:rPr>
              <w:t xml:space="preserve">应包含</w:t>
            </w:r>
            <w:r>
              <w:rPr>
                <w:rFonts w:hint="eastAsia" w:ascii="宋体" w:hAnsi="宋体" w:eastAsia="宋体" w:cs="宋体"/>
                <w:color w:val="000000"/>
                <w:sz w:val="24"/>
                <w:szCs w:val="24"/>
                <w:highlight w:val="none"/>
                <w:lang w:eastAsia="zh-CN"/>
              </w:rPr>
              <w:t xml:space="preserve">①</w:t>
            </w:r>
            <w:r>
              <w:rPr>
                <w:rFonts w:hint="eastAsia" w:ascii="宋体" w:hAnsi="宋体" w:eastAsia="宋体" w:cs="宋体"/>
                <w:color w:val="000000"/>
                <w:sz w:val="24"/>
                <w:szCs w:val="24"/>
                <w:highlight w:val="none"/>
                <w:lang w:val="en-US" w:eastAsia="zh-CN"/>
              </w:rPr>
              <w:t xml:space="preserve">项目建设安全需求分析</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lang w:val="en-US" w:eastAsia="zh-CN"/>
              </w:rPr>
              <w:t xml:space="preserve">安全性保障方案等</w:t>
            </w:r>
            <w:r>
              <w:rPr>
                <w:rFonts w:hint="eastAsia" w:ascii="宋体" w:hAnsi="宋体" w:eastAsia="宋体" w:cs="宋体"/>
                <w:color w:val="000000"/>
                <w:sz w:val="24"/>
                <w:szCs w:val="24"/>
                <w:highlight w:val="none"/>
                <w:lang w:eastAsia="zh-CN"/>
              </w:rPr>
              <w:t xml:space="preserve">进行综合评定。</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设计方案完整、科学、合理完全符合采购人需求的得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分，每缺少一项内容，或内容明显错误，或内容不符合本项目实际情况的，每一项扣2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分，扣完为止。</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技术能力</w:t>
            </w:r>
            <w:r/>
          </w:p>
        </w:tc>
        <w:tc>
          <w:tcPr>
            <w:tcBorders>
              <w:left w:val="single" w:color="auto" w:sz="4" w:space="0"/>
              <w:right w:val="single" w:color="auto" w:sz="4" w:space="0"/>
            </w:tcBorders>
            <w:tcW w:w="738"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投标单位需提供含有“数据业务分析”、“</w:t>
            </w:r>
            <w:r>
              <w:rPr>
                <w:rFonts w:hint="eastAsia" w:ascii="宋体" w:hAnsi="宋体" w:eastAsia="宋体" w:cs="宋体"/>
                <w:color w:val="000000"/>
                <w:sz w:val="24"/>
                <w:szCs w:val="24"/>
                <w:lang w:val="en-US" w:eastAsia="zh-CN"/>
              </w:rPr>
              <w:t xml:space="preserve">物联网</w:t>
            </w:r>
            <w:r>
              <w:rPr>
                <w:rFonts w:hint="eastAsia" w:ascii="宋体" w:hAnsi="宋体" w:eastAsia="宋体" w:cs="宋体"/>
                <w:color w:val="000000"/>
                <w:sz w:val="24"/>
                <w:szCs w:val="24"/>
                <w:lang w:eastAsia="zh-CN"/>
              </w:rPr>
              <w:t xml:space="preserve">”、“展示”、“培训”、“监控”字样的类似软件著作权，每提供一份得2分，本项最高得10分。</w:t>
            </w:r>
            <w:r/>
          </w:p>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注：需提供上述软件著作权登记证书扫描件并加盖投标单位公章。</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服务人员</w:t>
            </w:r>
            <w:r/>
          </w:p>
        </w:tc>
        <w:tc>
          <w:tcPr>
            <w:tcBorders>
              <w:left w:val="single" w:color="auto" w:sz="4" w:space="0"/>
              <w:right w:val="single" w:color="auto" w:sz="4" w:space="0"/>
            </w:tcBorders>
            <w:tcW w:w="738"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（1）投标单位为此项目提供项目技术负责人PMP证书得3分；提供项目经理PMP证书得3分（相关证书须提供复印件并加盖公章同时提供近3个月任意1个月社保证明文件，缺失、不符或不提供者，本项不得分）。</w:t>
            </w:r>
            <w:r/>
          </w:p>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（2）投标单位为此项目提供的专业技术人员拥有CISP注册信息安全专业人员证书，得3分；（相关证书须提供复印件并加盖公章同时提供近</w:t>
            </w:r>
            <w:r>
              <w:rPr>
                <w:rFonts w:ascii="宋体" w:hAnsi="宋体" w:eastAsia="宋体" w:cs="宋体"/>
                <w:color w:val="000000"/>
                <w:sz w:val="24"/>
                <w:szCs w:val="24"/>
                <w:lang w:eastAsia="zh-CN"/>
              </w:rPr>
              <w:t xml:space="preserve">3</w:t>
            </w:r>
            <w:r>
              <w:rPr>
                <w:rFonts w:hint="eastAsia" w:ascii="宋体" w:hAnsi="宋体" w:eastAsia="宋体" w:cs="宋体"/>
                <w:color w:val="000000"/>
                <w:sz w:val="24"/>
                <w:szCs w:val="24"/>
                <w:lang w:eastAsia="zh-CN"/>
              </w:rPr>
              <w:t xml:space="preserve">个月任意</w:t>
            </w:r>
            <w:r>
              <w:rPr>
                <w:rFonts w:ascii="宋体" w:hAnsi="宋体" w:eastAsia="宋体" w:cs="宋体"/>
                <w:color w:val="000000"/>
                <w:sz w:val="24"/>
                <w:szCs w:val="24"/>
                <w:lang w:eastAsia="zh-CN"/>
              </w:rPr>
              <w:t xml:space="preserve">1</w:t>
            </w:r>
            <w:r>
              <w:rPr>
                <w:rFonts w:hint="eastAsia" w:ascii="宋体" w:hAnsi="宋体" w:eastAsia="宋体" w:cs="宋体"/>
                <w:color w:val="000000"/>
                <w:sz w:val="24"/>
                <w:szCs w:val="24"/>
                <w:lang w:eastAsia="zh-CN"/>
              </w:rPr>
              <w:t xml:space="preserve">个月社保证明文件，缺失、不符或不提供者，本项不得分）。</w:t>
            </w:r>
            <w:r/>
          </w:p>
        </w:tc>
      </w:tr>
      <w:tr>
        <w:trPr>
          <w:jc w:val="center"/>
          <w:trHeight w:val="359"/>
        </w:trPr>
        <w:tc>
          <w:tcPr>
            <w:tcBorders>
              <w:left w:val="single" w:color="auto" w:sz="4" w:space="0"/>
              <w:right w:val="single" w:color="auto" w:sz="4" w:space="0"/>
            </w:tcBorders>
            <w:tcW w:w="709"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w:t>
            </w:r>
            <w:r/>
          </w:p>
        </w:tc>
        <w:tc>
          <w:tcPr>
            <w:tcBorders>
              <w:left w:val="single" w:color="auto" w:sz="4" w:space="0"/>
              <w:right w:val="single" w:color="auto" w:sz="4" w:space="0"/>
            </w:tcBorders>
            <w:tcW w:w="1237" w:type="dxa"/>
            <w:vAlign w:val="center"/>
            <w:textDirection w:val="lrTb"/>
            <w:noWrap w:val="false"/>
          </w:tcPr>
          <w:p>
            <w:pPr>
              <w:jc w:val="cente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业绩</w:t>
            </w:r>
            <w:r/>
          </w:p>
        </w:tc>
        <w:tc>
          <w:tcPr>
            <w:tcBorders>
              <w:left w:val="single" w:color="auto" w:sz="4" w:space="0"/>
              <w:right w:val="single" w:color="auto" w:sz="4" w:space="0"/>
            </w:tcBorders>
            <w:tcW w:w="738"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6753" w:type="dxa"/>
            <w:vAlign w:val="center"/>
            <w:textDirection w:val="lrTb"/>
            <w:noWrap w:val="false"/>
          </w:tcPr>
          <w:p>
            <w:pPr>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投标单位具有2022年1月1日（以合同签订时间为准）以来类似“巡检、可视化、数字化管理”等项目相关建设业绩的每提供一项得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分。需提供合同扫描件。</w:t>
            </w:r>
            <w:r/>
          </w:p>
        </w:tc>
      </w:tr>
    </w:tbl>
    <w:p>
      <w:pPr>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ind w:firstLine="482"/>
        <w:jc w:val="both"/>
        <w:spacing w:after="0" w:line="44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注：1、报价</w:t>
      </w:r>
      <w:r>
        <w:rPr>
          <w:rFonts w:hint="eastAsia" w:ascii="宋体" w:hAnsi="宋体" w:eastAsia="宋体" w:cs="宋体"/>
          <w:b/>
          <w:bCs/>
          <w:sz w:val="24"/>
          <w:szCs w:val="24"/>
          <w:lang w:eastAsia="zh-CN"/>
        </w:rPr>
        <w:t xml:space="preserve">超过最高限价</w:t>
      </w:r>
      <w:r>
        <w:rPr>
          <w:rFonts w:hint="eastAsia" w:ascii="宋体" w:hAnsi="宋体" w:eastAsia="宋体" w:cs="宋体"/>
          <w:sz w:val="24"/>
          <w:szCs w:val="24"/>
          <w:lang w:eastAsia="zh-CN"/>
        </w:rPr>
        <w:t xml:space="preserve">的为</w:t>
      </w:r>
      <w:r>
        <w:rPr>
          <w:rFonts w:hint="eastAsia" w:ascii="宋体" w:hAnsi="宋体" w:eastAsia="宋体" w:cs="宋体"/>
          <w:b/>
          <w:bCs/>
          <w:sz w:val="24"/>
          <w:szCs w:val="24"/>
          <w:lang w:eastAsia="zh-CN"/>
        </w:rPr>
        <w:t xml:space="preserve">无效投标</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2、针对评分标准中评分的每一条，投标人均应提供相关电子资料并作出相应说明供评委评判，不提供相关资料的视为不具备该项得分的条件。</w:t>
      </w:r>
      <w:r/>
    </w:p>
    <w:p>
      <w:pPr>
        <w:ind w:firstLine="482"/>
        <w:jc w:val="both"/>
        <w:spacing w:after="0" w:line="44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3、若要求提供的复印件请加盖公章扫描入投标文件中，复印件电子扫描件未放入投标文件中，影响评分情况，是投标人的责任。</w:t>
      </w:r>
      <w:r/>
    </w:p>
    <w:p>
      <w:pPr>
        <w:ind w:firstLine="482"/>
        <w:jc w:val="both"/>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4、所有复印件字迹须复印清晰可见,复印不</w:t>
      </w:r>
      <w:r>
        <w:rPr>
          <w:rFonts w:hint="eastAsia" w:ascii="宋体" w:hAnsi="宋体" w:eastAsia="宋体" w:cs="宋体"/>
          <w:color w:val="000000"/>
          <w:sz w:val="24"/>
          <w:szCs w:val="24"/>
          <w:lang w:eastAsia="zh-CN"/>
        </w:rPr>
        <w:t xml:space="preserve">全或字迹不清晰的，视为未提供。</w:t>
      </w:r>
      <w:r/>
    </w:p>
    <w:p>
      <w:pPr>
        <w:ind w:firstLine="482"/>
        <w:jc w:val="both"/>
        <w:spacing w:after="0" w:line="44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5、防止虚假应标，采购方保留调查的权利，并由此引发的一切调查与诉讼费用由投标方承担。</w:t>
      </w:r>
      <w:r/>
    </w:p>
    <w:p>
      <w:pPr>
        <w:jc w:val="center"/>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第六部分 合同格式</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 </w:t>
      </w:r>
      <w:r>
        <w:rPr>
          <w:rFonts w:ascii="宋体" w:hAnsi="宋体" w:eastAsia="宋体" w:cs="宋体"/>
          <w:b/>
          <w:color w:val="000000"/>
          <w:sz w:val="24"/>
          <w:lang w:eastAsia="zh-CN"/>
        </w:rPr>
        <w:t xml:space="preserve">合同文件适用法律</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适用于合同文件的法律是中华人民共和国现行法律、法规及甲方所在地的地方性法规。</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 </w:t>
      </w:r>
      <w:r>
        <w:rPr>
          <w:rFonts w:ascii="宋体" w:hAnsi="宋体" w:eastAsia="宋体" w:cs="宋体"/>
          <w:b/>
          <w:color w:val="000000"/>
          <w:sz w:val="24"/>
          <w:lang w:eastAsia="zh-CN"/>
        </w:rPr>
        <w:t xml:space="preserve">合同文件组成和解释顺序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w:t>
      </w:r>
      <w:r>
        <w:rPr>
          <w:rFonts w:ascii="宋体" w:hAnsi="宋体" w:eastAsia="宋体" w:cs="宋体"/>
          <w:color w:val="000000"/>
          <w:sz w:val="24"/>
          <w:lang w:eastAsia="zh-CN"/>
        </w:rPr>
        <w:t xml:space="preserve">合同文件的组成和解释顺序如下：</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2.1.1</w:t>
      </w:r>
      <w:r>
        <w:rPr>
          <w:rFonts w:ascii="宋体" w:hAnsi="宋体" w:eastAsia="宋体" w:cs="宋体"/>
          <w:color w:val="000000"/>
          <w:sz w:val="24"/>
          <w:lang w:eastAsia="zh-CN"/>
        </w:rPr>
        <w:t xml:space="preserve">合同的特殊性条款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2.1.2</w:t>
      </w:r>
      <w:r>
        <w:rPr>
          <w:rFonts w:ascii="宋体" w:hAnsi="宋体" w:eastAsia="宋体" w:cs="宋体"/>
          <w:color w:val="000000"/>
          <w:sz w:val="24"/>
          <w:lang w:eastAsia="zh-CN"/>
        </w:rPr>
        <w:t xml:space="preserve">合同的一般性条款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2.1.3 </w:t>
      </w:r>
      <w:r>
        <w:rPr>
          <w:rFonts w:ascii="宋体" w:hAnsi="宋体" w:eastAsia="宋体" w:cs="宋体"/>
          <w:color w:val="000000"/>
          <w:sz w:val="24"/>
          <w:lang w:eastAsia="zh-CN"/>
        </w:rPr>
        <w:t xml:space="preserve">双方洽商、变更等明确双方权利义务的纪要、协议</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2.1.4 </w:t>
      </w:r>
      <w:r>
        <w:rPr>
          <w:rFonts w:ascii="宋体" w:hAnsi="宋体" w:eastAsia="宋体" w:cs="宋体"/>
          <w:color w:val="000000"/>
          <w:sz w:val="24"/>
          <w:lang w:eastAsia="zh-CN"/>
        </w:rPr>
        <w:t xml:space="preserve">中标通知书、投标书和招标文件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2.2 </w:t>
      </w:r>
      <w:r>
        <w:rPr>
          <w:rFonts w:ascii="宋体" w:hAnsi="宋体" w:eastAsia="宋体" w:cs="宋体"/>
          <w:color w:val="000000"/>
          <w:sz w:val="24"/>
          <w:lang w:eastAsia="zh-CN"/>
        </w:rPr>
        <w:t xml:space="preserve">合同的特殊性条款的效力优于合同的一般性条款的效力</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3. </w:t>
      </w:r>
      <w:r>
        <w:rPr>
          <w:rFonts w:ascii="宋体" w:hAnsi="宋体" w:eastAsia="宋体" w:cs="宋体"/>
          <w:b/>
          <w:color w:val="000000"/>
          <w:sz w:val="24"/>
          <w:lang w:eastAsia="zh-CN"/>
        </w:rPr>
        <w:t xml:space="preserve">合同文件使用文字</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3.1 </w:t>
      </w:r>
      <w:r>
        <w:rPr>
          <w:rFonts w:ascii="宋体" w:hAnsi="宋体" w:eastAsia="宋体" w:cs="宋体"/>
          <w:color w:val="000000"/>
          <w:sz w:val="24"/>
          <w:lang w:eastAsia="zh-CN"/>
        </w:rPr>
        <w:t xml:space="preserve">合同文件使用中文书写、解释和说明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3.2 </w:t>
      </w:r>
      <w:r>
        <w:rPr>
          <w:rFonts w:ascii="宋体" w:hAnsi="宋体" w:eastAsia="宋体" w:cs="宋体"/>
          <w:color w:val="000000"/>
          <w:sz w:val="24"/>
          <w:lang w:eastAsia="zh-CN"/>
        </w:rPr>
        <w:t xml:space="preserve">合同文件使用特殊性条款约定的国家标准和规范；国家没有相应标准、规范时，可使用特殊性条款约定的行业或甲方所在地地方的标准、规范。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二、标的物的一般条款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4.  </w:t>
      </w:r>
      <w:r>
        <w:rPr>
          <w:rFonts w:ascii="宋体" w:hAnsi="宋体" w:eastAsia="宋体" w:cs="宋体"/>
          <w:b/>
          <w:color w:val="000000"/>
          <w:sz w:val="24"/>
          <w:lang w:eastAsia="zh-CN"/>
        </w:rPr>
        <w:t xml:space="preserve">完整物权</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对于出卖的标的物，乙方应当拥有完整物权，并且乙方负有保证第三人不得向甲方主张任何权利（包括知识产权）的义务。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5.  </w:t>
      </w:r>
      <w:r>
        <w:rPr>
          <w:rFonts w:ascii="宋体" w:hAnsi="宋体" w:eastAsia="宋体" w:cs="宋体"/>
          <w:b/>
          <w:color w:val="000000"/>
          <w:sz w:val="24"/>
          <w:lang w:eastAsia="zh-CN"/>
        </w:rPr>
        <w:t xml:space="preserve">质量保证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5.1  </w:t>
      </w:r>
      <w:r>
        <w:rPr>
          <w:rFonts w:ascii="宋体" w:hAnsi="宋体" w:eastAsia="宋体" w:cs="宋体"/>
          <w:color w:val="000000"/>
          <w:sz w:val="24"/>
          <w:lang w:eastAsia="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5.2  </w:t>
      </w:r>
      <w:r>
        <w:rPr>
          <w:rFonts w:ascii="宋体" w:hAnsi="宋体" w:eastAsia="宋体" w:cs="宋体"/>
          <w:color w:val="000000"/>
          <w:sz w:val="24"/>
          <w:lang w:eastAsia="zh-CN"/>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5.3  </w:t>
      </w:r>
      <w:r>
        <w:rPr>
          <w:rFonts w:ascii="宋体" w:hAnsi="宋体" w:eastAsia="宋体" w:cs="宋体"/>
          <w:color w:val="000000"/>
          <w:sz w:val="24"/>
          <w:lang w:eastAsia="zh-CN"/>
        </w:rPr>
        <w:t xml:space="preserve">除合同特殊条款规定外，合同条款中标的物的免费服务期均自标的物通过最终验收之日起计算。具体以招标文件中规定的质量保证期为准或中标单位承诺更高于招标要求的质量保证期为准。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6. </w:t>
      </w:r>
      <w:r>
        <w:rPr>
          <w:rFonts w:ascii="宋体" w:hAnsi="宋体" w:eastAsia="宋体" w:cs="宋体"/>
          <w:b/>
          <w:color w:val="000000"/>
          <w:sz w:val="24"/>
          <w:lang w:eastAsia="zh-CN"/>
        </w:rPr>
        <w:t xml:space="preserve">包装</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7.  </w:t>
      </w:r>
      <w:r>
        <w:rPr>
          <w:rFonts w:ascii="宋体" w:hAnsi="宋体" w:eastAsia="宋体" w:cs="宋体"/>
          <w:b/>
          <w:color w:val="000000"/>
          <w:sz w:val="24"/>
          <w:lang w:eastAsia="zh-CN"/>
        </w:rPr>
        <w:t xml:space="preserve">伴随服务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7.1  </w:t>
      </w:r>
      <w:r>
        <w:rPr>
          <w:rFonts w:ascii="宋体" w:hAnsi="宋体" w:eastAsia="宋体" w:cs="宋体"/>
          <w:color w:val="000000"/>
          <w:sz w:val="24"/>
          <w:lang w:eastAsia="zh-CN"/>
        </w:rPr>
        <w:t xml:space="preserve">乙方除应履行按期按量交付合格标的物的义务之外，还应提供下列服务。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7.1.1 </w:t>
      </w:r>
      <w:r>
        <w:rPr>
          <w:rFonts w:ascii="宋体" w:hAnsi="宋体" w:eastAsia="宋体" w:cs="宋体"/>
          <w:color w:val="000000"/>
          <w:sz w:val="24"/>
          <w:lang w:eastAsia="zh-CN"/>
        </w:rPr>
        <w:t xml:space="preserve">标的物的现场安装、启动、调试、监督；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7.1.2 </w:t>
      </w:r>
      <w:r>
        <w:rPr>
          <w:rFonts w:ascii="宋体" w:hAnsi="宋体" w:eastAsia="宋体" w:cs="宋体"/>
          <w:color w:val="000000"/>
          <w:sz w:val="24"/>
          <w:lang w:eastAsia="zh-CN"/>
        </w:rPr>
        <w:t xml:space="preserve">在合同规定的期限内对所提供标的物实行运行监督、维修服务的前提条件是该服务并不能免除乙方在质量保证期内所承担的义务；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7.1.3 </w:t>
      </w:r>
      <w:r>
        <w:rPr>
          <w:rFonts w:ascii="宋体" w:hAnsi="宋体" w:eastAsia="宋体" w:cs="宋体"/>
          <w:color w:val="000000"/>
          <w:sz w:val="24"/>
          <w:lang w:eastAsia="zh-CN"/>
        </w:rPr>
        <w:t xml:space="preserve">对甲方技术人员的技术指导或培训。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7.2  </w:t>
      </w:r>
      <w:r>
        <w:rPr>
          <w:rFonts w:ascii="宋体" w:hAnsi="宋体" w:eastAsia="宋体" w:cs="宋体"/>
          <w:color w:val="000000"/>
          <w:sz w:val="24"/>
          <w:lang w:eastAsia="zh-CN"/>
        </w:rPr>
        <w:t xml:space="preserve">除合同另有规定之外，伴随服务的费用均已含在合同价款中，甲方不再另行进行支付。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三、标的物的交付、检验和验收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8.  </w:t>
      </w:r>
      <w:r>
        <w:rPr>
          <w:rFonts w:ascii="宋体" w:hAnsi="宋体" w:eastAsia="宋体" w:cs="宋体"/>
          <w:b/>
          <w:color w:val="000000"/>
          <w:sz w:val="24"/>
          <w:lang w:eastAsia="zh-CN"/>
        </w:rPr>
        <w:t xml:space="preserve">标的物的交付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8.1  </w:t>
      </w:r>
      <w:r>
        <w:rPr>
          <w:rFonts w:ascii="宋体" w:hAnsi="宋体" w:eastAsia="宋体" w:cs="宋体"/>
          <w:color w:val="000000"/>
          <w:sz w:val="24"/>
          <w:lang w:eastAsia="zh-CN"/>
        </w:rPr>
        <w:t xml:space="preserve">标的物的所有权自标的物交付时转移。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8.2  </w:t>
      </w:r>
      <w:r>
        <w:rPr>
          <w:rFonts w:ascii="宋体" w:hAnsi="宋体" w:eastAsia="宋体" w:cs="宋体"/>
          <w:color w:val="000000"/>
          <w:sz w:val="24"/>
          <w:lang w:eastAsia="zh-CN"/>
        </w:rPr>
        <w:t xml:space="preserve">乙方应当按照约定的期限和甲方指定的地点交付标的物。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8.3  </w:t>
      </w:r>
      <w:r>
        <w:rPr>
          <w:rFonts w:ascii="宋体" w:hAnsi="宋体" w:eastAsia="宋体" w:cs="宋体"/>
          <w:color w:val="000000"/>
          <w:sz w:val="24"/>
          <w:lang w:eastAsia="zh-CN"/>
        </w:rPr>
        <w:t xml:space="preserve">乙方应当按照约定或者交易习惯向甲方交付提取标的物单证以外的有关单证和资料。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9.  </w:t>
      </w:r>
      <w:r>
        <w:rPr>
          <w:rFonts w:ascii="宋体" w:hAnsi="宋体" w:eastAsia="宋体" w:cs="宋体"/>
          <w:b/>
          <w:color w:val="000000"/>
          <w:sz w:val="24"/>
          <w:lang w:eastAsia="zh-CN"/>
        </w:rPr>
        <w:t xml:space="preserve">检验和验收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9.1  </w:t>
      </w:r>
      <w:r>
        <w:rPr>
          <w:rFonts w:ascii="宋体" w:hAnsi="宋体" w:eastAsia="宋体" w:cs="宋体"/>
          <w:color w:val="000000"/>
          <w:sz w:val="24"/>
          <w:lang w:eastAsia="zh-CN"/>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9.2  </w:t>
      </w:r>
      <w:r>
        <w:rPr>
          <w:rFonts w:ascii="宋体" w:hAnsi="宋体" w:eastAsia="宋体" w:cs="宋体"/>
          <w:color w:val="000000"/>
          <w:sz w:val="24"/>
          <w:lang w:eastAsia="zh-CN"/>
        </w:rPr>
        <w:t xml:space="preserve">甲方根据合同规定的内容和验收标准进行验收，同时比较乙方出具的检验证明，经检验无误后出具验收合格证明，该证明作为最终付款所需文件的组成部分。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9.3  </w:t>
      </w:r>
      <w:r>
        <w:rPr>
          <w:rFonts w:ascii="宋体" w:hAnsi="宋体" w:eastAsia="宋体" w:cs="宋体"/>
          <w:color w:val="000000"/>
          <w:sz w:val="24"/>
          <w:lang w:eastAsia="zh-CN"/>
        </w:rPr>
        <w:t xml:space="preserve">验收期限自标的物交付之日起十个工作日内。特殊情况需延长的，双方应在合同的特殊条款中约定。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9.4  </w:t>
      </w:r>
      <w:r>
        <w:rPr>
          <w:rFonts w:ascii="宋体" w:hAnsi="宋体" w:eastAsia="宋体" w:cs="宋体"/>
          <w:color w:val="000000"/>
          <w:sz w:val="24"/>
          <w:lang w:eastAsia="zh-CN"/>
        </w:rPr>
        <w:t xml:space="preserve">如双方对验收结果有分歧，则以太仓市技术质量监督局或以约定的法定检测机构的检验结果为准，检验费用由有过失的一方支付。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四、对标的物提出异议的时间和办法</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10.  </w:t>
      </w:r>
      <w:r>
        <w:rPr>
          <w:rFonts w:ascii="宋体" w:hAnsi="宋体" w:eastAsia="宋体" w:cs="宋体"/>
          <w:b/>
          <w:color w:val="000000"/>
          <w:sz w:val="24"/>
          <w:lang w:eastAsia="zh-CN"/>
        </w:rPr>
        <w:t xml:space="preserve">对标的物提出异议的时间和办法</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10.1  </w:t>
      </w:r>
      <w:r>
        <w:rPr>
          <w:rFonts w:ascii="宋体" w:hAnsi="宋体" w:eastAsia="宋体" w:cs="宋体"/>
          <w:color w:val="000000"/>
          <w:sz w:val="24"/>
          <w:lang w:eastAsia="zh-CN"/>
        </w:rPr>
        <w:t xml:space="preserve">甲方在验收过程中，应当于双方约定的检验期间内将标的物的数量或质量不符合约定的情形及处理方式以书面形式通知乙方。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10.2  </w:t>
      </w:r>
      <w:r>
        <w:rPr>
          <w:rFonts w:ascii="宋体" w:hAnsi="宋体" w:eastAsia="宋体" w:cs="宋体"/>
          <w:color w:val="000000"/>
          <w:sz w:val="24"/>
          <w:lang w:eastAsia="zh-CN"/>
        </w:rPr>
        <w:t xml:space="preserve">如甲方在验收期满后既不出具验收合格证明又未提出书面异议的，并不视为乙方所交标的物符合合同规定，乙方应书面催告甲方进行验收。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10.3  </w:t>
      </w:r>
      <w:r>
        <w:rPr>
          <w:rFonts w:ascii="宋体" w:hAnsi="宋体" w:eastAsia="宋体" w:cs="宋体"/>
          <w:color w:val="000000"/>
          <w:sz w:val="24"/>
          <w:lang w:eastAsia="zh-CN"/>
        </w:rPr>
        <w:t xml:space="preserve">乙方应在收到甲方书面异议后七天内负责处理问题，否则将视为默认甲方提出的异议和处理意见。</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五、合同价款和支付</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11.  </w:t>
      </w:r>
      <w:r>
        <w:rPr>
          <w:rFonts w:ascii="宋体" w:hAnsi="宋体" w:eastAsia="宋体" w:cs="宋体"/>
          <w:b/>
          <w:color w:val="000000"/>
          <w:sz w:val="24"/>
        </w:rPr>
        <w:t xml:space="preserve">合同价款和支付</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11.1 </w:t>
      </w:r>
      <w:r>
        <w:rPr>
          <w:rFonts w:ascii="宋体" w:hAnsi="宋体" w:eastAsia="宋体" w:cs="宋体"/>
          <w:color w:val="000000"/>
          <w:sz w:val="24"/>
          <w:lang w:eastAsia="zh-CN"/>
        </w:rPr>
        <w:t xml:space="preserve">本合同的结算货币为人民币，单位元。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11.2 </w:t>
      </w:r>
      <w:r>
        <w:rPr>
          <w:rFonts w:ascii="宋体" w:hAnsi="宋体" w:eastAsia="宋体" w:cs="宋体"/>
          <w:color w:val="000000"/>
          <w:sz w:val="24"/>
          <w:lang w:eastAsia="zh-CN"/>
        </w:rPr>
        <w:t xml:space="preserve">乙方应按照双方签订的合同规定交货并在合同特殊条款规定的期限内持下列单据结算货款。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11.2.1 </w:t>
      </w:r>
      <w:r>
        <w:rPr>
          <w:rFonts w:ascii="宋体" w:hAnsi="宋体" w:eastAsia="宋体" w:cs="宋体"/>
          <w:color w:val="000000"/>
          <w:sz w:val="24"/>
          <w:lang w:eastAsia="zh-CN"/>
        </w:rPr>
        <w:t xml:space="preserve">合格的销售发票；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11.2.2 </w:t>
      </w:r>
      <w:r>
        <w:rPr>
          <w:rFonts w:ascii="宋体" w:hAnsi="宋体" w:eastAsia="宋体" w:cs="宋体"/>
          <w:color w:val="000000"/>
          <w:sz w:val="24"/>
          <w:lang w:eastAsia="zh-CN"/>
        </w:rPr>
        <w:t xml:space="preserve">甲方盖章签收后的送货回单和验收合格证明。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11.3 </w:t>
      </w:r>
      <w:r>
        <w:rPr>
          <w:rFonts w:ascii="宋体" w:hAnsi="宋体" w:eastAsia="宋体" w:cs="宋体"/>
          <w:color w:val="000000"/>
          <w:sz w:val="24"/>
          <w:lang w:eastAsia="zh-CN"/>
        </w:rPr>
        <w:t xml:space="preserve">甲方应按合同特殊条款规定的期限和方式付款。</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11.4 </w:t>
      </w:r>
      <w:r>
        <w:rPr>
          <w:rFonts w:ascii="宋体" w:hAnsi="宋体" w:eastAsia="宋体" w:cs="宋体"/>
          <w:color w:val="000000"/>
          <w:sz w:val="24"/>
          <w:lang w:eastAsia="zh-CN"/>
        </w:rPr>
        <w:t xml:space="preserve">根据现行税法对甲方征收的与本合同有关的一切税费均由甲方承担；根据现行税法对乙方征收的与本合同有关的一切税费均由乙方承担。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六、违约责任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12.  </w:t>
      </w:r>
      <w:r>
        <w:rPr>
          <w:rFonts w:ascii="宋体" w:hAnsi="宋体" w:eastAsia="宋体" w:cs="宋体"/>
          <w:b/>
          <w:color w:val="000000"/>
          <w:sz w:val="24"/>
          <w:lang w:eastAsia="zh-CN"/>
        </w:rPr>
        <w:t xml:space="preserve">违约责任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合同一方不履行合同义务或者履行合同义务不符合约定的，应当承担继续履行、采取补救措施或者赔偿损失等违约责任。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13.  </w:t>
      </w:r>
      <w:r>
        <w:rPr>
          <w:rFonts w:ascii="宋体" w:hAnsi="宋体" w:eastAsia="宋体" w:cs="宋体"/>
          <w:b/>
          <w:color w:val="000000"/>
          <w:sz w:val="24"/>
          <w:lang w:eastAsia="zh-CN"/>
        </w:rPr>
        <w:t xml:space="preserve">甲方违约责任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13.1  </w:t>
      </w:r>
      <w:r>
        <w:rPr>
          <w:rFonts w:ascii="宋体" w:hAnsi="宋体" w:eastAsia="宋体" w:cs="宋体"/>
          <w:color w:val="000000"/>
          <w:sz w:val="24"/>
          <w:lang w:eastAsia="zh-CN"/>
        </w:rPr>
        <w:t xml:space="preserve">在合同生效后，甲方要求退货的，应向乙方偿付合同总价款</w:t>
      </w:r>
      <w:r>
        <w:rPr>
          <w:rFonts w:ascii="Times New Roman" w:hAnsi="Times New Roman" w:eastAsia="Times New Roman" w:cs="Times New Roman"/>
          <w:color w:val="000000"/>
          <w:sz w:val="24"/>
          <w:lang w:eastAsia="zh-CN"/>
        </w:rPr>
        <w:t xml:space="preserve">5 %</w:t>
      </w:r>
      <w:r>
        <w:rPr>
          <w:rFonts w:ascii="宋体" w:hAnsi="宋体" w:eastAsia="宋体" w:cs="宋体"/>
          <w:color w:val="000000"/>
          <w:sz w:val="24"/>
          <w:lang w:eastAsia="zh-CN"/>
        </w:rPr>
        <w:t xml:space="preserve">的违约金，违约金不足以补偿损失的，乙方有权要求甲方补足。</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13.2  </w:t>
      </w:r>
      <w:r>
        <w:rPr>
          <w:rFonts w:ascii="宋体" w:hAnsi="宋体" w:eastAsia="宋体" w:cs="宋体"/>
          <w:color w:val="000000"/>
          <w:sz w:val="24"/>
          <w:lang w:eastAsia="zh-CN"/>
        </w:rPr>
        <w:t xml:space="preserve">甲方逾期付款的应按照逾期付款金额的每天万分之四支付逾期付款违约金。</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13.3  </w:t>
      </w:r>
      <w:r>
        <w:rPr>
          <w:rFonts w:ascii="宋体" w:hAnsi="宋体" w:eastAsia="宋体" w:cs="宋体"/>
          <w:color w:val="000000"/>
          <w:sz w:val="24"/>
          <w:lang w:eastAsia="zh-CN"/>
        </w:rPr>
        <w:t xml:space="preserve">甲方违反合同规定，拒绝接收乙方交付的合格标的物，应当承担乙方由此造成的损失。</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14.  </w:t>
      </w:r>
      <w:r>
        <w:rPr>
          <w:rFonts w:ascii="宋体" w:hAnsi="宋体" w:eastAsia="宋体" w:cs="宋体"/>
          <w:b/>
          <w:color w:val="000000"/>
          <w:sz w:val="24"/>
          <w:lang w:eastAsia="zh-CN"/>
        </w:rPr>
        <w:t xml:space="preserve">乙方违约责任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14.1  </w:t>
      </w:r>
      <w:r>
        <w:rPr>
          <w:rFonts w:ascii="宋体" w:hAnsi="宋体" w:eastAsia="宋体" w:cs="宋体"/>
          <w:color w:val="000000"/>
          <w:sz w:val="24"/>
          <w:lang w:eastAsia="zh-CN"/>
        </w:rPr>
        <w:t xml:space="preserve">乙方不能交货（逾期超过十五天视为不能交货），或交货不合格从而影响甲方按期正常使用的，甲方有权解除合同，乙方向甲方偿付合同总价款</w:t>
      </w:r>
      <w:r>
        <w:rPr>
          <w:rFonts w:ascii="Times New Roman" w:hAnsi="Times New Roman" w:eastAsia="Times New Roman" w:cs="Times New Roman"/>
          <w:color w:val="000000"/>
          <w:sz w:val="24"/>
          <w:lang w:eastAsia="zh-CN"/>
        </w:rPr>
        <w:t xml:space="preserve">5 %</w:t>
      </w:r>
      <w:r>
        <w:rPr>
          <w:rFonts w:ascii="宋体" w:hAnsi="宋体" w:eastAsia="宋体" w:cs="宋体"/>
          <w:color w:val="000000"/>
          <w:sz w:val="24"/>
          <w:lang w:eastAsia="zh-CN"/>
        </w:rPr>
        <w:t xml:space="preserve">的违约金，违约金不足以补偿损失的甲方有权要求乙方补足。</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14.2  </w:t>
      </w:r>
      <w:r>
        <w:rPr>
          <w:rFonts w:ascii="宋体" w:hAnsi="宋体" w:eastAsia="宋体" w:cs="宋体"/>
          <w:color w:val="000000"/>
          <w:sz w:val="24"/>
          <w:lang w:eastAsia="zh-CN"/>
        </w:rPr>
        <w:t xml:space="preserve">乙方逾期交货的，应在发货前与甲方协商，甲方仍需求的，乙方应立即发货并应按照逾期交货部分货款的每天万分之四支付逾期交货违约金，同时承担甲方因此遭致的损失费用。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15.  </w:t>
      </w:r>
      <w:r>
        <w:rPr>
          <w:rFonts w:ascii="宋体" w:hAnsi="宋体" w:eastAsia="宋体" w:cs="宋体"/>
          <w:b/>
          <w:color w:val="000000"/>
          <w:sz w:val="24"/>
          <w:lang w:eastAsia="zh-CN"/>
        </w:rPr>
        <w:t xml:space="preserve">不可抗力</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15.1  </w:t>
      </w:r>
      <w:r>
        <w:rPr>
          <w:rFonts w:ascii="宋体" w:hAnsi="宋体" w:eastAsia="宋体" w:cs="宋体"/>
          <w:color w:val="000000"/>
          <w:sz w:val="24"/>
          <w:lang w:eastAsia="zh-CN"/>
        </w:rPr>
        <w:t xml:space="preserve">因不可抗力不能履行合同的，根据不可抗力的影响，部分或者全部免除责任。但合同一方迟延履行后发生不可抗力的，不能免除责任。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15.2  </w:t>
      </w:r>
      <w:r>
        <w:rPr>
          <w:rFonts w:ascii="宋体" w:hAnsi="宋体" w:eastAsia="宋体" w:cs="宋体"/>
          <w:color w:val="000000"/>
          <w:sz w:val="24"/>
          <w:lang w:eastAsia="zh-CN"/>
        </w:rPr>
        <w:t xml:space="preserve">合同一方因不可抗力不能履行合同的，应当及时通知对方，以减轻可能给对方造成的损失，并应当在合理期限内提供证明。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七、索赔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16  </w:t>
      </w:r>
      <w:r>
        <w:rPr>
          <w:rFonts w:ascii="宋体" w:hAnsi="宋体" w:eastAsia="宋体" w:cs="宋体"/>
          <w:b/>
          <w:color w:val="000000"/>
          <w:sz w:val="24"/>
          <w:lang w:eastAsia="zh-CN"/>
        </w:rPr>
        <w:t xml:space="preserve">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16.1</w:t>
      </w:r>
      <w:r>
        <w:rPr>
          <w:rFonts w:ascii="宋体" w:hAnsi="宋体" w:eastAsia="宋体" w:cs="宋体"/>
          <w:color w:val="000000"/>
          <w:sz w:val="24"/>
          <w:lang w:eastAsia="zh-CN"/>
        </w:rPr>
        <w:t xml:space="preserve">如在货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w:t>
      </w:r>
      <w:r>
        <w:rPr>
          <w:rFonts w:ascii="Times New Roman" w:hAnsi="Times New Roman" w:eastAsia="Times New Roman" w:cs="Times New Roman"/>
          <w:color w:val="000000"/>
          <w:sz w:val="24"/>
          <w:lang w:eastAsia="zh-CN"/>
        </w:rPr>
        <w:t xml:space="preserve">2-5</w:t>
      </w:r>
      <w:r>
        <w:rPr>
          <w:rFonts w:ascii="宋体" w:hAnsi="宋体" w:eastAsia="宋体" w:cs="宋体"/>
          <w:color w:val="000000"/>
          <w:sz w:val="24"/>
          <w:lang w:eastAsia="zh-CN"/>
        </w:rPr>
        <w:t xml:space="preserve">天内应免费维修或弥补相应的缺陷。如果乙方在收到通知后</w:t>
      </w:r>
      <w:r>
        <w:rPr>
          <w:rFonts w:ascii="Times New Roman" w:hAnsi="Times New Roman" w:eastAsia="Times New Roman" w:cs="Times New Roman"/>
          <w:color w:val="000000"/>
          <w:sz w:val="24"/>
          <w:lang w:eastAsia="zh-CN"/>
        </w:rPr>
        <w:t xml:space="preserve">5</w:t>
      </w:r>
      <w:r>
        <w:rPr>
          <w:rFonts w:ascii="宋体" w:hAnsi="宋体" w:eastAsia="宋体" w:cs="宋体"/>
          <w:color w:val="000000"/>
          <w:sz w:val="24"/>
          <w:lang w:eastAsia="zh-CN"/>
        </w:rPr>
        <w:t xml:space="preserve">天内没有弥补缺陷，甲方可采取必要的补救措施，但风险和费用将由乙方承担，同时甲方对乙方行使的其它权利不受影响。甲方因补救措施所承担的应由乙方承担的费用，有权在甲方应支付给乙方的款项中直接扣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16.2</w:t>
      </w:r>
      <w:r>
        <w:rPr>
          <w:rFonts w:ascii="宋体" w:hAnsi="宋体" w:eastAsia="宋体" w:cs="宋体"/>
          <w:color w:val="000000"/>
          <w:sz w:val="24"/>
          <w:lang w:eastAsia="zh-CN"/>
        </w:rPr>
        <w:t xml:space="preserve">索赔方式除上述规定之外，甲方还有权选择以下方式进行索赔：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1</w:t>
      </w:r>
      <w:r>
        <w:rPr>
          <w:rFonts w:ascii="宋体" w:hAnsi="宋体" w:eastAsia="宋体" w:cs="宋体"/>
          <w:color w:val="000000"/>
          <w:sz w:val="24"/>
          <w:lang w:eastAsia="zh-CN"/>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2</w:t>
      </w:r>
      <w:r>
        <w:rPr>
          <w:rFonts w:ascii="宋体" w:hAnsi="宋体" w:eastAsia="宋体" w:cs="宋体"/>
          <w:color w:val="000000"/>
          <w:sz w:val="24"/>
          <w:lang w:eastAsia="zh-CN"/>
        </w:rPr>
        <w:t xml:space="preserve">）根据标的物的损坏程度以及甲方遭受损失的数额，经甲乙双方商定降低货物的价格。</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3</w:t>
      </w:r>
      <w:r>
        <w:rPr>
          <w:rFonts w:ascii="宋体" w:hAnsi="宋体" w:eastAsia="宋体" w:cs="宋体"/>
          <w:color w:val="000000"/>
          <w:sz w:val="24"/>
          <w:lang w:eastAsia="zh-CN"/>
        </w:rPr>
        <w:t xml:space="preserve">）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w:t>
      </w:r>
      <w:r>
        <w:rPr>
          <w:rFonts w:ascii="Times New Roman" w:hAnsi="Times New Roman" w:eastAsia="Times New Roman" w:cs="Times New Roman"/>
          <w:color w:val="000000"/>
          <w:sz w:val="24"/>
          <w:lang w:eastAsia="zh-CN"/>
        </w:rPr>
        <w:t xml:space="preserve">4</w:t>
      </w:r>
      <w:r>
        <w:rPr>
          <w:rFonts w:ascii="宋体" w:hAnsi="宋体" w:eastAsia="宋体" w:cs="宋体"/>
          <w:color w:val="000000"/>
          <w:sz w:val="24"/>
          <w:lang w:eastAsia="zh-CN"/>
        </w:rPr>
        <w:t xml:space="preserve">）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八、合同的解除和转让</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17.  </w:t>
      </w:r>
      <w:r>
        <w:rPr>
          <w:rFonts w:ascii="宋体" w:hAnsi="宋体" w:eastAsia="宋体" w:cs="宋体"/>
          <w:b/>
          <w:color w:val="000000"/>
          <w:sz w:val="24"/>
        </w:rPr>
        <w:t xml:space="preserve">合同的解除</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17.1</w:t>
      </w:r>
      <w:r>
        <w:rPr>
          <w:rFonts w:ascii="宋体" w:hAnsi="宋体" w:eastAsia="宋体" w:cs="宋体"/>
          <w:color w:val="000000"/>
          <w:sz w:val="24"/>
        </w:rPr>
        <w:t xml:space="preserve">有下列情形之一，合同一方可以解除合同：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17.1.1 </w:t>
      </w:r>
      <w:r>
        <w:rPr>
          <w:rFonts w:ascii="宋体" w:hAnsi="宋体" w:eastAsia="宋体" w:cs="宋体"/>
          <w:color w:val="000000"/>
          <w:sz w:val="24"/>
          <w:lang w:eastAsia="zh-CN"/>
        </w:rPr>
        <w:t xml:space="preserve">因不可抗力致使不能实现合同目的，未受不可抗力影响的一方有权解除合同；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17.1.2 </w:t>
      </w:r>
      <w:r>
        <w:rPr>
          <w:rFonts w:ascii="宋体" w:hAnsi="宋体" w:eastAsia="宋体" w:cs="宋体"/>
          <w:color w:val="000000"/>
          <w:sz w:val="24"/>
          <w:lang w:eastAsia="zh-CN"/>
        </w:rPr>
        <w:t xml:space="preserve">因合同一方违约导致合同不能履行，另一方有权解除合同；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17.2 </w:t>
      </w:r>
      <w:r>
        <w:rPr>
          <w:rFonts w:ascii="宋体" w:hAnsi="宋体" w:eastAsia="宋体" w:cs="宋体"/>
          <w:color w:val="000000"/>
          <w:sz w:val="24"/>
          <w:lang w:eastAsia="zh-CN"/>
        </w:rPr>
        <w:t xml:space="preserve">有权解除合同的一方，应当在违约事实或不可抗力发生之后三十天内书面通知对方以主张解除合同，合同在书面通知到达对方时解除。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18.  </w:t>
      </w:r>
      <w:r>
        <w:rPr>
          <w:rFonts w:ascii="宋体" w:hAnsi="宋体" w:eastAsia="宋体" w:cs="宋体"/>
          <w:b/>
          <w:color w:val="000000"/>
          <w:sz w:val="24"/>
          <w:lang w:eastAsia="zh-CN"/>
        </w:rPr>
        <w:t xml:space="preserve">合同的转让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18.1</w:t>
      </w:r>
      <w:r>
        <w:rPr>
          <w:rFonts w:ascii="宋体" w:hAnsi="宋体" w:eastAsia="宋体" w:cs="宋体"/>
          <w:color w:val="000000"/>
          <w:sz w:val="24"/>
          <w:lang w:eastAsia="zh-CN"/>
        </w:rPr>
        <w:t xml:space="preserve">本合同不得以任何形式转让，否则视为乙方违约，甲方可以单方解除本合同，由此造成甲方的损失由乙方承担赔偿（包括但不限于诉讼费、合理律师费等）。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18.2</w:t>
      </w:r>
      <w:r>
        <w:rPr>
          <w:rFonts w:ascii="宋体" w:hAnsi="宋体" w:eastAsia="宋体" w:cs="宋体"/>
          <w:color w:val="000000"/>
          <w:sz w:val="24"/>
          <w:lang w:eastAsia="zh-CN"/>
        </w:rPr>
        <w:t xml:space="preserve">本合同未经甲方书面同意不得以任何形式的转让或分包，否则视为乙方违约，甲方可以单方解除本合同，由此造成甲方的损失由乙方承担赔偿（包括但不限于诉讼费、合理律师费等）。</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九、合同的生效</w:t>
      </w:r>
      <w:r/>
    </w:p>
    <w:p>
      <w:pPr>
        <w:jc w:val="both"/>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19.  </w:t>
      </w:r>
      <w:r>
        <w:rPr>
          <w:rFonts w:ascii="宋体" w:hAnsi="宋体" w:eastAsia="宋体" w:cs="宋体"/>
          <w:b/>
          <w:color w:val="000000"/>
          <w:sz w:val="24"/>
        </w:rPr>
        <w:t xml:space="preserve">合同的生效</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本合同在双方签字盖章后即生效，同时还需至苏州市公共资源交易中心太仓分中心加盖备案章。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十、争议解决</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20.  </w:t>
      </w:r>
      <w:r>
        <w:rPr>
          <w:rFonts w:ascii="宋体" w:hAnsi="宋体" w:eastAsia="宋体" w:cs="宋体"/>
          <w:b/>
          <w:color w:val="000000"/>
          <w:sz w:val="24"/>
          <w:lang w:eastAsia="zh-CN"/>
        </w:rPr>
        <w:t xml:space="preserve">争议解决</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甲乙双方因合同发生争议，应在采购代理机构的主持下进行调解，协商不成，任何一方可以向甲方所在地人民法院起诉。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十一、附则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21.  </w:t>
      </w:r>
      <w:r>
        <w:rPr>
          <w:rFonts w:ascii="宋体" w:hAnsi="宋体" w:eastAsia="宋体" w:cs="宋体"/>
          <w:b/>
          <w:color w:val="000000"/>
          <w:sz w:val="24"/>
          <w:lang w:eastAsia="zh-CN"/>
        </w:rPr>
        <w:t xml:space="preserve">合同份数。</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本合同一式五份，甲方二份，乙方二份，交易中心一份。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lang w:eastAsia="zh-CN"/>
        </w:rPr>
        <w:t xml:space="preserve">22.  </w:t>
      </w:r>
      <w:r>
        <w:rPr>
          <w:rFonts w:ascii="宋体" w:hAnsi="宋体" w:eastAsia="宋体" w:cs="宋体"/>
          <w:b/>
          <w:color w:val="000000"/>
          <w:sz w:val="24"/>
          <w:lang w:eastAsia="zh-CN"/>
        </w:rPr>
        <w:t xml:space="preserve">未尽事宜</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本合同未尽事宜应按《中华人民共和国民法典》、《中华人民共和国产品质量法》、《中华人民共和国政府采购法》及其他有关政府采购的法律法规之规定解释。</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ind w:firstLine="643"/>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合同主要条款</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供应商：（以下称乙方）</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地址：</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color w:val="000000"/>
          <w:sz w:val="24"/>
          <w:u w:val="single"/>
          <w:lang w:eastAsia="zh-CN"/>
        </w:rPr>
        <w:t xml:space="preserve">杨林船闸“近零碳”船闸示范工程-船闸智慧能源管理系统采购</w:t>
      </w:r>
      <w:r>
        <w:rPr>
          <w:rFonts w:ascii="宋体" w:hAnsi="宋体" w:eastAsia="宋体" w:cs="宋体"/>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color w:val="000000"/>
          <w:sz w:val="24"/>
          <w:lang w:eastAsia="zh-CN"/>
        </w:rPr>
        <w:t xml:space="preserve">JSZC-320585-JZCG-G2024-0119</w:t>
      </w:r>
      <w:r>
        <w:rPr>
          <w:rFonts w:ascii="宋体" w:hAnsi="宋体" w:eastAsia="宋体" w:cs="宋体"/>
          <w:color w:val="000000"/>
          <w:sz w:val="24"/>
          <w:lang w:eastAsia="zh-CN"/>
        </w:rPr>
        <w:t xml:space="preserve">）的招标结果，签订本合同。</w:t>
      </w:r>
      <w:r/>
    </w:p>
    <w:p>
      <w:pPr>
        <w:ind w:firstLine="47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第一条 服务范围</w:t>
      </w:r>
      <w:r/>
    </w:p>
    <w:p>
      <w:pPr>
        <w:ind w:left="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甲方聘请乙方提供以下服务：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（1）本合同项下的服务指：</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（2）服务内容：</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（3）服务标准：</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（4）交付时间、地点：甲方指定。</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第二条 组成本合同的有关文件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5"/>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招标采购文件（</w:t>
      </w:r>
      <w:r>
        <w:rPr>
          <w:rFonts w:ascii="宋体" w:hAnsi="宋体" w:eastAsia="宋体" w:cs="宋体"/>
          <w:b/>
          <w:color w:val="000000"/>
          <w:sz w:val="24"/>
          <w:lang w:eastAsia="zh-CN"/>
        </w:rPr>
        <w:t xml:space="preserve">编号：</w:t>
      </w:r>
      <w:r>
        <w:rPr>
          <w:rFonts w:hint="eastAsia" w:ascii="宋体" w:hAnsi="宋体" w:eastAsia="宋体" w:cs="宋体"/>
          <w:b/>
          <w:color w:val="000000"/>
          <w:sz w:val="24"/>
          <w:lang w:eastAsia="zh-CN"/>
        </w:rPr>
        <w:t xml:space="preserve">JSZC-320585-JZCG-G2024-0119</w:t>
      </w:r>
      <w:r>
        <w:rPr>
          <w:rFonts w:ascii="宋体" w:hAnsi="宋体" w:eastAsia="宋体" w:cs="宋体"/>
          <w:color w:val="000000"/>
          <w:sz w:val="24"/>
          <w:lang w:eastAsia="zh-CN"/>
        </w:rPr>
        <w:t xml:space="preserve">）</w:t>
      </w:r>
      <w:r/>
    </w:p>
    <w:p>
      <w:pPr>
        <w:numPr>
          <w:ilvl w:val="0"/>
          <w:numId w:val="5"/>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乙方提供的投标文件和投标报价表；</w:t>
      </w:r>
      <w:r/>
    </w:p>
    <w:p>
      <w:pPr>
        <w:numPr>
          <w:ilvl w:val="0"/>
          <w:numId w:val="5"/>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乙方在投标过程中所作的其他承诺、声明、书面澄清等；</w:t>
      </w:r>
      <w:r/>
    </w:p>
    <w:p>
      <w:pPr>
        <w:numPr>
          <w:ilvl w:val="0"/>
          <w:numId w:val="5"/>
        </w:num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5"/>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甲乙双方商定的其他文件等。</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第三条 合同总价款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合同价格按此次成交价格执行，合同总金额为人民币___________（大写）人民币，小写：（￥：）元整。</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第四条 合同款支付</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4、付款步骤、方式：</w:t>
      </w:r>
      <w:r/>
    </w:p>
    <w:p>
      <w:pPr>
        <w:pStyle w:val="672"/>
        <w:rPr>
          <w:lang w:eastAsia="zh-CN"/>
        </w:rPr>
      </w:pPr>
      <w:r>
        <w:rPr>
          <w:lang w:eastAsia="zh-CN"/>
        </w:rPr>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第五条 服务质量、成果要求</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第六条 甲、乙双方权利义务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 乙方提供必要的技术培训，协助甲方完成其他需要中标单位配合的服务。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第七条 知识产权</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1、在合同履行过程中，由甲方向乙方提供的资料－－包括但不限于程序、文件、报告、说明、图表等均归甲方所有。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第八条 保密条款</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甲乙双方对在本合同签订、履行过程中知悉的对方资料和信息，除该方作相反的书面说明外，保密要求：</w:t>
      </w:r>
      <w:r>
        <w:rPr>
          <w:rFonts w:ascii="宋体" w:hAnsi="宋体" w:eastAsia="宋体" w:cs="宋体"/>
          <w:color w:val="000000"/>
          <w:sz w:val="24"/>
          <w:lang w:eastAsia="zh-CN"/>
        </w:rPr>
        <w:br/>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1、在合同履行期间，中标人从采购人处所获得的文件、资料及在合同履行过程中所取得的与履行合同有关的工作成果属采购人所有，中标人负有保密义务。未经采购人书面同意，中标人不得在合同期内或合同履行完毕后以任何方式泄露。</w:t>
      </w:r>
      <w:r>
        <w:rPr>
          <w:rFonts w:ascii="宋体" w:hAnsi="宋体" w:eastAsia="宋体" w:cs="宋体"/>
          <w:color w:val="000000"/>
          <w:sz w:val="24"/>
          <w:lang w:eastAsia="zh-CN"/>
        </w:rPr>
        <w:br/>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2、中标人负责对采购方所提供资料及最终成果的保密，未经采购人书面同意，中标人不得把与合同有关的资料给出版社和新闻机构发表或学术引用，或者使用本合同任何部分进行促销和做广告宣传；中标人及其工作人员需遵守采购方的保密规定，不以任何形式将收集的所有资料、数据等进行泄漏、传播；</w:t>
      </w:r>
      <w:r>
        <w:rPr>
          <w:rFonts w:ascii="宋体" w:hAnsi="宋体" w:eastAsia="宋体" w:cs="宋体"/>
          <w:color w:val="000000"/>
          <w:sz w:val="24"/>
          <w:lang w:eastAsia="zh-CN"/>
        </w:rPr>
        <w:br/>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3、项目服务人员需签署相关保密协议，承担工作中接触相关内容的保密义务；</w:t>
      </w:r>
      <w:r>
        <w:rPr>
          <w:rFonts w:ascii="宋体" w:hAnsi="宋体" w:eastAsia="宋体" w:cs="宋体"/>
          <w:color w:val="000000"/>
          <w:sz w:val="24"/>
          <w:lang w:eastAsia="zh-CN"/>
        </w:rPr>
        <w:br/>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4、中标人须维护项目服务成果，不得转让给第三方重复使用。</w:t>
      </w:r>
      <w:r>
        <w:rPr>
          <w:rFonts w:ascii="宋体" w:hAnsi="宋体" w:eastAsia="宋体" w:cs="宋体"/>
          <w:color w:val="000000"/>
          <w:sz w:val="24"/>
          <w:lang w:eastAsia="zh-CN"/>
        </w:rPr>
        <w:br/>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5、以上保密规定如有违反，采购方有权追究中标人相关法律责任。</w:t>
      </w:r>
      <w:r>
        <w:rPr>
          <w:rFonts w:ascii="宋体" w:hAnsi="宋体" w:eastAsia="宋体" w:cs="宋体"/>
          <w:color w:val="000000"/>
          <w:sz w:val="24"/>
          <w:lang w:eastAsia="zh-CN"/>
        </w:rPr>
        <w:br/>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6、本合同的保密条款在合同终止后同样具有约束力</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第九条 风险责任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第十一条 合同的变更和终止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第十二条 合同的转让</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第十三条 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第十四条 不可抗力</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第十五条 索赔</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第十六条 争议的解决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第十七条 诚实信用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第十八条 合同生效及其他</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2、本合同一式</w:t>
      </w:r>
      <w:r>
        <w:rPr>
          <w:rFonts w:hint="eastAsia" w:ascii="宋体" w:hAnsi="宋体" w:eastAsia="宋体" w:cs="宋体"/>
          <w:color w:val="000000"/>
          <w:sz w:val="24"/>
          <w:lang w:eastAsia="zh-CN"/>
        </w:rPr>
        <w:t xml:space="preserve">两份</w:t>
      </w:r>
      <w:r>
        <w:rPr>
          <w:rFonts w:ascii="宋体" w:hAnsi="宋体" w:eastAsia="宋体" w:cs="宋体"/>
          <w:color w:val="000000"/>
          <w:sz w:val="24"/>
          <w:lang w:eastAsia="zh-CN"/>
        </w:rPr>
        <w:t xml:space="preserve">，甲乙双方各执一份。</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乙方（供应商）：（盖章）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代表人：              代表人：</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               电话：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开户银行：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帐号：</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p>
      <w:pPr>
        <w:tabs>
          <w:tab w:val="left" w:pos="6294" w:leader="none"/>
        </w:tabs>
        <w:rPr>
          <w:lang w:eastAsia="zh-CN"/>
        </w:rPr>
      </w:pPr>
      <w:r>
        <w:rPr>
          <w:lang w:eastAsia="zh-CN"/>
        </w:rPr>
      </w:r>
      <w:r/>
    </w:p>
    <w:sectPr>
      <w:headerReference w:type="default" r:id="rId9"/>
      <w:footerReference w:type="default" r:id="rId10"/>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lear" w:pos="7143"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right="630"/>
      <w:jc w:val="right"/>
      <w:tabs>
        <w:tab w:val="clear" w:pos="7143" w:leader="none"/>
        <w:tab w:val="clear" w:pos="14287" w:leader="none"/>
      </w:tabs>
      <w:rPr>
        <w:rFonts w:ascii="宋体" w:hAnsi="宋体"/>
        <w:sz w:val="21"/>
      </w:rPr>
    </w:pPr>
    <w:r>
      <w:rPr>
        <w:rFonts w:ascii="宋体" w:hAnsi="宋体"/>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部分"/>
      <w:lvlJc w:val="left"/>
      <w:pPr>
        <w:ind w:left="13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3"/>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5"/>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5"/>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5"/>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5"/>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5"/>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5"/>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5"/>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5"/>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5"/>
    <w:link w:val="28"/>
    <w:uiPriority w:val="9"/>
    <w:rPr>
      <w:rFonts w:ascii="Arial" w:hAnsi="Arial" w:eastAsia="Arial" w:cs="Arial"/>
      <w:i/>
      <w:iCs/>
      <w:sz w:val="21"/>
      <w:szCs w:val="21"/>
    </w:rPr>
  </w:style>
  <w:style w:type="character" w:styleId="34">
    <w:name w:val="Title Char"/>
    <w:basedOn w:val="665"/>
    <w:link w:val="691"/>
    <w:uiPriority w:val="10"/>
    <w:rPr>
      <w:sz w:val="48"/>
      <w:szCs w:val="48"/>
    </w:rPr>
  </w:style>
  <w:style w:type="character" w:styleId="38">
    <w:name w:val="Quote Char"/>
    <w:link w:val="761"/>
    <w:uiPriority w:val="29"/>
    <w:rPr>
      <w:i/>
    </w:rPr>
  </w:style>
  <w:style w:type="character" w:styleId="40">
    <w:name w:val="Intense Quote Char"/>
    <w:link w:val="763"/>
    <w:uiPriority w:val="30"/>
    <w:rPr>
      <w:i/>
    </w:rPr>
  </w:style>
  <w:style w:type="character" w:styleId="42">
    <w:name w:val="Header Char"/>
    <w:basedOn w:val="665"/>
    <w:link w:val="681"/>
    <w:uiPriority w:val="99"/>
  </w:style>
  <w:style w:type="character" w:styleId="44">
    <w:name w:val="Footer Char"/>
    <w:basedOn w:val="665"/>
    <w:link w:val="679"/>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4" w:default="1">
    <w:name w:val="Normal"/>
    <w:next w:val="667"/>
    <w:uiPriority w:val="0"/>
    <w:qFormat/>
    <w:pPr>
      <w:spacing w:after="200" w:line="276" w:lineRule="auto"/>
    </w:pPr>
    <w:rPr>
      <w:rFonts w:ascii="Arial" w:hAnsi="Arial" w:eastAsia="Arial" w:cs="Arial"/>
      <w:sz w:val="22"/>
      <w:szCs w:val="22"/>
      <w:lang w:val="en-US" w:eastAsia="en-US" w:bidi="ar-SA"/>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Body Text Indent"/>
    <w:basedOn w:val="664"/>
    <w:next w:val="664"/>
    <w:link w:val="895"/>
    <w:uiPriority w:val="99"/>
    <w:qFormat/>
    <w:pPr>
      <w:ind w:firstLine="574"/>
      <w:spacing w:line="312" w:lineRule="atLeast"/>
    </w:pPr>
    <w:rPr>
      <w:rFonts w:ascii="宋体"/>
      <w:sz w:val="28"/>
    </w:rPr>
  </w:style>
  <w:style w:type="paragraph" w:styleId="668">
    <w:name w:val="toc 7"/>
    <w:basedOn w:val="664"/>
    <w:next w:val="664"/>
    <w:uiPriority w:val="39"/>
    <w:qFormat/>
    <w:pPr>
      <w:ind w:left="1701"/>
      <w:spacing w:after="57"/>
    </w:pPr>
  </w:style>
  <w:style w:type="paragraph" w:styleId="669">
    <w:name w:val="Normal Indent"/>
    <w:basedOn w:val="664"/>
    <w:next w:val="664"/>
    <w:uiPriority w:val="0"/>
    <w:qFormat/>
    <w:pPr>
      <w:ind w:firstLine="420"/>
    </w:pPr>
  </w:style>
  <w:style w:type="paragraph" w:styleId="670">
    <w:name w:val="Document Map"/>
    <w:basedOn w:val="664"/>
    <w:uiPriority w:val="99"/>
    <w:qFormat/>
    <w:pPr>
      <w:shd w:val="clear" w:color="auto" w:fill="000080"/>
    </w:pPr>
  </w:style>
  <w:style w:type="paragraph" w:styleId="671">
    <w:name w:val="annotation text"/>
    <w:basedOn w:val="664"/>
    <w:link w:val="893"/>
    <w:uiPriority w:val="99"/>
    <w:qFormat/>
    <w:rPr>
      <w:rFonts w:ascii="Calibri" w:hAnsi="Calibri"/>
    </w:rPr>
  </w:style>
  <w:style w:type="paragraph" w:styleId="672">
    <w:name w:val="Body Text"/>
    <w:basedOn w:val="664"/>
    <w:next w:val="664"/>
    <w:uiPriority w:val="0"/>
    <w:qFormat/>
    <w:rPr>
      <w:rFonts w:ascii="楷体_GB2312" w:eastAsia="楷体_GB2312"/>
      <w:sz w:val="28"/>
    </w:rPr>
  </w:style>
  <w:style w:type="paragraph" w:styleId="673">
    <w:name w:val="toc 5"/>
    <w:basedOn w:val="664"/>
    <w:next w:val="664"/>
    <w:uiPriority w:val="39"/>
    <w:qFormat/>
    <w:pPr>
      <w:ind w:left="1134"/>
      <w:spacing w:after="57"/>
    </w:pPr>
  </w:style>
  <w:style w:type="paragraph" w:styleId="674">
    <w:name w:val="toc 3"/>
    <w:basedOn w:val="664"/>
    <w:next w:val="664"/>
    <w:uiPriority w:val="39"/>
    <w:qFormat/>
    <w:pPr>
      <w:ind w:left="567"/>
      <w:spacing w:after="57"/>
    </w:pPr>
  </w:style>
  <w:style w:type="paragraph" w:styleId="675">
    <w:name w:val="Plain Text"/>
    <w:basedOn w:val="664"/>
    <w:uiPriority w:val="99"/>
    <w:qFormat/>
    <w:rPr>
      <w:rFonts w:hint="eastAsia" w:ascii="宋体" w:hAnsi="Courier New" w:cs="Times New Roman"/>
    </w:rPr>
  </w:style>
  <w:style w:type="paragraph" w:styleId="676">
    <w:name w:val="toc 8"/>
    <w:basedOn w:val="664"/>
    <w:next w:val="664"/>
    <w:uiPriority w:val="39"/>
    <w:qFormat/>
    <w:pPr>
      <w:ind w:left="1984"/>
      <w:spacing w:after="57"/>
    </w:pPr>
  </w:style>
  <w:style w:type="paragraph" w:styleId="677">
    <w:name w:val="endnote text"/>
    <w:basedOn w:val="664"/>
    <w:link w:val="875"/>
    <w:uiPriority w:val="99"/>
    <w:qFormat/>
    <w:pPr>
      <w:spacing w:after="0" w:line="240" w:lineRule="auto"/>
    </w:pPr>
    <w:rPr>
      <w:sz w:val="20"/>
    </w:rPr>
  </w:style>
  <w:style w:type="paragraph" w:styleId="678">
    <w:name w:val="Balloon Text"/>
    <w:basedOn w:val="664"/>
    <w:link w:val="884"/>
    <w:uiPriority w:val="99"/>
    <w:qFormat/>
    <w:pPr>
      <w:spacing w:after="0" w:line="240" w:lineRule="auto"/>
    </w:pPr>
    <w:rPr>
      <w:sz w:val="18"/>
      <w:szCs w:val="18"/>
    </w:rPr>
  </w:style>
  <w:style w:type="paragraph" w:styleId="679">
    <w:name w:val="Footer"/>
    <w:basedOn w:val="664"/>
    <w:link w:val="891"/>
    <w:uiPriority w:val="99"/>
    <w:qFormat/>
    <w:pPr>
      <w:spacing w:line="240" w:lineRule="auto"/>
      <w:tabs>
        <w:tab w:val="center" w:pos="4153" w:leader="none"/>
        <w:tab w:val="right" w:pos="8306" w:leader="none"/>
      </w:tabs>
    </w:pPr>
    <w:rPr>
      <w:sz w:val="18"/>
      <w:szCs w:val="18"/>
    </w:rPr>
  </w:style>
  <w:style w:type="paragraph" w:styleId="680">
    <w:name w:val="envelope return"/>
    <w:basedOn w:val="664"/>
    <w:uiPriority w:val="0"/>
    <w:qFormat/>
    <w:rPr>
      <w:rFonts w:eastAsia="宋体" w:cs="Times New Roman"/>
    </w:rPr>
  </w:style>
  <w:style w:type="paragraph" w:styleId="681">
    <w:name w:val="Header"/>
    <w:basedOn w:val="664"/>
    <w:link w:val="890"/>
    <w:uiPriority w:val="99"/>
    <w:qFormat/>
    <w:pPr>
      <w:jc w:val="center"/>
      <w:spacing w:line="240" w:lineRule="auto"/>
      <w:tabs>
        <w:tab w:val="center" w:pos="4153" w:leader="none"/>
        <w:tab w:val="right" w:pos="8306" w:leader="none"/>
      </w:tabs>
      <w:pBdr>
        <w:bottom w:val="single" w:color="auto" w:sz="6" w:space="1"/>
      </w:pBdr>
    </w:pPr>
    <w:rPr>
      <w:sz w:val="18"/>
      <w:szCs w:val="18"/>
    </w:rPr>
  </w:style>
  <w:style w:type="paragraph" w:styleId="682">
    <w:name w:val="toc 1"/>
    <w:basedOn w:val="664"/>
    <w:next w:val="664"/>
    <w:uiPriority w:val="39"/>
    <w:qFormat/>
    <w:pPr>
      <w:spacing w:after="57"/>
    </w:pPr>
  </w:style>
  <w:style w:type="paragraph" w:styleId="683">
    <w:name w:val="toc 4"/>
    <w:basedOn w:val="664"/>
    <w:next w:val="664"/>
    <w:uiPriority w:val="39"/>
    <w:qFormat/>
    <w:pPr>
      <w:ind w:left="850"/>
      <w:spacing w:after="57"/>
    </w:pPr>
  </w:style>
  <w:style w:type="paragraph" w:styleId="684">
    <w:name w:val="Subtitle"/>
    <w:basedOn w:val="664"/>
    <w:next w:val="664"/>
    <w:link w:val="760"/>
    <w:uiPriority w:val="11"/>
    <w:qFormat/>
    <w:pPr>
      <w:spacing w:before="200"/>
    </w:pPr>
    <w:rPr>
      <w:sz w:val="24"/>
      <w:szCs w:val="24"/>
    </w:rPr>
  </w:style>
  <w:style w:type="paragraph" w:styleId="685">
    <w:name w:val="footnote text"/>
    <w:basedOn w:val="664"/>
    <w:link w:val="874"/>
    <w:uiPriority w:val="99"/>
    <w:qFormat/>
    <w:pPr>
      <w:spacing w:after="40" w:line="240" w:lineRule="auto"/>
    </w:pPr>
    <w:rPr>
      <w:sz w:val="18"/>
    </w:rPr>
  </w:style>
  <w:style w:type="paragraph" w:styleId="686">
    <w:name w:val="toc 6"/>
    <w:basedOn w:val="664"/>
    <w:next w:val="664"/>
    <w:uiPriority w:val="39"/>
    <w:qFormat/>
    <w:pPr>
      <w:ind w:left="1417"/>
      <w:spacing w:after="57"/>
    </w:pPr>
  </w:style>
  <w:style w:type="paragraph" w:styleId="687">
    <w:name w:val="table of figures"/>
    <w:basedOn w:val="664"/>
    <w:next w:val="664"/>
    <w:uiPriority w:val="99"/>
    <w:qFormat/>
    <w:pPr>
      <w:spacing w:after="0"/>
    </w:pPr>
  </w:style>
  <w:style w:type="paragraph" w:styleId="688">
    <w:name w:val="toc 2"/>
    <w:basedOn w:val="664"/>
    <w:next w:val="664"/>
    <w:uiPriority w:val="39"/>
    <w:qFormat/>
    <w:pPr>
      <w:ind w:left="283"/>
      <w:spacing w:after="57"/>
    </w:pPr>
  </w:style>
  <w:style w:type="paragraph" w:styleId="689">
    <w:name w:val="toc 9"/>
    <w:basedOn w:val="664"/>
    <w:next w:val="664"/>
    <w:uiPriority w:val="39"/>
    <w:qFormat/>
    <w:pPr>
      <w:ind w:left="2268"/>
      <w:spacing w:after="57"/>
    </w:pPr>
  </w:style>
  <w:style w:type="paragraph" w:styleId="690">
    <w:name w:val="Normal (Web)"/>
    <w:basedOn w:val="664"/>
    <w:uiPriority w:val="99"/>
    <w:qFormat/>
    <w:pPr>
      <w:spacing w:before="100" w:beforeAutospacing="1" w:after="100" w:afterAutospacing="1"/>
    </w:pPr>
    <w:rPr>
      <w:rFonts w:ascii="宋体" w:hAnsi="宋体" w:eastAsia="楷体_GB2312"/>
      <w:sz w:val="24"/>
    </w:rPr>
  </w:style>
  <w:style w:type="paragraph" w:styleId="691">
    <w:name w:val="Title"/>
    <w:basedOn w:val="664"/>
    <w:next w:val="664"/>
    <w:link w:val="759"/>
    <w:uiPriority w:val="10"/>
    <w:qFormat/>
    <w:pPr>
      <w:contextualSpacing/>
      <w:spacing w:before="300"/>
    </w:pPr>
    <w:rPr>
      <w:sz w:val="48"/>
      <w:szCs w:val="48"/>
    </w:rPr>
  </w:style>
  <w:style w:type="paragraph" w:styleId="692">
    <w:name w:val="annotation subject"/>
    <w:basedOn w:val="671"/>
    <w:next w:val="671"/>
    <w:link w:val="894"/>
    <w:uiPriority w:val="99"/>
    <w:semiHidden/>
    <w:unhideWhenUsed/>
    <w:qFormat/>
    <w:rPr>
      <w:rFonts w:ascii="Arial" w:hAnsi="Arial"/>
      <w:b/>
      <w:bCs/>
    </w:rPr>
  </w:style>
  <w:style w:type="paragraph" w:styleId="693">
    <w:name w:val="Body Text First Indent"/>
    <w:basedOn w:val="672"/>
    <w:uiPriority w:val="0"/>
    <w:qFormat/>
    <w:pPr>
      <w:numPr>
        <w:ilvl w:val="0"/>
        <w:numId w:val="1"/>
      </w:numPr>
      <w:ind w:left="0" w:firstLine="420"/>
      <w:spacing w:after="120"/>
      <w:tabs>
        <w:tab w:val="clear" w:pos="780" w:leader="none"/>
      </w:tabs>
    </w:pPr>
    <w:rPr>
      <w:rFonts w:ascii="Tahoma" w:hAnsi="Tahoma" w:eastAsia="Times New Roman"/>
      <w:sz w:val="21"/>
      <w:szCs w:val="24"/>
    </w:rPr>
  </w:style>
  <w:style w:type="table" w:styleId="694">
    <w:name w:val="Table Grid"/>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5">
    <w:name w:val="Strong"/>
    <w:basedOn w:val="665"/>
    <w:uiPriority w:val="22"/>
    <w:qFormat/>
    <w:rPr>
      <w:b/>
      <w:bCs/>
    </w:rPr>
  </w:style>
  <w:style w:type="character" w:styleId="696">
    <w:name w:val="endnote reference"/>
    <w:uiPriority w:val="99"/>
    <w:qFormat/>
    <w:rPr>
      <w:vertAlign w:val="superscript"/>
    </w:rPr>
  </w:style>
  <w:style w:type="character" w:styleId="697">
    <w:name w:val="page number"/>
    <w:uiPriority w:val="99"/>
    <w:qFormat/>
  </w:style>
  <w:style w:type="character" w:styleId="698">
    <w:name w:val="Hyperlink"/>
    <w:uiPriority w:val="99"/>
    <w:qFormat/>
    <w:rPr>
      <w:color w:val="0563c1"/>
      <w:u w:val="single"/>
    </w:rPr>
  </w:style>
  <w:style w:type="character" w:styleId="699">
    <w:name w:val="annotation reference"/>
    <w:uiPriority w:val="99"/>
    <w:qFormat/>
    <w:rPr>
      <w:sz w:val="21"/>
      <w:szCs w:val="21"/>
    </w:rPr>
  </w:style>
  <w:style w:type="character" w:styleId="700">
    <w:name w:val="footnote reference"/>
    <w:uiPriority w:val="99"/>
    <w:qFormat/>
    <w:rPr>
      <w:vertAlign w:val="superscript"/>
    </w:rPr>
  </w:style>
  <w:style w:type="character" w:styleId="701" w:customStyle="1">
    <w:name w:val="Heading 1 Char_bb6a77ba-7140-4165-8531-bd1a02f6090d"/>
    <w:basedOn w:val="665"/>
    <w:uiPriority w:val="9"/>
    <w:qFormat/>
    <w:rPr>
      <w:rFonts w:ascii="Arial" w:hAnsi="Arial" w:eastAsia="Arial" w:cs="Arial"/>
      <w:sz w:val="40"/>
      <w:szCs w:val="40"/>
    </w:rPr>
  </w:style>
  <w:style w:type="character" w:styleId="702" w:customStyle="1">
    <w:name w:val="Heading 2 Char_a111de1e-1e41-4f89-9583-374049debfd7"/>
    <w:basedOn w:val="665"/>
    <w:uiPriority w:val="9"/>
    <w:qFormat/>
    <w:rPr>
      <w:rFonts w:ascii="Arial" w:hAnsi="Arial" w:eastAsia="Arial" w:cs="Arial"/>
      <w:sz w:val="34"/>
    </w:rPr>
  </w:style>
  <w:style w:type="character" w:styleId="703" w:customStyle="1">
    <w:name w:val="Heading 3 Char_435a3243-a050-4c67-9db5-c725a91bd670"/>
    <w:basedOn w:val="665"/>
    <w:uiPriority w:val="9"/>
    <w:qFormat/>
    <w:rPr>
      <w:rFonts w:ascii="Arial" w:hAnsi="Arial" w:eastAsia="Arial" w:cs="Arial"/>
      <w:sz w:val="30"/>
      <w:szCs w:val="30"/>
    </w:rPr>
  </w:style>
  <w:style w:type="character" w:styleId="704" w:customStyle="1">
    <w:name w:val="Heading 4 Char_dbb6a1d2-e908-4e8a-9be7-ec16f22f39cc"/>
    <w:basedOn w:val="665"/>
    <w:uiPriority w:val="9"/>
    <w:qFormat/>
    <w:rPr>
      <w:rFonts w:ascii="Arial" w:hAnsi="Arial" w:eastAsia="Arial" w:cs="Arial"/>
      <w:b/>
      <w:bCs/>
      <w:sz w:val="26"/>
      <w:szCs w:val="26"/>
    </w:rPr>
  </w:style>
  <w:style w:type="character" w:styleId="705" w:customStyle="1">
    <w:name w:val="Heading 5 Char_6edbacdf-6a75-4505-b452-59b5ea3b8fe4"/>
    <w:basedOn w:val="665"/>
    <w:uiPriority w:val="9"/>
    <w:qFormat/>
    <w:rPr>
      <w:rFonts w:ascii="Arial" w:hAnsi="Arial" w:eastAsia="Arial" w:cs="Arial"/>
      <w:b/>
      <w:bCs/>
      <w:sz w:val="24"/>
      <w:szCs w:val="24"/>
    </w:rPr>
  </w:style>
  <w:style w:type="character" w:styleId="706" w:customStyle="1">
    <w:name w:val="Heading 6 Char_27a6887a-72ba-4c2d-bddc-ddf6a3d51d3b"/>
    <w:basedOn w:val="665"/>
    <w:uiPriority w:val="9"/>
    <w:qFormat/>
    <w:rPr>
      <w:rFonts w:ascii="Arial" w:hAnsi="Arial" w:eastAsia="Arial" w:cs="Arial"/>
      <w:b/>
      <w:bCs/>
      <w:sz w:val="22"/>
      <w:szCs w:val="22"/>
    </w:rPr>
  </w:style>
  <w:style w:type="character" w:styleId="707" w:customStyle="1">
    <w:name w:val="Heading 7 Char_44846031-b8fa-43d0-bfaa-912289af43d4"/>
    <w:basedOn w:val="665"/>
    <w:uiPriority w:val="9"/>
    <w:qFormat/>
    <w:rPr>
      <w:rFonts w:ascii="Arial" w:hAnsi="Arial" w:eastAsia="Arial" w:cs="Arial"/>
      <w:b/>
      <w:bCs/>
      <w:i/>
      <w:iCs/>
      <w:sz w:val="22"/>
      <w:szCs w:val="22"/>
    </w:rPr>
  </w:style>
  <w:style w:type="character" w:styleId="708" w:customStyle="1">
    <w:name w:val="Heading 8 Char_7a41dff1-3302-4004-8875-0e54e5fe899f"/>
    <w:basedOn w:val="665"/>
    <w:uiPriority w:val="9"/>
    <w:qFormat/>
    <w:rPr>
      <w:rFonts w:ascii="Arial" w:hAnsi="Arial" w:eastAsia="Arial" w:cs="Arial"/>
      <w:i/>
      <w:iCs/>
      <w:sz w:val="22"/>
      <w:szCs w:val="22"/>
    </w:rPr>
  </w:style>
  <w:style w:type="character" w:styleId="709" w:customStyle="1">
    <w:name w:val="Heading 9 Char_4064f7da-afe1-4051-958d-5875c985279b"/>
    <w:basedOn w:val="665"/>
    <w:uiPriority w:val="9"/>
    <w:qFormat/>
    <w:rPr>
      <w:rFonts w:ascii="Arial" w:hAnsi="Arial" w:eastAsia="Arial" w:cs="Arial"/>
      <w:i/>
      <w:iCs/>
      <w:sz w:val="21"/>
      <w:szCs w:val="21"/>
    </w:rPr>
  </w:style>
  <w:style w:type="character" w:styleId="710" w:customStyle="1">
    <w:name w:val="Title Char_1d665464-2284-4a09-a0e7-34f837921742"/>
    <w:basedOn w:val="665"/>
    <w:uiPriority w:val="10"/>
    <w:qFormat/>
    <w:rPr>
      <w:sz w:val="48"/>
      <w:szCs w:val="48"/>
    </w:rPr>
  </w:style>
  <w:style w:type="character" w:styleId="711" w:customStyle="1">
    <w:name w:val="Subtitle Char"/>
    <w:basedOn w:val="665"/>
    <w:uiPriority w:val="11"/>
    <w:qFormat/>
    <w:rPr>
      <w:sz w:val="24"/>
      <w:szCs w:val="24"/>
    </w:rPr>
  </w:style>
  <w:style w:type="character" w:styleId="712" w:customStyle="1">
    <w:name w:val="Quote Char_17c6aa29-0123-43d3-bc80-310647a46c35"/>
    <w:uiPriority w:val="29"/>
    <w:qFormat/>
    <w:rPr>
      <w:i/>
    </w:rPr>
  </w:style>
  <w:style w:type="character" w:styleId="713" w:customStyle="1">
    <w:name w:val="Intense Quote Char_05437a80-d532-4761-ad2b-ee12d0ddf8ec"/>
    <w:uiPriority w:val="30"/>
    <w:qFormat/>
    <w:rPr>
      <w:i/>
    </w:rPr>
  </w:style>
  <w:style w:type="character" w:styleId="714" w:customStyle="1">
    <w:name w:val="Header Char_8e3f5102-f0e4-464c-9120-b8d05e7c552c"/>
    <w:basedOn w:val="665"/>
    <w:uiPriority w:val="99"/>
    <w:qFormat/>
  </w:style>
  <w:style w:type="character" w:styleId="715" w:customStyle="1">
    <w:name w:val="Caption Char"/>
    <w:uiPriority w:val="99"/>
    <w:qFormat/>
  </w:style>
  <w:style w:type="table" w:styleId="716" w:customStyle="1">
    <w:name w:val="无格式表格 11"/>
    <w:basedOn w:val="66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21"/>
    <w:basedOn w:val="66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31"/>
    <w:basedOn w:val="66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basedOn w:val="66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basedOn w:val="666"/>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网格表 1 浅色1"/>
    <w:basedOn w:val="66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22" w:customStyle="1">
    <w:name w:val="网格表 21"/>
    <w:basedOn w:val="66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23" w:customStyle="1">
    <w:name w:val="网格表 31"/>
    <w:basedOn w:val="666"/>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basedOn w:val="66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25" w:customStyle="1">
    <w:name w:val="网格表 5 深色1"/>
    <w:basedOn w:val="6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26" w:customStyle="1">
    <w:name w:val="网格表 6 彩色1"/>
    <w:basedOn w:val="66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27" w:customStyle="1">
    <w:name w:val="网格表 7 彩色1"/>
    <w:basedOn w:val="666"/>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28" w:customStyle="1">
    <w:name w:val="清单表 1 浅色1"/>
    <w:basedOn w:val="666"/>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29" w:customStyle="1">
    <w:name w:val="清单表 21"/>
    <w:basedOn w:val="666"/>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30" w:customStyle="1">
    <w:name w:val="清单表 31"/>
    <w:basedOn w:val="66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1" w:customStyle="1">
    <w:name w:val="清单表 41"/>
    <w:basedOn w:val="66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2" w:customStyle="1">
    <w:name w:val="清单表 5 深色1"/>
    <w:basedOn w:val="666"/>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33" w:customStyle="1">
    <w:name w:val="清单表 6 彩色1"/>
    <w:basedOn w:val="666"/>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34" w:customStyle="1">
    <w:name w:val="清单表 7 彩色1"/>
    <w:basedOn w:val="666"/>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35" w:customStyle="1">
    <w:name w:val="Footnote Text Char"/>
    <w:uiPriority w:val="99"/>
    <w:qFormat/>
    <w:rPr>
      <w:sz w:val="18"/>
    </w:rPr>
  </w:style>
  <w:style w:type="character" w:styleId="736" w:customStyle="1">
    <w:name w:val="Endnote Text Char"/>
    <w:uiPriority w:val="99"/>
    <w:qFormat/>
    <w:rPr>
      <w:sz w:val="20"/>
    </w:rPr>
  </w:style>
  <w:style w:type="paragraph" w:styleId="737" w:customStyle="1">
    <w:name w:val="TOC 标题1"/>
    <w:uiPriority w:val="39"/>
    <w:qFormat/>
    <w:rPr>
      <w:rFonts w:ascii="Times New Roman" w:hAnsi="Times New Roman" w:eastAsia="宋体" w:cs="Times New Roman"/>
      <w:lang w:val="en-US" w:eastAsia="zh-CN" w:bidi="ar-SA"/>
    </w:rPr>
  </w:style>
  <w:style w:type="paragraph" w:styleId="738" w:customStyle="1">
    <w:name w:val="标题 11"/>
    <w:basedOn w:val="664"/>
    <w:next w:val="664"/>
    <w:link w:val="750"/>
    <w:uiPriority w:val="9"/>
    <w:qFormat/>
    <w:pPr>
      <w:keepLines/>
      <w:keepNext/>
      <w:spacing w:before="480"/>
      <w:outlineLvl w:val="0"/>
    </w:pPr>
    <w:rPr>
      <w:sz w:val="40"/>
      <w:szCs w:val="40"/>
    </w:rPr>
  </w:style>
  <w:style w:type="paragraph" w:styleId="739" w:customStyle="1">
    <w:name w:val="标题 21"/>
    <w:basedOn w:val="664"/>
    <w:next w:val="664"/>
    <w:link w:val="751"/>
    <w:uiPriority w:val="9"/>
    <w:qFormat/>
    <w:pPr>
      <w:keepLines/>
      <w:keepNext/>
      <w:spacing w:before="360"/>
      <w:outlineLvl w:val="1"/>
    </w:pPr>
    <w:rPr>
      <w:sz w:val="34"/>
    </w:rPr>
  </w:style>
  <w:style w:type="paragraph" w:styleId="740" w:customStyle="1">
    <w:name w:val="标题 31"/>
    <w:basedOn w:val="664"/>
    <w:next w:val="664"/>
    <w:link w:val="752"/>
    <w:uiPriority w:val="9"/>
    <w:qFormat/>
    <w:pPr>
      <w:keepLines/>
      <w:keepNext/>
      <w:spacing w:before="320"/>
      <w:outlineLvl w:val="2"/>
    </w:pPr>
    <w:rPr>
      <w:sz w:val="30"/>
      <w:szCs w:val="30"/>
    </w:rPr>
  </w:style>
  <w:style w:type="paragraph" w:styleId="741" w:customStyle="1">
    <w:name w:val="标题 41"/>
    <w:basedOn w:val="664"/>
    <w:next w:val="664"/>
    <w:link w:val="753"/>
    <w:uiPriority w:val="9"/>
    <w:qFormat/>
    <w:pPr>
      <w:keepLines/>
      <w:keepNext/>
      <w:spacing w:before="320"/>
      <w:outlineLvl w:val="3"/>
    </w:pPr>
    <w:rPr>
      <w:b/>
      <w:bCs/>
      <w:sz w:val="26"/>
      <w:szCs w:val="26"/>
    </w:rPr>
  </w:style>
  <w:style w:type="paragraph" w:styleId="742" w:customStyle="1">
    <w:name w:val="标题 51"/>
    <w:basedOn w:val="664"/>
    <w:next w:val="664"/>
    <w:link w:val="754"/>
    <w:uiPriority w:val="9"/>
    <w:qFormat/>
    <w:pPr>
      <w:keepLines/>
      <w:keepNext/>
      <w:spacing w:before="320"/>
      <w:outlineLvl w:val="4"/>
    </w:pPr>
    <w:rPr>
      <w:b/>
      <w:bCs/>
      <w:sz w:val="24"/>
      <w:szCs w:val="24"/>
    </w:rPr>
  </w:style>
  <w:style w:type="paragraph" w:styleId="743" w:customStyle="1">
    <w:name w:val="标题 61"/>
    <w:basedOn w:val="664"/>
    <w:next w:val="664"/>
    <w:link w:val="755"/>
    <w:uiPriority w:val="9"/>
    <w:qFormat/>
    <w:pPr>
      <w:keepLines/>
      <w:keepNext/>
      <w:spacing w:before="320"/>
      <w:outlineLvl w:val="5"/>
    </w:pPr>
    <w:rPr>
      <w:b/>
      <w:bCs/>
    </w:rPr>
  </w:style>
  <w:style w:type="paragraph" w:styleId="744" w:customStyle="1">
    <w:name w:val="标题 71"/>
    <w:basedOn w:val="664"/>
    <w:next w:val="664"/>
    <w:link w:val="756"/>
    <w:uiPriority w:val="9"/>
    <w:qFormat/>
    <w:pPr>
      <w:keepLines/>
      <w:keepNext/>
      <w:spacing w:before="320"/>
      <w:outlineLvl w:val="6"/>
    </w:pPr>
    <w:rPr>
      <w:b/>
      <w:bCs/>
      <w:i/>
      <w:iCs/>
    </w:rPr>
  </w:style>
  <w:style w:type="paragraph" w:styleId="745" w:customStyle="1">
    <w:name w:val="标题 81"/>
    <w:basedOn w:val="664"/>
    <w:next w:val="664"/>
    <w:link w:val="757"/>
    <w:uiPriority w:val="9"/>
    <w:qFormat/>
    <w:pPr>
      <w:keepLines/>
      <w:keepNext/>
      <w:spacing w:before="320"/>
      <w:outlineLvl w:val="7"/>
    </w:pPr>
    <w:rPr>
      <w:i/>
      <w:iCs/>
    </w:rPr>
  </w:style>
  <w:style w:type="paragraph" w:styleId="746" w:customStyle="1">
    <w:name w:val="标题 91"/>
    <w:basedOn w:val="664"/>
    <w:next w:val="664"/>
    <w:link w:val="758"/>
    <w:uiPriority w:val="9"/>
    <w:qFormat/>
    <w:pPr>
      <w:keepLines/>
      <w:keepNext/>
      <w:spacing w:before="320"/>
      <w:outlineLvl w:val="8"/>
    </w:pPr>
    <w:rPr>
      <w:i/>
      <w:iCs/>
      <w:sz w:val="21"/>
      <w:szCs w:val="21"/>
    </w:rPr>
  </w:style>
  <w:style w:type="paragraph" w:styleId="747" w:customStyle="1">
    <w:name w:val="题注1"/>
    <w:basedOn w:val="664"/>
    <w:next w:val="664"/>
    <w:uiPriority w:val="35"/>
    <w:qFormat/>
    <w:rPr>
      <w:b/>
      <w:bCs/>
      <w:color w:val="5b9bd5"/>
      <w:sz w:val="18"/>
      <w:szCs w:val="18"/>
    </w:rPr>
  </w:style>
  <w:style w:type="paragraph" w:styleId="748" w:customStyle="1">
    <w:name w:val="页脚1"/>
    <w:basedOn w:val="664"/>
    <w:link w:val="767"/>
    <w:uiPriority w:val="99"/>
    <w:qFormat/>
    <w:pPr>
      <w:spacing w:after="0" w:line="240" w:lineRule="auto"/>
      <w:tabs>
        <w:tab w:val="center" w:pos="7143" w:leader="none"/>
        <w:tab w:val="right" w:pos="14287" w:leader="none"/>
      </w:tabs>
    </w:pPr>
  </w:style>
  <w:style w:type="paragraph" w:styleId="749" w:customStyle="1">
    <w:name w:val="页眉1"/>
    <w:basedOn w:val="664"/>
    <w:link w:val="765"/>
    <w:uiPriority w:val="99"/>
    <w:qFormat/>
    <w:pPr>
      <w:spacing w:after="0" w:line="240" w:lineRule="auto"/>
      <w:tabs>
        <w:tab w:val="center" w:pos="7143" w:leader="none"/>
        <w:tab w:val="right" w:pos="14287" w:leader="none"/>
      </w:tabs>
    </w:pPr>
  </w:style>
  <w:style w:type="character" w:styleId="750" w:customStyle="1">
    <w:name w:val="标题 1 字符"/>
    <w:link w:val="738"/>
    <w:uiPriority w:val="9"/>
    <w:qFormat/>
    <w:rPr>
      <w:rFonts w:ascii="Arial" w:hAnsi="Arial" w:eastAsia="Arial" w:cs="Arial"/>
      <w:sz w:val="40"/>
      <w:szCs w:val="40"/>
    </w:rPr>
  </w:style>
  <w:style w:type="character" w:styleId="751" w:customStyle="1">
    <w:name w:val="标题 2 字符"/>
    <w:link w:val="739"/>
    <w:uiPriority w:val="9"/>
    <w:qFormat/>
    <w:rPr>
      <w:rFonts w:ascii="Arial" w:hAnsi="Arial" w:eastAsia="Arial" w:cs="Arial"/>
      <w:sz w:val="34"/>
    </w:rPr>
  </w:style>
  <w:style w:type="character" w:styleId="752" w:customStyle="1">
    <w:name w:val="标题 3 字符"/>
    <w:link w:val="740"/>
    <w:uiPriority w:val="9"/>
    <w:qFormat/>
    <w:rPr>
      <w:rFonts w:ascii="Arial" w:hAnsi="Arial" w:eastAsia="Arial" w:cs="Arial"/>
      <w:sz w:val="30"/>
      <w:szCs w:val="30"/>
    </w:rPr>
  </w:style>
  <w:style w:type="character" w:styleId="753" w:customStyle="1">
    <w:name w:val="标题 4 字符"/>
    <w:link w:val="741"/>
    <w:uiPriority w:val="9"/>
    <w:qFormat/>
    <w:rPr>
      <w:rFonts w:ascii="Arial" w:hAnsi="Arial" w:eastAsia="Arial" w:cs="Arial"/>
      <w:b/>
      <w:bCs/>
      <w:sz w:val="26"/>
      <w:szCs w:val="26"/>
    </w:rPr>
  </w:style>
  <w:style w:type="character" w:styleId="754" w:customStyle="1">
    <w:name w:val="标题 5 字符"/>
    <w:link w:val="742"/>
    <w:uiPriority w:val="9"/>
    <w:qFormat/>
    <w:rPr>
      <w:rFonts w:ascii="Arial" w:hAnsi="Arial" w:eastAsia="Arial" w:cs="Arial"/>
      <w:b/>
      <w:bCs/>
      <w:sz w:val="24"/>
      <w:szCs w:val="24"/>
    </w:rPr>
  </w:style>
  <w:style w:type="character" w:styleId="755" w:customStyle="1">
    <w:name w:val="标题 6 字符"/>
    <w:link w:val="743"/>
    <w:uiPriority w:val="9"/>
    <w:qFormat/>
    <w:rPr>
      <w:rFonts w:ascii="Arial" w:hAnsi="Arial" w:eastAsia="Arial" w:cs="Arial"/>
      <w:b/>
      <w:bCs/>
      <w:sz w:val="22"/>
      <w:szCs w:val="22"/>
    </w:rPr>
  </w:style>
  <w:style w:type="character" w:styleId="756" w:customStyle="1">
    <w:name w:val="标题 7 字符"/>
    <w:link w:val="744"/>
    <w:uiPriority w:val="9"/>
    <w:qFormat/>
    <w:rPr>
      <w:rFonts w:ascii="Arial" w:hAnsi="Arial" w:eastAsia="Arial" w:cs="Arial"/>
      <w:b/>
      <w:bCs/>
      <w:i/>
      <w:iCs/>
      <w:sz w:val="22"/>
      <w:szCs w:val="22"/>
    </w:rPr>
  </w:style>
  <w:style w:type="character" w:styleId="757" w:customStyle="1">
    <w:name w:val="标题 8 字符"/>
    <w:link w:val="745"/>
    <w:uiPriority w:val="9"/>
    <w:qFormat/>
    <w:rPr>
      <w:rFonts w:ascii="Arial" w:hAnsi="Arial" w:eastAsia="Arial" w:cs="Arial"/>
      <w:i/>
      <w:iCs/>
      <w:sz w:val="22"/>
      <w:szCs w:val="22"/>
    </w:rPr>
  </w:style>
  <w:style w:type="character" w:styleId="758" w:customStyle="1">
    <w:name w:val="标题 9 字符"/>
    <w:link w:val="746"/>
    <w:uiPriority w:val="9"/>
    <w:qFormat/>
    <w:rPr>
      <w:rFonts w:ascii="Arial" w:hAnsi="Arial" w:eastAsia="Arial" w:cs="Arial"/>
      <w:i/>
      <w:iCs/>
      <w:sz w:val="21"/>
      <w:szCs w:val="21"/>
    </w:rPr>
  </w:style>
  <w:style w:type="character" w:styleId="759" w:customStyle="1">
    <w:name w:val="标题 字符"/>
    <w:link w:val="691"/>
    <w:uiPriority w:val="10"/>
    <w:qFormat/>
    <w:rPr>
      <w:sz w:val="48"/>
      <w:szCs w:val="48"/>
    </w:rPr>
  </w:style>
  <w:style w:type="character" w:styleId="760" w:customStyle="1">
    <w:name w:val="副标题 字符"/>
    <w:link w:val="684"/>
    <w:uiPriority w:val="11"/>
    <w:qFormat/>
    <w:rPr>
      <w:sz w:val="24"/>
      <w:szCs w:val="24"/>
    </w:rPr>
  </w:style>
  <w:style w:type="paragraph" w:styleId="761">
    <w:name w:val="Quote"/>
    <w:basedOn w:val="664"/>
    <w:next w:val="664"/>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64"/>
    <w:next w:val="664"/>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页眉 字符"/>
    <w:link w:val="749"/>
    <w:uiPriority w:val="99"/>
    <w:qFormat/>
  </w:style>
  <w:style w:type="character" w:styleId="766" w:customStyle="1">
    <w:name w:val="Footer Char_16a83484-10c2-428e-bab9-1e71f910a068"/>
    <w:uiPriority w:val="99"/>
    <w:qFormat/>
  </w:style>
  <w:style w:type="character" w:styleId="767" w:customStyle="1">
    <w:name w:val="页脚 字符"/>
    <w:link w:val="748"/>
    <w:uiPriority w:val="99"/>
    <w:qFormat/>
  </w:style>
  <w:style w:type="table" w:styleId="768" w:customStyle="1">
    <w:name w:val="Table Grid Light"/>
    <w:basedOn w:val="66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69" w:customStyle="1">
    <w:name w:val="Grid Table 1 Light - Accent 1"/>
    <w:basedOn w:val="66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6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6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66"/>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66"/>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6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775" w:customStyle="1">
    <w:name w:val="Grid Table 2 - Accent 1"/>
    <w:basedOn w:val="666"/>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776" w:customStyle="1">
    <w:name w:val="Grid Table 2 - Accent 2"/>
    <w:basedOn w:val="666"/>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777" w:customStyle="1">
    <w:name w:val="Grid Table 2 - Accent 3"/>
    <w:basedOn w:val="66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778" w:customStyle="1">
    <w:name w:val="Grid Table 2 - Accent 4"/>
    <w:basedOn w:val="666"/>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779" w:customStyle="1">
    <w:name w:val="Grid Table 2 - Accent 5"/>
    <w:basedOn w:val="66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780" w:customStyle="1">
    <w:name w:val="Grid Table 2 - Accent 6"/>
    <w:basedOn w:val="66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781" w:customStyle="1">
    <w:name w:val="Grid Table 3 - Accent 1"/>
    <w:basedOn w:val="666"/>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666"/>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666"/>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666"/>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666"/>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666"/>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 Accent 1"/>
    <w:basedOn w:val="666"/>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788" w:customStyle="1">
    <w:name w:val="Grid Table 4 - Accent 2"/>
    <w:basedOn w:val="666"/>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789" w:customStyle="1">
    <w:name w:val="Grid Table 4 - Accent 3"/>
    <w:basedOn w:val="666"/>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790" w:customStyle="1">
    <w:name w:val="Grid Table 4 - Accent 4"/>
    <w:basedOn w:val="666"/>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791" w:customStyle="1">
    <w:name w:val="Grid Table 4 - Accent 5"/>
    <w:basedOn w:val="666"/>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792" w:customStyle="1">
    <w:name w:val="Grid Table 4 - Accent 6"/>
    <w:basedOn w:val="666"/>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793" w:customStyle="1">
    <w:name w:val="Grid Table 5 Dark- Accent 1"/>
    <w:basedOn w:val="6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794" w:customStyle="1">
    <w:name w:val="Grid Table 5 Dark - Accent 2"/>
    <w:basedOn w:val="6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795" w:customStyle="1">
    <w:name w:val="Grid Table 5 Dark - Accent 3"/>
    <w:basedOn w:val="6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796" w:customStyle="1">
    <w:name w:val="Grid Table 5 Dark- Accent 4"/>
    <w:basedOn w:val="6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797" w:customStyle="1">
    <w:name w:val="Grid Table 5 Dark - Accent 5"/>
    <w:basedOn w:val="6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798" w:customStyle="1">
    <w:name w:val="Grid Table 5 Dark - Accent 6"/>
    <w:basedOn w:val="66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799" w:customStyle="1">
    <w:name w:val="Grid Table 6 Colorful - Accent 1"/>
    <w:basedOn w:val="666"/>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800" w:customStyle="1">
    <w:name w:val="Grid Table 6 Colorful - Accent 2"/>
    <w:basedOn w:val="666"/>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801" w:customStyle="1">
    <w:name w:val="Grid Table 6 Colorful - Accent 3"/>
    <w:basedOn w:val="666"/>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02" w:customStyle="1">
    <w:name w:val="Grid Table 6 Colorful - Accent 4"/>
    <w:basedOn w:val="666"/>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803" w:customStyle="1">
    <w:name w:val="Grid Table 6 Colorful - Accent 5"/>
    <w:basedOn w:val="666"/>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04" w:customStyle="1">
    <w:name w:val="Grid Table 6 Colorful - Accent 6"/>
    <w:basedOn w:val="666"/>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805" w:customStyle="1">
    <w:name w:val="Grid Table 7 Colorful - Accent 1"/>
    <w:basedOn w:val="666"/>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806" w:customStyle="1">
    <w:name w:val="Grid Table 7 Colorful - Accent 2"/>
    <w:basedOn w:val="666"/>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807" w:customStyle="1">
    <w:name w:val="Grid Table 7 Colorful - Accent 3"/>
    <w:basedOn w:val="666"/>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08" w:customStyle="1">
    <w:name w:val="Grid Table 7 Colorful - Accent 4"/>
    <w:basedOn w:val="666"/>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809" w:customStyle="1">
    <w:name w:val="Grid Table 7 Colorful - Accent 5"/>
    <w:basedOn w:val="666"/>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10" w:customStyle="1">
    <w:name w:val="Grid Table 7 Colorful - Accent 6"/>
    <w:basedOn w:val="666"/>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11" w:customStyle="1">
    <w:name w:val="List Table 1 Light - Accent 1"/>
    <w:basedOn w:val="666"/>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12" w:customStyle="1">
    <w:name w:val="List Table 1 Light - Accent 2"/>
    <w:basedOn w:val="666"/>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13" w:customStyle="1">
    <w:name w:val="List Table 1 Light - Accent 3"/>
    <w:basedOn w:val="666"/>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14" w:customStyle="1">
    <w:name w:val="List Table 1 Light - Accent 4"/>
    <w:basedOn w:val="666"/>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15" w:customStyle="1">
    <w:name w:val="List Table 1 Light - Accent 5"/>
    <w:basedOn w:val="666"/>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16" w:customStyle="1">
    <w:name w:val="List Table 1 Light - Accent 6"/>
    <w:basedOn w:val="666"/>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17" w:customStyle="1">
    <w:name w:val="List Table 2 - Accent 1"/>
    <w:basedOn w:val="666"/>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18" w:customStyle="1">
    <w:name w:val="List Table 2 - Accent 2"/>
    <w:basedOn w:val="666"/>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19" w:customStyle="1">
    <w:name w:val="List Table 2 - Accent 3"/>
    <w:basedOn w:val="666"/>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20" w:customStyle="1">
    <w:name w:val="List Table 2 - Accent 4"/>
    <w:basedOn w:val="666"/>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821" w:customStyle="1">
    <w:name w:val="List Table 2 - Accent 5"/>
    <w:basedOn w:val="666"/>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22" w:customStyle="1">
    <w:name w:val="List Table 2 - Accent 6"/>
    <w:basedOn w:val="666"/>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23" w:customStyle="1">
    <w:name w:val="List Table 3 - Accent 1"/>
    <w:basedOn w:val="666"/>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24" w:customStyle="1">
    <w:name w:val="List Table 3 - Accent 2"/>
    <w:basedOn w:val="666"/>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825" w:customStyle="1">
    <w:name w:val="List Table 3 - Accent 3"/>
    <w:basedOn w:val="666"/>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26" w:customStyle="1">
    <w:name w:val="List Table 3 - Accent 4"/>
    <w:basedOn w:val="666"/>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827" w:customStyle="1">
    <w:name w:val="List Table 3 - Accent 5"/>
    <w:basedOn w:val="666"/>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828" w:customStyle="1">
    <w:name w:val="List Table 3 - Accent 6"/>
    <w:basedOn w:val="666"/>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29" w:customStyle="1">
    <w:name w:val="List Table 4 - Accent 1"/>
    <w:basedOn w:val="666"/>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30" w:customStyle="1">
    <w:name w:val="List Table 4 - Accent 2"/>
    <w:basedOn w:val="666"/>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31" w:customStyle="1">
    <w:name w:val="List Table 4 - Accent 3"/>
    <w:basedOn w:val="666"/>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32" w:customStyle="1">
    <w:name w:val="List Table 4 - Accent 4"/>
    <w:basedOn w:val="666"/>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33" w:customStyle="1">
    <w:name w:val="List Table 4 - Accent 5"/>
    <w:basedOn w:val="666"/>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34" w:customStyle="1">
    <w:name w:val="List Table 4 - Accent 6"/>
    <w:basedOn w:val="666"/>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35" w:customStyle="1">
    <w:name w:val="List Table 5 Dark - Accent 1"/>
    <w:basedOn w:val="666"/>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836" w:customStyle="1">
    <w:name w:val="List Table 5 Dark - Accent 2"/>
    <w:basedOn w:val="666"/>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837" w:customStyle="1">
    <w:name w:val="List Table 5 Dark - Accent 3"/>
    <w:basedOn w:val="666"/>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838" w:customStyle="1">
    <w:name w:val="List Table 5 Dark - Accent 4"/>
    <w:basedOn w:val="666"/>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839" w:customStyle="1">
    <w:name w:val="List Table 5 Dark - Accent 5"/>
    <w:basedOn w:val="666"/>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840" w:customStyle="1">
    <w:name w:val="List Table 5 Dark - Accent 6"/>
    <w:basedOn w:val="666"/>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841" w:customStyle="1">
    <w:name w:val="List Table 6 Colorful - Accent 1"/>
    <w:basedOn w:val="666"/>
    <w:uiPriority w:val="99"/>
    <w:qFormat/>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842" w:customStyle="1">
    <w:name w:val="List Table 6 Colorful - Accent 2"/>
    <w:basedOn w:val="666"/>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843" w:customStyle="1">
    <w:name w:val="List Table 6 Colorful - Accent 3"/>
    <w:basedOn w:val="666"/>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844" w:customStyle="1">
    <w:name w:val="List Table 6 Colorful - Accent 4"/>
    <w:basedOn w:val="666"/>
    <w:uiPriority w:val="99"/>
    <w:qFormat/>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845" w:customStyle="1">
    <w:name w:val="List Table 6 Colorful - Accent 5"/>
    <w:basedOn w:val="666"/>
    <w:uiPriority w:val="99"/>
    <w:qFormat/>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846" w:customStyle="1">
    <w:name w:val="List Table 6 Colorful - Accent 6"/>
    <w:basedOn w:val="666"/>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847" w:customStyle="1">
    <w:name w:val="List Table 7 Colorful - Accent 1"/>
    <w:basedOn w:val="666"/>
    <w:uiPriority w:val="99"/>
    <w:qFormat/>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848" w:customStyle="1">
    <w:name w:val="List Table 7 Colorful - Accent 2"/>
    <w:basedOn w:val="666"/>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849" w:customStyle="1">
    <w:name w:val="List Table 7 Colorful - Accent 3"/>
    <w:basedOn w:val="666"/>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850" w:customStyle="1">
    <w:name w:val="List Table 7 Colorful - Accent 4"/>
    <w:basedOn w:val="666"/>
    <w:uiPriority w:val="99"/>
    <w:qFormat/>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851" w:customStyle="1">
    <w:name w:val="List Table 7 Colorful - Accent 5"/>
    <w:basedOn w:val="666"/>
    <w:uiPriority w:val="99"/>
    <w:qFormat/>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852" w:customStyle="1">
    <w:name w:val="List Table 7 Colorful - Accent 6"/>
    <w:basedOn w:val="666"/>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853" w:customStyle="1">
    <w:name w:val="Lined - Accent"/>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54" w:customStyle="1">
    <w:name w:val="Lined - Accent 1"/>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855" w:customStyle="1">
    <w:name w:val="Lined - Accent 2"/>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856" w:customStyle="1">
    <w:name w:val="Lined - Accent 3"/>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57" w:customStyle="1">
    <w:name w:val="Lined - Accent 4"/>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858" w:customStyle="1">
    <w:name w:val="Lined - Accent 5"/>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59" w:customStyle="1">
    <w:name w:val="Lined - Accent 6"/>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60" w:customStyle="1">
    <w:name w:val="Bordered &amp; Lined - Accent"/>
    <w:basedOn w:val="666"/>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61" w:customStyle="1">
    <w:name w:val="Bordered &amp; Lined - Accent 1"/>
    <w:basedOn w:val="666"/>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862" w:customStyle="1">
    <w:name w:val="Bordered &amp; Lined - Accent 2"/>
    <w:basedOn w:val="666"/>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863" w:customStyle="1">
    <w:name w:val="Bordered &amp; Lined - Accent 3"/>
    <w:basedOn w:val="666"/>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64" w:customStyle="1">
    <w:name w:val="Bordered &amp; Lined - Accent 4"/>
    <w:basedOn w:val="666"/>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865" w:customStyle="1">
    <w:name w:val="Bordered &amp; Lined - Accent 5"/>
    <w:basedOn w:val="666"/>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66" w:customStyle="1">
    <w:name w:val="Bordered &amp; Lined - Accent 6"/>
    <w:basedOn w:val="666"/>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67" w:customStyle="1">
    <w:name w:val="Bordered"/>
    <w:basedOn w:val="666"/>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68" w:customStyle="1">
    <w:name w:val="Bordered - Accent 1"/>
    <w:basedOn w:val="666"/>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869" w:customStyle="1">
    <w:name w:val="Bordered - Accent 2"/>
    <w:basedOn w:val="666"/>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870" w:customStyle="1">
    <w:name w:val="Bordered - Accent 3"/>
    <w:basedOn w:val="666"/>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871" w:customStyle="1">
    <w:name w:val="Bordered - Accent 4"/>
    <w:basedOn w:val="666"/>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872" w:customStyle="1">
    <w:name w:val="Bordered - Accent 5"/>
    <w:basedOn w:val="666"/>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873" w:customStyle="1">
    <w:name w:val="Bordered - Accent 6"/>
    <w:basedOn w:val="666"/>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874" w:customStyle="1">
    <w:name w:val="脚注文本 字符"/>
    <w:link w:val="685"/>
    <w:uiPriority w:val="99"/>
    <w:qFormat/>
    <w:rPr>
      <w:sz w:val="18"/>
    </w:rPr>
  </w:style>
  <w:style w:type="character" w:styleId="875" w:customStyle="1">
    <w:name w:val="尾注文本 字符"/>
    <w:link w:val="677"/>
    <w:uiPriority w:val="99"/>
    <w:qFormat/>
    <w:rPr>
      <w:sz w:val="20"/>
    </w:rPr>
  </w:style>
  <w:style w:type="paragraph" w:styleId="876" w:customStyle="1">
    <w:name w:val="TOC 标题11"/>
    <w:uiPriority w:val="39"/>
    <w:qFormat/>
    <w:pPr>
      <w:spacing w:after="200" w:line="276" w:lineRule="auto"/>
    </w:pPr>
    <w:rPr>
      <w:rFonts w:ascii="Arial" w:hAnsi="Arial" w:eastAsia="Arial" w:cs="Arial"/>
      <w:sz w:val="22"/>
      <w:szCs w:val="22"/>
      <w:lang w:val="en-US" w:eastAsia="en-US" w:bidi="ar-SA"/>
    </w:rPr>
  </w:style>
  <w:style w:type="paragraph" w:styleId="877">
    <w:name w:val="No Spacing"/>
    <w:basedOn w:val="664"/>
    <w:uiPriority w:val="1"/>
    <w:qFormat/>
    <w:pPr>
      <w:spacing w:after="0" w:line="240" w:lineRule="auto"/>
    </w:pPr>
  </w:style>
  <w:style w:type="paragraph" w:styleId="878">
    <w:name w:val="List Paragraph"/>
    <w:basedOn w:val="664"/>
    <w:uiPriority w:val="34"/>
    <w:qFormat/>
    <w:pPr>
      <w:contextualSpacing/>
      <w:ind w:left="720"/>
    </w:pPr>
  </w:style>
  <w:style w:type="paragraph" w:styleId="879" w:customStyle="1">
    <w:name w:val="Plain Text2"/>
    <w:basedOn w:val="664"/>
    <w:uiPriority w:val="99"/>
    <w:qFormat/>
    <w:rPr>
      <w:rFonts w:ascii="宋体" w:hAnsi="Courier New" w:eastAsia="楷体_GB2312"/>
      <w:sz w:val="28"/>
    </w:rPr>
  </w:style>
  <w:style w:type="paragraph" w:styleId="880" w:customStyle="1">
    <w:name w:val="纯文本6"/>
    <w:basedOn w:val="664"/>
    <w:uiPriority w:val="0"/>
    <w:qFormat/>
    <w:rPr>
      <w:rFonts w:ascii="宋体" w:hAnsi="Courier New" w:eastAsia="楷体_GB2312"/>
      <w:sz w:val="26"/>
    </w:rPr>
  </w:style>
  <w:style w:type="paragraph" w:styleId="881" w:customStyle="1">
    <w:name w:val="_正文"/>
    <w:basedOn w:val="664"/>
    <w:uiPriority w:val="0"/>
    <w:qFormat/>
    <w:pPr>
      <w:ind w:firstLine="200"/>
      <w:spacing w:line="360" w:lineRule="auto"/>
    </w:pPr>
    <w:rPr>
      <w:sz w:val="24"/>
      <w:szCs w:val="24"/>
    </w:rPr>
  </w:style>
  <w:style w:type="paragraph" w:styleId="882" w:customStyle="1">
    <w:name w:val="纯文本1"/>
    <w:basedOn w:val="664"/>
    <w:uiPriority w:val="0"/>
    <w:qFormat/>
    <w:rPr>
      <w:rFonts w:ascii="宋体" w:hAnsi="Courier New" w:eastAsia="楷体_GB2312"/>
      <w:sz w:val="26"/>
    </w:rPr>
  </w:style>
  <w:style w:type="paragraph" w:styleId="883" w:customStyle="1">
    <w:name w:val="列出段落1"/>
    <w:basedOn w:val="664"/>
    <w:uiPriority w:val="34"/>
    <w:qFormat/>
    <w:pPr>
      <w:ind w:firstLine="420"/>
    </w:pPr>
    <w:rPr>
      <w:rFonts w:eastAsia="宋体"/>
      <w:szCs w:val="24"/>
    </w:rPr>
  </w:style>
  <w:style w:type="character" w:styleId="884" w:customStyle="1">
    <w:name w:val="批注框文本 字符"/>
    <w:basedOn w:val="665"/>
    <w:link w:val="678"/>
    <w:uiPriority w:val="99"/>
    <w:qFormat/>
    <w:rPr>
      <w:rFonts w:ascii="Arial" w:hAnsi="Arial" w:eastAsia="Arial" w:cs="Arial"/>
      <w:sz w:val="18"/>
      <w:szCs w:val="18"/>
      <w:lang w:eastAsia="en-US"/>
    </w:rPr>
  </w:style>
  <w:style w:type="paragraph" w:styleId="885" w:customStyle="1">
    <w:name w:val="Normal_19"/>
    <w:uiPriority w:val="0"/>
    <w:qFormat/>
    <w:rPr>
      <w:rFonts w:ascii="Times New Roman" w:hAnsi="Times New Roman" w:eastAsia="Times New Roman" w:cs="Times New Roman"/>
      <w:sz w:val="24"/>
      <w:szCs w:val="24"/>
      <w:lang w:val="en-US" w:eastAsia="zh-CN" w:bidi="ar-SA"/>
    </w:rPr>
  </w:style>
  <w:style w:type="paragraph" w:styleId="886" w:customStyle="1">
    <w:name w:val="段"/>
    <w:next w:val="664"/>
    <w:uiPriority w:val="0"/>
    <w:qFormat/>
    <w:pPr>
      <w:ind w:firstLine="200"/>
      <w:jc w:val="both"/>
    </w:pPr>
    <w:rPr>
      <w:rFonts w:ascii="宋体" w:hAnsi="Times New Roman" w:eastAsia="宋体" w:cs="Times New Roman"/>
      <w:sz w:val="21"/>
      <w:lang w:val="en-US" w:eastAsia="zh-CN" w:bidi="ar-SA"/>
    </w:rPr>
  </w:style>
  <w:style w:type="paragraph" w:styleId="887" w:customStyle="1">
    <w:name w:val="Default"/>
    <w:next w:val="687"/>
    <w:uiPriority w:val="0"/>
    <w:qFormat/>
    <w:pPr>
      <w:ind w:firstLine="200"/>
      <w:widowControl w:val="off"/>
    </w:pPr>
    <w:rPr>
      <w:rFonts w:ascii="宋体" w:hAnsi="Times New Roman" w:eastAsia="宋体" w:cs="Times New Roman"/>
      <w:color w:val="000000"/>
      <w:sz w:val="24"/>
      <w:szCs w:val="22"/>
      <w:lang w:val="en-US" w:eastAsia="zh-CN" w:bidi="ar-SA"/>
    </w:rPr>
  </w:style>
  <w:style w:type="paragraph" w:styleId="888" w:customStyle="1">
    <w:name w:val="标正文"/>
    <w:basedOn w:val="664"/>
    <w:uiPriority w:val="0"/>
    <w:qFormat/>
    <w:pPr>
      <w:ind w:firstLine="480"/>
    </w:pPr>
    <w:rPr>
      <w:rFonts w:ascii="Times New Roman" w:hAnsi="Times New Roman" w:cs="Times New Roman"/>
    </w:rPr>
  </w:style>
  <w:style w:type="paragraph" w:styleId="889" w:customStyle="1">
    <w:name w:val="方案正文"/>
    <w:basedOn w:val="664"/>
    <w:uiPriority w:val="0"/>
    <w:qFormat/>
    <w:pPr>
      <w:spacing w:line="440" w:lineRule="atLeast"/>
    </w:pPr>
    <w:rPr>
      <w:sz w:val="24"/>
    </w:rPr>
  </w:style>
  <w:style w:type="character" w:styleId="890" w:customStyle="1">
    <w:name w:val="页眉 字符1"/>
    <w:basedOn w:val="665"/>
    <w:link w:val="681"/>
    <w:uiPriority w:val="99"/>
    <w:qFormat/>
    <w:rPr>
      <w:rFonts w:ascii="Arial" w:hAnsi="Arial" w:eastAsia="Arial" w:cs="Arial"/>
      <w:sz w:val="18"/>
      <w:szCs w:val="18"/>
      <w:lang w:eastAsia="en-US"/>
    </w:rPr>
  </w:style>
  <w:style w:type="character" w:styleId="891" w:customStyle="1">
    <w:name w:val="页脚 字符1"/>
    <w:basedOn w:val="665"/>
    <w:link w:val="679"/>
    <w:uiPriority w:val="99"/>
    <w:qFormat/>
    <w:rPr>
      <w:rFonts w:ascii="Arial" w:hAnsi="Arial" w:eastAsia="Arial" w:cs="Arial"/>
      <w:sz w:val="18"/>
      <w:szCs w:val="18"/>
      <w:lang w:eastAsia="en-US"/>
    </w:rPr>
  </w:style>
  <w:style w:type="character" w:styleId="892" w:customStyle="1">
    <w:name w:val="font31"/>
    <w:uiPriority w:val="0"/>
    <w:qFormat/>
    <w:rPr>
      <w:rFonts w:hint="eastAsia" w:ascii="微软雅黑" w:hAnsi="微软雅黑" w:eastAsia="微软雅黑" w:cs="微软雅黑"/>
      <w:color w:val="000000"/>
      <w:sz w:val="22"/>
      <w:szCs w:val="22"/>
      <w:u w:val="none"/>
    </w:rPr>
  </w:style>
  <w:style w:type="character" w:styleId="893" w:customStyle="1">
    <w:name w:val="批注文字 字符"/>
    <w:basedOn w:val="665"/>
    <w:link w:val="671"/>
    <w:uiPriority w:val="99"/>
    <w:qFormat/>
    <w:rPr>
      <w:rFonts w:ascii="Calibri" w:hAnsi="Calibri" w:eastAsia="Arial" w:cs="Arial"/>
      <w:sz w:val="22"/>
      <w:szCs w:val="22"/>
      <w:lang w:eastAsia="en-US"/>
    </w:rPr>
  </w:style>
  <w:style w:type="character" w:styleId="894" w:customStyle="1">
    <w:name w:val="批注主题 字符"/>
    <w:basedOn w:val="893"/>
    <w:link w:val="692"/>
    <w:uiPriority w:val="99"/>
    <w:semiHidden/>
    <w:qFormat/>
    <w:rPr>
      <w:rFonts w:ascii="Arial" w:hAnsi="Arial" w:eastAsia="Arial" w:cs="Arial"/>
      <w:b/>
      <w:bCs/>
      <w:sz w:val="22"/>
      <w:szCs w:val="22"/>
      <w:lang w:eastAsia="en-US"/>
    </w:rPr>
  </w:style>
  <w:style w:type="character" w:styleId="895" w:customStyle="1">
    <w:name w:val="正文文本缩进 字符"/>
    <w:basedOn w:val="665"/>
    <w:link w:val="667"/>
    <w:uiPriority w:val="99"/>
    <w:qFormat/>
    <w:rPr>
      <w:rFonts w:ascii="宋体" w:hAnsi="Arial" w:eastAsia="Arial" w:cs="Arial"/>
      <w:sz w:val="28"/>
      <w:szCs w:val="22"/>
      <w:lang w:eastAsia="en-US"/>
    </w:rPr>
  </w:style>
  <w:style w:type="numbering" w:styleId="10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46</cp:revision>
  <dcterms:created xsi:type="dcterms:W3CDTF">2024-08-14T05:35:00Z</dcterms:created>
  <dcterms:modified xsi:type="dcterms:W3CDTF">2024-11-15T07:26:33Z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FF45A29E8E7A4D72BFE47C2AA4DA7ADD_13</vt:lpwstr>
  </property>
</Properties>
</file>