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000000" w:themeColor="text1"/>
          <w:spacing w:val="20"/>
          <w:sz w:val="72"/>
          <w:szCs w:val="72"/>
          <w:highlight w:val="none"/>
          <w14:textFill>
            <w14:solidFill>
              <w14:schemeClr w14:val="tx1"/>
            </w14:solidFill>
          </w14:textFill>
        </w:rPr>
      </w:pPr>
      <w:r>
        <w:rPr>
          <w:rFonts w:hint="eastAsia" w:ascii="黑体" w:hAnsi="华文中宋" w:eastAsia="黑体"/>
          <w:bCs/>
          <w:color w:val="000000" w:themeColor="text1"/>
          <w:spacing w:val="20"/>
          <w:sz w:val="72"/>
          <w:szCs w:val="72"/>
          <w:highlight w:val="none"/>
          <w14:textFill>
            <w14:solidFill>
              <w14:schemeClr w14:val="tx1"/>
            </w14:solidFill>
          </w14:textFill>
        </w:rPr>
      </w:r>
      <w:r/>
    </w:p>
    <w:p>
      <w:pPr>
        <w:jc w:val="center"/>
        <w:rPr>
          <w:rFonts w:hint="eastAsia" w:ascii="黑体" w:hAnsi="华文中宋" w:eastAsia="黑体"/>
          <w:bCs/>
          <w:color w:val="000000" w:themeColor="text1"/>
          <w:spacing w:val="20"/>
          <w:sz w:val="72"/>
          <w:szCs w:val="72"/>
          <w:highlight w:val="none"/>
          <w14:textFill>
            <w14:solidFill>
              <w14:schemeClr w14:val="tx1"/>
            </w14:solidFill>
          </w14:textFill>
        </w:rPr>
      </w:pPr>
      <w:r>
        <w:rPr>
          <w:rFonts w:hint="eastAsia" w:ascii="黑体" w:hAnsi="华文中宋" w:eastAsia="黑体"/>
          <w:bCs/>
          <w:color w:val="000000" w:themeColor="text1"/>
          <w:spacing w:val="20"/>
          <w:sz w:val="72"/>
          <w:szCs w:val="72"/>
          <w:highlight w:val="none"/>
          <w14:textFill>
            <w14:solidFill>
              <w14:schemeClr w14:val="tx1"/>
            </w14:solidFill>
          </w14:textFill>
        </w:rPr>
      </w:r>
      <w:r/>
    </w:p>
    <w:p>
      <w:pPr>
        <w:jc w:val="center"/>
        <w:rPr>
          <w:rFonts w:ascii="黑体" w:hAnsi="华文中宋" w:eastAsia="黑体"/>
          <w:bCs/>
          <w:color w:val="000000" w:themeColor="text1"/>
          <w:spacing w:val="20"/>
          <w:sz w:val="72"/>
          <w:szCs w:val="72"/>
          <w:highlight w:val="none"/>
          <w14:textFill>
            <w14:solidFill>
              <w14:schemeClr w14:val="tx1"/>
            </w14:solidFill>
          </w14:textFill>
        </w:rPr>
      </w:pPr>
      <w:r>
        <w:rPr>
          <w:rFonts w:hint="eastAsia" w:ascii="黑体" w:hAnsi="华文中宋" w:eastAsia="黑体"/>
          <w:bCs/>
          <w:color w:val="000000" w:themeColor="text1"/>
          <w:spacing w:val="20"/>
          <w:sz w:val="72"/>
          <w:szCs w:val="72"/>
          <w:highlight w:val="none"/>
          <w14:textFill>
            <w14:solidFill>
              <w14:schemeClr w14:val="tx1"/>
            </w14:solidFill>
          </w14:textFill>
        </w:rPr>
        <w:t xml:space="preserve">无锡市新吴区政府采购</w:t>
      </w:r>
      <w:r/>
    </w:p>
    <w:p>
      <w:pPr>
        <w:rPr>
          <w:rFonts w:ascii="华文中宋" w:hAnsi="华文中宋" w:eastAsia="华文中宋"/>
          <w:bCs/>
          <w:color w:val="000000" w:themeColor="text1"/>
          <w:sz w:val="30"/>
          <w:highlight w:val="none"/>
          <w14:textFill>
            <w14:solidFill>
              <w14:schemeClr w14:val="tx1"/>
            </w14:solidFill>
          </w14:textFill>
        </w:rPr>
      </w:pPr>
      <w:r>
        <w:rPr>
          <w:rFonts w:ascii="华文中宋" w:hAnsi="华文中宋" w:eastAsia="华文中宋"/>
          <w:bCs/>
          <w:color w:val="000000" w:themeColor="text1"/>
          <w:sz w:val="30"/>
          <w:highlight w:val="none"/>
          <w14:textFill>
            <w14:solidFill>
              <w14:schemeClr w14:val="tx1"/>
            </w14:solidFill>
          </w14:textFill>
        </w:rPr>
      </w:r>
      <w:r/>
    </w:p>
    <w:p>
      <w:pPr>
        <w:jc w:val="center"/>
        <w:rPr>
          <w:rFonts w:hint="eastAsia" w:ascii="黑体" w:hAnsi="华文中宋" w:eastAsia="黑体"/>
          <w:bCs/>
          <w:color w:val="000000" w:themeColor="text1"/>
          <w:spacing w:val="20"/>
          <w:sz w:val="48"/>
          <w:szCs w:val="48"/>
          <w:highlight w:val="none"/>
          <w14:textFill>
            <w14:solidFill>
              <w14:schemeClr w14:val="tx1"/>
            </w14:solidFill>
          </w14:textFill>
        </w:rPr>
      </w:pPr>
      <w:r>
        <w:rPr>
          <w:rFonts w:hint="eastAsia" w:ascii="黑体" w:hAnsi="华文中宋" w:eastAsia="黑体"/>
          <w:bCs/>
          <w:color w:val="000000" w:themeColor="text1"/>
          <w:spacing w:val="20"/>
          <w:sz w:val="48"/>
          <w:szCs w:val="48"/>
          <w:highlight w:val="none"/>
          <w14:textFill>
            <w14:solidFill>
              <w14:schemeClr w14:val="tx1"/>
            </w14:solidFill>
          </w14:textFill>
        </w:rPr>
        <w:t xml:space="preserve"> </w:t>
      </w:r>
      <w:r/>
    </w:p>
    <w:p>
      <w:pPr>
        <w:jc w:val="center"/>
        <w:rPr>
          <w:rFonts w:ascii="黑体" w:hAnsi="华文中宋" w:eastAsia="黑体"/>
          <w:bCs/>
          <w:color w:val="000000" w:themeColor="text1"/>
          <w:spacing w:val="20"/>
          <w:sz w:val="48"/>
          <w:szCs w:val="48"/>
          <w:highlight w:val="none"/>
          <w14:textFill>
            <w14:solidFill>
              <w14:schemeClr w14:val="tx1"/>
            </w14:solidFill>
          </w14:textFill>
        </w:rPr>
      </w:pPr>
      <w:r>
        <w:rPr>
          <w:rFonts w:hint="eastAsia" w:ascii="黑体" w:hAnsi="华文中宋" w:eastAsia="黑体"/>
          <w:bCs/>
          <w:color w:val="000000" w:themeColor="text1"/>
          <w:spacing w:val="20"/>
          <w:sz w:val="48"/>
          <w:szCs w:val="48"/>
          <w:highlight w:val="none"/>
          <w14:textFill>
            <w14:solidFill>
              <w14:schemeClr w14:val="tx1"/>
            </w14:solidFill>
          </w14:textFill>
        </w:rPr>
        <w:t xml:space="preserve">公</w:t>
      </w:r>
      <w:r>
        <w:rPr>
          <w:rFonts w:ascii="黑体" w:hAnsi="华文中宋" w:eastAsia="黑体"/>
          <w:bCs/>
          <w:color w:val="000000" w:themeColor="text1"/>
          <w:spacing w:val="20"/>
          <w:sz w:val="48"/>
          <w:szCs w:val="48"/>
          <w:highlight w:val="none"/>
          <w14:textFill>
            <w14:solidFill>
              <w14:schemeClr w14:val="tx1"/>
            </w14:solidFill>
          </w14:textFill>
        </w:rPr>
        <w:t xml:space="preserve">   </w:t>
      </w:r>
      <w:r>
        <w:rPr>
          <w:rFonts w:hint="eastAsia" w:ascii="黑体" w:hAnsi="华文中宋" w:eastAsia="黑体"/>
          <w:bCs/>
          <w:color w:val="000000" w:themeColor="text1"/>
          <w:spacing w:val="20"/>
          <w:sz w:val="48"/>
          <w:szCs w:val="48"/>
          <w:highlight w:val="none"/>
          <w14:textFill>
            <w14:solidFill>
              <w14:schemeClr w14:val="tx1"/>
            </w14:solidFill>
          </w14:textFill>
        </w:rPr>
        <w:t xml:space="preserve">开</w:t>
      </w:r>
      <w:r/>
    </w:p>
    <w:p>
      <w:pPr>
        <w:jc w:val="center"/>
        <w:rPr>
          <w:rFonts w:ascii="黑体" w:hAnsi="华文中宋" w:eastAsia="黑体"/>
          <w:bCs/>
          <w:color w:val="000000" w:themeColor="text1"/>
          <w:spacing w:val="20"/>
          <w:sz w:val="52"/>
          <w:szCs w:val="5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000000" w:themeColor="text1"/>
          <w:spacing w:val="20"/>
          <w:sz w:val="52"/>
          <w:szCs w:val="52"/>
          <w:highlight w:val="none"/>
          <w14:textFill>
            <w14:solidFill>
              <w14:schemeClr w14:val="tx1"/>
            </w14:solidFill>
          </w14:textFill>
        </w:rPr>
        <w:t xml:space="preserve">招</w:t>
      </w:r>
      <w:r>
        <w:rPr>
          <w:rFonts w:ascii="黑体" w:hAnsi="华文中宋" w:eastAsia="黑体"/>
          <w:bCs/>
          <w:color w:val="000000" w:themeColor="text1"/>
          <w:spacing w:val="20"/>
          <w:sz w:val="52"/>
          <w:szCs w:val="52"/>
          <w:highlight w:val="none"/>
          <w14:textFill>
            <w14:solidFill>
              <w14:schemeClr w14:val="tx1"/>
            </w14:solidFill>
          </w14:textFill>
        </w:rPr>
        <w:t xml:space="preserve">  </w:t>
      </w:r>
      <w:r>
        <w:rPr>
          <w:rFonts w:hint="eastAsia" w:ascii="黑体" w:hAnsi="华文中宋" w:eastAsia="黑体"/>
          <w:bCs/>
          <w:color w:val="000000" w:themeColor="text1"/>
          <w:spacing w:val="20"/>
          <w:sz w:val="52"/>
          <w:szCs w:val="52"/>
          <w:highlight w:val="none"/>
          <w14:textFill>
            <w14:solidFill>
              <w14:schemeClr w14:val="tx1"/>
            </w14:solidFill>
          </w14:textFill>
        </w:rPr>
        <w:t xml:space="preserve">标</w:t>
      </w:r>
      <w:r>
        <w:rPr>
          <w:rFonts w:ascii="黑体" w:hAnsi="华文中宋" w:eastAsia="黑体"/>
          <w:bCs/>
          <w:color w:val="000000" w:themeColor="text1"/>
          <w:spacing w:val="20"/>
          <w:sz w:val="52"/>
          <w:szCs w:val="52"/>
          <w:highlight w:val="none"/>
          <w14:textFill>
            <w14:solidFill>
              <w14:schemeClr w14:val="tx1"/>
            </w14:solidFill>
          </w14:textFill>
        </w:rPr>
        <w:t xml:space="preserve">  </w:t>
      </w:r>
      <w:bookmarkStart w:id="778" w:name="_GoBack"/>
      <w:r>
        <w:rPr>
          <w:rFonts w:hint="eastAsia" w:ascii="黑体" w:hAnsi="华文中宋" w:eastAsia="黑体"/>
          <w:bCs/>
          <w:color w:val="000000" w:themeColor="text1"/>
          <w:spacing w:val="20"/>
          <w:sz w:val="52"/>
          <w:szCs w:val="52"/>
          <w:highlight w:val="none"/>
          <w14:textFill>
            <w14:solidFill>
              <w14:schemeClr w14:val="tx1"/>
            </w14:solidFill>
          </w14:textFill>
        </w:rPr>
        <w:t xml:space="preserve">文</w:t>
      </w:r>
      <w:r>
        <w:rPr>
          <w:rFonts w:ascii="黑体" w:hAnsi="华文中宋" w:eastAsia="黑体"/>
          <w:bCs/>
          <w:color w:val="000000" w:themeColor="text1"/>
          <w:spacing w:val="20"/>
          <w:sz w:val="52"/>
          <w:szCs w:val="52"/>
          <w:highlight w:val="none"/>
          <w14:textFill>
            <w14:solidFill>
              <w14:schemeClr w14:val="tx1"/>
            </w14:solidFill>
          </w14:textFill>
        </w:rPr>
        <w:t xml:space="preserve"> </w:t>
      </w:r>
      <w:r>
        <w:rPr>
          <w:rFonts w:hint="eastAsia" w:ascii="黑体" w:hAnsi="华文中宋" w:eastAsia="黑体"/>
          <w:bCs/>
          <w:color w:val="000000" w:themeColor="text1"/>
          <w:spacing w:val="20"/>
          <w:sz w:val="52"/>
          <w:szCs w:val="52"/>
          <w:highlight w:val="none"/>
          <w14:textFill>
            <w14:solidFill>
              <w14:schemeClr w14:val="tx1"/>
            </w14:solidFill>
          </w14:textFill>
        </w:rPr>
        <w:t xml:space="preserve">件</w:t>
      </w:r>
      <w:bookmarkEnd w:id="778"/>
      <w:r/>
      <w:r/>
    </w:p>
    <w:p>
      <w:pPr>
        <w:jc w:val="center"/>
        <w:rPr>
          <w:rFonts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t xml:space="preserve">（全流程电子化）</w:t>
      </w:r>
      <w:r/>
    </w:p>
    <w:p>
      <w:pPr>
        <w:jc w:val="center"/>
        <w:tabs>
          <w:tab w:val="left" w:pos="9921" w:leader="none"/>
        </w:tabs>
        <w:rPr>
          <w:rFonts w:ascii="华文中宋" w:hAnsi="华文中宋" w:eastAsia="华文中宋"/>
          <w:bCs/>
          <w:color w:val="000000" w:themeColor="text1"/>
          <w:sz w:val="30"/>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lang w:eastAsia="zh-CN"/>
          <w14:textFill>
            <w14:solidFill>
              <w14:schemeClr w14:val="tx1"/>
            </w14:solidFill>
          </w14:textFill>
        </w:rPr>
        <w:t xml:space="preserve">（</w:t>
      </w:r>
      <w:r>
        <w:rPr>
          <w:rFonts w:hint="eastAsia" w:ascii="黑体" w:hAnsi="华文中宋" w:eastAsia="黑体"/>
          <w:bCs/>
          <w:color w:val="000000" w:themeColor="text1"/>
          <w:spacing w:val="20"/>
          <w:sz w:val="52"/>
          <w:szCs w:val="52"/>
          <w:highlight w:val="none"/>
          <w:lang w:val="en-US" w:eastAsia="zh-CN"/>
          <w14:textFill>
            <w14:solidFill>
              <w14:schemeClr w14:val="tx1"/>
            </w14:solidFill>
          </w14:textFill>
        </w:rPr>
        <w:t xml:space="preserve">暗标</w:t>
      </w:r>
      <w:r>
        <w:rPr>
          <w:rFonts w:hint="eastAsia" w:ascii="黑体" w:hAnsi="华文中宋" w:eastAsia="黑体"/>
          <w:bCs/>
          <w:color w:val="000000" w:themeColor="text1"/>
          <w:spacing w:val="20"/>
          <w:sz w:val="52"/>
          <w:szCs w:val="52"/>
          <w:highlight w:val="none"/>
          <w:lang w:eastAsia="zh-CN"/>
          <w14:textFill>
            <w14:solidFill>
              <w14:schemeClr w14:val="tx1"/>
            </w14:solidFill>
          </w14:textFill>
        </w:rPr>
        <w:t xml:space="preserve">）</w:t>
      </w:r>
      <w:r/>
    </w:p>
    <w:p>
      <w:pPr>
        <w:jc w:val="left"/>
        <w:rPr>
          <w:rFonts w:hint="eastAsia" w:ascii="华文中宋" w:hAnsi="华文中宋" w:eastAsia="华文中宋"/>
          <w:b/>
          <w:bCs/>
          <w:color w:val="000000" w:themeColor="text1"/>
          <w:sz w:val="28"/>
          <w:szCs w:val="28"/>
          <w:highlight w:val="none"/>
          <w14:textFill>
            <w14:solidFill>
              <w14:schemeClr w14:val="tx1"/>
            </w14:solidFill>
          </w14:textFill>
        </w:rPr>
      </w:pPr>
      <w:r>
        <w:rPr>
          <w:rFonts w:hint="eastAsia" w:ascii="华文中宋" w:hAnsi="华文中宋" w:eastAsia="华文中宋"/>
          <w:b/>
          <w:bCs/>
          <w:color w:val="000000" w:themeColor="text1"/>
          <w:sz w:val="28"/>
          <w:szCs w:val="28"/>
          <w:highlight w:val="none"/>
          <w14:textFill>
            <w14:solidFill>
              <w14:schemeClr w14:val="tx1"/>
            </w14:solidFill>
          </w14:textFill>
        </w:rPr>
      </w:r>
      <w:r/>
    </w:p>
    <w:p>
      <w:pPr>
        <w:ind w:firstLine="560"/>
        <w:rPr>
          <w:rFonts w:hint="eastAsia" w:ascii="黑体" w:hAnsi="黑体" w:eastAsia="黑体"/>
          <w:color w:val="000000" w:themeColor="text1"/>
          <w:sz w:val="28"/>
          <w:szCs w:val="28"/>
          <w:highlight w:val="none"/>
          <w:lang w:eastAsia="zh-CN"/>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采购项目编号：</w:t>
      </w:r>
      <w:r>
        <w:rPr>
          <w:rFonts w:hint="eastAsia" w:ascii="黑体" w:hAnsi="黑体" w:eastAsia="黑体"/>
          <w:color w:val="000000" w:themeColor="text1"/>
          <w:sz w:val="28"/>
          <w:szCs w:val="28"/>
          <w:highlight w:val="none"/>
          <w:lang w:eastAsia="zh-CN"/>
          <w14:textFill>
            <w14:solidFill>
              <w14:schemeClr w14:val="tx1"/>
            </w14:solidFill>
          </w14:textFill>
        </w:rPr>
        <w:t xml:space="preserve">JSZC-320214-PXGJ-G2024-0125</w:t>
      </w:r>
      <w:r/>
    </w:p>
    <w:p>
      <w:pPr>
        <w:rPr>
          <w:rFonts w:hint="eastAsia"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r>
      <w:r/>
    </w:p>
    <w:p>
      <w:pPr>
        <w:ind w:left="1958" w:hanging="1400"/>
        <w:rPr>
          <w:rFonts w:hint="eastAsia" w:ascii="黑体" w:hAnsi="黑体" w:eastAsia="黑体"/>
          <w:color w:val="000000" w:themeColor="text1"/>
          <w:sz w:val="28"/>
          <w:szCs w:val="28"/>
          <w:highlight w:val="none"/>
          <w:lang w:eastAsia="zh-CN"/>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采购项目名称：</w:t>
      </w:r>
      <w:r>
        <w:rPr>
          <w:rFonts w:hint="eastAsia" w:ascii="黑体" w:hAnsi="黑体" w:eastAsia="黑体"/>
          <w:color w:val="000000" w:themeColor="text1"/>
          <w:sz w:val="28"/>
          <w:szCs w:val="28"/>
          <w:highlight w:val="none"/>
          <w:lang w:eastAsia="zh-CN"/>
          <w14:textFill>
            <w14:solidFill>
              <w14:schemeClr w14:val="tx1"/>
            </w14:solidFill>
          </w14:textFill>
        </w:rPr>
        <w:t xml:space="preserve">硕放派出所食堂食材采购及配送</w:t>
      </w:r>
      <w:r/>
    </w:p>
    <w:p>
      <w:pPr>
        <w:ind w:left="1958" w:hanging="1400"/>
        <w:rPr>
          <w:rFonts w:hint="eastAsia"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r>
      <w:r/>
    </w:p>
    <w:p>
      <w:pPr>
        <w:ind w:left="1958" w:hanging="1400"/>
        <w:rPr>
          <w:rFonts w:hint="eastAsia" w:ascii="黑体" w:hAnsi="黑体" w:eastAsia="黑体"/>
          <w:color w:val="000000" w:themeColor="text1"/>
          <w:sz w:val="28"/>
          <w:szCs w:val="28"/>
          <w:highlight w:val="none"/>
          <w:lang w:eastAsia="zh-CN"/>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采   购   人：</w:t>
      </w:r>
      <w:r>
        <w:rPr>
          <w:rFonts w:hint="eastAsia" w:ascii="黑体" w:hAnsi="黑体" w:eastAsia="黑体"/>
          <w:color w:val="000000" w:themeColor="text1"/>
          <w:sz w:val="28"/>
          <w:szCs w:val="28"/>
          <w:highlight w:val="none"/>
          <w:lang w:eastAsia="zh-CN"/>
          <w14:textFill>
            <w14:solidFill>
              <w14:schemeClr w14:val="tx1"/>
            </w14:solidFill>
          </w14:textFill>
        </w:rPr>
        <w:t xml:space="preserve">无锡市新吴区人民政府硕放街道办事处</w:t>
      </w:r>
      <w:r/>
    </w:p>
    <w:p>
      <w:pPr>
        <w:ind w:firstLine="560"/>
        <w:rPr>
          <w:rFonts w:hint="eastAsia"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r>
      <w:r/>
    </w:p>
    <w:p>
      <w:pPr>
        <w:ind w:firstLine="560"/>
        <w:rPr>
          <w:rFonts w:hint="eastAsia" w:ascii="黑体" w:hAnsi="黑体" w:eastAsia="黑体"/>
          <w:color w:val="000000" w:themeColor="text1"/>
          <w:sz w:val="28"/>
          <w:szCs w:val="28"/>
          <w:highlight w:val="none"/>
          <w:lang w:eastAsia="zh-CN"/>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采购代理机构：</w:t>
      </w:r>
      <w:r>
        <w:rPr>
          <w:rFonts w:hint="eastAsia" w:ascii="黑体" w:hAnsi="黑体" w:eastAsia="黑体"/>
          <w:color w:val="000000" w:themeColor="text1"/>
          <w:sz w:val="28"/>
          <w:szCs w:val="28"/>
          <w:highlight w:val="none"/>
          <w:lang w:eastAsia="zh-CN"/>
          <w14:textFill>
            <w14:solidFill>
              <w14:schemeClr w14:val="tx1"/>
            </w14:solidFill>
          </w14:textFill>
        </w:rPr>
        <w:t xml:space="preserve">普信国际工程咨询有限公司</w:t>
      </w:r>
      <w:r/>
    </w:p>
    <w:p>
      <w:pPr>
        <w:ind w:firstLine="560"/>
        <w:rPr>
          <w:rFonts w:hint="eastAsia"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r>
      <w:r/>
    </w:p>
    <w:p>
      <w:pPr>
        <w:rPr>
          <w:rFonts w:ascii="黑体" w:hAnsi="黑体" w:eastAsia="黑体"/>
          <w:color w:val="000000" w:themeColor="text1"/>
          <w:highlight w:val="none"/>
          <w14:textFill>
            <w14:solidFill>
              <w14:schemeClr w14:val="tx1"/>
            </w14:solidFill>
          </w14:textFill>
        </w:rPr>
      </w:pPr>
      <w:r>
        <w:rPr>
          <w:rFonts w:ascii="黑体" w:hAnsi="黑体" w:eastAsia="黑体"/>
          <w:color w:val="000000" w:themeColor="text1"/>
          <w:highlight w:val="none"/>
          <w14:textFill>
            <w14:solidFill>
              <w14:schemeClr w14:val="tx1"/>
            </w14:solidFill>
          </w14:textFill>
        </w:rPr>
      </w:r>
      <w:r/>
    </w:p>
    <w:p>
      <w:pPr>
        <w:jc w:val="center"/>
        <w:rPr>
          <w:rStyle w:val="1028"/>
          <w:rFonts w:hint="eastAsia" w:eastAsia="黑体"/>
          <w:bCs/>
          <w:color w:val="000000" w:themeColor="text1"/>
          <w:sz w:val="48"/>
          <w:highlight w:val="none"/>
          <w14:textFill>
            <w14:solidFill>
              <w14:schemeClr w14:val="tx1"/>
            </w14:solidFill>
          </w14:textFill>
        </w:rPr>
      </w:pPr>
      <w:r>
        <w:rPr>
          <w:rFonts w:hint="eastAsia" w:ascii="黑体" w:hAnsi="华文中宋" w:eastAsia="黑体"/>
          <w:bCs/>
          <w:color w:val="000000" w:themeColor="text1"/>
          <w:sz w:val="36"/>
          <w:szCs w:val="36"/>
          <w:highlight w:val="none"/>
          <w14:textFill>
            <w14:solidFill>
              <w14:schemeClr w14:val="tx1"/>
            </w14:solidFill>
          </w14:textFill>
        </w:rPr>
        <w:t xml:space="preserve">二○二四年</w:t>
      </w:r>
      <w:r>
        <w:rPr>
          <w:rFonts w:hint="eastAsia" w:ascii="黑体" w:hAnsi="华文中宋" w:eastAsia="黑体"/>
          <w:bCs/>
          <w:color w:val="000000" w:themeColor="text1"/>
          <w:sz w:val="36"/>
          <w:szCs w:val="36"/>
          <w:highlight w:val="none"/>
          <w:lang w:val="en-US" w:eastAsia="zh-CN"/>
          <w14:textFill>
            <w14:solidFill>
              <w14:schemeClr w14:val="tx1"/>
            </w14:solidFill>
          </w14:textFill>
        </w:rPr>
        <w:t xml:space="preserve">十一</w:t>
      </w:r>
      <w:r>
        <w:rPr>
          <w:rFonts w:hint="eastAsia" w:ascii="黑体" w:hAnsi="华文中宋" w:eastAsia="黑体"/>
          <w:bCs/>
          <w:color w:val="000000" w:themeColor="text1"/>
          <w:sz w:val="36"/>
          <w:szCs w:val="36"/>
          <w:highlight w:val="none"/>
          <w14:textFill>
            <w14:solidFill>
              <w14:schemeClr w14:val="tx1"/>
            </w14:solidFill>
          </w14:textFill>
        </w:rPr>
        <w:t xml:space="preserve">月</w:t>
      </w:r>
      <w:r/>
    </w:p>
    <w:p>
      <w:pPr>
        <w:jc w:val="center"/>
        <w:rPr>
          <w:rStyle w:val="1028"/>
          <w:rFonts w:eastAsia="黑体"/>
          <w:bCs/>
          <w:color w:val="000000" w:themeColor="text1"/>
          <w:sz w:val="48"/>
          <w:highlight w:val="none"/>
          <w14:textFill>
            <w14:solidFill>
              <w14:schemeClr w14:val="tx1"/>
            </w14:solidFill>
          </w14:textFill>
        </w:rPr>
      </w:pPr>
      <w:r>
        <w:rPr>
          <w:rStyle w:val="1028"/>
          <w:rFonts w:hint="eastAsia" w:eastAsia="黑体"/>
          <w:bCs/>
          <w:color w:val="000000" w:themeColor="text1"/>
          <w:sz w:val="48"/>
          <w:highlight w:val="none"/>
          <w14:textFill>
            <w14:solidFill>
              <w14:schemeClr w14:val="tx1"/>
            </w14:solidFill>
          </w14:textFill>
        </w:rPr>
        <w:br w:type="page" w:clear="all"/>
      </w:r>
      <w:r>
        <w:rPr>
          <w:rStyle w:val="1028"/>
          <w:rFonts w:hint="eastAsia" w:eastAsia="黑体"/>
          <w:bCs/>
          <w:color w:val="000000" w:themeColor="text1"/>
          <w:sz w:val="48"/>
          <w:highlight w:val="none"/>
          <w14:textFill>
            <w14:solidFill>
              <w14:schemeClr w14:val="tx1"/>
            </w14:solidFill>
          </w14:textFill>
        </w:rPr>
        <w:t xml:space="preserve">目</w:t>
      </w:r>
      <w:r>
        <w:rPr>
          <w:rStyle w:val="1028"/>
          <w:rFonts w:eastAsia="黑体"/>
          <w:bCs/>
          <w:color w:val="000000" w:themeColor="text1"/>
          <w:sz w:val="48"/>
          <w:highlight w:val="none"/>
          <w14:textFill>
            <w14:solidFill>
              <w14:schemeClr w14:val="tx1"/>
            </w14:solidFill>
          </w14:textFill>
        </w:rPr>
        <w:t xml:space="preserve">     </w:t>
      </w:r>
      <w:r>
        <w:rPr>
          <w:rStyle w:val="1028"/>
          <w:rFonts w:hint="eastAsia" w:eastAsia="黑体"/>
          <w:bCs/>
          <w:color w:val="000000" w:themeColor="text1"/>
          <w:sz w:val="48"/>
          <w:highlight w:val="none"/>
          <w14:textFill>
            <w14:solidFill>
              <w14:schemeClr w14:val="tx1"/>
            </w14:solidFill>
          </w14:textFill>
        </w:rPr>
        <w:t xml:space="preserve">录</w:t>
      </w:r>
      <w:r/>
    </w:p>
    <w:p>
      <w:pPr>
        <w:jc w:val="center"/>
        <w:rPr>
          <w:rFonts w:ascii="黑体" w:eastAsia="黑体"/>
          <w:bCs/>
          <w:color w:val="000000" w:themeColor="text1"/>
          <w:sz w:val="30"/>
          <w:highlight w:val="none"/>
          <w14:textFill>
            <w14:solidFill>
              <w14:schemeClr w14:val="tx1"/>
            </w14:solidFill>
          </w14:textFill>
        </w:rPr>
      </w:pPr>
      <w:r>
        <w:rPr>
          <w:rFonts w:ascii="黑体" w:eastAsia="黑体"/>
          <w:bCs/>
          <w:color w:val="000000" w:themeColor="text1"/>
          <w:sz w:val="30"/>
          <w:highlight w:val="none"/>
          <w14:textFill>
            <w14:solidFill>
              <w14:schemeClr w14:val="tx1"/>
            </w14:solidFill>
          </w14:textFill>
        </w:rPr>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一．投标邀请函</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（3）</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二．投标供应商须知</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7</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三．项目技术要求和有关说明 </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17</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四</w:t>
      </w:r>
      <w:r>
        <w:rPr>
          <w:rFonts w:ascii="宋体" w:hAnsi="宋体"/>
          <w:bCs/>
          <w:color w:val="000000" w:themeColor="text1"/>
          <w:sz w:val="30"/>
          <w:szCs w:val="30"/>
          <w:highlight w:val="none"/>
          <w14:textFill>
            <w14:solidFill>
              <w14:schemeClr w14:val="tx1"/>
            </w14:solidFill>
          </w14:textFill>
        </w:rPr>
        <w:t xml:space="preserve">. </w:t>
      </w:r>
      <w:r>
        <w:rPr>
          <w:rFonts w:hint="eastAsia" w:ascii="宋体" w:hAnsi="宋体"/>
          <w:bCs/>
          <w:color w:val="000000" w:themeColor="text1"/>
          <w:sz w:val="30"/>
          <w:szCs w:val="30"/>
          <w:highlight w:val="none"/>
          <w14:textFill>
            <w14:solidFill>
              <w14:schemeClr w14:val="tx1"/>
            </w14:solidFill>
          </w14:textFill>
        </w:rPr>
        <w:t xml:space="preserve">合同书（格式文本）</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28</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hint="eastAsia"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五．附件 </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32</w:t>
      </w:r>
      <w:r>
        <w:rPr>
          <w:rFonts w:hint="eastAsia" w:ascii="宋体" w:hAnsi="宋体"/>
          <w:bCs/>
          <w:color w:val="000000" w:themeColor="text1"/>
          <w:sz w:val="30"/>
          <w:szCs w:val="30"/>
          <w:highlight w:val="none"/>
          <w14:textFill>
            <w14:solidFill>
              <w14:schemeClr w14:val="tx1"/>
            </w14:solidFill>
          </w14:textFill>
        </w:rPr>
        <w:t xml:space="preserve">）</w:t>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t xml:space="preserve"> </w:t>
      </w:r>
      <w:r/>
    </w:p>
    <w:p>
      <w:pPr>
        <w:spacing w:line="720" w:lineRule="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spacing w:line="480" w:lineRule="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rPr>
          <w:rFonts w:ascii="宋体"/>
          <w:bCs/>
          <w:color w:val="000000" w:themeColor="text1"/>
          <w:sz w:val="28"/>
          <w:highlight w:val="none"/>
          <w14:textFill>
            <w14:solidFill>
              <w14:schemeClr w14:val="tx1"/>
            </w14:solidFill>
          </w14:textFill>
        </w:rPr>
      </w:pPr>
      <w:r>
        <w:rPr>
          <w:rFonts w:ascii="宋体"/>
          <w:bCs/>
          <w:color w:val="000000" w:themeColor="text1"/>
          <w:sz w:val="28"/>
          <w:highlight w:val="none"/>
          <w14:textFill>
            <w14:solidFill>
              <w14:schemeClr w14:val="tx1"/>
            </w14:solidFill>
          </w14:textFill>
        </w:rPr>
      </w:r>
      <w:r/>
    </w:p>
    <w:p>
      <w:pPr>
        <w:rPr>
          <w:rFonts w:ascii="宋体"/>
          <w:bCs/>
          <w:color w:val="000000" w:themeColor="text1"/>
          <w:sz w:val="32"/>
          <w:highlight w:val="none"/>
          <w14:textFill>
            <w14:solidFill>
              <w14:schemeClr w14:val="tx1"/>
            </w14:solidFill>
          </w14:textFill>
        </w:rPr>
      </w:pPr>
      <w:r>
        <w:rPr>
          <w:rFonts w:ascii="宋体"/>
          <w:bCs/>
          <w:color w:val="000000" w:themeColor="text1"/>
          <w:sz w:val="32"/>
          <w:highlight w:val="none"/>
          <w14:textFill>
            <w14:solidFill>
              <w14:schemeClr w14:val="tx1"/>
            </w14:solidFill>
          </w14:textFill>
        </w:rPr>
      </w:r>
      <w:r/>
    </w:p>
    <w:p>
      <w:pPr>
        <w:rPr>
          <w:rFonts w:ascii="宋体"/>
          <w:bCs/>
          <w:color w:val="000000" w:themeColor="text1"/>
          <w:sz w:val="32"/>
          <w:highlight w:val="none"/>
          <w14:textFill>
            <w14:solidFill>
              <w14:schemeClr w14:val="tx1"/>
            </w14:solidFill>
          </w14:textFill>
        </w:rPr>
      </w:pPr>
      <w:r>
        <w:rPr>
          <w:rFonts w:ascii="宋体"/>
          <w:bCs/>
          <w:color w:val="000000" w:themeColor="text1"/>
          <w:sz w:val="32"/>
          <w:highlight w:val="none"/>
          <w14:textFill>
            <w14:solidFill>
              <w14:schemeClr w14:val="tx1"/>
            </w14:solidFill>
          </w14:textFill>
        </w:rPr>
      </w:r>
      <w:r/>
    </w:p>
    <w:p>
      <w:pPr>
        <w:jc w:val="center"/>
        <w:spacing w:line="360" w:lineRule="auto"/>
        <w:rPr>
          <w:rFonts w:ascii="黑体" w:eastAsia="黑体"/>
          <w:bCs/>
          <w:color w:val="000000" w:themeColor="text1"/>
          <w:sz w:val="28"/>
          <w:szCs w:val="28"/>
          <w:highlight w:val="none"/>
          <w14:textFill>
            <w14:solidFill>
              <w14:schemeClr w14:val="tx1"/>
            </w14:solidFill>
          </w14:textFill>
        </w:rPr>
      </w:pPr>
      <w:r/>
      <w:bookmarkStart w:id="0" w:name="报价方须知前附表"/>
      <w:r/>
      <w:bookmarkEnd w:id="0"/>
      <w:r>
        <w:rPr>
          <w:rFonts w:ascii="黑体" w:eastAsia="黑体"/>
          <w:bCs/>
          <w:color w:val="000000" w:themeColor="text1"/>
          <w:sz w:val="28"/>
          <w:szCs w:val="28"/>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一．投标邀请函</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受</w:t>
      </w:r>
      <w:r>
        <w:rPr>
          <w:rFonts w:hint="eastAsia" w:ascii="宋体" w:hAnsi="宋体"/>
          <w:bCs/>
          <w:color w:val="000000" w:themeColor="text1"/>
          <w:sz w:val="24"/>
          <w:szCs w:val="24"/>
          <w:highlight w:val="none"/>
          <w:lang w:eastAsia="zh-CN"/>
          <w14:textFill>
            <w14:solidFill>
              <w14:schemeClr w14:val="tx1"/>
            </w14:solidFill>
          </w14:textFill>
        </w:rPr>
        <w:t xml:space="preserve">无锡市新吴区人民政府硕放街道办事处</w:t>
      </w:r>
      <w:r>
        <w:rPr>
          <w:rFonts w:hint="eastAsia" w:ascii="宋体" w:hAnsi="宋体"/>
          <w:bCs/>
          <w:color w:val="000000" w:themeColor="text1"/>
          <w:sz w:val="24"/>
          <w:szCs w:val="24"/>
          <w:highlight w:val="none"/>
          <w14:textFill>
            <w14:solidFill>
              <w14:schemeClr w14:val="tx1"/>
            </w14:solidFill>
          </w14:textFill>
        </w:rPr>
        <w:t xml:space="preserve">委托，对</w:t>
      </w:r>
      <w:r>
        <w:rPr>
          <w:rFonts w:hint="eastAsia" w:ascii="宋体" w:hAnsi="宋体"/>
          <w:bCs/>
          <w:color w:val="000000" w:themeColor="text1"/>
          <w:sz w:val="24"/>
          <w:szCs w:val="24"/>
          <w:highlight w:val="none"/>
          <w:lang w:eastAsia="zh-CN"/>
          <w14:textFill>
            <w14:solidFill>
              <w14:schemeClr w14:val="tx1"/>
            </w14:solidFill>
          </w14:textFill>
        </w:rPr>
        <w:t xml:space="preserve">硕放派出所食堂食材采购及配送</w:t>
      </w:r>
      <w:r>
        <w:rPr>
          <w:rFonts w:hint="eastAsia" w:ascii="宋体" w:hAnsi="宋体"/>
          <w:bCs/>
          <w:color w:val="000000" w:themeColor="text1"/>
          <w:sz w:val="24"/>
          <w:szCs w:val="24"/>
          <w:highlight w:val="none"/>
          <w14:textFill>
            <w14:solidFill>
              <w14:schemeClr w14:val="tx1"/>
            </w14:solidFill>
          </w14:textFill>
        </w:rPr>
        <w:t xml:space="preserve">进行公开招标采购，欢迎符合相关条件的供应商参加投标并提请注意下列相关事项：</w:t>
      </w:r>
      <w:r/>
    </w:p>
    <w:p>
      <w:pPr>
        <w:ind w:firstLine="480"/>
        <w:jc w:val="left"/>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（一）招标项目信息</w:t>
      </w:r>
      <w:r/>
    </w:p>
    <w:p>
      <w:pPr>
        <w:ind w:firstLine="480"/>
        <w:jc w:val="left"/>
        <w:spacing w:line="360" w:lineRule="auto"/>
        <w:widowControl/>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1.项目名称：</w:t>
      </w:r>
      <w:r>
        <w:rPr>
          <w:rFonts w:hint="eastAsia" w:ascii="宋体" w:hAnsi="宋体" w:cs="Times New Roman"/>
          <w:color w:val="000000" w:themeColor="text1"/>
          <w:sz w:val="24"/>
          <w:szCs w:val="24"/>
          <w:highlight w:val="none"/>
          <w:lang w:eastAsia="zh-CN"/>
          <w14:textFill>
            <w14:solidFill>
              <w14:schemeClr w14:val="tx1"/>
            </w14:solidFill>
          </w14:textFill>
        </w:rPr>
        <w:t xml:space="preserve">硕放派出所食堂食材采购及配送</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widowControl/>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2.项目编号：</w:t>
      </w:r>
      <w:r>
        <w:rPr>
          <w:rFonts w:hint="eastAsia" w:ascii="宋体" w:hAnsi="宋体" w:cs="Times New Roman"/>
          <w:color w:val="000000" w:themeColor="text1"/>
          <w:sz w:val="24"/>
          <w:szCs w:val="24"/>
          <w:highlight w:val="none"/>
          <w:lang w:eastAsia="zh-CN"/>
          <w14:textFill>
            <w14:solidFill>
              <w14:schemeClr w14:val="tx1"/>
            </w14:solidFill>
          </w14:textFill>
        </w:rPr>
        <w:t xml:space="preserve">JSZC-320214-PXGJ-G2024-0125</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widowControl/>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服务概况：</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硕放派出所食堂食材采购及配送；</w:t>
      </w:r>
      <w:r/>
    </w:p>
    <w:p>
      <w:pPr>
        <w:ind w:firstLine="480"/>
        <w:jc w:val="left"/>
        <w:spacing w:line="360" w:lineRule="auto"/>
        <w:widowControl/>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范围：蔬菜、肉类、桌餐、冻品、水产、水果、酸奶、米、面、粮油、干货、调味品等采购供货、配送及相关后续服务。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具体详见招标文件“三.项目技术要求和有关说明”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jc w:val="left"/>
        <w:spacing w:line="360" w:lineRule="auto"/>
        <w:widowControl/>
        <w:rPr>
          <w:rFonts w:hint="eastAsia"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szCs w:val="24"/>
          <w:highlight w:val="none"/>
          <w14:textFill>
            <w14:solidFill>
              <w14:schemeClr w14:val="tx1"/>
            </w14:solidFill>
          </w14:textFill>
        </w:rPr>
        <w:t xml:space="preserve">服务期限：3年（36个月），从试供之日起开始计算</w:t>
      </w:r>
      <w:r>
        <w:rPr>
          <w:rFonts w:hint="eastAsia" w:hAnsi="宋体" w:cs="宋体"/>
          <w:color w:val="000000" w:themeColor="text1"/>
          <w:sz w:val="24"/>
          <w:szCs w:val="24"/>
          <w:highlight w:val="none"/>
          <w:lang w:val="en-US" w:eastAsia="zh-CN"/>
          <w14:textFill>
            <w14:solidFill>
              <w14:schemeClr w14:val="tx1"/>
            </w14:solidFill>
          </w14:textFill>
        </w:rPr>
        <w:t xml:space="preserve">；</w:t>
      </w:r>
      <w:r/>
    </w:p>
    <w:p>
      <w:pPr>
        <w:ind w:firstLine="480"/>
        <w:jc w:val="left"/>
        <w:spacing w:line="360" w:lineRule="auto"/>
        <w:widowControl/>
        <w:rPr>
          <w:rFonts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6.质量标准：合格产品，符合国家相关食品安全卫生标准</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w:t>
      </w:r>
      <w:r/>
    </w:p>
    <w:p>
      <w:pPr>
        <w:ind w:firstLine="480"/>
        <w:jc w:val="left"/>
        <w:spacing w:line="360" w:lineRule="auto"/>
        <w:widowControl/>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4"/>
          <w:highlight w:val="none"/>
          <w14:textFill>
            <w14:solidFill>
              <w14:schemeClr w14:val="tx1"/>
            </w14:solidFill>
          </w14:textFill>
        </w:rPr>
        <w:t xml:space="preserve">.项目预算：本项目预算金额为人民币</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510</w:t>
      </w:r>
      <w:r>
        <w:rPr>
          <w:rFonts w:hint="eastAsia" w:ascii="宋体" w:hAnsi="宋体" w:eastAsia="宋体" w:cs="Times New Roman"/>
          <w:color w:val="000000" w:themeColor="text1"/>
          <w:sz w:val="24"/>
          <w:szCs w:val="24"/>
          <w:highlight w:val="none"/>
          <w14:textFill>
            <w14:solidFill>
              <w14:schemeClr w14:val="tx1"/>
            </w14:solidFill>
          </w14:textFill>
        </w:rPr>
        <w:t xml:space="preserve">万元</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/3年</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widowControl/>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szCs w:val="24"/>
          <w:highlight w:val="none"/>
          <w14:textFill>
            <w14:solidFill>
              <w14:schemeClr w14:val="tx1"/>
            </w14:solidFill>
          </w14:textFill>
        </w:rPr>
        <w:t xml:space="preserve">.项目最高限价：</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510</w:t>
      </w:r>
      <w:r>
        <w:rPr>
          <w:rFonts w:hint="eastAsia" w:ascii="宋体" w:hAnsi="宋体" w:eastAsia="宋体" w:cs="Times New Roman"/>
          <w:color w:val="000000" w:themeColor="text1"/>
          <w:sz w:val="24"/>
          <w:szCs w:val="24"/>
          <w:highlight w:val="none"/>
          <w14:textFill>
            <w14:solidFill>
              <w14:schemeClr w14:val="tx1"/>
            </w14:solidFill>
          </w14:textFill>
        </w:rPr>
        <w:t xml:space="preserve">万元</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/3年</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widowControl/>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Times New Roman"/>
          <w:color w:val="000000" w:themeColor="text1"/>
          <w:sz w:val="24"/>
          <w:szCs w:val="24"/>
          <w:highlight w:val="none"/>
          <w14:textFill>
            <w14:solidFill>
              <w14:schemeClr w14:val="tx1"/>
            </w14:solidFill>
          </w14:textFill>
        </w:rPr>
        <w:t xml:space="preserve">.采购方式：公开招标</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lang w:eastAsia="zh-CN"/>
          <w14:textFill>
            <w14:solidFill>
              <w14:schemeClr w14:val="tx1"/>
            </w14:solidFill>
          </w14:textFill>
        </w:rPr>
        <w:t xml:space="preserve">无锡市新吴区人民政府硕放街道办事处；</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.本项目标的所属行业：零售业；</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.本项目是否专门面向中小企业：是。</w:t>
      </w:r>
      <w:r/>
    </w:p>
    <w:p>
      <w:pPr>
        <w:ind w:firstLine="480"/>
        <w:jc w:val="left"/>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（二）投标供应商资格要求</w:t>
      </w:r>
      <w:r/>
    </w:p>
    <w:p>
      <w:pPr>
        <w:pStyle w:val="1041"/>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1.报价供应商参加本次政府采购活动除应当具备《中华人民共和国政府采购法》第二十二条规定的条件外，还必须具备以下条件：</w:t>
      </w:r>
      <w:r/>
    </w:p>
    <w:p>
      <w:pPr>
        <w:pStyle w:val="1041"/>
        <w:ind w:firstLine="480"/>
        <w:spacing w:line="360" w:lineRule="auto"/>
        <w:rPr>
          <w:rFonts w:hint="eastAsia" w:hAnsi="宋体"/>
          <w:bCs/>
          <w:color w:val="000000" w:themeColor="text1"/>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①</w:t>
      </w:r>
      <w:r>
        <w:rPr>
          <w:rFonts w:hint="eastAsia" w:hAnsi="宋体"/>
          <w:color w:val="000000" w:themeColor="text1"/>
          <w:highlight w:val="none"/>
          <w14:textFill>
            <w14:solidFill>
              <w14:schemeClr w14:val="tx1"/>
            </w14:solidFill>
          </w14:textFill>
        </w:rPr>
        <w:t xml:space="preserve">中华人民共和国境内的法人、其他组织或者自然人，具有独立签订合同的权利和良好履行合同的能力，</w:t>
      </w:r>
      <w:r>
        <w:rPr>
          <w:rFonts w:hint="eastAsia" w:hAnsi="宋体"/>
          <w:bCs/>
          <w:color w:val="000000" w:themeColor="text1"/>
          <w:highlight w:val="none"/>
          <w14:textFill>
            <w14:solidFill>
              <w14:schemeClr w14:val="tx1"/>
            </w14:solidFill>
          </w14:textFill>
        </w:rPr>
        <w:t xml:space="preserve">企业财务状况良好。</w:t>
      </w:r>
      <w:r/>
    </w:p>
    <w:p>
      <w:pPr>
        <w:pStyle w:val="775"/>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②</w:t>
      </w:r>
      <w:r>
        <w:rPr>
          <w:rFonts w:hint="eastAsia" w:hAnsi="宋体"/>
          <w:bCs/>
          <w:color w:val="000000" w:themeColor="text1"/>
          <w:highlight w:val="none"/>
          <w14:textFill>
            <w14:solidFill>
              <w14:schemeClr w14:val="tx1"/>
            </w14:solidFill>
          </w14:textFill>
        </w:rPr>
        <w:t xml:space="preserve">投标供应商必须具备管</w:t>
      </w:r>
      <w:r>
        <w:rPr>
          <w:rFonts w:hint="eastAsia" w:ascii="宋体" w:hAnsi="宋体" w:eastAsia="宋体"/>
          <w:bCs/>
          <w:color w:val="000000" w:themeColor="text1"/>
          <w:highlight w:val="none"/>
          <w14:textFill>
            <w14:solidFill>
              <w14:schemeClr w14:val="tx1"/>
            </w14:solidFill>
          </w14:textFill>
        </w:rPr>
        <w:t xml:space="preserve">理部门核发的有效期内的食品流通许可证或食品经营许可证。</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b/>
          <w:bCs/>
          <w:color w:val="000000" w:themeColor="text1"/>
          <w:sz w:val="24"/>
          <w:szCs w:val="24"/>
          <w:highlight w:val="none"/>
          <w:lang w:eastAsia="zh-CN"/>
          <w14:textFill>
            <w14:solidFill>
              <w14:schemeClr w14:val="tx1"/>
            </w14:solidFill>
          </w14:textFill>
        </w:rPr>
      </w:pP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本项目不接受联合体投标。</w:t>
      </w:r>
      <w:r/>
    </w:p>
    <w:p>
      <w:pPr>
        <w:ind w:firstLine="480"/>
        <w:jc w:val="left"/>
        <w:spacing w:line="360" w:lineRule="auto"/>
        <w:widowControl/>
        <w:rPr>
          <w:rFonts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1.请有意参加本项目采购活动的供应商按以下流程进行操作：</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（1）访问“无锡政府采购网”点击“江苏省政府采购（</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）平台”（以下简称“</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”）进行账号注册，注册完成后需在系统中填写资质信息并提交审核。也可以直接通过http://jszfcg.jsczt.cn/进入注册界面。</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（2）办理“意源”CA数字证书和“方正”电子签章（办理地址：无锡市滨湖区观山路199号12号楼二楼9号、10号窗口），办理指南链接：http://jsxcmm.com/help/help.html。</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（3）CA驱动下载：</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在“江苏省政府采购（</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）平台”</w:t>
      </w:r>
      <w:r>
        <w:rPr>
          <w:rFonts w:hint="eastAsia" w:ascii="宋体" w:hAnsi="宋体"/>
          <w:bCs/>
          <w:color w:val="000000" w:themeColor="text1"/>
          <w:sz w:val="24"/>
          <w:szCs w:val="24"/>
          <w:highlight w:val="none"/>
          <w:lang w:eastAsia="zh-CN"/>
          <w14:textFill>
            <w14:solidFill>
              <w14:schemeClr w14:val="tx1"/>
            </w14:solidFill>
          </w14:textFill>
        </w:rPr>
        <w:t xml:space="preserve">账号登录</w:t>
      </w:r>
      <w:r>
        <w:rPr>
          <w:rFonts w:hint="eastAsia" w:ascii="宋体" w:hAnsi="宋体"/>
          <w:bCs/>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技术服务电话：0510-81827781（服务时间：工作日 9:00-11:30，13:00-17:00）</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2.完成</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注册的供应商方可在</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中进行CA绑定。登录“江苏省政府采购（</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）平台”，插入CA后，点击【账号设置】——【绑定CA】。</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4.如供应商未按上述要求操作，由此所产生的损失及风险由供应商自行承担。具体操作步骤详见《“</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”系统供应商操作手册》（以下简称《操作手册》），下载地址：无锡市政府采购网——资料下载——</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fldChar w:fldCharType="begin"/>
      </w:r>
      <w:r>
        <w:rPr>
          <w:rFonts w:hint="eastAsia" w:ascii="宋体" w:hAnsi="宋体"/>
          <w:bCs/>
          <w:color w:val="000000" w:themeColor="text1"/>
          <w:sz w:val="24"/>
          <w:szCs w:val="24"/>
          <w:highlight w:val="none"/>
          <w14:textFill>
            <w14:solidFill>
              <w14:schemeClr w14:val="tx1"/>
            </w14:solidFill>
          </w14:textFill>
        </w:rPr>
        <w:instrText xml:space="preserve">HYPERLINK "http://cz.wuxi.gov.cn/doc/2023/10/11/4080287.shtml" \t "_blank" \o "\“苏采云\”系统供应商操作手册"</w:instrText>
      </w:r>
      <w:r>
        <w:rPr>
          <w:rFonts w:hint="eastAsia" w:ascii="宋体" w:hAnsi="宋体"/>
          <w:bCs/>
          <w:color w:val="000000" w:themeColor="text1"/>
          <w:sz w:val="24"/>
          <w:szCs w:val="24"/>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”系统供应商操作手册</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技术支持QQ：田女士：3071474382 ；王先生：897651173。</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（四）完成项目报名，获取招标文件</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1.潜在投标供应商可在项目招标公告附件中查看公开招标文件，如确定投标，必须在</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平台（http://jszfcg.jscz.gov.cn/jszc/login）中免费下载公开招标文件（</w:t>
      </w:r>
      <w:r>
        <w:rPr>
          <w:rFonts w:hint="eastAsia" w:ascii="宋体" w:hAnsi="宋体"/>
          <w:color w:val="000000" w:themeColor="text1"/>
          <w:sz w:val="24"/>
          <w:highlight w:val="none"/>
          <w14:textFill>
            <w14:solidFill>
              <w14:schemeClr w14:val="tx1"/>
            </w14:solidFill>
          </w14:textFill>
        </w:rPr>
        <w:t xml:space="preserve">无锡政府采购网</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江苏省政府采购（</w:t>
      </w:r>
      <w:r>
        <w:rPr>
          <w:rFonts w:hint="eastAsia" w:ascii="宋体" w:hAnsi="宋体"/>
          <w:color w:val="000000" w:themeColor="text1"/>
          <w:sz w:val="24"/>
          <w:highlight w:val="none"/>
          <w:lang w:eastAsia="zh-CN"/>
          <w14:textFill>
            <w14:solidFill>
              <w14:schemeClr w14:val="tx1"/>
            </w14:solidFill>
          </w14:textFill>
        </w:rPr>
        <w:t xml:space="preserve">苏采云</w:t>
      </w:r>
      <w:r>
        <w:rPr>
          <w:rFonts w:hint="eastAsia" w:ascii="宋体" w:hAnsi="宋体"/>
          <w:color w:val="000000" w:themeColor="text1"/>
          <w:sz w:val="24"/>
          <w:highlight w:val="none"/>
          <w14:textFill>
            <w14:solidFill>
              <w14:schemeClr w14:val="tx1"/>
            </w14:solidFill>
          </w14:textFill>
        </w:rPr>
        <w:t xml:space="preserve">）平台或“政府采购客户端（</w:t>
      </w:r>
      <w:r>
        <w:rPr>
          <w:rFonts w:hint="eastAsia" w:ascii="宋体" w:hAnsi="宋体"/>
          <w:color w:val="000000" w:themeColor="text1"/>
          <w:sz w:val="24"/>
          <w:highlight w:val="none"/>
          <w:lang w:eastAsia="zh-CN"/>
          <w14:textFill>
            <w14:solidFill>
              <w14:schemeClr w14:val="tx1"/>
            </w14:solidFill>
          </w14:textFill>
        </w:rPr>
        <w:t xml:space="preserve">苏采云</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中免费下载文件（“项目参与”——找到需要获取</w:t>
      </w:r>
      <w:r>
        <w:rPr>
          <w:rFonts w:hint="eastAsia" w:ascii="宋体" w:hAnsi="宋体"/>
          <w:color w:val="000000" w:themeColor="text1"/>
          <w:sz w:val="24"/>
          <w:highlight w:val="none"/>
          <w14:textFill>
            <w14:solidFill>
              <w14:schemeClr w14:val="tx1"/>
            </w14:solidFill>
          </w14:textFill>
        </w:rPr>
        <w:t xml:space="preserve">招标文件</w:t>
      </w:r>
      <w:r>
        <w:rPr>
          <w:rFonts w:ascii="宋体" w:hAnsi="宋体"/>
          <w:color w:val="000000" w:themeColor="text1"/>
          <w:sz w:val="24"/>
          <w:highlight w:val="none"/>
          <w14:textFill>
            <w14:solidFill>
              <w14:schemeClr w14:val="tx1"/>
            </w14:solidFill>
          </w14:textFill>
        </w:rPr>
        <w:t xml:space="preserve">的项目，点击“我要参与”——“参与投标”</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下载文件</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），完成项目报名，将</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平台中下载的招标文件（后缀名为“.kedt”）导入到“政府采购客户端”，离线按要求编制并加密投标文件（使用“CA数字证书”），导出加密的投标文件（后缀名为zip，不得超过150M）并在</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平台上传该加密的投标文件，对招标文件各项内容做出实质性响应，否则其投标文件无效。</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2.招标文件（后缀名为“.kedt”）、“</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”系统供应商操作手册及政府采购客户端工具也可通过“</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已参与项目</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报名详情页面内相应链接进行下载。</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3.政府采购客户端工具及“</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”系统供应商操作手册可访问江苏政府采购网</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办事指南</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“资料下载”进行下载《“</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”系统供应商操作手册及政府采购客户端工具》或可至无锡政府采购网</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下载专区</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”栏目下载《“</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”系统供应商操作手册》。</w:t>
      </w:r>
      <w:r/>
    </w:p>
    <w:p>
      <w:pPr>
        <w:ind w:left="-58" w:firstLine="480"/>
        <w:spacing w:line="360" w:lineRule="auto"/>
        <w:rPr>
          <w:rFonts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（五）答疑时间、地点</w:t>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将以线上不见面、电话咨询、传真等方式开展线上答疑服务。截止至</w:t>
      </w:r>
      <w:r>
        <w:rPr>
          <w:rFonts w:hint="eastAsia" w:ascii="宋体" w:hAnsi="宋体" w:cs="宋体"/>
          <w:color w:val="000000" w:themeColor="text1"/>
          <w:sz w:val="24"/>
          <w:szCs w:val="24"/>
          <w:highlight w:val="none"/>
          <w:lang w:eastAsia="zh-CN"/>
          <w14:textFill>
            <w14:solidFill>
              <w14:schemeClr w14:val="tx1"/>
            </w14:solidFill>
          </w14:textFill>
        </w:rPr>
        <w:t xml:space="preserve">2024年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lang w:eastAsia="zh-CN"/>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cs="宋体"/>
          <w:color w:val="000000" w:themeColor="text1"/>
          <w:sz w:val="24"/>
          <w:szCs w:val="24"/>
          <w:highlight w:val="none"/>
          <w:lang w:eastAsia="zh-CN"/>
          <w14:textFill>
            <w14:solidFill>
              <w14:schemeClr w14:val="tx1"/>
            </w14:solidFill>
          </w14:textFill>
        </w:rPr>
        <w:t xml:space="preserve">日</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:0</w:t>
      </w:r>
      <w:r>
        <w:rPr>
          <w:rFonts w:hint="eastAsia" w:ascii="宋体" w:hAnsi="宋体" w:cs="宋体"/>
          <w:color w:val="000000" w:themeColor="text1"/>
          <w:sz w:val="24"/>
          <w:szCs w:val="24"/>
          <w:highlight w:val="none"/>
          <w14:textFill>
            <w14:solidFill>
              <w14:schemeClr w14:val="tx1"/>
            </w14:solidFill>
          </w14:textFill>
        </w:rPr>
        <w:t xml:space="preserve">0</w:t>
      </w:r>
      <w:r>
        <w:rPr>
          <w:rFonts w:hint="eastAsia" w:ascii="宋体" w:hAnsi="宋体" w:cs="宋体"/>
          <w:color w:val="000000" w:themeColor="text1"/>
          <w:sz w:val="24"/>
          <w:szCs w:val="24"/>
          <w:highlight w:val="none"/>
          <w14:textFill>
            <w14:solidFill>
              <w14:schemeClr w14:val="tx1"/>
            </w14:solidFill>
          </w14:textFill>
        </w:rPr>
        <w:t xml:space="preserve">前，</w:t>
      </w:r>
      <w:r>
        <w:rPr>
          <w:rFonts w:hint="eastAsia" w:ascii="宋体" w:hAnsi="宋体"/>
          <w:bCs/>
          <w:color w:val="000000" w:themeColor="text1"/>
          <w:sz w:val="24"/>
          <w:szCs w:val="24"/>
          <w:highlight w:val="none"/>
          <w14:textFill>
            <w14:solidFill>
              <w14:schemeClr w14:val="tx1"/>
            </w14:solidFill>
          </w14:textFill>
        </w:rPr>
        <w:t xml:space="preserve">有关单位对于招标文件的相关事项如有疑问可通过上述方式咨询；</w:t>
      </w:r>
      <w:r>
        <w:rPr>
          <w:rFonts w:hint="eastAsia" w:ascii="宋体" w:hAnsi="宋体"/>
          <w:color w:val="000000" w:themeColor="text1"/>
          <w:sz w:val="24"/>
          <w:szCs w:val="24"/>
          <w:highlight w:val="none"/>
          <w14:textFill>
            <w14:solidFill>
              <w14:schemeClr w14:val="tx1"/>
            </w14:solidFill>
          </w14:textFill>
        </w:rPr>
        <w:t xml:space="preserve">投标供应商如有需要对招标文件要求澄清的问题，请以书面形式</w:t>
      </w:r>
      <w:r>
        <w:rPr>
          <w:rFonts w:hint="eastAsia" w:ascii="宋体" w:hAnsi="宋体"/>
          <w:b/>
          <w:bCs/>
          <w:color w:val="000000" w:themeColor="text1"/>
          <w:sz w:val="24"/>
          <w:szCs w:val="24"/>
          <w:highlight w:val="none"/>
          <w14:textFill>
            <w14:solidFill>
              <w14:schemeClr w14:val="tx1"/>
            </w14:solidFill>
          </w14:textFill>
        </w:rPr>
        <w:t xml:space="preserve">（必须加盖投标供应商公章，也请务必留下联系方式，以便回复）</w:t>
      </w:r>
      <w:r>
        <w:rPr>
          <w:rFonts w:hint="eastAsia" w:ascii="宋体" w:hAnsi="宋体"/>
          <w:color w:val="000000" w:themeColor="text1"/>
          <w:sz w:val="24"/>
          <w:szCs w:val="24"/>
          <w:highlight w:val="none"/>
          <w14:textFill>
            <w14:solidFill>
              <w14:schemeClr w14:val="tx1"/>
            </w14:solidFill>
          </w14:textFill>
        </w:rPr>
        <w:t xml:space="preserve">提出</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JSZC-320214-PXGJ-G2024-0125</w:t>
      </w:r>
      <w:r>
        <w:rPr>
          <w:rFonts w:hint="eastAsia" w:ascii="宋体" w:hAnsi="宋体" w:cs="宋体"/>
          <w:color w:val="000000" w:themeColor="text1"/>
          <w:sz w:val="24"/>
          <w:szCs w:val="24"/>
          <w:highlight w:val="none"/>
          <w14:textFill>
            <w14:solidFill>
              <w14:schemeClr w14:val="tx1"/>
            </w14:solidFill>
          </w14:textFill>
        </w:rPr>
        <w:t xml:space="preserve">项目需澄清问题”</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并将盖章原件邮寄至普信国际工程咨询有限公司，地址：无锡市蠡湖大道2018号2号楼312室</w:t>
      </w:r>
      <w:r>
        <w:rPr>
          <w:rFonts w:hint="eastAsia" w:ascii="宋体" w:hAnsi="宋体"/>
          <w:bCs/>
          <w:color w:val="000000" w:themeColor="text1"/>
          <w:sz w:val="24"/>
          <w:szCs w:val="24"/>
          <w:highlight w:val="none"/>
          <w14:textFill>
            <w14:solidFill>
              <w14:schemeClr w14:val="tx1"/>
            </w14:solidFill>
          </w14:textFill>
        </w:rPr>
        <w:t xml:space="preserve">。若未在法定时间内提出澄清，由此造成的损失及风险由投标供应商自行承担。</w:t>
      </w:r>
      <w:r/>
    </w:p>
    <w:p>
      <w:pPr>
        <w:ind w:firstLine="480"/>
        <w:jc w:val="left"/>
        <w:spacing w:line="360" w:lineRule="auto"/>
        <w:widowControl/>
        <w:rPr>
          <w:rFonts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（六）网上投标及开标、定标时间、地点</w:t>
      </w:r>
      <w:r/>
    </w:p>
    <w:p>
      <w:pPr>
        <w:ind w:firstLine="480"/>
        <w:jc w:val="left"/>
        <w:spacing w:line="360" w:lineRule="auto"/>
        <w:widowControl/>
        <w:rPr>
          <w:rFonts w:ascii="宋体" w:hAnsi="宋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本项目进行线上不见面采购活动，供应商准备好制作标书的笔记本电脑、CA锁（政务CA），登录</w:t>
      </w:r>
      <w:r>
        <w:rPr>
          <w:rFonts w:hint="eastAsia" w:ascii="黑体" w:hAnsi="黑体" w:eastAsia="黑体" w:cs="宋体"/>
          <w:color w:val="000000" w:themeColor="text1"/>
          <w:sz w:val="24"/>
          <w:szCs w:val="24"/>
          <w:highlight w:val="none"/>
          <w:lang w:eastAsia="zh-CN"/>
          <w14:textFill>
            <w14:solidFill>
              <w14:schemeClr w14:val="tx1"/>
            </w14:solidFill>
          </w14:textFill>
        </w:rPr>
        <w:t xml:space="preserve">苏采云</w:t>
      </w:r>
      <w:r>
        <w:rPr>
          <w:rFonts w:hint="eastAsia" w:ascii="黑体" w:hAnsi="黑体" w:eastAsia="黑体" w:cs="宋体"/>
          <w:color w:val="000000" w:themeColor="text1"/>
          <w:sz w:val="24"/>
          <w:szCs w:val="24"/>
          <w:highlight w:val="none"/>
          <w14:textFill>
            <w14:solidFill>
              <w14:schemeClr w14:val="tx1"/>
            </w14:solidFill>
          </w14:textFill>
        </w:rPr>
        <w:t xml:space="preserve">网上开标大厅，等待开标流程进入“解锁环境”，点击“点击立即解密”进行标书解密，解锁完成后及时关注开标大厅，请在规定时间内登录网上开标大厅参与采购活动（具体操作流程详见《“</w:t>
      </w:r>
      <w:r>
        <w:rPr>
          <w:rFonts w:hint="eastAsia" w:ascii="黑体" w:hAnsi="黑体" w:eastAsia="黑体" w:cs="宋体"/>
          <w:color w:val="000000" w:themeColor="text1"/>
          <w:sz w:val="24"/>
          <w:szCs w:val="24"/>
          <w:highlight w:val="none"/>
          <w:lang w:eastAsia="zh-CN"/>
          <w14:textFill>
            <w14:solidFill>
              <w14:schemeClr w14:val="tx1"/>
            </w14:solidFill>
          </w14:textFill>
        </w:rPr>
        <w:t xml:space="preserve">苏采云</w:t>
      </w:r>
      <w:r>
        <w:rPr>
          <w:rFonts w:hint="eastAsia" w:ascii="黑体" w:hAnsi="黑体" w:eastAsia="黑体" w:cs="宋体"/>
          <w:color w:val="000000" w:themeColor="text1"/>
          <w:sz w:val="24"/>
          <w:szCs w:val="24"/>
          <w:highlight w:val="none"/>
          <w14:textFill>
            <w14:solidFill>
              <w14:schemeClr w14:val="tx1"/>
            </w14:solidFill>
          </w14:textFill>
        </w:rPr>
        <w:t xml:space="preserve">”系统供应商操作手册》）。</w:t>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网上投标截止时间：</w:t>
      </w:r>
      <w:r>
        <w:rPr>
          <w:rFonts w:hint="eastAsia" w:ascii="宋体" w:hAnsi="宋体" w:cs="宋体"/>
          <w:color w:val="000000" w:themeColor="text1"/>
          <w:sz w:val="24"/>
          <w:szCs w:val="24"/>
          <w:highlight w:val="none"/>
          <w:lang w:eastAsia="zh-CN"/>
          <w14:textFill>
            <w14:solidFill>
              <w14:schemeClr w14:val="tx1"/>
            </w14:solidFill>
          </w14:textFill>
        </w:rPr>
        <w:t xml:space="preserve">2024年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lang w:eastAsia="zh-CN"/>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lang w:eastAsia="zh-CN"/>
          <w14:textFill>
            <w14:solidFill>
              <w14:schemeClr w14:val="tx1"/>
            </w14:solidFill>
          </w14:textFill>
        </w:rPr>
        <w:t xml:space="preserve">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（投标</w:t>
      </w:r>
      <w:r>
        <w:rPr>
          <w:rFonts w:hint="eastAsia" w:ascii="宋体" w:hAnsi="宋体"/>
          <w:color w:val="000000" w:themeColor="text1"/>
          <w:sz w:val="24"/>
          <w:szCs w:val="24"/>
          <w:highlight w:val="none"/>
          <w14:textFill>
            <w14:solidFill>
              <w14:schemeClr w14:val="tx1"/>
            </w14:solidFill>
          </w14:textFill>
        </w:rPr>
        <w:t xml:space="preserve">截止时间后的投标文件恕不接受</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网上投标解密时间：</w:t>
      </w:r>
      <w:r>
        <w:rPr>
          <w:rFonts w:hint="eastAsia" w:ascii="宋体" w:hAnsi="宋体" w:cs="宋体"/>
          <w:color w:val="000000" w:themeColor="text1"/>
          <w:sz w:val="24"/>
          <w:szCs w:val="24"/>
          <w:highlight w:val="none"/>
          <w:lang w:eastAsia="zh-CN"/>
          <w14:textFill>
            <w14:solidFill>
              <w14:schemeClr w14:val="tx1"/>
            </w14:solidFill>
          </w14:textFill>
        </w:rPr>
        <w:t xml:space="preserve">2024年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lang w:eastAsia="zh-CN"/>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lang w:eastAsia="zh-CN"/>
          <w14:textFill>
            <w14:solidFill>
              <w14:schemeClr w14:val="tx1"/>
            </w14:solidFill>
          </w14:textFill>
        </w:rPr>
        <w:t xml:space="preserve">日</w:t>
      </w:r>
      <w:r>
        <w:rPr>
          <w:rFonts w:hint="eastAsia" w:ascii="宋体" w:hAnsi="宋体" w:cs="宋体"/>
          <w:color w:val="000000" w:themeColor="text1"/>
          <w:sz w:val="24"/>
          <w:szCs w:val="24"/>
          <w:highlight w:val="none"/>
          <w14:textFill>
            <w14:solidFill>
              <w14:schemeClr w14:val="tx1"/>
            </w14:solidFill>
          </w14:textFill>
        </w:rPr>
        <w:t xml:space="preserve">开启解密后半小时。</w:t>
      </w:r>
      <w:r/>
    </w:p>
    <w:p>
      <w:pPr>
        <w:ind w:firstLine="480"/>
        <w:jc w:val="left"/>
        <w:spacing w:line="360" w:lineRule="auto"/>
        <w:widowControl/>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投标及开标地点：网上线上投标。</w:t>
      </w:r>
      <w:r>
        <w:rPr>
          <w:rFonts w:ascii="宋体" w:hAnsi="宋体"/>
          <w:color w:val="000000" w:themeColor="text1"/>
          <w:sz w:val="24"/>
          <w:szCs w:val="24"/>
          <w:highlight w:val="none"/>
          <w14:textFill>
            <w14:solidFill>
              <w14:schemeClr w14:val="tx1"/>
            </w14:solidFill>
          </w14:textFill>
        </w:rPr>
        <w:t xml:space="preserve"> </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定标时间：评标结束</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定标地点：</w:t>
      </w:r>
      <w:r>
        <w:rPr>
          <w:rFonts w:hint="eastAsia" w:ascii="宋体" w:hAnsi="宋体"/>
          <w:color w:val="000000" w:themeColor="text1"/>
          <w:sz w:val="24"/>
          <w:szCs w:val="24"/>
          <w:highlight w:val="none"/>
          <w14:textFill>
            <w14:solidFill>
              <w14:schemeClr w14:val="tx1"/>
            </w14:solidFill>
          </w14:textFill>
        </w:rPr>
        <w:t xml:space="preserve">无锡市公共资源交易中心新吴分中心评标室</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（七）投标有效期：</w:t>
      </w:r>
      <w:r>
        <w:rPr>
          <w:rFonts w:hint="eastAsia" w:ascii="宋体" w:hAnsi="宋体"/>
          <w:bCs/>
          <w:color w:val="000000" w:themeColor="text1"/>
          <w:sz w:val="24"/>
          <w:szCs w:val="24"/>
          <w:highlight w:val="none"/>
          <w14:textFill>
            <w14:solidFill>
              <w14:schemeClr w14:val="tx1"/>
            </w14:solidFill>
          </w14:textFill>
        </w:rPr>
        <w:t xml:space="preserve">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p>
    <w:p>
      <w:pPr>
        <w:ind w:firstLine="480"/>
        <w:spacing w:line="360" w:lineRule="auto"/>
        <w:rPr>
          <w:rFonts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（八）采购方法：</w:t>
      </w:r>
      <w:r/>
    </w:p>
    <w:p>
      <w:pPr>
        <w:ind w:firstLine="480"/>
        <w:spacing w:line="360" w:lineRule="auto"/>
        <w:rPr>
          <w:rFonts w:ascii="黑体" w:hAnsi="黑体" w:eastAsia="黑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本次采购采用《</w:t>
      </w:r>
      <w:r>
        <w:rPr>
          <w:rFonts w:hint="eastAsia" w:ascii="宋体" w:hAnsi="宋体"/>
          <w:bCs/>
          <w:color w:val="000000" w:themeColor="text1"/>
          <w:sz w:val="24"/>
          <w:szCs w:val="24"/>
          <w:highlight w:val="none"/>
          <w14:textFill>
            <w14:solidFill>
              <w14:schemeClr w14:val="tx1"/>
            </w14:solidFill>
          </w14:textFill>
        </w:rPr>
        <w:t xml:space="preserve">江苏省政府采购（</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）平台</w:t>
      </w:r>
      <w:r>
        <w:rPr>
          <w:rFonts w:hint="eastAsia" w:ascii="宋体" w:hAnsi="宋体"/>
          <w:color w:val="000000" w:themeColor="text1"/>
          <w:sz w:val="24"/>
          <w:szCs w:val="24"/>
          <w:highlight w:val="none"/>
          <w14:textFill>
            <w14:solidFill>
              <w14:schemeClr w14:val="tx1"/>
            </w14:solidFill>
          </w14:textFill>
        </w:rPr>
        <w:t xml:space="preserve">》进行招标投标活动，招标、投标、评标和中标结果发布全程电子化。</w:t>
      </w:r>
      <w:r/>
    </w:p>
    <w:p>
      <w:pPr>
        <w:ind w:firstLine="480"/>
        <w:spacing w:line="360" w:lineRule="auto"/>
        <w:rPr>
          <w:rFonts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lang w:eastAsia="zh-CN"/>
          <w14:textFill>
            <w14:solidFill>
              <w14:schemeClr w14:val="tx1"/>
            </w14:solidFill>
          </w14:textFill>
        </w:rPr>
        <w:t xml:space="preserve">（</w:t>
      </w:r>
      <w:r>
        <w:rPr>
          <w:rFonts w:hint="eastAsia" w:ascii="黑体" w:hAnsi="黑体" w:eastAsia="黑体"/>
          <w:bCs/>
          <w:color w:val="000000" w:themeColor="text1"/>
          <w:sz w:val="24"/>
          <w:szCs w:val="24"/>
          <w:highlight w:val="none"/>
          <w14:textFill>
            <w14:solidFill>
              <w14:schemeClr w14:val="tx1"/>
            </w14:solidFill>
          </w14:textFill>
        </w:rPr>
        <w:t xml:space="preserve">九</w:t>
      </w:r>
      <w:r>
        <w:rPr>
          <w:rFonts w:hint="eastAsia" w:ascii="黑体" w:hAnsi="黑体" w:eastAsia="黑体"/>
          <w:bCs/>
          <w:color w:val="000000" w:themeColor="text1"/>
          <w:sz w:val="24"/>
          <w:szCs w:val="24"/>
          <w:highlight w:val="none"/>
          <w:lang w:eastAsia="zh-CN"/>
          <w14:textFill>
            <w14:solidFill>
              <w14:schemeClr w14:val="tx1"/>
            </w14:solidFill>
          </w14:textFill>
        </w:rPr>
        <w:t xml:space="preserve">）</w:t>
      </w:r>
      <w:r>
        <w:rPr>
          <w:rFonts w:hint="eastAsia" w:ascii="黑体" w:hAnsi="黑体" w:eastAsia="黑体"/>
          <w:bCs/>
          <w:color w:val="000000" w:themeColor="text1"/>
          <w:sz w:val="24"/>
          <w:szCs w:val="24"/>
          <w:highlight w:val="none"/>
          <w14:textFill>
            <w14:solidFill>
              <w14:schemeClr w14:val="tx1"/>
            </w14:solidFill>
          </w14:textFill>
        </w:rPr>
        <w:t xml:space="preserve">本次采购联系方式</w:t>
      </w:r>
      <w:r/>
    </w:p>
    <w:p>
      <w:pPr>
        <w:pStyle w:val="1012"/>
        <w:ind w:firstLine="480"/>
        <w:spacing w:before="0" w:beforeAutospacing="0" w:after="0" w:afterAutospacing="0" w:line="460" w:lineRule="exact"/>
        <w:tabs>
          <w:tab w:val="left" w:pos="0" w:leader="none"/>
        </w:tabs>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有关本次采购活动程序方面的问题，可来人、来函（传真）或电话联系。</w:t>
      </w:r>
      <w:r/>
    </w:p>
    <w:p>
      <w:pPr>
        <w:pStyle w:val="1012"/>
        <w:ind w:firstLine="480"/>
        <w:spacing w:before="0" w:beforeAutospacing="0" w:after="0" w:afterAutospacing="0" w:line="460" w:lineRule="exact"/>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采购人：无锡市新吴区人民政府硕放街道办事处</w:t>
      </w:r>
      <w:r/>
    </w:p>
    <w:p>
      <w:pPr>
        <w:pStyle w:val="1012"/>
        <w:ind w:firstLine="480"/>
        <w:spacing w:before="0" w:beforeAutospacing="0" w:after="0" w:afterAutospacing="0" w:line="460" w:lineRule="exact"/>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采购人统一信用代码：11320214014032521X</w:t>
      </w:r>
      <w:r/>
    </w:p>
    <w:p>
      <w:pPr>
        <w:pStyle w:val="1012"/>
        <w:ind w:firstLine="480"/>
        <w:spacing w:before="0" w:beforeAutospacing="0" w:after="0" w:afterAutospacing="0" w:line="460" w:lineRule="exact"/>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采购人地址：无锡市新吴区长江南路35号 </w:t>
      </w:r>
      <w:r/>
    </w:p>
    <w:p>
      <w:pPr>
        <w:pStyle w:val="1012"/>
        <w:ind w:firstLine="480"/>
        <w:spacing w:before="0" w:beforeAutospacing="0" w:after="0" w:afterAutospacing="0" w:line="460" w:lineRule="exact"/>
        <w:tabs>
          <w:tab w:val="left" w:pos="0" w:leader="none"/>
        </w:tabs>
        <w:rPr>
          <w:rFonts w:hint="eastAsia"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联系人：</w:t>
      </w:r>
      <w:r>
        <w:rPr>
          <w:rFonts w:hint="eastAsia" w:cs="宋体"/>
          <w:color w:val="000000" w:themeColor="text1"/>
          <w:highlight w:val="none"/>
          <w:lang w:val="en-US" w:eastAsia="zh-CN"/>
          <w14:textFill>
            <w14:solidFill>
              <w14:schemeClr w14:val="tx1"/>
            </w14:solidFill>
          </w14:textFill>
        </w:rPr>
        <w:t xml:space="preserve">张丽娟</w:t>
      </w:r>
      <w:r/>
    </w:p>
    <w:p>
      <w:pPr>
        <w:pStyle w:val="1012"/>
        <w:ind w:firstLine="480"/>
        <w:spacing w:before="0" w:beforeAutospacing="0" w:after="0" w:afterAutospacing="0" w:line="460" w:lineRule="exact"/>
        <w:tabs>
          <w:tab w:val="left" w:pos="0" w:leader="none"/>
        </w:tabs>
        <w:rPr>
          <w:rFonts w:hint="eastAsia"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联系电话：</w:t>
      </w:r>
      <w:r>
        <w:rPr>
          <w:rFonts w:hint="eastAsia" w:cs="宋体"/>
          <w:color w:val="000000" w:themeColor="text1"/>
          <w:highlight w:val="none"/>
          <w:lang w:val="en-US" w:eastAsia="zh-CN"/>
          <w14:textFill>
            <w14:solidFill>
              <w14:schemeClr w14:val="tx1"/>
            </w14:solidFill>
          </w14:textFill>
        </w:rPr>
        <w:t xml:space="preserve">0510-</w:t>
      </w:r>
      <w:r>
        <w:rPr>
          <w:rFonts w:hint="eastAsia" w:cs="宋体"/>
          <w:color w:val="000000" w:themeColor="text1"/>
          <w:highlight w:val="none"/>
          <w:lang w:val="en-US" w:eastAsia="zh-CN"/>
          <w14:textFill>
            <w14:solidFill>
              <w14:schemeClr w14:val="tx1"/>
            </w14:solidFill>
          </w14:textFill>
        </w:rPr>
        <w:t xml:space="preserve">85303818</w:t>
      </w:r>
      <w:r/>
    </w:p>
    <w:p>
      <w:pPr>
        <w:pStyle w:val="1012"/>
        <w:ind w:firstLine="480"/>
        <w:spacing w:before="0" w:beforeAutospacing="0" w:after="0" w:afterAutospacing="0" w:line="460" w:lineRule="exact"/>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采购代理机构：普信国际工程咨询有限公司</w:t>
      </w:r>
      <w:r/>
    </w:p>
    <w:p>
      <w:pPr>
        <w:ind w:firstLine="480"/>
        <w:spacing w:line="46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代理机构统一社会信用代码：9132021</w:t>
      </w:r>
      <w:r>
        <w:rPr>
          <w:rFonts w:hint="eastAsia" w:ascii="宋体" w:hAnsi="宋体" w:cs="宋体"/>
          <w:color w:val="000000" w:themeColor="text1"/>
          <w:sz w:val="24"/>
          <w:szCs w:val="24"/>
          <w:highlight w:val="none"/>
          <w:lang w:val="en-US" w:eastAsia="zh-CN"/>
          <w14:textFill>
            <w14:solidFill>
              <w14:schemeClr w14:val="tx1"/>
            </w14:solidFill>
          </w14:textFill>
        </w:rPr>
        <w:t xml:space="preserve">36933496775</w:t>
      </w:r>
      <w:r/>
    </w:p>
    <w:p>
      <w:pPr>
        <w:pStyle w:val="1012"/>
        <w:ind w:firstLine="480"/>
        <w:spacing w:before="0" w:beforeAutospacing="0" w:after="0" w:afterAutospacing="0" w:line="460" w:lineRule="exact"/>
        <w:tabs>
          <w:tab w:val="left" w:pos="0" w:leader="none"/>
        </w:tabs>
        <w:rPr>
          <w:rFonts w:hint="default"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联系人：</w:t>
      </w:r>
      <w:r>
        <w:rPr>
          <w:rFonts w:hint="eastAsia" w:cs="宋体"/>
          <w:color w:val="000000" w:themeColor="text1"/>
          <w:highlight w:val="none"/>
          <w:lang w:val="en-US" w:eastAsia="zh-CN"/>
          <w14:textFill>
            <w14:solidFill>
              <w14:schemeClr w14:val="tx1"/>
            </w14:solidFill>
          </w14:textFill>
        </w:rPr>
        <w:t xml:space="preserve">孙荣新、王圆逸、孙依雪</w:t>
      </w:r>
      <w:r/>
    </w:p>
    <w:p>
      <w:pPr>
        <w:pStyle w:val="1012"/>
        <w:ind w:firstLine="480"/>
        <w:spacing w:before="0" w:beforeAutospacing="0" w:after="0" w:afterAutospacing="0" w:line="460" w:lineRule="exact"/>
        <w:tabs>
          <w:tab w:val="left" w:pos="0" w:leader="none"/>
        </w:tabs>
        <w:rPr>
          <w:rFonts w:hint="default" w:cs="宋体"/>
          <w:color w:val="000000" w:themeColor="text1"/>
          <w:highlight w:val="none"/>
          <w:lang w:val="en-US"/>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联系电话：</w:t>
      </w:r>
      <w:r>
        <w:rPr>
          <w:rFonts w:hint="eastAsia" w:cs="宋体"/>
          <w:color w:val="000000" w:themeColor="text1"/>
          <w:highlight w:val="none"/>
          <w:lang w:val="en-US" w:eastAsia="zh-CN"/>
          <w14:textFill>
            <w14:solidFill>
              <w14:schemeClr w14:val="tx1"/>
            </w14:solidFill>
          </w14:textFill>
        </w:rPr>
        <w:t xml:space="preserve">0510-82703504</w:t>
      </w:r>
      <w:r/>
    </w:p>
    <w:p>
      <w:pPr>
        <w:pStyle w:val="1012"/>
        <w:ind w:firstLine="480"/>
        <w:spacing w:before="0" w:beforeAutospacing="0" w:after="0" w:afterAutospacing="0" w:line="460" w:lineRule="exact"/>
        <w:tabs>
          <w:tab w:val="left" w:pos="0" w:leader="none"/>
        </w:tabs>
        <w:rPr>
          <w:rFonts w:hint="eastAsia" w:eastAsia="宋体" w:cs="宋体"/>
          <w:color w:val="000000" w:themeColor="text1"/>
          <w:highlight w:val="none"/>
          <w:lang w:val="zh-CN"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联系地址：无锡市滨湖区蠡湖大道2018号2号楼</w:t>
      </w:r>
      <w:r>
        <w:rPr>
          <w:rFonts w:hint="eastAsia" w:cs="宋体"/>
          <w:color w:val="000000" w:themeColor="text1"/>
          <w:highlight w:val="none"/>
          <w:lang w:val="en-US" w:eastAsia="zh-CN"/>
          <w14:textFill>
            <w14:solidFill>
              <w14:schemeClr w14:val="tx1"/>
            </w14:solidFill>
          </w14:textFill>
        </w:rPr>
        <w:t xml:space="preserve">3</w:t>
      </w:r>
      <w:r>
        <w:rPr>
          <w:rFonts w:hint="eastAsia" w:cs="宋体"/>
          <w:color w:val="000000" w:themeColor="text1"/>
          <w:highlight w:val="none"/>
          <w:lang w:val="zh-CN"/>
          <w14:textFill>
            <w14:solidFill>
              <w14:schemeClr w14:val="tx1"/>
            </w14:solidFill>
          </w14:textFill>
        </w:rPr>
        <w:t xml:space="preserve">楼</w:t>
      </w:r>
      <w:r>
        <w:rPr>
          <w:rFonts w:hint="eastAsia" w:cs="宋体"/>
          <w:color w:val="000000" w:themeColor="text1"/>
          <w:highlight w:val="none"/>
          <w:lang w:val="en-US" w:eastAsia="zh-CN"/>
          <w14:textFill>
            <w14:solidFill>
              <w14:schemeClr w14:val="tx1"/>
            </w14:solidFill>
          </w14:textFill>
        </w:rPr>
        <w:t xml:space="preserve">312</w:t>
      </w:r>
      <w:r>
        <w:rPr>
          <w:rFonts w:hint="eastAsia" w:cs="宋体"/>
          <w:color w:val="000000" w:themeColor="text1"/>
          <w:highlight w:val="none"/>
          <w:lang w:val="zh-CN"/>
          <w14:textFill>
            <w14:solidFill>
              <w14:schemeClr w14:val="tx1"/>
            </w14:solidFill>
          </w14:textFill>
        </w:rPr>
        <w:t xml:space="preserve">室</w:t>
      </w:r>
      <w:r/>
    </w:p>
    <w:p>
      <w:pPr>
        <w:pStyle w:val="1012"/>
        <w:ind w:firstLine="480"/>
        <w:spacing w:before="0" w:beforeAutospacing="0" w:after="0" w:afterAutospacing="0" w:line="460" w:lineRule="exact"/>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邮政编码：214000</w:t>
      </w:r>
      <w:r/>
    </w:p>
    <w:p>
      <w:pPr>
        <w:pStyle w:val="1012"/>
        <w:ind w:firstLine="480"/>
        <w:spacing w:before="0" w:beforeAutospacing="0" w:after="0" w:afterAutospacing="0" w:line="460" w:lineRule="exact"/>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电子邮件地址：</w:t>
      </w:r>
      <w:r>
        <w:rPr>
          <w:rFonts w:hint="eastAsia" w:cs="宋体"/>
          <w:color w:val="000000" w:themeColor="text1"/>
          <w:highlight w:val="none"/>
          <w:lang w:val="en-US" w:eastAsia="zh-CN"/>
          <w14:textFill>
            <w14:solidFill>
              <w14:schemeClr w14:val="tx1"/>
            </w14:solidFill>
          </w14:textFill>
        </w:rPr>
        <w:t xml:space="preserve">745081751</w:t>
      </w:r>
      <w:r>
        <w:rPr>
          <w:rFonts w:hint="eastAsia" w:cs="宋体"/>
          <w:color w:val="000000" w:themeColor="text1"/>
          <w:highlight w:val="none"/>
          <w:lang w:val="zh-CN"/>
          <w14:textFill>
            <w14:solidFill>
              <w14:schemeClr w14:val="tx1"/>
            </w14:solidFill>
          </w14:textFill>
        </w:rPr>
        <w:t xml:space="preserve">@qq.com </w:t>
      </w:r>
      <w:r/>
    </w:p>
    <w:p>
      <w:pPr>
        <w:pStyle w:val="1012"/>
        <w:ind w:firstLine="480"/>
        <w:spacing w:before="0" w:beforeAutospacing="0" w:after="0" w:afterAutospacing="0" w:line="460" w:lineRule="exact"/>
        <w:tabs>
          <w:tab w:val="left" w:pos="0" w:leader="none"/>
        </w:tabs>
        <w:rPr>
          <w:rFonts w:hint="eastAsia" w:ascii="黑体" w:hAnsi="黑体" w:eastAsia="黑体"/>
          <w:bCs/>
          <w:color w:val="000000" w:themeColor="text1"/>
          <w:highlight w:val="none"/>
          <w14:textFill>
            <w14:solidFill>
              <w14:schemeClr w14:val="tx1"/>
            </w14:solidFill>
          </w14:textFill>
        </w:rPr>
      </w:pPr>
      <w:r>
        <w:rPr>
          <w:rFonts w:hint="eastAsia" w:ascii="黑体" w:hAnsi="黑体" w:eastAsia="黑体"/>
          <w:bCs/>
          <w:color w:val="000000" w:themeColor="text1"/>
          <w:highlight w:val="none"/>
          <w14:textFill>
            <w14:solidFill>
              <w14:schemeClr w14:val="tx1"/>
            </w14:solidFill>
          </w14:textFill>
        </w:rPr>
        <w:t xml:space="preserve">（十）其它</w:t>
      </w:r>
      <w:r/>
    </w:p>
    <w:p>
      <w:pPr>
        <w:ind w:firstLine="480"/>
        <w:jc w:val="left"/>
        <w:spacing w:line="360" w:lineRule="auto"/>
        <w:widowControl/>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zh-CN"/>
          <w14:textFill>
            <w14:solidFill>
              <w14:schemeClr w14:val="tx1"/>
            </w14:solidFill>
          </w14:textFill>
        </w:rPr>
        <w:t xml:space="preserve">因供应商可能会存在操作不熟练、业务不熟悉等因素，为保证开评标流程顺利，供应商如有问题应及时反馈，供应商在投标文件递交截止时间前网上上传电子投标文件。供应商</w:t>
      </w:r>
      <w:r>
        <w:rPr>
          <w:rFonts w:hint="eastAsia" w:ascii="宋体" w:hAnsi="宋体" w:cs="宋体"/>
          <w:color w:val="000000" w:themeColor="text1"/>
          <w:sz w:val="24"/>
          <w:szCs w:val="24"/>
          <w:highlight w:val="none"/>
          <w14:textFill>
            <w14:solidFill>
              <w14:schemeClr w14:val="tx1"/>
            </w14:solidFill>
          </w14:textFill>
        </w:rPr>
        <w:t xml:space="preserve">应在开标前</w:t>
      </w:r>
      <w:r>
        <w:rPr>
          <w:rFonts w:hint="eastAsia" w:ascii="宋体" w:hAnsi="宋体" w:cs="宋体"/>
          <w:color w:val="000000" w:themeColor="text1"/>
          <w:sz w:val="24"/>
          <w:szCs w:val="24"/>
          <w:highlight w:val="none"/>
          <w:lang w:val="zh-CN"/>
          <w14:textFill>
            <w14:solidFill>
              <w14:schemeClr w14:val="tx1"/>
            </w14:solidFill>
          </w14:textFill>
        </w:rPr>
        <w:t xml:space="preserve">提前上网设备确认是否浏览器设置、CA证书软件下载等，确保和CA证书匹配可以正常登录苏采云投标客户端，如因未提前准备好相关设备及CA锁导致的废标，由供应商自行承担。</w:t>
      </w:r>
      <w:r/>
    </w:p>
    <w:p>
      <w:pPr>
        <w:ind w:firstLine="480"/>
        <w:jc w:val="left"/>
        <w:spacing w:line="360" w:lineRule="auto"/>
        <w:widowControl/>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zh-CN"/>
          <w14:textFill>
            <w14:solidFill>
              <w14:schemeClr w14:val="tx1"/>
            </w14:solidFill>
          </w14:textFill>
        </w:rPr>
        <w:t xml:space="preserve">解密后，供应商须自行准备设备（包括但不限于笔记本电脑、无线网络）登录</w:t>
      </w:r>
      <w:r>
        <w:rPr>
          <w:rFonts w:hint="eastAsia" w:ascii="宋体" w:hAnsi="宋体" w:cs="宋体"/>
          <w:color w:val="000000" w:themeColor="text1"/>
          <w:sz w:val="24"/>
          <w:szCs w:val="24"/>
          <w:highlight w:val="none"/>
          <w:lang w:eastAsia="zh-CN"/>
          <w14:textFill>
            <w14:solidFill>
              <w14:schemeClr w14:val="tx1"/>
            </w14:solidFill>
          </w14:textFill>
        </w:rPr>
        <w:t xml:space="preserve">苏采云</w:t>
      </w:r>
      <w:r>
        <w:rPr>
          <w:rFonts w:hint="eastAsia" w:ascii="宋体" w:hAnsi="宋体" w:cs="宋体"/>
          <w:color w:val="000000" w:themeColor="text1"/>
          <w:sz w:val="24"/>
          <w:szCs w:val="24"/>
          <w:highlight w:val="none"/>
          <w14:textFill>
            <w14:solidFill>
              <w14:schemeClr w14:val="tx1"/>
            </w14:solidFill>
          </w14:textFill>
        </w:rPr>
        <w:t xml:space="preserve">网上开标大厅</w:t>
      </w:r>
      <w:r>
        <w:rPr>
          <w:rFonts w:hint="eastAsia" w:ascii="宋体" w:hAnsi="宋体" w:cs="宋体"/>
          <w:color w:val="000000" w:themeColor="text1"/>
          <w:sz w:val="24"/>
          <w:szCs w:val="24"/>
          <w:highlight w:val="none"/>
          <w:lang w:val="zh-CN"/>
          <w14:textFill>
            <w14:solidFill>
              <w14:schemeClr w14:val="tx1"/>
            </w14:solidFill>
          </w14:textFill>
        </w:rPr>
        <w:t xml:space="preserve">，按采购文件规定时间解密后，在评审过程中保持在线，等待评标委员会的询问、按要求报价，并等待评审结果，中途不得离开。如未按要求应答，由此所产生的损失及风险由供应商自行承担。</w:t>
      </w:r>
      <w:r/>
    </w:p>
    <w:p>
      <w:pPr>
        <w:ind w:firstLine="480"/>
        <w:jc w:val="left"/>
        <w:spacing w:line="360" w:lineRule="auto"/>
        <w:widowControl/>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zh-CN"/>
          <w14:textFill>
            <w14:solidFill>
              <w14:schemeClr w14:val="tx1"/>
            </w14:solidFill>
          </w14:textFill>
        </w:rPr>
        <w:t xml:space="preserve">若资格审查中或评审过程中，采购人/代理机构/评标委员会对响应文件存在疑问，投标供应商被授权代表接到在线询标函后须在规定时间内，在开标界面在线以澄清函回复并签章；若投标供应商被授权代表未在规定时间内按上述要求作出回复，则视为供应商默认资审结果或评审结果。</w:t>
      </w:r>
      <w:r/>
    </w:p>
    <w:p>
      <w:pPr>
        <w:ind w:firstLine="480"/>
        <w:jc w:val="left"/>
        <w:spacing w:line="360" w:lineRule="auto"/>
        <w:widowControl/>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val="zh-CN"/>
          <w14:textFill>
            <w14:solidFill>
              <w14:schemeClr w14:val="tx1"/>
            </w14:solidFill>
          </w14:textFill>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lang w:val="zh-CN"/>
          <w14:textFill>
            <w14:solidFill>
              <w14:schemeClr w14:val="tx1"/>
            </w14:solidFill>
          </w14:textFill>
        </w:rPr>
        <w:t xml:space="preserve">纸质投标文件：本项目为不见面开标，供应商无需递交纸质投标文件至现场，</w:t>
      </w:r>
      <w:r>
        <w:rPr>
          <w:rFonts w:hint="eastAsia" w:ascii="宋体" w:hAnsi="宋体" w:cs="宋体"/>
          <w:color w:val="000000" w:themeColor="text1"/>
          <w:sz w:val="24"/>
          <w:szCs w:val="24"/>
          <w:highlight w:val="none"/>
          <w14:textFill>
            <w14:solidFill>
              <w14:schemeClr w14:val="tx1"/>
            </w14:solidFill>
          </w14:textFill>
        </w:rPr>
        <w:t xml:space="preserve">中标</w:t>
      </w:r>
      <w:r>
        <w:rPr>
          <w:rFonts w:hint="eastAsia" w:ascii="宋体" w:hAnsi="宋体" w:cs="宋体"/>
          <w:color w:val="000000" w:themeColor="text1"/>
          <w:sz w:val="24"/>
          <w:szCs w:val="24"/>
          <w:highlight w:val="none"/>
          <w:lang w:val="zh-CN"/>
          <w14:textFill>
            <w14:solidFill>
              <w14:schemeClr w14:val="tx1"/>
            </w14:solidFill>
          </w14:textFill>
        </w:rPr>
        <w:t xml:space="preserve">后中标供应商向采购代理机构提供与电子投标文件完全一致的纸质投标文件（</w:t>
      </w: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zh-CN"/>
          <w14:textFill>
            <w14:solidFill>
              <w14:schemeClr w14:val="tx1"/>
            </w14:solidFill>
          </w14:textFill>
        </w:rPr>
        <w:t xml:space="preserve">份：一正、</w:t>
      </w:r>
      <w:r>
        <w:rPr>
          <w:rFonts w:hint="eastAsia" w:ascii="宋体" w:hAnsi="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val="zh-CN"/>
          <w14:textFill>
            <w14:solidFill>
              <w14:schemeClr w14:val="tx1"/>
            </w14:solidFill>
          </w14:textFill>
        </w:rPr>
        <w:t xml:space="preserve">副）。</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lang w:val="zh-CN"/>
          <w14:textFill>
            <w14:solidFill>
              <w14:schemeClr w14:val="tx1"/>
            </w14:solidFill>
          </w14:textFill>
        </w:rPr>
        <w:t xml:space="preserve">供应商请仔细阅读供应商注册流程和招标文件中关于电子开评标等相关事项，如有问题可发送邮件或电话咨询。</w:t>
      </w:r>
      <w:r/>
    </w:p>
    <w:p>
      <w:pPr>
        <w:pStyle w:val="1012"/>
        <w:ind w:firstLine="0"/>
        <w:jc w:val="center"/>
        <w:spacing w:before="0" w:beforeAutospacing="0" w:after="0" w:afterAutospacing="0" w:line="460" w:lineRule="exact"/>
        <w:tabs>
          <w:tab w:val="left" w:pos="0" w:leader="none"/>
        </w:tabs>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二．投标供应商须知</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（一）</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遵循原则：</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left="1200" w:hanging="720"/>
        <w:spacing w:line="360" w:lineRule="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t xml:space="preserve">（二） </w:t>
      </w:r>
      <w:r>
        <w:rPr>
          <w:rFonts w:hint="eastAsia" w:ascii="黑体" w:hAnsi="宋体" w:eastAsia="黑体"/>
          <w:bCs/>
          <w:color w:val="000000" w:themeColor="text1"/>
          <w:sz w:val="24"/>
          <w:szCs w:val="24"/>
          <w:highlight w:val="none"/>
          <w14:textFill>
            <w14:solidFill>
              <w14:schemeClr w14:val="tx1"/>
            </w14:solidFill>
          </w14:textFill>
        </w:rPr>
        <w:t xml:space="preserve">招标文件：</w:t>
      </w:r>
      <w:r/>
    </w:p>
    <w:p>
      <w:pPr>
        <w:numPr>
          <w:ilvl w:val="0"/>
          <w:numId w:val="5"/>
        </w:numPr>
        <w:ind w:left="0" w:firstLine="523"/>
        <w:spacing w:line="360" w:lineRule="auto"/>
        <w:tabs>
          <w:tab w:val="left" w:pos="-126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招标文件包括本文件目录所列全部内容，投标供应商应仔细阅读，并在投标文件中充分响应招标文件的所有要求。</w:t>
      </w:r>
      <w:r/>
    </w:p>
    <w:p>
      <w:pPr>
        <w:numPr>
          <w:ilvl w:val="0"/>
          <w:numId w:val="5"/>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招标文件中的“法定代表人”是指投标供应商的营业执照的“法定代表人”或相关部门的登记证明文件中的“负责人”。</w:t>
      </w:r>
      <w:r/>
    </w:p>
    <w:p>
      <w:pPr>
        <w:numPr>
          <w:ilvl w:val="0"/>
          <w:numId w:val="5"/>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投标供应商应在</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平台（http://jszfcg.jscz.gov.cn/jszc/login）下载招标文件及有关资料，</w:t>
      </w:r>
      <w:r>
        <w:rPr>
          <w:rFonts w:hint="eastAsia" w:ascii="宋体" w:hAnsi="宋体"/>
          <w:color w:val="000000" w:themeColor="text1"/>
          <w:sz w:val="24"/>
          <w:szCs w:val="24"/>
          <w:highlight w:val="none"/>
          <w14:textFill>
            <w14:solidFill>
              <w14:schemeClr w14:val="tx1"/>
            </w14:solidFill>
          </w14:textFill>
        </w:rPr>
        <w:t xml:space="preserve">按要求制作、上传投标文件，</w:t>
      </w:r>
      <w:r>
        <w:rPr>
          <w:rFonts w:hint="eastAsia" w:ascii="宋体" w:hAnsi="宋体"/>
          <w:bCs/>
          <w:color w:val="000000" w:themeColor="text1"/>
          <w:sz w:val="24"/>
          <w:szCs w:val="24"/>
          <w:highlight w:val="none"/>
          <w14:textFill>
            <w14:solidFill>
              <w14:schemeClr w14:val="tx1"/>
            </w14:solidFill>
          </w14:textFill>
        </w:rPr>
        <w:t xml:space="preserve">对招标文件各项内容做出实质性响应，否则投标无效。</w:t>
      </w:r>
      <w:r/>
    </w:p>
    <w:p>
      <w:pPr>
        <w:numPr>
          <w:ilvl w:val="0"/>
          <w:numId w:val="5"/>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招标文件仅作为本次招投标使用。</w:t>
      </w:r>
      <w:r/>
    </w:p>
    <w:p>
      <w:pPr>
        <w:ind w:firstLine="480"/>
        <w:spacing w:line="360" w:lineRule="auto"/>
        <w:tabs>
          <w:tab w:val="left" w:pos="630"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（三）</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招标文件的解释：</w:t>
      </w:r>
      <w:r/>
    </w:p>
    <w:p>
      <w:pPr>
        <w:ind w:left="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本文件的最终解释权归采购人。</w:t>
      </w:r>
      <w:r/>
    </w:p>
    <w:p>
      <w:pPr>
        <w:ind w:left="1200" w:hanging="720"/>
        <w:spacing w:line="360" w:lineRule="auto"/>
        <w:tabs>
          <w:tab w:val="left" w:pos="945" w:leader="none"/>
        </w:tabs>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四</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招标文件的补充或修正：</w:t>
      </w:r>
      <w:r>
        <w:rPr>
          <w:rFonts w:ascii="黑体" w:hAnsi="宋体" w:eastAsia="黑体"/>
          <w:bCs/>
          <w:color w:val="000000" w:themeColor="text1"/>
          <w:sz w:val="24"/>
          <w:szCs w:val="24"/>
          <w:highlight w:val="none"/>
          <w14:textFill>
            <w14:solidFill>
              <w14:schemeClr w14:val="tx1"/>
            </w14:solidFill>
          </w14:textFill>
        </w:rPr>
        <w:t xml:space="preserve"> </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2.如需对招标文件进行澄清或修正，</w:t>
      </w:r>
      <w:r>
        <w:rPr>
          <w:rFonts w:hint="eastAsia" w:ascii="宋体" w:hAnsi="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将在无锡政府采购网、江苏政府采购网</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中国政府采购网</w:t>
      </w:r>
      <w:r>
        <w:rPr>
          <w:rFonts w:hint="eastAsia" w:ascii="宋体" w:hAnsi="宋体"/>
          <w:bCs/>
          <w:color w:val="000000" w:themeColor="text1"/>
          <w:sz w:val="24"/>
          <w:szCs w:val="24"/>
          <w:highlight w:val="none"/>
          <w14:textFill>
            <w14:solidFill>
              <w14:schemeClr w14:val="tx1"/>
            </w14:solidFill>
          </w14:textFill>
        </w:rPr>
        <w:t xml:space="preserve">发布更正公告，该澄清或修正的内容为招标文件的组成部分。投标供应商应在投标截止时间前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投标客户端</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关注原招标公告媒体上发布的相关更正公告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因投标供应商未尽注意义务，未及时更新上传投标文件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文件使自己的权益受到损害的，可以自获取</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文件之日或者</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公告期限届满之日（公告期限届满后获取招标文件的，以公告期限届满之日为准）起7个工作日内，以书面形式向</w:t>
      </w:r>
      <w:r>
        <w:rPr>
          <w:rFonts w:hint="eastAsia" w:ascii="宋体" w:hAnsi="宋体"/>
          <w:bCs/>
          <w:color w:val="000000" w:themeColor="text1"/>
          <w:sz w:val="24"/>
          <w:szCs w:val="24"/>
          <w:highlight w:val="none"/>
          <w14:textFill>
            <w14:solidFill>
              <w14:schemeClr w14:val="tx1"/>
            </w14:solidFill>
          </w14:textFill>
        </w:rPr>
        <w:t xml:space="preserve">采购人、采购代理机构提出质疑。</w:t>
      </w:r>
      <w:r>
        <w:rPr>
          <w:rFonts w:ascii="宋体" w:hAnsi="宋体"/>
          <w:bCs/>
          <w:color w:val="000000" w:themeColor="text1"/>
          <w:sz w:val="24"/>
          <w:szCs w:val="24"/>
          <w:highlight w:val="none"/>
          <w14:textFill>
            <w14:solidFill>
              <w14:schemeClr w14:val="tx1"/>
            </w14:solidFill>
          </w14:textFill>
        </w:rPr>
        <w:t xml:space="preserve">针对同一采购程序环节的质疑</w:t>
      </w:r>
      <w:r>
        <w:rPr>
          <w:rFonts w:hint="eastAsia" w:ascii="宋体" w:hAnsi="宋体"/>
          <w:bCs/>
          <w:color w:val="000000" w:themeColor="text1"/>
          <w:sz w:val="24"/>
          <w:szCs w:val="24"/>
          <w:highlight w:val="none"/>
          <w14:textFill>
            <w14:solidFill>
              <w14:schemeClr w14:val="tx1"/>
            </w14:solidFill>
          </w14:textFill>
        </w:rPr>
        <w:t xml:space="preserve">，须</w:t>
      </w:r>
      <w:r>
        <w:rPr>
          <w:rFonts w:ascii="宋体" w:hAnsi="宋体"/>
          <w:bCs/>
          <w:color w:val="000000" w:themeColor="text1"/>
          <w:sz w:val="24"/>
          <w:szCs w:val="24"/>
          <w:highlight w:val="none"/>
          <w14:textFill>
            <w14:solidFill>
              <w14:schemeClr w14:val="tx1"/>
            </w14:solidFill>
          </w14:textFill>
        </w:rPr>
        <w:t xml:space="preserve">在法定质疑期内一次性提出</w:t>
      </w:r>
      <w:r>
        <w:rPr>
          <w:rFonts w:hint="eastAsia" w:ascii="宋体" w:hAns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w:t>
      </w:r>
      <w:r>
        <w:rPr>
          <w:rFonts w:ascii="宋体" w:hAnsi="宋体"/>
          <w:bCs/>
          <w:color w:val="000000" w:themeColor="text1"/>
          <w:sz w:val="24"/>
          <w:szCs w:val="24"/>
          <w:highlight w:val="none"/>
          <w14:textFill>
            <w14:solidFill>
              <w14:schemeClr w14:val="tx1"/>
            </w14:solidFill>
          </w14:textFill>
        </w:rPr>
        <w:fldChar w:fldCharType="begin"/>
      </w:r>
      <w:r>
        <w:rPr>
          <w:rFonts w:ascii="宋体" w:hAnsi="宋体"/>
          <w:bCs/>
          <w:color w:val="000000" w:themeColor="text1"/>
          <w:sz w:val="24"/>
          <w:szCs w:val="24"/>
          <w:highlight w:val="none"/>
          <w14:textFill>
            <w14:solidFill>
              <w14:schemeClr w14:val="tx1"/>
            </w14:solidFill>
          </w14:textFill>
        </w:rPr>
        <w:instrText xml:space="preserve">HYPERLINK "http://download.ccgp.gov.cn/2018/zhiyihanfanben.zip" \t "_blank"</w:instrText>
      </w:r>
      <w:r>
        <w:rPr>
          <w:rFonts w:ascii="宋体" w:hAnsi="宋体"/>
          <w:bCs/>
          <w:color w:val="000000" w:themeColor="text1"/>
          <w:sz w:val="24"/>
          <w:szCs w:val="24"/>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政府采购供应商质疑函范本</w:t>
      </w:r>
      <w:r>
        <w:rPr>
          <w:rFonts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w:t>
      </w:r>
      <w:r>
        <w:rPr>
          <w:rFonts w:hint="eastAsia" w:ascii="宋体" w:hAnsi="宋体"/>
          <w:bCs/>
          <w:color w:val="000000" w:themeColor="text1"/>
          <w:sz w:val="24"/>
          <w:szCs w:val="24"/>
          <w:highlight w:val="none"/>
          <w:lang w:eastAsia="zh-CN"/>
          <w14:textFill>
            <w14:solidFill>
              <w14:schemeClr w14:val="tx1"/>
            </w14:solidFill>
          </w14:textFill>
        </w:rPr>
        <w:t xml:space="preserve">作出</w:t>
      </w:r>
      <w:r>
        <w:rPr>
          <w:rFonts w:hint="eastAsia" w:ascii="宋体" w:hAnsi="宋体"/>
          <w:bCs/>
          <w:color w:val="000000" w:themeColor="text1"/>
          <w:sz w:val="24"/>
          <w:szCs w:val="24"/>
          <w:highlight w:val="none"/>
          <w14:textFill>
            <w14:solidFill>
              <w14:schemeClr w14:val="tx1"/>
            </w14:solidFill>
          </w14:textFill>
        </w:rPr>
        <w:t xml:space="preserve">答复。投标供应商在法定质疑期限外送达的质疑函或法定质疑期限内送达的质疑函不符合上述要求的均为无效质疑，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对无效质疑不予受理。</w:t>
      </w:r>
      <w:r/>
    </w:p>
    <w:p>
      <w:pPr>
        <w:ind w:left="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（五）质疑与投诉</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质疑的提出和答复、投诉的提起和处理</w:t>
      </w:r>
      <w:r>
        <w:rPr>
          <w:rFonts w:hint="eastAsia" w:ascii="宋体" w:hAnsi="宋体"/>
          <w:bCs/>
          <w:color w:val="000000" w:themeColor="text1"/>
          <w:sz w:val="24"/>
          <w:szCs w:val="24"/>
          <w:highlight w:val="none"/>
          <w14:textFill>
            <w14:solidFill>
              <w14:schemeClr w14:val="tx1"/>
            </w14:solidFill>
          </w14:textFill>
        </w:rPr>
        <w:t xml:space="preserve">须按《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2.质疑的提出</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潜在供应商已依法获取其可质疑的</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的，可以对该文件提出质疑。对</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提出质疑的，应当在获取</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或者</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公告期限届满之日起7个工作日内</w:t>
      </w:r>
      <w:r>
        <w:rPr>
          <w:rFonts w:hint="eastAsia" w:ascii="宋体" w:hAnsi="宋体"/>
          <w:bCs/>
          <w:color w:val="000000" w:themeColor="text1"/>
          <w:sz w:val="24"/>
          <w:szCs w:val="24"/>
          <w:highlight w:val="none"/>
          <w14:textFill>
            <w14:solidFill>
              <w14:schemeClr w14:val="tx1"/>
            </w14:solidFill>
          </w14:textFill>
        </w:rPr>
        <w:t xml:space="preserve">以书面形式</w:t>
      </w:r>
      <w:r>
        <w:rPr>
          <w:rFonts w:ascii="宋体" w:hAnsi="宋体"/>
          <w:bCs/>
          <w:color w:val="000000" w:themeColor="text1"/>
          <w:sz w:val="24"/>
          <w:szCs w:val="24"/>
          <w:highlight w:val="none"/>
          <w14:textFill>
            <w14:solidFill>
              <w14:schemeClr w14:val="tx1"/>
            </w14:solidFill>
          </w14:textFill>
        </w:rPr>
        <w:t xml:space="preserve">提出。</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、采购过程、中标或者成交结果使自己的权益受到损害的，可以在知道或者应知其权益受到损害之日起</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个工作日内，以书面形式向采购人提出质疑。供应商</w:t>
      </w:r>
      <w:r>
        <w:rPr>
          <w:rFonts w:hint="eastAsia" w:ascii="宋体" w:hAnsi="宋体"/>
          <w:bCs/>
          <w:color w:val="000000" w:themeColor="text1"/>
          <w:sz w:val="24"/>
          <w:szCs w:val="24"/>
          <w:highlight w:val="none"/>
          <w14:textFill>
            <w14:solidFill>
              <w14:schemeClr w14:val="tx1"/>
            </w14:solidFill>
          </w14:textFill>
        </w:rPr>
        <w:t xml:space="preserve">须在</w:t>
      </w:r>
      <w:r>
        <w:rPr>
          <w:rFonts w:ascii="宋体" w:hAnsi="宋体"/>
          <w:bCs/>
          <w:color w:val="000000" w:themeColor="text1"/>
          <w:sz w:val="24"/>
          <w:szCs w:val="24"/>
          <w:highlight w:val="none"/>
          <w14:textFill>
            <w14:solidFill>
              <w14:schemeClr w14:val="tx1"/>
            </w14:solidFill>
          </w14:textFill>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）质疑项目的名称、编号；</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）必要的法律依据；</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）提出质疑的日期。</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highlight w:val="none"/>
          <w14:textFill>
            <w14:solidFill>
              <w14:schemeClr w14:val="tx1"/>
            </w14:solidFill>
          </w14:textFill>
        </w:rPr>
        <w:t xml:space="preserve">质疑函须原件递交。</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3、质疑的受理与答复</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.1采购人负责供应商质疑答复。</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2质疑函由采购人办理签收手续。</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接收单位：</w:t>
      </w:r>
      <w:r>
        <w:rPr>
          <w:rFonts w:hint="eastAsia" w:ascii="宋体" w:hAnsi="宋体"/>
          <w:bCs/>
          <w:color w:val="000000" w:themeColor="text1"/>
          <w:sz w:val="24"/>
          <w:szCs w:val="24"/>
          <w:highlight w:val="none"/>
          <w:lang w:eastAsia="zh-CN"/>
          <w14:textFill>
            <w14:solidFill>
              <w14:schemeClr w14:val="tx1"/>
            </w14:solidFill>
          </w14:textFill>
        </w:rPr>
        <w:t xml:space="preserve">普信国际工程咨询有限公司</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地址：</w:t>
      </w:r>
      <w:r>
        <w:rPr>
          <w:rFonts w:hint="eastAsia" w:ascii="宋体" w:hAnsi="宋体"/>
          <w:bCs/>
          <w:color w:val="000000" w:themeColor="text1"/>
          <w:sz w:val="24"/>
          <w:szCs w:val="24"/>
          <w:highlight w:val="none"/>
          <w:lang w:eastAsia="zh-CN"/>
          <w14:textFill>
            <w14:solidFill>
              <w14:schemeClr w14:val="tx1"/>
            </w14:solidFill>
          </w14:textFill>
        </w:rPr>
        <w:t xml:space="preserve">无锡市</w:t>
      </w:r>
      <w:r>
        <w:rPr>
          <w:rFonts w:hint="eastAsia" w:ascii="宋体" w:hAnsi="宋体" w:cs="宋体"/>
          <w:bCs/>
          <w:color w:val="000000" w:themeColor="text1"/>
          <w:sz w:val="24"/>
          <w:highlight w:val="none"/>
          <w14:textFill>
            <w14:solidFill>
              <w14:schemeClr w14:val="tx1"/>
            </w14:solidFill>
          </w14:textFill>
        </w:rPr>
        <w:t xml:space="preserve">滨湖区蠡湖大道2018号2号楼</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楼</w:t>
      </w:r>
      <w:r>
        <w:rPr>
          <w:rFonts w:hint="eastAsia" w:ascii="宋体" w:hAnsi="宋体" w:cs="宋体"/>
          <w:bCs/>
          <w:color w:val="000000" w:themeColor="text1"/>
          <w:sz w:val="24"/>
          <w:highlight w:val="none"/>
          <w:lang w:val="en-US" w:eastAsia="zh-CN"/>
          <w14:textFill>
            <w14:solidFill>
              <w14:schemeClr w14:val="tx1"/>
            </w14:solidFill>
          </w14:textFill>
        </w:rPr>
        <w:t xml:space="preserve">312</w:t>
      </w:r>
      <w:r>
        <w:rPr>
          <w:rFonts w:hint="eastAsia" w:ascii="宋体" w:hAnsi="宋体" w:cs="宋体"/>
          <w:bCs/>
          <w:color w:val="000000" w:themeColor="text1"/>
          <w:sz w:val="24"/>
          <w:highlight w:val="none"/>
          <w14:textFill>
            <w14:solidFill>
              <w14:schemeClr w14:val="tx1"/>
            </w14:solidFill>
          </w14:textFill>
        </w:rPr>
        <w:t xml:space="preserve">室</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邮编：214000</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联系人：</w:t>
      </w:r>
      <w:r>
        <w:rPr>
          <w:rFonts w:hint="eastAsia" w:ascii="宋体" w:hAnsi="宋体"/>
          <w:bCs/>
          <w:color w:val="000000" w:themeColor="text1"/>
          <w:sz w:val="24"/>
          <w:szCs w:val="24"/>
          <w:highlight w:val="none"/>
          <w:lang w:val="en-US" w:eastAsia="zh-CN"/>
          <w14:textFill>
            <w14:solidFill>
              <w14:schemeClr w14:val="tx1"/>
            </w14:solidFill>
          </w14:textFill>
        </w:rPr>
        <w:t xml:space="preserve">孙工</w:t>
      </w:r>
      <w:r/>
    </w:p>
    <w:p>
      <w:pPr>
        <w:ind w:firstLine="480"/>
        <w:spacing w:line="360" w:lineRule="auto"/>
        <w:tabs>
          <w:tab w:val="left" w:pos="0" w:leader="none"/>
          <w:tab w:val="left" w:pos="945" w:leader="none"/>
        </w:tabs>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lang w:val="en-US" w:eastAsia="zh-CN"/>
          <w14:textFill>
            <w14:solidFill>
              <w14:schemeClr w14:val="tx1"/>
            </w14:solidFill>
          </w14:textFill>
        </w:rPr>
        <w:t xml:space="preserve">0510-82703504</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bCs/>
          <w:color w:val="000000" w:themeColor="text1"/>
          <w:sz w:val="24"/>
          <w:szCs w:val="24"/>
          <w:highlight w:val="none"/>
          <w14:textFill>
            <w14:solidFill>
              <w14:schemeClr w14:val="tx1"/>
            </w14:solidFill>
          </w14:textFill>
        </w:rPr>
        <w:t xml:space="preserve">处理的其他要求按《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4、投诉的提起</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质疑供应商对采购人的答复不满意，或者采购人未在规定时间内作出答复的，可以在答复期满后</w:t>
      </w:r>
      <w:r>
        <w:rPr>
          <w:rFonts w:hint="eastAsia" w:ascii="宋体" w:hAnsi="宋体"/>
          <w:bCs/>
          <w:color w:val="000000" w:themeColor="text1"/>
          <w:sz w:val="24"/>
          <w:szCs w:val="24"/>
          <w:highlight w:val="none"/>
          <w14:textFill>
            <w14:solidFill>
              <w14:schemeClr w14:val="tx1"/>
            </w14:solidFill>
          </w14:textFill>
        </w:rPr>
        <w:t xml:space="preserve">15</w:t>
      </w:r>
      <w:r>
        <w:rPr>
          <w:rFonts w:ascii="宋体" w:hAnsi="宋体"/>
          <w:bCs/>
          <w:color w:val="000000" w:themeColor="text1"/>
          <w:sz w:val="24"/>
          <w:szCs w:val="24"/>
          <w:highlight w:val="none"/>
          <w14:textFill>
            <w14:solidFill>
              <w14:schemeClr w14:val="tx1"/>
            </w14:solidFill>
          </w14:textFill>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2供应商</w:t>
      </w:r>
      <w:r>
        <w:rPr>
          <w:rFonts w:ascii="宋体" w:hAnsi="宋体"/>
          <w:bCs/>
          <w:color w:val="000000" w:themeColor="text1"/>
          <w:sz w:val="24"/>
          <w:szCs w:val="24"/>
          <w:highlight w:val="none"/>
          <w14:textFill>
            <w14:solidFill>
              <w14:schemeClr w14:val="tx1"/>
            </w14:solidFill>
          </w14:textFill>
        </w:rPr>
        <w:t xml:space="preserve">投诉时</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）法律依据；</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）提起投诉的日期。</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投诉人提起投诉应当符合下列条件：</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）提起投诉前已依法进行质疑；</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）投诉书内容符合本办法的规定；</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）在投诉有效期限内提起投诉；</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）同一投诉事项未经财政部门投诉处理；</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）财政部规定的其他条件。</w:t>
      </w:r>
      <w:r/>
    </w:p>
    <w:p>
      <w:pPr>
        <w:ind w:firstLine="480"/>
        <w:spacing w:line="360" w:lineRule="auto"/>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供应商投诉的事项不得超出已质疑事项的范围，但基于质疑答复内容提出的投诉事项除外。</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5、由</w:t>
      </w:r>
      <w:r>
        <w:rPr>
          <w:rFonts w:ascii="宋体" w:hAnsi="宋体"/>
          <w:bCs/>
          <w:color w:val="000000" w:themeColor="text1"/>
          <w:sz w:val="24"/>
          <w:szCs w:val="24"/>
          <w:highlight w:val="none"/>
          <w14:textFill>
            <w14:solidFill>
              <w14:schemeClr w14:val="tx1"/>
            </w14:solidFill>
          </w14:textFill>
        </w:rPr>
        <w:t xml:space="preserve">采购人所属预算级次的财政部门</w:t>
      </w:r>
      <w:r>
        <w:rPr>
          <w:rFonts w:hint="eastAsia" w:ascii="宋体" w:hAnsi="宋体"/>
          <w:bCs/>
          <w:color w:val="000000" w:themeColor="text1"/>
          <w:sz w:val="24"/>
          <w:szCs w:val="24"/>
          <w:highlight w:val="none"/>
          <w14:textFill>
            <w14:solidFill>
              <w14:schemeClr w14:val="tx1"/>
            </w14:solidFill>
          </w14:textFill>
        </w:rPr>
        <w:t xml:space="preserve">根据《</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）相关规定进行</w:t>
      </w:r>
      <w:r>
        <w:rPr>
          <w:rFonts w:ascii="宋体" w:hAnsi="宋体"/>
          <w:bCs/>
          <w:color w:val="000000" w:themeColor="text1"/>
          <w:sz w:val="24"/>
          <w:szCs w:val="24"/>
          <w:highlight w:val="none"/>
          <w14:textFill>
            <w14:solidFill>
              <w14:schemeClr w14:val="tx1"/>
            </w14:solidFill>
          </w14:textFill>
        </w:rPr>
        <w:t xml:space="preserve">投诉处理</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（六）投标文件的组成</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相应内容上传至投标客户端</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w:t>
      </w:r>
      <w:r/>
    </w:p>
    <w:p>
      <w:pPr>
        <w:numPr>
          <w:ilvl w:val="0"/>
          <w:numId w:val="6"/>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6"/>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资格、资信证明文件（</w:t>
      </w:r>
      <w:r>
        <w:rPr>
          <w:rFonts w:hint="eastAsia" w:ascii="宋体" w:hAnsi="宋体"/>
          <w:b/>
          <w:bCs/>
          <w:color w:val="000000" w:themeColor="text1"/>
          <w:sz w:val="24"/>
          <w:szCs w:val="24"/>
          <w:highlight w:val="none"/>
          <w14:textFill>
            <w14:solidFill>
              <w14:schemeClr w14:val="tx1"/>
            </w14:solidFill>
          </w14:textFill>
        </w:rPr>
        <w:t xml:space="preserve">扫描后上传，身份证应为正、反面</w:t>
      </w:r>
      <w:r>
        <w:rPr>
          <w:rFonts w:hint="eastAsia" w:ascii="宋体" w:hAnsi="宋体"/>
          <w:bCs/>
          <w:color w:val="000000" w:themeColor="text1"/>
          <w:sz w:val="24"/>
          <w:szCs w:val="24"/>
          <w:highlight w:val="none"/>
          <w14:textFill>
            <w14:solidFill>
              <w14:schemeClr w14:val="tx1"/>
            </w14:solidFill>
          </w14:textFill>
        </w:rPr>
        <w:t xml:space="preserve">）：</w:t>
      </w:r>
      <w:r/>
    </w:p>
    <w:p>
      <w:pPr>
        <w:pStyle w:val="1034"/>
        <w:numPr>
          <w:ilvl w:val="1"/>
          <w:numId w:val="6"/>
        </w:numPr>
        <w:ind w:left="0" w:firstLine="567"/>
        <w:spacing w:line="360" w:lineRule="auto"/>
        <w:tabs>
          <w:tab w:val="left" w:pos="927"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关于资格的声明函（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pStyle w:val="1034"/>
        <w:numPr>
          <w:ilvl w:val="1"/>
          <w:numId w:val="6"/>
        </w:numPr>
        <w:ind w:left="0" w:firstLine="567"/>
        <w:spacing w:line="360" w:lineRule="auto"/>
        <w:tabs>
          <w:tab w:val="left" w:pos="927"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具有独立承担民事责任能力的投标供应商营业执照或相关部门的登记证明文件扫描件；</w:t>
      </w:r>
      <w:r/>
    </w:p>
    <w:p>
      <w:pPr>
        <w:numPr>
          <w:ilvl w:val="1"/>
          <w:numId w:val="6"/>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有效的食品流通许可证或食品经营许可证原件扫描件；</w:t>
      </w:r>
      <w:r/>
    </w:p>
    <w:p>
      <w:pPr>
        <w:numPr>
          <w:ilvl w:val="1"/>
          <w:numId w:val="6"/>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投标供应商法定代表人授权委托书</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格式见附件，法定代表人亲自参加投标的除外</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6"/>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投标供应商法定代表人身份证；</w:t>
      </w:r>
      <w:r/>
    </w:p>
    <w:p>
      <w:pPr>
        <w:numPr>
          <w:ilvl w:val="1"/>
          <w:numId w:val="6"/>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投标供应商法定代表人授权代表身份证（</w:t>
      </w:r>
      <w:r>
        <w:rPr>
          <w:rFonts w:hint="eastAsia" w:ascii="宋体" w:hAnsi="宋体"/>
          <w:b/>
          <w:bCs/>
          <w:color w:val="000000" w:themeColor="text1"/>
          <w:sz w:val="24"/>
          <w:szCs w:val="24"/>
          <w:highlight w:val="none"/>
          <w14:textFill>
            <w14:solidFill>
              <w14:schemeClr w14:val="tx1"/>
            </w14:solidFill>
          </w14:textFill>
        </w:rPr>
        <w:t xml:space="preserve">法定代表人亲自参加投标的除外</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6"/>
        </w:numPr>
        <w:ind w:left="0" w:firstLine="523"/>
        <w:spacing w:line="360" w:lineRule="auto"/>
        <w:tabs>
          <w:tab w:val="left" w:pos="945" w:leader="none"/>
          <w:tab w:val="left" w:pos="1276"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投标供应商近一年中任意一个月份</w:t>
      </w:r>
      <w:r>
        <w:rPr>
          <w:rFonts w:hint="eastAsia" w:ascii="宋体"/>
          <w:bCs/>
          <w:color w:val="000000" w:themeColor="text1"/>
          <w:sz w:val="24"/>
          <w:szCs w:val="24"/>
          <w:highlight w:val="none"/>
          <w:lang w:eastAsia="zh-CN"/>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不含投标当月</w:t>
      </w:r>
      <w:r>
        <w:rPr>
          <w:rFonts w:hint="eastAsia" w:ascii="宋体"/>
          <w:bCs/>
          <w:color w:val="000000" w:themeColor="text1"/>
          <w:sz w:val="24"/>
          <w:szCs w:val="24"/>
          <w:highlight w:val="none"/>
          <w:lang w:eastAsia="zh-CN"/>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的财务状况报告（资产负债表和利润表）或由会计师事务所出具的2023</w:t>
      </w:r>
      <w:r>
        <w:rPr>
          <w:rFonts w:hint="eastAsia" w:ascii="宋体"/>
          <w:bCs/>
          <w:color w:val="000000" w:themeColor="text1"/>
          <w:sz w:val="24"/>
          <w:szCs w:val="24"/>
          <w:highlight w:val="none"/>
          <w:lang w:val="en-US" w:eastAsia="zh-CN"/>
          <w14:textFill>
            <w14:solidFill>
              <w14:schemeClr w14:val="tx1"/>
            </w14:solidFill>
          </w14:textFill>
        </w:rPr>
        <w:t xml:space="preserve">年度</w:t>
      </w:r>
      <w:r>
        <w:rPr>
          <w:rFonts w:hint="eastAsia" w:ascii="宋体"/>
          <w:bCs/>
          <w:color w:val="000000" w:themeColor="text1"/>
          <w:sz w:val="24"/>
          <w:szCs w:val="24"/>
          <w:highlight w:val="none"/>
          <w14:textFill>
            <w14:solidFill>
              <w14:schemeClr w14:val="tx1"/>
            </w14:solidFill>
          </w14:textFill>
        </w:rPr>
        <w:t xml:space="preserve">的审计报告和所附已审财务报告；</w:t>
      </w:r>
      <w:r/>
    </w:p>
    <w:p>
      <w:pPr>
        <w:numPr>
          <w:ilvl w:val="1"/>
          <w:numId w:val="6"/>
        </w:numPr>
        <w:ind w:left="0" w:firstLine="523"/>
        <w:spacing w:line="360" w:lineRule="auto"/>
        <w:tabs>
          <w:tab w:val="left" w:pos="945" w:leader="none"/>
          <w:tab w:val="left" w:pos="1276"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投标供应商近一年中任意一个月份</w:t>
      </w:r>
      <w:r>
        <w:rPr>
          <w:rFonts w:hint="eastAsia" w:ascii="宋体"/>
          <w:bCs/>
          <w:color w:val="000000" w:themeColor="text1"/>
          <w:sz w:val="24"/>
          <w:szCs w:val="24"/>
          <w:highlight w:val="none"/>
          <w:lang w:eastAsia="zh-CN"/>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不含投标当月</w:t>
      </w:r>
      <w:r>
        <w:rPr>
          <w:rFonts w:hint="eastAsia" w:ascii="宋体"/>
          <w:bCs/>
          <w:color w:val="000000" w:themeColor="text1"/>
          <w:sz w:val="24"/>
          <w:szCs w:val="24"/>
          <w:highlight w:val="none"/>
          <w:lang w:eastAsia="zh-CN"/>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的依法缴纳税收的相关材料（提供相关主管部门证明或银行代扣证明）；</w:t>
      </w:r>
      <w:r/>
    </w:p>
    <w:p>
      <w:pPr>
        <w:numPr>
          <w:ilvl w:val="1"/>
          <w:numId w:val="6"/>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投标供应商近一年中任意一个月份</w:t>
      </w:r>
      <w:r>
        <w:rPr>
          <w:rFonts w:hint="eastAsia" w:ascii="宋体"/>
          <w:bCs/>
          <w:color w:val="000000" w:themeColor="text1"/>
          <w:sz w:val="24"/>
          <w:szCs w:val="24"/>
          <w:highlight w:val="none"/>
          <w:lang w:eastAsia="zh-CN"/>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不含投标当月</w:t>
      </w:r>
      <w:r>
        <w:rPr>
          <w:rFonts w:hint="eastAsia" w:ascii="宋体"/>
          <w:bCs/>
          <w:color w:val="000000" w:themeColor="text1"/>
          <w:sz w:val="24"/>
          <w:szCs w:val="24"/>
          <w:highlight w:val="none"/>
          <w:lang w:eastAsia="zh-CN"/>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w:t>
      </w:r>
      <w:r/>
    </w:p>
    <w:p>
      <w:pPr>
        <w:numPr>
          <w:ilvl w:val="1"/>
          <w:numId w:val="6"/>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服务保障承诺书（</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6"/>
        </w:numPr>
        <w:ind w:left="0" w:firstLine="523"/>
        <w:spacing w:line="360" w:lineRule="auto"/>
        <w:tabs>
          <w:tab w:val="left" w:pos="945" w:leader="none"/>
          <w:tab w:val="left" w:pos="1276" w:leader="none"/>
          <w:tab w:val="left" w:pos="3762"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供应商应为中小微企业、监狱企业、残疾人福利性单位</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提供《中小企业声明函》或《监狱企业证明文件》（省级以上监狱管理局、戒毒管理局出具）或《残疾人福利性单位声明函》（《中小企业声明函》及《残疾人福利性单位声明函》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6"/>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开标一览表（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投标报价明细表（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黑体" w:hAnsi="黑体" w:eastAsia="黑体"/>
          <w:bCs/>
          <w:color w:val="000000" w:themeColor="text1"/>
          <w:sz w:val="24"/>
          <w:szCs w:val="24"/>
          <w:highlight w:val="none"/>
          <w14:textFill>
            <w14:solidFill>
              <w14:schemeClr w14:val="tx1"/>
            </w14:solidFill>
          </w14:textFill>
        </w:rPr>
        <w:t xml:space="preserve"> </w:t>
      </w:r>
      <w:r/>
    </w:p>
    <w:p>
      <w:pPr>
        <w:numPr>
          <w:ilvl w:val="0"/>
          <w:numId w:val="6"/>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投标偏离表（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6"/>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技术文件（</w:t>
      </w:r>
      <w:r>
        <w:rPr>
          <w:rFonts w:hint="eastAsia" w:ascii="宋体" w:hAnsi="宋体"/>
          <w:b/>
          <w:bCs w:val="0"/>
          <w:color w:val="000000" w:themeColor="text1"/>
          <w:sz w:val="24"/>
          <w:szCs w:val="24"/>
          <w:highlight w:val="none"/>
          <w14:textFill>
            <w14:solidFill>
              <w14:schemeClr w14:val="tx1"/>
            </w14:solidFill>
          </w14:textFill>
        </w:rPr>
        <w:t xml:space="preserve">暗标，内容参照评标办法</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u w:val="single"/>
          <w14:textFill>
            <w14:solidFill>
              <w14:schemeClr w14:val="tx1"/>
            </w14:solidFill>
          </w14:textFill>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不得有体现投标人身份的内容是指：</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①技术部分不得出现能够体现投标人身份、名称的相关描述、材料、文件等内容；</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②技术部分不得更改，不得在其中涂改、标注或做任何可以辨认投标人及所属人员身份的名称、印章、商标等标记；</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③技术部分应当版面整洁、字迹清楚、不许批注或进行底纹、阴影、水印等特殊设置，不得采用任何不符合常规、有别于其他投标人的特殊做法；</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④不得有其他体现投标人身份的内容。</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评分标准中对应</w:t>
      </w:r>
      <w:r>
        <w:rPr>
          <w:rFonts w:hint="eastAsia" w:ascii="宋体" w:hAnsi="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bCs/>
          <w:color w:val="000000" w:themeColor="text1"/>
          <w:sz w:val="24"/>
          <w:szCs w:val="24"/>
          <w:highlight w:val="none"/>
          <w14:textFill>
            <w14:solidFill>
              <w14:schemeClr w14:val="tx1"/>
            </w14:solidFill>
          </w14:textFill>
        </w:rPr>
        <w:t xml:space="preserve">所需证明材料（</w:t>
      </w:r>
      <w:r>
        <w:rPr>
          <w:rFonts w:hint="eastAsia" w:ascii="宋体" w:hAnsi="宋体"/>
          <w:b/>
          <w:bCs/>
          <w:color w:val="000000" w:themeColor="text1"/>
          <w:sz w:val="24"/>
          <w:szCs w:val="24"/>
          <w:highlight w:val="none"/>
          <w14:textFill>
            <w14:solidFill>
              <w14:schemeClr w14:val="tx1"/>
            </w14:solidFill>
          </w14:textFill>
        </w:rPr>
        <w:t xml:space="preserve">如有自行添加</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要求采购人提供的配合（</w:t>
      </w:r>
      <w:r>
        <w:rPr>
          <w:rFonts w:hint="eastAsia" w:ascii="宋体" w:hAnsi="宋体"/>
          <w:b/>
          <w:bCs/>
          <w:color w:val="000000" w:themeColor="text1"/>
          <w:sz w:val="24"/>
          <w:szCs w:val="24"/>
          <w:highlight w:val="none"/>
          <w14:textFill>
            <w14:solidFill>
              <w14:schemeClr w14:val="tx1"/>
            </w14:solidFill>
          </w14:textFill>
        </w:rPr>
        <w:t xml:space="preserve">如有自拟并自行添加</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其它（</w:t>
      </w:r>
      <w:r>
        <w:rPr>
          <w:rFonts w:hint="eastAsia" w:ascii="宋体" w:hAnsi="宋体"/>
          <w:b/>
          <w:bCs/>
          <w:color w:val="000000" w:themeColor="text1"/>
          <w:sz w:val="24"/>
          <w:szCs w:val="24"/>
          <w:highlight w:val="none"/>
          <w14:textFill>
            <w14:solidFill>
              <w14:schemeClr w14:val="tx1"/>
            </w14:solidFill>
          </w14:textFill>
        </w:rPr>
        <w:t xml:space="preserve">投标供应商认为有必要提供的声明和文件，如有自拟并自行添加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它可在中国大陆有效居留的许可证明。</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（七）</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投标文件的制作：</w:t>
      </w:r>
      <w:r/>
    </w:p>
    <w:p>
      <w:pPr>
        <w:numPr>
          <w:ilvl w:val="0"/>
          <w:numId w:val="7"/>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所有文件、往来函件均应使用简体中文（规格、型号辅助符号例外）。</w:t>
      </w:r>
      <w:r/>
    </w:p>
    <w:p>
      <w:pPr>
        <w:numPr>
          <w:ilvl w:val="0"/>
          <w:numId w:val="7"/>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投标文件由投标供应商按要求如实填写，须有投标供应商（签章）、法定代表人或法定代表人授权代表签章，方为有效，未尽事宜可自行补充。</w:t>
      </w:r>
      <w:r/>
    </w:p>
    <w:p>
      <w:pPr>
        <w:numPr>
          <w:ilvl w:val="0"/>
          <w:numId w:val="7"/>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lang w:val="zh-CN"/>
          <w14:textFill>
            <w14:solidFill>
              <w14:schemeClr w14:val="tx1"/>
            </w14:solidFill>
          </w14:textFill>
        </w:rPr>
        <w:t xml:space="preserve">如无特别说明，</w:t>
      </w:r>
      <w:r>
        <w:rPr>
          <w:rFonts w:hint="eastAsia" w:ascii="宋体" w:hAnsi="宋体"/>
          <w:bCs/>
          <w:color w:val="000000" w:themeColor="text1"/>
          <w:sz w:val="24"/>
          <w:szCs w:val="24"/>
          <w:highlight w:val="none"/>
          <w14:textFill>
            <w14:solidFill>
              <w14:schemeClr w14:val="tx1"/>
            </w14:solidFill>
          </w14:textFill>
        </w:rPr>
        <w:t xml:space="preserve">投标供应商报价一律以人民币为投标结算货币</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结算单位为“元”。</w:t>
      </w:r>
      <w:r/>
    </w:p>
    <w:p>
      <w:pPr>
        <w:numPr>
          <w:ilvl w:val="0"/>
          <w:numId w:val="7"/>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投标费用自理。</w:t>
      </w:r>
      <w:r/>
    </w:p>
    <w:p>
      <w:pPr>
        <w:ind w:firstLine="480"/>
        <w:spacing w:line="360" w:lineRule="auto"/>
        <w:tabs>
          <w:tab w:val="left" w:pos="945" w:leader="none"/>
        </w:tabs>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（八）网上投标</w:t>
      </w:r>
      <w:r>
        <w:rPr>
          <w:rFonts w:hint="eastAsia" w:ascii="黑体" w:hAnsi="宋体" w:eastAsia="黑体"/>
          <w:bCs/>
          <w:color w:val="000000" w:themeColor="text1"/>
          <w:sz w:val="24"/>
          <w:szCs w:val="24"/>
          <w:highlight w:val="none"/>
          <w:lang w:eastAsia="zh-CN"/>
          <w14:textFill>
            <w14:solidFill>
              <w14:schemeClr w14:val="tx1"/>
            </w14:solidFill>
          </w14:textFill>
        </w:rPr>
        <w:t xml:space="preserve">：</w:t>
      </w:r>
      <w:r/>
    </w:p>
    <w:p>
      <w:pPr>
        <w:numPr>
          <w:ilvl w:val="0"/>
          <w:numId w:val="8"/>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投标供应商应由其法定代表人或法定代表人授权代表在规定的网上投标时间内，凭</w:t>
      </w:r>
      <w:r>
        <w:rPr>
          <w:rFonts w:ascii="宋体" w:hAnsi="宋体"/>
          <w:bCs/>
          <w:color w:val="000000" w:themeColor="text1"/>
          <w:sz w:val="24"/>
          <w:szCs w:val="24"/>
          <w:highlight w:val="none"/>
          <w14:textFill>
            <w14:solidFill>
              <w14:schemeClr w14:val="tx1"/>
            </w14:solidFill>
          </w14:textFill>
        </w:rPr>
        <w:t xml:space="preserve">CA</w:t>
      </w:r>
      <w:r>
        <w:rPr>
          <w:rFonts w:hint="eastAsia" w:ascii="宋体" w:hAnsi="宋体"/>
          <w:bCs/>
          <w:color w:val="000000" w:themeColor="text1"/>
          <w:sz w:val="24"/>
          <w:szCs w:val="24"/>
          <w:highlight w:val="none"/>
          <w14:textFill>
            <w14:solidFill>
              <w14:schemeClr w14:val="tx1"/>
            </w14:solidFill>
          </w14:textFill>
        </w:rPr>
        <w:t xml:space="preserve">数字证书登陆</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平台获取招标文件，在投标客户端制作投标文件（电子数据），并在投标截止时间之前上传投标文件。</w:t>
      </w:r>
      <w:r/>
    </w:p>
    <w:p>
      <w:pPr>
        <w:numPr>
          <w:ilvl w:val="0"/>
          <w:numId w:val="8"/>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投标供应商应对</w:t>
      </w:r>
      <w:r>
        <w:rPr>
          <w:rFonts w:ascii="宋体" w:hAnsi="宋体"/>
          <w:bCs/>
          <w:color w:val="000000" w:themeColor="text1"/>
          <w:sz w:val="24"/>
          <w:szCs w:val="24"/>
          <w:highlight w:val="none"/>
          <w14:textFill>
            <w14:solidFill>
              <w14:schemeClr w14:val="tx1"/>
            </w14:solidFill>
          </w14:textFill>
        </w:rPr>
        <w:t xml:space="preserve">CA</w:t>
      </w:r>
      <w:r>
        <w:rPr>
          <w:rFonts w:hint="eastAsia" w:ascii="宋体" w:hAnsi="宋体"/>
          <w:bCs/>
          <w:color w:val="000000" w:themeColor="text1"/>
          <w:sz w:val="24"/>
          <w:szCs w:val="24"/>
          <w:highlight w:val="none"/>
          <w14:textFill>
            <w14:solidFill>
              <w14:schemeClr w14:val="tx1"/>
            </w14:solidFill>
          </w14:textFill>
        </w:rPr>
        <w:t xml:space="preserve">数字证书妥善保管，如被他人盗用投标，后果自负。</w:t>
      </w:r>
      <w:r/>
    </w:p>
    <w:p>
      <w:pPr>
        <w:numPr>
          <w:ilvl w:val="0"/>
          <w:numId w:val="8"/>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投标供应商按招标文件规定的</w:t>
      </w:r>
      <w:r>
        <w:rPr>
          <w:rFonts w:hint="eastAsia" w:ascii="宋体" w:hAnsi="宋体"/>
          <w:color w:val="000000" w:themeColor="text1"/>
          <w:sz w:val="24"/>
          <w:szCs w:val="24"/>
          <w:highlight w:val="none"/>
          <w14:textFill>
            <w14:solidFill>
              <w14:schemeClr w14:val="tx1"/>
            </w14:solidFill>
          </w14:textFill>
        </w:rPr>
        <w:t xml:space="preserve">网上解密时间</w:t>
      </w:r>
      <w:r>
        <w:rPr>
          <w:rFonts w:hint="eastAsia" w:ascii="宋体" w:hAnsi="宋体"/>
          <w:bCs/>
          <w:color w:val="000000" w:themeColor="text1"/>
          <w:sz w:val="24"/>
          <w:szCs w:val="24"/>
          <w:highlight w:val="none"/>
          <w14:textFill>
            <w14:solidFill>
              <w14:schemeClr w14:val="tx1"/>
            </w14:solidFill>
          </w14:textFill>
        </w:rPr>
        <w:t xml:space="preserve">进行解密，如未按时解密后果自负。</w:t>
      </w:r>
      <w:r/>
    </w:p>
    <w:p>
      <w:pPr>
        <w:numPr>
          <w:ilvl w:val="0"/>
          <w:numId w:val="8"/>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投标供应商应当对招标文件提出的要求和条件作出实质性响应，并在电子投标系统逐条应答。</w:t>
      </w:r>
      <w:r/>
    </w:p>
    <w:p>
      <w:pPr>
        <w:numPr>
          <w:ilvl w:val="0"/>
          <w:numId w:val="8"/>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投标供应商应对要求提供的资格证明文件（如资质证书、资格证书）、技术资料（如白皮书、彩页、手册、检测报告等）扫描上传至投标系统。</w:t>
      </w:r>
      <w:r/>
    </w:p>
    <w:p>
      <w:pPr>
        <w:numPr>
          <w:ilvl w:val="0"/>
          <w:numId w:val="8"/>
        </w:numPr>
        <w:ind w:left="1" w:firstLine="523"/>
        <w:spacing w:line="360" w:lineRule="auto"/>
        <w:tabs>
          <w:tab w:val="left" w:pos="52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投标供应商进行网上</w:t>
      </w:r>
      <w:r>
        <w:rPr>
          <w:rFonts w:hint="eastAsia" w:ascii="宋体" w:hAnsi="宋体"/>
          <w:color w:val="000000" w:themeColor="text1"/>
          <w:sz w:val="24"/>
          <w:szCs w:val="24"/>
          <w:highlight w:val="none"/>
          <w14:textFill>
            <w14:solidFill>
              <w14:schemeClr w14:val="tx1"/>
            </w14:solidFill>
          </w14:textFill>
        </w:rPr>
        <w:t xml:space="preserve">投标</w:t>
      </w:r>
      <w:r>
        <w:rPr>
          <w:rFonts w:hint="eastAsia" w:ascii="宋体" w:hAnsi="宋体"/>
          <w:bCs/>
          <w:color w:val="000000" w:themeColor="text1"/>
          <w:sz w:val="24"/>
          <w:szCs w:val="24"/>
          <w:highlight w:val="none"/>
          <w14:textFill>
            <w14:solidFill>
              <w14:schemeClr w14:val="tx1"/>
            </w14:solidFill>
          </w14:textFill>
        </w:rPr>
        <w:t xml:space="preserve">请参照《</w:t>
      </w:r>
      <w:r>
        <w:rPr>
          <w:rFonts w:hint="eastAsia" w:ascii="宋体" w:hAnsi="宋体"/>
          <w:color w:val="000000" w:themeColor="text1"/>
          <w:sz w:val="24"/>
          <w:szCs w:val="24"/>
          <w:highlight w:val="none"/>
          <w14:textFill>
            <w14:solidFill>
              <w14:schemeClr w14:val="tx1"/>
            </w14:solidFill>
          </w14:textFill>
        </w:rPr>
        <w:t xml:space="preserve">政府采购项目电子交易管理操作指南</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供应商》。</w:t>
      </w:r>
      <w:r/>
    </w:p>
    <w:p>
      <w:pPr>
        <w:numPr>
          <w:ilvl w:val="0"/>
          <w:numId w:val="8"/>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（九）无效投标文件的确认：</w:t>
      </w:r>
      <w:r/>
    </w:p>
    <w:p>
      <w:pPr>
        <w:ind w:firstLine="480"/>
        <w:spacing w:line="360" w:lineRule="auto"/>
        <w:tabs>
          <w:tab w:val="left" w:pos="945" w:leader="none"/>
        </w:tabs>
        <w:rPr>
          <w:rFonts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投标供应商有下列情况之一者，投标文件无效：</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未按规定在无锡市政府采购供应商信息库注册的；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电子投标文件未按规定期限投标的；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电子投标文件未按招标文件要求签章的；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投标供应商未按招标文件要求解密的；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不具备招标文件中规定的资格要求的；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报价超过招标文件中规定的预算金额或最高限价的；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投标供应商的法定代表人授权代表无法定代表人授权委托书的；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投标文件含有采购人不能接受的附加条件的；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投标文件未按招标文件规定的格式、内容和要求填写、制作的；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投标文件书写潦草、字迹模糊不清、无法辨认的；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投标文件中有招标文件未允许提供的选择性内容的；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恶意串通其他投标供应商，故意哄抬价格或压价的；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不同投标供应商投标文件相互混装的；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不同投标供应商投标文件中的项目相关人员出现同一人的；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不同投标供应商聘请同一人为其投标提供技术或经济咨询服务的；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不同投标供应商的单位负责人为同一人或者存在直接控股、管理关系的；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不同投标供应商的投标文件异常一致或者投标报价呈规律性差异；</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投标文件商务标中同一方案有选择性报价且未声明以哪一个为准的；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技术标（暗标）中出现该投标供应商单位名称、简称、人员姓名、Logo、商标、电话号码等任何标识标记及其他暗示性标志的；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商务标（明标）和技术标（暗标），其中某一标被本项目评委确认为无效投标文件的；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投标文件报价出现前后不一致，投标供应商拒不确认修正后的报价的；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评标委员会认为投标供应商的报价明显低于其他通过符合性审查投标供应商的报价，有可能影响产品质量或者不能诚信履约的，要求其在评标现场合理的时间内提供书面说明，并提交相关证明材料；投标供应商不能证明其报价合理性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未通过初步资格性审查、投标文件资格性检查、 投标文件符合性检查的；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列入失信被执行人、重大税收违法案件当事人名单、政府采购严重违法失信行为记录名单及其他不符合《中华人民共和国政府采购法》第二十二条规定条件的；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未按要求提供技术文件的；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投标供应商的投标报价畸高或畸低，但投标总报价与各分项报价不能相互对应，在询标时没有合理的解释或者不能提供计算依据和报价依据的；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不同投标供应商的投标文件的特征显示由同一单位或者同一个人编制的；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不同投标供应商投标文件内容存在非正常一致、项目组成员或者联系人员出现同一人、投标文件中错误（或异常）一致或雷同、电子文档信息一致或雷同的；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同一投标文件中单位名称落款与公章不是同一单位的；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不同投标供应商委托同一单位或者个人办理投标事宜的；</w:t>
      </w:r>
      <w:r/>
    </w:p>
    <w:p>
      <w:pPr>
        <w:numPr>
          <w:ilvl w:val="0"/>
          <w:numId w:val="9"/>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投标文件内容不全或不符合法律法规和招标文件中规定的其他实质性要求的。 </w:t>
      </w:r>
      <w:r/>
    </w:p>
    <w:p>
      <w:pPr>
        <w:ind w:firstLine="480"/>
        <w:spacing w:line="360" w:lineRule="auto"/>
        <w:tabs>
          <w:tab w:val="left" w:pos="945" w:leader="none"/>
        </w:tabs>
        <w:rPr>
          <w:rFonts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（十）开标、评标：</w:t>
      </w:r>
      <w:r/>
    </w:p>
    <w:p>
      <w:pPr>
        <w:numPr>
          <w:ilvl w:val="1"/>
          <w:numId w:val="10"/>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所有投标单位在招标文件规定的时间内解密各自投标文件；</w:t>
      </w:r>
      <w:r/>
    </w:p>
    <w:p>
      <w:pPr>
        <w:numPr>
          <w:ilvl w:val="1"/>
          <w:numId w:val="10"/>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投标截止时间后参加投标的供应商或解密投标文件的供应商不足三家的，不开标；开标后，所有投标供应商可在线上开标大厅中看到所有投标供应商的投标报价；</w:t>
      </w:r>
      <w:r/>
    </w:p>
    <w:p>
      <w:pPr>
        <w:numPr>
          <w:ilvl w:val="1"/>
          <w:numId w:val="10"/>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开标时，投标文件</w:t>
      </w:r>
      <w:r>
        <w:rPr>
          <w:rFonts w:ascii="宋体" w:hAnsi="宋体"/>
          <w:bCs/>
          <w:color w:val="000000" w:themeColor="text1"/>
          <w:sz w:val="24"/>
          <w:szCs w:val="24"/>
          <w:highlight w:val="none"/>
          <w14:textFill>
            <w14:solidFill>
              <w14:schemeClr w14:val="tx1"/>
            </w14:solidFill>
          </w14:textFill>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w:t>
      </w:r>
      <w:r>
        <w:rPr>
          <w:rFonts w:ascii="宋体" w:hAnsi="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w:t>
      </w:r>
      <w:r>
        <w:rPr>
          <w:rFonts w:ascii="宋体" w:hAnsi="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w:t>
      </w:r>
      <w:r>
        <w:rPr>
          <w:rFonts w:ascii="宋体" w:hAnsi="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w:t>
      </w:r>
      <w:r>
        <w:rPr>
          <w:rFonts w:ascii="宋体" w:hAnsi="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w:t>
      </w:r>
      <w:r>
        <w:rPr>
          <w:rFonts w:hint="eastAsia" w:ascii="宋体" w:hAnsi="宋体"/>
          <w:bCs/>
          <w:color w:val="000000" w:themeColor="text1"/>
          <w:sz w:val="24"/>
          <w:szCs w:val="24"/>
          <w:highlight w:val="none"/>
          <w14:textFill>
            <w14:solidFill>
              <w14:schemeClr w14:val="tx1"/>
            </w14:solidFill>
          </w14:textFill>
        </w:rPr>
        <w:t xml:space="preserve">评标委员会</w:t>
      </w:r>
      <w:r>
        <w:rPr>
          <w:rFonts w:ascii="宋体" w:hAnsi="宋体"/>
          <w:bCs/>
          <w:color w:val="000000" w:themeColor="text1"/>
          <w:sz w:val="24"/>
          <w:szCs w:val="24"/>
          <w:highlight w:val="none"/>
          <w14:textFill>
            <w14:solidFill>
              <w14:schemeClr w14:val="tx1"/>
            </w14:solidFill>
          </w14:textFill>
        </w:rPr>
        <w:t xml:space="preserve">应当以书面形式要求</w:t>
      </w:r>
      <w:r>
        <w:rPr>
          <w:rFonts w:hint="eastAsia" w:ascii="宋体" w:hAnsi="宋体"/>
          <w:bCs/>
          <w:color w:val="000000" w:themeColor="text1"/>
          <w:sz w:val="24"/>
          <w:szCs w:val="24"/>
          <w:highlight w:val="none"/>
          <w14:textFill>
            <w14:solidFill>
              <w14:schemeClr w14:val="tx1"/>
            </w14:solidFill>
          </w14:textFill>
        </w:rPr>
        <w:t xml:space="preserve">投标供应商</w:t>
      </w:r>
      <w:r>
        <w:rPr>
          <w:rFonts w:ascii="宋体" w:hAnsi="宋体"/>
          <w:bCs/>
          <w:color w:val="000000" w:themeColor="text1"/>
          <w:sz w:val="24"/>
          <w:szCs w:val="24"/>
          <w:highlight w:val="none"/>
          <w14:textFill>
            <w14:solidFill>
              <w14:schemeClr w14:val="tx1"/>
            </w14:solidFill>
          </w14:textFill>
        </w:rPr>
        <w:t xml:space="preserve">作出必要的澄清、说明或者补正</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经投标供应商确认后产生约束力，投标供应商不确认的，其投标无效</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10"/>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电子投标文件与纸质投标文件（如有）不符的，以电子投标文件为准。</w:t>
      </w:r>
      <w:r/>
    </w:p>
    <w:p>
      <w:pPr>
        <w:numPr>
          <w:ilvl w:val="1"/>
          <w:numId w:val="10"/>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投标供应商未参加开标的，视同认可开标结果。</w:t>
      </w:r>
      <w:r/>
    </w:p>
    <w:p>
      <w:pPr>
        <w:numPr>
          <w:ilvl w:val="1"/>
          <w:numId w:val="10"/>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评标程序</w:t>
      </w:r>
      <w:r/>
    </w:p>
    <w:p>
      <w:pPr>
        <w:ind w:firstLine="523"/>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评标工作由</w:t>
      </w:r>
      <w:r>
        <w:rPr>
          <w:rFonts w:hint="eastAsia" w:ascii="宋体" w:hAnsi="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负责组织，具体评标事务由依法组建的评标委员会负责。</w:t>
      </w:r>
      <w:r/>
    </w:p>
    <w:p>
      <w:pPr>
        <w:numPr>
          <w:ilvl w:val="0"/>
          <w:numId w:val="11"/>
        </w:numPr>
        <w:ind w:left="0" w:firstLine="523"/>
        <w:spacing w:line="360" w:lineRule="auto"/>
        <w:tabs>
          <w:tab w:val="left" w:pos="63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投标文件初审。初审分为资格性检查和符合性检查。</w:t>
      </w:r>
      <w:r/>
    </w:p>
    <w:p>
      <w:pPr>
        <w:numPr>
          <w:ilvl w:val="0"/>
          <w:numId w:val="12"/>
        </w:numPr>
        <w:ind w:left="0" w:firstLine="523"/>
        <w:spacing w:line="360" w:lineRule="auto"/>
        <w:tabs>
          <w:tab w:val="left" w:pos="525" w:leader="none"/>
          <w:tab w:val="left" w:pos="630" w:leader="none"/>
          <w:tab w:val="left" w:pos="945" w:leader="none"/>
          <w:tab w:val="left" w:pos="136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资格性检查。采购人或采购代理机构依据法律法规和招标文件的规定，对投标文件中的资格、资信证明部分等进行审查；通过“信用中国”网站（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HYPERLINK "http://www.creditchina.gov.cn"</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www.ccgp.gov.cn</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bCs/>
          <w:color w:val="000000" w:themeColor="text1"/>
          <w:sz w:val="24"/>
          <w:szCs w:val="24"/>
          <w:highlight w:val="none"/>
          <w14:textFill>
            <w14:solidFill>
              <w14:schemeClr w14:val="tx1"/>
            </w14:solidFill>
          </w14:textFill>
        </w:rPr>
        <w:t xml:space="preserve">以确定投标供应商是否具备投标资格。信用</w:t>
      </w:r>
      <w:r>
        <w:rPr>
          <w:rFonts w:hint="eastAsia" w:ascii="宋体" w:hAnsi="宋体"/>
          <w:color w:val="000000" w:themeColor="text1"/>
          <w:sz w:val="24"/>
          <w:szCs w:val="24"/>
          <w:highlight w:val="none"/>
          <w14:textFill>
            <w14:solidFill>
              <w14:schemeClr w14:val="tx1"/>
            </w14:solidFill>
          </w14:textFill>
        </w:rPr>
        <w:t xml:space="preserve">查询结果以网页打印的形式留存并归档。</w:t>
      </w:r>
      <w:r/>
    </w:p>
    <w:p>
      <w:pPr>
        <w:numPr>
          <w:ilvl w:val="0"/>
          <w:numId w:val="12"/>
        </w:numPr>
        <w:ind w:left="0" w:firstLine="523"/>
        <w:spacing w:line="360" w:lineRule="auto"/>
        <w:tabs>
          <w:tab w:val="left" w:pos="525" w:leader="none"/>
          <w:tab w:val="left" w:pos="630" w:leader="none"/>
          <w:tab w:val="left" w:pos="945" w:leader="none"/>
          <w:tab w:val="left" w:pos="136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numPr>
          <w:ilvl w:val="0"/>
          <w:numId w:val="11"/>
        </w:numPr>
        <w:ind w:left="0" w:firstLine="523"/>
        <w:spacing w:line="360" w:lineRule="auto"/>
        <w:tabs>
          <w:tab w:val="left" w:pos="525"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澄清有关问题。对</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文件中含义不明确、同类问题表述不一致或者有明显文字和计算错误的内容，</w:t>
      </w:r>
      <w:r>
        <w:rPr>
          <w:rFonts w:hint="eastAsia" w:ascii="宋体" w:hAnsi="宋体"/>
          <w:bCs/>
          <w:color w:val="000000" w:themeColor="text1"/>
          <w:sz w:val="24"/>
          <w:szCs w:val="24"/>
          <w:highlight w:val="none"/>
          <w14:textFill>
            <w14:solidFill>
              <w14:schemeClr w14:val="tx1"/>
            </w14:solidFill>
          </w14:textFill>
        </w:rPr>
        <w:t xml:space="preserve">评标委员会</w:t>
      </w:r>
      <w:r>
        <w:rPr>
          <w:rFonts w:ascii="宋体" w:hAnsi="宋体"/>
          <w:bCs/>
          <w:color w:val="000000" w:themeColor="text1"/>
          <w:sz w:val="24"/>
          <w:szCs w:val="24"/>
          <w:highlight w:val="none"/>
          <w14:textFill>
            <w14:solidFill>
              <w14:schemeClr w14:val="tx1"/>
            </w14:solidFill>
          </w14:textFill>
        </w:rPr>
        <w:t xml:space="preserve">可以</w:t>
      </w:r>
      <w:r>
        <w:rPr>
          <w:rFonts w:hint="eastAsia" w:ascii="宋体" w:hAnsi="宋体"/>
          <w:bCs/>
          <w:color w:val="000000" w:themeColor="text1"/>
          <w:sz w:val="24"/>
          <w:szCs w:val="24"/>
          <w:highlight w:val="none"/>
          <w14:textFill>
            <w14:solidFill>
              <w14:schemeClr w14:val="tx1"/>
            </w14:solidFill>
          </w14:textFill>
        </w:rPr>
        <w:t xml:space="preserve">通过</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平台发起询标</w:t>
      </w:r>
      <w:r>
        <w:rPr>
          <w:rFonts w:ascii="宋体" w:hAnsi="宋体"/>
          <w:bCs/>
          <w:color w:val="000000" w:themeColor="text1"/>
          <w:sz w:val="24"/>
          <w:szCs w:val="24"/>
          <w:highlight w:val="none"/>
          <w14:textFill>
            <w14:solidFill>
              <w14:schemeClr w14:val="tx1"/>
            </w14:solidFill>
          </w14:textFill>
        </w:rPr>
        <w:t xml:space="preserve">要求</w:t>
      </w:r>
      <w:r>
        <w:rPr>
          <w:rFonts w:hint="eastAsia" w:ascii="宋体" w:hAnsi="宋体"/>
          <w:bCs/>
          <w:color w:val="000000" w:themeColor="text1"/>
          <w:sz w:val="24"/>
          <w:szCs w:val="24"/>
          <w:highlight w:val="none"/>
          <w14:textFill>
            <w14:solidFill>
              <w14:schemeClr w14:val="tx1"/>
            </w14:solidFill>
          </w14:textFill>
        </w:rPr>
        <w:t xml:space="preserve">投标供应商</w:t>
      </w:r>
      <w:r>
        <w:rPr>
          <w:rFonts w:ascii="宋体" w:hAnsi="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bCs/>
          <w:color w:val="000000" w:themeColor="text1"/>
          <w:sz w:val="24"/>
          <w:szCs w:val="24"/>
          <w:highlight w:val="none"/>
          <w14:textFill>
            <w14:solidFill>
              <w14:schemeClr w14:val="tx1"/>
            </w14:solidFill>
          </w14:textFill>
        </w:rPr>
        <w:t xml:space="preserve">投标供应商</w:t>
      </w:r>
      <w:r>
        <w:rPr>
          <w:rFonts w:ascii="宋体" w:hAnsi="宋体"/>
          <w:bCs/>
          <w:color w:val="000000" w:themeColor="text1"/>
          <w:sz w:val="24"/>
          <w:szCs w:val="24"/>
          <w:highlight w:val="none"/>
          <w14:textFill>
            <w14:solidFill>
              <w14:schemeClr w14:val="tx1"/>
            </w14:solidFill>
          </w14:textFill>
        </w:rPr>
        <w:t xml:space="preserve">的澄清、说明或者补正应当</w:t>
      </w:r>
      <w:r>
        <w:rPr>
          <w:rFonts w:hint="eastAsia" w:ascii="宋体" w:hAnsi="宋体"/>
          <w:bCs/>
          <w:color w:val="000000" w:themeColor="text1"/>
          <w:sz w:val="24"/>
          <w:szCs w:val="24"/>
          <w:highlight w:val="none"/>
          <w14:textFill>
            <w14:solidFill>
              <w14:schemeClr w14:val="tx1"/>
            </w14:solidFill>
          </w14:textFill>
        </w:rPr>
        <w:t xml:space="preserve">通过</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平台</w:t>
      </w:r>
      <w:r>
        <w:rPr>
          <w:rFonts w:ascii="宋体" w:hAnsi="宋体"/>
          <w:bCs/>
          <w:color w:val="000000" w:themeColor="text1"/>
          <w:sz w:val="24"/>
          <w:szCs w:val="24"/>
          <w:highlight w:val="none"/>
          <w14:textFill>
            <w14:solidFill>
              <w14:schemeClr w14:val="tx1"/>
            </w14:solidFill>
          </w14:textFill>
        </w:rPr>
        <w:t xml:space="preserve">，由其授权的代表</w:t>
      </w:r>
      <w:r>
        <w:rPr>
          <w:rFonts w:hint="eastAsia" w:ascii="宋体" w:hAnsi="宋体"/>
          <w:bCs/>
          <w:color w:val="000000" w:themeColor="text1"/>
          <w:sz w:val="24"/>
          <w:szCs w:val="24"/>
          <w:highlight w:val="none"/>
          <w14:textFill>
            <w14:solidFill>
              <w14:schemeClr w14:val="tx1"/>
            </w14:solidFill>
          </w14:textFill>
        </w:rPr>
        <w:t xml:space="preserve">应答并加盖电子公章，且不得超出投标文件的范围或者改变投标文件的实质性内容。</w:t>
      </w:r>
      <w:r/>
    </w:p>
    <w:p>
      <w:pPr>
        <w:numPr>
          <w:ilvl w:val="0"/>
          <w:numId w:val="11"/>
        </w:numPr>
        <w:ind w:left="0" w:firstLine="523"/>
        <w:spacing w:line="360" w:lineRule="auto"/>
        <w:tabs>
          <w:tab w:val="left" w:pos="945" w:leader="none"/>
          <w:tab w:val="left" w:pos="1155" w:leader="none"/>
          <w:tab w:val="left" w:pos="136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比较与评价。按招标文件中规定的评标方法和标准，对资格性检查和符合性检查合格的投标文件进行商务和技术评估，综合比较与评价</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10"/>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评标方法</w:t>
      </w:r>
      <w:r/>
    </w:p>
    <w:p>
      <w:pPr>
        <w:ind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投标供应商通过初审的，方可进入</w:t>
      </w:r>
      <w:r>
        <w:rPr>
          <w:rFonts w:hint="eastAsia" w:ascii="宋体" w:hAnsi="宋体"/>
          <w:bCs/>
          <w:color w:val="000000" w:themeColor="text1"/>
          <w:sz w:val="24"/>
          <w:highlight w:val="none"/>
          <w14:textFill>
            <w14:solidFill>
              <w14:schemeClr w14:val="tx1"/>
            </w14:solidFill>
          </w14:textFill>
        </w:rPr>
        <w:t xml:space="preserve">比较与评价程序</w:t>
      </w:r>
      <w:r>
        <w:rPr>
          <w:rFonts w:hint="eastAsia" w:ascii="宋体" w:hAnsi="宋体"/>
          <w:bCs/>
          <w:color w:val="000000" w:themeColor="text1"/>
          <w:sz w:val="24"/>
          <w:szCs w:val="24"/>
          <w:highlight w:val="none"/>
          <w14:textFill>
            <w14:solidFill>
              <w14:schemeClr w14:val="tx1"/>
            </w14:solidFill>
          </w14:textFill>
        </w:rPr>
        <w:t xml:space="preserve">。</w:t>
      </w:r>
      <w:r/>
    </w:p>
    <w:p>
      <w:pPr>
        <w:ind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比较与评价</w:t>
      </w:r>
      <w:r>
        <w:rPr>
          <w:rFonts w:hint="eastAsia" w:ascii="宋体" w:hAnsi="宋体"/>
          <w:bCs/>
          <w:color w:val="000000" w:themeColor="text1"/>
          <w:sz w:val="24"/>
          <w:szCs w:val="24"/>
          <w:highlight w:val="none"/>
          <w14:textFill>
            <w14:solidFill>
              <w14:schemeClr w14:val="tx1"/>
            </w14:solidFill>
          </w14:textFill>
        </w:rPr>
        <w:t xml:space="preserve">采用综合评分法。</w:t>
      </w:r>
      <w:r>
        <w:rPr>
          <w:rFonts w:ascii="宋体"/>
          <w:bCs/>
          <w:color w:val="000000" w:themeColor="text1"/>
          <w:sz w:val="24"/>
          <w:szCs w:val="24"/>
          <w:highlight w:val="none"/>
          <w14:textFill>
            <w14:solidFill>
              <w14:schemeClr w14:val="tx1"/>
            </w14:solidFill>
          </w14:textFill>
        </w:rPr>
        <w:t xml:space="preserve"> </w:t>
      </w:r>
      <w:r/>
    </w:p>
    <w:p>
      <w:pPr>
        <w:ind w:firstLine="523"/>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10"/>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评分标准</w:t>
      </w:r>
      <w:r/>
    </w:p>
    <w:p>
      <w:pPr>
        <w:ind w:left="524"/>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详见附件。</w:t>
      </w:r>
      <w:r/>
    </w:p>
    <w:p>
      <w:pPr>
        <w:ind w:firstLine="480"/>
        <w:spacing w:line="360" w:lineRule="auto"/>
        <w:tabs>
          <w:tab w:val="left" w:pos="945" w:leader="none"/>
        </w:tabs>
        <w:rPr>
          <w:rFonts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（十一）</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定标：</w:t>
      </w:r>
      <w:r/>
    </w:p>
    <w:p>
      <w:pPr>
        <w:numPr>
          <w:ilvl w:val="0"/>
          <w:numId w:val="3"/>
        </w:numPr>
        <w:ind w:left="0" w:firstLine="523"/>
        <w:spacing w:line="360" w:lineRule="auto"/>
        <w:tabs>
          <w:tab w:val="left" w:pos="52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评标委员会根据招标文件规定的评标方法和评标标准进行评审，按招标文件的要求依法确定中标供应商。</w:t>
      </w:r>
      <w:r>
        <w:rPr>
          <w:rFonts w:hint="eastAsia" w:ascii="宋体" w:hAnsi="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将在无锡政府采购网、江苏政府采购网</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中国政府采购网</w:t>
      </w:r>
      <w:r>
        <w:rPr>
          <w:rFonts w:hint="eastAsia" w:ascii="宋体" w:hAnsi="宋体"/>
          <w:bCs/>
          <w:color w:val="000000" w:themeColor="text1"/>
          <w:sz w:val="24"/>
          <w:szCs w:val="24"/>
          <w:highlight w:val="none"/>
          <w14:textFill>
            <w14:solidFill>
              <w14:schemeClr w14:val="tx1"/>
            </w14:solidFill>
          </w14:textFill>
        </w:rPr>
        <w:t xml:space="preserve">发布中标公告。如有质疑，应在法定质疑期限内，即</w:t>
      </w:r>
      <w:r>
        <w:rPr>
          <w:rFonts w:hint="eastAsia" w:ascii="宋体" w:hAnsi="宋体"/>
          <w:color w:val="000000" w:themeColor="text1"/>
          <w:sz w:val="24"/>
          <w:szCs w:val="24"/>
          <w:highlight w:val="none"/>
          <w14:textFill>
            <w14:solidFill>
              <w14:schemeClr w14:val="tx1"/>
            </w14:solidFill>
          </w14:textFill>
        </w:rPr>
        <w:t xml:space="preserve">中标公告</w:t>
      </w:r>
      <w:r>
        <w:rPr>
          <w:rFonts w:hint="eastAsia" w:ascii="宋体" w:hAnsi="宋体" w:cs="宋体"/>
          <w:bCs/>
          <w:color w:val="000000" w:themeColor="text1"/>
          <w:sz w:val="24"/>
          <w:highlight w:val="none"/>
          <w14:textFill>
            <w14:solidFill>
              <w14:schemeClr w14:val="tx1"/>
            </w14:solidFill>
          </w14:textFill>
        </w:rPr>
        <w:t xml:space="preserve">期限届满之日</w:t>
      </w:r>
      <w:r>
        <w:rPr>
          <w:rFonts w:hint="eastAsia" w:ascii="宋体" w:hAnsi="宋体"/>
          <w:color w:val="000000" w:themeColor="text1"/>
          <w:sz w:val="24"/>
          <w:szCs w:val="24"/>
          <w:highlight w:val="none"/>
          <w14:textFill>
            <w14:solidFill>
              <w14:schemeClr w14:val="tx1"/>
            </w14:solidFill>
          </w14:textFill>
        </w:rPr>
        <w:t xml:space="preserve">起</w:t>
      </w:r>
      <w:r>
        <w:rPr>
          <w:rFonts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个工作日</w:t>
      </w:r>
      <w:r>
        <w:rPr>
          <w:rFonts w:hint="eastAsia" w:ascii="宋体" w:hAnsi="宋体"/>
          <w:bCs/>
          <w:color w:val="000000" w:themeColor="text1"/>
          <w:sz w:val="24"/>
          <w:szCs w:val="24"/>
          <w:highlight w:val="none"/>
          <w14:textFill>
            <w14:solidFill>
              <w14:schemeClr w14:val="tx1"/>
            </w14:solidFill>
          </w14:textFill>
        </w:rPr>
        <w:t xml:space="preserve">内，以书面形式（原件）送达</w:t>
      </w:r>
      <w:r>
        <w:rPr>
          <w:rFonts w:hint="eastAsia" w:ascii="宋体" w:hAnsi="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，并且</w:t>
      </w:r>
      <w:r>
        <w:rPr>
          <w:rFonts w:ascii="宋体" w:hAnsi="宋体"/>
          <w:bCs/>
          <w:color w:val="000000" w:themeColor="text1"/>
          <w:sz w:val="24"/>
          <w:szCs w:val="24"/>
          <w:highlight w:val="none"/>
          <w14:textFill>
            <w14:solidFill>
              <w14:schemeClr w14:val="tx1"/>
            </w14:solidFill>
          </w14:textFill>
        </w:rPr>
        <w:t xml:space="preserve">针对同一采购程序环节的质疑</w:t>
      </w:r>
      <w:r>
        <w:rPr>
          <w:rFonts w:hint="eastAsia" w:ascii="宋体" w:hAnsi="宋体"/>
          <w:bCs/>
          <w:color w:val="000000" w:themeColor="text1"/>
          <w:sz w:val="24"/>
          <w:szCs w:val="24"/>
          <w:highlight w:val="none"/>
          <w14:textFill>
            <w14:solidFill>
              <w14:schemeClr w14:val="tx1"/>
            </w14:solidFill>
          </w14:textFill>
        </w:rPr>
        <w:t xml:space="preserve">，须</w:t>
      </w:r>
      <w:r>
        <w:rPr>
          <w:rFonts w:ascii="宋体" w:hAnsi="宋体"/>
          <w:bCs/>
          <w:color w:val="000000" w:themeColor="text1"/>
          <w:sz w:val="24"/>
          <w:szCs w:val="24"/>
          <w:highlight w:val="none"/>
          <w14:textFill>
            <w14:solidFill>
              <w14:schemeClr w14:val="tx1"/>
            </w14:solidFill>
          </w14:textFill>
        </w:rPr>
        <w:t xml:space="preserve">在法定质疑期内一次性提出</w:t>
      </w:r>
      <w:r>
        <w:rPr>
          <w:rFonts w:hint="eastAsia" w:ascii="宋体" w:hAns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w:t>
      </w:r>
      <w:r>
        <w:rPr>
          <w:rFonts w:ascii="宋体" w:hAnsi="宋体"/>
          <w:bCs/>
          <w:color w:val="000000" w:themeColor="text1"/>
          <w:sz w:val="24"/>
          <w:szCs w:val="24"/>
          <w:highlight w:val="none"/>
          <w14:textFill>
            <w14:solidFill>
              <w14:schemeClr w14:val="tx1"/>
            </w14:solidFill>
          </w14:textFill>
        </w:rPr>
        <w:fldChar w:fldCharType="begin"/>
      </w:r>
      <w:r>
        <w:rPr>
          <w:rFonts w:ascii="宋体" w:hAnsi="宋体"/>
          <w:bCs/>
          <w:color w:val="000000" w:themeColor="text1"/>
          <w:sz w:val="24"/>
          <w:szCs w:val="24"/>
          <w:highlight w:val="none"/>
          <w14:textFill>
            <w14:solidFill>
              <w14:schemeClr w14:val="tx1"/>
            </w14:solidFill>
          </w14:textFill>
        </w:rPr>
        <w:instrText xml:space="preserve"> HYPERLINK "http://download.ccgp.gov.cn/2018/zhiyihanfanben.zip" \t "_blank" </w:instrText>
      </w:r>
      <w:r>
        <w:rPr>
          <w:rFonts w:ascii="宋体" w:hAnsi="宋体"/>
          <w:bCs/>
          <w:color w:val="000000" w:themeColor="text1"/>
          <w:sz w:val="24"/>
          <w:szCs w:val="24"/>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政府采购供应商质疑函范本</w:t>
      </w:r>
      <w:r>
        <w:rPr>
          <w:rFonts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w:t>
      </w:r>
      <w:r>
        <w:rPr>
          <w:rFonts w:hint="eastAsia" w:ascii="宋体" w:hAnsi="宋体"/>
          <w:bCs/>
          <w:color w:val="000000" w:themeColor="text1"/>
          <w:sz w:val="24"/>
          <w:szCs w:val="24"/>
          <w:highlight w:val="none"/>
          <w:lang w:eastAsia="zh-CN"/>
          <w14:textFill>
            <w14:solidFill>
              <w14:schemeClr w14:val="tx1"/>
            </w14:solidFill>
          </w14:textFill>
        </w:rPr>
        <w:t xml:space="preserve">作出</w:t>
      </w:r>
      <w:r>
        <w:rPr>
          <w:rFonts w:hint="eastAsia" w:ascii="宋体" w:hAnsi="宋体"/>
          <w:bCs/>
          <w:color w:val="000000" w:themeColor="text1"/>
          <w:sz w:val="24"/>
          <w:szCs w:val="24"/>
          <w:highlight w:val="none"/>
          <w14:textFill>
            <w14:solidFill>
              <w14:schemeClr w14:val="tx1"/>
            </w14:solidFill>
          </w14:textFill>
        </w:rPr>
        <w:t xml:space="preserve">答复。投标供应商在法定质疑期限外送达的质疑函或法定质疑期限内送达的质疑函不符合上述要求的均为无效质疑，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对无效质疑不予受理。如质疑查无实据或投标供应商捏造事实，提供虚假材料进行恶意举报，不配合或采用不正当手段干扰政府采购</w:t>
      </w:r>
      <w:r>
        <w:rPr>
          <w:rFonts w:hint="eastAsia" w:ascii="宋体" w:hAnsi="宋体"/>
          <w:bCs/>
          <w:color w:val="000000" w:themeColor="text1"/>
          <w:sz w:val="24"/>
          <w:szCs w:val="24"/>
          <w:highlight w:val="none"/>
          <w:lang w:eastAsia="zh-CN"/>
          <w14:textFill>
            <w14:solidFill>
              <w14:schemeClr w14:val="tx1"/>
            </w14:solidFill>
          </w14:textFill>
        </w:rPr>
        <w:t xml:space="preserve">事宜</w:t>
      </w:r>
      <w:r>
        <w:rPr>
          <w:rFonts w:hint="eastAsia" w:ascii="宋体" w:hAnsi="宋体"/>
          <w:bCs/>
          <w:color w:val="000000" w:themeColor="text1"/>
          <w:sz w:val="24"/>
          <w:szCs w:val="24"/>
          <w:highlight w:val="none"/>
          <w14:textFill>
            <w14:solidFill>
              <w14:schemeClr w14:val="tx1"/>
            </w14:solidFill>
          </w14:textFill>
        </w:rPr>
        <w:t xml:space="preserve">的，将记入投标供应商在江苏省和无锡市的政府采购“供应商诚信记录”，并按相关规定处理。</w:t>
      </w:r>
      <w:r/>
    </w:p>
    <w:p>
      <w:pPr>
        <w:numPr>
          <w:ilvl w:val="0"/>
          <w:numId w:val="3"/>
        </w:numPr>
        <w:ind w:left="0" w:firstLine="523"/>
        <w:spacing w:line="360" w:lineRule="auto"/>
        <w:tabs>
          <w:tab w:val="left" w:pos="52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向中标供应商</w:t>
      </w:r>
      <w:r>
        <w:rPr>
          <w:rFonts w:hint="eastAsia" w:ascii="宋体" w:hAnsi="宋体"/>
          <w:bCs/>
          <w:color w:val="000000" w:themeColor="text1"/>
          <w:sz w:val="24"/>
          <w:szCs w:val="24"/>
          <w:highlight w:val="none"/>
          <w:lang w:eastAsia="zh-CN"/>
          <w14:textFill>
            <w14:solidFill>
              <w14:schemeClr w14:val="tx1"/>
            </w14:solidFill>
          </w14:textFill>
        </w:rPr>
        <w:t xml:space="preserve">发出</w:t>
      </w:r>
      <w:r>
        <w:rPr>
          <w:rFonts w:hint="eastAsia" w:ascii="宋体" w:hAnsi="宋体"/>
          <w:bCs/>
          <w:color w:val="000000" w:themeColor="text1"/>
          <w:sz w:val="24"/>
          <w:szCs w:val="24"/>
          <w:highlight w:val="none"/>
          <w14:textFill>
            <w14:solidFill>
              <w14:schemeClr w14:val="tx1"/>
            </w14:solidFill>
          </w14:textFill>
        </w:rPr>
        <w:t xml:space="preserve">中标通知书。</w:t>
      </w:r>
      <w:r/>
    </w:p>
    <w:p>
      <w:pPr>
        <w:numPr>
          <w:ilvl w:val="0"/>
          <w:numId w:val="3"/>
        </w:numPr>
        <w:ind w:left="0" w:firstLine="523"/>
        <w:spacing w:line="360" w:lineRule="auto"/>
        <w:tabs>
          <w:tab w:val="left" w:pos="525" w:leader="none"/>
          <w:tab w:val="left" w:pos="945" w:leader="none"/>
          <w:tab w:val="left" w:pos="1155" w:leader="none"/>
        </w:tabs>
        <w:rPr>
          <w:rFonts w:asci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投标供应商电子投标文件将作为电子档案保存。</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（十二）</w:t>
      </w:r>
      <w:r>
        <w:rPr>
          <w:rFonts w:ascii="黑体" w:hAnsi="宋体" w:eastAsia="黑体"/>
          <w:bCs/>
          <w:color w:val="000000" w:themeColor="text1"/>
          <w:sz w:val="24"/>
          <w:szCs w:val="24"/>
          <w:highlight w:val="none"/>
          <w14:textFill>
            <w14:solidFill>
              <w14:schemeClr w14:val="tx1"/>
            </w14:solidFill>
          </w14:textFill>
        </w:rPr>
        <w:t xml:space="preserve"> </w:t>
      </w:r>
      <w:r>
        <w:rPr>
          <w:rFonts w:hint="eastAsia" w:ascii="黑体" w:hAnsi="宋体" w:eastAsia="黑体"/>
          <w:bCs/>
          <w:color w:val="000000" w:themeColor="text1"/>
          <w:sz w:val="24"/>
          <w:szCs w:val="24"/>
          <w:highlight w:val="none"/>
          <w14:textFill>
            <w14:solidFill>
              <w14:schemeClr w14:val="tx1"/>
            </w14:solidFill>
          </w14:textFill>
        </w:rPr>
        <w:t xml:space="preserve">废标的确认：</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在招标采购中，出现下列情况之一的，应予废标：</w:t>
      </w:r>
      <w:r/>
    </w:p>
    <w:p>
      <w:pPr>
        <w:numPr>
          <w:ilvl w:val="0"/>
          <w:numId w:val="13"/>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符合专业条件的投标供应商或者对招标文件作出实质性响应的投标供应商不足三家；</w:t>
      </w:r>
      <w:r/>
    </w:p>
    <w:p>
      <w:pPr>
        <w:numPr>
          <w:ilvl w:val="0"/>
          <w:numId w:val="13"/>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出现影响采购公正的违法、违规行为；</w:t>
      </w:r>
      <w:r/>
    </w:p>
    <w:p>
      <w:pPr>
        <w:numPr>
          <w:ilvl w:val="0"/>
          <w:numId w:val="13"/>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投标供应商的报价均超过采购预算，采购人不能支付的；</w:t>
      </w:r>
      <w:r/>
    </w:p>
    <w:p>
      <w:pPr>
        <w:numPr>
          <w:ilvl w:val="0"/>
          <w:numId w:val="13"/>
        </w:numPr>
        <w:ind w:left="0" w:firstLine="525"/>
        <w:spacing w:line="360" w:lineRule="auto"/>
        <w:tabs>
          <w:tab w:val="right" w:pos="180" w:leader="none"/>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因重大变故，采购任务取消。</w:t>
      </w:r>
      <w:r/>
    </w:p>
    <w:p>
      <w:pPr>
        <w:ind w:firstLine="480"/>
        <w:spacing w:line="360" w:lineRule="auto"/>
        <w:tabs>
          <w:tab w:val="left" w:pos="945" w:leader="none"/>
        </w:tabs>
        <w:rPr>
          <w:rFonts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（十三）中标无效的确认：</w:t>
      </w:r>
      <w:r/>
    </w:p>
    <w:p>
      <w:pPr>
        <w:numPr>
          <w:ilvl w:val="0"/>
          <w:numId w:val="14"/>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提供虚假材料谋取中标的；</w:t>
      </w:r>
      <w:r/>
    </w:p>
    <w:p>
      <w:pPr>
        <w:numPr>
          <w:ilvl w:val="0"/>
          <w:numId w:val="14"/>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采取不正当手段诋毁、排挤其他投标供应商的；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与招标采购单位、其他投标供应商恶意串通的；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向招标采购单位行贿或者提供其他不正当利益的；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采购人、采购代理机构发现评审小组未按照采购文件规定的评审标准进行评审的；</w:t>
      </w:r>
      <w:r/>
    </w:p>
    <w:p>
      <w:pPr>
        <w:numPr>
          <w:ilvl w:val="0"/>
          <w:numId w:val="14"/>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中标供应商拒绝签订政府采购合同的。</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）至（8）项情形之一的，中标无效。有上述（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cs="Times New Roman"/>
          <w:bCs/>
          <w:color w:val="000000" w:themeColor="text1"/>
          <w:sz w:val="24"/>
          <w:szCs w:val="24"/>
          <w:highlight w:val="none"/>
          <w14:textFill>
            <w14:solidFill>
              <w14:schemeClr w14:val="tx1"/>
            </w14:solidFill>
          </w14:textFill>
        </w:rPr>
        <w:outlineLvl w:val="0"/>
      </w:pPr>
      <w:r>
        <w:rPr>
          <w:rFonts w:hint="eastAsia" w:ascii="黑体" w:hAnsi="宋体" w:eastAsia="黑体" w:cs="Times New Roman"/>
          <w:bCs/>
          <w:color w:val="000000" w:themeColor="text1"/>
          <w:sz w:val="24"/>
          <w:szCs w:val="24"/>
          <w:highlight w:val="none"/>
          <w14:textFill>
            <w14:solidFill>
              <w14:schemeClr w14:val="tx1"/>
            </w14:solidFill>
          </w14:textFill>
        </w:rPr>
        <w:t xml:space="preserve">（十四）签订、履行合同：</w:t>
      </w:r>
      <w:r/>
    </w:p>
    <w:p>
      <w:pPr>
        <w:numPr>
          <w:ilvl w:val="0"/>
          <w:numId w:val="4"/>
        </w:numPr>
        <w:ind w:left="0" w:firstLine="525"/>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采购人应当自中标通知书发出之日起三十日内，按照招标文件和中标供应商投标文件的约定，在</w:t>
      </w:r>
      <w:r>
        <w:rPr>
          <w:rFonts w:hint="eastAsia" w:ascii="宋体" w:hAnsi="宋体"/>
          <w:color w:val="000000" w:themeColor="text1"/>
          <w:sz w:val="24"/>
          <w:highlight w:val="none"/>
          <w:lang w:eastAsia="zh-CN"/>
          <w14:textFill>
            <w14:solidFill>
              <w14:schemeClr w14:val="tx1"/>
            </w14:solidFill>
          </w14:textFill>
        </w:rPr>
        <w:t xml:space="preserve">普信国际工程咨询有限公司</w:t>
      </w:r>
      <w:r>
        <w:rPr>
          <w:rFonts w:ascii="宋体" w:hAnsi="宋体"/>
          <w:bCs/>
          <w:color w:val="000000" w:themeColor="text1"/>
          <w:sz w:val="24"/>
          <w:szCs w:val="24"/>
          <w:highlight w:val="none"/>
          <w14:textFill>
            <w14:solidFill>
              <w14:schemeClr w14:val="tx1"/>
            </w14:solidFill>
          </w14:textFill>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highlight w:val="none"/>
          <w:lang w:eastAsia="zh-CN"/>
          <w14:textFill>
            <w14:solidFill>
              <w14:schemeClr w14:val="tx1"/>
            </w14:solidFill>
          </w14:textFill>
        </w:rPr>
        <w:t xml:space="preserve">普信国际工程咨询有限公司</w:t>
      </w:r>
      <w:r>
        <w:rPr>
          <w:rFonts w:ascii="宋体" w:hAnsi="宋体"/>
          <w:bCs/>
          <w:color w:val="000000" w:themeColor="text1"/>
          <w:sz w:val="24"/>
          <w:szCs w:val="24"/>
          <w:highlight w:val="none"/>
          <w14:textFill>
            <w14:solidFill>
              <w14:schemeClr w14:val="tx1"/>
            </w14:solidFill>
          </w14:textFill>
        </w:rPr>
        <w:t xml:space="preserve">见证部分详见招标文件合同书（格式</w:t>
      </w:r>
      <w:r>
        <w:rPr>
          <w:rFonts w:hint="eastAsia" w:ascii="宋体" w:hAnsi="宋体"/>
          <w:bCs/>
          <w:color w:val="000000" w:themeColor="text1"/>
          <w:sz w:val="24"/>
          <w:szCs w:val="24"/>
          <w:highlight w:val="none"/>
          <w14:textFill>
            <w14:solidFill>
              <w14:schemeClr w14:val="tx1"/>
            </w14:solidFill>
          </w14:textFill>
        </w:rPr>
        <w:t xml:space="preserve">条款</w:t>
      </w:r>
      <w:r>
        <w:rPr>
          <w:rFonts w:ascii="宋体" w:hAnsi="宋体"/>
          <w:bCs/>
          <w:color w:val="000000" w:themeColor="text1"/>
          <w:sz w:val="24"/>
          <w:szCs w:val="24"/>
          <w:highlight w:val="none"/>
          <w14:textFill>
            <w14:solidFill>
              <w14:schemeClr w14:val="tx1"/>
            </w14:solidFill>
          </w14:textFill>
        </w:rPr>
        <w:t xml:space="preserve">），见证后的格式</w:t>
      </w:r>
      <w:r>
        <w:rPr>
          <w:rFonts w:hint="eastAsia" w:ascii="宋体" w:hAnsi="宋体"/>
          <w:bCs/>
          <w:color w:val="000000" w:themeColor="text1"/>
          <w:sz w:val="24"/>
          <w:szCs w:val="24"/>
          <w:highlight w:val="none"/>
          <w14:textFill>
            <w14:solidFill>
              <w14:schemeClr w14:val="tx1"/>
            </w14:solidFill>
          </w14:textFill>
        </w:rPr>
        <w:t xml:space="preserve">条款</w:t>
      </w:r>
      <w:r>
        <w:rPr>
          <w:rFonts w:ascii="宋体" w:hAnsi="宋体"/>
          <w:bCs/>
          <w:color w:val="000000" w:themeColor="text1"/>
          <w:sz w:val="24"/>
          <w:szCs w:val="24"/>
          <w:highlight w:val="none"/>
          <w14:textFill>
            <w14:solidFill>
              <w14:schemeClr w14:val="tx1"/>
            </w14:solidFill>
          </w14:textFill>
        </w:rPr>
        <w:t xml:space="preserve">不得作任何修改。</w:t>
      </w:r>
      <w:r/>
    </w:p>
    <w:p>
      <w:pPr>
        <w:numPr>
          <w:ilvl w:val="0"/>
          <w:numId w:val="4"/>
        </w:numPr>
        <w:ind w:left="0" w:firstLine="525"/>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中标方非因不可抗力未履行招、投标文件和合同规定的义务，一经查实，</w:t>
      </w:r>
      <w:r>
        <w:rPr>
          <w:rFonts w:hint="eastAsia" w:ascii="宋体" w:hAnsi="宋体"/>
          <w:color w:val="000000" w:themeColor="text1"/>
          <w:sz w:val="24"/>
          <w:highlight w:val="none"/>
          <w:lang w:eastAsia="zh-CN"/>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（十五）注意事项：</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numPr>
          <w:ilvl w:val="3"/>
          <w:numId w:val="10"/>
        </w:numPr>
        <w:ind w:left="0" w:firstLine="523"/>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中标后无正当理由不与采购人签订合同的；</w:t>
      </w:r>
      <w:r/>
    </w:p>
    <w:p>
      <w:pPr>
        <w:numPr>
          <w:ilvl w:val="3"/>
          <w:numId w:val="10"/>
        </w:numPr>
        <w:ind w:left="0" w:firstLine="523"/>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将中标项目转让给他人，或者在投标文件中未说明，且未经过采购人同意，将中标项目分包给他人的；</w:t>
      </w:r>
      <w:r/>
    </w:p>
    <w:p>
      <w:pPr>
        <w:numPr>
          <w:ilvl w:val="3"/>
          <w:numId w:val="10"/>
        </w:numPr>
        <w:ind w:left="0" w:firstLine="523"/>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拒绝履行合同义务的。</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（十六）中标服务费：</w:t>
      </w:r>
      <w:r/>
    </w:p>
    <w:p>
      <w:pPr>
        <w:ind w:firstLine="480"/>
        <w:spacing w:line="360" w:lineRule="auto"/>
        <w:tabs>
          <w:tab w:val="left" w:pos="1140" w:leader="none"/>
        </w:tabs>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1.本项目招标代理服务费以中标金额为计费基础，按差额定率累进法计算：</w:t>
      </w:r>
      <w:r>
        <w:rPr>
          <w:rFonts w:ascii="宋体" w:hAnsi="宋体"/>
          <w:color w:val="000000" w:themeColor="text1"/>
          <w:sz w:val="24"/>
          <w:highlight w:val="none"/>
          <w14:textFill>
            <w14:solidFill>
              <w14:schemeClr w14:val="tx1"/>
            </w14:solidFill>
          </w14:textFill>
        </w:rPr>
        <w:t xml:space="preserve">100万以下费率为1.</w:t>
      </w: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100万－500万</w:t>
      </w:r>
      <w:r>
        <w:rPr>
          <w:rFonts w:ascii="宋体" w:hAnsi="宋体"/>
          <w:color w:val="000000" w:themeColor="text1"/>
          <w:sz w:val="24"/>
          <w:highlight w:val="none"/>
          <w14:textFill>
            <w14:solidFill>
              <w14:schemeClr w14:val="tx1"/>
            </w14:solidFill>
          </w14:textFill>
        </w:rPr>
        <w:t xml:space="preserve">费率为</w:t>
      </w:r>
      <w:r>
        <w:rPr>
          <w:rFonts w:hint="eastAsia" w:ascii="宋体" w:hAnsi="宋体"/>
          <w:color w:val="000000" w:themeColor="text1"/>
          <w:sz w:val="24"/>
          <w:highlight w:val="none"/>
          <w:lang w:val="en-US" w:eastAsia="zh-CN"/>
          <w14:textFill>
            <w14:solidFill>
              <w14:schemeClr w14:val="tx1"/>
            </w14:solidFill>
          </w14:textFill>
        </w:rPr>
        <w:t xml:space="preserve">1.1</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,500万-1000万费率为0.8%</w:t>
      </w:r>
      <w:r>
        <w:rPr>
          <w:rFonts w:hint="eastAsia" w:ascii="宋体" w:hAnsi="宋体"/>
          <w:bCs/>
          <w:color w:val="000000" w:themeColor="text1"/>
          <w:sz w:val="24"/>
          <w:highlight w:val="none"/>
          <w14:textFill>
            <w14:solidFill>
              <w14:schemeClr w14:val="tx1"/>
            </w14:solidFill>
          </w14:textFill>
        </w:rPr>
        <w:t xml:space="preserve">；在此基础上打七折计取。</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2.领取中标通知书时由中标供应商向采购代理机构一次性付清。</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3.中标供应商如果未按规定缴纳采购代理服务费</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采购代理机构将保留诉讼的权利。</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（十七）合同融资、履约担保</w:t>
      </w:r>
      <w:r/>
    </w:p>
    <w:p>
      <w:pPr>
        <w:numPr>
          <w:ilvl w:val="1"/>
          <w:numId w:val="15"/>
        </w:numPr>
        <w:ind w:left="0" w:firstLine="525"/>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根据国家扶持中小企业的有关政策，本次采购项目中标的供应商，如需要政府采购合同融资，请按锡财购【2020】17号文件执行。</w:t>
      </w:r>
      <w:r/>
    </w:p>
    <w:p>
      <w:pPr>
        <w:ind w:firstLine="480"/>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w:t>
      </w:r>
      <w:r>
        <w:rPr>
          <w:rFonts w:hint="eastAsia" w:ascii="宋体" w:hAnsi="宋体"/>
          <w:bCs/>
          <w:color w:val="000000" w:themeColor="text1"/>
          <w:sz w:val="24"/>
          <w:szCs w:val="24"/>
          <w:highlight w:val="none"/>
          <w:lang w:eastAsia="zh-CN"/>
          <w14:textFill>
            <w14:solidFill>
              <w14:schemeClr w14:val="tx1"/>
            </w14:solidFill>
          </w14:textFill>
        </w:rPr>
        <w:t xml:space="preserve">苏采云</w:t>
      </w:r>
      <w:r>
        <w:rPr>
          <w:rFonts w:hint="eastAsia" w:ascii="宋体" w:hAnsi="宋体"/>
          <w:bCs/>
          <w:color w:val="000000" w:themeColor="text1"/>
          <w:sz w:val="24"/>
          <w:szCs w:val="24"/>
          <w:highlight w:val="none"/>
          <w14:textFill>
            <w14:solidFill>
              <w14:schemeClr w14:val="tx1"/>
            </w14:solidFill>
          </w14:textFill>
        </w:rPr>
        <w:t xml:space="preserve">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中标、中标供应商可根据自身情况，自行决定是否选择采用合同融资形式，在无锡政府采购网——政采贷专栏提供的银行名录内自主选择合作银行。</w:t>
      </w:r>
      <w:r/>
    </w:p>
    <w:p>
      <w:pPr>
        <w:numPr>
          <w:ilvl w:val="1"/>
          <w:numId w:val="15"/>
        </w:numPr>
        <w:ind w:left="0" w:firstLine="525"/>
        <w:spacing w:line="360" w:lineRule="auto"/>
        <w:tabs>
          <w:tab w:val="left" w:pos="525" w:leader="none"/>
          <w:tab w:val="clear" w:pos="780" w:leader="none"/>
          <w:tab w:val="left" w:pos="945" w:leader="none"/>
        </w:tabs>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jc w:val="center"/>
        <w:keepLines w:val="0"/>
        <w:keepNext w:val="0"/>
        <w:pageBreakBefore w:val="0"/>
        <w:spacing w:line="360" w:lineRule="auto"/>
        <w:rPr>
          <w:rFonts w:ascii="黑体" w:eastAsia="黑体"/>
          <w:bCs/>
          <w:color w:val="000000" w:themeColor="text1"/>
          <w:sz w:val="30"/>
          <w:szCs w:val="30"/>
          <w:highlight w:val="none"/>
          <w14:textFill>
            <w14:solidFill>
              <w14:schemeClr w14:val="tx1"/>
            </w14:solidFill>
          </w14:textFill>
        </w:rPr>
      </w:pPr>
      <w:r>
        <w:rPr>
          <w:rFonts w:hint="eastAsia" w:ascii="黑体" w:eastAsia="黑体"/>
          <w:bCs/>
          <w:color w:val="000000" w:themeColor="text1"/>
          <w:sz w:val="30"/>
          <w:szCs w:val="30"/>
          <w:highlight w:val="none"/>
          <w14:textFill>
            <w14:solidFill>
              <w14:schemeClr w14:val="tx1"/>
            </w14:solidFill>
          </w14:textFill>
        </w:rPr>
        <w:br w:type="page" w:clear="all"/>
      </w:r>
      <w:r>
        <w:rPr>
          <w:rFonts w:hint="eastAsia" w:ascii="黑体" w:eastAsia="黑体"/>
          <w:bCs/>
          <w:color w:val="000000" w:themeColor="text1"/>
          <w:sz w:val="30"/>
          <w:szCs w:val="30"/>
          <w:highlight w:val="none"/>
          <w14:textFill>
            <w14:solidFill>
              <w14:schemeClr w14:val="tx1"/>
            </w14:solidFill>
          </w14:textFill>
        </w:rPr>
        <w:t xml:space="preserve">三．</w:t>
      </w:r>
      <w:r>
        <w:rPr>
          <w:rFonts w:hint="eastAsia" w:ascii="黑体" w:eastAsia="黑体"/>
          <w:b/>
          <w:color w:val="000000" w:themeColor="text1"/>
          <w:sz w:val="30"/>
          <w:szCs w:val="30"/>
          <w:highlight w:val="none"/>
          <w14:textFill>
            <w14:solidFill>
              <w14:schemeClr w14:val="tx1"/>
            </w14:solidFill>
          </w14:textFill>
        </w:rPr>
        <w:t xml:space="preserve">项目技术要求和有关说明</w:t>
      </w:r>
      <w:r/>
    </w:p>
    <w:p>
      <w:pPr>
        <w:pStyle w:val="766"/>
        <w:ind w:firstLine="480"/>
        <w:spacing w:before="0" w:beforeAutospacing="0" w:after="0" w:afterAutospacing="0" w:line="440" w:lineRule="exact"/>
        <w:shd w:val="clear" w:color="auto" w:fill="ffffff"/>
        <w:rPr>
          <w:rFonts w:hint="eastAsia" w:ascii="宋体" w:hAnsi="宋体" w:eastAsia="宋体" w:cs="宋体"/>
          <w:bCs/>
          <w:color w:val="000000" w:themeColor="text1"/>
          <w:sz w:val="24"/>
          <w:szCs w:val="24"/>
          <w:highlight w:val="none"/>
          <w14:textFill>
            <w14:solidFill>
              <w14:schemeClr w14:val="tx1"/>
            </w14:solidFill>
          </w14:textFill>
        </w:rPr>
      </w:pPr>
      <w:r/>
      <w:bookmarkStart w:id="1" w:name="_Toc452556580"/>
      <w:r/>
      <w:bookmarkEnd w:id="1"/>
      <w:r/>
      <w:bookmarkStart w:id="2" w:name="_Toc402880657"/>
      <w:r/>
      <w:bookmarkEnd w:id="2"/>
      <w:r/>
      <w:bookmarkStart w:id="3" w:name="_Toc452502315"/>
      <w:r/>
      <w:bookmarkEnd w:id="3"/>
      <w:r/>
      <w:bookmarkStart w:id="4" w:name="_Toc452502327"/>
      <w:r/>
      <w:bookmarkEnd w:id="4"/>
      <w:r/>
      <w:bookmarkStart w:id="5" w:name="_Toc471745860"/>
      <w:r/>
      <w:bookmarkEnd w:id="5"/>
      <w:r/>
      <w:bookmarkStart w:id="6" w:name="_Toc452556773"/>
      <w:r/>
      <w:bookmarkEnd w:id="6"/>
      <w:r/>
      <w:bookmarkStart w:id="7" w:name="_Toc452556737"/>
      <w:r/>
      <w:bookmarkEnd w:id="7"/>
      <w:r/>
      <w:bookmarkStart w:id="8" w:name="_Toc471744106"/>
      <w:r/>
      <w:bookmarkEnd w:id="8"/>
      <w:r/>
      <w:bookmarkStart w:id="9" w:name="_Toc388279016"/>
      <w:r/>
      <w:bookmarkEnd w:id="9"/>
      <w:r/>
      <w:bookmarkStart w:id="10" w:name="_Toc452556817"/>
      <w:r/>
      <w:bookmarkEnd w:id="10"/>
      <w:r/>
      <w:bookmarkStart w:id="11" w:name="_Toc452502516"/>
      <w:r/>
      <w:bookmarkEnd w:id="11"/>
      <w:r/>
      <w:bookmarkStart w:id="12" w:name="_Toc452556733"/>
      <w:r/>
      <w:bookmarkEnd w:id="12"/>
      <w:r/>
      <w:bookmarkStart w:id="13" w:name="_Toc452556647"/>
      <w:r/>
      <w:bookmarkEnd w:id="13"/>
      <w:r/>
      <w:bookmarkStart w:id="14" w:name="_Toc452556623"/>
      <w:r/>
      <w:bookmarkEnd w:id="14"/>
      <w:r/>
      <w:bookmarkStart w:id="15" w:name="_Toc452502499"/>
      <w:r/>
      <w:bookmarkEnd w:id="15"/>
      <w:r/>
      <w:bookmarkStart w:id="16" w:name="_Toc452556696"/>
      <w:r/>
      <w:bookmarkEnd w:id="16"/>
      <w:r/>
      <w:bookmarkStart w:id="17" w:name="_Toc402880649"/>
      <w:r/>
      <w:bookmarkEnd w:id="17"/>
      <w:r/>
      <w:bookmarkStart w:id="18" w:name="_Toc452502460"/>
      <w:r/>
      <w:bookmarkEnd w:id="18"/>
      <w:r/>
      <w:bookmarkStart w:id="19" w:name="_Toc452502369"/>
      <w:r/>
      <w:bookmarkEnd w:id="19"/>
      <w:r/>
      <w:bookmarkStart w:id="20" w:name="_Toc443332026"/>
      <w:r/>
      <w:bookmarkEnd w:id="20"/>
      <w:r/>
      <w:bookmarkStart w:id="21" w:name="_Toc452556605"/>
      <w:r/>
      <w:bookmarkEnd w:id="21"/>
      <w:r/>
      <w:bookmarkStart w:id="22" w:name="_Toc452556592"/>
      <w:r/>
      <w:bookmarkEnd w:id="22"/>
      <w:r/>
      <w:bookmarkStart w:id="23" w:name="_Toc452502371"/>
      <w:r/>
      <w:bookmarkEnd w:id="23"/>
      <w:r/>
      <w:bookmarkStart w:id="24" w:name="_Toc452502386"/>
      <w:r/>
      <w:bookmarkEnd w:id="24"/>
      <w:r/>
      <w:bookmarkStart w:id="25" w:name="_Toc452502404"/>
      <w:r/>
      <w:bookmarkEnd w:id="25"/>
      <w:r/>
      <w:bookmarkStart w:id="26" w:name="_Toc452502570"/>
      <w:r/>
      <w:bookmarkEnd w:id="26"/>
      <w:r/>
      <w:bookmarkStart w:id="27" w:name="_Toc452556508"/>
      <w:r/>
      <w:bookmarkEnd w:id="27"/>
      <w:r/>
      <w:bookmarkStart w:id="28" w:name="_Toc452556545"/>
      <w:r/>
      <w:bookmarkEnd w:id="28"/>
      <w:r/>
      <w:bookmarkStart w:id="29" w:name="_Toc452556638"/>
      <w:r/>
      <w:bookmarkEnd w:id="29"/>
      <w:r/>
      <w:bookmarkStart w:id="30" w:name="_Toc452502346"/>
      <w:r/>
      <w:bookmarkEnd w:id="30"/>
      <w:r/>
      <w:bookmarkStart w:id="31" w:name="_Toc388279024"/>
      <w:r/>
      <w:bookmarkEnd w:id="31"/>
      <w:r/>
      <w:bookmarkStart w:id="32" w:name="_Toc452502530"/>
      <w:r/>
      <w:bookmarkEnd w:id="32"/>
      <w:r/>
      <w:bookmarkStart w:id="33" w:name="_Toc452556591"/>
      <w:r/>
      <w:bookmarkEnd w:id="33"/>
      <w:r/>
      <w:bookmarkStart w:id="34" w:name="_Toc402880624"/>
      <w:r/>
      <w:bookmarkEnd w:id="34"/>
      <w:r/>
      <w:bookmarkStart w:id="35" w:name="_Toc402880613"/>
      <w:r/>
      <w:bookmarkEnd w:id="35"/>
      <w:r/>
      <w:bookmarkStart w:id="36" w:name="_Toc452556635"/>
      <w:r/>
      <w:bookmarkEnd w:id="36"/>
      <w:r/>
      <w:bookmarkStart w:id="37" w:name="_Toc452502512"/>
      <w:r/>
      <w:bookmarkEnd w:id="37"/>
      <w:r/>
      <w:bookmarkStart w:id="38" w:name="_Toc452556713"/>
      <w:r/>
      <w:bookmarkEnd w:id="38"/>
      <w:r/>
      <w:bookmarkStart w:id="39" w:name="_Toc452502407"/>
      <w:r/>
      <w:bookmarkEnd w:id="39"/>
      <w:r/>
      <w:bookmarkStart w:id="40" w:name="_Toc443332033"/>
      <w:r/>
      <w:bookmarkEnd w:id="40"/>
      <w:r/>
      <w:bookmarkStart w:id="41" w:name="_Toc452556807"/>
      <w:r/>
      <w:bookmarkEnd w:id="41"/>
      <w:r/>
      <w:bookmarkStart w:id="42" w:name="_Toc381963373"/>
      <w:r/>
      <w:bookmarkEnd w:id="42"/>
      <w:r/>
      <w:bookmarkStart w:id="43" w:name="_Toc471745362"/>
      <w:r/>
      <w:bookmarkEnd w:id="43"/>
      <w:r/>
      <w:bookmarkStart w:id="44" w:name="_Toc452556556"/>
      <w:r/>
      <w:bookmarkEnd w:id="44"/>
      <w:r/>
      <w:bookmarkStart w:id="45" w:name="_Toc402880642"/>
      <w:r/>
      <w:bookmarkEnd w:id="45"/>
      <w:r/>
      <w:bookmarkStart w:id="46" w:name="_Toc452502572"/>
      <w:r/>
      <w:bookmarkEnd w:id="46"/>
      <w:r/>
      <w:bookmarkStart w:id="47" w:name="_Toc402880692"/>
      <w:r/>
      <w:bookmarkEnd w:id="47"/>
      <w:r/>
      <w:bookmarkStart w:id="48" w:name="_Toc471741424"/>
      <w:r/>
      <w:bookmarkEnd w:id="48"/>
      <w:r/>
      <w:bookmarkStart w:id="49" w:name="_Toc452556821"/>
      <w:r/>
      <w:bookmarkEnd w:id="49"/>
      <w:r/>
      <w:bookmarkStart w:id="50" w:name="_Toc452502548"/>
      <w:r/>
      <w:bookmarkEnd w:id="50"/>
      <w:r/>
      <w:bookmarkStart w:id="51" w:name="_Toc452502464"/>
      <w:r/>
      <w:bookmarkEnd w:id="51"/>
      <w:r/>
      <w:bookmarkStart w:id="52" w:name="_Toc452502348"/>
      <w:r/>
      <w:bookmarkEnd w:id="52"/>
      <w:r/>
      <w:bookmarkStart w:id="53" w:name="_Toc452502352"/>
      <w:r/>
      <w:bookmarkEnd w:id="53"/>
      <w:r/>
      <w:bookmarkStart w:id="54" w:name="_Toc452502545"/>
      <w:r/>
      <w:bookmarkEnd w:id="54"/>
      <w:r/>
      <w:bookmarkStart w:id="55" w:name="_Toc452556681"/>
      <w:r/>
      <w:bookmarkEnd w:id="55"/>
      <w:r/>
      <w:bookmarkStart w:id="56" w:name="_Toc452502467"/>
      <w:r/>
      <w:bookmarkEnd w:id="56"/>
      <w:r/>
      <w:bookmarkStart w:id="57" w:name="_Toc452556639"/>
      <w:r/>
      <w:bookmarkEnd w:id="57"/>
      <w:r/>
      <w:bookmarkStart w:id="58" w:name="_Toc452502444"/>
      <w:r/>
      <w:bookmarkEnd w:id="58"/>
      <w:r/>
      <w:bookmarkStart w:id="59" w:name="_Toc471745864"/>
      <w:r/>
      <w:bookmarkEnd w:id="59"/>
      <w:r/>
      <w:bookmarkStart w:id="60" w:name="_Toc402880673"/>
      <w:r/>
      <w:bookmarkEnd w:id="60"/>
      <w:r/>
      <w:bookmarkStart w:id="61" w:name="_Toc452556698"/>
      <w:r/>
      <w:bookmarkEnd w:id="61"/>
      <w:r/>
      <w:bookmarkStart w:id="62" w:name="_Toc452502359"/>
      <w:r/>
      <w:bookmarkEnd w:id="62"/>
      <w:r/>
      <w:bookmarkStart w:id="63" w:name="_Toc452502452"/>
      <w:r/>
      <w:bookmarkEnd w:id="63"/>
      <w:r/>
      <w:bookmarkStart w:id="64" w:name="_Toc452502496"/>
      <w:r/>
      <w:bookmarkEnd w:id="64"/>
      <w:r/>
      <w:bookmarkStart w:id="65" w:name="_Toc452556577"/>
      <w:r/>
      <w:bookmarkEnd w:id="65"/>
      <w:r/>
      <w:bookmarkStart w:id="66" w:name="_Toc402880661"/>
      <w:r/>
      <w:bookmarkEnd w:id="66"/>
      <w:r/>
      <w:bookmarkStart w:id="67" w:name="_Toc452502532"/>
      <w:r/>
      <w:bookmarkEnd w:id="67"/>
      <w:r/>
      <w:bookmarkStart w:id="68" w:name="_Toc402880621"/>
      <w:r/>
      <w:bookmarkEnd w:id="68"/>
      <w:r/>
      <w:bookmarkStart w:id="69" w:name="_Toc452556826"/>
      <w:r/>
      <w:bookmarkEnd w:id="69"/>
      <w:r/>
      <w:bookmarkStart w:id="70" w:name="_Toc381964102"/>
      <w:r/>
      <w:bookmarkEnd w:id="70"/>
      <w:r/>
      <w:bookmarkStart w:id="71" w:name="_Toc452502504"/>
      <w:r/>
      <w:bookmarkEnd w:id="71"/>
      <w:r/>
      <w:bookmarkStart w:id="72" w:name="_Toc452502487"/>
      <w:r/>
      <w:bookmarkEnd w:id="72"/>
      <w:r/>
      <w:bookmarkStart w:id="73" w:name="_Toc452502379"/>
      <w:r/>
      <w:bookmarkEnd w:id="73"/>
      <w:r/>
      <w:bookmarkStart w:id="74" w:name="_Toc452502550"/>
      <w:r/>
      <w:bookmarkEnd w:id="74"/>
      <w:r/>
      <w:bookmarkStart w:id="75" w:name="_Toc452502482"/>
      <w:r/>
      <w:bookmarkEnd w:id="75"/>
      <w:r/>
      <w:bookmarkStart w:id="76" w:name="_Toc402880687"/>
      <w:r/>
      <w:bookmarkEnd w:id="76"/>
      <w:r/>
      <w:bookmarkStart w:id="77" w:name="_Toc452556569"/>
      <w:r/>
      <w:bookmarkEnd w:id="77"/>
      <w:r/>
      <w:bookmarkStart w:id="78" w:name="_Toc471739946"/>
      <w:r/>
      <w:bookmarkEnd w:id="78"/>
      <w:r/>
      <w:bookmarkStart w:id="79" w:name="_Toc452556693"/>
      <w:r/>
      <w:bookmarkEnd w:id="79"/>
      <w:r/>
      <w:bookmarkStart w:id="80" w:name="_Toc452556548"/>
      <w:r/>
      <w:bookmarkEnd w:id="80"/>
      <w:r/>
      <w:bookmarkStart w:id="81" w:name="_Toc452502011"/>
      <w:r/>
      <w:bookmarkEnd w:id="81"/>
      <w:r/>
      <w:bookmarkStart w:id="82" w:name="_Toc452556818"/>
      <w:r/>
      <w:bookmarkEnd w:id="82"/>
      <w:r/>
      <w:bookmarkStart w:id="83" w:name="_Toc452556692"/>
      <w:r/>
      <w:bookmarkEnd w:id="83"/>
      <w:r/>
      <w:bookmarkStart w:id="84" w:name="_Toc452556645"/>
      <w:r/>
      <w:bookmarkEnd w:id="84"/>
      <w:r/>
      <w:bookmarkStart w:id="85" w:name="_Toc452502366"/>
      <w:r/>
      <w:bookmarkEnd w:id="85"/>
      <w:r/>
      <w:bookmarkStart w:id="86" w:name="_Toc471740285"/>
      <w:r/>
      <w:bookmarkEnd w:id="86"/>
      <w:r/>
      <w:bookmarkStart w:id="87" w:name="_Toc402880609"/>
      <w:r/>
      <w:bookmarkEnd w:id="87"/>
      <w:r/>
      <w:bookmarkStart w:id="88" w:name="_Toc452502457"/>
      <w:r/>
      <w:bookmarkEnd w:id="88"/>
      <w:r/>
      <w:bookmarkStart w:id="89" w:name="_Toc452502328"/>
      <w:r/>
      <w:bookmarkEnd w:id="89"/>
      <w:r/>
      <w:bookmarkStart w:id="90" w:name="_Toc452502434"/>
      <w:r/>
      <w:bookmarkEnd w:id="90"/>
      <w:r/>
      <w:bookmarkStart w:id="91" w:name="_Toc452502448"/>
      <w:r/>
      <w:bookmarkEnd w:id="91"/>
      <w:r/>
      <w:bookmarkStart w:id="92" w:name="_Toc402880626"/>
      <w:r/>
      <w:bookmarkEnd w:id="92"/>
      <w:r/>
      <w:bookmarkStart w:id="93" w:name="_Toc452502476"/>
      <w:r/>
      <w:bookmarkEnd w:id="93"/>
      <w:r/>
      <w:bookmarkStart w:id="94" w:name="_Toc452502449"/>
      <w:r/>
      <w:bookmarkEnd w:id="94"/>
      <w:r/>
      <w:bookmarkStart w:id="95" w:name="_Toc452556669"/>
      <w:r/>
      <w:bookmarkEnd w:id="95"/>
      <w:r/>
      <w:bookmarkStart w:id="96" w:name="_Toc452556598"/>
      <w:r/>
      <w:bookmarkEnd w:id="96"/>
      <w:r/>
      <w:bookmarkStart w:id="97" w:name="_Toc452502355"/>
      <w:r/>
      <w:bookmarkEnd w:id="97"/>
      <w:r/>
      <w:bookmarkStart w:id="98" w:name="_Toc452556584"/>
      <w:r/>
      <w:bookmarkEnd w:id="98"/>
      <w:r/>
      <w:bookmarkStart w:id="99" w:name="_Toc402880689"/>
      <w:r/>
      <w:bookmarkEnd w:id="99"/>
      <w:r/>
      <w:bookmarkStart w:id="100" w:name="_Toc452556583"/>
      <w:r/>
      <w:bookmarkEnd w:id="100"/>
      <w:r/>
      <w:bookmarkStart w:id="101" w:name="_Toc452556535"/>
      <w:r/>
      <w:bookmarkEnd w:id="101"/>
      <w:r/>
      <w:bookmarkStart w:id="102" w:name="_Toc471745866"/>
      <w:r/>
      <w:bookmarkEnd w:id="102"/>
      <w:r/>
      <w:bookmarkStart w:id="103" w:name="_Toc452556668"/>
      <w:r/>
      <w:bookmarkEnd w:id="103"/>
      <w:r/>
      <w:bookmarkStart w:id="104" w:name="_Toc471744107"/>
      <w:r/>
      <w:bookmarkEnd w:id="104"/>
      <w:r/>
      <w:bookmarkStart w:id="105" w:name="_Toc452556804"/>
      <w:r/>
      <w:bookmarkEnd w:id="105"/>
      <w:r/>
      <w:bookmarkStart w:id="106" w:name="_Toc452556629"/>
      <w:r/>
      <w:bookmarkEnd w:id="106"/>
      <w:r/>
      <w:bookmarkStart w:id="107" w:name="_Toc452556697"/>
      <w:r/>
      <w:bookmarkEnd w:id="107"/>
      <w:r/>
      <w:bookmarkStart w:id="108" w:name="_Toc452556761"/>
      <w:r/>
      <w:bookmarkEnd w:id="108"/>
      <w:r/>
      <w:bookmarkStart w:id="109" w:name="_Toc452556809"/>
      <w:r/>
      <w:bookmarkEnd w:id="109"/>
      <w:r/>
      <w:bookmarkStart w:id="110" w:name="_Toc452502405"/>
      <w:r/>
      <w:bookmarkEnd w:id="110"/>
      <w:r/>
      <w:bookmarkStart w:id="111" w:name="_Toc402880652"/>
      <w:r/>
      <w:bookmarkEnd w:id="111"/>
      <w:r/>
      <w:bookmarkStart w:id="112" w:name="_Toc452556570"/>
      <w:r/>
      <w:bookmarkEnd w:id="112"/>
      <w:r/>
      <w:bookmarkStart w:id="113" w:name="_Toc471745868"/>
      <w:r/>
      <w:bookmarkEnd w:id="113"/>
      <w:r/>
      <w:bookmarkStart w:id="114" w:name="_Toc452556567"/>
      <w:r/>
      <w:bookmarkEnd w:id="114"/>
      <w:r/>
      <w:bookmarkStart w:id="115" w:name="_Toc452502489"/>
      <w:r/>
      <w:bookmarkEnd w:id="115"/>
      <w:r/>
      <w:bookmarkStart w:id="116" w:name="_Toc452556700"/>
      <w:r/>
      <w:bookmarkEnd w:id="116"/>
      <w:r/>
      <w:bookmarkStart w:id="117" w:name="_Toc452502537"/>
      <w:r/>
      <w:bookmarkEnd w:id="117"/>
      <w:r/>
      <w:bookmarkStart w:id="118" w:name="_Toc471745869"/>
      <w:r/>
      <w:bookmarkEnd w:id="118"/>
      <w:r/>
      <w:bookmarkStart w:id="119" w:name="_Toc452502365"/>
      <w:r/>
      <w:bookmarkEnd w:id="119"/>
      <w:r/>
      <w:bookmarkStart w:id="120" w:name="_Toc471744978"/>
      <w:r/>
      <w:bookmarkEnd w:id="120"/>
      <w:r/>
      <w:bookmarkStart w:id="121" w:name="_Toc452556560"/>
      <w:r/>
      <w:bookmarkEnd w:id="121"/>
      <w:r/>
      <w:bookmarkStart w:id="122" w:name="_Toc452556657"/>
      <w:r/>
      <w:bookmarkEnd w:id="122"/>
      <w:r/>
      <w:bookmarkStart w:id="123" w:name="_Toc452502408"/>
      <w:r/>
      <w:bookmarkEnd w:id="123"/>
      <w:r/>
      <w:bookmarkStart w:id="124" w:name="_Toc402880656"/>
      <w:r/>
      <w:bookmarkEnd w:id="124"/>
      <w:r/>
      <w:bookmarkStart w:id="125" w:name="_Toc452556712"/>
      <w:r/>
      <w:bookmarkEnd w:id="125"/>
      <w:r/>
      <w:bookmarkStart w:id="126" w:name="_Toc452502447"/>
      <w:r/>
      <w:bookmarkEnd w:id="126"/>
      <w:r/>
      <w:bookmarkStart w:id="127" w:name="_Toc400913978"/>
      <w:r/>
      <w:bookmarkEnd w:id="127"/>
      <w:r/>
      <w:bookmarkStart w:id="128" w:name="_Toc452502345"/>
      <w:r/>
      <w:bookmarkEnd w:id="128"/>
      <w:r/>
      <w:bookmarkStart w:id="129" w:name="_Toc452556519"/>
      <w:r/>
      <w:bookmarkEnd w:id="129"/>
      <w:r/>
      <w:bookmarkStart w:id="130" w:name="_Toc452556690"/>
      <w:r/>
      <w:bookmarkEnd w:id="130"/>
      <w:r/>
      <w:bookmarkStart w:id="131" w:name="_Toc452502471"/>
      <w:r/>
      <w:bookmarkEnd w:id="131"/>
      <w:r/>
      <w:bookmarkStart w:id="132" w:name="_Toc452556586"/>
      <w:r/>
      <w:bookmarkEnd w:id="132"/>
      <w:r/>
      <w:bookmarkStart w:id="133" w:name="_Toc402880685"/>
      <w:r/>
      <w:bookmarkEnd w:id="133"/>
      <w:r/>
      <w:bookmarkStart w:id="134" w:name="_Toc400913980"/>
      <w:r/>
      <w:bookmarkEnd w:id="134"/>
      <w:r/>
      <w:bookmarkStart w:id="135" w:name="_Toc452502468"/>
      <w:r/>
      <w:bookmarkEnd w:id="135"/>
      <w:r/>
      <w:bookmarkStart w:id="136" w:name="_Toc402880628"/>
      <w:r/>
      <w:bookmarkEnd w:id="136"/>
      <w:r/>
      <w:bookmarkStart w:id="137" w:name="_Toc402880645"/>
      <w:r/>
      <w:bookmarkEnd w:id="137"/>
      <w:r/>
      <w:bookmarkStart w:id="138" w:name="_Toc452556571"/>
      <w:r/>
      <w:bookmarkEnd w:id="138"/>
      <w:r/>
      <w:bookmarkStart w:id="139" w:name="_Toc471745359"/>
      <w:r/>
      <w:bookmarkEnd w:id="139"/>
      <w:r/>
      <w:bookmarkStart w:id="140" w:name="_Toc402880643"/>
      <w:r/>
      <w:bookmarkEnd w:id="140"/>
      <w:r/>
      <w:bookmarkStart w:id="141" w:name="_Toc452502536"/>
      <w:r/>
      <w:bookmarkEnd w:id="141"/>
      <w:r/>
      <w:bookmarkStart w:id="142" w:name="_Toc452556784"/>
      <w:r/>
      <w:bookmarkEnd w:id="142"/>
      <w:r/>
      <w:bookmarkStart w:id="143" w:name="_Toc402880695"/>
      <w:r/>
      <w:bookmarkEnd w:id="143"/>
      <w:r/>
      <w:bookmarkStart w:id="144" w:name="_Toc452502310"/>
      <w:r/>
      <w:bookmarkEnd w:id="144"/>
      <w:r/>
      <w:bookmarkStart w:id="145" w:name="_Toc452556538"/>
      <w:r/>
      <w:bookmarkEnd w:id="145"/>
      <w:r/>
      <w:bookmarkStart w:id="146" w:name="_Toc452502374"/>
      <w:r/>
      <w:bookmarkEnd w:id="146"/>
      <w:r/>
      <w:bookmarkStart w:id="147" w:name="_Toc452556769"/>
      <w:r/>
      <w:bookmarkEnd w:id="147"/>
      <w:r/>
      <w:bookmarkStart w:id="148" w:name="_Toc452502316"/>
      <w:r/>
      <w:bookmarkEnd w:id="148"/>
      <w:r/>
      <w:bookmarkStart w:id="149" w:name="_Toc402880696"/>
      <w:r/>
      <w:bookmarkEnd w:id="149"/>
      <w:r/>
      <w:bookmarkStart w:id="150" w:name="_Toc402880670"/>
      <w:r/>
      <w:bookmarkEnd w:id="150"/>
      <w:r/>
      <w:bookmarkStart w:id="151" w:name="_Toc381963376"/>
      <w:r/>
      <w:bookmarkEnd w:id="151"/>
      <w:r/>
      <w:bookmarkStart w:id="152" w:name="_Toc452502558"/>
      <w:r/>
      <w:bookmarkEnd w:id="152"/>
      <w:r/>
      <w:bookmarkStart w:id="153" w:name="_Toc452502458"/>
      <w:r/>
      <w:bookmarkEnd w:id="153"/>
      <w:r/>
      <w:bookmarkStart w:id="154" w:name="_Toc452502330"/>
      <w:r/>
      <w:bookmarkEnd w:id="154"/>
      <w:r/>
      <w:bookmarkStart w:id="155" w:name="_Toc471745867"/>
      <w:r/>
      <w:bookmarkEnd w:id="155"/>
      <w:r/>
      <w:bookmarkStart w:id="156" w:name="_Toc452502383"/>
      <w:r/>
      <w:bookmarkEnd w:id="156"/>
      <w:r/>
      <w:bookmarkStart w:id="157" w:name="_Toc402880677"/>
      <w:r/>
      <w:bookmarkEnd w:id="157"/>
      <w:r/>
      <w:bookmarkStart w:id="158" w:name="_Toc452556514"/>
      <w:r/>
      <w:bookmarkEnd w:id="158"/>
      <w:r/>
      <w:bookmarkStart w:id="159" w:name="_Toc452502450"/>
      <w:r/>
      <w:bookmarkEnd w:id="159"/>
      <w:r/>
      <w:bookmarkStart w:id="160" w:name="_Toc452502453"/>
      <w:r/>
      <w:bookmarkEnd w:id="160"/>
      <w:r/>
      <w:bookmarkStart w:id="161" w:name="_Toc452502398"/>
      <w:r/>
      <w:bookmarkEnd w:id="161"/>
      <w:r/>
      <w:bookmarkStart w:id="162" w:name="_Toc452556791"/>
      <w:r/>
      <w:bookmarkEnd w:id="162"/>
      <w:r/>
      <w:bookmarkStart w:id="163" w:name="_Toc402880606"/>
      <w:r/>
      <w:bookmarkEnd w:id="163"/>
      <w:r/>
      <w:bookmarkStart w:id="164" w:name="_Toc452556787"/>
      <w:r/>
      <w:bookmarkEnd w:id="164"/>
      <w:r/>
      <w:bookmarkStart w:id="165" w:name="_Toc452502399"/>
      <w:r/>
      <w:bookmarkEnd w:id="165"/>
      <w:r/>
      <w:bookmarkStart w:id="166" w:name="_Toc452502495"/>
      <w:r/>
      <w:bookmarkEnd w:id="166"/>
      <w:r/>
      <w:bookmarkStart w:id="167" w:name="_Toc452556714"/>
      <w:r/>
      <w:bookmarkEnd w:id="167"/>
      <w:r/>
      <w:bookmarkStart w:id="168" w:name="_Toc471744484"/>
      <w:r/>
      <w:bookmarkEnd w:id="168"/>
      <w:r/>
      <w:bookmarkStart w:id="169" w:name="_Toc452502424"/>
      <w:r/>
      <w:bookmarkEnd w:id="169"/>
      <w:r/>
      <w:bookmarkStart w:id="170" w:name="_Toc452502417"/>
      <w:r/>
      <w:bookmarkEnd w:id="170"/>
      <w:r/>
      <w:bookmarkStart w:id="171" w:name="_Toc471743615"/>
      <w:r/>
      <w:bookmarkEnd w:id="171"/>
      <w:r/>
      <w:bookmarkStart w:id="172" w:name="_Toc452556654"/>
      <w:r/>
      <w:bookmarkEnd w:id="172"/>
      <w:r/>
      <w:bookmarkStart w:id="173" w:name="_Toc452502333"/>
      <w:r/>
      <w:bookmarkEnd w:id="173"/>
      <w:r/>
      <w:bookmarkStart w:id="174" w:name="_Toc452556770"/>
      <w:r/>
      <w:bookmarkEnd w:id="174"/>
      <w:r/>
      <w:bookmarkStart w:id="175" w:name="_Toc452556661"/>
      <w:r/>
      <w:bookmarkEnd w:id="175"/>
      <w:r/>
      <w:bookmarkStart w:id="176" w:name="_Toc452556637"/>
      <w:r/>
      <w:bookmarkEnd w:id="176"/>
      <w:r/>
      <w:bookmarkStart w:id="177" w:name="_Toc452502358"/>
      <w:r/>
      <w:bookmarkEnd w:id="177"/>
      <w:r/>
      <w:bookmarkStart w:id="178" w:name="_Toc452502485"/>
      <w:r/>
      <w:bookmarkEnd w:id="178"/>
      <w:r/>
      <w:bookmarkStart w:id="179" w:name="_Toc471740776"/>
      <w:r/>
      <w:bookmarkEnd w:id="179"/>
      <w:r/>
      <w:bookmarkStart w:id="180" w:name="_Toc452556619"/>
      <w:r/>
      <w:bookmarkEnd w:id="180"/>
      <w:r/>
      <w:bookmarkStart w:id="181" w:name="_Toc402880675"/>
      <w:r/>
      <w:bookmarkEnd w:id="181"/>
      <w:r/>
      <w:bookmarkStart w:id="182" w:name="_Toc452502524"/>
      <w:r/>
      <w:bookmarkEnd w:id="182"/>
      <w:r/>
      <w:bookmarkStart w:id="183" w:name="_Toc452502543"/>
      <w:r/>
      <w:bookmarkEnd w:id="183"/>
      <w:r/>
      <w:bookmarkStart w:id="184" w:name="_Toc452556740"/>
      <w:r/>
      <w:bookmarkEnd w:id="184"/>
      <w:r/>
      <w:bookmarkStart w:id="185" w:name="_Toc471745358"/>
      <w:r/>
      <w:bookmarkEnd w:id="185"/>
      <w:r/>
      <w:bookmarkStart w:id="186" w:name="_Toc452556781"/>
      <w:r/>
      <w:bookmarkEnd w:id="186"/>
      <w:r/>
      <w:bookmarkStart w:id="187" w:name="_Toc452502533"/>
      <w:r/>
      <w:bookmarkEnd w:id="187"/>
      <w:r/>
      <w:bookmarkStart w:id="188" w:name="_Toc452502470"/>
      <w:r/>
      <w:bookmarkEnd w:id="188"/>
      <w:r/>
      <w:bookmarkStart w:id="189" w:name="_Toc452502563"/>
      <w:r/>
      <w:bookmarkEnd w:id="189"/>
      <w:r/>
      <w:bookmarkStart w:id="190" w:name="_Toc452502387"/>
      <w:r/>
      <w:bookmarkEnd w:id="190"/>
      <w:r/>
      <w:bookmarkStart w:id="191" w:name="_Toc452502362"/>
      <w:r/>
      <w:bookmarkEnd w:id="191"/>
      <w:r/>
      <w:bookmarkStart w:id="192" w:name="_Toc471745873"/>
      <w:r/>
      <w:bookmarkEnd w:id="192"/>
      <w:r/>
      <w:bookmarkStart w:id="193" w:name="_Toc443332016"/>
      <w:r/>
      <w:bookmarkEnd w:id="193"/>
      <w:r/>
      <w:bookmarkStart w:id="194" w:name="_Toc452556686"/>
      <w:r/>
      <w:bookmarkEnd w:id="194"/>
      <w:r/>
      <w:bookmarkStart w:id="195" w:name="_Toc452502370"/>
      <w:r/>
      <w:bookmarkEnd w:id="195"/>
      <w:r/>
      <w:bookmarkStart w:id="196" w:name="_Toc452556806"/>
      <w:r/>
      <w:bookmarkEnd w:id="196"/>
      <w:r/>
      <w:bookmarkStart w:id="197" w:name="_Toc452556658"/>
      <w:r/>
      <w:bookmarkEnd w:id="197"/>
      <w:r/>
      <w:bookmarkStart w:id="198" w:name="_Toc402880630"/>
      <w:r/>
      <w:bookmarkEnd w:id="198"/>
      <w:r/>
      <w:bookmarkStart w:id="199" w:name="_Toc452556708"/>
      <w:r/>
      <w:bookmarkEnd w:id="199"/>
      <w:r/>
      <w:bookmarkStart w:id="200" w:name="_Toc452502535"/>
      <w:r/>
      <w:bookmarkEnd w:id="200"/>
      <w:r/>
      <w:bookmarkStart w:id="201" w:name="_Toc452502353"/>
      <w:r/>
      <w:bookmarkEnd w:id="201"/>
      <w:r/>
      <w:bookmarkStart w:id="202" w:name="_Toc452502568"/>
      <w:r/>
      <w:bookmarkEnd w:id="202"/>
      <w:r/>
      <w:bookmarkStart w:id="203" w:name="_Toc452502438"/>
      <w:r/>
      <w:bookmarkEnd w:id="203"/>
      <w:r/>
      <w:bookmarkStart w:id="204" w:name="_Toc452556641"/>
      <w:r/>
      <w:bookmarkEnd w:id="204"/>
      <w:r/>
      <w:bookmarkStart w:id="205" w:name="_Toc452502422"/>
      <w:r/>
      <w:bookmarkEnd w:id="205"/>
      <w:r/>
      <w:bookmarkStart w:id="206" w:name="_Toc452556537"/>
      <w:r/>
      <w:bookmarkEnd w:id="206"/>
      <w:r/>
      <w:bookmarkStart w:id="207" w:name="_Toc452502394"/>
      <w:r/>
      <w:bookmarkEnd w:id="207"/>
      <w:r/>
      <w:bookmarkStart w:id="208" w:name="_Toc452502411"/>
      <w:r/>
      <w:bookmarkEnd w:id="208"/>
      <w:r/>
      <w:bookmarkStart w:id="209" w:name="_Toc452556810"/>
      <w:r/>
      <w:bookmarkEnd w:id="209"/>
      <w:r/>
      <w:bookmarkStart w:id="210" w:name="_Toc381963374"/>
      <w:r/>
      <w:bookmarkEnd w:id="210"/>
      <w:r/>
      <w:bookmarkStart w:id="211" w:name="_Toc402880637"/>
      <w:r/>
      <w:bookmarkEnd w:id="211"/>
      <w:r/>
      <w:bookmarkStart w:id="212" w:name="_Toc452502430"/>
      <w:r/>
      <w:bookmarkEnd w:id="212"/>
      <w:r/>
      <w:bookmarkStart w:id="213" w:name="_Toc402880608"/>
      <w:r/>
      <w:bookmarkEnd w:id="213"/>
      <w:r/>
      <w:bookmarkStart w:id="214" w:name="_Toc452556756"/>
      <w:r/>
      <w:bookmarkEnd w:id="214"/>
      <w:r/>
      <w:bookmarkStart w:id="215" w:name="_Toc402880691"/>
      <w:r/>
      <w:bookmarkEnd w:id="215"/>
      <w:r/>
      <w:bookmarkStart w:id="216" w:name="_Toc452502493"/>
      <w:r/>
      <w:bookmarkEnd w:id="216"/>
      <w:r/>
      <w:bookmarkStart w:id="217" w:name="_Toc452556644"/>
      <w:r/>
      <w:bookmarkEnd w:id="217"/>
      <w:r/>
      <w:bookmarkStart w:id="218" w:name="_Toc452502337"/>
      <w:r/>
      <w:bookmarkEnd w:id="218"/>
      <w:r/>
      <w:bookmarkStart w:id="219" w:name="_Toc452502363"/>
      <w:r/>
      <w:bookmarkEnd w:id="219"/>
      <w:r/>
      <w:bookmarkStart w:id="220" w:name="_Toc443332018"/>
      <w:r/>
      <w:bookmarkEnd w:id="220"/>
      <w:r/>
      <w:bookmarkStart w:id="221" w:name="_Toc452556801"/>
      <w:r/>
      <w:bookmarkEnd w:id="221"/>
      <w:r/>
      <w:bookmarkStart w:id="222" w:name="_Toc452502557"/>
      <w:r/>
      <w:bookmarkEnd w:id="222"/>
      <w:r/>
      <w:bookmarkStart w:id="223" w:name="_Toc402880644"/>
      <w:r/>
      <w:bookmarkEnd w:id="223"/>
      <w:r/>
      <w:bookmarkStart w:id="224" w:name="_Toc452556767"/>
      <w:r/>
      <w:bookmarkEnd w:id="224"/>
      <w:r/>
      <w:bookmarkStart w:id="225" w:name="_Toc452556600"/>
      <w:r/>
      <w:bookmarkEnd w:id="225"/>
      <w:r/>
      <w:bookmarkStart w:id="226" w:name="_Toc452556792"/>
      <w:r/>
      <w:bookmarkEnd w:id="226"/>
      <w:r/>
      <w:bookmarkStart w:id="227" w:name="_Toc402880669"/>
      <w:r/>
      <w:bookmarkEnd w:id="227"/>
      <w:r/>
      <w:bookmarkStart w:id="228" w:name="_Toc452502542"/>
      <w:r/>
      <w:bookmarkEnd w:id="228"/>
      <w:r/>
      <w:bookmarkStart w:id="229" w:name="_Toc452556794"/>
      <w:r/>
      <w:bookmarkEnd w:id="229"/>
      <w:r/>
      <w:bookmarkStart w:id="230" w:name="_Toc452556506"/>
      <w:r/>
      <w:bookmarkEnd w:id="230"/>
      <w:r/>
      <w:bookmarkStart w:id="231" w:name="_Toc452556704"/>
      <w:r/>
      <w:bookmarkEnd w:id="231"/>
      <w:r/>
      <w:bookmarkStart w:id="232" w:name="_Toc452556677"/>
      <w:r/>
      <w:bookmarkEnd w:id="232"/>
      <w:r/>
      <w:bookmarkStart w:id="233" w:name="_Toc452556716"/>
      <w:r/>
      <w:bookmarkEnd w:id="233"/>
      <w:r/>
      <w:bookmarkStart w:id="234" w:name="_Toc452556702"/>
      <w:r/>
      <w:bookmarkEnd w:id="234"/>
      <w:r/>
      <w:bookmarkStart w:id="235" w:name="_Toc471739945"/>
      <w:r/>
      <w:bookmarkEnd w:id="235"/>
      <w:r/>
      <w:bookmarkStart w:id="236" w:name="_Toc452502311"/>
      <w:r/>
      <w:bookmarkEnd w:id="236"/>
      <w:r/>
      <w:bookmarkStart w:id="237" w:name="_Toc402880646"/>
      <w:r/>
      <w:bookmarkEnd w:id="237"/>
      <w:r/>
      <w:bookmarkStart w:id="238" w:name="_Toc471745364"/>
      <w:r/>
      <w:bookmarkEnd w:id="238"/>
      <w:r/>
      <w:bookmarkStart w:id="239" w:name="_Toc452502484"/>
      <w:r/>
      <w:bookmarkEnd w:id="239"/>
      <w:r/>
      <w:bookmarkStart w:id="240" w:name="_Toc452502490"/>
      <w:r/>
      <w:bookmarkEnd w:id="240"/>
      <w:r/>
      <w:bookmarkStart w:id="241" w:name="_Toc471741425"/>
      <w:r/>
      <w:bookmarkEnd w:id="241"/>
      <w:r/>
      <w:bookmarkStart w:id="242" w:name="_Toc388279020"/>
      <w:r/>
      <w:bookmarkEnd w:id="242"/>
      <w:r/>
      <w:bookmarkStart w:id="243" w:name="_Toc452502525"/>
      <w:r/>
      <w:bookmarkEnd w:id="243"/>
      <w:r/>
      <w:bookmarkStart w:id="244" w:name="_Toc452556797"/>
      <w:r/>
      <w:bookmarkEnd w:id="244"/>
      <w:r/>
      <w:bookmarkStart w:id="245" w:name="_Toc471745363"/>
      <w:r/>
      <w:bookmarkEnd w:id="245"/>
      <w:r/>
      <w:bookmarkStart w:id="246" w:name="_Toc471745872"/>
      <w:r/>
      <w:bookmarkEnd w:id="246"/>
      <w:r/>
      <w:bookmarkStart w:id="247" w:name="_Toc402880686"/>
      <w:r/>
      <w:bookmarkEnd w:id="247"/>
      <w:r/>
      <w:bookmarkStart w:id="248" w:name="_Toc452502406"/>
      <w:r/>
      <w:bookmarkEnd w:id="248"/>
      <w:r/>
      <w:bookmarkStart w:id="249" w:name="_Toc452502497"/>
      <w:r/>
      <w:bookmarkEnd w:id="249"/>
      <w:r/>
      <w:bookmarkStart w:id="250" w:name="_Toc452556582"/>
      <w:r/>
      <w:bookmarkEnd w:id="250"/>
      <w:r/>
      <w:bookmarkStart w:id="251" w:name="_Toc452556551"/>
      <w:r/>
      <w:bookmarkEnd w:id="251"/>
      <w:r/>
      <w:bookmarkStart w:id="252" w:name="_Toc452556521"/>
      <w:r/>
      <w:bookmarkEnd w:id="252"/>
      <w:r/>
      <w:bookmarkStart w:id="253" w:name="_Toc452502420"/>
      <w:r/>
      <w:bookmarkEnd w:id="253"/>
      <w:r/>
      <w:bookmarkStart w:id="254" w:name="_Toc452556656"/>
      <w:r/>
      <w:bookmarkEnd w:id="254"/>
      <w:r/>
      <w:bookmarkStart w:id="255" w:name="_Toc452556544"/>
      <w:r/>
      <w:bookmarkEnd w:id="255"/>
      <w:r/>
      <w:bookmarkStart w:id="256" w:name="_Toc452502513"/>
      <w:r/>
      <w:bookmarkEnd w:id="256"/>
      <w:r/>
      <w:bookmarkStart w:id="257" w:name="_Toc452556685"/>
      <w:r/>
      <w:bookmarkEnd w:id="257"/>
      <w:r/>
      <w:bookmarkStart w:id="258" w:name="_Toc452502332"/>
      <w:r/>
      <w:bookmarkEnd w:id="258"/>
      <w:r/>
      <w:bookmarkStart w:id="259" w:name="_Toc452502347"/>
      <w:r/>
      <w:bookmarkEnd w:id="259"/>
      <w:r/>
      <w:bookmarkStart w:id="260" w:name="_Toc452556795"/>
      <w:r/>
      <w:bookmarkEnd w:id="260"/>
      <w:r/>
      <w:bookmarkStart w:id="261" w:name="_Toc452556523"/>
      <w:r/>
      <w:bookmarkEnd w:id="261"/>
      <w:r/>
      <w:bookmarkStart w:id="262" w:name="_Toc402880693"/>
      <w:r/>
      <w:bookmarkEnd w:id="262"/>
      <w:r/>
      <w:bookmarkStart w:id="263" w:name="_Toc452502465"/>
      <w:r/>
      <w:bookmarkEnd w:id="263"/>
      <w:r/>
      <w:bookmarkStart w:id="264" w:name="_Toc452556520"/>
      <w:r/>
      <w:bookmarkEnd w:id="264"/>
      <w:r/>
      <w:bookmarkStart w:id="265" w:name="_Toc452502446"/>
      <w:r/>
      <w:bookmarkEnd w:id="265"/>
      <w:r/>
      <w:bookmarkStart w:id="266" w:name="_Toc452502338"/>
      <w:r/>
      <w:bookmarkEnd w:id="266"/>
      <w:r/>
      <w:bookmarkStart w:id="267" w:name="_Toc402880615"/>
      <w:r/>
      <w:bookmarkEnd w:id="267"/>
      <w:r/>
      <w:bookmarkStart w:id="268" w:name="_Toc452556543"/>
      <w:r/>
      <w:bookmarkEnd w:id="268"/>
      <w:r/>
      <w:bookmarkStart w:id="269" w:name="_Toc452556595"/>
      <w:r/>
      <w:bookmarkEnd w:id="269"/>
      <w:r/>
      <w:bookmarkStart w:id="270" w:name="_Toc452556620"/>
      <w:r/>
      <w:bookmarkEnd w:id="270"/>
      <w:r/>
      <w:bookmarkStart w:id="271" w:name="_Toc443332009"/>
      <w:r/>
      <w:bookmarkEnd w:id="271"/>
      <w:r/>
      <w:bookmarkStart w:id="272" w:name="_Toc452502339"/>
      <w:r/>
      <w:bookmarkEnd w:id="272"/>
      <w:r/>
      <w:bookmarkStart w:id="273" w:name="_Toc452556831"/>
      <w:r/>
      <w:bookmarkEnd w:id="273"/>
      <w:r/>
      <w:bookmarkStart w:id="274" w:name="_Toc452502435"/>
      <w:r/>
      <w:bookmarkEnd w:id="274"/>
      <w:r/>
      <w:bookmarkStart w:id="275" w:name="_Toc452502549"/>
      <w:r/>
      <w:bookmarkEnd w:id="275"/>
      <w:r/>
      <w:bookmarkStart w:id="276" w:name="_Toc452556511"/>
      <w:r/>
      <w:bookmarkEnd w:id="276"/>
      <w:r/>
      <w:bookmarkStart w:id="277" w:name="_Toc443332014"/>
      <w:r/>
      <w:bookmarkEnd w:id="277"/>
      <w:r/>
      <w:bookmarkStart w:id="278" w:name="_Toc452556793"/>
      <w:r/>
      <w:bookmarkEnd w:id="278"/>
      <w:r/>
      <w:bookmarkStart w:id="279" w:name="_Toc402880655"/>
      <w:r/>
      <w:bookmarkEnd w:id="279"/>
      <w:r/>
      <w:bookmarkStart w:id="280" w:name="_Toc452556504"/>
      <w:r/>
      <w:bookmarkEnd w:id="280"/>
      <w:r/>
      <w:bookmarkStart w:id="281" w:name="_Toc452556553"/>
      <w:r/>
      <w:bookmarkEnd w:id="281"/>
      <w:r/>
      <w:bookmarkStart w:id="282" w:name="_Toc452502551"/>
      <w:r/>
      <w:bookmarkEnd w:id="282"/>
      <w:r/>
      <w:bookmarkStart w:id="283" w:name="_Toc452556764"/>
      <w:r/>
      <w:bookmarkEnd w:id="283"/>
      <w:r/>
      <w:bookmarkStart w:id="284" w:name="_Toc400913975"/>
      <w:r/>
      <w:bookmarkEnd w:id="284"/>
      <w:r/>
      <w:bookmarkStart w:id="285" w:name="_Toc381964101"/>
      <w:r/>
      <w:bookmarkEnd w:id="285"/>
      <w:r/>
      <w:bookmarkStart w:id="286" w:name="_Toc452502554"/>
      <w:r/>
      <w:bookmarkEnd w:id="286"/>
      <w:r/>
      <w:bookmarkStart w:id="287" w:name="_Toc452556665"/>
      <w:r/>
      <w:bookmarkEnd w:id="287"/>
      <w:r/>
      <w:bookmarkStart w:id="288" w:name="_Toc452556757"/>
      <w:r/>
      <w:bookmarkEnd w:id="288"/>
      <w:r/>
      <w:bookmarkStart w:id="289" w:name="_Toc452556824"/>
      <w:r/>
      <w:bookmarkEnd w:id="289"/>
      <w:r/>
      <w:bookmarkStart w:id="290" w:name="_Toc400913976"/>
      <w:r/>
      <w:bookmarkEnd w:id="290"/>
      <w:r/>
      <w:bookmarkStart w:id="291" w:name="_Toc452502569"/>
      <w:r/>
      <w:bookmarkEnd w:id="291"/>
      <w:r/>
      <w:bookmarkStart w:id="292" w:name="_Toc452556752"/>
      <w:r/>
      <w:bookmarkEnd w:id="292"/>
      <w:r/>
      <w:bookmarkStart w:id="293" w:name="_Toc452556747"/>
      <w:r/>
      <w:bookmarkEnd w:id="293"/>
      <w:r/>
      <w:bookmarkStart w:id="294" w:name="_Toc452556636"/>
      <w:r/>
      <w:bookmarkEnd w:id="294"/>
      <w:r/>
      <w:bookmarkStart w:id="295" w:name="_Toc471740933"/>
      <w:r/>
      <w:bookmarkEnd w:id="295"/>
      <w:r/>
      <w:bookmarkStart w:id="296" w:name="_Toc452502573"/>
      <w:r/>
      <w:bookmarkEnd w:id="296"/>
      <w:r/>
      <w:bookmarkStart w:id="297" w:name="_Toc452502357"/>
      <w:r/>
      <w:bookmarkEnd w:id="297"/>
      <w:r/>
      <w:bookmarkStart w:id="298" w:name="_Toc452502432"/>
      <w:r/>
      <w:bookmarkEnd w:id="298"/>
      <w:r/>
      <w:bookmarkStart w:id="299" w:name="_Toc452556589"/>
      <w:r/>
      <w:bookmarkEnd w:id="299"/>
      <w:r/>
      <w:bookmarkStart w:id="300" w:name="_Toc452502385"/>
      <w:r/>
      <w:bookmarkEnd w:id="300"/>
      <w:r/>
      <w:bookmarkStart w:id="301" w:name="_Toc452556694"/>
      <w:r/>
      <w:bookmarkEnd w:id="301"/>
      <w:r/>
      <w:bookmarkStart w:id="302" w:name="_Toc402880658"/>
      <w:r/>
      <w:bookmarkEnd w:id="302"/>
      <w:r/>
      <w:bookmarkStart w:id="303" w:name="_Toc402880667"/>
      <w:r/>
      <w:bookmarkEnd w:id="303"/>
      <w:r/>
      <w:bookmarkStart w:id="304" w:name="_Toc452556732"/>
      <w:r/>
      <w:bookmarkEnd w:id="304"/>
      <w:r/>
      <w:bookmarkStart w:id="305" w:name="_Toc452556705"/>
      <w:r/>
      <w:bookmarkEnd w:id="305"/>
      <w:r/>
      <w:bookmarkStart w:id="306" w:name="_Toc402880636"/>
      <w:r/>
      <w:bookmarkEnd w:id="306"/>
      <w:r/>
      <w:bookmarkStart w:id="307" w:name="_Toc452502392"/>
      <w:r/>
      <w:bookmarkEnd w:id="307"/>
      <w:r/>
      <w:bookmarkStart w:id="308" w:name="_Toc452502427"/>
      <w:r/>
      <w:bookmarkEnd w:id="308"/>
      <w:r/>
      <w:bookmarkStart w:id="309" w:name="_Toc452556655"/>
      <w:r/>
      <w:bookmarkEnd w:id="309"/>
      <w:r/>
      <w:bookmarkStart w:id="310" w:name="_Toc402880607"/>
      <w:r/>
      <w:bookmarkEnd w:id="310"/>
      <w:r/>
      <w:bookmarkStart w:id="311" w:name="_Toc452502342"/>
      <w:r/>
      <w:bookmarkEnd w:id="311"/>
      <w:r/>
      <w:bookmarkStart w:id="312" w:name="_Toc452556502"/>
      <w:r/>
      <w:bookmarkEnd w:id="312"/>
      <w:r/>
      <w:bookmarkStart w:id="313" w:name="_Toc452556613"/>
      <w:r/>
      <w:bookmarkEnd w:id="313"/>
      <w:r/>
      <w:bookmarkStart w:id="314" w:name="_Toc452556529"/>
      <w:r/>
      <w:bookmarkEnd w:id="314"/>
      <w:r/>
      <w:bookmarkStart w:id="315" w:name="_Toc471740777"/>
      <w:r/>
      <w:bookmarkEnd w:id="315"/>
      <w:r/>
      <w:bookmarkStart w:id="316" w:name="_Toc452556522"/>
      <w:r/>
      <w:bookmarkEnd w:id="316"/>
      <w:r/>
      <w:bookmarkStart w:id="317" w:name="_Toc452556552"/>
      <w:r/>
      <w:bookmarkEnd w:id="317"/>
      <w:r/>
      <w:bookmarkStart w:id="318" w:name="_Toc452556554"/>
      <w:r/>
      <w:bookmarkEnd w:id="318"/>
      <w:r/>
      <w:bookmarkStart w:id="319" w:name="_Toc452502552"/>
      <w:r/>
      <w:bookmarkEnd w:id="319"/>
      <w:r/>
      <w:bookmarkStart w:id="320" w:name="_Toc452502518"/>
      <w:r/>
      <w:bookmarkEnd w:id="320"/>
      <w:r/>
      <w:bookmarkStart w:id="321" w:name="_Toc452502540"/>
      <w:r/>
      <w:bookmarkEnd w:id="321"/>
      <w:r/>
      <w:bookmarkStart w:id="322" w:name="_Toc443332030"/>
      <w:r/>
      <w:bookmarkEnd w:id="322"/>
      <w:r/>
      <w:bookmarkStart w:id="323" w:name="_Toc402880698"/>
      <w:r/>
      <w:bookmarkEnd w:id="323"/>
      <w:r/>
      <w:bookmarkStart w:id="324" w:name="_Toc452502412"/>
      <w:r/>
      <w:bookmarkEnd w:id="324"/>
      <w:r/>
      <w:bookmarkStart w:id="325" w:name="_Toc452556572"/>
      <w:r/>
      <w:bookmarkEnd w:id="325"/>
      <w:r/>
      <w:bookmarkStart w:id="326" w:name="_Toc452556728"/>
      <w:r/>
      <w:bookmarkEnd w:id="326"/>
      <w:r/>
      <w:bookmarkStart w:id="327" w:name="_Toc452556827"/>
      <w:r/>
      <w:bookmarkEnd w:id="327"/>
      <w:r/>
      <w:bookmarkStart w:id="328" w:name="_Toc452502421"/>
      <w:r/>
      <w:bookmarkEnd w:id="328"/>
      <w:r/>
      <w:bookmarkStart w:id="329" w:name="_Toc452502425"/>
      <w:r/>
      <w:bookmarkEnd w:id="329"/>
      <w:r/>
      <w:bookmarkStart w:id="330" w:name="_Toc452556754"/>
      <w:r/>
      <w:bookmarkEnd w:id="330"/>
      <w:r/>
      <w:bookmarkStart w:id="331" w:name="_Toc452502388"/>
      <w:r/>
      <w:bookmarkEnd w:id="331"/>
      <w:r/>
      <w:bookmarkStart w:id="332" w:name="_Toc452502521"/>
      <w:r/>
      <w:bookmarkEnd w:id="332"/>
      <w:r/>
      <w:bookmarkStart w:id="333" w:name="_Toc452556766"/>
      <w:r/>
      <w:bookmarkEnd w:id="333"/>
      <w:r/>
      <w:bookmarkStart w:id="334" w:name="_Toc452556593"/>
      <w:r/>
      <w:bookmarkEnd w:id="334"/>
      <w:r/>
      <w:bookmarkStart w:id="335" w:name="_Toc452556721"/>
      <w:r/>
      <w:bookmarkEnd w:id="335"/>
      <w:r/>
      <w:bookmarkStart w:id="336" w:name="_Toc452556718"/>
      <w:r/>
      <w:bookmarkEnd w:id="336"/>
      <w:r/>
      <w:bookmarkStart w:id="337" w:name="_Toc452556653"/>
      <w:r/>
      <w:bookmarkEnd w:id="337"/>
      <w:r/>
      <w:bookmarkStart w:id="338" w:name="_Toc452556498"/>
      <w:r/>
      <w:bookmarkEnd w:id="338"/>
      <w:r/>
      <w:bookmarkStart w:id="339" w:name="_Toc452502384"/>
      <w:r/>
      <w:bookmarkEnd w:id="339"/>
      <w:r/>
      <w:bookmarkStart w:id="340" w:name="_Toc452556783"/>
      <w:r/>
      <w:bookmarkEnd w:id="340"/>
      <w:r/>
      <w:bookmarkStart w:id="341" w:name="_Toc452502377"/>
      <w:r/>
      <w:bookmarkEnd w:id="341"/>
      <w:r/>
      <w:bookmarkStart w:id="342" w:name="_Toc388279021"/>
      <w:r/>
      <w:bookmarkEnd w:id="342"/>
      <w:r/>
      <w:bookmarkStart w:id="343" w:name="_Toc452556503"/>
      <w:r/>
      <w:bookmarkEnd w:id="343"/>
      <w:r/>
      <w:bookmarkStart w:id="344" w:name="_Toc452556608"/>
      <w:r/>
      <w:bookmarkEnd w:id="344"/>
      <w:r/>
      <w:bookmarkStart w:id="345" w:name="_Toc452556559"/>
      <w:r/>
      <w:bookmarkEnd w:id="345"/>
      <w:r/>
      <w:bookmarkStart w:id="346" w:name="_Toc402880659"/>
      <w:r/>
      <w:bookmarkEnd w:id="346"/>
      <w:r/>
      <w:bookmarkStart w:id="347" w:name="_Toc452502418"/>
      <w:r/>
      <w:bookmarkEnd w:id="347"/>
      <w:r/>
      <w:bookmarkStart w:id="348" w:name="_Toc402880699"/>
      <w:r/>
      <w:bookmarkEnd w:id="348"/>
      <w:r/>
      <w:bookmarkStart w:id="349" w:name="_Toc452556666"/>
      <w:r/>
      <w:bookmarkEnd w:id="349"/>
      <w:r/>
      <w:bookmarkStart w:id="350" w:name="_Toc382579315"/>
      <w:r/>
      <w:bookmarkEnd w:id="350"/>
      <w:r/>
      <w:bookmarkStart w:id="351" w:name="_Toc452502556"/>
      <w:r/>
      <w:bookmarkEnd w:id="351"/>
      <w:r/>
      <w:bookmarkStart w:id="352" w:name="_Toc443332028"/>
      <w:r/>
      <w:bookmarkEnd w:id="352"/>
      <w:r/>
      <w:bookmarkStart w:id="353" w:name="_Toc452502519"/>
      <w:r/>
      <w:bookmarkEnd w:id="353"/>
      <w:r/>
      <w:bookmarkStart w:id="354" w:name="_Toc402880633"/>
      <w:r/>
      <w:bookmarkEnd w:id="354"/>
      <w:r/>
      <w:bookmarkStart w:id="355" w:name="_Toc452556540"/>
      <w:r/>
      <w:bookmarkEnd w:id="355"/>
      <w:r/>
      <w:bookmarkStart w:id="356" w:name="_Toc452502314"/>
      <w:r/>
      <w:bookmarkEnd w:id="356"/>
      <w:r/>
      <w:bookmarkStart w:id="357" w:name="_Toc452556729"/>
      <w:r/>
      <w:bookmarkEnd w:id="357"/>
      <w:r/>
      <w:bookmarkStart w:id="358" w:name="_Toc452556587"/>
      <w:r/>
      <w:bookmarkEnd w:id="358"/>
      <w:r/>
      <w:bookmarkStart w:id="359" w:name="_Toc452502560"/>
      <w:r/>
      <w:bookmarkEnd w:id="359"/>
      <w:r/>
      <w:bookmarkStart w:id="360" w:name="_Toc452502402"/>
      <w:r/>
      <w:bookmarkEnd w:id="360"/>
      <w:r/>
      <w:bookmarkStart w:id="361" w:name="_Toc402880674"/>
      <w:r/>
      <w:bookmarkEnd w:id="361"/>
      <w:r/>
      <w:bookmarkStart w:id="362" w:name="_Toc452556691"/>
      <w:r/>
      <w:bookmarkEnd w:id="362"/>
      <w:r/>
      <w:bookmarkStart w:id="363" w:name="_Toc452502380"/>
      <w:r/>
      <w:bookmarkEnd w:id="363"/>
      <w:r/>
      <w:bookmarkStart w:id="364" w:name="_Toc452502414"/>
      <w:r/>
      <w:bookmarkEnd w:id="364"/>
      <w:r/>
      <w:bookmarkStart w:id="365" w:name="_Toc452556678"/>
      <w:r/>
      <w:bookmarkEnd w:id="365"/>
      <w:r/>
      <w:bookmarkStart w:id="366" w:name="_Toc452502381"/>
      <w:r/>
      <w:bookmarkEnd w:id="366"/>
      <w:r/>
      <w:bookmarkStart w:id="367" w:name="_Toc402880684"/>
      <w:r/>
      <w:bookmarkEnd w:id="367"/>
      <w:r/>
      <w:bookmarkStart w:id="368" w:name="_Toc381963375"/>
      <w:r/>
      <w:bookmarkEnd w:id="368"/>
      <w:r/>
      <w:bookmarkStart w:id="369" w:name="_Toc452502344"/>
      <w:r/>
      <w:bookmarkEnd w:id="369"/>
      <w:r/>
      <w:bookmarkStart w:id="370" w:name="_Toc402880676"/>
      <w:r/>
      <w:bookmarkEnd w:id="370"/>
      <w:r/>
      <w:bookmarkStart w:id="371" w:name="_Toc452502349"/>
      <w:r/>
      <w:bookmarkEnd w:id="371"/>
      <w:r/>
      <w:bookmarkStart w:id="372" w:name="_Toc452556199"/>
      <w:r/>
      <w:bookmarkEnd w:id="372"/>
      <w:r/>
      <w:bookmarkStart w:id="373" w:name="_Toc452502426"/>
      <w:r/>
      <w:bookmarkEnd w:id="373"/>
      <w:r/>
      <w:bookmarkStart w:id="374" w:name="_Toc452556829"/>
      <w:r/>
      <w:bookmarkEnd w:id="374"/>
      <w:r/>
      <w:bookmarkStart w:id="375" w:name="_Toc452502473"/>
      <w:r/>
      <w:bookmarkEnd w:id="375"/>
      <w:r/>
      <w:bookmarkStart w:id="376" w:name="_Toc452556753"/>
      <w:r/>
      <w:bookmarkEnd w:id="376"/>
      <w:r/>
      <w:bookmarkStart w:id="377" w:name="_Toc452502494"/>
      <w:r/>
      <w:bookmarkEnd w:id="377"/>
      <w:r/>
      <w:bookmarkStart w:id="378" w:name="_Toc452556723"/>
      <w:r/>
      <w:bookmarkEnd w:id="378"/>
      <w:r/>
      <w:bookmarkStart w:id="379" w:name="_Toc388279013"/>
      <w:r/>
      <w:bookmarkEnd w:id="379"/>
      <w:r/>
      <w:bookmarkStart w:id="380" w:name="_Toc452556813"/>
      <w:r/>
      <w:bookmarkEnd w:id="380"/>
      <w:r/>
      <w:bookmarkStart w:id="381" w:name="_Toc443332015"/>
      <w:r/>
      <w:bookmarkEnd w:id="381"/>
      <w:r/>
      <w:bookmarkStart w:id="382" w:name="_Toc402880681"/>
      <w:r/>
      <w:bookmarkEnd w:id="382"/>
      <w:r/>
      <w:bookmarkStart w:id="383" w:name="_Toc452502481"/>
      <w:r/>
      <w:bookmarkEnd w:id="383"/>
      <w:r/>
      <w:bookmarkStart w:id="384" w:name="_Toc452502325"/>
      <w:r/>
      <w:bookmarkEnd w:id="384"/>
      <w:r/>
      <w:bookmarkStart w:id="385" w:name="_Toc452502313"/>
      <w:r/>
      <w:bookmarkEnd w:id="385"/>
      <w:r/>
      <w:bookmarkStart w:id="386" w:name="_Toc452556563"/>
      <w:r/>
      <w:bookmarkEnd w:id="386"/>
      <w:r/>
      <w:bookmarkStart w:id="387" w:name="_Toc452556674"/>
      <w:r/>
      <w:bookmarkEnd w:id="387"/>
      <w:r/>
      <w:bookmarkStart w:id="388" w:name="_Toc452556788"/>
      <w:r/>
      <w:bookmarkEnd w:id="388"/>
      <w:r/>
      <w:bookmarkStart w:id="389" w:name="_Toc452556516"/>
      <w:r/>
      <w:bookmarkEnd w:id="389"/>
      <w:r/>
      <w:bookmarkStart w:id="390" w:name="_Toc452556590"/>
      <w:r/>
      <w:bookmarkEnd w:id="390"/>
      <w:r/>
      <w:bookmarkStart w:id="391" w:name="_Toc452556626"/>
      <w:r/>
      <w:bookmarkEnd w:id="391"/>
      <w:r/>
      <w:bookmarkStart w:id="392" w:name="_Toc471745368"/>
      <w:r/>
      <w:bookmarkEnd w:id="392"/>
      <w:r/>
      <w:bookmarkStart w:id="393" w:name="_Toc452556798"/>
      <w:r/>
      <w:bookmarkEnd w:id="393"/>
      <w:r/>
      <w:bookmarkStart w:id="394" w:name="_Toc452502505"/>
      <w:r/>
      <w:bookmarkEnd w:id="394"/>
      <w:r/>
      <w:bookmarkStart w:id="395" w:name="_Toc452556530"/>
      <w:r/>
      <w:bookmarkEnd w:id="395"/>
      <w:r/>
      <w:bookmarkStart w:id="396" w:name="_Toc452502373"/>
      <w:r/>
      <w:bookmarkEnd w:id="396"/>
      <w:r/>
      <w:bookmarkStart w:id="397" w:name="_Toc452556581"/>
      <w:r/>
      <w:bookmarkEnd w:id="397"/>
      <w:r/>
      <w:bookmarkStart w:id="398" w:name="_Toc452556660"/>
      <w:r/>
      <w:bookmarkEnd w:id="398"/>
      <w:r/>
      <w:bookmarkStart w:id="399" w:name="_Toc452556812"/>
      <w:r/>
      <w:bookmarkEnd w:id="399"/>
      <w:r/>
      <w:bookmarkStart w:id="400" w:name="_Toc452556727"/>
      <w:r/>
      <w:bookmarkEnd w:id="400"/>
      <w:r/>
      <w:bookmarkStart w:id="401" w:name="_Toc452556558"/>
      <w:r/>
      <w:bookmarkEnd w:id="401"/>
      <w:r/>
      <w:bookmarkStart w:id="402" w:name="_Toc402880672"/>
      <w:r/>
      <w:bookmarkEnd w:id="402"/>
      <w:r/>
      <w:bookmarkStart w:id="403" w:name="_Toc452556738"/>
      <w:r/>
      <w:bookmarkEnd w:id="403"/>
      <w:r/>
      <w:bookmarkStart w:id="404" w:name="_Toc402880668"/>
      <w:r/>
      <w:bookmarkEnd w:id="404"/>
      <w:r/>
      <w:bookmarkStart w:id="405" w:name="_Toc443332005"/>
      <w:r/>
      <w:bookmarkEnd w:id="405"/>
      <w:r/>
      <w:bookmarkStart w:id="406" w:name="_Toc402880683"/>
      <w:r/>
      <w:bookmarkEnd w:id="406"/>
      <w:r/>
      <w:bookmarkStart w:id="407" w:name="_Toc452556617"/>
      <w:r/>
      <w:bookmarkEnd w:id="407"/>
      <w:r/>
      <w:bookmarkStart w:id="408" w:name="_Toc452556536"/>
      <w:r/>
      <w:bookmarkEnd w:id="408"/>
      <w:r/>
      <w:bookmarkStart w:id="409" w:name="_Toc452502416"/>
      <w:r/>
      <w:bookmarkEnd w:id="409"/>
      <w:r/>
      <w:bookmarkStart w:id="410" w:name="_Toc452556603"/>
      <w:r/>
      <w:bookmarkEnd w:id="410"/>
      <w:r/>
      <w:bookmarkStart w:id="411" w:name="_Toc443332024"/>
      <w:r/>
      <w:bookmarkEnd w:id="411"/>
      <w:r/>
      <w:bookmarkStart w:id="412" w:name="_Toc452502378"/>
      <w:r/>
      <w:bookmarkEnd w:id="412"/>
      <w:r/>
      <w:bookmarkStart w:id="413" w:name="_Toc452502400"/>
      <w:r/>
      <w:bookmarkEnd w:id="413"/>
      <w:r/>
      <w:bookmarkStart w:id="414" w:name="_Toc452502396"/>
      <w:r/>
      <w:bookmarkEnd w:id="414"/>
      <w:r/>
      <w:bookmarkStart w:id="415" w:name="_Toc452556651"/>
      <w:r/>
      <w:bookmarkEnd w:id="415"/>
      <w:r/>
      <w:bookmarkStart w:id="416" w:name="_Toc402880634"/>
      <w:r/>
      <w:bookmarkEnd w:id="416"/>
      <w:r/>
      <w:bookmarkStart w:id="417" w:name="_Toc452502382"/>
      <w:r/>
      <w:bookmarkEnd w:id="417"/>
      <w:r/>
      <w:bookmarkStart w:id="418" w:name="_Toc452502436"/>
      <w:r/>
      <w:bookmarkEnd w:id="418"/>
      <w:r/>
      <w:bookmarkStart w:id="419" w:name="_Toc452502509"/>
      <w:r/>
      <w:bookmarkEnd w:id="419"/>
      <w:r/>
      <w:bookmarkStart w:id="420" w:name="_Toc452502372"/>
      <w:r/>
      <w:bookmarkEnd w:id="420"/>
      <w:r/>
      <w:bookmarkStart w:id="421" w:name="_Toc452556642"/>
      <w:r/>
      <w:bookmarkEnd w:id="421"/>
      <w:r/>
      <w:bookmarkStart w:id="422" w:name="_Toc452502455"/>
      <w:r/>
      <w:bookmarkEnd w:id="422"/>
      <w:r/>
      <w:bookmarkStart w:id="423" w:name="_Toc452556628"/>
      <w:r/>
      <w:bookmarkEnd w:id="423"/>
      <w:r/>
      <w:bookmarkStart w:id="424" w:name="_Toc402880690"/>
      <w:r/>
      <w:bookmarkEnd w:id="424"/>
      <w:r/>
      <w:bookmarkStart w:id="425" w:name="_Toc452556803"/>
      <w:r/>
      <w:bookmarkEnd w:id="425"/>
      <w:r/>
      <w:bookmarkStart w:id="426" w:name="_Toc471745360"/>
      <w:r/>
      <w:bookmarkEnd w:id="426"/>
      <w:r/>
      <w:bookmarkStart w:id="427" w:name="_Toc452556528"/>
      <w:r/>
      <w:bookmarkEnd w:id="427"/>
      <w:r/>
      <w:bookmarkStart w:id="428" w:name="_Toc452502514"/>
      <w:r/>
      <w:bookmarkEnd w:id="428"/>
      <w:r/>
      <w:bookmarkStart w:id="429" w:name="_Toc402880604"/>
      <w:r/>
      <w:bookmarkEnd w:id="429"/>
      <w:r/>
      <w:bookmarkStart w:id="430" w:name="_Toc452556782"/>
      <w:r/>
      <w:bookmarkEnd w:id="430"/>
      <w:r/>
      <w:bookmarkStart w:id="431" w:name="_Toc452556562"/>
      <w:r/>
      <w:bookmarkEnd w:id="431"/>
      <w:r/>
      <w:bookmarkStart w:id="432" w:name="_Toc452556659"/>
      <w:r/>
      <w:bookmarkEnd w:id="432"/>
      <w:r/>
      <w:bookmarkStart w:id="433" w:name="_Toc402880678"/>
      <w:r/>
      <w:bookmarkEnd w:id="433"/>
      <w:r/>
      <w:bookmarkStart w:id="434" w:name="_Toc452556731"/>
      <w:r/>
      <w:bookmarkEnd w:id="434"/>
      <w:r/>
      <w:bookmarkStart w:id="435" w:name="_Toc452502318"/>
      <w:r/>
      <w:bookmarkEnd w:id="435"/>
      <w:r/>
      <w:bookmarkStart w:id="436" w:name="_Toc452502483"/>
      <w:r/>
      <w:bookmarkEnd w:id="436"/>
      <w:r/>
      <w:bookmarkStart w:id="437" w:name="_Toc471743612"/>
      <w:r/>
      <w:bookmarkEnd w:id="437"/>
      <w:r/>
      <w:bookmarkStart w:id="438" w:name="_Toc402880679"/>
      <w:r/>
      <w:bookmarkEnd w:id="438"/>
      <w:r/>
      <w:bookmarkStart w:id="439" w:name="_Toc452556672"/>
      <w:r/>
      <w:bookmarkEnd w:id="439"/>
      <w:r/>
      <w:bookmarkStart w:id="440" w:name="_Toc452556512"/>
      <w:r/>
      <w:bookmarkEnd w:id="440"/>
      <w:r/>
      <w:bookmarkStart w:id="441" w:name="_Toc402880629"/>
      <w:r/>
      <w:bookmarkEnd w:id="441"/>
      <w:r/>
      <w:bookmarkStart w:id="442" w:name="_Toc452556594"/>
      <w:r/>
      <w:bookmarkEnd w:id="442"/>
      <w:r/>
      <w:bookmarkStart w:id="443" w:name="_Toc452556709"/>
      <w:r/>
      <w:bookmarkEnd w:id="443"/>
      <w:r/>
      <w:bookmarkStart w:id="444" w:name="_Toc452502393"/>
      <w:r/>
      <w:bookmarkEnd w:id="444"/>
      <w:r/>
      <w:bookmarkStart w:id="445" w:name="_Toc452556576"/>
      <w:r/>
      <w:bookmarkEnd w:id="445"/>
      <w:r/>
      <w:bookmarkStart w:id="446" w:name="_Toc452502397"/>
      <w:r/>
      <w:bookmarkEnd w:id="446"/>
      <w:r/>
      <w:bookmarkStart w:id="447" w:name="_Toc452502462"/>
      <w:r/>
      <w:bookmarkEnd w:id="447"/>
      <w:r/>
      <w:bookmarkStart w:id="448" w:name="_Toc452556808"/>
      <w:r/>
      <w:bookmarkEnd w:id="448"/>
      <w:r/>
      <w:bookmarkStart w:id="449" w:name="_Toc452556622"/>
      <w:r/>
      <w:bookmarkEnd w:id="449"/>
      <w:r/>
      <w:bookmarkStart w:id="450" w:name="_Toc452556750"/>
      <w:r/>
      <w:bookmarkEnd w:id="450"/>
      <w:r/>
      <w:bookmarkStart w:id="451" w:name="_Toc452556760"/>
      <w:r/>
      <w:bookmarkEnd w:id="451"/>
      <w:r/>
      <w:bookmarkStart w:id="452" w:name="_Toc452556703"/>
      <w:r/>
      <w:bookmarkEnd w:id="452"/>
      <w:r/>
      <w:bookmarkStart w:id="453" w:name="_Toc452502571"/>
      <w:r/>
      <w:bookmarkEnd w:id="453"/>
      <w:r/>
      <w:bookmarkStart w:id="454" w:name="_Toc452556532"/>
      <w:r/>
      <w:bookmarkEnd w:id="454"/>
      <w:r/>
      <w:bookmarkStart w:id="455" w:name="_Toc452502555"/>
      <w:r/>
      <w:bookmarkEnd w:id="455"/>
      <w:r/>
      <w:bookmarkStart w:id="456" w:name="_Toc402880611"/>
      <w:r/>
      <w:bookmarkEnd w:id="456"/>
      <w:r/>
      <w:bookmarkStart w:id="457" w:name="_Toc402880666"/>
      <w:r/>
      <w:bookmarkEnd w:id="457"/>
      <w:r/>
      <w:bookmarkStart w:id="458" w:name="_Toc452556682"/>
      <w:r/>
      <w:bookmarkEnd w:id="458"/>
      <w:r/>
      <w:bookmarkStart w:id="459" w:name="_Toc452502469"/>
      <w:r/>
      <w:bookmarkEnd w:id="459"/>
      <w:r/>
      <w:bookmarkStart w:id="460" w:name="_Toc452502367"/>
      <w:r/>
      <w:bookmarkEnd w:id="460"/>
      <w:r/>
      <w:bookmarkStart w:id="461" w:name="_Toc471745366"/>
      <w:r/>
      <w:bookmarkEnd w:id="461"/>
      <w:r/>
      <w:bookmarkStart w:id="462" w:name="_Toc402880638"/>
      <w:r/>
      <w:bookmarkEnd w:id="462"/>
      <w:r/>
      <w:bookmarkStart w:id="463" w:name="_Toc452556533"/>
      <w:r/>
      <w:bookmarkEnd w:id="463"/>
      <w:r/>
      <w:bookmarkStart w:id="464" w:name="_Toc452502391"/>
      <w:r/>
      <w:bookmarkEnd w:id="464"/>
      <w:r/>
      <w:bookmarkStart w:id="465" w:name="_Toc452502498"/>
      <w:r/>
      <w:bookmarkEnd w:id="465"/>
      <w:r/>
      <w:bookmarkStart w:id="466" w:name="_Toc452502459"/>
      <w:r/>
      <w:bookmarkEnd w:id="466"/>
      <w:r/>
      <w:bookmarkStart w:id="467" w:name="_Toc471745859"/>
      <w:r/>
      <w:bookmarkEnd w:id="467"/>
      <w:r/>
      <w:bookmarkStart w:id="468" w:name="_Toc452556785"/>
      <w:r/>
      <w:bookmarkEnd w:id="468"/>
      <w:r/>
      <w:bookmarkStart w:id="469" w:name="_Toc452556539"/>
      <w:r/>
      <w:bookmarkEnd w:id="469"/>
      <w:r/>
      <w:bookmarkStart w:id="470" w:name="_Toc452556633"/>
      <w:r/>
      <w:bookmarkEnd w:id="470"/>
      <w:r/>
      <w:bookmarkStart w:id="471" w:name="_Toc452502336"/>
      <w:r/>
      <w:bookmarkEnd w:id="471"/>
      <w:r/>
      <w:bookmarkStart w:id="472" w:name="_Toc443332021"/>
      <w:r/>
      <w:bookmarkEnd w:id="472"/>
      <w:r/>
      <w:bookmarkStart w:id="473" w:name="_Toc443332032"/>
      <w:r/>
      <w:bookmarkEnd w:id="473"/>
      <w:r/>
      <w:bookmarkStart w:id="474" w:name="_Toc443332010"/>
      <w:r/>
      <w:bookmarkEnd w:id="474"/>
      <w:r/>
      <w:bookmarkStart w:id="475" w:name="_Toc452556664"/>
      <w:r/>
      <w:bookmarkEnd w:id="475"/>
      <w:r/>
      <w:bookmarkStart w:id="476" w:name="_Toc452556722"/>
      <w:r/>
      <w:bookmarkEnd w:id="476"/>
      <w:r/>
      <w:bookmarkStart w:id="477" w:name="_Toc402880623"/>
      <w:r/>
      <w:bookmarkEnd w:id="477"/>
      <w:r/>
      <w:bookmarkStart w:id="478" w:name="_Toc452556610"/>
      <w:r/>
      <w:bookmarkEnd w:id="478"/>
      <w:r/>
      <w:bookmarkStart w:id="479" w:name="_Toc452502403"/>
      <w:r/>
      <w:bookmarkEnd w:id="479"/>
      <w:r/>
      <w:bookmarkStart w:id="480" w:name="_Toc402880694"/>
      <w:r/>
      <w:bookmarkEnd w:id="480"/>
      <w:r/>
      <w:bookmarkStart w:id="481" w:name="_Toc402880647"/>
      <w:r/>
      <w:bookmarkEnd w:id="481"/>
      <w:r/>
      <w:bookmarkStart w:id="482" w:name="_Toc443332029"/>
      <w:r/>
      <w:bookmarkEnd w:id="482"/>
      <w:r/>
      <w:bookmarkStart w:id="483" w:name="_Toc452502566"/>
      <w:r/>
      <w:bookmarkEnd w:id="483"/>
      <w:r/>
      <w:bookmarkStart w:id="484" w:name="_Toc452556680"/>
      <w:r/>
      <w:bookmarkEnd w:id="484"/>
      <w:r/>
      <w:bookmarkStart w:id="485" w:name="_Toc452556805"/>
      <w:r/>
      <w:bookmarkEnd w:id="485"/>
      <w:r/>
      <w:bookmarkStart w:id="486" w:name="_Toc402880610"/>
      <w:r/>
      <w:bookmarkEnd w:id="486"/>
      <w:r/>
      <w:bookmarkStart w:id="487" w:name="_Toc452502454"/>
      <w:r/>
      <w:bookmarkEnd w:id="487"/>
      <w:r/>
      <w:bookmarkStart w:id="488" w:name="_Toc452556730"/>
      <w:r/>
      <w:bookmarkEnd w:id="488"/>
      <w:r/>
      <w:bookmarkStart w:id="489" w:name="_Toc452556719"/>
      <w:r/>
      <w:bookmarkEnd w:id="489"/>
      <w:r/>
      <w:bookmarkStart w:id="490" w:name="_Toc402880664"/>
      <w:r/>
      <w:bookmarkEnd w:id="490"/>
      <w:r/>
      <w:bookmarkStart w:id="491" w:name="_Toc452556541"/>
      <w:r/>
      <w:bookmarkEnd w:id="491"/>
      <w:r/>
      <w:bookmarkStart w:id="492" w:name="_Toc452556640"/>
      <w:r/>
      <w:bookmarkEnd w:id="492"/>
      <w:r/>
      <w:bookmarkStart w:id="493" w:name="_Toc452556726"/>
      <w:r/>
      <w:bookmarkEnd w:id="493"/>
      <w:r/>
      <w:bookmarkStart w:id="494" w:name="_Toc471745863"/>
      <w:r/>
      <w:bookmarkEnd w:id="494"/>
      <w:r/>
      <w:bookmarkStart w:id="495" w:name="_Toc452556573"/>
      <w:r/>
      <w:bookmarkEnd w:id="495"/>
      <w:r/>
      <w:bookmarkStart w:id="496" w:name="_Toc452556775"/>
      <w:r/>
      <w:bookmarkEnd w:id="496"/>
      <w:r/>
      <w:bookmarkStart w:id="497" w:name="_Toc452556675"/>
      <w:r/>
      <w:bookmarkEnd w:id="497"/>
      <w:r/>
      <w:bookmarkStart w:id="498" w:name="_Toc452502463"/>
      <w:r/>
      <w:bookmarkEnd w:id="498"/>
      <w:r/>
      <w:bookmarkStart w:id="499" w:name="_Toc452502415"/>
      <w:r/>
      <w:bookmarkEnd w:id="499"/>
      <w:r/>
      <w:bookmarkStart w:id="500" w:name="_Toc452556500"/>
      <w:r/>
      <w:bookmarkEnd w:id="500"/>
      <w:r/>
      <w:bookmarkStart w:id="501" w:name="_Toc452502547"/>
      <w:r/>
      <w:bookmarkEnd w:id="501"/>
      <w:r/>
      <w:bookmarkStart w:id="502" w:name="_Toc471745367"/>
      <w:r/>
      <w:bookmarkEnd w:id="502"/>
      <w:r/>
      <w:bookmarkStart w:id="503" w:name="_Toc452502309"/>
      <w:r/>
      <w:bookmarkEnd w:id="503"/>
      <w:r/>
      <w:bookmarkStart w:id="504" w:name="_Toc452556707"/>
      <w:r/>
      <w:bookmarkEnd w:id="504"/>
      <w:r/>
      <w:bookmarkStart w:id="505" w:name="_Toc452556670"/>
      <w:r/>
      <w:bookmarkEnd w:id="505"/>
      <w:r/>
      <w:bookmarkStart w:id="506" w:name="_Toc452556513"/>
      <w:r/>
      <w:bookmarkEnd w:id="506"/>
      <w:r/>
      <w:bookmarkStart w:id="507" w:name="_Toc400913979"/>
      <w:r/>
      <w:bookmarkEnd w:id="507"/>
      <w:r/>
      <w:bookmarkStart w:id="508" w:name="_Toc452502479"/>
      <w:r/>
      <w:bookmarkEnd w:id="508"/>
      <w:r/>
      <w:bookmarkStart w:id="509" w:name="_Toc452556741"/>
      <w:r/>
      <w:bookmarkEnd w:id="509"/>
      <w:r/>
      <w:bookmarkStart w:id="510" w:name="_Toc452502433"/>
      <w:r/>
      <w:bookmarkEnd w:id="510"/>
      <w:r/>
      <w:bookmarkStart w:id="511" w:name="_Toc452556755"/>
      <w:r/>
      <w:bookmarkEnd w:id="511"/>
      <w:r/>
      <w:bookmarkStart w:id="512" w:name="_Toc402880648"/>
      <w:r/>
      <w:bookmarkEnd w:id="512"/>
      <w:r/>
      <w:bookmarkStart w:id="513" w:name="_Toc443332020"/>
      <w:r/>
      <w:bookmarkEnd w:id="513"/>
      <w:r/>
      <w:bookmarkStart w:id="514" w:name="_Toc452502508"/>
      <w:r/>
      <w:bookmarkEnd w:id="514"/>
      <w:r/>
      <w:bookmarkStart w:id="515" w:name="_Toc402880671"/>
      <w:r/>
      <w:bookmarkEnd w:id="515"/>
      <w:r/>
      <w:bookmarkStart w:id="516" w:name="_Toc452502329"/>
      <w:r/>
      <w:bookmarkEnd w:id="516"/>
      <w:r/>
      <w:bookmarkStart w:id="517" w:name="_Toc402880625"/>
      <w:r/>
      <w:bookmarkEnd w:id="517"/>
      <w:r/>
      <w:bookmarkStart w:id="518" w:name="_Toc452502429"/>
      <w:r/>
      <w:bookmarkEnd w:id="518"/>
      <w:r/>
      <w:bookmarkStart w:id="519" w:name="_Toc452502510"/>
      <w:r/>
      <w:bookmarkEnd w:id="519"/>
      <w:r/>
      <w:bookmarkStart w:id="520" w:name="_Toc452502364"/>
      <w:r/>
      <w:bookmarkEnd w:id="520"/>
      <w:r/>
      <w:bookmarkStart w:id="521" w:name="_Toc452502500"/>
      <w:r/>
      <w:bookmarkEnd w:id="521"/>
      <w:r/>
      <w:bookmarkStart w:id="522" w:name="_Toc452556630"/>
      <w:r/>
      <w:bookmarkEnd w:id="522"/>
      <w:r/>
      <w:bookmarkStart w:id="523" w:name="_Toc452502428"/>
      <w:r/>
      <w:bookmarkEnd w:id="523"/>
      <w:r/>
      <w:bookmarkStart w:id="524" w:name="_Toc452556777"/>
      <w:r/>
      <w:bookmarkEnd w:id="524"/>
      <w:r/>
      <w:bookmarkStart w:id="525" w:name="_Toc452556601"/>
      <w:r/>
      <w:bookmarkEnd w:id="525"/>
      <w:r/>
      <w:bookmarkStart w:id="526" w:name="_Toc452502472"/>
      <w:r/>
      <w:bookmarkEnd w:id="526"/>
      <w:r/>
      <w:bookmarkStart w:id="527" w:name="_Toc452502439"/>
      <w:r/>
      <w:bookmarkEnd w:id="527"/>
      <w:r/>
      <w:bookmarkStart w:id="528" w:name="_Toc471745369"/>
      <w:r/>
      <w:bookmarkEnd w:id="528"/>
      <w:r/>
      <w:bookmarkStart w:id="529" w:name="_Toc452502354"/>
      <w:r/>
      <w:bookmarkEnd w:id="529"/>
      <w:r/>
      <w:bookmarkStart w:id="530" w:name="_Toc452502356"/>
      <w:r/>
      <w:bookmarkEnd w:id="530"/>
      <w:r/>
      <w:bookmarkStart w:id="531" w:name="_Toc452556526"/>
      <w:r/>
      <w:bookmarkEnd w:id="531"/>
      <w:r/>
      <w:bookmarkStart w:id="532" w:name="_Toc452556607"/>
      <w:r/>
      <w:bookmarkEnd w:id="532"/>
      <w:r/>
      <w:bookmarkStart w:id="533" w:name="_Toc452502531"/>
      <w:r/>
      <w:bookmarkEnd w:id="533"/>
      <w:r/>
      <w:bookmarkStart w:id="534" w:name="_Toc452556745"/>
      <w:r/>
      <w:bookmarkEnd w:id="534"/>
      <w:r/>
      <w:bookmarkStart w:id="535" w:name="_Toc452556748"/>
      <w:r/>
      <w:bookmarkEnd w:id="535"/>
      <w:r/>
      <w:bookmarkStart w:id="536" w:name="_Toc452556627"/>
      <w:r/>
      <w:bookmarkEnd w:id="536"/>
      <w:r/>
      <w:bookmarkStart w:id="537" w:name="_Toc452502376"/>
      <w:r/>
      <w:bookmarkEnd w:id="537"/>
      <w:r/>
      <w:bookmarkStart w:id="538" w:name="_Toc452502475"/>
      <w:r/>
      <w:bookmarkEnd w:id="538"/>
      <w:r/>
      <w:bookmarkStart w:id="539" w:name="_Toc452502539"/>
      <w:r/>
      <w:bookmarkEnd w:id="539"/>
      <w:r/>
      <w:bookmarkStart w:id="540" w:name="_Toc452502526"/>
      <w:r/>
      <w:bookmarkEnd w:id="540"/>
      <w:r/>
      <w:bookmarkStart w:id="541" w:name="_Toc452556649"/>
      <w:r/>
      <w:bookmarkEnd w:id="541"/>
      <w:r/>
      <w:bookmarkStart w:id="542" w:name="_Toc402880697"/>
      <w:r/>
      <w:bookmarkEnd w:id="542"/>
      <w:r/>
      <w:bookmarkStart w:id="543" w:name="_Toc452502456"/>
      <w:r/>
      <w:bookmarkEnd w:id="543"/>
      <w:r/>
      <w:bookmarkStart w:id="544" w:name="_Toc452556606"/>
      <w:r/>
      <w:bookmarkEnd w:id="544"/>
      <w:r/>
      <w:bookmarkStart w:id="545" w:name="_Toc452502350"/>
      <w:r/>
      <w:bookmarkEnd w:id="545"/>
      <w:r/>
      <w:bookmarkStart w:id="546" w:name="_Toc452502326"/>
      <w:r/>
      <w:bookmarkEnd w:id="546"/>
      <w:r/>
      <w:bookmarkStart w:id="547" w:name="_Toc471745871"/>
      <w:r/>
      <w:bookmarkEnd w:id="547"/>
      <w:r/>
      <w:bookmarkStart w:id="548" w:name="_Toc443332025"/>
      <w:r/>
      <w:bookmarkEnd w:id="548"/>
      <w:r/>
      <w:bookmarkStart w:id="549" w:name="_Toc452556517"/>
      <w:r/>
      <w:bookmarkEnd w:id="549"/>
      <w:r/>
      <w:bookmarkStart w:id="550" w:name="_Toc452502546"/>
      <w:r/>
      <w:bookmarkEnd w:id="550"/>
      <w:r/>
      <w:bookmarkStart w:id="551" w:name="_Toc452502461"/>
      <w:r/>
      <w:bookmarkEnd w:id="551"/>
      <w:r/>
      <w:bookmarkStart w:id="552" w:name="_Toc452502375"/>
      <w:r/>
      <w:bookmarkEnd w:id="552"/>
      <w:r/>
      <w:bookmarkStart w:id="553" w:name="_Toc452556612"/>
      <w:r/>
      <w:bookmarkEnd w:id="553"/>
      <w:r/>
      <w:bookmarkStart w:id="554" w:name="_Toc443332012"/>
      <w:r/>
      <w:bookmarkEnd w:id="554"/>
      <w:r/>
      <w:bookmarkStart w:id="555" w:name="_Toc452556614"/>
      <w:r/>
      <w:bookmarkEnd w:id="555"/>
      <w:r/>
      <w:bookmarkStart w:id="556" w:name="_Toc452502341"/>
      <w:r/>
      <w:bookmarkEnd w:id="556"/>
      <w:r/>
      <w:bookmarkStart w:id="557" w:name="_Toc452556602"/>
      <w:r/>
      <w:bookmarkEnd w:id="557"/>
      <w:r/>
      <w:bookmarkStart w:id="558" w:name="_Toc388279019"/>
      <w:r/>
      <w:bookmarkEnd w:id="558"/>
      <w:r/>
      <w:bookmarkStart w:id="559" w:name="_Toc452556699"/>
      <w:r/>
      <w:bookmarkEnd w:id="559"/>
      <w:r/>
      <w:bookmarkStart w:id="560" w:name="_Toc452556701"/>
      <w:r/>
      <w:bookmarkEnd w:id="560"/>
      <w:r/>
      <w:bookmarkStart w:id="561" w:name="_Toc452556575"/>
      <w:r/>
      <w:bookmarkEnd w:id="561"/>
      <w:r/>
      <w:bookmarkStart w:id="562" w:name="_Toc402880680"/>
      <w:r/>
      <w:bookmarkEnd w:id="562"/>
      <w:r/>
      <w:bookmarkStart w:id="563" w:name="_Toc452556771"/>
      <w:r/>
      <w:bookmarkEnd w:id="563"/>
      <w:r/>
      <w:bookmarkStart w:id="564" w:name="_Toc452556790"/>
      <w:r/>
      <w:bookmarkEnd w:id="564"/>
      <w:r/>
      <w:bookmarkStart w:id="565" w:name="_Toc452556531"/>
      <w:r/>
      <w:bookmarkEnd w:id="565"/>
      <w:r/>
      <w:bookmarkStart w:id="566" w:name="_Toc402880622"/>
      <w:r/>
      <w:bookmarkEnd w:id="566"/>
      <w:r/>
      <w:bookmarkStart w:id="567" w:name="_Toc402880651"/>
      <w:r/>
      <w:bookmarkEnd w:id="567"/>
      <w:r/>
      <w:bookmarkStart w:id="568" w:name="_Toc452556772"/>
      <w:r/>
      <w:bookmarkEnd w:id="568"/>
      <w:r/>
      <w:bookmarkStart w:id="569" w:name="_Toc402880617"/>
      <w:r/>
      <w:bookmarkEnd w:id="569"/>
      <w:r/>
      <w:bookmarkStart w:id="570" w:name="_Toc443332027"/>
      <w:r/>
      <w:bookmarkEnd w:id="570"/>
      <w:r/>
      <w:bookmarkStart w:id="571" w:name="_Toc452556736"/>
      <w:r/>
      <w:bookmarkEnd w:id="571"/>
      <w:r/>
      <w:bookmarkStart w:id="572" w:name="_Toc402880660"/>
      <w:r/>
      <w:bookmarkEnd w:id="572"/>
      <w:r/>
      <w:bookmarkStart w:id="573" w:name="_Toc402880635"/>
      <w:r/>
      <w:bookmarkEnd w:id="573"/>
      <w:r/>
      <w:bookmarkStart w:id="574" w:name="_Toc452556662"/>
      <w:r/>
      <w:bookmarkEnd w:id="574"/>
      <w:r/>
      <w:bookmarkStart w:id="575" w:name="_Toc452556687"/>
      <w:r/>
      <w:bookmarkEnd w:id="575"/>
      <w:r/>
      <w:bookmarkStart w:id="576" w:name="_Toc471745862"/>
      <w:r/>
      <w:bookmarkEnd w:id="576"/>
      <w:r/>
      <w:bookmarkStart w:id="577" w:name="_Toc402880614"/>
      <w:r/>
      <w:bookmarkEnd w:id="577"/>
      <w:r/>
      <w:bookmarkStart w:id="578" w:name="_Toc452502478"/>
      <w:r/>
      <w:bookmarkEnd w:id="578"/>
      <w:r/>
      <w:bookmarkStart w:id="579" w:name="_Toc452556496"/>
      <w:r/>
      <w:bookmarkEnd w:id="579"/>
      <w:r/>
      <w:bookmarkStart w:id="580" w:name="_Toc471745357"/>
      <w:r/>
      <w:bookmarkEnd w:id="580"/>
      <w:r/>
      <w:bookmarkStart w:id="581" w:name="_Toc452556789"/>
      <w:r/>
      <w:bookmarkEnd w:id="581"/>
      <w:r/>
      <w:bookmarkStart w:id="582" w:name="_Toc471744979"/>
      <w:r/>
      <w:bookmarkEnd w:id="582"/>
      <w:r/>
      <w:bookmarkStart w:id="583" w:name="_Toc402880662"/>
      <w:r/>
      <w:bookmarkEnd w:id="583"/>
      <w:r/>
      <w:bookmarkStart w:id="584" w:name="_Toc452502492"/>
      <w:r/>
      <w:bookmarkEnd w:id="584"/>
      <w:r/>
      <w:bookmarkStart w:id="585" w:name="_Toc452556768"/>
      <w:r/>
      <w:bookmarkEnd w:id="585"/>
      <w:r/>
      <w:bookmarkStart w:id="586" w:name="_Toc452556715"/>
      <w:r/>
      <w:bookmarkEnd w:id="586"/>
      <w:r/>
      <w:bookmarkStart w:id="587" w:name="_Toc452556550"/>
      <w:r/>
      <w:bookmarkEnd w:id="587"/>
      <w:r/>
      <w:bookmarkStart w:id="588" w:name="_Toc452556746"/>
      <w:r/>
      <w:bookmarkEnd w:id="588"/>
      <w:r/>
      <w:bookmarkStart w:id="589" w:name="_Toc471745361"/>
      <w:r/>
      <w:bookmarkEnd w:id="589"/>
      <w:r/>
      <w:bookmarkStart w:id="590" w:name="_Toc452502511"/>
      <w:r/>
      <w:bookmarkEnd w:id="590"/>
      <w:r/>
      <w:bookmarkStart w:id="591" w:name="_Toc452556585"/>
      <w:r/>
      <w:bookmarkEnd w:id="591"/>
      <w:r/>
      <w:bookmarkStart w:id="592" w:name="_Toc452502340"/>
      <w:r/>
      <w:bookmarkEnd w:id="592"/>
      <w:r/>
      <w:bookmarkStart w:id="593" w:name="_Toc452502413"/>
      <w:r/>
      <w:bookmarkEnd w:id="593"/>
      <w:r/>
      <w:bookmarkStart w:id="594" w:name="_Toc452502567"/>
      <w:r/>
      <w:bookmarkEnd w:id="594"/>
      <w:r/>
      <w:bookmarkStart w:id="595" w:name="_Toc381964100"/>
      <w:r/>
      <w:bookmarkEnd w:id="595"/>
      <w:r/>
      <w:bookmarkStart w:id="596" w:name="_Toc452556673"/>
      <w:r/>
      <w:bookmarkEnd w:id="596"/>
      <w:r/>
      <w:bookmarkStart w:id="597" w:name="_Toc452556749"/>
      <w:r/>
      <w:bookmarkEnd w:id="597"/>
      <w:r/>
      <w:bookmarkStart w:id="598" w:name="_Toc452556557"/>
      <w:r/>
      <w:bookmarkEnd w:id="598"/>
      <w:r/>
      <w:bookmarkStart w:id="599" w:name="_Toc452556717"/>
      <w:r/>
      <w:bookmarkEnd w:id="599"/>
      <w:r/>
      <w:bookmarkStart w:id="600" w:name="_Toc452556725"/>
      <w:r/>
      <w:bookmarkEnd w:id="600"/>
      <w:r/>
      <w:bookmarkStart w:id="601" w:name="_Toc452556742"/>
      <w:r/>
      <w:bookmarkEnd w:id="601"/>
      <w:r/>
      <w:bookmarkStart w:id="602" w:name="_Toc452556624"/>
      <w:r/>
      <w:bookmarkEnd w:id="602"/>
      <w:r/>
      <w:bookmarkStart w:id="603" w:name="_Toc471744487"/>
      <w:r/>
      <w:bookmarkEnd w:id="603"/>
      <w:r/>
      <w:bookmarkStart w:id="604" w:name="_Toc452556555"/>
      <w:r/>
      <w:bookmarkEnd w:id="604"/>
      <w:r/>
      <w:bookmarkStart w:id="605" w:name="_Toc402880632"/>
      <w:r/>
      <w:bookmarkEnd w:id="605"/>
      <w:r/>
      <w:bookmarkStart w:id="606" w:name="_Toc452502527"/>
      <w:r/>
      <w:bookmarkEnd w:id="606"/>
      <w:r/>
      <w:bookmarkStart w:id="607" w:name="_Toc452502442"/>
      <w:r/>
      <w:bookmarkEnd w:id="607"/>
      <w:r/>
      <w:bookmarkStart w:id="608" w:name="_Toc452502334"/>
      <w:r/>
      <w:bookmarkEnd w:id="608"/>
      <w:r/>
      <w:bookmarkStart w:id="609" w:name="_Toc452556683"/>
      <w:r/>
      <w:bookmarkEnd w:id="609"/>
      <w:r/>
      <w:bookmarkStart w:id="610" w:name="_Toc452556724"/>
      <w:r/>
      <w:bookmarkEnd w:id="610"/>
      <w:r/>
      <w:bookmarkStart w:id="611" w:name="_Toc452502451"/>
      <w:r/>
      <w:bookmarkEnd w:id="611"/>
      <w:r/>
      <w:bookmarkStart w:id="612" w:name="_Toc452556776"/>
      <w:r/>
      <w:bookmarkEnd w:id="612"/>
      <w:r/>
      <w:bookmarkStart w:id="613" w:name="_Toc471745365"/>
      <w:r/>
      <w:bookmarkEnd w:id="613"/>
      <w:r/>
      <w:bookmarkStart w:id="614" w:name="_Toc471745865"/>
      <w:r/>
      <w:bookmarkEnd w:id="614"/>
      <w:r/>
      <w:bookmarkStart w:id="615" w:name="_Toc443332034"/>
      <w:r/>
      <w:bookmarkEnd w:id="615"/>
      <w:r/>
      <w:bookmarkStart w:id="616" w:name="_Toc452502389"/>
      <w:r/>
      <w:bookmarkEnd w:id="616"/>
      <w:r/>
      <w:bookmarkStart w:id="617" w:name="_Toc452502335"/>
      <w:r/>
      <w:bookmarkEnd w:id="617"/>
      <w:r/>
      <w:bookmarkStart w:id="618" w:name="_Toc452556599"/>
      <w:r/>
      <w:bookmarkEnd w:id="618"/>
      <w:r/>
      <w:bookmarkStart w:id="619" w:name="_Toc402880631"/>
      <w:r/>
      <w:bookmarkEnd w:id="619"/>
      <w:r/>
      <w:bookmarkStart w:id="620" w:name="_Toc402880620"/>
      <w:r/>
      <w:bookmarkEnd w:id="620"/>
      <w:r/>
      <w:bookmarkStart w:id="621" w:name="_Toc452502317"/>
      <w:r/>
      <w:bookmarkEnd w:id="621"/>
      <w:r/>
      <w:bookmarkStart w:id="622" w:name="_Toc452556814"/>
      <w:r/>
      <w:bookmarkEnd w:id="622"/>
      <w:r/>
      <w:bookmarkStart w:id="623" w:name="_Toc402880641"/>
      <w:r/>
      <w:bookmarkEnd w:id="623"/>
      <w:r/>
      <w:bookmarkStart w:id="624" w:name="_Toc452556828"/>
      <w:r/>
      <w:bookmarkEnd w:id="624"/>
      <w:r/>
      <w:bookmarkStart w:id="625" w:name="_Toc452556802"/>
      <w:r/>
      <w:bookmarkEnd w:id="625"/>
      <w:r/>
      <w:bookmarkStart w:id="626" w:name="_Toc402880616"/>
      <w:r/>
      <w:bookmarkEnd w:id="626"/>
      <w:r/>
      <w:bookmarkStart w:id="627" w:name="_Toc452556663"/>
      <w:r/>
      <w:bookmarkEnd w:id="627"/>
      <w:r/>
      <w:bookmarkStart w:id="628" w:name="_Toc452556611"/>
      <w:r/>
      <w:bookmarkEnd w:id="628"/>
      <w:r/>
      <w:bookmarkStart w:id="629" w:name="_Toc443332031"/>
      <w:r/>
      <w:bookmarkEnd w:id="629"/>
      <w:r/>
      <w:bookmarkStart w:id="630" w:name="_Toc452556499"/>
      <w:r/>
      <w:bookmarkEnd w:id="630"/>
      <w:r/>
      <w:bookmarkStart w:id="631" w:name="_Toc402880665"/>
      <w:r/>
      <w:bookmarkEnd w:id="631"/>
      <w:r/>
      <w:bookmarkStart w:id="632" w:name="_Toc402880618"/>
      <w:r/>
      <w:bookmarkEnd w:id="632"/>
      <w:r/>
      <w:bookmarkStart w:id="633" w:name="_Toc452556525"/>
      <w:r/>
      <w:bookmarkEnd w:id="633"/>
      <w:r/>
      <w:bookmarkStart w:id="634" w:name="_Toc452556604"/>
      <w:r/>
      <w:bookmarkEnd w:id="634"/>
      <w:r/>
      <w:bookmarkStart w:id="635" w:name="_Toc452502440"/>
      <w:r/>
      <w:bookmarkEnd w:id="635"/>
      <w:r/>
      <w:bookmarkStart w:id="636" w:name="_Toc452556779"/>
      <w:r/>
      <w:bookmarkEnd w:id="636"/>
      <w:r/>
      <w:bookmarkStart w:id="637" w:name="_Toc452556542"/>
      <w:r/>
      <w:bookmarkEnd w:id="637"/>
      <w:r/>
      <w:bookmarkStart w:id="638" w:name="_Toc388279025"/>
      <w:r/>
      <w:bookmarkEnd w:id="638"/>
      <w:r/>
      <w:bookmarkStart w:id="639" w:name="_Toc452502528"/>
      <w:r/>
      <w:bookmarkEnd w:id="639"/>
      <w:r/>
      <w:bookmarkStart w:id="640" w:name="_Toc452556527"/>
      <w:r/>
      <w:bookmarkEnd w:id="640"/>
      <w:r/>
      <w:bookmarkStart w:id="641" w:name="_Toc452556739"/>
      <w:r/>
      <w:bookmarkEnd w:id="641"/>
      <w:r/>
      <w:bookmarkStart w:id="642" w:name="_Toc452556648"/>
      <w:r/>
      <w:bookmarkEnd w:id="642"/>
      <w:r/>
      <w:bookmarkStart w:id="643" w:name="_Toc452556547"/>
      <w:r/>
      <w:bookmarkEnd w:id="643"/>
      <w:r/>
      <w:bookmarkStart w:id="644" w:name="_Toc452556509"/>
      <w:r/>
      <w:bookmarkEnd w:id="644"/>
      <w:r/>
      <w:bookmarkStart w:id="645" w:name="_Toc452502441"/>
      <w:r/>
      <w:bookmarkEnd w:id="645"/>
      <w:r/>
      <w:bookmarkStart w:id="646" w:name="_Toc452502501"/>
      <w:r/>
      <w:bookmarkEnd w:id="646"/>
      <w:r/>
      <w:bookmarkStart w:id="647" w:name="_Toc452556643"/>
      <w:r/>
      <w:bookmarkEnd w:id="647"/>
      <w:r/>
      <w:bookmarkStart w:id="648" w:name="_Toc452556774"/>
      <w:r/>
      <w:bookmarkEnd w:id="648"/>
      <w:r/>
      <w:bookmarkStart w:id="649" w:name="_Toc452556510"/>
      <w:r/>
      <w:bookmarkEnd w:id="649"/>
      <w:r/>
      <w:bookmarkStart w:id="650" w:name="_Toc452502419"/>
      <w:r/>
      <w:bookmarkEnd w:id="650"/>
      <w:r/>
      <w:bookmarkStart w:id="651" w:name="_Toc452556811"/>
      <w:r/>
      <w:bookmarkEnd w:id="651"/>
      <w:r/>
      <w:bookmarkStart w:id="652" w:name="_Toc452502437"/>
      <w:r/>
      <w:bookmarkEnd w:id="652"/>
      <w:r/>
      <w:bookmarkStart w:id="653" w:name="_Toc452556507"/>
      <w:r/>
      <w:bookmarkEnd w:id="653"/>
      <w:r/>
      <w:bookmarkStart w:id="654" w:name="_Toc452556616"/>
      <w:r/>
      <w:bookmarkEnd w:id="654"/>
      <w:r/>
      <w:bookmarkStart w:id="655" w:name="_Toc452556515"/>
      <w:r/>
      <w:bookmarkEnd w:id="655"/>
      <w:r/>
      <w:bookmarkStart w:id="656" w:name="_Toc402880650"/>
      <w:r/>
      <w:bookmarkEnd w:id="656"/>
      <w:r/>
      <w:bookmarkStart w:id="657" w:name="_Toc452556497"/>
      <w:r/>
      <w:bookmarkEnd w:id="657"/>
      <w:r/>
      <w:bookmarkStart w:id="658" w:name="_Toc402880640"/>
      <w:r/>
      <w:bookmarkEnd w:id="658"/>
      <w:r/>
      <w:bookmarkStart w:id="659" w:name="_Toc402880688"/>
      <w:r/>
      <w:bookmarkEnd w:id="659"/>
      <w:r/>
      <w:bookmarkStart w:id="660" w:name="_Toc452556751"/>
      <w:r/>
      <w:bookmarkEnd w:id="660"/>
      <w:r/>
      <w:bookmarkStart w:id="661" w:name="_Toc452502331"/>
      <w:r/>
      <w:bookmarkEnd w:id="661"/>
      <w:r/>
      <w:bookmarkStart w:id="662" w:name="_Toc452502410"/>
      <w:r/>
      <w:bookmarkEnd w:id="662"/>
      <w:r/>
      <w:bookmarkStart w:id="663" w:name="_Toc452556667"/>
      <w:r/>
      <w:bookmarkEnd w:id="663"/>
      <w:r/>
      <w:bookmarkStart w:id="664" w:name="_Toc452502529"/>
      <w:r/>
      <w:bookmarkEnd w:id="664"/>
      <w:r/>
      <w:bookmarkStart w:id="665" w:name="_Toc381964098"/>
      <w:r/>
      <w:bookmarkEnd w:id="665"/>
      <w:r/>
      <w:bookmarkStart w:id="666" w:name="_Toc452556815"/>
      <w:r/>
      <w:bookmarkEnd w:id="666"/>
      <w:r/>
      <w:bookmarkStart w:id="667" w:name="_Toc452556631"/>
      <w:r/>
      <w:bookmarkEnd w:id="667"/>
      <w:r/>
      <w:bookmarkStart w:id="668" w:name="_Toc452502401"/>
      <w:r/>
      <w:bookmarkEnd w:id="668"/>
      <w:r/>
      <w:bookmarkStart w:id="669" w:name="_Toc443332006"/>
      <w:r/>
      <w:bookmarkEnd w:id="669"/>
      <w:r/>
      <w:bookmarkStart w:id="670" w:name="_Toc402880653"/>
      <w:r/>
      <w:bookmarkEnd w:id="670"/>
      <w:r/>
      <w:bookmarkStart w:id="671" w:name="_Toc452556763"/>
      <w:r/>
      <w:bookmarkEnd w:id="671"/>
      <w:r/>
      <w:bookmarkStart w:id="672" w:name="_Toc402880639"/>
      <w:r/>
      <w:bookmarkEnd w:id="672"/>
      <w:r/>
      <w:bookmarkStart w:id="673" w:name="_Toc452502517"/>
      <w:r/>
      <w:bookmarkEnd w:id="673"/>
      <w:r/>
      <w:bookmarkStart w:id="674" w:name="_Toc388279022"/>
      <w:r/>
      <w:bookmarkEnd w:id="674"/>
      <w:r/>
      <w:bookmarkStart w:id="675" w:name="_Toc452556524"/>
      <w:r/>
      <w:bookmarkEnd w:id="675"/>
      <w:r/>
      <w:bookmarkStart w:id="676" w:name="_Toc443332011"/>
      <w:r/>
      <w:bookmarkEnd w:id="676"/>
      <w:r/>
      <w:bookmarkStart w:id="677" w:name="_Toc452556710"/>
      <w:r/>
      <w:bookmarkEnd w:id="677"/>
      <w:r/>
      <w:bookmarkStart w:id="678" w:name="_Toc452502553"/>
      <w:r/>
      <w:bookmarkEnd w:id="678"/>
      <w:r/>
      <w:bookmarkStart w:id="679" w:name="_Toc402880627"/>
      <w:r/>
      <w:bookmarkEnd w:id="679"/>
      <w:r/>
      <w:bookmarkStart w:id="680" w:name="_Toc452556615"/>
      <w:r/>
      <w:bookmarkEnd w:id="680"/>
      <w:r/>
      <w:bookmarkStart w:id="681" w:name="_Toc452556588"/>
      <w:r/>
      <w:bookmarkEnd w:id="681"/>
      <w:r/>
      <w:bookmarkStart w:id="682" w:name="_Toc452502343"/>
      <w:r/>
      <w:bookmarkEnd w:id="682"/>
      <w:r/>
      <w:bookmarkStart w:id="683" w:name="_Toc452502544"/>
      <w:r/>
      <w:bookmarkEnd w:id="683"/>
      <w:r/>
      <w:bookmarkStart w:id="684" w:name="_Toc452556734"/>
      <w:r/>
      <w:bookmarkEnd w:id="684"/>
      <w:r/>
      <w:bookmarkStart w:id="685" w:name="_Toc452556676"/>
      <w:r/>
      <w:bookmarkEnd w:id="685"/>
      <w:r/>
      <w:bookmarkStart w:id="686" w:name="_Toc388279017"/>
      <w:r/>
      <w:bookmarkEnd w:id="686"/>
      <w:r/>
      <w:bookmarkStart w:id="687" w:name="_Toc381963372"/>
      <w:r/>
      <w:bookmarkEnd w:id="687"/>
      <w:r/>
      <w:bookmarkStart w:id="688" w:name="_Toc443332008"/>
      <w:r/>
      <w:bookmarkEnd w:id="688"/>
      <w:r/>
      <w:bookmarkStart w:id="689" w:name="_Toc452502523"/>
      <w:r/>
      <w:bookmarkEnd w:id="689"/>
      <w:r/>
      <w:bookmarkStart w:id="690" w:name="_Toc452556568"/>
      <w:r/>
      <w:bookmarkEnd w:id="690"/>
      <w:r/>
      <w:bookmarkStart w:id="691" w:name="_Toc452556564"/>
      <w:r/>
      <w:bookmarkEnd w:id="691"/>
      <w:r/>
      <w:bookmarkStart w:id="692" w:name="_Toc452556819"/>
      <w:r/>
      <w:bookmarkEnd w:id="692"/>
      <w:r/>
      <w:bookmarkStart w:id="693" w:name="_Toc452502534"/>
      <w:r/>
      <w:bookmarkEnd w:id="693"/>
      <w:r/>
      <w:bookmarkStart w:id="694" w:name="_Toc452502361"/>
      <w:r/>
      <w:bookmarkEnd w:id="694"/>
      <w:r/>
      <w:bookmarkStart w:id="695" w:name="_Toc452556574"/>
      <w:r/>
      <w:bookmarkEnd w:id="695"/>
      <w:r/>
      <w:bookmarkStart w:id="696" w:name="_Toc402880619"/>
      <w:r/>
      <w:bookmarkEnd w:id="696"/>
      <w:r/>
      <w:bookmarkStart w:id="697" w:name="_Toc452556800"/>
      <w:r/>
      <w:bookmarkEnd w:id="697"/>
      <w:r/>
      <w:bookmarkStart w:id="698" w:name="_Toc452556634"/>
      <w:r/>
      <w:bookmarkEnd w:id="698"/>
      <w:r/>
      <w:bookmarkStart w:id="699" w:name="_Toc452556679"/>
      <w:r/>
      <w:bookmarkEnd w:id="699"/>
      <w:r/>
      <w:bookmarkStart w:id="700" w:name="_Toc452502503"/>
      <w:r/>
      <w:bookmarkEnd w:id="700"/>
      <w:r/>
      <w:bookmarkStart w:id="701" w:name="_Toc452556706"/>
      <w:r/>
      <w:bookmarkEnd w:id="701"/>
      <w:r/>
      <w:bookmarkStart w:id="702" w:name="_Toc402880700"/>
      <w:r/>
      <w:bookmarkEnd w:id="702"/>
      <w:r/>
      <w:bookmarkStart w:id="703" w:name="_Toc471739452"/>
      <w:r/>
      <w:bookmarkEnd w:id="703"/>
      <w:r/>
      <w:bookmarkStart w:id="704" w:name="_Toc452556579"/>
      <w:r/>
      <w:bookmarkEnd w:id="704"/>
      <w:r/>
      <w:bookmarkStart w:id="705" w:name="_Toc388279018"/>
      <w:r/>
      <w:bookmarkEnd w:id="705"/>
      <w:r/>
      <w:bookmarkStart w:id="706" w:name="_Toc452502506"/>
      <w:r/>
      <w:bookmarkEnd w:id="706"/>
      <w:r/>
      <w:bookmarkStart w:id="707" w:name="_Toc452556561"/>
      <w:r/>
      <w:bookmarkEnd w:id="707"/>
      <w:r/>
      <w:bookmarkStart w:id="708" w:name="_Toc452556646"/>
      <w:r/>
      <w:bookmarkEnd w:id="708"/>
      <w:r/>
      <w:bookmarkStart w:id="709" w:name="_Toc452502488"/>
      <w:r/>
      <w:bookmarkEnd w:id="709"/>
      <w:r/>
      <w:bookmarkStart w:id="710" w:name="_Toc452502409"/>
      <w:r/>
      <w:bookmarkEnd w:id="710"/>
      <w:r/>
      <w:bookmarkStart w:id="711" w:name="_Toc452502491"/>
      <w:r/>
      <w:bookmarkEnd w:id="711"/>
      <w:r/>
      <w:bookmarkStart w:id="712" w:name="_Toc452556625"/>
      <w:r/>
      <w:bookmarkEnd w:id="712"/>
      <w:r/>
      <w:bookmarkStart w:id="713" w:name="_Toc471745861"/>
      <w:r/>
      <w:bookmarkEnd w:id="713"/>
      <w:r/>
      <w:bookmarkStart w:id="714" w:name="_Toc443332019"/>
      <w:r/>
      <w:bookmarkEnd w:id="714"/>
      <w:r/>
      <w:bookmarkStart w:id="715" w:name="_Toc402880612"/>
      <w:r/>
      <w:bookmarkEnd w:id="715"/>
      <w:r/>
      <w:bookmarkStart w:id="716" w:name="_Toc452502390"/>
      <w:r/>
      <w:bookmarkEnd w:id="716"/>
      <w:r/>
      <w:bookmarkStart w:id="717" w:name="_Toc400913977"/>
      <w:r/>
      <w:bookmarkEnd w:id="717"/>
      <w:r/>
      <w:bookmarkStart w:id="718" w:name="_Toc452556652"/>
      <w:r/>
      <w:bookmarkEnd w:id="718"/>
      <w:r/>
      <w:bookmarkStart w:id="719" w:name="_Toc452502520"/>
      <w:r/>
      <w:bookmarkEnd w:id="719"/>
      <w:r/>
      <w:bookmarkStart w:id="720" w:name="_Toc452502395"/>
      <w:r/>
      <w:bookmarkEnd w:id="720"/>
      <w:r/>
      <w:bookmarkStart w:id="721" w:name="_Toc452556671"/>
      <w:r/>
      <w:bookmarkEnd w:id="721"/>
      <w:r/>
      <w:bookmarkStart w:id="722" w:name="_Toc452556578"/>
      <w:r/>
      <w:bookmarkEnd w:id="722"/>
      <w:r/>
      <w:bookmarkStart w:id="723" w:name="_Toc452556621"/>
      <w:r/>
      <w:bookmarkEnd w:id="723"/>
      <w:r/>
      <w:bookmarkStart w:id="724" w:name="_Toc402880654"/>
      <w:r/>
      <w:bookmarkEnd w:id="724"/>
      <w:r/>
      <w:bookmarkStart w:id="725" w:name="_Toc452502368"/>
      <w:r/>
      <w:bookmarkEnd w:id="725"/>
      <w:r/>
      <w:bookmarkStart w:id="726" w:name="_Toc402880682"/>
      <w:r/>
      <w:bookmarkEnd w:id="726"/>
      <w:r/>
      <w:bookmarkStart w:id="727" w:name="_Toc381964099"/>
      <w:r/>
      <w:bookmarkEnd w:id="727"/>
      <w:r/>
      <w:bookmarkStart w:id="728" w:name="_Toc452556566"/>
      <w:r/>
      <w:bookmarkEnd w:id="728"/>
      <w:r/>
      <w:bookmarkStart w:id="729" w:name="_Toc471745874"/>
      <w:r/>
      <w:bookmarkEnd w:id="729"/>
      <w:r/>
      <w:bookmarkStart w:id="730" w:name="_Toc452556743"/>
      <w:r/>
      <w:bookmarkEnd w:id="730"/>
      <w:r/>
      <w:bookmarkStart w:id="731" w:name="_Toc452502445"/>
      <w:r/>
      <w:bookmarkEnd w:id="731"/>
      <w:r/>
      <w:bookmarkStart w:id="732" w:name="_Toc452502431"/>
      <w:r/>
      <w:bookmarkEnd w:id="732"/>
      <w:r/>
      <w:bookmarkStart w:id="733" w:name="_Toc452556758"/>
      <w:r/>
      <w:bookmarkEnd w:id="733"/>
      <w:r/>
      <w:bookmarkStart w:id="734" w:name="_Toc452556689"/>
      <w:r/>
      <w:bookmarkEnd w:id="734"/>
      <w:r/>
      <w:bookmarkStart w:id="735" w:name="_Toc452502466"/>
      <w:r/>
      <w:bookmarkEnd w:id="735"/>
      <w:r/>
      <w:bookmarkStart w:id="736" w:name="_Toc452502502"/>
      <w:r/>
      <w:bookmarkEnd w:id="736"/>
      <w:r/>
      <w:bookmarkStart w:id="737" w:name="_Toc452556825"/>
      <w:r/>
      <w:bookmarkEnd w:id="737"/>
      <w:r/>
      <w:bookmarkStart w:id="738" w:name="_Toc452556830"/>
      <w:r/>
      <w:bookmarkEnd w:id="738"/>
      <w:r/>
      <w:bookmarkStart w:id="739" w:name="_Toc382579311"/>
      <w:r/>
      <w:bookmarkEnd w:id="739"/>
      <w:r/>
      <w:bookmarkStart w:id="740" w:name="_Toc452556632"/>
      <w:r/>
      <w:bookmarkEnd w:id="740"/>
      <w:r/>
      <w:bookmarkStart w:id="741" w:name="_Toc452556695"/>
      <w:r/>
      <w:bookmarkEnd w:id="741"/>
      <w:r/>
      <w:bookmarkStart w:id="742" w:name="_Toc452556684"/>
      <w:r/>
      <w:bookmarkEnd w:id="742"/>
      <w:r/>
      <w:bookmarkStart w:id="743" w:name="_Toc452502561"/>
      <w:r/>
      <w:bookmarkEnd w:id="743"/>
      <w:r/>
      <w:bookmarkStart w:id="744" w:name="_Toc452502474"/>
      <w:r/>
      <w:bookmarkEnd w:id="744"/>
      <w:r/>
      <w:bookmarkStart w:id="745" w:name="_Toc452556711"/>
      <w:r/>
      <w:bookmarkEnd w:id="745"/>
      <w:r/>
      <w:bookmarkStart w:id="746" w:name="_Toc452556546"/>
      <w:r/>
      <w:bookmarkEnd w:id="746"/>
      <w:r/>
      <w:bookmarkStart w:id="747" w:name="_Toc452556549"/>
      <w:r/>
      <w:bookmarkEnd w:id="747"/>
      <w:r/>
      <w:bookmarkStart w:id="748" w:name="_Toc452556501"/>
      <w:r/>
      <w:bookmarkEnd w:id="748"/>
      <w:r/>
      <w:bookmarkStart w:id="749" w:name="_Toc452502559"/>
      <w:r/>
      <w:bookmarkEnd w:id="749"/>
      <w:r/>
      <w:bookmarkStart w:id="750" w:name="_Toc452556786"/>
      <w:r/>
      <w:bookmarkEnd w:id="750"/>
      <w:r/>
      <w:bookmarkStart w:id="751" w:name="_Toc471745870"/>
      <w:r/>
      <w:bookmarkEnd w:id="751"/>
      <w:r/>
      <w:bookmarkStart w:id="752" w:name="_Toc443332007"/>
      <w:r/>
      <w:bookmarkEnd w:id="752"/>
      <w:r/>
      <w:bookmarkStart w:id="753" w:name="_Toc452556650"/>
      <w:r/>
      <w:bookmarkEnd w:id="753"/>
      <w:r/>
      <w:bookmarkStart w:id="754" w:name="_Toc452502443"/>
      <w:r/>
      <w:bookmarkEnd w:id="754"/>
      <w:r/>
      <w:bookmarkStart w:id="755" w:name="_Toc452556534"/>
      <w:r/>
      <w:bookmarkEnd w:id="755"/>
      <w:r/>
      <w:bookmarkStart w:id="756" w:name="_Toc402880605"/>
      <w:r/>
      <w:bookmarkEnd w:id="756"/>
      <w:r/>
      <w:bookmarkStart w:id="757" w:name="_Toc452502480"/>
      <w:r/>
      <w:bookmarkEnd w:id="757"/>
      <w:r/>
      <w:bookmarkStart w:id="758" w:name="_Toc452556597"/>
      <w:r/>
      <w:bookmarkEnd w:id="758"/>
      <w:r/>
      <w:bookmarkStart w:id="759" w:name="_Toc452556778"/>
      <w:r/>
      <w:bookmarkEnd w:id="759"/>
      <w:r/>
      <w:bookmarkStart w:id="760" w:name="_Toc443332013"/>
      <w:r/>
      <w:bookmarkEnd w:id="760"/>
      <w:r/>
      <w:bookmarkStart w:id="761" w:name="_Toc452556565"/>
      <w:r/>
      <w:bookmarkEnd w:id="761"/>
      <w:r/>
      <w:bookmarkStart w:id="762" w:name="_Toc452556518"/>
      <w:r/>
      <w:bookmarkEnd w:id="762"/>
      <w:r/>
      <w:bookmarkStart w:id="763" w:name="_Toc452556720"/>
      <w:r/>
      <w:bookmarkEnd w:id="763"/>
      <w:r/>
      <w:bookmarkStart w:id="764" w:name="_Toc452556759"/>
      <w:r/>
      <w:bookmarkEnd w:id="764"/>
      <w:r/>
      <w:bookmarkStart w:id="765" w:name="_Toc452556816"/>
      <w:r/>
      <w:bookmarkEnd w:id="765"/>
      <w:r/>
      <w:bookmarkStart w:id="766" w:name="_Toc452502423"/>
      <w:r/>
      <w:bookmarkEnd w:id="766"/>
      <w:r/>
      <w:bookmarkStart w:id="767" w:name="_Toc452556762"/>
      <w:r/>
      <w:bookmarkEnd w:id="767"/>
      <w:r/>
      <w:bookmarkStart w:id="768" w:name="_Toc452502312"/>
      <w:r/>
      <w:bookmarkEnd w:id="768"/>
      <w:r/>
      <w:bookmarkStart w:id="769" w:name="_Toc402880663"/>
      <w:r/>
      <w:bookmarkEnd w:id="769"/>
      <w:r/>
      <w:bookmarkStart w:id="770" w:name="_Toc452556688"/>
      <w:r/>
      <w:bookmarkEnd w:id="770"/>
      <w:r/>
      <w:bookmarkStart w:id="771" w:name="_Toc452556596"/>
      <w:r/>
      <w:bookmarkEnd w:id="771"/>
      <w:r/>
      <w:bookmarkStart w:id="772" w:name="_Toc452502515"/>
      <w:r/>
      <w:bookmarkEnd w:id="772"/>
      <w:r/>
      <w:bookmarkStart w:id="773" w:name="_Toc452556505"/>
      <w:r/>
      <w:bookmarkEnd w:id="773"/>
      <w:r>
        <w:rPr>
          <w:rFonts w:hint="eastAsia" w:ascii="宋体" w:hAnsi="宋体" w:eastAsia="宋体" w:cs="宋体"/>
          <w:color w:val="000000" w:themeColor="text1"/>
          <w:sz w:val="24"/>
          <w:szCs w:val="24"/>
          <w:highlight w:val="none"/>
          <w14:textFill>
            <w14:solidFill>
              <w14:schemeClr w14:val="tx1"/>
            </w14:solidFill>
          </w14:textFill>
        </w:rPr>
        <w:t xml:space="preserve">（一）</w:t>
      </w:r>
      <w:r>
        <w:rPr>
          <w:rStyle w:val="771"/>
          <w:rFonts w:hint="eastAsia" w:ascii="宋体" w:hAnsi="宋体" w:eastAsia="宋体" w:cs="宋体"/>
          <w:color w:val="000000" w:themeColor="text1"/>
          <w:sz w:val="24"/>
          <w:szCs w:val="24"/>
          <w:highlight w:val="none"/>
          <w14:textFill>
            <w14:solidFill>
              <w14:schemeClr w14:val="tx1"/>
            </w14:solidFill>
          </w14:textFill>
        </w:rPr>
        <w:t xml:space="preserve">采购项目简要说明</w:t>
      </w:r>
      <w:r/>
    </w:p>
    <w:p>
      <w:pPr>
        <w:pStyle w:val="766"/>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为全面负责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硕放</w:t>
      </w:r>
      <w:r>
        <w:rPr>
          <w:rFonts w:hint="eastAsia" w:ascii="宋体" w:hAnsi="宋体" w:eastAsia="宋体" w:cs="宋体"/>
          <w:color w:val="000000" w:themeColor="text1"/>
          <w:sz w:val="24"/>
          <w:szCs w:val="24"/>
          <w:highlight w:val="none"/>
          <w14:textFill>
            <w14:solidFill>
              <w14:schemeClr w14:val="tx1"/>
            </w14:solidFill>
          </w14:textFill>
        </w:rPr>
        <w:t xml:space="preserve">派出所日常饮食的供应工作，本次采购是为进一步规范我单位物资采购工作，建立竞争机制，降低采购成本，提高经济效益，确保食品安全。</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1、采购标的需实现的功能或者目标，以及为落实政府采购政策需满足的要求：</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1.1采购标的需实现的功能或者目标：</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无锡市新吴区人民政府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硕放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街道办事处</w:t>
      </w:r>
      <w:r>
        <w:rPr>
          <w:rFonts w:hint="eastAsia" w:ascii="宋体" w:hAnsi="宋体" w:eastAsia="宋体" w:cs="宋体"/>
          <w:color w:val="000000" w:themeColor="text1"/>
          <w:sz w:val="24"/>
          <w:szCs w:val="24"/>
          <w:highlight w:val="none"/>
          <w14:textFill>
            <w14:solidFill>
              <w14:schemeClr w14:val="tx1"/>
            </w14:solidFill>
          </w14:textFill>
        </w:rPr>
        <w:t xml:space="preserve">食堂所需的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食材</w:t>
      </w:r>
      <w:r>
        <w:rPr>
          <w:rFonts w:hint="eastAsia" w:ascii="宋体" w:hAnsi="宋体" w:eastAsia="宋体" w:cs="宋体"/>
          <w:color w:val="000000" w:themeColor="text1"/>
          <w:sz w:val="24"/>
          <w:szCs w:val="24"/>
          <w:highlight w:val="none"/>
          <w14:textFill>
            <w14:solidFill>
              <w14:schemeClr w14:val="tx1"/>
            </w14:solidFill>
          </w14:textFill>
        </w:rPr>
        <w:t xml:space="preserve">采购供货、配送及相关后续服务。</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项目需执行的国家相关标准、行业标准、地方标准或者其他标准、规范：《中华人民共和国政府采购法》、《中华人民共和国食品安全法》、《食品生产通用卫生规范》、《餐饮服务食品安全操作规范》等其他法律法规以及江苏省和无锡市行业主管部门颁布的相关文件规定，如地方法规与国家法规相抵触，按国家法规执行。</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3、本项目需满足的质量、安全、技术规格、物理特性等要求：</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3.1质量要求：合格产品，符合国家相关食品安全卫生标准。</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3.2安全要求：安全要求应满足国家相关法律法规的要求。</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4、本项目采购内容、采购项目交付或者实施的时间和地点要求：</w:t>
      </w:r>
      <w:r/>
    </w:p>
    <w:p>
      <w:pPr>
        <w:ind w:firstLine="480"/>
        <w:spacing w:line="360" w:lineRule="auto"/>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4.1采购内容：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蔬菜、肉类、桌餐、冻品、水产、水果、酸奶、米、面、粮油、干货、调味品等采购供货、配送</w:t>
      </w:r>
      <w:r>
        <w:rPr>
          <w:rFonts w:hint="eastAsia" w:ascii="宋体" w:hAnsi="宋体" w:eastAsia="宋体" w:cs="宋体"/>
          <w:color w:val="000000" w:themeColor="text1"/>
          <w:sz w:val="24"/>
          <w:szCs w:val="24"/>
          <w:highlight w:val="none"/>
          <w:u w:val="single"/>
          <w14:textFill>
            <w14:solidFill>
              <w14:schemeClr w14:val="tx1"/>
            </w14:solidFill>
          </w14:textFill>
        </w:rPr>
        <w:t xml:space="preserve">及相关后续服务</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p>
    <w:p>
      <w:pPr>
        <w:pStyle w:val="766"/>
        <w:ind w:firstLine="480"/>
        <w:spacing w:before="0" w:beforeAutospacing="0" w:after="0" w:afterAutospacing="0" w:line="360" w:lineRule="auto"/>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4.2实施时间：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服务期限为</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年（</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36</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个月），从试供之日起开始计算。</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4.3实施地点：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硕放</w:t>
      </w:r>
      <w:r>
        <w:rPr>
          <w:rFonts w:hint="eastAsia" w:ascii="宋体" w:hAnsi="宋体" w:eastAsia="宋体" w:cs="宋体"/>
          <w:color w:val="000000" w:themeColor="text1"/>
          <w:sz w:val="24"/>
          <w:szCs w:val="24"/>
          <w:highlight w:val="none"/>
          <w14:textFill>
            <w14:solidFill>
              <w14:schemeClr w14:val="tx1"/>
            </w14:solidFill>
          </w14:textFill>
        </w:rPr>
        <w:t xml:space="preserve">派出所。</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5、本项目验收标准：按国家现行法律法规及招标文件规定的要求进行验收。</w:t>
      </w:r>
      <w:r/>
    </w:p>
    <w:p>
      <w:pPr>
        <w:pStyle w:val="766"/>
        <w:ind w:firstLine="480"/>
        <w:spacing w:before="0" w:beforeAutospacing="0" w:after="0" w:afterAutospacing="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6、本项目预算金额：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0万元</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pStyle w:val="766"/>
        <w:ind w:firstLine="482"/>
        <w:spacing w:before="0" w:beforeAutospacing="0" w:after="0" w:afterAutospacing="0" w:line="440" w:lineRule="exact"/>
        <w:shd w:val="clear" w:color="auto" w:fill="ffff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（二）采购计划的确定</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1、采购方在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前一天</w:t>
      </w:r>
      <w:r>
        <w:rPr>
          <w:rFonts w:hint="eastAsia" w:ascii="宋体" w:hAnsi="宋体" w:eastAsia="宋体" w:cs="宋体"/>
          <w:color w:val="000000" w:themeColor="text1"/>
          <w:sz w:val="24"/>
          <w:szCs w:val="24"/>
          <w:highlight w:val="none"/>
          <w14:textFill>
            <w14:solidFill>
              <w14:schemeClr w14:val="tx1"/>
            </w14:solidFill>
          </w14:textFill>
        </w:rPr>
        <w:t xml:space="preserve">下午16：00前将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第二天</w:t>
      </w:r>
      <w:r>
        <w:rPr>
          <w:rFonts w:hint="eastAsia" w:ascii="宋体" w:hAnsi="宋体" w:eastAsia="宋体" w:cs="宋体"/>
          <w:color w:val="000000" w:themeColor="text1"/>
          <w:sz w:val="24"/>
          <w:szCs w:val="24"/>
          <w:highlight w:val="none"/>
          <w14:textFill>
            <w14:solidFill>
              <w14:schemeClr w14:val="tx1"/>
            </w14:solidFill>
          </w14:textFill>
        </w:rPr>
        <w:t xml:space="preserve">的采购计划以书面、电子稿形式通知乙方，订单内容包括名称、种类、规格、数量、运送时间、送达地点、订单联系人等具体要求。</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2、原则上，采购计划与实际下达的订单偏差控制在20％以内。</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3、采购方有权根据食材生产季节、天气、市场价格情况等协商调整每期采购计划中食材品种和数量。中标供应商必须能保证提供丰富的品种供甲方选择。</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4、如有特殊原因,采购方有权取消订单。</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5、本次预算按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290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计取，后期如果发生编制人数增减，结算时按照实际编制人数下达预算进行结算；新增外部搭伙人员餐费用于新增预算内。</w:t>
      </w:r>
      <w:r/>
    </w:p>
    <w:p>
      <w:pPr>
        <w:pStyle w:val="766"/>
        <w:ind w:firstLine="482"/>
        <w:spacing w:before="0" w:beforeAutospacing="0" w:after="0" w:afterAutospacing="0" w:line="440" w:lineRule="exact"/>
        <w:shd w:val="clear" w:color="auto" w:fill="ffff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（三）交货要求</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1、中标供应商每天早上7：00前将订单内所有食材送到采购方指定的地点并配送完毕，中标供应商提供《送货清单》一式两份，采购方、中标供应商双方现场过秤并验收签名，作为结算凭证。</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2、所有品种按除箱净重过磅，最终交易重量以双方确认的过磅数为准。</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3、中标供应商送货人员负责将货物从车上搬到称上过磅，然后放到平板推车上，并按采购方食堂人员要求由中标供应商工作人员负责拉到最终使用点。</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4、中标供应商</w:t>
      </w:r>
      <w:r>
        <w:rPr>
          <w:rFonts w:hint="eastAsia" w:ascii="宋体" w:hAnsi="宋体" w:eastAsia="宋体" w:cs="宋体"/>
          <w:color w:val="000000" w:themeColor="text1"/>
          <w:sz w:val="24"/>
          <w:szCs w:val="24"/>
          <w:highlight w:val="none"/>
          <w14:textFill>
            <w14:solidFill>
              <w14:schemeClr w14:val="tx1"/>
            </w14:solidFill>
          </w14:textFill>
        </w:rPr>
        <w:t xml:space="preserve">在收到采购方订单后，不得随意变更订单内的品种、质量、规格、数量，如因货源不足或个别品种因缺货而无法提供等因素，中标供应商不能满足甲方需求，需调换食材品种时，必须于接到订单后三个小时内及时知会采购方，经采购方同意后，按协商后的品种、质量、规格、数量于次日7:00前配送至采购方指定的地点，相关费用由中标供应商承担。如中标供应商未及时通知到采购方，导致无法及时供货的，中标供应商须承担当日所有供货食材总金额的两倍罚款，出现三次及以上上述情况的，采购方有权立即终止合同，且中标供应商须向甲方支付5%合同总金额的赔偿金。</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如遇特殊、紧急情况，采购方当天下单，中标供应商在接到当天的采购需求计划后，于3小时之内将所需物资配送到位。双方现场对食材数量、品质进行验收登记。除特殊原因（须提前告知采购方并经采购方认可），若中标供应商无法做到，采购方可视作当月一次考核不合格记录。</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6、包括非正常工作时间段在内，采购方因特殊情况或任务需要临时增加订单时，中标供应商应提供应急配送服务。中标供应商必须在接到通知3小时内将新增的食材保质保量配送至采购方指定的地点。</w:t>
      </w:r>
      <w:r/>
    </w:p>
    <w:p>
      <w:pPr>
        <w:pStyle w:val="766"/>
        <w:ind w:firstLine="482"/>
        <w:spacing w:before="0" w:beforeAutospacing="0" w:after="0" w:afterAutospacing="0" w:line="440" w:lineRule="exact"/>
        <w:shd w:val="clear" w:color="auto" w:fill="ffff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（四）数量、质量、品质要求</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1、品种数量超出规定的部分由中标供应商带回，不纳入结算，短缺的部分由中标供应商补足。</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2、品种的重量以双方核准的净重过磅数为准，双方签字确认作为结算凭证。</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质量必须符合国家相关食品安全卫生标准。采购方每天进行检测，检测一次不合格的，罚当天食材供货费用的两倍，检测不合格满三次的，甲方有权终止合同，且中标供应商须向甲方支付5%合同总金额的赔偿金。</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4、质量必须达到投标文件所列的要求，并且品质不低于采购方当天在各大食材批发市场的自购标准。</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供应商当日供应的食材经采购方验收后不达标、不足量、漏供或错供时，中标供应商必须进行调换或补充并按合同规定进行处罚。中标供应商调换或补充的食材必须经采购方同意，按协商后的品种、质量、规格、数量将食材于当日10:00前配送至各伙食单位，相关费用由中标供应商承担。</w:t>
      </w:r>
      <w:r/>
    </w:p>
    <w:p>
      <w:pPr>
        <w:pStyle w:val="766"/>
        <w:ind w:firstLine="482"/>
        <w:spacing w:before="0" w:beforeAutospacing="0" w:after="0" w:afterAutospacing="0" w:line="440" w:lineRule="exact"/>
        <w:shd w:val="clear" w:color="auto" w:fill="ffff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（五）配送要求：</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1、相关食材必须具有检疫检验合格证明，</w:t>
      </w:r>
      <w:r>
        <w:rPr>
          <w:rFonts w:hint="eastAsia" w:ascii="宋体" w:hAnsi="宋体" w:eastAsia="宋体" w:cs="宋体"/>
          <w:color w:val="000000" w:themeColor="text1"/>
          <w:sz w:val="24"/>
          <w:szCs w:val="24"/>
          <w:highlight w:val="none"/>
          <w14:textFill>
            <w14:solidFill>
              <w14:schemeClr w14:val="tx1"/>
            </w14:solidFill>
          </w14:textFill>
        </w:rPr>
        <w:t xml:space="preserve">且符合《食品卫生安全法》要求。</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2、实施时间：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szCs w:val="24"/>
          <w:highlight w:val="none"/>
          <w14:textFill>
            <w14:solidFill>
              <w14:schemeClr w14:val="tx1"/>
            </w14:solidFill>
          </w14:textFill>
        </w:rPr>
        <w:t xml:space="preserve">个月）。</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3、每个月《食材配送需求表》不限于：</w:t>
      </w:r>
      <w:r/>
    </w:p>
    <w:p>
      <w:pPr>
        <w:spacing w:line="4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肉类制品（包含肉类、蛋品类）</w:t>
      </w:r>
      <w:r/>
    </w:p>
    <w:p>
      <w:pPr>
        <w:spacing w:line="4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1）肉类（包含但不限于）</w:t>
      </w:r>
      <w:r/>
    </w:p>
    <w:tbl>
      <w:tblPr>
        <w:tblStyle w:val="740"/>
        <w:tblW w:w="9087" w:type="dxa"/>
        <w:tblInd w:w="93" w:type="dxa"/>
        <w:tblLayout w:type="autofit"/>
        <w:tblCellMar>
          <w:left w:w="108" w:type="dxa"/>
          <w:top w:w="0" w:type="dxa"/>
          <w:right w:w="108" w:type="dxa"/>
          <w:bottom w:w="0" w:type="dxa"/>
        </w:tblCellMar>
        <w:tblLook w:val="04A0" w:firstRow="1" w:lastRow="0" w:firstColumn="1" w:lastColumn="0" w:noHBand="0" w:noVBand="1"/>
      </w:tblPr>
      <w:tblGrid>
        <w:gridCol w:w="640"/>
        <w:gridCol w:w="1540"/>
        <w:gridCol w:w="1820"/>
        <w:gridCol w:w="740"/>
        <w:gridCol w:w="4347"/>
      </w:tblGrid>
      <w:tr>
        <w:trPr>
          <w:trHeight w:val="462"/>
        </w:trPr>
        <w:tc>
          <w:tcPr>
            <w:shd w:val="clear" w:color="000000" w:fill="ffffff"/>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品名</w:t>
            </w:r>
            <w:r/>
          </w:p>
        </w:tc>
        <w:tc>
          <w:tcPr>
            <w:shd w:val="clear" w:color="000000" w:fill="ffffff"/>
            <w:tcBorders>
              <w:top w:val="single" w:color="auto"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规格</w:t>
            </w:r>
            <w:r/>
          </w:p>
        </w:tc>
        <w:tc>
          <w:tcPr>
            <w:shd w:val="clear" w:color="000000" w:fill="ffffff"/>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报价单位</w:t>
            </w:r>
            <w:r/>
          </w:p>
        </w:tc>
        <w:tc>
          <w:tcPr>
            <w:shd w:val="clear" w:color="000000" w:fill="ffffff"/>
            <w:tcBorders>
              <w:top w:val="single" w:color="auto" w:sz="4" w:space="0"/>
              <w:left w:val="none" w:color="000000" w:sz="4" w:space="0"/>
              <w:bottom w:val="single" w:color="auto" w:sz="4" w:space="0"/>
              <w:right w:val="single" w:color="auto" w:sz="4" w:space="0"/>
            </w:tcBorders>
            <w:tcW w:w="4347"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要求</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草排</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切片大排</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80克/片</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雌片，新鲜无注水，按要求加工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肉片（肉丝）</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五花肉</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有皮、新鲜无注水，按要求加工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里脊肉</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猪爪</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前段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去毛、新鲜无注水，按要求加工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蹄膀</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有皮、去毛、新鲜无注水，按要求加工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肋排</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去皮、新鲜无注水，按要求加工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前夹心</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去皮、新鲜无注水，按要求加工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腿心肉</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脚圈</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有皮、去毛、新鲜无注水，按要求加工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肉皮</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去膘、新鲜无注水，按要求加工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通水骨</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带肉、新鲜无注水，按要求加工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板油</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白净、新鲜无注水，按要求加工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猪肝</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16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猪腰</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17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猪心</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18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牛腩</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19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牛腱子</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卷鲜</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鱼饺</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纯草鱼肉、</w:t>
            </w:r>
            <w:r>
              <w:rPr>
                <w:rFonts w:hint="eastAsia" w:ascii="宋体" w:hAnsi="宋体" w:eastAsia="宋体" w:cs="宋体"/>
                <w:bCs/>
                <w:color w:val="000000" w:themeColor="text1"/>
                <w:sz w:val="24"/>
                <w:szCs w:val="24"/>
                <w:highlight w:val="none"/>
                <w14:textFill>
                  <w14:solidFill>
                    <w14:schemeClr w14:val="tx1"/>
                  </w14:solidFill>
                </w14:textFill>
              </w:rPr>
              <w:t xml:space="preserve">新鲜，无异味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鱼圆</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纯草鱼肉、</w:t>
            </w:r>
            <w:r>
              <w:rPr>
                <w:rFonts w:hint="eastAsia" w:ascii="宋体" w:hAnsi="宋体" w:eastAsia="宋体" w:cs="宋体"/>
                <w:bCs/>
                <w:color w:val="000000" w:themeColor="text1"/>
                <w:sz w:val="24"/>
                <w:szCs w:val="24"/>
                <w:highlight w:val="none"/>
                <w14:textFill>
                  <w14:solidFill>
                    <w14:schemeClr w14:val="tx1"/>
                  </w14:solidFill>
                </w14:textFill>
              </w:rPr>
              <w:t xml:space="preserve">新鲜，无异味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23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咸腿肉</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带皮、无异味，按要求加工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 </w:t>
            </w:r>
            <w:r/>
          </w:p>
        </w:tc>
        <w:tc>
          <w:tcPr>
            <w:shd w:val="clear" w:color="000000" w:fill="ffffff"/>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干蹄筋</w:t>
            </w:r>
            <w:r/>
          </w:p>
        </w:tc>
        <w:tc>
          <w:tcPr>
            <w:shd w:val="clear" w:color="000000" w:fill="ffffff"/>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34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短粗、无异味</w:t>
            </w:r>
            <w:r/>
          </w:p>
        </w:tc>
      </w:tr>
    </w:tbl>
    <w:p>
      <w:pPr>
        <w:pStyle w:val="74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4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2）蛋品类（包含但不限于）</w:t>
      </w:r>
      <w:r/>
    </w:p>
    <w:tbl>
      <w:tblPr>
        <w:tblStyle w:val="740"/>
        <w:tblW w:w="9057" w:type="dxa"/>
        <w:tblInd w:w="93" w:type="dxa"/>
        <w:tblLayout w:type="autofit"/>
        <w:tblCellMar>
          <w:left w:w="108" w:type="dxa"/>
          <w:top w:w="0" w:type="dxa"/>
          <w:right w:w="108" w:type="dxa"/>
          <w:bottom w:w="0" w:type="dxa"/>
        </w:tblCellMar>
        <w:tblLook w:val="04A0" w:firstRow="1" w:lastRow="0" w:firstColumn="1" w:lastColumn="0" w:noHBand="0" w:noVBand="1"/>
      </w:tblPr>
      <w:tblGrid>
        <w:gridCol w:w="1291"/>
        <w:gridCol w:w="1291"/>
        <w:gridCol w:w="3133"/>
        <w:gridCol w:w="3342"/>
      </w:tblGrid>
      <w:tr>
        <w:trPr>
          <w:trHeight w:val="547"/>
        </w:trPr>
        <w:tc>
          <w:tcPr>
            <w:shd w:val="clear" w:color="000000" w:fill="ffffff"/>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291"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品名</w:t>
            </w:r>
            <w:r/>
          </w:p>
        </w:tc>
        <w:tc>
          <w:tcPr>
            <w:shd w:val="clear" w:color="000000" w:fill="ffffff"/>
            <w:tcBorders>
              <w:top w:val="single" w:color="auto" w:sz="4" w:space="0"/>
              <w:left w:val="none" w:color="000000" w:sz="4" w:space="0"/>
              <w:bottom w:val="single" w:color="auto" w:sz="4" w:space="0"/>
              <w:right w:val="single" w:color="auto" w:sz="4" w:space="0"/>
            </w:tcBorders>
            <w:tcW w:w="3133" w:type="dxa"/>
            <w:vAlign w:val="center"/>
            <w:textDirection w:val="lrTb"/>
            <w:noWrap w:val="false"/>
          </w:tcPr>
          <w:p>
            <w:pPr>
              <w:ind w:firstLine="840"/>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计量单位</w:t>
            </w:r>
            <w:r/>
          </w:p>
        </w:tc>
        <w:tc>
          <w:tcPr>
            <w:shd w:val="clear" w:color="000000" w:fill="ffffff"/>
            <w:tcBorders>
              <w:top w:val="single" w:color="auto" w:sz="4" w:space="0"/>
              <w:left w:val="none" w:color="000000" w:sz="4" w:space="0"/>
              <w:bottom w:val="single" w:color="auto" w:sz="4" w:space="0"/>
              <w:right w:val="single" w:color="auto" w:sz="4" w:space="0"/>
            </w:tcBorders>
            <w:tcW w:w="3342"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要求</w:t>
            </w:r>
            <w:r/>
          </w:p>
        </w:tc>
      </w:tr>
      <w:tr>
        <w:trPr>
          <w:trHeight w:val="551"/>
        </w:trPr>
        <w:tc>
          <w:tcPr>
            <w:shd w:val="clear" w:color="000000" w:fill="ffffff"/>
            <w:tcBorders>
              <w:top w:val="none" w:color="000000" w:sz="4" w:space="0"/>
              <w:left w:val="single" w:color="auto" w:sz="4" w:space="0"/>
              <w:bottom w:val="single" w:color="auto" w:sz="4" w:space="0"/>
              <w:right w:val="single" w:color="auto" w:sz="4" w:space="0"/>
            </w:tcBorders>
            <w:tcW w:w="1291"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291"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鸡蛋</w:t>
            </w:r>
            <w:r/>
          </w:p>
        </w:tc>
        <w:tc>
          <w:tcPr>
            <w:shd w:val="clear" w:color="000000" w:fill="ffffff"/>
            <w:tcBorders>
              <w:top w:val="none" w:color="000000" w:sz="4" w:space="0"/>
              <w:left w:val="none" w:color="000000" w:sz="4" w:space="0"/>
              <w:bottom w:val="single" w:color="auto" w:sz="4" w:space="0"/>
              <w:right w:val="single" w:color="auto" w:sz="4" w:space="0"/>
            </w:tcBorders>
            <w:tcW w:w="313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4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大小均匀，新鲜无破损</w:t>
            </w:r>
            <w:r/>
          </w:p>
        </w:tc>
      </w:tr>
      <w:tr>
        <w:trPr>
          <w:trHeight w:val="551"/>
        </w:trPr>
        <w:tc>
          <w:tcPr>
            <w:shd w:val="clear" w:color="000000" w:fill="ffffff"/>
            <w:tcBorders>
              <w:top w:val="none" w:color="000000" w:sz="4" w:space="0"/>
              <w:left w:val="single" w:color="auto" w:sz="4" w:space="0"/>
              <w:bottom w:val="single" w:color="auto" w:sz="4" w:space="0"/>
              <w:right w:val="single" w:color="auto" w:sz="4" w:space="0"/>
            </w:tcBorders>
            <w:tcW w:w="1291"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291"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鸭蛋</w:t>
            </w:r>
            <w:r/>
          </w:p>
        </w:tc>
        <w:tc>
          <w:tcPr>
            <w:shd w:val="clear" w:color="000000" w:fill="ffffff"/>
            <w:tcBorders>
              <w:top w:val="none" w:color="000000" w:sz="4" w:space="0"/>
              <w:left w:val="none" w:color="000000" w:sz="4" w:space="0"/>
              <w:bottom w:val="single" w:color="auto" w:sz="4" w:space="0"/>
              <w:right w:val="single" w:color="auto" w:sz="4" w:space="0"/>
            </w:tcBorders>
            <w:tcW w:w="313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4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大小均匀，新鲜无破损</w:t>
            </w:r>
            <w:r/>
          </w:p>
        </w:tc>
      </w:tr>
      <w:tr>
        <w:trPr>
          <w:trHeight w:val="561"/>
        </w:trPr>
        <w:tc>
          <w:tcPr>
            <w:shd w:val="clear" w:color="000000" w:fill="ffffff"/>
            <w:tcBorders>
              <w:top w:val="none" w:color="000000" w:sz="4" w:space="0"/>
              <w:left w:val="single" w:color="auto" w:sz="4" w:space="0"/>
              <w:bottom w:val="single" w:color="auto" w:sz="4" w:space="0"/>
              <w:right w:val="single" w:color="auto" w:sz="4" w:space="0"/>
            </w:tcBorders>
            <w:tcW w:w="1291"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291"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鸽蛋</w:t>
            </w:r>
            <w:r/>
          </w:p>
        </w:tc>
        <w:tc>
          <w:tcPr>
            <w:shd w:val="clear" w:color="000000" w:fill="ffffff"/>
            <w:tcBorders>
              <w:top w:val="none" w:color="000000" w:sz="4" w:space="0"/>
              <w:left w:val="none" w:color="000000" w:sz="4" w:space="0"/>
              <w:bottom w:val="single" w:color="auto" w:sz="4" w:space="0"/>
              <w:right w:val="single" w:color="auto" w:sz="4" w:space="0"/>
            </w:tcBorders>
            <w:tcW w:w="313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34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大小均匀，新鲜无破损</w:t>
            </w:r>
            <w:r/>
          </w:p>
        </w:tc>
      </w:tr>
    </w:tbl>
    <w:p>
      <w:pPr>
        <w:spacing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4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蔬菜瓜果类（包含但不限于）</w:t>
      </w:r>
      <w:r/>
    </w:p>
    <w:tbl>
      <w:tblPr>
        <w:tblStyle w:val="740"/>
        <w:tblW w:w="8977" w:type="dxa"/>
        <w:tblInd w:w="93" w:type="dxa"/>
        <w:tblLayout w:type="autofit"/>
        <w:tblCellMar>
          <w:left w:w="108" w:type="dxa"/>
          <w:top w:w="0" w:type="dxa"/>
          <w:right w:w="108" w:type="dxa"/>
          <w:bottom w:w="0" w:type="dxa"/>
        </w:tblCellMar>
        <w:tblLook w:val="04A0" w:firstRow="1" w:lastRow="0" w:firstColumn="1" w:lastColumn="0" w:noHBand="0" w:noVBand="1"/>
      </w:tblPr>
      <w:tblGrid>
        <w:gridCol w:w="836"/>
        <w:gridCol w:w="1672"/>
        <w:gridCol w:w="1427"/>
        <w:gridCol w:w="1283"/>
        <w:gridCol w:w="3759"/>
      </w:tblGrid>
      <w:tr>
        <w:trPr>
          <w:trHeight w:val="660"/>
        </w:trPr>
        <w:tc>
          <w:tcPr>
            <w:shd w:val="clear" w:color="000000" w:fill="ffffff"/>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品名</w:t>
            </w:r>
            <w:r/>
          </w:p>
        </w:tc>
        <w:tc>
          <w:tcPr>
            <w:shd w:val="clear" w:color="000000" w:fill="ffffff"/>
            <w:tcBorders>
              <w:top w:val="single" w:color="auto"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规格</w:t>
            </w:r>
            <w:r/>
          </w:p>
        </w:tc>
        <w:tc>
          <w:tcPr>
            <w:shd w:val="clear" w:color="000000" w:fill="ffffff"/>
            <w:tcBorders>
              <w:top w:val="single" w:color="auto"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计量单位</w:t>
            </w:r>
            <w:r/>
          </w:p>
        </w:tc>
        <w:tc>
          <w:tcPr>
            <w:shd w:val="clear" w:color="000000" w:fill="ffffff"/>
            <w:tcBorders>
              <w:top w:val="single" w:color="auto" w:sz="4" w:space="0"/>
              <w:left w:val="none" w:color="000000" w:sz="4" w:space="0"/>
              <w:bottom w:val="single" w:color="auto" w:sz="4" w:space="0"/>
              <w:right w:val="single" w:color="auto" w:sz="4" w:space="0"/>
            </w:tcBorders>
            <w:tcW w:w="3759"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要求</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青菜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白菜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新鲜，无烂心</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毛白菜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金花菜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韭菜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生菜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菠菜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净/去根</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新鲜，去根</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油麦菜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娃娃菜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包装，新鲜，无烂心</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蓬哈菜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鲜嫩，无黄叶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空心菜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鲜嫩，无黄叶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香菜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新鲜，无黄叶，无泥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细菜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红苋菜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净/去根</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鲜嫩，去根</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青苋菜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净/去根</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鲜嫩，去根</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荠菜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鲜嫩，无黄叶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韭黄</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新鲜，无烂叶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豆苗</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鲜嫩，无黄叶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紫角叶</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鲜嫩，无黄叶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广东菜心</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鲜嫩，无黄叶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筒蒿</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鲜嫩，无黄叶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药芹</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净/去根</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新鲜/去根</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西芹</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新鲜/去根</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净/去根</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新鲜/去根</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蒜苗</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净/去头</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新鲜/去头</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细米葱</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京葱</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洋葱</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鲜红椒</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新鲜，无破损</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杭尖椒</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新鲜，无破损</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青椒</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新鲜，无破损</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菜椒</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新鲜，无破损</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番茄</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新鲜，无破损</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莴苣</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黄瓜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花菜（有机）</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新鲜，去根叶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西兰花</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新鲜，去根叶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萝卜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胡萝卜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冬瓜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42</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土豆</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43</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黄豆芽</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44</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绿豆芽</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45</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大蒜子</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46</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淮山药</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47</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茭白</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净/去外壳</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新鲜/去外壳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48</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莲藕</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49</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苦瓜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金针菇</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平菇</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52</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姫菇</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53</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草菇</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54</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杏鲍菇</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55</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蘑菇</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56</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茶树菇</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57</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长豆</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58</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四季豆</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59</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小生姜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整洁</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大生姜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整洁</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61</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冻毛豆子</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完整无冰粒</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62</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鲜毛豆子</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63</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水发笋干</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无药水浸泡</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64</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山芋</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65</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南瓜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66</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南瓜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67</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日本南瓜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68</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紫山芋</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69</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毛芋头</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70</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咸菜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无异味、无杂质</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71</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鸭血</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72</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马兰</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73</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西葫芦</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74</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丝瓜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75</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丝瓜</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76</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茄子</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新鲜，无破损</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77</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鲜百合</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78</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冻蚕豆子</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完整无冰粒</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79</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鲜蚕豆子</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80</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芦嵩</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81</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旱芹</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82</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水芹</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83</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茨菇</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84</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春笋</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净/去外壳</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新鲜/去外壳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85</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冬笋</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净/去外壳</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新鲜/去外壳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86</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冰草</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87</w:t>
            </w:r>
            <w:r/>
          </w:p>
        </w:tc>
        <w:tc>
          <w:tcPr>
            <w:shd w:val="clear" w:color="000000" w:fill="ffffff"/>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芥兰</w:t>
            </w:r>
            <w:r/>
          </w:p>
        </w:tc>
        <w:tc>
          <w:tcPr>
            <w:shd w:val="clear" w:color="000000" w:fill="ffffff"/>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bl>
    <w:p>
      <w:pPr>
        <w:spacing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（3）冻品类</w:t>
      </w:r>
      <w:r>
        <w:rPr>
          <w:rFonts w:hint="eastAsia" w:ascii="宋体" w:hAnsi="宋体" w:eastAsia="宋体" w:cs="宋体"/>
          <w:b/>
          <w:color w:val="000000" w:themeColor="text1"/>
          <w:sz w:val="24"/>
          <w:szCs w:val="24"/>
          <w:highlight w:val="none"/>
          <w14:textFill>
            <w14:solidFill>
              <w14:schemeClr w14:val="tx1"/>
            </w14:solidFill>
          </w14:textFill>
        </w:rPr>
        <w:t xml:space="preserve">（包含但不限于）</w:t>
      </w:r>
      <w:r/>
    </w:p>
    <w:tbl>
      <w:tblPr>
        <w:tblStyle w:val="740"/>
        <w:tblW w:w="9077" w:type="dxa"/>
        <w:tblInd w:w="93" w:type="dxa"/>
        <w:tblLayout w:type="autofit"/>
        <w:tblCellMar>
          <w:left w:w="108" w:type="dxa"/>
          <w:top w:w="0" w:type="dxa"/>
          <w:right w:w="108" w:type="dxa"/>
          <w:bottom w:w="0" w:type="dxa"/>
        </w:tblCellMar>
        <w:tblLook w:val="04A0" w:firstRow="1" w:lastRow="0" w:firstColumn="1" w:lastColumn="0" w:noHBand="0" w:noVBand="1"/>
      </w:tblPr>
      <w:tblGrid>
        <w:gridCol w:w="772"/>
        <w:gridCol w:w="1859"/>
        <w:gridCol w:w="2197"/>
        <w:gridCol w:w="893"/>
        <w:gridCol w:w="3356"/>
      </w:tblGrid>
      <w:tr>
        <w:trPr>
          <w:trHeight w:val="548"/>
        </w:trPr>
        <w:tc>
          <w:tcPr>
            <w:shd w:val="clear" w:color="000000" w:fill="ffffff"/>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8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品名</w:t>
            </w:r>
            <w:r/>
          </w:p>
        </w:tc>
        <w:tc>
          <w:tcPr>
            <w:shd w:val="clear" w:color="000000" w:fill="ffffff"/>
            <w:tcBorders>
              <w:top w:val="single" w:color="auto" w:sz="4" w:space="0"/>
              <w:left w:val="none" w:color="000000" w:sz="4" w:space="0"/>
              <w:bottom w:val="single" w:color="auto" w:sz="4" w:space="0"/>
              <w:right w:val="single" w:color="auto" w:sz="4" w:space="0"/>
            </w:tcBorders>
            <w:tcW w:w="21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规格</w:t>
            </w:r>
            <w:r/>
          </w:p>
        </w:tc>
        <w:tc>
          <w:tcPr>
            <w:shd w:val="clear" w:color="000000" w:fill="ffffff"/>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计量单位</w:t>
            </w:r>
            <w:r/>
          </w:p>
        </w:tc>
        <w:tc>
          <w:tcPr>
            <w:shd w:val="clear" w:color="000000" w:fill="ffffff"/>
            <w:tcBorders>
              <w:top w:val="single" w:color="auto" w:sz="4" w:space="0"/>
              <w:left w:val="none" w:color="000000" w:sz="4" w:space="0"/>
              <w:bottom w:val="single" w:color="auto" w:sz="4" w:space="0"/>
              <w:right w:val="single" w:color="auto" w:sz="4" w:space="0"/>
            </w:tcBorders>
            <w:tcW w:w="3356" w:type="dxa"/>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要求</w:t>
            </w:r>
            <w:r/>
          </w:p>
        </w:tc>
      </w:tr>
      <w:tr>
        <w:trPr>
          <w:trHeight w:val="408"/>
        </w:trPr>
        <w:tc>
          <w:tcPr>
            <w:shd w:val="clear" w:color="000000" w:fill="ffffff"/>
            <w:tcBorders>
              <w:top w:val="none" w:color="000000" w:sz="4" w:space="0"/>
              <w:left w:val="single" w:color="auto" w:sz="4" w:space="0"/>
              <w:bottom w:val="single" w:color="auto" w:sz="4" w:space="0"/>
              <w:right w:val="single" w:color="auto" w:sz="4" w:space="0"/>
            </w:tcBorders>
            <w:tcW w:w="772"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auto" w:sz="4" w:space="0"/>
              <w:right w:val="single" w:color="auto" w:sz="4" w:space="0"/>
            </w:tcBorders>
            <w:tcW w:w="18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冻半成品肚子</w:t>
            </w:r>
            <w:r/>
          </w:p>
        </w:tc>
        <w:tc>
          <w:tcPr>
            <w:shd w:val="clear" w:color="000000" w:fill="ffffff"/>
            <w:tcBorders>
              <w:top w:val="none" w:color="000000" w:sz="4" w:space="0"/>
              <w:left w:val="none" w:color="000000" w:sz="4" w:space="0"/>
              <w:bottom w:val="single" w:color="auto" w:sz="4" w:space="0"/>
              <w:right w:val="single" w:color="auto" w:sz="4" w:space="0"/>
            </w:tcBorders>
            <w:tcW w:w="21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30斤/箱</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无异味，无冰、无注水</w:t>
            </w:r>
            <w:r/>
          </w:p>
        </w:tc>
      </w:tr>
      <w:tr>
        <w:trPr>
          <w:trHeight w:val="408"/>
        </w:trPr>
        <w:tc>
          <w:tcPr>
            <w:shd w:val="clear" w:color="000000" w:fill="ffffff"/>
            <w:tcBorders>
              <w:top w:val="none" w:color="000000" w:sz="4" w:space="0"/>
              <w:left w:val="single" w:color="auto" w:sz="4" w:space="0"/>
              <w:bottom w:val="single" w:color="auto" w:sz="4" w:space="0"/>
              <w:right w:val="single" w:color="auto" w:sz="4" w:space="0"/>
            </w:tcBorders>
            <w:tcW w:w="772"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w:t>
            </w:r>
            <w:r/>
          </w:p>
        </w:tc>
        <w:tc>
          <w:tcPr>
            <w:shd w:val="clear" w:color="000000" w:fill="ffffff"/>
            <w:tcBorders>
              <w:top w:val="none" w:color="000000" w:sz="4" w:space="0"/>
              <w:left w:val="none" w:color="000000" w:sz="4" w:space="0"/>
              <w:bottom w:val="single" w:color="auto" w:sz="4" w:space="0"/>
              <w:right w:val="single" w:color="auto" w:sz="4" w:space="0"/>
            </w:tcBorders>
            <w:tcW w:w="18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冻鸡胸</w:t>
            </w:r>
            <w:r/>
          </w:p>
        </w:tc>
        <w:tc>
          <w:tcPr>
            <w:shd w:val="clear" w:color="000000" w:fill="ffffff"/>
            <w:tcBorders>
              <w:top w:val="none" w:color="000000" w:sz="4" w:space="0"/>
              <w:left w:val="none" w:color="000000" w:sz="4" w:space="0"/>
              <w:bottom w:val="single" w:color="auto" w:sz="4" w:space="0"/>
              <w:right w:val="single" w:color="auto" w:sz="4" w:space="0"/>
            </w:tcBorders>
            <w:tcW w:w="21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20斤/箱</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无异味，无冰、无注水</w:t>
            </w:r>
            <w:r/>
          </w:p>
        </w:tc>
      </w:tr>
      <w:tr>
        <w:trPr>
          <w:trHeight w:val="408"/>
        </w:trPr>
        <w:tc>
          <w:tcPr>
            <w:shd w:val="clear" w:color="000000" w:fill="ffffff"/>
            <w:tcBorders>
              <w:top w:val="none" w:color="000000" w:sz="4" w:space="0"/>
              <w:left w:val="single" w:color="auto" w:sz="4" w:space="0"/>
              <w:bottom w:val="single" w:color="auto" w:sz="4" w:space="0"/>
              <w:right w:val="single" w:color="auto" w:sz="4" w:space="0"/>
            </w:tcBorders>
            <w:tcW w:w="772"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 </w:t>
            </w:r>
            <w:r/>
          </w:p>
        </w:tc>
        <w:tc>
          <w:tcPr>
            <w:shd w:val="clear" w:color="000000" w:fill="ffffff"/>
            <w:tcBorders>
              <w:top w:val="none" w:color="000000" w:sz="4" w:space="0"/>
              <w:left w:val="none" w:color="000000" w:sz="4" w:space="0"/>
              <w:bottom w:val="single" w:color="auto" w:sz="4" w:space="0"/>
              <w:right w:val="single" w:color="auto" w:sz="4" w:space="0"/>
            </w:tcBorders>
            <w:tcW w:w="18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冻鸡腿</w:t>
            </w:r>
            <w:r/>
          </w:p>
        </w:tc>
        <w:tc>
          <w:tcPr>
            <w:shd w:val="clear" w:color="000000" w:fill="ffffff"/>
            <w:tcBorders>
              <w:top w:val="none" w:color="000000" w:sz="4" w:space="0"/>
              <w:left w:val="none" w:color="000000" w:sz="4" w:space="0"/>
              <w:bottom w:val="single" w:color="auto" w:sz="4" w:space="0"/>
              <w:right w:val="single" w:color="auto" w:sz="4" w:space="0"/>
            </w:tcBorders>
            <w:tcW w:w="21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20斤/箱</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大小均匀，无冰、无注水</w:t>
            </w:r>
            <w:r/>
          </w:p>
        </w:tc>
      </w:tr>
      <w:tr>
        <w:trPr>
          <w:trHeight w:val="408"/>
        </w:trPr>
        <w:tc>
          <w:tcPr>
            <w:shd w:val="clear" w:color="000000" w:fill="ffffff"/>
            <w:tcBorders>
              <w:top w:val="none" w:color="000000" w:sz="4" w:space="0"/>
              <w:left w:val="single" w:color="auto" w:sz="4" w:space="0"/>
              <w:bottom w:val="single" w:color="auto" w:sz="4" w:space="0"/>
              <w:right w:val="single" w:color="auto" w:sz="4" w:space="0"/>
            </w:tcBorders>
            <w:tcW w:w="772"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 </w:t>
            </w:r>
            <w:r/>
          </w:p>
        </w:tc>
        <w:tc>
          <w:tcPr>
            <w:shd w:val="clear" w:color="000000" w:fill="ffffff"/>
            <w:tcBorders>
              <w:top w:val="none" w:color="000000" w:sz="4" w:space="0"/>
              <w:left w:val="none" w:color="000000" w:sz="4" w:space="0"/>
              <w:bottom w:val="single" w:color="auto" w:sz="4" w:space="0"/>
              <w:right w:val="single" w:color="auto" w:sz="4" w:space="0"/>
            </w:tcBorders>
            <w:tcW w:w="18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冻手枪腿</w:t>
            </w:r>
            <w:r/>
          </w:p>
        </w:tc>
        <w:tc>
          <w:tcPr>
            <w:shd w:val="clear" w:color="000000" w:fill="ffffff"/>
            <w:tcBorders>
              <w:top w:val="none" w:color="000000" w:sz="4" w:space="0"/>
              <w:left w:val="none" w:color="000000" w:sz="4" w:space="0"/>
              <w:bottom w:val="single" w:color="auto" w:sz="4" w:space="0"/>
              <w:right w:val="single" w:color="auto" w:sz="4" w:space="0"/>
            </w:tcBorders>
            <w:tcW w:w="21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20斤/箱</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大小均匀，无冰、无注水</w:t>
            </w:r>
            <w:r/>
          </w:p>
        </w:tc>
      </w:tr>
      <w:tr>
        <w:trPr>
          <w:trHeight w:val="408"/>
        </w:trPr>
        <w:tc>
          <w:tcPr>
            <w:shd w:val="clear" w:color="000000" w:fill="ffffff"/>
            <w:tcBorders>
              <w:top w:val="none" w:color="000000" w:sz="4" w:space="0"/>
              <w:left w:val="single" w:color="auto" w:sz="4" w:space="0"/>
              <w:bottom w:val="single" w:color="auto" w:sz="4" w:space="0"/>
              <w:right w:val="single" w:color="auto" w:sz="4" w:space="0"/>
            </w:tcBorders>
            <w:tcW w:w="772"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 </w:t>
            </w:r>
            <w:r/>
          </w:p>
        </w:tc>
        <w:tc>
          <w:tcPr>
            <w:shd w:val="clear" w:color="000000" w:fill="ffffff"/>
            <w:tcBorders>
              <w:top w:val="none" w:color="000000" w:sz="4" w:space="0"/>
              <w:left w:val="none" w:color="000000" w:sz="4" w:space="0"/>
              <w:bottom w:val="single" w:color="auto" w:sz="4" w:space="0"/>
              <w:right w:val="single" w:color="auto" w:sz="4" w:space="0"/>
            </w:tcBorders>
            <w:tcW w:w="18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冻鸡翅</w:t>
            </w:r>
            <w:r/>
          </w:p>
        </w:tc>
        <w:tc>
          <w:tcPr>
            <w:shd w:val="clear" w:color="000000" w:fill="ffffff"/>
            <w:tcBorders>
              <w:top w:val="none" w:color="000000" w:sz="4" w:space="0"/>
              <w:left w:val="none" w:color="000000" w:sz="4" w:space="0"/>
              <w:bottom w:val="single" w:color="auto" w:sz="4" w:space="0"/>
              <w:right w:val="single" w:color="auto" w:sz="4" w:space="0"/>
            </w:tcBorders>
            <w:tcW w:w="21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17斤/箱</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大小均匀，无冰、无注水</w:t>
            </w:r>
            <w:r/>
          </w:p>
        </w:tc>
      </w:tr>
      <w:tr>
        <w:trPr>
          <w:trHeight w:val="408"/>
        </w:trPr>
        <w:tc>
          <w:tcPr>
            <w:shd w:val="clear" w:color="000000" w:fill="ffffff"/>
            <w:tcBorders>
              <w:top w:val="none" w:color="000000" w:sz="4" w:space="0"/>
              <w:left w:val="single" w:color="auto" w:sz="4" w:space="0"/>
              <w:bottom w:val="single" w:color="auto" w:sz="4" w:space="0"/>
              <w:right w:val="single" w:color="auto" w:sz="4" w:space="0"/>
            </w:tcBorders>
            <w:tcW w:w="772"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 </w:t>
            </w:r>
            <w:r/>
          </w:p>
        </w:tc>
        <w:tc>
          <w:tcPr>
            <w:shd w:val="clear" w:color="000000" w:fill="ffffff"/>
            <w:tcBorders>
              <w:top w:val="none" w:color="000000" w:sz="4" w:space="0"/>
              <w:left w:val="none" w:color="000000" w:sz="4" w:space="0"/>
              <w:bottom w:val="single" w:color="auto" w:sz="4" w:space="0"/>
              <w:right w:val="single" w:color="auto" w:sz="4" w:space="0"/>
            </w:tcBorders>
            <w:tcW w:w="18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冻鸡翅根</w:t>
            </w:r>
            <w:r/>
          </w:p>
        </w:tc>
        <w:tc>
          <w:tcPr>
            <w:shd w:val="clear" w:color="000000" w:fill="ffffff"/>
            <w:tcBorders>
              <w:top w:val="none" w:color="000000" w:sz="4" w:space="0"/>
              <w:left w:val="none" w:color="000000" w:sz="4" w:space="0"/>
              <w:bottom w:val="single" w:color="auto" w:sz="4" w:space="0"/>
              <w:right w:val="single" w:color="auto" w:sz="4" w:space="0"/>
            </w:tcBorders>
            <w:tcW w:w="21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20斤/箱</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大小均匀，无冰、无注水</w:t>
            </w:r>
            <w:r/>
          </w:p>
        </w:tc>
      </w:tr>
      <w:tr>
        <w:trPr>
          <w:trHeight w:val="408"/>
        </w:trPr>
        <w:tc>
          <w:tcPr>
            <w:shd w:val="clear" w:color="000000" w:fill="ffffff"/>
            <w:tcBorders>
              <w:top w:val="none" w:color="000000" w:sz="4" w:space="0"/>
              <w:left w:val="single" w:color="auto" w:sz="4" w:space="0"/>
              <w:bottom w:val="single" w:color="auto" w:sz="4" w:space="0"/>
              <w:right w:val="single" w:color="auto" w:sz="4" w:space="0"/>
            </w:tcBorders>
            <w:tcW w:w="772"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 </w:t>
            </w:r>
            <w:r/>
          </w:p>
        </w:tc>
        <w:tc>
          <w:tcPr>
            <w:shd w:val="clear" w:color="000000" w:fill="ffffff"/>
            <w:tcBorders>
              <w:top w:val="none" w:color="000000" w:sz="4" w:space="0"/>
              <w:left w:val="none" w:color="000000" w:sz="4" w:space="0"/>
              <w:bottom w:val="single" w:color="auto" w:sz="4" w:space="0"/>
              <w:right w:val="single" w:color="auto" w:sz="4" w:space="0"/>
            </w:tcBorders>
            <w:tcW w:w="18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冻鸡翅中</w:t>
            </w:r>
            <w:r/>
          </w:p>
        </w:tc>
        <w:tc>
          <w:tcPr>
            <w:shd w:val="clear" w:color="000000" w:fill="ffffff"/>
            <w:tcBorders>
              <w:top w:val="none" w:color="000000" w:sz="4" w:space="0"/>
              <w:left w:val="none" w:color="000000" w:sz="4" w:space="0"/>
              <w:bottom w:val="single" w:color="auto" w:sz="4" w:space="0"/>
              <w:right w:val="single" w:color="auto" w:sz="4" w:space="0"/>
            </w:tcBorders>
            <w:tcW w:w="21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20斤/箱</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大小均匀，无冰、无注水</w:t>
            </w:r>
            <w:r/>
          </w:p>
        </w:tc>
      </w:tr>
      <w:tr>
        <w:trPr>
          <w:trHeight w:val="408"/>
        </w:trPr>
        <w:tc>
          <w:tcPr>
            <w:shd w:val="clear" w:color="000000" w:fill="ffffff"/>
            <w:tcBorders>
              <w:top w:val="none" w:color="000000" w:sz="4" w:space="0"/>
              <w:left w:val="single" w:color="auto" w:sz="4" w:space="0"/>
              <w:bottom w:val="single" w:color="auto" w:sz="4" w:space="0"/>
              <w:right w:val="single" w:color="auto" w:sz="4" w:space="0"/>
            </w:tcBorders>
            <w:tcW w:w="772"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 </w:t>
            </w:r>
            <w:r/>
          </w:p>
        </w:tc>
        <w:tc>
          <w:tcPr>
            <w:shd w:val="clear" w:color="000000" w:fill="ffffff"/>
            <w:tcBorders>
              <w:top w:val="none" w:color="000000" w:sz="4" w:space="0"/>
              <w:left w:val="none" w:color="000000" w:sz="4" w:space="0"/>
              <w:bottom w:val="single" w:color="auto" w:sz="4" w:space="0"/>
              <w:right w:val="single" w:color="auto" w:sz="4" w:space="0"/>
            </w:tcBorders>
            <w:tcW w:w="18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冻凤爪（大）</w:t>
            </w:r>
            <w:r/>
          </w:p>
        </w:tc>
        <w:tc>
          <w:tcPr>
            <w:shd w:val="clear" w:color="000000" w:fill="ffffff"/>
            <w:tcBorders>
              <w:top w:val="none" w:color="000000" w:sz="4" w:space="0"/>
              <w:left w:val="none" w:color="000000" w:sz="4" w:space="0"/>
              <w:bottom w:val="single" w:color="auto" w:sz="4" w:space="0"/>
              <w:right w:val="single" w:color="auto" w:sz="4" w:space="0"/>
            </w:tcBorders>
            <w:tcW w:w="21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20斤/箱</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大小均匀，无冰、无注水</w:t>
            </w:r>
            <w:r/>
          </w:p>
        </w:tc>
      </w:tr>
      <w:tr>
        <w:trPr>
          <w:trHeight w:val="408"/>
        </w:trPr>
        <w:tc>
          <w:tcPr>
            <w:shd w:val="clear" w:color="000000" w:fill="ffffff"/>
            <w:tcBorders>
              <w:top w:val="none" w:color="000000" w:sz="4" w:space="0"/>
              <w:left w:val="single" w:color="auto" w:sz="4" w:space="0"/>
              <w:bottom w:val="single" w:color="auto" w:sz="4" w:space="0"/>
              <w:right w:val="single" w:color="auto" w:sz="4" w:space="0"/>
            </w:tcBorders>
            <w:tcW w:w="772"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 </w:t>
            </w:r>
            <w:r/>
          </w:p>
        </w:tc>
        <w:tc>
          <w:tcPr>
            <w:shd w:val="clear" w:color="000000" w:fill="ffffff"/>
            <w:tcBorders>
              <w:top w:val="none" w:color="000000" w:sz="4" w:space="0"/>
              <w:left w:val="none" w:color="000000" w:sz="4" w:space="0"/>
              <w:bottom w:val="single" w:color="auto" w:sz="4" w:space="0"/>
              <w:right w:val="single" w:color="auto" w:sz="4" w:space="0"/>
            </w:tcBorders>
            <w:tcW w:w="18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冻片鸭</w:t>
            </w:r>
            <w:r/>
          </w:p>
        </w:tc>
        <w:tc>
          <w:tcPr>
            <w:shd w:val="clear" w:color="000000" w:fill="ffffff"/>
            <w:tcBorders>
              <w:top w:val="none" w:color="000000" w:sz="4" w:space="0"/>
              <w:left w:val="none" w:color="000000" w:sz="4" w:space="0"/>
              <w:bottom w:val="single" w:color="auto" w:sz="4" w:space="0"/>
              <w:right w:val="single" w:color="auto" w:sz="4" w:space="0"/>
            </w:tcBorders>
            <w:tcW w:w="21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20斤/箱</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大小均匀，无冰、无注水</w:t>
            </w:r>
            <w:r/>
          </w:p>
        </w:tc>
      </w:tr>
      <w:tr>
        <w:trPr>
          <w:trHeight w:val="408"/>
        </w:trPr>
        <w:tc>
          <w:tcPr>
            <w:shd w:val="clear" w:color="000000" w:fill="ffffff"/>
            <w:tcBorders>
              <w:top w:val="none" w:color="000000" w:sz="4" w:space="0"/>
              <w:left w:val="single" w:color="auto" w:sz="4" w:space="0"/>
              <w:bottom w:val="single" w:color="auto" w:sz="4" w:space="0"/>
              <w:right w:val="single" w:color="auto" w:sz="4" w:space="0"/>
            </w:tcBorders>
            <w:tcW w:w="772"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 </w:t>
            </w:r>
            <w:r/>
          </w:p>
        </w:tc>
        <w:tc>
          <w:tcPr>
            <w:shd w:val="clear" w:color="000000" w:fill="ffffff"/>
            <w:tcBorders>
              <w:top w:val="none" w:color="000000" w:sz="4" w:space="0"/>
              <w:left w:val="none" w:color="000000" w:sz="4" w:space="0"/>
              <w:bottom w:val="single" w:color="auto" w:sz="4" w:space="0"/>
              <w:right w:val="single" w:color="auto" w:sz="4" w:space="0"/>
            </w:tcBorders>
            <w:tcW w:w="18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冻鸭腿</w:t>
            </w:r>
            <w:r/>
          </w:p>
        </w:tc>
        <w:tc>
          <w:tcPr>
            <w:shd w:val="clear" w:color="000000" w:fill="ffffff"/>
            <w:tcBorders>
              <w:top w:val="none" w:color="000000" w:sz="4" w:space="0"/>
              <w:left w:val="none" w:color="000000" w:sz="4" w:space="0"/>
              <w:bottom w:val="single" w:color="auto" w:sz="4" w:space="0"/>
              <w:right w:val="single" w:color="auto" w:sz="4" w:space="0"/>
            </w:tcBorders>
            <w:tcW w:w="21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20斤/箱</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大小均匀，无冰、无注水</w:t>
            </w:r>
            <w:r/>
          </w:p>
        </w:tc>
      </w:tr>
      <w:tr>
        <w:trPr>
          <w:trHeight w:val="408"/>
        </w:trPr>
        <w:tc>
          <w:tcPr>
            <w:shd w:val="clear" w:color="000000" w:fill="ffffff"/>
            <w:tcBorders>
              <w:top w:val="none" w:color="000000" w:sz="4" w:space="0"/>
              <w:left w:val="single" w:color="auto" w:sz="4" w:space="0"/>
              <w:bottom w:val="single" w:color="auto" w:sz="4" w:space="0"/>
              <w:right w:val="single" w:color="auto" w:sz="4" w:space="0"/>
            </w:tcBorders>
            <w:tcW w:w="772"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 </w:t>
            </w:r>
            <w:r/>
          </w:p>
        </w:tc>
        <w:tc>
          <w:tcPr>
            <w:shd w:val="clear" w:color="000000" w:fill="ffffff"/>
            <w:tcBorders>
              <w:top w:val="none" w:color="000000" w:sz="4" w:space="0"/>
              <w:left w:val="none" w:color="000000" w:sz="4" w:space="0"/>
              <w:bottom w:val="single" w:color="auto" w:sz="4" w:space="0"/>
              <w:right w:val="single" w:color="auto" w:sz="4" w:space="0"/>
            </w:tcBorders>
            <w:tcW w:w="18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冻三黄鸡</w:t>
            </w:r>
            <w:r/>
          </w:p>
        </w:tc>
        <w:tc>
          <w:tcPr>
            <w:shd w:val="clear" w:color="000000" w:fill="ffffff"/>
            <w:tcBorders>
              <w:top w:val="none" w:color="000000" w:sz="4" w:space="0"/>
              <w:left w:val="none" w:color="000000" w:sz="4" w:space="0"/>
              <w:bottom w:val="single" w:color="auto" w:sz="4" w:space="0"/>
              <w:right w:val="single" w:color="auto" w:sz="4" w:space="0"/>
            </w:tcBorders>
            <w:tcW w:w="21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20斤/箱</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大小均匀，无冰、无注水</w:t>
            </w:r>
            <w:r/>
          </w:p>
        </w:tc>
      </w:tr>
      <w:tr>
        <w:trPr>
          <w:trHeight w:val="408"/>
        </w:trPr>
        <w:tc>
          <w:tcPr>
            <w:shd w:val="clear" w:color="000000" w:fill="ffffff"/>
            <w:tcBorders>
              <w:top w:val="none" w:color="000000" w:sz="4" w:space="0"/>
              <w:left w:val="single" w:color="auto" w:sz="4" w:space="0"/>
              <w:bottom w:val="single" w:color="auto" w:sz="4" w:space="0"/>
              <w:right w:val="single" w:color="auto" w:sz="4" w:space="0"/>
            </w:tcBorders>
            <w:tcW w:w="772"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 </w:t>
            </w:r>
            <w:r/>
          </w:p>
        </w:tc>
        <w:tc>
          <w:tcPr>
            <w:shd w:val="clear" w:color="000000" w:fill="ffffff"/>
            <w:tcBorders>
              <w:top w:val="none" w:color="000000" w:sz="4" w:space="0"/>
              <w:left w:val="none" w:color="000000" w:sz="4" w:space="0"/>
              <w:bottom w:val="single" w:color="auto" w:sz="4" w:space="0"/>
              <w:right w:val="single" w:color="auto" w:sz="4" w:space="0"/>
            </w:tcBorders>
            <w:tcW w:w="18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冻乌骨鸡</w:t>
            </w:r>
            <w:r/>
          </w:p>
        </w:tc>
        <w:tc>
          <w:tcPr>
            <w:shd w:val="clear" w:color="000000" w:fill="ffffff"/>
            <w:tcBorders>
              <w:top w:val="none" w:color="000000" w:sz="4" w:space="0"/>
              <w:left w:val="none" w:color="000000" w:sz="4" w:space="0"/>
              <w:bottom w:val="single" w:color="auto" w:sz="4" w:space="0"/>
              <w:right w:val="single" w:color="auto" w:sz="4" w:space="0"/>
            </w:tcBorders>
            <w:tcW w:w="21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20斤/箱</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大小均匀，无冰、无注水</w:t>
            </w:r>
            <w:r/>
          </w:p>
        </w:tc>
      </w:tr>
      <w:tr>
        <w:trPr>
          <w:trHeight w:val="408"/>
        </w:trPr>
        <w:tc>
          <w:tcPr>
            <w:shd w:val="clear" w:color="000000" w:fill="ffffff"/>
            <w:tcBorders>
              <w:top w:val="none" w:color="000000" w:sz="4" w:space="0"/>
              <w:left w:val="single" w:color="auto" w:sz="4" w:space="0"/>
              <w:bottom w:val="single" w:color="auto" w:sz="4" w:space="0"/>
              <w:right w:val="single" w:color="auto" w:sz="4" w:space="0"/>
            </w:tcBorders>
            <w:tcW w:w="772"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 </w:t>
            </w:r>
            <w:r/>
          </w:p>
        </w:tc>
        <w:tc>
          <w:tcPr>
            <w:shd w:val="clear" w:color="000000" w:fill="ffffff"/>
            <w:tcBorders>
              <w:top w:val="none" w:color="000000" w:sz="4" w:space="0"/>
              <w:left w:val="none" w:color="000000" w:sz="4" w:space="0"/>
              <w:bottom w:val="single" w:color="auto" w:sz="4" w:space="0"/>
              <w:right w:val="single" w:color="auto" w:sz="4" w:space="0"/>
            </w:tcBorders>
            <w:tcW w:w="18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冻鸽子</w:t>
            </w:r>
            <w:r/>
          </w:p>
        </w:tc>
        <w:tc>
          <w:tcPr>
            <w:shd w:val="clear" w:color="000000" w:fill="ffffff"/>
            <w:tcBorders>
              <w:top w:val="none" w:color="000000" w:sz="4" w:space="0"/>
              <w:left w:val="none" w:color="000000" w:sz="4" w:space="0"/>
              <w:bottom w:val="single" w:color="auto" w:sz="4" w:space="0"/>
              <w:right w:val="single" w:color="auto" w:sz="4" w:space="0"/>
            </w:tcBorders>
            <w:tcW w:w="21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0.7斤/只</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3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大小均匀，无冰、无注水</w:t>
            </w:r>
            <w:r/>
          </w:p>
        </w:tc>
      </w:tr>
      <w:tr>
        <w:trPr>
          <w:trHeight w:val="408"/>
        </w:trPr>
        <w:tc>
          <w:tcPr>
            <w:shd w:val="clear" w:color="000000" w:fill="ffffff"/>
            <w:tcBorders>
              <w:top w:val="none" w:color="000000" w:sz="4" w:space="0"/>
              <w:left w:val="single" w:color="auto" w:sz="4" w:space="0"/>
              <w:bottom w:val="single" w:color="auto" w:sz="4" w:space="0"/>
              <w:right w:val="single" w:color="auto" w:sz="4" w:space="0"/>
            </w:tcBorders>
            <w:tcW w:w="772"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 </w:t>
            </w:r>
            <w:r/>
          </w:p>
        </w:tc>
        <w:tc>
          <w:tcPr>
            <w:shd w:val="clear" w:color="000000" w:fill="ffffff"/>
            <w:tcBorders>
              <w:top w:val="none" w:color="000000" w:sz="4" w:space="0"/>
              <w:left w:val="none" w:color="000000" w:sz="4" w:space="0"/>
              <w:bottom w:val="single" w:color="auto" w:sz="4" w:space="0"/>
              <w:right w:val="single" w:color="auto" w:sz="4" w:space="0"/>
            </w:tcBorders>
            <w:tcW w:w="18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冻鹌鹑</w:t>
            </w:r>
            <w:r/>
          </w:p>
        </w:tc>
        <w:tc>
          <w:tcPr>
            <w:shd w:val="clear" w:color="000000" w:fill="ffffff"/>
            <w:tcBorders>
              <w:top w:val="none" w:color="000000" w:sz="4" w:space="0"/>
              <w:left w:val="none" w:color="000000" w:sz="4" w:space="0"/>
              <w:bottom w:val="single" w:color="auto" w:sz="4" w:space="0"/>
              <w:right w:val="single" w:color="auto" w:sz="4" w:space="0"/>
            </w:tcBorders>
            <w:tcW w:w="21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0.1-0.2斤/只</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3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大小均匀，无冰、无注水</w:t>
            </w:r>
            <w:r/>
          </w:p>
        </w:tc>
      </w:tr>
      <w:tr>
        <w:trPr>
          <w:trHeight w:val="418"/>
        </w:trPr>
        <w:tc>
          <w:tcPr>
            <w:shd w:val="clear" w:color="000000" w:fill="ffffff"/>
            <w:tcBorders>
              <w:top w:val="none" w:color="000000" w:sz="4" w:space="0"/>
              <w:left w:val="single" w:color="auto" w:sz="4" w:space="0"/>
              <w:bottom w:val="single" w:color="auto" w:sz="4" w:space="0"/>
              <w:right w:val="single" w:color="auto" w:sz="4" w:space="0"/>
            </w:tcBorders>
            <w:tcW w:w="772"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 </w:t>
            </w:r>
            <w:r/>
          </w:p>
        </w:tc>
        <w:tc>
          <w:tcPr>
            <w:shd w:val="clear" w:color="000000" w:fill="ffffff"/>
            <w:tcBorders>
              <w:top w:val="none" w:color="000000" w:sz="4" w:space="0"/>
              <w:left w:val="none" w:color="000000" w:sz="4" w:space="0"/>
              <w:bottom w:val="single" w:color="auto" w:sz="4" w:space="0"/>
              <w:right w:val="single" w:color="auto" w:sz="4" w:space="0"/>
            </w:tcBorders>
            <w:tcW w:w="185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冻草鸡</w:t>
            </w:r>
            <w:r/>
          </w:p>
        </w:tc>
        <w:tc>
          <w:tcPr>
            <w:shd w:val="clear" w:color="000000" w:fill="ffffff"/>
            <w:tcBorders>
              <w:top w:val="none" w:color="000000" w:sz="4" w:space="0"/>
              <w:left w:val="none" w:color="000000" w:sz="4" w:space="0"/>
              <w:bottom w:val="single" w:color="auto" w:sz="4" w:space="0"/>
              <w:right w:val="single" w:color="auto" w:sz="4" w:space="0"/>
            </w:tcBorders>
            <w:tcW w:w="21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22斤/箱</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大小均匀，无冰、无注水</w:t>
            </w:r>
            <w:r/>
          </w:p>
        </w:tc>
      </w:tr>
    </w:tbl>
    <w:p>
      <w:pPr>
        <w:spacing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（4）水产品类</w:t>
      </w:r>
      <w:r>
        <w:rPr>
          <w:rFonts w:hint="eastAsia" w:ascii="宋体" w:hAnsi="宋体" w:eastAsia="宋体" w:cs="宋体"/>
          <w:b/>
          <w:color w:val="000000" w:themeColor="text1"/>
          <w:sz w:val="24"/>
          <w:szCs w:val="24"/>
          <w:highlight w:val="none"/>
          <w14:textFill>
            <w14:solidFill>
              <w14:schemeClr w14:val="tx1"/>
            </w14:solidFill>
          </w14:textFill>
        </w:rPr>
        <w:t xml:space="preserve">（包含但不限于）</w:t>
      </w:r>
      <w:r/>
    </w:p>
    <w:tbl>
      <w:tblPr>
        <w:tblStyle w:val="740"/>
        <w:tblW w:w="9229" w:type="dxa"/>
        <w:tblInd w:w="93" w:type="dxa"/>
        <w:tblLayout w:type="autofit"/>
        <w:tblCellMar>
          <w:left w:w="108" w:type="dxa"/>
          <w:top w:w="0" w:type="dxa"/>
          <w:right w:w="108" w:type="dxa"/>
          <w:bottom w:w="0" w:type="dxa"/>
        </w:tblCellMar>
        <w:tblLook w:val="04A0" w:firstRow="1" w:lastRow="0" w:firstColumn="1" w:lastColumn="0" w:noHBand="0" w:noVBand="1"/>
      </w:tblPr>
      <w:tblGrid>
        <w:gridCol w:w="1080"/>
        <w:gridCol w:w="1920"/>
        <w:gridCol w:w="2020"/>
        <w:gridCol w:w="1080"/>
        <w:gridCol w:w="3129"/>
      </w:tblGrid>
      <w:tr>
        <w:trPr>
          <w:trHeight w:val="480"/>
        </w:trPr>
        <w:tc>
          <w:tcPr>
            <w:shd w:val="clear" w:color="000000"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品名</w:t>
            </w:r>
            <w:r/>
          </w:p>
        </w:tc>
        <w:tc>
          <w:tcPr>
            <w:shd w:val="clear" w:color="000000" w:fill="ffffff"/>
            <w:tcBorders>
              <w:top w:val="single" w:color="auto"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规格</w:t>
            </w:r>
            <w:r/>
          </w:p>
        </w:tc>
        <w:tc>
          <w:tcPr>
            <w:shd w:val="clear" w:color="000000" w:fill="ffffff"/>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计量单位</w:t>
            </w:r>
            <w:r/>
          </w:p>
        </w:tc>
        <w:tc>
          <w:tcPr>
            <w:shd w:val="clear" w:color="000000" w:fill="ffffff"/>
            <w:tcBorders>
              <w:top w:val="single" w:color="auto" w:sz="4" w:space="0"/>
              <w:left w:val="none" w:color="000000" w:sz="4" w:space="0"/>
              <w:bottom w:val="single" w:color="auto" w:sz="4" w:space="0"/>
              <w:right w:val="single" w:color="auto" w:sz="4" w:space="0"/>
            </w:tcBorders>
            <w:tcW w:w="3129"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要求</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小鲫鱼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150克/条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大鲫鱼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0.8-0.9斤/条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草鱼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5斤以上/条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鳊鱼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1斤左右/条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小鲈鱼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1斤左右/条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大鲈鱼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750克左右/条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银鱼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5cm/条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甲鱼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1斤左右/只</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黑鱼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1斤左右/条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中白鱼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1.5斤/条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大白鱼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2.5斤左右/条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桂鱼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1.5斤以上/条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翁公鱼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0.25-0.3斤/条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花鲢</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5斤以上/条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白鲢</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5斤以上/条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大河虾</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5cm/只以上</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中河虾</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4-5cm/只</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大基围虾</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30只左右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中基围虾</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40只左右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牛蛙</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0.6-0.8斤/只</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黄鳝</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0.25-0.3斤/条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本带鱼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0.4-0.5斤/条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新鲜、速冻、无异味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小黄鱼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0.25-0.4斤/条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新鲜、速冻、无异味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蚌肉</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新鲜、无沙、无异味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鳕龙鱼  </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1.5斤左右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新鲜、速冻、无异味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咸黄鱼 </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1.5斤左右</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新鲜、速冻、无异味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小鲳鱼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0.2-0.25斤/条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新鲜、速冻、无异味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多宝鱼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1-1.2斤/条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新鲜、速冻、无异味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河鳗</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1.5斤左右/条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大白虾</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3-4cm/只</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目鱼</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4-6斤/条</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新鲜、速冻、无异味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扇贝</w:t>
            </w:r>
            <w:r/>
          </w:p>
        </w:tc>
        <w:tc>
          <w:tcPr>
            <w:shd w:val="clear" w:color="000000" w:fill="ffffff"/>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0.12-0.15斤/只</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9"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活、无沙</w:t>
            </w:r>
            <w:r/>
          </w:p>
        </w:tc>
      </w:tr>
    </w:tbl>
    <w:p>
      <w:pPr>
        <w:spacing w:line="4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水果类（包含但不限于）</w:t>
      </w:r>
      <w:r/>
    </w:p>
    <w:tbl>
      <w:tblPr>
        <w:tblStyle w:val="740"/>
        <w:tblW w:w="9196" w:type="dxa"/>
        <w:tblInd w:w="93" w:type="dxa"/>
        <w:tblLayout w:type="autofit"/>
        <w:tblCellMar>
          <w:left w:w="108" w:type="dxa"/>
          <w:top w:w="0" w:type="dxa"/>
          <w:right w:w="108" w:type="dxa"/>
          <w:bottom w:w="0" w:type="dxa"/>
        </w:tblCellMar>
        <w:tblLook w:val="04A0" w:firstRow="1" w:lastRow="0" w:firstColumn="1" w:lastColumn="0" w:noHBand="0" w:noVBand="1"/>
      </w:tblPr>
      <w:tblGrid>
        <w:gridCol w:w="856"/>
        <w:gridCol w:w="1713"/>
        <w:gridCol w:w="1462"/>
        <w:gridCol w:w="1314"/>
        <w:gridCol w:w="3851"/>
      </w:tblGrid>
      <w:tr>
        <w:trPr>
          <w:trHeight w:val="621"/>
        </w:trPr>
        <w:tc>
          <w:tcPr>
            <w:shd w:val="clear" w:color="000000" w:fill="ffffff"/>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71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品名</w:t>
            </w:r>
            <w:r/>
          </w:p>
        </w:tc>
        <w:tc>
          <w:tcPr>
            <w:shd w:val="clear" w:color="000000" w:fill="ffffff"/>
            <w:tcBorders>
              <w:top w:val="single" w:color="auto" w:sz="4" w:space="0"/>
              <w:left w:val="none" w:color="000000" w:sz="4" w:space="0"/>
              <w:bottom w:val="single" w:color="auto" w:sz="4" w:space="0"/>
              <w:right w:val="single" w:color="auto" w:sz="4" w:space="0"/>
            </w:tcBorders>
            <w:tcW w:w="146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规格</w:t>
            </w:r>
            <w:r/>
          </w:p>
        </w:tc>
        <w:tc>
          <w:tcPr>
            <w:shd w:val="clear" w:color="000000" w:fill="ffffff"/>
            <w:tcBorders>
              <w:top w:val="single" w:color="auto"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计量单位</w:t>
            </w:r>
            <w:r/>
          </w:p>
        </w:tc>
        <w:tc>
          <w:tcPr>
            <w:shd w:val="clear" w:color="000000" w:fill="ffffff"/>
            <w:tcBorders>
              <w:top w:val="single" w:color="auto" w:sz="4" w:space="0"/>
              <w:left w:val="none" w:color="000000" w:sz="4" w:space="0"/>
              <w:bottom w:val="single" w:color="auto" w:sz="4" w:space="0"/>
              <w:right w:val="single" w:color="auto" w:sz="4" w:space="0"/>
            </w:tcBorders>
            <w:tcW w:w="3851" w:type="dxa"/>
            <w:vAlign w:val="center"/>
            <w:textDirection w:val="lrTb"/>
            <w:noWrap/>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要求</w:t>
            </w:r>
            <w:r/>
          </w:p>
        </w:tc>
      </w:tr>
      <w:tr>
        <w:trPr>
          <w:trHeight w:val="382"/>
        </w:trPr>
        <w:tc>
          <w:tcPr>
            <w:shd w:val="clear" w:color="000000" w:fill="ffffff"/>
            <w:tcBorders>
              <w:top w:val="none" w:color="000000" w:sz="4" w:space="0"/>
              <w:left w:val="single" w:color="auto" w:sz="4" w:space="0"/>
              <w:bottom w:val="single" w:color="auto" w:sz="4" w:space="0"/>
              <w:right w:val="single" w:color="auto" w:sz="4" w:space="0"/>
            </w:tcBorders>
            <w:tcW w:w="8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1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苹果</w:t>
            </w:r>
            <w:r/>
          </w:p>
        </w:tc>
        <w:tc>
          <w:tcPr>
            <w:shd w:val="clear" w:color="000000" w:fill="ffffff"/>
            <w:tcBorders>
              <w:top w:val="none" w:color="000000" w:sz="4" w:space="0"/>
              <w:left w:val="none" w:color="000000" w:sz="4" w:space="0"/>
              <w:bottom w:val="single" w:color="auto" w:sz="4" w:space="0"/>
              <w:right w:val="single" w:color="auto" w:sz="4" w:space="0"/>
            </w:tcBorders>
            <w:tcW w:w="146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51"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rPr>
                <w:rFonts w:hint="eastAsia" w:ascii="宋体" w:hAnsi="宋体" w:eastAsia="宋体" w:cs="宋体"/>
                <w:color w:val="000000" w:themeColor="text1"/>
                <w:sz w:val="24"/>
                <w:szCs w:val="24"/>
                <w:highlight w:val="none"/>
                <w14:textFill>
                  <w14:solidFill>
                    <w14:schemeClr w14:val="tx1"/>
                  </w14:solidFill>
                </w14:textFill>
              </w:rPr>
              <w:t xml:space="preserve">脆甜、多汁</w:t>
            </w:r>
            <w:r/>
          </w:p>
        </w:tc>
      </w:tr>
      <w:tr>
        <w:trPr>
          <w:trHeight w:val="382"/>
        </w:trPr>
        <w:tc>
          <w:tcPr>
            <w:shd w:val="clear" w:color="000000" w:fill="ffffff"/>
            <w:tcBorders>
              <w:top w:val="none" w:color="000000" w:sz="4" w:space="0"/>
              <w:left w:val="single" w:color="auto" w:sz="4" w:space="0"/>
              <w:bottom w:val="single" w:color="auto" w:sz="4" w:space="0"/>
              <w:right w:val="single" w:color="auto" w:sz="4" w:space="0"/>
            </w:tcBorders>
            <w:tcW w:w="8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1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香蕉</w:t>
            </w:r>
            <w:r/>
          </w:p>
        </w:tc>
        <w:tc>
          <w:tcPr>
            <w:shd w:val="clear" w:color="000000" w:fill="ffffff"/>
            <w:tcBorders>
              <w:top w:val="none" w:color="000000" w:sz="4" w:space="0"/>
              <w:left w:val="none" w:color="000000" w:sz="4" w:space="0"/>
              <w:bottom w:val="single" w:color="auto" w:sz="4" w:space="0"/>
              <w:right w:val="single" w:color="auto" w:sz="4" w:space="0"/>
            </w:tcBorders>
            <w:tcW w:w="146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51"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rPr>
                <w:rFonts w:hint="eastAsia" w:ascii="宋体" w:hAnsi="宋体" w:eastAsia="宋体" w:cs="宋体"/>
                <w:color w:val="000000" w:themeColor="text1"/>
                <w:sz w:val="24"/>
                <w:szCs w:val="24"/>
                <w:highlight w:val="none"/>
                <w14:textFill>
                  <w14:solidFill>
                    <w14:schemeClr w14:val="tx1"/>
                  </w14:solidFill>
                </w14:textFill>
              </w:rPr>
              <w:t xml:space="preserve">自然熟，不得有硫磺熏熟</w:t>
            </w:r>
            <w:r/>
          </w:p>
        </w:tc>
      </w:tr>
      <w:tr>
        <w:trPr>
          <w:trHeight w:val="382"/>
        </w:trPr>
        <w:tc>
          <w:tcPr>
            <w:shd w:val="clear" w:color="000000" w:fill="ffffff"/>
            <w:tcBorders>
              <w:top w:val="none" w:color="000000" w:sz="4" w:space="0"/>
              <w:left w:val="single" w:color="auto" w:sz="4" w:space="0"/>
              <w:bottom w:val="single" w:color="auto" w:sz="4" w:space="0"/>
              <w:right w:val="single" w:color="auto" w:sz="4" w:space="0"/>
            </w:tcBorders>
            <w:tcW w:w="8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71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哈密瓜</w:t>
            </w:r>
            <w:r/>
          </w:p>
        </w:tc>
        <w:tc>
          <w:tcPr>
            <w:shd w:val="clear" w:color="000000" w:fill="ffffff"/>
            <w:tcBorders>
              <w:top w:val="none" w:color="000000" w:sz="4" w:space="0"/>
              <w:left w:val="none" w:color="000000" w:sz="4" w:space="0"/>
              <w:bottom w:val="single" w:color="auto" w:sz="4" w:space="0"/>
              <w:right w:val="single" w:color="auto" w:sz="4" w:space="0"/>
            </w:tcBorders>
            <w:tcW w:w="146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51"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rPr>
                <w:rFonts w:hint="eastAsia" w:ascii="宋体" w:hAnsi="宋体" w:eastAsia="宋体" w:cs="宋体"/>
                <w:color w:val="000000" w:themeColor="text1"/>
                <w:sz w:val="24"/>
                <w:szCs w:val="24"/>
                <w:highlight w:val="none"/>
                <w14:textFill>
                  <w14:solidFill>
                    <w14:schemeClr w14:val="tx1"/>
                  </w14:solidFill>
                </w14:textFill>
              </w:rPr>
              <w:t xml:space="preserve">脆甜</w:t>
            </w:r>
            <w:r/>
          </w:p>
        </w:tc>
      </w:tr>
      <w:tr>
        <w:trPr>
          <w:trHeight w:val="382"/>
        </w:trPr>
        <w:tc>
          <w:tcPr>
            <w:shd w:val="clear" w:color="000000" w:fill="ffffff"/>
            <w:tcBorders>
              <w:top w:val="none" w:color="000000" w:sz="4" w:space="0"/>
              <w:left w:val="single" w:color="auto" w:sz="4" w:space="0"/>
              <w:bottom w:val="single" w:color="auto" w:sz="4" w:space="0"/>
              <w:right w:val="single" w:color="auto" w:sz="4" w:space="0"/>
            </w:tcBorders>
            <w:tcW w:w="8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71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海南西瓜</w:t>
            </w:r>
            <w:r/>
          </w:p>
        </w:tc>
        <w:tc>
          <w:tcPr>
            <w:shd w:val="clear" w:color="000000" w:fill="ffffff"/>
            <w:tcBorders>
              <w:top w:val="none" w:color="000000" w:sz="4" w:space="0"/>
              <w:left w:val="none" w:color="000000" w:sz="4" w:space="0"/>
              <w:bottom w:val="single" w:color="auto" w:sz="4" w:space="0"/>
              <w:right w:val="single" w:color="auto" w:sz="4" w:space="0"/>
            </w:tcBorders>
            <w:tcW w:w="146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51"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rPr>
                <w:rFonts w:hint="eastAsia" w:ascii="宋体" w:hAnsi="宋体" w:eastAsia="宋体" w:cs="宋体"/>
                <w:color w:val="000000" w:themeColor="text1"/>
                <w:sz w:val="24"/>
                <w:szCs w:val="24"/>
                <w:highlight w:val="none"/>
                <w14:textFill>
                  <w14:solidFill>
                    <w14:schemeClr w14:val="tx1"/>
                  </w14:solidFill>
                </w14:textFill>
              </w:rPr>
              <w:t xml:space="preserve">无籽、无人工催熟</w:t>
            </w:r>
            <w:r/>
          </w:p>
        </w:tc>
      </w:tr>
      <w:tr>
        <w:trPr>
          <w:trHeight w:val="382"/>
        </w:trPr>
        <w:tc>
          <w:tcPr>
            <w:shd w:val="clear" w:color="000000" w:fill="ffffff"/>
            <w:tcBorders>
              <w:top w:val="none" w:color="000000" w:sz="4" w:space="0"/>
              <w:left w:val="single" w:color="auto" w:sz="4" w:space="0"/>
              <w:bottom w:val="single" w:color="auto" w:sz="4" w:space="0"/>
              <w:right w:val="single" w:color="auto" w:sz="4" w:space="0"/>
            </w:tcBorders>
            <w:tcW w:w="8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71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菠萝</w:t>
            </w:r>
            <w:r/>
          </w:p>
        </w:tc>
        <w:tc>
          <w:tcPr>
            <w:shd w:val="clear" w:color="000000" w:fill="ffffff"/>
            <w:tcBorders>
              <w:top w:val="none" w:color="000000" w:sz="4" w:space="0"/>
              <w:left w:val="none" w:color="000000" w:sz="4" w:space="0"/>
              <w:bottom w:val="single" w:color="auto" w:sz="4" w:space="0"/>
              <w:right w:val="single" w:color="auto" w:sz="4" w:space="0"/>
            </w:tcBorders>
            <w:tcW w:w="146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51"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新鲜/去皮</w:t>
            </w:r>
            <w:r/>
          </w:p>
        </w:tc>
      </w:tr>
      <w:tr>
        <w:trPr>
          <w:trHeight w:val="382"/>
        </w:trPr>
        <w:tc>
          <w:tcPr>
            <w:shd w:val="clear" w:color="000000" w:fill="ffffff"/>
            <w:tcBorders>
              <w:top w:val="none" w:color="000000" w:sz="4" w:space="0"/>
              <w:left w:val="single" w:color="auto" w:sz="4" w:space="0"/>
              <w:bottom w:val="single" w:color="auto" w:sz="4" w:space="0"/>
              <w:right w:val="single" w:color="auto" w:sz="4" w:space="0"/>
            </w:tcBorders>
            <w:tcW w:w="8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71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圣女果</w:t>
            </w:r>
            <w:r/>
          </w:p>
        </w:tc>
        <w:tc>
          <w:tcPr>
            <w:shd w:val="clear" w:color="000000" w:fill="ffffff"/>
            <w:tcBorders>
              <w:top w:val="none" w:color="000000" w:sz="4" w:space="0"/>
              <w:left w:val="none" w:color="000000" w:sz="4" w:space="0"/>
              <w:bottom w:val="single" w:color="auto" w:sz="4" w:space="0"/>
              <w:right w:val="single" w:color="auto" w:sz="4" w:space="0"/>
            </w:tcBorders>
            <w:tcW w:w="146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51"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w:t>
            </w:r>
            <w:r/>
          </w:p>
        </w:tc>
      </w:tr>
      <w:tr>
        <w:trPr>
          <w:trHeight w:val="391"/>
        </w:trPr>
        <w:tc>
          <w:tcPr>
            <w:shd w:val="clear" w:color="000000" w:fill="ffffff"/>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凤梨</w:t>
            </w:r>
            <w:r/>
          </w:p>
        </w:tc>
        <w:tc>
          <w:tcPr>
            <w:shd w:val="clear" w:color="000000" w:fill="ffffff"/>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净/去皮</w:t>
            </w:r>
            <w:r/>
          </w:p>
        </w:tc>
        <w:tc>
          <w:tcPr>
            <w:shd w:val="clear" w:color="000000" w:fill="ffffff"/>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斤</w:t>
            </w:r>
            <w:r/>
          </w:p>
        </w:tc>
        <w:tc>
          <w:tcPr>
            <w:shd w:val="clear" w:color="000000" w:fill="ffffff"/>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新鲜/去皮</w:t>
            </w:r>
            <w:r/>
          </w:p>
        </w:tc>
      </w:tr>
    </w:tbl>
    <w:p>
      <w:pPr>
        <w:spacing w:line="4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（6）酸奶类（包含但不限于）</w:t>
      </w:r>
      <w:r/>
    </w:p>
    <w:tbl>
      <w:tblPr>
        <w:tblStyle w:val="740"/>
        <w:tblpPr w:horzAnchor="page" w:tblpX="1518" w:vertAnchor="text" w:tblpY="486" w:leftFromText="180" w:topFromText="0" w:rightFromText="180" w:bottomFromText="0"/>
        <w:tblW w:w="9239" w:type="dxa"/>
        <w:tblInd w:w="0" w:type="dxa"/>
        <w:tblLayout w:type="fixed"/>
        <w:tblCellMar>
          <w:left w:w="108" w:type="dxa"/>
          <w:top w:w="0" w:type="dxa"/>
          <w:right w:w="108" w:type="dxa"/>
          <w:bottom w:w="0" w:type="dxa"/>
        </w:tblCellMar>
        <w:tblLook w:val="04A0" w:firstRow="1" w:lastRow="0" w:firstColumn="1" w:lastColumn="0" w:noHBand="0" w:noVBand="1"/>
      </w:tblPr>
      <w:tblGrid>
        <w:gridCol w:w="866"/>
        <w:gridCol w:w="1706"/>
        <w:gridCol w:w="2796"/>
        <w:gridCol w:w="3871"/>
      </w:tblGrid>
      <w:tr>
        <w:trPr>
          <w:trHeight w:val="652"/>
        </w:trPr>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jc w:val="center"/>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品名</w:t>
            </w:r>
            <w:r/>
          </w:p>
        </w:tc>
        <w:tc>
          <w:tcPr>
            <w:tcBorders>
              <w:top w:val="single" w:color="auto" w:sz="4" w:space="0"/>
              <w:left w:val="none" w:color="000000" w:sz="4" w:space="0"/>
              <w:bottom w:val="single" w:color="auto" w:sz="4" w:space="0"/>
              <w:right w:val="single" w:color="auto" w:sz="4" w:space="0"/>
            </w:tcBorders>
            <w:tcW w:w="2796" w:type="dxa"/>
            <w:vAlign w:val="center"/>
            <w:textDirection w:val="lrTb"/>
            <w:noWrap/>
          </w:tcPr>
          <w:p>
            <w:pPr>
              <w:jc w:val="center"/>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品牌</w:t>
            </w:r>
            <w:r/>
          </w:p>
        </w:tc>
        <w:tc>
          <w:tcPr>
            <w:tcBorders>
              <w:top w:val="single" w:color="auto" w:sz="4" w:space="0"/>
              <w:left w:val="none" w:color="000000" w:sz="4" w:space="0"/>
              <w:bottom w:val="single" w:color="auto" w:sz="4" w:space="0"/>
              <w:right w:val="single" w:color="auto" w:sz="4" w:space="0"/>
            </w:tcBorders>
            <w:tcW w:w="3871" w:type="dxa"/>
            <w:vAlign w:val="center"/>
            <w:textDirection w:val="lrTb"/>
            <w:noWrap/>
          </w:tcPr>
          <w:p>
            <w:pPr>
              <w:jc w:val="center"/>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规格</w:t>
            </w:r>
            <w:r/>
          </w:p>
        </w:tc>
      </w:tr>
      <w:tr>
        <w:trPr>
          <w:trHeight w:val="662"/>
        </w:trPr>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70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酸奶</w:t>
            </w:r>
            <w:r/>
          </w:p>
        </w:tc>
        <w:tc>
          <w:tcPr>
            <w:tcBorders>
              <w:top w:val="single" w:color="auto" w:sz="4" w:space="0"/>
              <w:left w:val="none" w:color="000000" w:sz="4" w:space="0"/>
              <w:bottom w:val="single" w:color="auto" w:sz="4" w:space="0"/>
              <w:right w:val="single" w:color="auto" w:sz="4" w:space="0"/>
            </w:tcBorders>
            <w:tcW w:w="279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卡士</w:t>
            </w:r>
            <w:r>
              <w:rPr>
                <w:rFonts w:hint="eastAsia" w:ascii="宋体" w:hAnsi="宋体" w:eastAsia="宋体" w:cs="宋体"/>
                <w:color w:val="000000" w:themeColor="text1"/>
                <w:sz w:val="24"/>
                <w:szCs w:val="24"/>
                <w:highlight w:val="none"/>
                <w14:textFill>
                  <w14:solidFill>
                    <w14:schemeClr w14:val="tx1"/>
                  </w14:solidFill>
                </w14:textFill>
              </w:rPr>
              <w:t xml:space="preserve">或同等及以上档次</w:t>
            </w:r>
            <w:r/>
          </w:p>
        </w:tc>
        <w:tc>
          <w:tcPr>
            <w:tcBorders>
              <w:top w:val="single" w:color="auto" w:sz="4" w:space="0"/>
              <w:left w:val="none" w:color="000000" w:sz="4" w:space="0"/>
              <w:bottom w:val="single" w:color="auto" w:sz="4" w:space="0"/>
              <w:right w:val="single" w:color="auto" w:sz="4" w:space="0"/>
            </w:tcBorders>
            <w:tcW w:w="3871"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100g/盒</w:t>
            </w:r>
            <w:r/>
          </w:p>
        </w:tc>
      </w:tr>
    </w:tbl>
    <w:p>
      <w:pPr>
        <w:spacing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numPr>
          <w:ilvl w:val="0"/>
          <w:numId w:val="16"/>
        </w:numPr>
        <w:spacing w:line="4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米、面、粮油、干货、调味品（包含但不限于）</w:t>
      </w:r>
      <w:r/>
    </w:p>
    <w:tbl>
      <w:tblPr>
        <w:tblStyle w:val="740"/>
        <w:tblW w:w="9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60"/>
        <w:gridCol w:w="3161"/>
        <w:gridCol w:w="3158"/>
      </w:tblGrid>
      <w:tr>
        <w:trPr>
          <w:trHeight w:val="297"/>
        </w:trPr>
        <w:tc>
          <w:tcPr>
            <w:tcW w:w="3160"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货物名称</w:t>
            </w:r>
            <w:r/>
          </w:p>
        </w:tc>
        <w:tc>
          <w:tcPr>
            <w:tcW w:w="316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规格</w:t>
            </w:r>
            <w:r/>
          </w:p>
        </w:tc>
        <w:tc>
          <w:tcPr>
            <w:tcW w:w="315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计价单位</w:t>
            </w:r>
            <w:r/>
          </w:p>
        </w:tc>
      </w:tr>
      <w:tr>
        <w:trPr>
          <w:trHeight w:val="468"/>
        </w:trPr>
        <w:tc>
          <w:tcPr>
            <w:tcW w:w="3160" w:type="dxa"/>
            <w:vAlign w:val="center"/>
            <w:textDirection w:val="lrTb"/>
            <w:noWrap w:val="false"/>
          </w:tcPr>
          <w:p>
            <w:pPr>
              <w:jc w:val="center"/>
              <w:spacing w:line="440" w:lineRule="exact"/>
              <w:tabs>
                <w:tab w:val="left" w:pos="52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大米</w:t>
            </w:r>
            <w:r/>
          </w:p>
        </w:tc>
        <w:tc>
          <w:tcPr>
            <w:tcW w:w="3161" w:type="dxa"/>
            <w:vAlign w:val="center"/>
            <w:textDirection w:val="lrTb"/>
            <w:noWrap w:val="false"/>
          </w:tcPr>
          <w:p>
            <w:pPr>
              <w:jc w:val="center"/>
              <w:spacing w:line="440" w:lineRule="exact"/>
              <w:tabs>
                <w:tab w:val="left" w:pos="52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50斤/包</w:t>
            </w:r>
            <w:r/>
          </w:p>
        </w:tc>
        <w:tc>
          <w:tcPr>
            <w:tcW w:w="3158" w:type="dxa"/>
            <w:vAlign w:val="center"/>
            <w:textDirection w:val="lrTb"/>
            <w:noWrap w:val="false"/>
          </w:tcPr>
          <w:p>
            <w:pPr>
              <w:jc w:val="center"/>
              <w:spacing w:line="440" w:lineRule="exact"/>
              <w:tabs>
                <w:tab w:val="left" w:pos="52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包</w:t>
            </w:r>
            <w:r/>
          </w:p>
        </w:tc>
      </w:tr>
      <w:tr>
        <w:trPr>
          <w:trHeight w:val="853"/>
        </w:trPr>
        <w:tc>
          <w:tcPr>
            <w:tcW w:w="3160" w:type="dxa"/>
            <w:vAlign w:val="center"/>
            <w:textDirection w:val="lrTb"/>
            <w:noWrap w:val="false"/>
          </w:tcPr>
          <w:p>
            <w:pPr>
              <w:jc w:val="center"/>
              <w:spacing w:line="240" w:lineRule="auto"/>
              <w:tabs>
                <w:tab w:val="left" w:pos="52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金龙鱼</w:t>
            </w:r>
            <w:r>
              <w:rPr>
                <w:rFonts w:hint="eastAsia" w:ascii="宋体" w:hAnsi="宋体" w:eastAsia="宋体" w:cs="宋体"/>
                <w:color w:val="000000" w:themeColor="text1"/>
                <w:sz w:val="24"/>
                <w:szCs w:val="24"/>
                <w:highlight w:val="none"/>
                <w14:textFill>
                  <w14:solidFill>
                    <w14:schemeClr w14:val="tx1"/>
                  </w14:solidFill>
                </w14:textFill>
              </w:rPr>
              <w:t xml:space="preserve">或同等及以上档次的</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非转基因大豆油</w:t>
            </w:r>
            <w:r/>
          </w:p>
        </w:tc>
        <w:tc>
          <w:tcPr>
            <w:tcW w:w="3161" w:type="dxa"/>
            <w:vAlign w:val="center"/>
            <w:textDirection w:val="lrTb"/>
            <w:noWrap w:val="false"/>
          </w:tcPr>
          <w:p>
            <w:pPr>
              <w:jc w:val="center"/>
              <w:spacing w:line="440" w:lineRule="exact"/>
              <w:tabs>
                <w:tab w:val="left" w:pos="52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10升/桶</w:t>
            </w:r>
            <w:r/>
          </w:p>
        </w:tc>
        <w:tc>
          <w:tcPr>
            <w:tcW w:w="3158" w:type="dxa"/>
            <w:vAlign w:val="center"/>
            <w:textDirection w:val="lrTb"/>
            <w:noWrap w:val="false"/>
          </w:tcPr>
          <w:p>
            <w:pPr>
              <w:jc w:val="center"/>
              <w:spacing w:line="440" w:lineRule="exact"/>
              <w:tabs>
                <w:tab w:val="left" w:pos="52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桶</w:t>
            </w:r>
            <w:r/>
          </w:p>
        </w:tc>
      </w:tr>
      <w:tr>
        <w:trPr>
          <w:trHeight w:val="918"/>
        </w:trPr>
        <w:tc>
          <w:tcPr>
            <w:tcW w:w="3160" w:type="dxa"/>
            <w:vAlign w:val="center"/>
            <w:textDirection w:val="lrTb"/>
            <w:noWrap w:val="false"/>
          </w:tcPr>
          <w:p>
            <w:pPr>
              <w:jc w:val="center"/>
              <w:spacing w:line="440" w:lineRule="exact"/>
              <w:tabs>
                <w:tab w:val="left" w:pos="525" w:leader="none"/>
                <w:tab w:val="left" w:pos="1050" w:leader="none"/>
              </w:tabs>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超级面粉</w:t>
            </w:r>
            <w:r/>
          </w:p>
          <w:p>
            <w:pPr>
              <w:jc w:val="center"/>
              <w:spacing w:line="440" w:lineRule="exact"/>
              <w:tabs>
                <w:tab w:val="left" w:pos="52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（包子粉）</w:t>
            </w:r>
            <w:r/>
          </w:p>
        </w:tc>
        <w:tc>
          <w:tcPr>
            <w:tcW w:w="3161"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50／包</w:t>
            </w:r>
            <w:r/>
          </w:p>
        </w:tc>
        <w:tc>
          <w:tcPr>
            <w:tcW w:w="3158"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白糖</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50kg</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蛋塔皮</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300只/箱</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只</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味精</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2.5kg/包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干木耳</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淡奶油</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1L/包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干香菇</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莲蓉</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陂萨酱</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面筋</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面包粉</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布袋22.7kg/袋</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食盐</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400g/包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酱油</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350ml/包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料酒</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400ml/包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干酵母</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豆沙</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5kg/包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花生米</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汤料</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227g/包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番茄酱</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850g/听</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听</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南瓜饼</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192只/箱</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只</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瓜子仁</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奶粉</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陂萨饼</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只</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香叶</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陈醋</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500ml/瓶</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瓶</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红绿丝</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紫菜</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鸡精</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1.2kg/包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清水笋</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1kg/包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黑米粉</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色拉酱</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1kg/瓶</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瓶</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咖哩粉</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豆瓣酱</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3.5kg/箱</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箱</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红糖</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粉丝</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5kg/包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玉米粉</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酸梅酱</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160g/瓶</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瓶</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菠萝罐头</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567g/听</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听</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麻油</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410ml/瓶</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瓶</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茴香</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粳米粉</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桂皮</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糯米</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耗油</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6kg/瓶</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瓶</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糟</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350g/包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花椒</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椒盐</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700g/瓶</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瓶</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红赤豆</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白醋</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500ml/瓶</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瓶</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绿豆</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酥油</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15kg/箱</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箱</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白芝麻</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胡桃仁</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五香粉</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400g/包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黄油</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5kg/包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黄豆</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南乳汁</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550g/瓶</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瓶</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黑芝麻</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面包糠</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1kg/包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蒸酱油</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1.9L/瓶</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瓶</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干辣椒</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胡椒粉</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澄粉</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450g/包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红米粉</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小苏打</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200g/包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香糟卤</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350ml/包</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w:t>
            </w:r>
            <w:r/>
          </w:p>
        </w:tc>
      </w:tr>
      <w:tr>
        <w:trPr>
          <w:trHeight w:val="29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甜酱</w:t>
            </w:r>
            <w:r/>
          </w:p>
        </w:tc>
        <w:tc>
          <w:tcPr>
            <w:tcW w:w="3161"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3.5kg/箱</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箱</w:t>
            </w:r>
            <w:r/>
          </w:p>
        </w:tc>
      </w:tr>
      <w:tr>
        <w:trPr>
          <w:trHeight w:val="317"/>
        </w:trPr>
        <w:tc>
          <w:tcPr>
            <w:tcW w:w="3160"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马苏里拉芝士</w:t>
            </w:r>
            <w:r/>
          </w:p>
        </w:tc>
        <w:tc>
          <w:tcPr>
            <w:tcW w:w="3161"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W w:w="3158" w:type="dxa"/>
            <w:vAlign w:val="bottom"/>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斤</w:t>
            </w:r>
            <w:r/>
          </w:p>
        </w:tc>
      </w:tr>
    </w:tbl>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66"/>
        <w:ind w:firstLine="0"/>
        <w:spacing w:before="0" w:beforeAutospacing="0" w:after="0" w:afterAutospacing="0" w:line="440" w:lineRule="exact"/>
        <w:shd w:val="clear" w:color="auto" w:fill="ffff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注：①上述食材名称及规格仅供参考，实际供货时可能与市场上实际出售情况有偏差，按实际情况调整。</w:t>
      </w:r>
      <w:r/>
    </w:p>
    <w:p>
      <w:pPr>
        <w:pStyle w:val="766"/>
        <w:ind w:firstLine="0"/>
        <w:spacing w:before="0" w:beforeAutospacing="0" w:after="0" w:afterAutospacing="0" w:line="440" w:lineRule="exact"/>
        <w:shd w:val="clear" w:color="auto" w:fill="ffff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②以上未列出的食材品种，采购人如需采购时，按照该食材所属类别采购。食材类别的最终解释权归采购方所有。</w:t>
      </w:r>
      <w:r/>
    </w:p>
    <w:p>
      <w:pPr>
        <w:pStyle w:val="766"/>
        <w:ind w:firstLine="0"/>
        <w:spacing w:before="0" w:beforeAutospacing="0" w:after="0" w:afterAutospacing="0" w:line="440" w:lineRule="exact"/>
        <w:shd w:val="clear" w:color="auto" w:fill="ffff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③结算总额按实际供货数量结算费用，总额不超本项目总预算，脱贫地区农副产品采购份额计入本次预算。后期如果发生编制人数增减，结算时按照实际编制人数下达预算进行结算；新增外部搭伙人员餐费用于新增预算内。</w:t>
      </w:r>
      <w:r/>
    </w:p>
    <w:p>
      <w:pPr>
        <w:pStyle w:val="766"/>
        <w:spacing w:before="0" w:beforeAutospacing="0" w:after="0" w:afterAutospacing="0" w:line="440" w:lineRule="exact"/>
        <w:shd w:val="clear" w:color="auto" w:fill="ffff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（六）试供期及合同签订</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1、试供期均为15天，即试供期从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年    月    日至    年   月    日</w:t>
      </w:r>
      <w:r>
        <w:rPr>
          <w:rFonts w:hint="eastAsia" w:ascii="宋体" w:hAnsi="宋体" w:eastAsia="宋体" w:cs="宋体"/>
          <w:color w:val="000000" w:themeColor="text1"/>
          <w:sz w:val="24"/>
          <w:szCs w:val="24"/>
          <w:highlight w:val="none"/>
          <w14:textFill>
            <w14:solidFill>
              <w14:schemeClr w14:val="tx1"/>
            </w14:solidFill>
          </w14:textFill>
        </w:rPr>
        <w:t xml:space="preserve">，试供期内采购方主要考察中标供应商货物质量、服务、信誉等方面。</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2、试供期满且经采购方综合考察认为合格的，签订正式供货合同；若试供期间出现质量、服务等难以磨合的问题的，采购方有权终止合同，并有权选择下一排位的成交候选供应商进行替补。</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3、服务期限为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szCs w:val="24"/>
          <w:highlight w:val="none"/>
          <w14:textFill>
            <w14:solidFill>
              <w14:schemeClr w14:val="tx1"/>
            </w14:solidFill>
          </w14:textFill>
        </w:rPr>
        <w:t xml:space="preserve">个月）。从试供之日起开始计算。</w:t>
      </w:r>
      <w:r/>
    </w:p>
    <w:p>
      <w:pPr>
        <w:pStyle w:val="766"/>
        <w:spacing w:before="0" w:beforeAutospacing="0" w:after="0" w:afterAutospacing="0" w:line="440" w:lineRule="exact"/>
        <w:shd w:val="clear" w:color="auto" w:fill="ffff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（七）供货食品的定价结算</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按不高于无锡市发展和改革委员会官网专题专栏中民生价费上周第一天的公示价格的平均价格*折扣率*实际数量进行结算，如遇网站上</w:t>
      </w:r>
      <w:r>
        <w:rPr>
          <w:rFonts w:hint="eastAsia" w:ascii="宋体" w:hAnsi="宋体" w:eastAsia="宋体" w:cs="宋体"/>
          <w:bCs/>
          <w:color w:val="000000" w:themeColor="text1"/>
          <w:sz w:val="24"/>
          <w:szCs w:val="24"/>
          <w:highlight w:val="none"/>
          <w14:textFill>
            <w14:solidFill>
              <w14:schemeClr w14:val="tx1"/>
            </w14:solidFill>
          </w14:textFill>
        </w:rPr>
        <w:t xml:space="preserve">未公布价格的</w:t>
      </w:r>
      <w:r>
        <w:rPr>
          <w:rFonts w:hint="eastAsia" w:ascii="宋体" w:hAnsi="宋体" w:eastAsia="宋体" w:cs="宋体"/>
          <w:color w:val="000000" w:themeColor="text1"/>
          <w:sz w:val="24"/>
          <w:szCs w:val="24"/>
          <w:highlight w:val="none"/>
          <w14:textFill>
            <w14:solidFill>
              <w14:schemeClr w14:val="tx1"/>
            </w14:solidFill>
          </w14:textFill>
        </w:rPr>
        <w:t xml:space="preserve">，则经甲方确认后按无锡3家同类市场价中的最低价格*折扣率*实际数量结算。</w:t>
      </w:r>
      <w:r/>
    </w:p>
    <w:p>
      <w:pPr>
        <w:pStyle w:val="766"/>
        <w:ind w:firstLine="480"/>
        <w:spacing w:before="0" w:beforeAutospacing="0" w:after="0" w:afterAutospacing="0"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折扣率</w:t>
      </w:r>
      <w:r>
        <w:rPr>
          <w:rFonts w:hint="eastAsia" w:cs="宋体"/>
          <w:color w:val="000000" w:themeColor="text1"/>
          <w:sz w:val="24"/>
          <w:szCs w:val="24"/>
          <w:highlight w:val="none"/>
          <w:lang w:val="en-US" w:eastAsia="zh-CN"/>
          <w14:textFill>
            <w14:solidFill>
              <w14:schemeClr w14:val="tx1"/>
            </w14:solidFill>
          </w14:textFill>
        </w:rPr>
        <w:t xml:space="preserve">=1-（中标优惠率）</w:t>
      </w:r>
      <w:r/>
    </w:p>
    <w:p>
      <w:pPr>
        <w:pStyle w:val="766"/>
        <w:spacing w:before="0" w:beforeAutospacing="0" w:after="0" w:afterAutospacing="0" w:line="440" w:lineRule="exact"/>
        <w:shd w:val="clear" w:color="auto" w:fill="ffff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（八）付款方式</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每月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日为起始日至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当月31</w:t>
      </w:r>
      <w:r>
        <w:rPr>
          <w:rFonts w:hint="eastAsia" w:ascii="宋体" w:hAnsi="宋体" w:eastAsia="宋体" w:cs="宋体"/>
          <w:color w:val="000000" w:themeColor="text1"/>
          <w:sz w:val="24"/>
          <w:szCs w:val="24"/>
          <w:highlight w:val="none"/>
          <w14:textFill>
            <w14:solidFill>
              <w14:schemeClr w14:val="tx1"/>
            </w14:solidFill>
          </w14:textFill>
        </w:rPr>
        <w:t xml:space="preserve">日为结算日，起始日起一周内提供月结发票，乙方需提供与货款等额的正规发票，甲方在一个自然月内以转账方式支付货款。每月按实结算，全年总额不超本项目总预算。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黑体" w:hAnsi="Times New Roman" w:eastAsia="黑体" w:cs="Times New Roman"/>
          <w:b/>
          <w:color w:val="000000" w:themeColor="text1"/>
          <w:sz w:val="30"/>
          <w:szCs w:val="30"/>
          <w:highlight w:val="none"/>
          <w14:textFill>
            <w14:solidFill>
              <w14:schemeClr w14:val="tx1"/>
            </w14:solidFill>
          </w14:textFill>
        </w:rPr>
      </w:pPr>
      <w:r>
        <w:rPr>
          <w:rFonts w:hint="eastAsia" w:ascii="黑体" w:hAnsi="Times New Roman" w:eastAsia="黑体" w:cs="Times New Roman"/>
          <w:b/>
          <w:color w:val="000000" w:themeColor="text1"/>
          <w:sz w:val="30"/>
          <w:szCs w:val="30"/>
          <w:highlight w:val="none"/>
          <w14:textFill>
            <w14:solidFill>
              <w14:schemeClr w14:val="tx1"/>
            </w14:solidFill>
          </w14:textFill>
        </w:rPr>
        <w:br w:type="page" w:clear="all"/>
      </w:r>
      <w:r/>
    </w:p>
    <w:p>
      <w:pPr>
        <w:jc w:val="center"/>
        <w:keepLines w:val="0"/>
        <w:keepNext w:val="0"/>
        <w:pageBreakBefore w:val="0"/>
        <w:spacing w:line="360" w:lineRule="auto"/>
        <w:rPr>
          <w:rFonts w:hint="eastAsia" w:ascii="黑体" w:hAnsi="Times New Roman" w:eastAsia="黑体" w:cs="Times New Roman"/>
          <w:b/>
          <w:color w:val="000000" w:themeColor="text1"/>
          <w:sz w:val="30"/>
          <w:szCs w:val="30"/>
          <w:highlight w:val="none"/>
          <w14:textFill>
            <w14:solidFill>
              <w14:schemeClr w14:val="tx1"/>
            </w14:solidFill>
          </w14:textFill>
        </w:rPr>
      </w:pPr>
      <w:r>
        <w:rPr>
          <w:rFonts w:hint="eastAsia" w:ascii="黑体" w:hAnsi="Times New Roman" w:eastAsia="黑体" w:cs="Times New Roman"/>
          <w:b/>
          <w:color w:val="000000" w:themeColor="text1"/>
          <w:sz w:val="30"/>
          <w:szCs w:val="30"/>
          <w:highlight w:val="none"/>
          <w14:textFill>
            <w14:solidFill>
              <w14:schemeClr w14:val="tx1"/>
            </w14:solidFill>
          </w14:textFill>
        </w:rPr>
        <w:t xml:space="preserve">四． 合同书（格式文本）</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甲方：</w:t>
      </w:r>
      <w:r>
        <w:rPr>
          <w:rFonts w:hint="eastAsia"/>
          <w:color w:val="000000" w:themeColor="text1"/>
          <w:szCs w:val="20"/>
          <w:highlight w:val="none"/>
          <w:u w:val="single"/>
          <w14:textFill>
            <w14:solidFill>
              <w14:schemeClr w14:val="tx1"/>
            </w14:solidFill>
          </w14:textFill>
        </w:rPr>
        <w:t xml:space="preserve">                    </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乙方：</w:t>
      </w:r>
      <w:r>
        <w:rPr>
          <w:rFonts w:hint="eastAsia"/>
          <w:color w:val="000000" w:themeColor="text1"/>
          <w:szCs w:val="20"/>
          <w:highlight w:val="none"/>
          <w:u w:val="single"/>
          <w14:textFill>
            <w14:solidFill>
              <w14:schemeClr w14:val="tx1"/>
            </w14:solidFill>
          </w14:textFill>
        </w:rPr>
        <w:t xml:space="preserve">                    </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为进一步规范我单位的物资采购工作，降低采购成本，提高经济效益，确保食品质量安全，甲乙双方在平等自愿、协商一致的基础上，达成如下协议：</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一、配送任务：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蔬菜、肉类、桌餐、冻品、水产、水果、酸奶、米、面、粮油、干货、调味品等采购供货、配送</w:t>
      </w:r>
      <w:r>
        <w:rPr>
          <w:rFonts w:hint="eastAsia" w:ascii="宋体" w:hAnsi="宋体" w:eastAsia="宋体" w:cs="宋体"/>
          <w:color w:val="000000" w:themeColor="text1"/>
          <w:sz w:val="24"/>
          <w:szCs w:val="24"/>
          <w:highlight w:val="none"/>
          <w:u w:val="single"/>
          <w14:textFill>
            <w14:solidFill>
              <w14:schemeClr w14:val="tx1"/>
            </w14:solidFill>
          </w14:textFill>
        </w:rPr>
        <w:t xml:space="preserve">及相关后续服务</w:t>
      </w:r>
      <w:r>
        <w:rPr>
          <w:rFonts w:hint="eastAsia" w:ascii="����" w:hAnsi="����"/>
          <w:bCs/>
          <w:color w:val="000000" w:themeColor="text1"/>
          <w:sz w:val="24"/>
          <w:highlight w:val="none"/>
          <w:u w:val="single"/>
          <w14:textFill>
            <w14:solidFill>
              <w14:schemeClr w14:val="tx1"/>
            </w14:solidFill>
          </w14:textFill>
        </w:rPr>
        <w:t xml:space="preserve">。</w:t>
      </w:r>
      <w:r/>
    </w:p>
    <w:p>
      <w:pPr>
        <w:pStyle w:val="766"/>
        <w:ind w:firstLine="480"/>
        <w:spacing w:before="0" w:beforeAutospacing="0" w:after="0" w:afterAutospacing="0" w:line="360" w:lineRule="auto"/>
        <w:rPr>
          <w:rFonts w:hint="eastAsia" w:eastAsia="宋体"/>
          <w:color w:val="000000" w:themeColor="text1"/>
          <w:szCs w:val="20"/>
          <w:highlight w:val="none"/>
          <w:lang w:eastAsia="zh-CN"/>
          <w14:textFill>
            <w14:solidFill>
              <w14:schemeClr w14:val="tx1"/>
            </w14:solidFill>
          </w14:textFill>
        </w:rPr>
      </w:pPr>
      <w:r>
        <w:rPr>
          <w:rFonts w:hint="eastAsia"/>
          <w:color w:val="000000" w:themeColor="text1"/>
          <w:szCs w:val="20"/>
          <w:highlight w:val="none"/>
          <w14:textFill>
            <w14:solidFill>
              <w14:schemeClr w14:val="tx1"/>
            </w14:solidFill>
          </w14:textFill>
        </w:rPr>
        <w:t xml:space="preserve">二、配送单位：</w:t>
      </w:r>
      <w:r>
        <w:rPr>
          <w:rFonts w:hint="eastAsia"/>
          <w:color w:val="000000" w:themeColor="text1"/>
          <w:szCs w:val="20"/>
          <w:highlight w:val="none"/>
          <w:lang w:eastAsia="zh-CN"/>
          <w14:textFill>
            <w14:solidFill>
              <w14:schemeClr w14:val="tx1"/>
            </w14:solidFill>
          </w14:textFill>
        </w:rPr>
        <w:t xml:space="preserve">无锡市新吴区人民政府硕放街道办事处</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三、配送品种：</w:t>
      </w:r>
      <w:r>
        <w:rPr>
          <w:rFonts w:hint="eastAsia" w:ascii="宋体" w:hAnsi="宋体" w:eastAsia="宋体" w:cs="宋体"/>
          <w:color w:val="000000" w:themeColor="text1"/>
          <w:sz w:val="24"/>
          <w:szCs w:val="24"/>
          <w:highlight w:val="none"/>
          <w:u w:val="single"/>
          <w14:textFill>
            <w14:solidFill>
              <w14:schemeClr w14:val="tx1"/>
            </w14:solidFill>
          </w14:textFill>
        </w:rPr>
        <w:t xml:space="preserve">蔬菜、肉类、桌餐、冻品、水产、水果、酸奶、米、面、粮油、干货、调味品</w:t>
      </w:r>
      <w:r>
        <w:rPr>
          <w:rFonts w:hint="eastAsia"/>
          <w:color w:val="000000" w:themeColor="text1"/>
          <w:szCs w:val="20"/>
          <w:highlight w:val="none"/>
          <w14:textFill>
            <w14:solidFill>
              <w14:schemeClr w14:val="tx1"/>
            </w14:solidFill>
          </w14:textFill>
        </w:rPr>
        <w:t xml:space="preserve">。</w:t>
      </w:r>
      <w:r/>
    </w:p>
    <w:p>
      <w:pPr>
        <w:pStyle w:val="766"/>
        <w:ind w:firstLine="480"/>
        <w:spacing w:before="0" w:beforeAutospacing="0" w:after="0" w:afterAutospacing="0" w:line="520" w:lineRule="exact"/>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四、合同价：</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1、中标</w:t>
      </w:r>
      <w:r>
        <w:rPr>
          <w:rFonts w:hint="eastAsia"/>
          <w:color w:val="000000" w:themeColor="text1"/>
          <w:szCs w:val="20"/>
          <w:highlight w:val="none"/>
          <w:lang w:val="en-US" w:eastAsia="zh-CN"/>
          <w14:textFill>
            <w14:solidFill>
              <w14:schemeClr w14:val="tx1"/>
            </w14:solidFill>
          </w14:textFill>
        </w:rPr>
        <w:t xml:space="preserve">优惠</w:t>
      </w:r>
      <w:r>
        <w:rPr>
          <w:rFonts w:hint="eastAsia"/>
          <w:color w:val="000000" w:themeColor="text1"/>
          <w:szCs w:val="20"/>
          <w:highlight w:val="none"/>
          <w14:textFill>
            <w14:solidFill>
              <w14:schemeClr w14:val="tx1"/>
            </w14:solidFill>
          </w14:textFill>
        </w:rPr>
        <w:t xml:space="preserve">率：</w:t>
      </w:r>
      <w:r>
        <w:rPr>
          <w:rFonts w:hint="eastAsia"/>
          <w:color w:val="000000" w:themeColor="text1"/>
          <w:szCs w:val="20"/>
          <w:highlight w:val="none"/>
          <w:u w:val="single"/>
          <w14:textFill>
            <w14:solidFill>
              <w14:schemeClr w14:val="tx1"/>
            </w14:solidFill>
          </w14:textFill>
        </w:rPr>
        <w:t xml:space="preserve">      </w:t>
      </w:r>
      <w:r>
        <w:rPr>
          <w:rFonts w:hint="eastAsia"/>
          <w:color w:val="000000" w:themeColor="text1"/>
          <w:szCs w:val="20"/>
          <w:highlight w:val="none"/>
          <w14:textFill>
            <w14:solidFill>
              <w14:schemeClr w14:val="tx1"/>
            </w14:solidFill>
          </w14:textFill>
        </w:rPr>
        <w:t xml:space="preserve">。</w:t>
      </w:r>
      <w:r/>
    </w:p>
    <w:p>
      <w:pPr>
        <w:pStyle w:val="766"/>
        <w:ind w:firstLine="480"/>
        <w:spacing w:before="0" w:beforeAutospacing="0" w:after="0" w:afterAutospacing="0"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szCs w:val="20"/>
          <w:highlight w:val="none"/>
          <w14:textFill>
            <w14:solidFill>
              <w14:schemeClr w14:val="tx1"/>
            </w14:solidFill>
          </w14:textFill>
        </w:rPr>
        <w:t xml:space="preserve">2、</w:t>
      </w:r>
      <w:r>
        <w:rPr>
          <w:rFonts w:hint="eastAsia" w:cs="宋体"/>
          <w:bCs/>
          <w:color w:val="000000" w:themeColor="text1"/>
          <w:highlight w:val="none"/>
          <w14:textFill>
            <w14:solidFill>
              <w14:schemeClr w14:val="tx1"/>
            </w14:solidFill>
          </w14:textFill>
        </w:rPr>
        <w:t xml:space="preserve">根据乙方投标文件，按照无锡市发展和改革委员会平均价折扣率进行计价。最终价格为：</w:t>
      </w:r>
      <w:r>
        <w:rPr>
          <w:rFonts w:hint="eastAsia"/>
          <w:color w:val="000000" w:themeColor="text1"/>
          <w:szCs w:val="20"/>
          <w:highlight w:val="none"/>
          <w14:textFill>
            <w14:solidFill>
              <w14:schemeClr w14:val="tx1"/>
            </w14:solidFill>
          </w14:textFill>
        </w:rPr>
        <w:t xml:space="preserve">按不高于无锡市发展和改革委员会官网专题专栏中民生价费上周第一天的公示价格的平均价格*折扣率*实际数量进行结算，如遇网站上</w:t>
      </w:r>
      <w:r>
        <w:rPr>
          <w:rFonts w:hint="eastAsia" w:cs="宋体"/>
          <w:bCs/>
          <w:color w:val="000000" w:themeColor="text1"/>
          <w:highlight w:val="none"/>
          <w14:textFill>
            <w14:solidFill>
              <w14:schemeClr w14:val="tx1"/>
            </w14:solidFill>
          </w14:textFill>
        </w:rPr>
        <w:t xml:space="preserve">未公布价格的</w:t>
      </w:r>
      <w:r>
        <w:rPr>
          <w:rFonts w:hint="eastAsia"/>
          <w:color w:val="000000" w:themeColor="text1"/>
          <w:szCs w:val="20"/>
          <w:highlight w:val="none"/>
          <w14:textFill>
            <w14:solidFill>
              <w14:schemeClr w14:val="tx1"/>
            </w14:solidFill>
          </w14:textFill>
        </w:rPr>
        <w:t xml:space="preserve">，则经甲方确认后按无锡3家同类市场价中的最低价格*折扣率*实际数量结算。</w:t>
      </w:r>
      <w:r>
        <w:rPr>
          <w:rFonts w:hint="eastAsia"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折扣率</w:t>
      </w:r>
      <w:r>
        <w:rPr>
          <w:rFonts w:hint="eastAsia" w:cs="宋体"/>
          <w:color w:val="000000" w:themeColor="text1"/>
          <w:sz w:val="24"/>
          <w:szCs w:val="24"/>
          <w:highlight w:val="none"/>
          <w:lang w:val="en-US" w:eastAsia="zh-CN"/>
          <w14:textFill>
            <w14:solidFill>
              <w14:schemeClr w14:val="tx1"/>
            </w14:solidFill>
          </w14:textFill>
        </w:rPr>
        <w:t xml:space="preserve">=1-中标优惠率</w:t>
      </w:r>
      <w:r/>
    </w:p>
    <w:p>
      <w:pPr>
        <w:ind w:firstLine="480"/>
        <w:spacing w:line="500" w:lineRule="exact"/>
        <w:rPr>
          <w:rFonts w:ascii="宋体"/>
          <w:color w:val="000000" w:themeColor="text1"/>
          <w:sz w:val="24"/>
          <w:szCs w:val="20"/>
          <w:highlight w:val="none"/>
          <w14:textFill>
            <w14:solidFill>
              <w14:schemeClr w14:val="tx1"/>
            </w14:solidFill>
          </w14:textFill>
        </w:rPr>
      </w:pPr>
      <w:r>
        <w:rPr>
          <w:rFonts w:hint="eastAsia" w:ascii="宋体"/>
          <w:color w:val="000000" w:themeColor="text1"/>
          <w:sz w:val="24"/>
          <w:szCs w:val="20"/>
          <w:highlight w:val="none"/>
          <w14:textFill>
            <w14:solidFill>
              <w14:schemeClr w14:val="tx1"/>
            </w14:solidFill>
          </w14:textFill>
        </w:rPr>
        <w:t xml:space="preserve">3、配送价格应包含乙方</w:t>
      </w:r>
      <w:r>
        <w:rPr>
          <w:rFonts w:hint="eastAsia" w:ascii="宋体" w:hAnsi="宋体" w:cs="宋体"/>
          <w:bCs/>
          <w:color w:val="000000" w:themeColor="text1"/>
          <w:sz w:val="24"/>
          <w:szCs w:val="28"/>
          <w:highlight w:val="none"/>
          <w14:textFill>
            <w14:solidFill>
              <w14:schemeClr w14:val="tx1"/>
            </w14:solidFill>
          </w14:textFill>
        </w:rPr>
        <w:t xml:space="preserve">食材物资原料的供货、包装、仓储、运至最终目的地的运输、装卸、保险、检测验收、售后服务相关劳务支出、</w:t>
      </w:r>
      <w:r>
        <w:rPr>
          <w:rFonts w:hint="eastAsia" w:ascii="宋体" w:hAnsi="宋体"/>
          <w:color w:val="000000" w:themeColor="text1"/>
          <w:sz w:val="24"/>
          <w:szCs w:val="28"/>
          <w:highlight w:val="none"/>
          <w14:textFill>
            <w14:solidFill>
              <w14:schemeClr w14:val="tx1"/>
            </w14:solidFill>
          </w14:textFill>
        </w:rPr>
        <w:t xml:space="preserve">疫情防控相关费用（包含人员核酸等费用）</w:t>
      </w:r>
      <w:r>
        <w:rPr>
          <w:rFonts w:hint="eastAsia" w:ascii="宋体" w:hAnsi="宋体" w:cs="宋体"/>
          <w:bCs/>
          <w:color w:val="000000" w:themeColor="text1"/>
          <w:sz w:val="24"/>
          <w:szCs w:val="28"/>
          <w:highlight w:val="none"/>
          <w14:textFill>
            <w14:solidFill>
              <w14:schemeClr w14:val="tx1"/>
            </w14:solidFill>
          </w14:textFill>
        </w:rPr>
        <w:t xml:space="preserve">等工作所发生的全部费用以及报价供应商利润、税金和政策性文件规定及合同包含的所有风险、责任等各项应有费用。</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五、采购计划</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前一天</w:t>
      </w:r>
      <w:r>
        <w:rPr>
          <w:rFonts w:hint="eastAsia" w:ascii="宋体" w:hAnsi="宋体" w:eastAsia="宋体" w:cs="宋体"/>
          <w:color w:val="000000" w:themeColor="text1"/>
          <w:sz w:val="24"/>
          <w:szCs w:val="24"/>
          <w:highlight w:val="none"/>
          <w14:textFill>
            <w14:solidFill>
              <w14:schemeClr w14:val="tx1"/>
            </w14:solidFill>
          </w14:textFill>
        </w:rPr>
        <w:t xml:space="preserve">下午16：00前将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第二天</w:t>
      </w:r>
      <w:r>
        <w:rPr>
          <w:rFonts w:hint="eastAsia" w:ascii="宋体" w:hAnsi="宋体" w:eastAsia="宋体" w:cs="宋体"/>
          <w:color w:val="000000" w:themeColor="text1"/>
          <w:sz w:val="24"/>
          <w:szCs w:val="24"/>
          <w:highlight w:val="none"/>
          <w14:textFill>
            <w14:solidFill>
              <w14:schemeClr w14:val="tx1"/>
            </w14:solidFill>
          </w14:textFill>
        </w:rPr>
        <w:t xml:space="preserve">的采购计划以书面、电子稿形式通知乙方，订单内容包括名称、种类、规格、数量、运送时间、送达地点、订单联系人等具体要求。</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2、原则上，采购计划与实际下达的订单偏差控制在20％以内。</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有权根据食材生产季节、天气、市场价格情况等协商调整每期采购计划中食材品种和数量。中标供应商必须能保证提供丰富的品种供甲方选择。</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4、如有特殊原因,</w:t>
      </w:r>
      <w:r>
        <w:rPr>
          <w:rFonts w:hint="eastAsia"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有权取消订单。</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5、本次预算按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290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计取，后期如果发生编制人数增减，结算时按照实际编制人数下达预算进行结算；新增外部搭伙人员餐费用于新增预算内。</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六、下订单订货</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1、甲方每天下午16：00前向乙方书面下达第二天的订单，订单内容包括名称、种类、规格、数量、运送时间、送达地点、订单联系人等具体要求。</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2、乙方接到甲方订单后，个别品种因缺货而无法提供的，乙方应在接到订单后三个小时内及时知会甲方并协商好解决方法。</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七、交货</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1、乙方每天早上7：00前将订单内所有食材送到甲方指定的地点并配送完毕，乙方提供《送货清单》一式2份，甲乙双方现场过秤并验收签名，作</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color w:val="000000" w:themeColor="text1"/>
          <w:szCs w:val="20"/>
          <w:highlight w:val="none"/>
          <w14:textFill>
            <w14:solidFill>
              <w14:schemeClr w14:val="tx1"/>
            </w14:solidFill>
          </w14:textFill>
        </w:rPr>
        <w:t xml:space="preserve">结算凭证。</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2、所有品种按除箱净重过磅，最终交易重量以双方确认的过磅数为准。</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3、乙方</w:t>
      </w:r>
      <w:r>
        <w:rPr>
          <w:rFonts w:hint="eastAsia" w:ascii="宋体" w:hAnsi="宋体" w:eastAsia="宋体" w:cs="宋体"/>
          <w:color w:val="000000" w:themeColor="text1"/>
          <w:sz w:val="24"/>
          <w:szCs w:val="24"/>
          <w:highlight w:val="none"/>
          <w14:textFill>
            <w14:solidFill>
              <w14:schemeClr w14:val="tx1"/>
            </w14:solidFill>
          </w14:textFill>
        </w:rPr>
        <w:t xml:space="preserve">送货人员负责将货物从车上搬到称上过磅，然后放到平板推车上，并按</w:t>
      </w:r>
      <w:r>
        <w:rPr>
          <w:rFonts w:hint="eastAsia"/>
          <w:color w:val="000000" w:themeColor="text1"/>
          <w:szCs w:val="20"/>
          <w:highlight w:val="none"/>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食堂人员要求由</w:t>
      </w:r>
      <w:r>
        <w:rPr>
          <w:rFonts w:hint="eastAsia"/>
          <w:color w:val="000000" w:themeColor="text1"/>
          <w:szCs w:val="20"/>
          <w:highlight w:val="none"/>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工作人员负责拉到最终使用点。</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color w:val="000000" w:themeColor="text1"/>
          <w:szCs w:val="20"/>
          <w:highlight w:val="none"/>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在收到采购方订单后，不得随意变更订单内的品种、质量、规格、数量，如因货源不足或个别品种因缺货而无法提供等因素，</w:t>
      </w:r>
      <w:r>
        <w:rPr>
          <w:rFonts w:hint="eastAsia"/>
          <w:color w:val="000000" w:themeColor="text1"/>
          <w:szCs w:val="20"/>
          <w:highlight w:val="none"/>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不能满足甲方需求，需调换食材品种时，必须于接到订单后三个小时内及时知会甲方，经甲方同意后，按协商后的品种、质量、规格、数量于次日7:00前配送至甲方指定的地点，相关费用由</w:t>
      </w:r>
      <w:r>
        <w:rPr>
          <w:rFonts w:hint="eastAsia"/>
          <w:color w:val="000000" w:themeColor="text1"/>
          <w:szCs w:val="20"/>
          <w:highlight w:val="none"/>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承担。如</w:t>
      </w:r>
      <w:r>
        <w:rPr>
          <w:rFonts w:hint="eastAsia"/>
          <w:color w:val="000000" w:themeColor="text1"/>
          <w:szCs w:val="20"/>
          <w:highlight w:val="none"/>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未及时通知到甲方，导致无法及时供货的，</w:t>
      </w:r>
      <w:r>
        <w:rPr>
          <w:rFonts w:hint="eastAsia"/>
          <w:color w:val="000000" w:themeColor="text1"/>
          <w:szCs w:val="20"/>
          <w:highlight w:val="none"/>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须承担当日所有供货食材总金额的两倍罚款，出现三次及以上上述情况的，甲方有权立即终止合同，且</w:t>
      </w:r>
      <w:r>
        <w:rPr>
          <w:rFonts w:hint="eastAsia"/>
          <w:color w:val="000000" w:themeColor="text1"/>
          <w:szCs w:val="20"/>
          <w:highlight w:val="none"/>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须向甲方支付5%合同总金额的赔偿金。</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5、如遇特殊、紧急情况，甲方当天下单，</w:t>
      </w:r>
      <w:r>
        <w:rPr>
          <w:rFonts w:hint="eastAsia"/>
          <w:color w:val="000000" w:themeColor="text1"/>
          <w:szCs w:val="20"/>
          <w:highlight w:val="none"/>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在接到当天的采购需求计划后，于3小时之内将所需物资配送到位。双方现场对食材数量、品质进行验收登记。除特殊原因（须提前告知采购方并经甲方认可），若</w:t>
      </w:r>
      <w:r>
        <w:rPr>
          <w:rFonts w:hint="eastAsia"/>
          <w:color w:val="000000" w:themeColor="text1"/>
          <w:szCs w:val="20"/>
          <w:highlight w:val="none"/>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无法做到，甲方可视作当月一次考核不合格记录。</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6、包括非正常工作时间段在内，甲方因特殊情况或任务需要临时增加订单时，</w:t>
      </w:r>
      <w:r>
        <w:rPr>
          <w:rFonts w:hint="eastAsia"/>
          <w:color w:val="000000" w:themeColor="text1"/>
          <w:szCs w:val="20"/>
          <w:highlight w:val="none"/>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应提供应急配送服务。</w:t>
      </w:r>
      <w:r>
        <w:rPr>
          <w:rFonts w:hint="eastAsia"/>
          <w:color w:val="000000" w:themeColor="text1"/>
          <w:szCs w:val="20"/>
          <w:highlight w:val="none"/>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必须在接到通知3小时内将新增的食材保质保量配送至</w:t>
      </w:r>
      <w:r>
        <w:rPr>
          <w:rFonts w:hint="eastAsia"/>
          <w:color w:val="000000" w:themeColor="text1"/>
          <w:szCs w:val="20"/>
          <w:highlight w:val="none"/>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指定的地点。</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八、验收标准及退货依据</w:t>
      </w:r>
      <w:r/>
    </w:p>
    <w:p>
      <w:pPr>
        <w:pStyle w:val="766"/>
        <w:ind w:firstLine="480"/>
        <w:spacing w:before="0" w:beforeAutospacing="0" w:after="0" w:afterAutospacing="0" w:line="360" w:lineRule="auto"/>
        <w:rPr>
          <w:rFonts w:hint="eastAsia"/>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1、乙方所供产品，不得以次充好或销售假冒伪劣产品，产品不得注水、不得缺斤短两、不得霉烂变质，南北货不得潮湿。</w:t>
      </w:r>
      <w:r/>
    </w:p>
    <w:p>
      <w:pPr>
        <w:pStyle w:val="766"/>
        <w:ind w:firstLine="480"/>
        <w:spacing w:before="0" w:beforeAutospacing="0" w:after="0" w:afterAutospacing="0" w:line="360" w:lineRule="auto"/>
        <w:rPr>
          <w:rFonts w:hint="eastAsia"/>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2、乙方必须严格遵守《</w:t>
      </w:r>
      <w:r>
        <w:rPr>
          <w:rFonts w:hint="eastAsia"/>
          <w:color w:val="000000" w:themeColor="text1"/>
          <w:szCs w:val="20"/>
          <w:highlight w:val="none"/>
          <w14:textFill>
            <w14:solidFill>
              <w14:schemeClr w14:val="tx1"/>
            </w14:solidFill>
          </w14:textFill>
        </w:rPr>
        <w:t xml:space="preserve">中华人民共和国</w:t>
      </w:r>
      <w:r>
        <w:rPr>
          <w:rFonts w:hint="eastAsia"/>
          <w:color w:val="000000" w:themeColor="text1"/>
          <w:szCs w:val="20"/>
          <w:highlight w:val="none"/>
          <w14:textFill>
            <w14:solidFill>
              <w14:schemeClr w14:val="tx1"/>
            </w14:solidFill>
          </w14:textFill>
        </w:rPr>
        <w:t xml:space="preserve">食品安全法》等相关规定，一经发现供应以下食品，采购人除全部退货外，将取消乙方的供货资格，没收全部质量保证金，并承担由此造成的经济责任和法律责任。</w:t>
      </w:r>
      <w:r/>
    </w:p>
    <w:p>
      <w:pPr>
        <w:pStyle w:val="766"/>
        <w:ind w:firstLine="480"/>
        <w:spacing w:before="0" w:beforeAutospacing="0" w:after="0" w:afterAutospacing="0" w:line="360" w:lineRule="auto"/>
        <w:rPr>
          <w:rFonts w:hint="eastAsia"/>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（1）腐败变质、油脂酸败、霉变、生虫、污秽不洁、混有异物或者其他感官性状异常，对人体健康有害的；</w:t>
      </w:r>
      <w:r/>
    </w:p>
    <w:p>
      <w:pPr>
        <w:pStyle w:val="766"/>
        <w:ind w:firstLine="480"/>
        <w:spacing w:before="0" w:beforeAutospacing="0" w:after="0" w:afterAutospacing="0" w:line="360" w:lineRule="auto"/>
        <w:rPr>
          <w:rFonts w:hint="eastAsia"/>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（2）含有毒、有害物质或者被有害物质污染，对人体健康有害的；掺假、掺杂、伪造，影响营养、卫生的。</w:t>
      </w:r>
      <w:r/>
    </w:p>
    <w:p>
      <w:pPr>
        <w:pStyle w:val="766"/>
        <w:ind w:firstLine="480"/>
        <w:spacing w:before="0" w:beforeAutospacing="0" w:after="0" w:afterAutospacing="0" w:line="360" w:lineRule="auto"/>
        <w:rPr>
          <w:rFonts w:hint="eastAsia"/>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（3）含有致病性寄生虫、微生物或者微生物含量超过国家限定标准。</w:t>
      </w:r>
      <w:r/>
    </w:p>
    <w:p>
      <w:pPr>
        <w:pStyle w:val="766"/>
        <w:ind w:firstLine="480"/>
        <w:spacing w:before="0" w:beforeAutospacing="0" w:after="0" w:afterAutospacing="0" w:line="360" w:lineRule="auto"/>
        <w:rPr>
          <w:rFonts w:hint="eastAsia"/>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（4）未经动物检疫部门检疫、检验或者检疫、检验不合格的；</w:t>
      </w:r>
      <w:r/>
    </w:p>
    <w:p>
      <w:pPr>
        <w:pStyle w:val="766"/>
        <w:ind w:firstLine="480"/>
        <w:spacing w:before="0" w:beforeAutospacing="0" w:after="0" w:afterAutospacing="0" w:line="360" w:lineRule="auto"/>
        <w:rPr>
          <w:rFonts w:hint="eastAsia"/>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（5）病死、毒死或者死因不明的禽类及其制品；</w:t>
      </w:r>
      <w:r/>
    </w:p>
    <w:p>
      <w:pPr>
        <w:pStyle w:val="766"/>
        <w:ind w:firstLine="480"/>
        <w:spacing w:before="0" w:beforeAutospacing="0" w:after="0" w:afterAutospacing="0" w:line="360" w:lineRule="auto"/>
        <w:rPr>
          <w:rFonts w:hint="eastAsia"/>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（6）超过保质期限、被曝光、列入黑名单的食品原料、没有生产许可证和检验报告的食品原料。</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九、数量、品质保证</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1、品种数量超出规定的部分由乙方带回，不纳入结算，短缺的部分由乙方补足。</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2、每个品种的重量以双方核准的净重过磅数为准，双方签字确认作为结算凭证。</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3、质量必须符合国家相关食品安全卫生标准，品质必须达到本合同第八条所列的质量验收要求。</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十、试供期</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1、试供期为15天，即试供期从202</w:t>
      </w:r>
      <w:r>
        <w:rPr>
          <w:rFonts w:hint="eastAsia"/>
          <w:color w:val="000000" w:themeColor="text1"/>
          <w:szCs w:val="20"/>
          <w:highlight w:val="none"/>
          <w:lang w:val="en-US" w:eastAsia="zh-CN"/>
          <w14:textFill>
            <w14:solidFill>
              <w14:schemeClr w14:val="tx1"/>
            </w14:solidFill>
          </w14:textFill>
        </w:rPr>
        <w:t xml:space="preserve">4</w:t>
      </w:r>
      <w:r>
        <w:rPr>
          <w:rFonts w:hint="eastAsia"/>
          <w:color w:val="000000" w:themeColor="text1"/>
          <w:szCs w:val="20"/>
          <w:highlight w:val="none"/>
          <w14:textFill>
            <w14:solidFill>
              <w14:schemeClr w14:val="tx1"/>
            </w14:solidFill>
          </w14:textFill>
        </w:rPr>
        <w:t xml:space="preserve">年    月    日至202</w:t>
      </w:r>
      <w:r>
        <w:rPr>
          <w:rFonts w:hint="eastAsia"/>
          <w:color w:val="000000" w:themeColor="text1"/>
          <w:szCs w:val="20"/>
          <w:highlight w:val="none"/>
          <w:lang w:val="en-US" w:eastAsia="zh-CN"/>
          <w14:textFill>
            <w14:solidFill>
              <w14:schemeClr w14:val="tx1"/>
            </w14:solidFill>
          </w14:textFill>
        </w:rPr>
        <w:t xml:space="preserve">4</w:t>
      </w:r>
      <w:r>
        <w:rPr>
          <w:rFonts w:hint="eastAsia"/>
          <w:color w:val="000000" w:themeColor="text1"/>
          <w:szCs w:val="20"/>
          <w:highlight w:val="none"/>
          <w14:textFill>
            <w14:solidFill>
              <w14:schemeClr w14:val="tx1"/>
            </w14:solidFill>
          </w14:textFill>
        </w:rPr>
        <w:t xml:space="preserve">年   月    日，试供期内甲方主要考察乙方货物质量、服务、信誉等方面。</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试供期满且经</w:t>
      </w:r>
      <w:r>
        <w:rPr>
          <w:rFonts w:hint="eastAsia"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综合考察认为合格的，签订正式供货合同；若试供期间出现质量、服务等难以磨合的问题的，</w:t>
      </w:r>
      <w:r>
        <w:rPr>
          <w:rFonts w:hint="eastAsia"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有权终止合同，并有权选择下一排位的成交候选供应商进行替补。</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十一、合同期</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1、试供期满且经甲方综合考察认为合格的，合同继续执行，本项目招标的服务期限为</w:t>
      </w:r>
      <w:r>
        <w:rPr>
          <w:rFonts w:hint="eastAsia"/>
          <w:color w:val="000000" w:themeColor="text1"/>
          <w:szCs w:val="20"/>
          <w:highlight w:val="none"/>
          <w:u w:val="single"/>
          <w:lang w:val="en-US" w:eastAsia="zh-CN"/>
          <w14:textFill>
            <w14:solidFill>
              <w14:schemeClr w14:val="tx1"/>
            </w14:solidFill>
          </w14:textFill>
        </w:rPr>
        <w:t xml:space="preserve">三</w:t>
      </w:r>
      <w:r>
        <w:rPr>
          <w:color w:val="000000" w:themeColor="text1"/>
          <w:szCs w:val="20"/>
          <w:highlight w:val="none"/>
          <w:u w:val="single"/>
          <w14:textFill>
            <w14:solidFill>
              <w14:schemeClr w14:val="tx1"/>
            </w14:solidFill>
          </w14:textFill>
        </w:rPr>
        <w:t xml:space="preserve">年</w:t>
      </w:r>
      <w:r>
        <w:rPr>
          <w:color w:val="000000" w:themeColor="text1"/>
          <w:szCs w:val="20"/>
          <w:highlight w:val="none"/>
          <w14:textFill>
            <w14:solidFill>
              <w14:schemeClr w14:val="tx1"/>
            </w14:solidFill>
          </w14:textFill>
        </w:rPr>
        <w:t xml:space="preserve">。</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2、合同期间，若乙方价格明显高出市场同类品质产品批发价的10％，甲方有权立即单方终止合同，不承担因此造成的乙方的任何损失。</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十二、付款方式</w:t>
      </w:r>
      <w:r/>
    </w:p>
    <w:p>
      <w:pPr>
        <w:pStyle w:val="766"/>
        <w:ind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每月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日为起始日至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当月31</w:t>
      </w:r>
      <w:r>
        <w:rPr>
          <w:rFonts w:hint="eastAsia" w:ascii="宋体" w:hAnsi="宋体" w:eastAsia="宋体" w:cs="宋体"/>
          <w:color w:val="000000" w:themeColor="text1"/>
          <w:sz w:val="24"/>
          <w:szCs w:val="24"/>
          <w:highlight w:val="none"/>
          <w14:textFill>
            <w14:solidFill>
              <w14:schemeClr w14:val="tx1"/>
            </w14:solidFill>
          </w14:textFill>
        </w:rPr>
        <w:t xml:space="preserve">日为结算日，起始日起一周内提供月结发票，乙方需提供与货款等额的正规发票，甲方在一个自然月内以转账方式支付货款。每月按实结算，全年总额不超本项目总预算。</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十三、违约责任</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1、乙方必须严格按照甲方规定的时间食材送达指定食堂。若到货时间因乙方原因延误，迟到30分钟以内的，甲方给予警告处分，半个月内获警告处分3次或以上的，扣当期货款的1％；迟到30分钟以上1小时以下的，甲方按当批货款的5％向乙方扣罚；迟到超过1小时的，甲方有权拒收乙方货物，并按当天应采购食材的金额的30％向乙方扣罚。</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2、乙方所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整体质量下降的情况除外）。</w:t>
      </w:r>
      <w:r/>
    </w:p>
    <w:p>
      <w:pPr>
        <w:ind w:firstLine="315"/>
        <w:spacing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供货食品的定价方法：</w:t>
      </w:r>
      <w:r>
        <w:rPr>
          <w:rFonts w:hint="eastAsia" w:ascii="宋体" w:hAnsi="宋体" w:cs="宋体"/>
          <w:bCs/>
          <w:color w:val="000000" w:themeColor="text1"/>
          <w:sz w:val="24"/>
          <w:szCs w:val="28"/>
          <w:highlight w:val="none"/>
          <w14:textFill>
            <w14:solidFill>
              <w14:schemeClr w14:val="tx1"/>
            </w14:solidFill>
          </w14:textFill>
        </w:rPr>
        <w:t xml:space="preserve">按不高于无锡市发展和改革委员会官网专题专栏中民生价费上周第一天的公示价格的平均价格*折扣率，如遇网站上未公布价格的，则经甲方确认后按无锡3家同类市场价中的最低价格*折扣率，折扣率在合同执行期间是固定值。</w:t>
      </w:r>
      <w:r/>
    </w:p>
    <w:p>
      <w:pPr>
        <w:pStyle w:val="766"/>
        <w:ind w:firstLine="24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4、由于乙方所供货物的质量问题导致食堂就餐人员发生食物中毒事件时（以防疫部门鉴定为准），除偿付甲方损失外，并追究法律责任，同时，立即终止合同。</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bookmarkStart w:id="774" w:name="_Toc245033603"/>
      <w:r>
        <w:rPr>
          <w:rFonts w:hint="eastAsia"/>
          <w:color w:val="000000" w:themeColor="text1"/>
          <w:szCs w:val="20"/>
          <w:highlight w:val="none"/>
          <w14:textFill>
            <w14:solidFill>
              <w14:schemeClr w14:val="tx1"/>
            </w14:solidFill>
          </w14:textFill>
        </w:rPr>
        <w:t xml:space="preserve">十四、</w:t>
      </w:r>
      <w:bookmarkEnd w:id="774"/>
      <w:r>
        <w:rPr>
          <w:rFonts w:hint="eastAsia"/>
          <w:color w:val="000000" w:themeColor="text1"/>
          <w:szCs w:val="20"/>
          <w:highlight w:val="none"/>
          <w14:textFill>
            <w14:solidFill>
              <w14:schemeClr w14:val="tx1"/>
            </w14:solidFill>
          </w14:textFill>
        </w:rPr>
        <w:t xml:space="preserve">争端的解决</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1、本协议履行的过程中发生的任何争议，若双方不能通过友好协商的方式加以解决，向本协议签订所在地的有关仲裁机构申请仲裁，或向人民法院提起诉讼。</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2、在法院审理期间，除提交法院审理的事项外，本协议其它事项和条款仍继续执行。</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十五、不可抗力事件处理</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十六、本协议执行期内，各方均不得随意变更或解除协议。协议有未尽事宜，须经各方共同协商做出补充规定。补充规定与本协议具有同等效力。</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十七、合同备案：</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合同一式伍份，甲方执贰份，乙方执贰份，</w:t>
      </w:r>
      <w:r>
        <w:rPr>
          <w:rFonts w:hint="eastAsia"/>
          <w:color w:val="000000" w:themeColor="text1"/>
          <w:highlight w:val="none"/>
          <w14:textFill>
            <w14:solidFill>
              <w14:schemeClr w14:val="tx1"/>
            </w14:solidFill>
          </w14:textFill>
        </w:rPr>
        <w:t xml:space="preserve">普信国际工程咨询有限公司</w:t>
      </w:r>
      <w:r>
        <w:rPr>
          <w:rFonts w:hint="eastAsia"/>
          <w:color w:val="000000" w:themeColor="text1"/>
          <w:szCs w:val="20"/>
          <w:highlight w:val="none"/>
          <w14:textFill>
            <w14:solidFill>
              <w14:schemeClr w14:val="tx1"/>
            </w14:solidFill>
          </w14:textFill>
        </w:rPr>
        <w:t xml:space="preserve">壹份。</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十八、合同生效：</w:t>
      </w:r>
      <w:r/>
    </w:p>
    <w:p>
      <w:pPr>
        <w:ind w:firstLine="425"/>
        <w:spacing w:line="500" w:lineRule="exact"/>
        <w:rPr>
          <w:color w:val="000000" w:themeColor="text1"/>
          <w:szCs w:val="20"/>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本合同由供需双方签字、盖章，经普信国际工程咨询有限公司见证后生效。</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甲方（盖章）：                      　    乙方（盖章）： </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甲方代表（签字）：　　　　　   　         乙方代表（签字）： </w:t>
      </w:r>
      <w:r/>
    </w:p>
    <w:p>
      <w:pPr>
        <w:pStyle w:val="766"/>
        <w:ind w:firstLine="480"/>
        <w:spacing w:before="0" w:beforeAutospacing="0" w:after="0" w:afterAutospacing="0" w:line="360" w:lineRule="auto"/>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签约时间：        年  月   日　　　       日期：      年  月   日</w:t>
      </w:r>
      <w:r/>
    </w:p>
    <w:p>
      <w:pPr>
        <w:pStyle w:val="766"/>
        <w:ind w:firstLine="480"/>
        <w:spacing w:before="0" w:beforeAutospacing="0" w:after="0" w:afterAutospacing="0" w:line="360" w:lineRule="auto"/>
        <w:rPr>
          <w:rFonts w:hint="eastAsia"/>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见证方： （盖章）   </w:t>
      </w:r>
      <w:r/>
    </w:p>
    <w:p>
      <w:pPr>
        <w:pStyle w:val="766"/>
        <w:ind w:firstLine="480"/>
        <w:spacing w:before="0" w:beforeAutospacing="0" w:after="0" w:afterAutospacing="0" w:line="360" w:lineRule="auto"/>
        <w:rPr>
          <w:rFonts w:hint="eastAsia"/>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见证人：  </w:t>
      </w:r>
      <w:r/>
    </w:p>
    <w:p>
      <w:pPr>
        <w:pStyle w:val="766"/>
        <w:ind w:firstLine="480"/>
        <w:spacing w:before="0" w:beforeAutospacing="0" w:after="0" w:afterAutospacing="0" w:line="360" w:lineRule="auto"/>
        <w:rPr>
          <w:rFonts w:hint="eastAsia" w:ascii="黑体" w:eastAsia="黑体"/>
          <w:bCs/>
          <w:color w:val="000000" w:themeColor="text1"/>
          <w:sz w:val="28"/>
          <w:szCs w:val="28"/>
          <w:highlight w:val="none"/>
          <w:lang w:val="en-US" w:eastAsia="zh-CN"/>
          <w14:textFill>
            <w14:solidFill>
              <w14:schemeClr w14:val="tx1"/>
            </w14:solidFill>
          </w14:textFill>
        </w:rPr>
      </w:pPr>
      <w:r>
        <w:rPr>
          <w:rFonts w:hint="eastAsia"/>
          <w:color w:val="000000" w:themeColor="text1"/>
          <w:szCs w:val="20"/>
          <w:highlight w:val="none"/>
          <w14:textFill>
            <w14:solidFill>
              <w14:schemeClr w14:val="tx1"/>
            </w14:solidFill>
          </w14:textFill>
        </w:rPr>
        <w:t xml:space="preserve">★.备注：供需双方必须以本格式文本，按照合同条款拟订合同</w:t>
      </w:r>
      <w:r>
        <w:rPr>
          <w:rFonts w:hint="eastAsia" w:ascii="黑体" w:eastAsia="黑体"/>
          <w:bCs/>
          <w:color w:val="000000" w:themeColor="text1"/>
          <w:sz w:val="28"/>
          <w:szCs w:val="28"/>
          <w:highlight w:val="none"/>
          <w:lang w:val="en-US" w:eastAsia="zh-CN"/>
          <w14:textFill>
            <w14:solidFill>
              <w14:schemeClr w14:val="tx1"/>
            </w14:solidFill>
          </w14:textFill>
        </w:rPr>
        <w:br w:type="page" w:clear="all"/>
      </w:r>
      <w:r/>
    </w:p>
    <w:p>
      <w:pPr>
        <w:pStyle w:val="1063"/>
        <w:ind w:left="0" w:firstLine="0"/>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lang w:val="en-US" w:eastAsia="zh-CN"/>
          <w14:textFill>
            <w14:solidFill>
              <w14:schemeClr w14:val="tx1"/>
            </w14:solidFill>
          </w14:textFill>
        </w:rPr>
        <w:t xml:space="preserve">五</w:t>
      </w:r>
      <w:r>
        <w:rPr>
          <w:rFonts w:hint="eastAsia" w:ascii="黑体" w:eastAsia="黑体"/>
          <w:bCs/>
          <w:color w:val="000000" w:themeColor="text1"/>
          <w:sz w:val="28"/>
          <w:szCs w:val="28"/>
          <w:highlight w:val="none"/>
          <w14:textFill>
            <w14:solidFill>
              <w14:schemeClr w14:val="tx1"/>
            </w14:solidFill>
          </w14:textFill>
        </w:rPr>
        <w:t xml:space="preserve">.附件</w:t>
      </w:r>
      <w:r/>
    </w:p>
    <w:p>
      <w:pPr>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附件一：评分标准</w:t>
      </w:r>
      <w:r/>
    </w:p>
    <w:p>
      <w:pPr>
        <w:numPr>
          <w:ilvl w:val="0"/>
          <w:numId w:val="0"/>
        </w:numPr>
        <w:ind w:firstLine="720"/>
        <w:keepLines w:val="0"/>
        <w:keepNext w:val="0"/>
        <w:pageBreakBefore w:val="0"/>
        <w:spacing w:line="360" w:lineRule="auto"/>
        <w:widowControl w:val="off"/>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 xml:space="preserve">特别注意：本项目采用暗标形式，投标人须对商务部分和技术</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文件</w:t>
      </w:r>
      <w:r>
        <w:rPr>
          <w:rFonts w:hint="eastAsia" w:ascii="宋体" w:hAnsi="宋体" w:cs="宋体"/>
          <w:b/>
          <w:bCs/>
          <w:color w:val="000000" w:themeColor="text1"/>
          <w:sz w:val="24"/>
          <w:highlight w:val="none"/>
          <w:u w:val="single"/>
          <w14:textFill>
            <w14:solidFill>
              <w14:schemeClr w14:val="tx1"/>
            </w14:solidFill>
          </w14:textFill>
        </w:rPr>
        <w:t xml:space="preserve">部分分别进行制作。其中技术</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文件</w:t>
      </w:r>
      <w:r>
        <w:rPr>
          <w:rFonts w:hint="eastAsia" w:ascii="宋体" w:hAnsi="宋体" w:cs="宋体"/>
          <w:b/>
          <w:bCs/>
          <w:color w:val="000000" w:themeColor="text1"/>
          <w:sz w:val="24"/>
          <w:highlight w:val="none"/>
          <w:u w:val="single"/>
          <w14:textFill>
            <w14:solidFill>
              <w14:schemeClr w14:val="tx1"/>
            </w14:solidFill>
          </w14:textFill>
        </w:rPr>
        <w:t xml:space="preserve">部分属于暗标，投标人在制作技术</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文件</w:t>
      </w:r>
      <w:r>
        <w:rPr>
          <w:rFonts w:hint="eastAsia" w:ascii="宋体" w:hAnsi="宋体" w:cs="宋体"/>
          <w:b/>
          <w:bCs/>
          <w:color w:val="000000" w:themeColor="text1"/>
          <w:sz w:val="24"/>
          <w:highlight w:val="none"/>
          <w:u w:val="single"/>
          <w14:textFill>
            <w14:solidFill>
              <w14:schemeClr w14:val="tx1"/>
            </w14:solidFill>
          </w14:textFill>
        </w:rPr>
        <w:t xml:space="preserve">部分相关内容时不得有体现投标人身份的内容，否则投标无效。</w:t>
      </w:r>
      <w:r/>
    </w:p>
    <w:p>
      <w:pPr>
        <w:numPr>
          <w:ilvl w:val="0"/>
          <w:numId w:val="0"/>
        </w:numPr>
        <w:ind w:firstLine="720"/>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综合评分法满分为100分，计分均保留2位小数。</w:t>
      </w:r>
      <w:r/>
    </w:p>
    <w:p>
      <w:pPr>
        <w:ind w:left="0" w:firstLine="480"/>
        <w:keepLines w:val="0"/>
        <w:keepNext w:val="0"/>
        <w:pageBreakBefore w:val="0"/>
        <w:spacing w:line="360" w:lineRule="auto"/>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评分项目及分值（总分100分）</w:t>
      </w:r>
      <w:r/>
    </w:p>
    <w:p>
      <w:pPr>
        <w:ind w:left="0" w:firstLine="482"/>
        <w:keepLines w:val="0"/>
        <w:keepNext w:val="0"/>
        <w:pageBreakBefore w:val="0"/>
        <w:spacing w:line="360" w:lineRule="auto"/>
        <w:widowControl w:val="off"/>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投标报价            </w:t>
      </w:r>
      <w:r>
        <w:rPr>
          <w:rFonts w:hint="eastAsia" w:ascii="宋体" w:hAnsi="宋体" w:cs="宋体"/>
          <w:b/>
          <w:color w:val="000000" w:themeColor="text1"/>
          <w:sz w:val="24"/>
          <w:highlight w:val="none"/>
          <w:lang w:val="en-US" w:eastAsia="zh-CN"/>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0分</w:t>
      </w:r>
      <w:r/>
    </w:p>
    <w:p>
      <w:pPr>
        <w:ind w:left="0" w:firstLine="482"/>
        <w:keepLines w:val="0"/>
        <w:keepNext w:val="0"/>
        <w:pageBreakBefore w:val="0"/>
        <w:spacing w:line="360" w:lineRule="auto"/>
        <w:widowControl w:val="off"/>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投标供应商评价      </w:t>
      </w:r>
      <w:r>
        <w:rPr>
          <w:rFonts w:hint="eastAsia" w:ascii="宋体" w:hAnsi="宋体" w:cs="宋体"/>
          <w:b/>
          <w:color w:val="000000" w:themeColor="text1"/>
          <w:sz w:val="24"/>
          <w:highlight w:val="none"/>
          <w:lang w:val="en-US" w:eastAsia="zh-CN"/>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12</w:t>
      </w:r>
      <w:r>
        <w:rPr>
          <w:rFonts w:hint="eastAsia" w:ascii="宋体" w:hAnsi="宋体" w:cs="宋体"/>
          <w:b/>
          <w:color w:val="000000" w:themeColor="text1"/>
          <w:sz w:val="24"/>
          <w:highlight w:val="none"/>
          <w14:textFill>
            <w14:solidFill>
              <w14:schemeClr w14:val="tx1"/>
            </w14:solidFill>
          </w14:textFill>
        </w:rPr>
        <w:t xml:space="preserve">分</w:t>
      </w:r>
      <w:r/>
    </w:p>
    <w:p>
      <w:pPr>
        <w:ind w:left="0" w:firstLine="482"/>
        <w:keepLines w:val="0"/>
        <w:keepNext w:val="0"/>
        <w:pageBreakBefore w:val="0"/>
        <w:spacing w:line="360" w:lineRule="auto"/>
        <w:widowControl w:val="off"/>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3.</w:t>
      </w:r>
      <w:r>
        <w:rPr>
          <w:rFonts w:hint="eastAsia" w:ascii="宋体" w:hAnsi="宋体" w:cs="宋体"/>
          <w:b/>
          <w:color w:val="000000" w:themeColor="text1"/>
          <w:sz w:val="24"/>
          <w:highlight w:val="none"/>
          <w14:textFill>
            <w14:solidFill>
              <w14:schemeClr w14:val="tx1"/>
            </w14:solidFill>
          </w14:textFill>
        </w:rPr>
        <w:t xml:space="preserve">技术文件</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暗标</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38</w:t>
      </w:r>
      <w:r>
        <w:rPr>
          <w:rFonts w:hint="eastAsia" w:ascii="宋体" w:hAnsi="宋体" w:cs="宋体"/>
          <w:b/>
          <w:color w:val="000000" w:themeColor="text1"/>
          <w:sz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各项目评分标准</w:t>
      </w:r>
      <w:r/>
    </w:p>
    <w:p>
      <w:pPr>
        <w:ind w:left="0" w:firstLine="482"/>
        <w:jc w:val="left"/>
        <w:keepLines w:val="0"/>
        <w:keepNext w:val="0"/>
        <w:pageBreakBefore w:val="0"/>
        <w:spacing w:line="360" w:lineRule="auto"/>
        <w:widowControl w:val="off"/>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1.投标报价（</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szCs w:val="24"/>
          <w:highlight w:val="none"/>
          <w14:textFill>
            <w14:solidFill>
              <w14:schemeClr w14:val="tx1"/>
            </w14:solidFill>
          </w14:textFill>
        </w:rPr>
        <w:t xml:space="preserve">0分）</w:t>
      </w:r>
      <w:r/>
    </w:p>
    <w:p>
      <w:pPr>
        <w:ind w:left="0" w:firstLine="480"/>
        <w:jc w:val="left"/>
        <w:keepLines w:val="0"/>
        <w:keepNext w:val="0"/>
        <w:pageBreakBefore w:val="0"/>
        <w:spacing w:line="36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采用低价</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投标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折扣率</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优先法计算，即满足招标文件要求且投标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折扣率最低</w:t>
      </w:r>
      <w:r>
        <w:rPr>
          <w:rFonts w:hint="eastAsia" w:ascii="宋体" w:hAnsi="宋体" w:cs="宋体"/>
          <w:bCs/>
          <w:color w:val="000000" w:themeColor="text1"/>
          <w:sz w:val="24"/>
          <w:szCs w:val="24"/>
          <w:highlight w:val="none"/>
          <w14:textFill>
            <w14:solidFill>
              <w14:schemeClr w14:val="tx1"/>
            </w14:solidFill>
          </w14:textFill>
        </w:rPr>
        <w:t xml:space="preserve">的投标报价为评标基准价，其价格分为满分。其他投标供应商的价格分统一按照下列公式计算：</w:t>
      </w:r>
      <w:r/>
    </w:p>
    <w:p>
      <w:pPr>
        <w:ind w:left="0" w:firstLine="480"/>
        <w:jc w:val="left"/>
        <w:keepLines w:val="0"/>
        <w:keepNext w:val="0"/>
        <w:pageBreakBefore w:val="0"/>
        <w:spacing w:line="36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投标报价得分=(评标基准价</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投标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折扣率</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50</w:t>
      </w:r>
      <w:r>
        <w:rPr>
          <w:rFonts w:hint="eastAsia" w:ascii="宋体" w:hAnsi="宋体" w:cs="宋体"/>
          <w:bCs/>
          <w:color w:val="000000" w:themeColor="text1"/>
          <w:sz w:val="24"/>
          <w:szCs w:val="24"/>
          <w:highlight w:val="none"/>
          <w14:textFill>
            <w14:solidFill>
              <w14:schemeClr w14:val="tx1"/>
            </w14:solidFill>
          </w14:textFill>
        </w:rPr>
        <w:t xml:space="preserve">。</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折扣率</w:t>
      </w:r>
      <w:r>
        <w:rPr>
          <w:rFonts w:hint="eastAsia" w:cs="宋体"/>
          <w:color w:val="000000" w:themeColor="text1"/>
          <w:sz w:val="24"/>
          <w:szCs w:val="24"/>
          <w:highlight w:val="none"/>
          <w:lang w:val="en-US" w:eastAsia="zh-CN"/>
          <w14:textFill>
            <w14:solidFill>
              <w14:schemeClr w14:val="tx1"/>
            </w14:solidFill>
          </w14:textFill>
        </w:rPr>
        <w:t xml:space="preserve">=1-投标优惠率</w:t>
      </w:r>
      <w:r/>
    </w:p>
    <w:p>
      <w:pPr>
        <w:ind w:left="0" w:firstLine="482"/>
        <w:keepLines w:val="0"/>
        <w:keepNext w:val="0"/>
        <w:pageBreakBefore w:val="0"/>
        <w:spacing w:line="360" w:lineRule="auto"/>
        <w:widowControl w:val="off"/>
        <w:tabs>
          <w:tab w:val="left" w:pos="420" w:leader="none"/>
          <w:tab w:val="left" w:pos="945" w:leader="none"/>
          <w:tab w:val="left" w:pos="1155"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2、投标供应商评价（</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pStyle w:val="1060"/>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TW" w:eastAsia="zh-TW" w:bidi="ar-SA"/>
          <w14:textFill>
            <w14:solidFill>
              <w14:schemeClr w14:val="tx1"/>
            </w14:solidFill>
          </w14:textFill>
        </w:rPr>
        <w:t xml:space="preserve">投标</w:t>
      </w:r>
      <w:r>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t xml:space="preserve">供应</w:t>
      </w:r>
      <w:r>
        <w:rPr>
          <w:rFonts w:hint="eastAsia" w:ascii="宋体" w:hAnsi="宋体" w:eastAsia="宋体" w:cs="宋体"/>
          <w:bCs/>
          <w:color w:val="000000" w:themeColor="text1"/>
          <w:sz w:val="24"/>
          <w:szCs w:val="24"/>
          <w:highlight w:val="none"/>
          <w:lang w:val="zh-TW" w:eastAsia="zh-TW" w:bidi="ar-SA"/>
          <w14:textFill>
            <w14:solidFill>
              <w14:schemeClr w14:val="tx1"/>
            </w14:solidFill>
          </w14:textFill>
        </w:rPr>
        <w:t xml:space="preserve">商自201</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bCs/>
          <w:color w:val="000000" w:themeColor="text1"/>
          <w:sz w:val="24"/>
          <w:szCs w:val="24"/>
          <w:highlight w:val="none"/>
          <w:lang w:val="zh-TW" w:eastAsia="zh-TW" w:bidi="ar-SA"/>
          <w14:textFill>
            <w14:solidFill>
              <w14:schemeClr w14:val="tx1"/>
            </w14:solidFill>
          </w14:textFill>
        </w:rPr>
        <w:t xml:space="preserve">年</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eastAsia="宋体" w:cs="宋体"/>
          <w:bCs/>
          <w:color w:val="000000" w:themeColor="text1"/>
          <w:sz w:val="24"/>
          <w:szCs w:val="24"/>
          <w:highlight w:val="none"/>
          <w:lang w:val="zh-TW" w:eastAsia="zh-TW" w:bidi="ar-SA"/>
          <w14:textFill>
            <w14:solidFill>
              <w14:schemeClr w14:val="tx1"/>
            </w14:solidFill>
          </w14:textFill>
        </w:rPr>
        <w:t xml:space="preserve">月1日以来承接过</w:t>
      </w:r>
      <w:r>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t xml:space="preserve">同</w:t>
      </w:r>
      <w:r>
        <w:rPr>
          <w:rFonts w:hint="eastAsia" w:ascii="宋体" w:hAnsi="宋体" w:eastAsia="宋体" w:cs="宋体"/>
          <w:bCs/>
          <w:color w:val="000000" w:themeColor="text1"/>
          <w:sz w:val="24"/>
          <w:szCs w:val="24"/>
          <w:highlight w:val="none"/>
          <w:lang w:val="zh-TW" w:eastAsia="zh-TW" w:bidi="ar-SA"/>
          <w14:textFill>
            <w14:solidFill>
              <w14:schemeClr w14:val="tx1"/>
            </w14:solidFill>
          </w14:textFill>
        </w:rPr>
        <w:t xml:space="preserve">类项目业绩，有一个得</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t xml:space="preserve">分，本项最高得</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t xml:space="preserve">分。</w:t>
      </w:r>
      <w:r>
        <w:rPr>
          <w:rFonts w:hint="eastAsia" w:ascii="宋体" w:hAnsi="宋体" w:cs="宋体"/>
          <w:bCs/>
          <w:color w:val="000000" w:themeColor="text1"/>
          <w:sz w:val="24"/>
          <w:szCs w:val="24"/>
          <w:highlight w:val="none"/>
          <w:lang w:val="zh-TW"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TW" w:eastAsia="zh-TW" w:bidi="ar-SA"/>
          <w14:textFill>
            <w14:solidFill>
              <w14:schemeClr w14:val="tx1"/>
            </w14:solidFill>
          </w14:textFill>
        </w:rPr>
        <w:t xml:space="preserve">日期以合同签订日期为准；提供</w:t>
      </w:r>
      <w:r>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t xml:space="preserve">合同</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原件扫描件放入电子投标文件，未按要求提供不得分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（2）投标供应商自有或租赁操作场地面积达到1000㎡及以上的得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分，低于1000㎡的得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分</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Cs/>
          <w:color w:val="000000" w:themeColor="text1"/>
          <w:sz w:val="24"/>
          <w:szCs w:val="24"/>
          <w:highlight w:val="none"/>
          <w:lang w:val="zh-TW" w:eastAsia="zh-CN" w:bidi="ar-SA"/>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自有的提供房屋产权证</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原件扫描件进入电子投标文件</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；租赁的提供房屋产权证及</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租赁合同原件扫描件进入电子投标文件</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未按要求提供不得分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（3）投标供应商自有或租赁冷库得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分</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Cs/>
          <w:color w:val="000000" w:themeColor="text1"/>
          <w:sz w:val="24"/>
          <w:szCs w:val="24"/>
          <w:highlight w:val="none"/>
          <w:lang w:val="zh-TW"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自有提供产权证明材料、现场照片；租赁提供租赁合同、现场照片等证明材料扫描件进入电子投标文件，未按要求提供不得分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（4）投标供应商具有自有或租赁的蔬菜基地得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分。（投标文件</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中</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提供</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自有证明或</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租赁合同原件扫描件</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、基地现场照片</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，未按要求提供不得分）</w:t>
      </w:r>
      <w:r/>
    </w:p>
    <w:p>
      <w:pPr>
        <w:ind w:firstLine="480"/>
        <w:keepLines w:val="0"/>
        <w:keepNext w:val="0"/>
        <w:pageBreakBefore w:val="0"/>
        <w:spacing w:line="440" w:lineRule="exact"/>
        <w:widowControl w:val="off"/>
        <w:tabs>
          <w:tab w:val="left" w:pos="945" w:leader="none"/>
          <w:tab w:val="left" w:pos="1155" w:leader="none"/>
        </w:tabs>
        <w:rPr>
          <w:rFonts w:hint="eastAsia" w:ascii="宋体" w:hAnsi="宋体" w:cs="宋体"/>
          <w:bCs/>
          <w:color w:val="000000" w:themeColor="text1"/>
          <w:sz w:val="24"/>
          <w:szCs w:val="24"/>
          <w:highlight w:val="none"/>
          <w:lang w:val="zh-TW"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（5）投标供应商为本项目</w:t>
      </w:r>
      <w:r>
        <w:rPr>
          <w:rFonts w:hint="eastAsia" w:ascii="宋体" w:hAnsi="宋体" w:eastAsia="宋体" w:cs="宋体"/>
          <w:bCs/>
          <w:color w:val="000000" w:themeColor="text1"/>
          <w:sz w:val="24"/>
          <w:szCs w:val="24"/>
          <w:highlight w:val="none"/>
          <w:lang w:val="zh-TW" w:eastAsia="zh-TW" w:bidi="ar-SA"/>
          <w14:textFill>
            <w14:solidFill>
              <w14:schemeClr w14:val="tx1"/>
            </w14:solidFill>
          </w14:textFill>
        </w:rPr>
        <w:t xml:space="preserve">配备的</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自有或租赁车辆（</w:t>
      </w:r>
      <w:r>
        <w:rPr>
          <w:rFonts w:hint="eastAsia" w:ascii="宋体" w:hAnsi="宋体" w:eastAsia="宋体" w:cs="宋体"/>
          <w:bCs/>
          <w:color w:val="000000" w:themeColor="text1"/>
          <w:sz w:val="24"/>
          <w:szCs w:val="24"/>
          <w:highlight w:val="none"/>
          <w:lang w:val="zh-TW" w:eastAsia="zh-TW" w:bidi="ar-SA"/>
          <w14:textFill>
            <w14:solidFill>
              <w14:schemeClr w14:val="tx1"/>
            </w14:solidFill>
          </w14:textFill>
        </w:rPr>
        <w:t xml:space="preserve">冷链运输</w:t>
      </w:r>
      <w:r>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t xml:space="preserve">车）：有一辆得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0.5</w:t>
      </w:r>
      <w:r>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t xml:space="preserve">分，最高得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t xml:space="preserve">5分</w:t>
      </w:r>
      <w:r>
        <w:rPr>
          <w:rFonts w:hint="eastAsia" w:ascii="宋体" w:hAnsi="宋体" w:cs="宋体"/>
          <w:bCs/>
          <w:color w:val="000000" w:themeColor="text1"/>
          <w:sz w:val="24"/>
          <w:szCs w:val="24"/>
          <w:highlight w:val="none"/>
          <w:lang w:val="zh-TW"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TW" w:eastAsia="zh-TW" w:bidi="ar-SA"/>
          <w14:textFill>
            <w14:solidFill>
              <w14:schemeClr w14:val="tx1"/>
            </w14:solidFill>
          </w14:textFill>
        </w:rPr>
        <w:t xml:space="preserve">提供车辆登记证、车辆照片、行驶证</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扫描件进入电子投标文件，租赁的还需提供租赁合同。未按要求提供不得分</w:t>
      </w:r>
      <w:r>
        <w:rPr>
          <w:rFonts w:hint="eastAsia" w:ascii="宋体" w:hAnsi="宋体" w:cs="宋体"/>
          <w:bCs/>
          <w:color w:val="000000" w:themeColor="text1"/>
          <w:sz w:val="24"/>
          <w:szCs w:val="24"/>
          <w:highlight w:val="none"/>
          <w:lang w:val="zh-TW" w:eastAsia="zh-CN" w:bidi="ar-SA"/>
          <w14:textFill>
            <w14:solidFill>
              <w14:schemeClr w14:val="tx1"/>
            </w14:solidFill>
          </w14:textFill>
        </w:rPr>
        <w:t xml:space="preserve">）</w:t>
      </w:r>
      <w:r/>
    </w:p>
    <w:p>
      <w:pPr>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（6）投标供应商</w:t>
      </w:r>
      <w:r>
        <w:rPr>
          <w:rFonts w:hint="eastAsia" w:ascii="宋体" w:hAnsi="宋体" w:eastAsia="宋体" w:cs="Times New Roman"/>
          <w:bCs/>
          <w:color w:val="000000" w:themeColor="text1"/>
          <w:sz w:val="24"/>
          <w:szCs w:val="24"/>
          <w:highlight w:val="none"/>
          <w14:textFill>
            <w14:solidFill>
              <w14:schemeClr w14:val="tx1"/>
            </w14:solidFill>
          </w14:textFill>
        </w:rPr>
        <w:t xml:space="preserve">具有有效的质量管理体系认证、环境管理体系认证、职业健康安全管理体系认证</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食品安全管理体系认证，</w:t>
      </w:r>
      <w:r>
        <w:rPr>
          <w:rFonts w:hint="eastAsia" w:ascii="宋体" w:hAnsi="宋体" w:eastAsia="宋体" w:cs="Times New Roman"/>
          <w:bCs/>
          <w:color w:val="000000" w:themeColor="text1"/>
          <w:sz w:val="24"/>
          <w:szCs w:val="24"/>
          <w:highlight w:val="none"/>
          <w14:textFill>
            <w14:solidFill>
              <w14:schemeClr w14:val="tx1"/>
            </w14:solidFill>
          </w14:textFill>
        </w:rPr>
        <w:t xml:space="preserve">有一项得</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分，本项最高得</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分。（相应内容</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扫描件放</w:t>
      </w:r>
      <w:r>
        <w:rPr>
          <w:rFonts w:hint="eastAsia" w:ascii="宋体" w:hAnsi="宋体" w:eastAsia="宋体" w:cs="Times New Roman"/>
          <w:bCs/>
          <w:color w:val="000000" w:themeColor="text1"/>
          <w:sz w:val="24"/>
          <w:szCs w:val="24"/>
          <w:highlight w:val="none"/>
          <w14:textFill>
            <w14:solidFill>
              <w14:schemeClr w14:val="tx1"/>
            </w14:solidFill>
          </w14:textFill>
        </w:rPr>
        <w:t xml:space="preserve">入投标文件</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不提供</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或提供不全</w:t>
      </w:r>
      <w:r>
        <w:rPr>
          <w:rFonts w:hint="eastAsia" w:ascii="宋体" w:hAnsi="宋体" w:eastAsia="宋体" w:cs="Times New Roman"/>
          <w:bCs/>
          <w:color w:val="000000" w:themeColor="text1"/>
          <w:sz w:val="24"/>
          <w:szCs w:val="24"/>
          <w:highlight w:val="none"/>
          <w14:textFill>
            <w14:solidFill>
              <w14:schemeClr w14:val="tx1"/>
            </w14:solidFill>
          </w14:textFill>
        </w:rPr>
        <w:t xml:space="preserve">不得分。）</w:t>
      </w:r>
      <w:r/>
    </w:p>
    <w:p>
      <w:pPr>
        <w:ind w:firstLine="480"/>
        <w:spacing w:line="360" w:lineRule="auto"/>
        <w:tabs>
          <w:tab w:val="left" w:pos="945" w:leader="none"/>
        </w:tabs>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投标供应商投保食品安全责任保险（</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分）（提供保单扫描件进入电子投标文件，不按要求提供原件不得分）。</w:t>
      </w:r>
      <w:r/>
    </w:p>
    <w:p>
      <w:pPr>
        <w:ind w:left="0" w:firstLine="482"/>
        <w:jc w:val="left"/>
        <w:keepLines w:val="0"/>
        <w:keepNext w:val="0"/>
        <w:pageBreakBefore w:val="0"/>
        <w:spacing w:line="360" w:lineRule="auto"/>
        <w:widowControl w:val="off"/>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3.技术文件（暗标）（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38</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left="0" w:firstLine="482"/>
        <w:jc w:val="left"/>
        <w:keepLines w:val="0"/>
        <w:keepNext w:val="0"/>
        <w:pageBreakBefore w:val="0"/>
        <w:spacing w:line="360" w:lineRule="auto"/>
        <w:widowControl w:val="off"/>
        <w:rPr>
          <w:rFonts w:hint="eastAsia" w:ascii="宋体" w:hAnsi="宋体" w:cs="宋体"/>
          <w:b/>
          <w:bCs w:val="0"/>
          <w:color w:val="000000" w:themeColor="text1"/>
          <w:sz w:val="24"/>
          <w:szCs w:val="24"/>
          <w:highlight w:val="none"/>
          <w:u w:val="single"/>
          <w:lang w:val="zh-CN"/>
          <w14:textFill>
            <w14:solidFill>
              <w14:schemeClr w14:val="tx1"/>
            </w14:solidFill>
          </w14:textFill>
        </w:rPr>
      </w:pPr>
      <w:r>
        <w:rPr>
          <w:rFonts w:hint="eastAsia" w:ascii="宋体" w:hAnsi="宋体" w:cs="宋体"/>
          <w:b/>
          <w:bCs w:val="0"/>
          <w:color w:val="000000" w:themeColor="text1"/>
          <w:sz w:val="24"/>
          <w:szCs w:val="24"/>
          <w:highlight w:val="none"/>
          <w:u w:val="single"/>
          <w:lang w:val="zh-CN"/>
          <w14:textFill>
            <w14:solidFill>
              <w14:schemeClr w14:val="tx1"/>
            </w14:solidFill>
          </w14:textFill>
        </w:rPr>
        <w:t xml:space="preserve">注：技术</w:t>
      </w:r>
      <w:r>
        <w:rPr>
          <w:rFonts w:hint="eastAsia" w:ascii="宋体" w:hAnsi="宋体" w:cs="宋体"/>
          <w:b/>
          <w:bCs w:val="0"/>
          <w:color w:val="000000" w:themeColor="text1"/>
          <w:sz w:val="24"/>
          <w:szCs w:val="24"/>
          <w:highlight w:val="none"/>
          <w:u w:val="single"/>
          <w:lang w:val="en-US" w:eastAsia="zh-CN"/>
          <w14:textFill>
            <w14:solidFill>
              <w14:schemeClr w14:val="tx1"/>
            </w14:solidFill>
          </w14:textFill>
        </w:rPr>
        <w:t xml:space="preserve">文件</w:t>
      </w:r>
      <w:r>
        <w:rPr>
          <w:rFonts w:hint="eastAsia" w:ascii="宋体" w:hAnsi="宋体" w:cs="宋体"/>
          <w:b/>
          <w:bCs w:val="0"/>
          <w:color w:val="000000" w:themeColor="text1"/>
          <w:sz w:val="24"/>
          <w:szCs w:val="24"/>
          <w:highlight w:val="none"/>
          <w:u w:val="single"/>
          <w:lang w:val="zh-CN"/>
          <w14:textFill>
            <w14:solidFill>
              <w14:schemeClr w14:val="tx1"/>
            </w14:solidFill>
          </w14:textFill>
        </w:rPr>
        <w:t xml:space="preserve">部分属于暗标，投标人在制作技术</w:t>
      </w:r>
      <w:r>
        <w:rPr>
          <w:rFonts w:hint="eastAsia" w:ascii="宋体" w:hAnsi="宋体" w:cs="宋体"/>
          <w:b/>
          <w:bCs w:val="0"/>
          <w:color w:val="000000" w:themeColor="text1"/>
          <w:sz w:val="24"/>
          <w:szCs w:val="24"/>
          <w:highlight w:val="none"/>
          <w:u w:val="single"/>
          <w:lang w:val="en-US" w:eastAsia="zh-CN"/>
          <w14:textFill>
            <w14:solidFill>
              <w14:schemeClr w14:val="tx1"/>
            </w14:solidFill>
          </w14:textFill>
        </w:rPr>
        <w:t xml:space="preserve">文件</w:t>
      </w:r>
      <w:r>
        <w:rPr>
          <w:rFonts w:hint="eastAsia" w:ascii="宋体" w:hAnsi="宋体" w:cs="宋体"/>
          <w:b/>
          <w:bCs w:val="0"/>
          <w:color w:val="000000" w:themeColor="text1"/>
          <w:sz w:val="24"/>
          <w:szCs w:val="24"/>
          <w:highlight w:val="none"/>
          <w:u w:val="single"/>
          <w:lang w:val="zh-CN"/>
          <w14:textFill>
            <w14:solidFill>
              <w14:schemeClr w14:val="tx1"/>
            </w14:solidFill>
          </w14:textFill>
        </w:rPr>
        <w:t xml:space="preserve">部分相关内容时不得有体现投标人身份的内容，否则投标无效。</w:t>
      </w:r>
      <w:r/>
    </w:p>
    <w:p>
      <w:pPr>
        <w:pStyle w:val="742"/>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（1）针对本项目所制定的服务方案                             </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分</w:t>
      </w:r>
      <w:r/>
    </w:p>
    <w:p>
      <w:pPr>
        <w:ind w:left="420"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投标人针对本项目所制定的服务方案详细、切实可行有效的，得</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分；</w:t>
      </w:r>
      <w:r/>
    </w:p>
    <w:p>
      <w:pPr>
        <w:ind w:left="420"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投标人针对本项目所制定的服务方案较详细、较切实可行有效的，得</w:t>
      </w: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分；</w:t>
      </w:r>
      <w:r/>
    </w:p>
    <w:p>
      <w:pPr>
        <w:ind w:left="420"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投标人针对本项目所制定的服务方案简单、可行性较弱的，得</w:t>
      </w: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分。</w:t>
      </w:r>
      <w:r/>
    </w:p>
    <w:p>
      <w:pPr>
        <w:numPr>
          <w:ilvl w:val="0"/>
          <w:numId w:val="17"/>
        </w:num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经营管理制度、日常管理制度及各岗位职责                 </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分</w:t>
      </w:r>
      <w:r/>
    </w:p>
    <w:p>
      <w:pPr>
        <w:ind w:left="420"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投标人的经营管理制度、日常管理制度及各岗位职责详细、切实可行有效的，得</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分；</w:t>
      </w:r>
      <w:r/>
    </w:p>
    <w:p>
      <w:pPr>
        <w:ind w:left="420"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投标人的经营管理制度、日常管理制度及各岗位职责较详细、较切实可行有效的，得</w:t>
      </w: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分；</w:t>
      </w:r>
      <w:r/>
    </w:p>
    <w:p>
      <w:pPr>
        <w:ind w:left="420"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投标人的经营管理制度、日常管理制度及各岗位职责简单、可行性较弱的，得2分。</w:t>
      </w:r>
      <w:r/>
    </w:p>
    <w:p>
      <w:pPr>
        <w:numPr>
          <w:ilvl w:val="0"/>
          <w:numId w:val="17"/>
        </w:num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食品安全保障措施                                       </w:t>
      </w:r>
      <w:r>
        <w:rPr>
          <w:rFonts w:hint="eastAsia" w:ascii="宋体" w:hAnsi="宋体"/>
          <w:bCs/>
          <w:color w:val="000000" w:themeColor="text1"/>
          <w:sz w:val="24"/>
          <w:highlight w:val="none"/>
          <w:lang w:val="en-US" w:eastAsia="zh-CN"/>
          <w14:textFill>
            <w14:solidFill>
              <w14:schemeClr w14:val="tx1"/>
            </w14:solidFill>
          </w14:textFill>
        </w:rPr>
        <w:t xml:space="preserve">8</w:t>
      </w:r>
      <w:r>
        <w:rPr>
          <w:rFonts w:hint="eastAsia" w:ascii="宋体" w:hAnsi="宋体"/>
          <w:bCs/>
          <w:color w:val="000000" w:themeColor="text1"/>
          <w:sz w:val="24"/>
          <w:highlight w:val="none"/>
          <w14:textFill>
            <w14:solidFill>
              <w14:schemeClr w14:val="tx1"/>
            </w14:solidFill>
          </w14:textFill>
        </w:rPr>
        <w:t xml:space="preserve">分 </w:t>
      </w:r>
      <w:r/>
    </w:p>
    <w:p>
      <w:pPr>
        <w:ind w:left="420"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投标人针对本项目的食品安全保障措施详细、切实可行有效的，得</w:t>
      </w:r>
      <w:r>
        <w:rPr>
          <w:rFonts w:hint="eastAsia" w:ascii="宋体" w:hAnsi="宋体"/>
          <w:bCs/>
          <w:color w:val="000000" w:themeColor="text1"/>
          <w:sz w:val="24"/>
          <w:highlight w:val="none"/>
          <w:lang w:val="en-US" w:eastAsia="zh-CN"/>
          <w14:textFill>
            <w14:solidFill>
              <w14:schemeClr w14:val="tx1"/>
            </w14:solidFill>
          </w14:textFill>
        </w:rPr>
        <w:t xml:space="preserve">8</w:t>
      </w:r>
      <w:r>
        <w:rPr>
          <w:rFonts w:hint="eastAsia" w:ascii="宋体" w:hAnsi="宋体"/>
          <w:bCs/>
          <w:color w:val="000000" w:themeColor="text1"/>
          <w:sz w:val="24"/>
          <w:highlight w:val="none"/>
          <w14:textFill>
            <w14:solidFill>
              <w14:schemeClr w14:val="tx1"/>
            </w14:solidFill>
          </w14:textFill>
        </w:rPr>
        <w:t xml:space="preserve">分；</w:t>
      </w:r>
      <w:r/>
    </w:p>
    <w:p>
      <w:pPr>
        <w:ind w:left="420"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投标人针对本项目的食品安全保障措施较详细、较切实可行有效的，得</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分；</w:t>
      </w:r>
      <w:r/>
    </w:p>
    <w:p>
      <w:pPr>
        <w:ind w:left="420"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投标人针对本项目的食品安全保障措施简单、可行性较弱的，得</w:t>
      </w: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分。</w:t>
      </w:r>
      <w:r/>
    </w:p>
    <w:p>
      <w:pPr>
        <w:numPr>
          <w:ilvl w:val="0"/>
          <w:numId w:val="17"/>
        </w:numPr>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食品质量保障措施                                       </w:t>
      </w:r>
      <w:r>
        <w:rPr>
          <w:rFonts w:hint="eastAsia" w:ascii="宋体" w:hAnsi="宋体"/>
          <w:bCs/>
          <w:color w:val="000000" w:themeColor="text1"/>
          <w:sz w:val="24"/>
          <w:highlight w:val="none"/>
          <w:lang w:val="en-US" w:eastAsia="zh-CN"/>
          <w14:textFill>
            <w14:solidFill>
              <w14:schemeClr w14:val="tx1"/>
            </w14:solidFill>
          </w14:textFill>
        </w:rPr>
        <w:t xml:space="preserve">8</w:t>
      </w:r>
      <w:r>
        <w:rPr>
          <w:rFonts w:hint="eastAsia" w:ascii="宋体" w:hAnsi="宋体"/>
          <w:bCs/>
          <w:color w:val="000000" w:themeColor="text1"/>
          <w:sz w:val="24"/>
          <w:highlight w:val="none"/>
          <w14:textFill>
            <w14:solidFill>
              <w14:schemeClr w14:val="tx1"/>
            </w14:solidFill>
          </w14:textFill>
        </w:rPr>
        <w:t xml:space="preserve">分</w:t>
      </w:r>
      <w:r/>
    </w:p>
    <w:p>
      <w:pPr>
        <w:ind w:left="420"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投标人针对本项目的食品质量保障措施详细、切实可行有效的，得</w:t>
      </w:r>
      <w:r>
        <w:rPr>
          <w:rFonts w:hint="eastAsia" w:ascii="宋体" w:hAnsi="宋体"/>
          <w:bCs/>
          <w:color w:val="000000" w:themeColor="text1"/>
          <w:sz w:val="24"/>
          <w:highlight w:val="none"/>
          <w:lang w:val="en-US" w:eastAsia="zh-CN"/>
          <w14:textFill>
            <w14:solidFill>
              <w14:schemeClr w14:val="tx1"/>
            </w14:solidFill>
          </w14:textFill>
        </w:rPr>
        <w:t xml:space="preserve">8</w:t>
      </w:r>
      <w:r>
        <w:rPr>
          <w:rFonts w:hint="eastAsia" w:ascii="宋体" w:hAnsi="宋体"/>
          <w:bCs/>
          <w:color w:val="000000" w:themeColor="text1"/>
          <w:sz w:val="24"/>
          <w:highlight w:val="none"/>
          <w14:textFill>
            <w14:solidFill>
              <w14:schemeClr w14:val="tx1"/>
            </w14:solidFill>
          </w14:textFill>
        </w:rPr>
        <w:t xml:space="preserve">分；</w:t>
      </w:r>
      <w:r/>
    </w:p>
    <w:p>
      <w:pPr>
        <w:ind w:left="420"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投标人针对本项目的食品质量保障措施较详细、较切实可行有效的，得</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分；</w:t>
      </w:r>
      <w:r/>
    </w:p>
    <w:p>
      <w:pPr>
        <w:ind w:left="420"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投标人针对本项目的食品质量保障措施简单、可行性较弱的，得</w:t>
      </w: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分。</w:t>
      </w:r>
      <w:r/>
    </w:p>
    <w:p>
      <w:pPr>
        <w:numPr>
          <w:ilvl w:val="0"/>
          <w:numId w:val="17"/>
        </w:num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服务过程中突发事件的应急措施（包括但不限于食物中毒）   </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分</w:t>
      </w:r>
      <w:r/>
    </w:p>
    <w:p>
      <w:pPr>
        <w:ind w:left="420"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投标人针对本项目的服务过程中突发事件的应急措施详细、切实可行有效的，得</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分；</w:t>
      </w:r>
      <w:r/>
    </w:p>
    <w:p>
      <w:pPr>
        <w:ind w:left="420"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投标人针对本项目的服务过程中突发事件的应急措施较详细、较切实可行有效的，得</w:t>
      </w: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分；</w:t>
      </w:r>
      <w:r/>
    </w:p>
    <w:p>
      <w:pPr>
        <w:ind w:left="420"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投标人针对本项目的服务过程中突发事件的应急措施简单、可行性较弱的，得</w:t>
      </w: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分。</w:t>
      </w:r>
      <w:r/>
    </w:p>
    <w:p>
      <w:pPr>
        <w:numPr>
          <w:ilvl w:val="0"/>
          <w:numId w:val="17"/>
        </w:num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投标单位针对本项目的特色服务                           </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分</w:t>
      </w:r>
      <w:r/>
    </w:p>
    <w:p>
      <w:pPr>
        <w:ind w:left="420"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投标人针对本项目的特色服务详细、切实可行有效的，得</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分；</w:t>
      </w:r>
      <w:r/>
    </w:p>
    <w:p>
      <w:pPr>
        <w:ind w:left="420"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投标人针对本项目的特色服务较详细、较切实可行有效的，得</w:t>
      </w: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分；</w:t>
      </w:r>
      <w:r/>
    </w:p>
    <w:p>
      <w:pPr>
        <w:ind w:left="420" w:firstLine="480"/>
        <w:spacing w:line="360" w:lineRule="auto"/>
        <w:rPr>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投标人针对本项目的特色服务简单、可行性较弱的，得</w:t>
      </w: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color w:val="000000" w:themeColor="text1"/>
          <w:highlight w:val="none"/>
          <w14:textFill>
            <w14:solidFill>
              <w14:schemeClr w14:val="tx1"/>
            </w14:solidFill>
          </w14:textFill>
        </w:rPr>
      </w:pPr>
      <w:r>
        <w:rPr>
          <w:rFonts w:hint="eastAsia" w:ascii="宋体" w:hAnsi="宋体" w:eastAsia="宋体" w:cs="Times New Roman"/>
          <w:bCs/>
          <w:color w:val="000000" w:themeColor="text1"/>
          <w:sz w:val="24"/>
          <w:highlight w:val="none"/>
          <w14:textFill>
            <w14:solidFill>
              <w14:schemeClr w14:val="tx1"/>
            </w14:solidFill>
          </w14:textFill>
        </w:rPr>
        <w:t xml:space="preserve">评委为</w:t>
      </w:r>
      <w:r>
        <w:rPr>
          <w:rFonts w:ascii="宋体" w:hAnsi="宋体" w:eastAsia="宋体" w:cs="Times New Roman"/>
          <w:bCs/>
          <w:color w:val="000000" w:themeColor="text1"/>
          <w:sz w:val="24"/>
          <w:highlight w:val="none"/>
          <w14:textFill>
            <w14:solidFill>
              <w14:schemeClr w14:val="tx1"/>
            </w14:solidFill>
          </w14:textFill>
        </w:rPr>
        <w:t xml:space="preserve">5</w:t>
      </w:r>
      <w:r>
        <w:rPr>
          <w:rFonts w:hint="eastAsia" w:ascii="宋体" w:hAnsi="宋体" w:eastAsia="宋体" w:cs="Times New Roman"/>
          <w:bCs/>
          <w:color w:val="000000" w:themeColor="text1"/>
          <w:sz w:val="24"/>
          <w:highlight w:val="none"/>
          <w14:textFill>
            <w14:solidFill>
              <w14:schemeClr w14:val="tx1"/>
            </w14:solidFill>
          </w14:textFill>
        </w:rPr>
        <w:t xml:space="preserve">人以上的单数（含</w:t>
      </w:r>
      <w:r>
        <w:rPr>
          <w:rFonts w:ascii="宋体" w:hAnsi="宋体" w:eastAsia="宋体" w:cs="Times New Roman"/>
          <w:bCs/>
          <w:color w:val="000000" w:themeColor="text1"/>
          <w:sz w:val="24"/>
          <w:highlight w:val="none"/>
          <w14:textFill>
            <w14:solidFill>
              <w14:schemeClr w14:val="tx1"/>
            </w14:solidFill>
          </w14:textFill>
        </w:rPr>
        <w:t xml:space="preserve">5</w:t>
      </w:r>
      <w:r>
        <w:rPr>
          <w:rFonts w:hint="eastAsia" w:ascii="宋体" w:hAnsi="宋体" w:eastAsia="宋体" w:cs="Times New Roman"/>
          <w:bCs/>
          <w:color w:val="000000" w:themeColor="text1"/>
          <w:sz w:val="24"/>
          <w:highlight w:val="none"/>
          <w14:textFill>
            <w14:solidFill>
              <w14:schemeClr w14:val="tx1"/>
            </w14:solidFill>
          </w14:textFill>
        </w:rPr>
        <w:t xml:space="preserve">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评委独立评分。所有评委打分的平均值为各供应商最终得分。最终得分前三名为推荐中标候选人。评分办法及评分细则的解释权属采购人。未列入本评分细则的其他条件不作为评分内容</w:t>
      </w:r>
      <w:r>
        <w:rPr>
          <w:rStyle w:val="1197"/>
          <w:rFonts w:hint="eastAsia" w:ascii="宋体" w:hAnsi="宋体" w:cs="宋体"/>
          <w:color w:val="000000" w:themeColor="text1"/>
          <w:sz w:val="24"/>
          <w:szCs w:val="24"/>
          <w:highlight w:val="none"/>
          <w14:textFill>
            <w14:solidFill>
              <w14:schemeClr w14:val="tx1"/>
            </w14:solidFill>
          </w14:textFill>
        </w:rPr>
        <w:t xml:space="preserve">。</w:t>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p>
    <w:p>
      <w:pPr>
        <w:jc w:val="lef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附件二：投标文件格式</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hint="eastAsia"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r>
      <w:r/>
    </w:p>
    <w:p>
      <w:pPr>
        <w:jc w:val="center"/>
        <w:rPr>
          <w:rFonts w:hint="eastAsia"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投</w:t>
      </w:r>
      <w:r/>
    </w:p>
    <w:p>
      <w:pPr>
        <w:jc w:val="center"/>
        <w:rPr>
          <w:rFonts w:ascii="黑体" w:eastAsia="黑体"/>
          <w:bCs/>
          <w:color w:val="000000" w:themeColor="text1"/>
          <w:sz w:val="72"/>
          <w:highlight w:val="none"/>
          <w14:textFill>
            <w14:solidFill>
              <w14:schemeClr w14:val="tx1"/>
            </w14:solidFill>
          </w14:textFill>
        </w:rPr>
      </w:pPr>
      <w:r>
        <w:rPr>
          <w:rFonts w:ascii="黑体" w:eastAsia="黑体"/>
          <w:bCs/>
          <w:color w:val="000000" w:themeColor="text1"/>
          <w:sz w:val="7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标</w:t>
      </w:r>
      <w:r/>
    </w:p>
    <w:p>
      <w:pPr>
        <w:jc w:val="center"/>
        <w:rPr>
          <w:rFonts w:ascii="黑体" w:eastAsia="黑体"/>
          <w:bCs/>
          <w:color w:val="000000" w:themeColor="text1"/>
          <w:sz w:val="72"/>
          <w:highlight w:val="none"/>
          <w14:textFill>
            <w14:solidFill>
              <w14:schemeClr w14:val="tx1"/>
            </w14:solidFill>
          </w14:textFill>
        </w:rPr>
      </w:pPr>
      <w:r>
        <w:rPr>
          <w:rFonts w:ascii="黑体" w:eastAsia="黑体"/>
          <w:bCs/>
          <w:color w:val="000000" w:themeColor="text1"/>
          <w:sz w:val="7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文</w:t>
      </w:r>
      <w:r/>
    </w:p>
    <w:p>
      <w:pPr>
        <w:jc w:val="center"/>
        <w:rPr>
          <w:rFonts w:ascii="黑体" w:eastAsia="黑体"/>
          <w:bCs/>
          <w:color w:val="000000" w:themeColor="text1"/>
          <w:sz w:val="52"/>
          <w:szCs w:val="52"/>
          <w:highlight w:val="none"/>
          <w14:textFill>
            <w14:solidFill>
              <w14:schemeClr w14:val="tx1"/>
            </w14:solidFill>
          </w14:textFill>
        </w:rPr>
      </w:pPr>
      <w:r>
        <w:rPr>
          <w:rFonts w:ascii="黑体" w:eastAsia="黑体"/>
          <w:bCs/>
          <w:color w:val="000000" w:themeColor="text1"/>
          <w:sz w:val="52"/>
          <w:szCs w:val="5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件</w:t>
      </w:r>
      <w:r/>
    </w:p>
    <w:p>
      <w:pPr>
        <w:rPr>
          <w:rFonts w:ascii="楷体_GB2312" w:eastAsia="楷体_GB2312"/>
          <w:bCs/>
          <w:color w:val="000000" w:themeColor="text1"/>
          <w:sz w:val="72"/>
          <w:highlight w:val="none"/>
          <w14:textFill>
            <w14:solidFill>
              <w14:schemeClr w14:val="tx1"/>
            </w14:solidFill>
          </w14:textFill>
        </w:rPr>
      </w:pPr>
      <w:r>
        <w:rPr>
          <w:rFonts w:ascii="楷体_GB2312" w:eastAsia="楷体_GB2312"/>
          <w:bCs/>
          <w:color w:val="000000" w:themeColor="text1"/>
          <w:sz w:val="72"/>
          <w:highlight w:val="none"/>
          <w14:textFill>
            <w14:solidFill>
              <w14:schemeClr w14:val="tx1"/>
            </w14:solidFill>
          </w14:textFill>
        </w:rPr>
      </w:r>
      <w:r/>
    </w:p>
    <w:p>
      <w:pPr>
        <w:rPr>
          <w:rFonts w:ascii="楷体_GB2312" w:eastAsia="楷体_GB2312"/>
          <w:bCs/>
          <w:color w:val="000000" w:themeColor="text1"/>
          <w:sz w:val="28"/>
          <w:highlight w:val="none"/>
          <w14:textFill>
            <w14:solidFill>
              <w14:schemeClr w14:val="tx1"/>
            </w14:solidFill>
          </w14:textFill>
        </w:rPr>
      </w:pPr>
      <w:r>
        <w:rPr>
          <w:rFonts w:ascii="楷体_GB2312" w:eastAsia="楷体_GB2312"/>
          <w:bCs/>
          <w:color w:val="000000" w:themeColor="text1"/>
          <w:sz w:val="28"/>
          <w:highlight w:val="none"/>
          <w14:textFill>
            <w14:solidFill>
              <w14:schemeClr w14:val="tx1"/>
            </w14:solidFill>
          </w14:textFill>
        </w:rPr>
      </w:r>
      <w:r/>
    </w:p>
    <w:p>
      <w:pPr>
        <w:pStyle w:val="775"/>
        <w:rPr>
          <w:rFonts w:ascii="楷体_GB2312" w:eastAsia="楷体_GB2312"/>
          <w:bCs/>
          <w:color w:val="000000" w:themeColor="text1"/>
          <w:sz w:val="28"/>
          <w:highlight w:val="none"/>
          <w14:textFill>
            <w14:solidFill>
              <w14:schemeClr w14:val="tx1"/>
            </w14:solidFill>
          </w14:textFill>
        </w:rPr>
      </w:pPr>
      <w:r>
        <w:rPr>
          <w:rFonts w:ascii="楷体_GB2312" w:eastAsia="楷体_GB2312"/>
          <w:bCs/>
          <w:color w:val="000000" w:themeColor="text1"/>
          <w:sz w:val="28"/>
          <w:highlight w:val="none"/>
          <w14:textFill>
            <w14:solidFill>
              <w14:schemeClr w14:val="tx1"/>
            </w14:solidFill>
          </w14:textFill>
        </w:rPr>
      </w:r>
      <w:r/>
    </w:p>
    <w:p>
      <w:pPr>
        <w:pStyle w:val="775"/>
        <w:rPr>
          <w:rFonts w:ascii="楷体_GB2312" w:eastAsia="楷体_GB2312"/>
          <w:bCs/>
          <w:color w:val="000000" w:themeColor="text1"/>
          <w:sz w:val="28"/>
          <w:highlight w:val="none"/>
          <w14:textFill>
            <w14:solidFill>
              <w14:schemeClr w14:val="tx1"/>
            </w14:solidFill>
          </w14:textFill>
        </w:rPr>
      </w:pPr>
      <w:r>
        <w:rPr>
          <w:rFonts w:ascii="楷体_GB2312" w:eastAsia="楷体_GB2312"/>
          <w:bCs/>
          <w:color w:val="000000" w:themeColor="text1"/>
          <w:sz w:val="28"/>
          <w:highlight w:val="none"/>
          <w14:textFill>
            <w14:solidFill>
              <w14:schemeClr w14:val="tx1"/>
            </w14:solidFill>
          </w14:textFill>
        </w:rPr>
      </w:r>
      <w:r/>
    </w:p>
    <w:p>
      <w:pPr>
        <w:pStyle w:val="775"/>
        <w:rPr>
          <w:rFonts w:ascii="楷体_GB2312" w:eastAsia="楷体_GB2312"/>
          <w:bCs/>
          <w:color w:val="000000" w:themeColor="text1"/>
          <w:sz w:val="28"/>
          <w:highlight w:val="none"/>
          <w14:textFill>
            <w14:solidFill>
              <w14:schemeClr w14:val="tx1"/>
            </w14:solidFill>
          </w14:textFill>
        </w:rPr>
      </w:pPr>
      <w:r>
        <w:rPr>
          <w:rFonts w:ascii="楷体_GB2312" w:eastAsia="楷体_GB2312"/>
          <w:bCs/>
          <w:color w:val="000000" w:themeColor="text1"/>
          <w:sz w:val="28"/>
          <w:highlight w:val="none"/>
          <w14:textFill>
            <w14:solidFill>
              <w14:schemeClr w14:val="tx1"/>
            </w14:solidFill>
          </w14:textFill>
        </w:rPr>
      </w:r>
      <w:r/>
    </w:p>
    <w:p>
      <w:pPr>
        <w:pStyle w:val="775"/>
        <w:rPr>
          <w:rFonts w:ascii="楷体_GB2312" w:eastAsia="楷体_GB2312"/>
          <w:bCs/>
          <w:color w:val="000000" w:themeColor="text1"/>
          <w:sz w:val="28"/>
          <w:highlight w:val="none"/>
          <w14:textFill>
            <w14:solidFill>
              <w14:schemeClr w14:val="tx1"/>
            </w14:solidFill>
          </w14:textFill>
        </w:rPr>
      </w:pPr>
      <w:r>
        <w:rPr>
          <w:rFonts w:ascii="楷体_GB2312" w:eastAsia="楷体_GB2312"/>
          <w:bCs/>
          <w:color w:val="000000" w:themeColor="text1"/>
          <w:sz w:val="28"/>
          <w:highlight w:val="none"/>
          <w14:textFill>
            <w14:solidFill>
              <w14:schemeClr w14:val="tx1"/>
            </w14:solidFill>
          </w14:textFill>
        </w:rPr>
      </w:r>
      <w:r/>
    </w:p>
    <w:p>
      <w:pPr>
        <w:pStyle w:val="775"/>
        <w:rPr>
          <w:rFonts w:ascii="楷体_GB2312" w:eastAsia="楷体_GB2312"/>
          <w:bCs/>
          <w:color w:val="000000" w:themeColor="text1"/>
          <w:sz w:val="28"/>
          <w:highlight w:val="none"/>
          <w14:textFill>
            <w14:solidFill>
              <w14:schemeClr w14:val="tx1"/>
            </w14:solidFill>
          </w14:textFill>
        </w:rPr>
      </w:pPr>
      <w:r>
        <w:rPr>
          <w:rFonts w:ascii="楷体_GB2312" w:eastAsia="楷体_GB2312"/>
          <w:bCs/>
          <w:color w:val="000000" w:themeColor="text1"/>
          <w:sz w:val="28"/>
          <w:highlight w:val="none"/>
          <w14:textFill>
            <w14:solidFill>
              <w14:schemeClr w14:val="tx1"/>
            </w14:solidFill>
          </w14:textFill>
        </w:rPr>
      </w:r>
      <w:r/>
    </w:p>
    <w:p>
      <w:pPr>
        <w:ind w:firstLine="560"/>
        <w:rPr>
          <w:rFonts w:hint="eastAsia" w:ascii="黑体" w:eastAsia="黑体"/>
          <w:bCs/>
          <w:color w:val="000000" w:themeColor="text1"/>
          <w:sz w:val="28"/>
          <w:szCs w:val="28"/>
          <w:highlight w:val="none"/>
          <w:lang w:eastAsia="zh-CN"/>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采购项目编号：</w:t>
      </w:r>
      <w:r>
        <w:rPr>
          <w:rFonts w:hint="eastAsia" w:ascii="黑体" w:eastAsia="黑体"/>
          <w:bCs/>
          <w:color w:val="000000" w:themeColor="text1"/>
          <w:sz w:val="28"/>
          <w:szCs w:val="28"/>
          <w:highlight w:val="none"/>
          <w:lang w:eastAsia="zh-CN"/>
          <w14:textFill>
            <w14:solidFill>
              <w14:schemeClr w14:val="tx1"/>
            </w14:solidFill>
          </w14:textFill>
        </w:rPr>
        <w:t xml:space="preserve">JSZC-320214-PXGJ-G2024-0125</w:t>
      </w:r>
      <w:r/>
    </w:p>
    <w:p>
      <w:pPr>
        <w:ind w:firstLine="560"/>
        <w:rPr>
          <w:rFonts w:hint="eastAsia" w:ascii="黑体" w:eastAsia="黑体"/>
          <w:bCs/>
          <w:color w:val="000000" w:themeColor="text1"/>
          <w:sz w:val="28"/>
          <w:szCs w:val="28"/>
          <w:highlight w:val="none"/>
          <w:lang w:eastAsia="zh-CN"/>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采购项目名称：</w:t>
      </w:r>
      <w:r>
        <w:rPr>
          <w:rFonts w:hint="eastAsia" w:ascii="黑体" w:eastAsia="黑体"/>
          <w:bCs/>
          <w:color w:val="000000" w:themeColor="text1"/>
          <w:sz w:val="28"/>
          <w:szCs w:val="28"/>
          <w:highlight w:val="none"/>
          <w:lang w:eastAsia="zh-CN"/>
          <w14:textFill>
            <w14:solidFill>
              <w14:schemeClr w14:val="tx1"/>
            </w14:solidFill>
          </w14:textFill>
        </w:rPr>
        <w:t xml:space="preserve">硕放派出所食堂食材采购及配送</w:t>
      </w:r>
      <w:r/>
    </w:p>
    <w:p>
      <w:pPr>
        <w:ind w:firstLine="56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投标供应商：</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二○二四年</w:t>
      </w:r>
      <w:r>
        <w:rPr>
          <w:rFonts w:ascii="黑体" w:eastAsia="黑体"/>
          <w:bCs/>
          <w:color w:val="000000" w:themeColor="text1"/>
          <w:sz w:val="36"/>
          <w:szCs w:val="36"/>
          <w:highlight w:val="none"/>
          <w14:textFill>
            <w14:solidFill>
              <w14:schemeClr w14:val="tx1"/>
            </w14:solidFill>
          </w14:textFill>
        </w:rPr>
        <w:t xml:space="preserve">  </w:t>
      </w:r>
      <w:r>
        <w:rPr>
          <w:rFonts w:hint="eastAsia" w:ascii="黑体" w:eastAsia="黑体"/>
          <w:bCs/>
          <w:color w:val="000000" w:themeColor="text1"/>
          <w:sz w:val="36"/>
          <w:szCs w:val="36"/>
          <w:highlight w:val="none"/>
          <w14:textFill>
            <w14:solidFill>
              <w14:schemeClr w14:val="tx1"/>
            </w14:solidFill>
          </w14:textFill>
        </w:rPr>
        <w:t xml:space="preserve">月</w:t>
      </w:r>
      <w:r>
        <w:rPr>
          <w:rFonts w:ascii="黑体" w:eastAsia="黑体"/>
          <w:bCs/>
          <w:color w:val="000000" w:themeColor="text1"/>
          <w:sz w:val="36"/>
          <w:szCs w:val="36"/>
          <w:highlight w:val="none"/>
          <w14:textFill>
            <w14:solidFill>
              <w14:schemeClr w14:val="tx1"/>
            </w14:solidFill>
          </w14:textFill>
        </w:rPr>
        <w:t xml:space="preserve">  </w:t>
      </w:r>
      <w:r>
        <w:rPr>
          <w:rFonts w:hint="eastAsia" w:ascii="黑体" w:eastAsia="黑体"/>
          <w:bCs/>
          <w:color w:val="000000" w:themeColor="text1"/>
          <w:sz w:val="36"/>
          <w:szCs w:val="36"/>
          <w:highlight w:val="none"/>
          <w14:textFill>
            <w14:solidFill>
              <w14:schemeClr w14:val="tx1"/>
            </w14:solidFill>
          </w14:textFill>
        </w:rPr>
        <w:t xml:space="preserve">日</w:t>
      </w:r>
      <w:r/>
    </w:p>
    <w:p>
      <w:pPr>
        <w:jc w:val="center"/>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bookmarkStart w:id="775" w:name="一．报价函（格式）"/>
      <w:r/>
      <w:bookmarkEnd w:id="775"/>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（一）投标函（格式）：</w:t>
      </w:r>
      <w:r/>
    </w:p>
    <w:p>
      <w:pPr>
        <w:jc w:val="center"/>
        <w:spacing w:line="360" w:lineRule="auto"/>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我方收到贵方编号</w:t>
      </w:r>
      <w:r>
        <w:rPr>
          <w:rFonts w:hint="eastAsia" w:ascii="宋体" w:hAnsi="宋体"/>
          <w:bCs/>
          <w:color w:val="000000" w:themeColor="text1"/>
          <w:sz w:val="24"/>
          <w:szCs w:val="24"/>
          <w:highlight w:val="none"/>
          <w:lang w:eastAsia="zh-CN"/>
          <w14:textFill>
            <w14:solidFill>
              <w14:schemeClr w14:val="tx1"/>
            </w14:solidFill>
          </w14:textFill>
        </w:rPr>
        <w:t xml:space="preserve">JSZC-320214-PXGJ-G2024-0125</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18"/>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8"/>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30"/>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我方同意按招标文件中的规定，本投标文件投标的有效期限为开标之日起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我方认为采购人有权决定中标者。</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我方愿意遵守《中华人民共和国政府采购法》，并按《中华人民共和国民法典》、财政部《政府采购货物和服务招标投标管理办法》</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w:t>
      </w:r>
      <w:r>
        <w:rPr>
          <w:rFonts w:hint="eastAsia" w:ascii="宋体" w:hAnsi="宋体"/>
          <w:color w:val="000000" w:themeColor="text1"/>
          <w:sz w:val="24"/>
          <w:szCs w:val="24"/>
          <w:highlight w:val="none"/>
          <w14:textFill>
            <w14:solidFill>
              <w14:schemeClr w14:val="tx1"/>
            </w14:solidFill>
          </w14:textFill>
        </w:rPr>
        <w:t xml:space="preserve">向</w:t>
      </w:r>
      <w:r>
        <w:rPr>
          <w:rFonts w:hint="eastAsia"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bCs/>
          <w:color w:val="000000" w:themeColor="text1"/>
          <w:sz w:val="24"/>
          <w:szCs w:val="24"/>
          <w:highlight w:val="none"/>
          <w:lang w:eastAsia="zh-CN"/>
          <w14:textFill>
            <w14:solidFill>
              <w14:schemeClr w14:val="tx1"/>
            </w14:solidFill>
          </w14:textFill>
        </w:rPr>
        <w:t xml:space="preserve">缴纳</w:t>
      </w:r>
      <w:r>
        <w:rPr>
          <w:rFonts w:hint="eastAsia" w:ascii="宋体" w:hAnsi="宋体"/>
          <w:bCs/>
          <w:color w:val="000000" w:themeColor="text1"/>
          <w:sz w:val="24"/>
          <w:szCs w:val="24"/>
          <w:highlight w:val="none"/>
          <w14:textFill>
            <w14:solidFill>
              <w14:schemeClr w14:val="tx1"/>
            </w14:solidFill>
          </w14:textFill>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投标供应商（盖章）：</w:t>
      </w:r>
      <w:r>
        <w:rPr>
          <w:rFonts w:ascii="宋体" w:hAnsi="宋体"/>
          <w:bCs/>
          <w:color w:val="000000" w:themeColor="text1"/>
          <w:sz w:val="24"/>
          <w:szCs w:val="24"/>
          <w:highlight w:val="none"/>
          <w14:textFill>
            <w14:solidFill>
              <w14:schemeClr w14:val="tx1"/>
            </w14:solidFill>
          </w14:textFill>
        </w:rPr>
        <w:t xml:space="preserve">     </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传真：</w:t>
      </w:r>
      <w:r/>
    </w:p>
    <w:p>
      <w:pPr>
        <w:ind w:firstLine="480"/>
        <w:spacing w:line="4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ind w:firstLine="480"/>
        <w:rPr>
          <w:rFonts w:ascii="黑体" w:eastAsia="黑体"/>
          <w:bCs/>
          <w:color w:val="000000" w:themeColor="text1"/>
          <w:sz w:val="28"/>
          <w:szCs w:val="28"/>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（二）（投标供应商）关于资格的声明函（格式）：</w:t>
      </w:r>
      <w:r/>
    </w:p>
    <w:p>
      <w:pPr>
        <w:spacing w:line="360" w:lineRule="auto"/>
        <w:rPr>
          <w:rFonts w:ascii="黑体" w:eastAsia="黑体"/>
          <w:bCs/>
          <w:color w:val="000000" w:themeColor="text1"/>
          <w:sz w:val="36"/>
          <w:highlight w:val="none"/>
          <w14:textFill>
            <w14:solidFill>
              <w14:schemeClr w14:val="tx1"/>
            </w14:solidFill>
          </w14:textFill>
        </w:rPr>
      </w:pPr>
      <w:r>
        <w:rPr>
          <w:rFonts w:ascii="黑体" w:eastAsia="黑体"/>
          <w:bCs/>
          <w:color w:val="000000" w:themeColor="text1"/>
          <w:sz w:val="36"/>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776" w:name="报价方关于资格的声明函（格式）"/>
      <w:r/>
      <w:bookmarkEnd w:id="776"/>
      <w:r>
        <w:rPr>
          <w:rFonts w:hint="eastAsia" w:ascii="黑体" w:eastAsia="黑体"/>
          <w:bCs/>
          <w:color w:val="000000" w:themeColor="text1"/>
          <w:sz w:val="28"/>
          <w:szCs w:val="28"/>
          <w:highlight w:val="none"/>
          <w14:textFill>
            <w14:solidFill>
              <w14:schemeClr w14:val="tx1"/>
            </w14:solidFill>
          </w14:textFill>
        </w:rPr>
        <w:t xml:space="preserve">关于资格的声明函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采购项目编号：</w:t>
      </w:r>
      <w:r/>
    </w:p>
    <w:p>
      <w:pPr>
        <w:jc w:val="center"/>
        <w:spacing w:line="480" w:lineRule="auto"/>
        <w:tabs>
          <w:tab w:val="left" w:pos="6300" w:leader="none"/>
        </w:tabs>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日期：</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我公司（单位）参加本次项目（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JSZC-320214-PXGJ-G2024-0125</w:t>
      </w:r>
      <w:r>
        <w:rPr>
          <w:rFonts w:hint="eastAsia" w:ascii="宋体" w:hAnsi="宋体"/>
          <w:bCs/>
          <w:color w:val="000000" w:themeColor="text1"/>
          <w:sz w:val="24"/>
          <w:szCs w:val="24"/>
          <w:highlight w:val="none"/>
          <w14:textFill>
            <w14:solidFill>
              <w14:schemeClr w14:val="tx1"/>
            </w14:solidFill>
          </w14:textFill>
        </w:rPr>
        <w:t xml:space="preserve"> ）政府采购活动前三年内，在经营活动中没有重大违法记录，我公司（单位）愿针对本次项目（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JSZC-320214-PXGJ-G2024-0125</w:t>
      </w:r>
      <w:r>
        <w:rPr>
          <w:rFonts w:hint="eastAsia" w:ascii="宋体" w:hAnsi="宋体"/>
          <w:bCs/>
          <w:color w:val="000000" w:themeColor="text1"/>
          <w:sz w:val="24"/>
          <w:szCs w:val="24"/>
          <w:highlight w:val="none"/>
          <w14:textFill>
            <w14:solidFill>
              <w14:schemeClr w14:val="tx1"/>
            </w14:solidFill>
          </w14:textFill>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投标供应商（盖章）：</w:t>
      </w:r>
      <w:r/>
    </w:p>
    <w:p>
      <w:pPr>
        <w:spacing w:line="480" w:lineRule="auto"/>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20"/>
        <w:rPr>
          <w:rFonts w:ascii="黑体" w:hAnsi="宋体" w:eastAsia="黑体"/>
          <w:bCs/>
          <w:color w:val="000000" w:themeColor="text1"/>
          <w:sz w:val="24"/>
          <w:szCs w:val="24"/>
          <w:highlight w:val="none"/>
          <w14:textFill>
            <w14:solidFill>
              <w14:schemeClr w14:val="tx1"/>
            </w14:solidFill>
          </w14:textFill>
        </w:rPr>
        <w:outlineLvl w:val="0"/>
      </w:pPr>
      <w:r>
        <w:rPr>
          <w:rFonts w:hint="eastAsia"/>
          <w:color w:val="000000" w:themeColor="text1"/>
          <w:highlight w:val="none"/>
          <w14:textFill>
            <w14:solidFill>
              <w14:schemeClr w14:val="tx1"/>
            </w14:solidFill>
          </w14:textFill>
        </w:rPr>
        <w:t xml:space="preserve">备注：上述所称“重大违法记录”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是指供应商因违法经营受到刑事处罚或者责令停产停业、吊销许可证或者执照、较大数额罚款等行政处罚。</w:t>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ascii="黑体" w:eastAsia="黑体"/>
          <w:bCs/>
          <w:color w:val="000000" w:themeColor="text1"/>
          <w:sz w:val="28"/>
          <w:szCs w:val="28"/>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（三）（投标供应商）法定代表人授权委托书（格式）：</w:t>
      </w:r>
      <w:r/>
    </w:p>
    <w:p>
      <w:pP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法定代表人授权委托书</w:t>
      </w:r>
      <w:r/>
    </w:p>
    <w:p>
      <w:pPr>
        <w:jc w:val="center"/>
        <w:spacing w:line="360" w:lineRule="auto"/>
        <w:rPr>
          <w:rFonts w:ascii="楷体_GB2312" w:eastAsia="楷体_GB2312"/>
          <w:bCs/>
          <w:color w:val="000000" w:themeColor="text1"/>
          <w:sz w:val="36"/>
          <w:highlight w:val="none"/>
          <w14:textFill>
            <w14:solidFill>
              <w14:schemeClr w14:val="tx1"/>
            </w14:solidFill>
          </w14:textFill>
        </w:rPr>
      </w:pPr>
      <w:r>
        <w:rPr>
          <w:rFonts w:ascii="楷体_GB2312" w:eastAsia="楷体_GB2312"/>
          <w:bCs/>
          <w:color w:val="000000" w:themeColor="text1"/>
          <w:sz w:val="36"/>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采购项目编号：</w:t>
      </w:r>
      <w:r/>
    </w:p>
    <w:p>
      <w:pPr>
        <w:spacing w:line="480" w:lineRule="auto"/>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日期：</w:t>
      </w:r>
      <w:r/>
    </w:p>
    <w:p>
      <w:pPr>
        <w:spacing w:line="600" w:lineRule="exact"/>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6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系中华人民共和国合法公司（单位），特授权</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代表我公司（单位）全权办理针对本项目（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JSZC-320214-PXGJ-G2024-0125</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性别：</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电话：</w:t>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0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法定代表人（签字或盖章）：</w:t>
      </w:r>
      <w:r/>
    </w:p>
    <w:p>
      <w:pPr>
        <w:ind w:firstLine="42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2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eastAsia="黑体"/>
          <w:bCs/>
          <w:color w:val="000000" w:themeColor="text1"/>
          <w:sz w:val="28"/>
          <w:szCs w:val="28"/>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（四）（投标供应商）中小企业声明函（格式）：</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244"/>
        <w:jc w:val="center"/>
        <w:rPr>
          <w:rFonts w:asci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中小企业声明函（货物）</w:t>
      </w:r>
      <w:r/>
    </w:p>
    <w:p>
      <w:pPr>
        <w:pStyle w:val="7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34"/>
        <w:spacing w:line="360" w:lineRule="auto"/>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本公司（联合体）郑重声明，根据《政府采购促进中小企业发展管理办法》（财库</w:t>
      </w:r>
      <w:r>
        <w:rPr>
          <w:rFonts w:ascii="宋体" w:hAnsi="宋体"/>
          <w:bCs/>
          <w:color w:val="000000" w:themeColor="text1"/>
          <w:sz w:val="24"/>
          <w:highlight w:val="none"/>
          <w14:textFill>
            <w14:solidFill>
              <w14:schemeClr w14:val="tx1"/>
            </w14:solidFill>
          </w14:textFill>
        </w:rPr>
        <w:t xml:space="preserve">[2020]46</w:t>
      </w:r>
      <w:r>
        <w:rPr>
          <w:rFonts w:hint="eastAsia" w:ascii="宋体" w:hAnsi="宋体"/>
          <w:bCs/>
          <w:color w:val="000000" w:themeColor="text1"/>
          <w:sz w:val="24"/>
          <w:highlight w:val="none"/>
          <w14:textFill>
            <w14:solidFill>
              <w14:schemeClr w14:val="tx1"/>
            </w14:solidFill>
          </w14:textFill>
        </w:rPr>
        <w:t xml:space="preserve">号）的规定，本公司（联合体）参加</w:t>
      </w:r>
      <w:r>
        <w:rPr>
          <w:rFonts w:hint="eastAsia" w:ascii="宋体" w:hAnsi="宋体"/>
          <w:bCs/>
          <w:color w:val="000000" w:themeColor="text1"/>
          <w:sz w:val="24"/>
          <w:highlight w:val="none"/>
          <w:u w:val="single"/>
          <w14:textFill>
            <w14:solidFill>
              <w14:schemeClr w14:val="tx1"/>
            </w14:solidFill>
          </w14:textFill>
        </w:rPr>
        <w:t xml:space="preserve">（单位名称）</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color w:val="000000" w:themeColor="text1"/>
          <w:sz w:val="24"/>
          <w:highlight w:val="none"/>
          <w:u w:val="single"/>
          <w14:textFill>
            <w14:solidFill>
              <w14:schemeClr w14:val="tx1"/>
            </w14:solidFill>
          </w14:textFill>
        </w:rPr>
        <w:t xml:space="preserve">（项目名称）</w:t>
      </w:r>
      <w:r>
        <w:rPr>
          <w:rFonts w:hint="eastAsia" w:ascii="宋体" w:hAnsi="宋体"/>
          <w:bCs/>
          <w:color w:val="000000" w:themeColor="text1"/>
          <w:sz w:val="24"/>
          <w:highlight w:val="none"/>
          <w14:textFill>
            <w14:solidFill>
              <w14:schemeClr w14:val="tx1"/>
            </w14:solidFill>
          </w14:textFill>
        </w:rPr>
        <w:t xml:space="preserve">采购活动，</w:t>
      </w:r>
      <w:r>
        <w:rPr>
          <w:rFonts w:hint="eastAsia" w:ascii="宋体" w:hAnsi="宋体"/>
          <w:b/>
          <w:color w:val="000000" w:themeColor="text1"/>
          <w:sz w:val="24"/>
          <w:highlight w:val="none"/>
          <w14:textFill>
            <w14:solidFill>
              <w14:schemeClr w14:val="tx1"/>
            </w14:solidFill>
          </w14:textFill>
        </w:rPr>
        <w:t xml:space="preserve">提供的货物全部由符合政策要求的中小企业制造</w:t>
      </w:r>
      <w:r>
        <w:rPr>
          <w:rFonts w:hint="eastAsia" w:ascii="宋体" w:hAnsi="宋体"/>
          <w:bCs/>
          <w:color w:val="000000" w:themeColor="text1"/>
          <w:sz w:val="24"/>
          <w:highlight w:val="none"/>
          <w14:textFill>
            <w14:solidFill>
              <w14:schemeClr w14:val="tx1"/>
            </w14:solidFill>
          </w14:textFill>
        </w:rPr>
        <w:t xml:space="preserve">。相关企业（含联合体中的中小企业、签订分包意向协议的中小企业）的具体情况如下：</w:t>
      </w:r>
      <w:r/>
    </w:p>
    <w:p>
      <w:pPr>
        <w:numPr>
          <w:ilvl w:val="3"/>
          <w:numId w:val="19"/>
        </w:numPr>
        <w:ind w:left="0" w:firstLine="709"/>
        <w:spacing w:line="360" w:lineRule="auto"/>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bCs/>
          <w:color w:val="000000" w:themeColor="text1"/>
          <w:sz w:val="24"/>
          <w:highlight w:val="none"/>
          <w:u w:val="single"/>
          <w14:textFill>
            <w14:solidFill>
              <w14:schemeClr w14:val="tx1"/>
            </w14:solidFill>
          </w14:textFill>
        </w:rPr>
        <w:t xml:space="preserve">（招标文件中明确的所属行业）行业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，从业人员人，营业收入为</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numPr>
          <w:ilvl w:val="3"/>
          <w:numId w:val="19"/>
        </w:numPr>
        <w:ind w:left="0" w:firstLine="709"/>
        <w:spacing w:line="360" w:lineRule="auto"/>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bCs/>
          <w:color w:val="000000" w:themeColor="text1"/>
          <w:sz w:val="24"/>
          <w:highlight w:val="none"/>
          <w:u w:val="single"/>
          <w14:textFill>
            <w14:solidFill>
              <w14:schemeClr w14:val="tx1"/>
            </w14:solidFill>
          </w14:textFill>
        </w:rPr>
        <w:t xml:space="preserve">（招标文件中明确的所属行业）行业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，从业人员人，营业收入为</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567"/>
        <w:spacing w:line="360" w:lineRule="auto"/>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p>
      <w:pPr>
        <w:ind w:firstLine="567"/>
        <w:spacing w:line="360" w:lineRule="auto"/>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7"/>
        <w:spacing w:line="360" w:lineRule="auto"/>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194"/>
        <w:spacing w:line="360" w:lineRule="auto"/>
        <w:rPr>
          <w:rFonts w:ascii="宋体"/>
          <w:bCs/>
          <w:color w:val="000000" w:themeColor="text1"/>
          <w:sz w:val="24"/>
          <w:highlight w:val="none"/>
          <w14:textFill>
            <w14:solidFill>
              <w14:schemeClr w14:val="tx1"/>
            </w14:solidFill>
          </w14:textFill>
        </w:rPr>
      </w:pPr>
      <w:r>
        <w:rPr>
          <w:rFonts w:ascii="宋体"/>
          <w:bCs/>
          <w:color w:val="000000" w:themeColor="text1"/>
          <w:sz w:val="24"/>
          <w:highlight w:val="none"/>
          <w14:textFill>
            <w14:solidFill>
              <w14:schemeClr w14:val="tx1"/>
            </w14:solidFill>
          </w14:textFill>
        </w:rPr>
      </w:r>
      <w:r/>
    </w:p>
    <w:p>
      <w:pPr>
        <w:ind w:right="960" w:firstLine="194"/>
        <w:jc w:val="center"/>
        <w:spacing w:line="360" w:lineRule="auto"/>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企业名称（盖章）：</w:t>
      </w:r>
      <w:r/>
    </w:p>
    <w:p>
      <w:pPr>
        <w:ind w:firstLine="194"/>
        <w:jc w:val="right"/>
        <w:spacing w:line="360" w:lineRule="auto"/>
        <w:rPr>
          <w:rFonts w:ascii="宋体"/>
          <w:bCs/>
          <w:color w:val="000000" w:themeColor="text1"/>
          <w:sz w:val="24"/>
          <w:highlight w:val="none"/>
          <w14:textFill>
            <w14:solidFill>
              <w14:schemeClr w14:val="tx1"/>
            </w14:solidFill>
          </w14:textFill>
        </w:rPr>
      </w:pPr>
      <w:r>
        <w:rPr>
          <w:rFonts w:ascii="宋体"/>
          <w:bCs/>
          <w:color w:val="000000" w:themeColor="text1"/>
          <w:sz w:val="24"/>
          <w:highlight w:val="none"/>
          <w14:textFill>
            <w14:solidFill>
              <w14:schemeClr w14:val="tx1"/>
            </w14:solidFill>
          </w14:textFill>
        </w:rPr>
      </w:r>
      <w:r/>
    </w:p>
    <w:p>
      <w:pPr>
        <w:ind w:right="960" w:firstLine="5280"/>
        <w:spacing w:line="360" w:lineRule="auto"/>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98"/>
        <w:ind w:firstLine="0"/>
        <w:spacing w:line="360" w:lineRule="auto"/>
        <w:rPr>
          <w:rFonts w:ascii="宋体" w:cs="@楷体_GB2312"/>
          <w:b/>
          <w:bCs/>
          <w:color w:val="000000" w:themeColor="text1"/>
          <w:szCs w:val="21"/>
          <w:highlight w:val="none"/>
          <w14:textFill>
            <w14:solidFill>
              <w14:schemeClr w14:val="tx1"/>
            </w14:solidFill>
          </w14:textFill>
        </w:rPr>
      </w:pPr>
      <w:r>
        <w:rPr>
          <w:rFonts w:hint="eastAsia" w:ascii="宋体" w:hAnsi="宋体" w:cs="@楷体_GB2312"/>
          <w:b/>
          <w:bCs/>
          <w:color w:val="000000" w:themeColor="text1"/>
          <w:szCs w:val="21"/>
          <w:highlight w:val="none"/>
          <w14:textFill>
            <w14:solidFill>
              <w14:schemeClr w14:val="tx1"/>
            </w14:solidFill>
          </w14:textFill>
        </w:rPr>
        <w:t xml:space="preserve">注：</w:t>
      </w:r>
      <w:r>
        <w:rPr>
          <w:rFonts w:ascii="宋体" w:hAnsi="宋体" w:cs="@楷体_GB2312"/>
          <w:b/>
          <w:bCs/>
          <w:color w:val="000000" w:themeColor="text1"/>
          <w:szCs w:val="21"/>
          <w:highlight w:val="none"/>
          <w14:textFill>
            <w14:solidFill>
              <w14:schemeClr w14:val="tx1"/>
            </w14:solidFill>
          </w14:textFill>
        </w:rPr>
        <w:t xml:space="preserve">1.</w:t>
      </w:r>
      <w:r>
        <w:rPr>
          <w:rFonts w:hint="eastAsia" w:ascii="宋体" w:hAnsi="宋体" w:cs="@楷体_GB2312"/>
          <w:b/>
          <w:bCs/>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p>
      <w:pPr>
        <w:pStyle w:val="1198"/>
        <w:ind w:left="420" w:firstLine="0"/>
        <w:spacing w:line="360" w:lineRule="auto"/>
        <w:rPr>
          <w:b/>
          <w:bCs/>
          <w:color w:val="000000" w:themeColor="text1"/>
          <w:szCs w:val="21"/>
          <w:highlight w:val="none"/>
          <w14:textFill>
            <w14:solidFill>
              <w14:schemeClr w14:val="tx1"/>
            </w14:solidFill>
          </w14:textFill>
        </w:rPr>
      </w:pPr>
      <w:r/>
      <w:bookmarkStart w:id="777" w:name="_Hlk62575945"/>
      <w:r>
        <w:rPr>
          <w:rFonts w:ascii="宋体" w:hAnsi="宋体" w:cs="@楷体_GB2312"/>
          <w:b/>
          <w:bCs/>
          <w:color w:val="000000" w:themeColor="text1"/>
          <w:szCs w:val="21"/>
          <w:highlight w:val="none"/>
          <w14:textFill>
            <w14:solidFill>
              <w14:schemeClr w14:val="tx1"/>
            </w14:solidFill>
          </w14:textFill>
        </w:rPr>
        <w:t xml:space="preserve">2.</w:t>
      </w:r>
      <w:r>
        <w:rPr>
          <w:rFonts w:hint="eastAsia" w:ascii="宋体" w:hAnsi="宋体" w:cs="@楷体_GB2312"/>
          <w:b/>
          <w:bCs/>
          <w:color w:val="000000" w:themeColor="text1"/>
          <w:szCs w:val="21"/>
          <w:highlight w:val="none"/>
          <w14:textFill>
            <w14:solidFill>
              <w14:schemeClr w14:val="tx1"/>
            </w14:solidFill>
          </w14:textFill>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bookmarkEnd w:id="777"/>
      <w:r/>
      <w:r/>
    </w:p>
    <w:p>
      <w:pPr>
        <w:jc w:val="left"/>
        <w:widowControl/>
        <w:rPr>
          <w:rFonts w:hAnsi="宋体"/>
          <w:color w:val="000000" w:themeColor="text1"/>
          <w:spacing w:val="6"/>
          <w:highlight w:val="none"/>
          <w14:textFill>
            <w14:solidFill>
              <w14:schemeClr w14:val="tx1"/>
            </w14:solidFill>
          </w14:textFill>
        </w:rPr>
      </w:pPr>
      <w:r>
        <w:rPr>
          <w:rFonts w:hAnsi="宋体"/>
          <w:color w:val="000000" w:themeColor="text1"/>
          <w:spacing w:val="6"/>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rPr>
          <w:rFonts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（五）（投标供应商）残疾人福利性单位声明函（格式）：</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（六）服务保障承诺书（格式）：</w:t>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服务保障承诺书</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（投标供应商名称）针</w:t>
      </w:r>
      <w:r>
        <w:rPr>
          <w:rFonts w:hint="eastAsia" w:ascii="宋体" w:hAnsi="宋体"/>
          <w:bCs/>
          <w:color w:val="000000" w:themeColor="text1"/>
          <w:sz w:val="24"/>
          <w:szCs w:val="24"/>
          <w:highlight w:val="none"/>
          <w14:textFill>
            <w14:solidFill>
              <w14:schemeClr w14:val="tx1"/>
            </w14:solidFill>
          </w14:textFill>
        </w:rPr>
        <w:t xml:space="preserve">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JSZC-320214-PXGJ-G2024-0125</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在此承诺：</w:t>
      </w:r>
      <w:r/>
    </w:p>
    <w:p>
      <w:pPr>
        <w:spacing w:line="48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JSZC-320214-PXGJ-G2024-0125</w:t>
      </w:r>
      <w:r>
        <w:rPr>
          <w:rFonts w:hint="eastAsia" w:ascii="宋体" w:hAnsi="宋体"/>
          <w:bCs/>
          <w:color w:val="000000" w:themeColor="text1"/>
          <w:sz w:val="24"/>
          <w:szCs w:val="24"/>
          <w:highlight w:val="none"/>
          <w14:textFill>
            <w14:solidFill>
              <w14:schemeClr w14:val="tx1"/>
            </w14:solidFill>
          </w14:textFill>
        </w:rPr>
        <w:t xml:space="preserve">）所提供的服务符合招标文件要求；</w:t>
      </w:r>
      <w:r/>
    </w:p>
    <w:p>
      <w:pPr>
        <w:ind w:firstLine="465"/>
        <w:spacing w:line="360" w:lineRule="auto"/>
        <w:tabs>
          <w:tab w:val="left" w:pos="94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具备履行合同所必需的人员、设备和专业技术能力；</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本公司未被“</w:t>
      </w:r>
      <w:r>
        <w:rPr>
          <w:rFonts w:hint="eastAsia" w:ascii="宋体" w:hAnsi="宋体"/>
          <w:bCs/>
          <w:color w:val="000000" w:themeColor="text1"/>
          <w:sz w:val="24"/>
          <w:szCs w:val="24"/>
          <w:highlight w:val="none"/>
          <w14:textFill>
            <w14:solidFill>
              <w14:schemeClr w14:val="tx1"/>
            </w14:solidFill>
          </w14:textFill>
        </w:rPr>
        <w:t xml:space="preserve">信用中国</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"http://www.creditchina.gov.cn"</w:instrText>
      </w:r>
      <w:r>
        <w:rPr>
          <w:color w:val="000000" w:themeColor="text1"/>
          <w:highlight w:val="none"/>
          <w14:textFill>
            <w14:solidFill>
              <w14:schemeClr w14:val="tx1"/>
            </w14:solidFill>
          </w14:textFill>
        </w:rPr>
        <w:fldChar w:fldCharType="separate"/>
      </w:r>
      <w:r>
        <w:rPr>
          <w:rStyle w:val="1031"/>
          <w:rFonts w:hint="eastAsia" w:ascii="宋体" w:hAnsi="宋体"/>
          <w:bCs/>
          <w:color w:val="000000" w:themeColor="text1"/>
          <w:sz w:val="24"/>
          <w:szCs w:val="24"/>
          <w:highlight w:val="none"/>
          <w14:textFill>
            <w14:solidFill>
              <w14:schemeClr w14:val="tx1"/>
            </w14:solidFill>
          </w14:textFill>
        </w:rPr>
        <w:t xml:space="preserve">www.creditchina.gov.cn</w:t>
      </w:r>
      <w:r>
        <w:rPr>
          <w:color w:val="000000" w:themeColor="text1"/>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www.ccgp.gov.cn</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p>
      <w:pPr>
        <w:ind w:firstLine="465"/>
        <w:spacing w:line="360" w:lineRule="auto"/>
        <w:tabs>
          <w:tab w:val="left" w:pos="94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p>
      <w:pPr>
        <w:ind w:firstLine="96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96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20"/>
        <w:spacing w:line="48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注：以上内容由投标单位根据采购要求可自行完善。</w:t>
      </w:r>
      <w:r/>
    </w:p>
    <w:p>
      <w:pP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br w:type="page" w:clear="all"/>
      </w:r>
      <w:r/>
    </w:p>
    <w:p>
      <w:pPr>
        <w:pStyle w:val="775"/>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cs="Times New Roman"/>
          <w:bCs/>
          <w:color w:val="000000" w:themeColor="text1"/>
          <w:sz w:val="24"/>
          <w:szCs w:val="24"/>
          <w:highlight w:val="none"/>
          <w14:textFill>
            <w14:solidFill>
              <w14:schemeClr w14:val="tx1"/>
            </w14:solidFill>
          </w14:textFill>
        </w:rPr>
        <w:t xml:space="preserve">（</w:t>
      </w:r>
      <w:r>
        <w:rPr>
          <w:rFonts w:hint="eastAsia" w:ascii="黑体" w:hAnsi="宋体" w:eastAsia="黑体" w:cs="Times New Roman"/>
          <w:bCs/>
          <w:color w:val="000000" w:themeColor="text1"/>
          <w:sz w:val="24"/>
          <w:szCs w:val="24"/>
          <w:highlight w:val="none"/>
          <w:lang w:val="en-US" w:eastAsia="zh-CN"/>
          <w14:textFill>
            <w14:solidFill>
              <w14:schemeClr w14:val="tx1"/>
            </w14:solidFill>
          </w14:textFill>
        </w:rPr>
        <w:t xml:space="preserve">七</w:t>
      </w:r>
      <w:r>
        <w:rPr>
          <w:rFonts w:hint="eastAsia" w:ascii="黑体" w:hAnsi="宋体" w:eastAsia="黑体" w:cs="Times New Roman"/>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开标一览表（格式）：</w:t>
      </w:r>
      <w:r/>
    </w:p>
    <w:p>
      <w:pPr>
        <w:jc w:val="center"/>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rPr>
          <w:rFonts w:ascii="黑体" w:eastAsia="黑体"/>
          <w:bCs/>
          <w:color w:val="000000" w:themeColor="text1"/>
          <w:sz w:val="28"/>
          <w:szCs w:val="28"/>
          <w:highlight w:val="none"/>
          <w14:textFill>
            <w14:solidFill>
              <w14:schemeClr w14:val="tx1"/>
            </w14:solidFill>
          </w14:textFill>
        </w:rPr>
        <w:t xml:space="preserve"> </w:t>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投标供应商名称（盖章）</w:t>
      </w:r>
      <w:r>
        <w:rPr>
          <w:rFonts w:ascii="黑体" w:eastAsia="黑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           </w:t>
      </w:r>
      <w:r>
        <w:rPr>
          <w:rFonts w:ascii="黑体" w:eastAsia="黑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采购项目编号：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JSZC-320214-PXGJ-G2024-0125</w:t>
      </w:r>
      <w:r/>
    </w:p>
    <w:p>
      <w:pPr>
        <w:spacing w:line="30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bl>
      <w:tblPr>
        <w:tblStyle w:val="740"/>
        <w:tblW w:w="9072"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5670"/>
        <w:gridCol w:w="1701"/>
      </w:tblGrid>
      <w:tr>
        <w:trPr>
          <w:cantSplit/>
          <w:trHeight w:val="267"/>
        </w:trPr>
        <w:tc>
          <w:tcPr>
            <w:tcW w:w="1701"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项目名称</w:t>
            </w:r>
            <w:r/>
          </w:p>
        </w:tc>
        <w:tc>
          <w:tcPr>
            <w:gridSpan w:val="2"/>
            <w:tcW w:w="7371" w:type="dxa"/>
            <w:vAlign w:val="center"/>
            <w:textDirection w:val="lrTb"/>
            <w:noWrap w:val="false"/>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373"/>
        </w:trPr>
        <w:tc>
          <w:tcPr>
            <w:tcW w:w="1701" w:type="dxa"/>
            <w:vAlign w:val="center"/>
            <w:textDirection w:val="lrTb"/>
            <w:noWrap w:val="false"/>
          </w:tcPr>
          <w:p>
            <w:pPr>
              <w:jc w:val="center"/>
              <w:spacing w:line="400" w:lineRule="exact"/>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食材类别</w:t>
            </w:r>
            <w:r/>
          </w:p>
        </w:tc>
        <w:tc>
          <w:tcPr>
            <w:tcW w:w="5670"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bidi="en-US"/>
                <w14:textFill>
                  <w14:solidFill>
                    <w14:schemeClr w14:val="tx1"/>
                  </w14:solidFill>
                </w14:textFill>
              </w:rPr>
              <w:t xml:space="preserve">质量标准</w:t>
            </w:r>
            <w:r/>
          </w:p>
        </w:tc>
        <w:tc>
          <w:tcPr>
            <w:tcW w:w="1701"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bidi="en-US"/>
                <w14:textFill>
                  <w14:solidFill>
                    <w14:schemeClr w14:val="tx1"/>
                  </w14:solidFill>
                </w14:textFill>
              </w:rPr>
              <w:t xml:space="preserve">投标</w:t>
            </w:r>
            <w:r>
              <w:rPr>
                <w:rFonts w:hint="eastAsia" w:ascii="宋体" w:hAnsi="宋体"/>
                <w:b/>
                <w:color w:val="000000" w:themeColor="text1"/>
                <w:sz w:val="24"/>
                <w:szCs w:val="24"/>
                <w:highlight w:val="none"/>
                <w:lang w:val="en-US" w:eastAsia="zh-CN" w:bidi="en-US"/>
                <w14:textFill>
                  <w14:solidFill>
                    <w14:schemeClr w14:val="tx1"/>
                  </w14:solidFill>
                </w14:textFill>
              </w:rPr>
              <w:t xml:space="preserve">优惠</w:t>
            </w:r>
            <w:r>
              <w:rPr>
                <w:rFonts w:hint="eastAsia" w:ascii="宋体" w:hAnsi="宋体"/>
                <w:b/>
                <w:color w:val="000000" w:themeColor="text1"/>
                <w:sz w:val="24"/>
                <w:szCs w:val="24"/>
                <w:highlight w:val="none"/>
                <w:lang w:bidi="en-US"/>
                <w14:textFill>
                  <w14:solidFill>
                    <w14:schemeClr w14:val="tx1"/>
                  </w14:solidFill>
                </w14:textFill>
              </w:rPr>
              <w:t xml:space="preserve">率</w:t>
            </w:r>
            <w:r/>
          </w:p>
        </w:tc>
      </w:tr>
      <w:tr>
        <w:trPr>
          <w:cantSplit/>
          <w:trHeight w:val="367"/>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1701" w:type="dxa"/>
            <w:vAlign w:val="center"/>
            <w:vMerge w:val="restart"/>
            <w:textDirection w:val="lrTb"/>
            <w:noWrap w:val="false"/>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410"/>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701" w:type="dxa"/>
            <w:vAlign w:val="center"/>
            <w:vMerge w:val="continue"/>
            <w:textDirection w:val="lrTb"/>
            <w:noWrap w:val="false"/>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410"/>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701" w:type="dxa"/>
            <w:vAlign w:val="center"/>
            <w:vMerge w:val="continue"/>
            <w:textDirection w:val="lrTb"/>
            <w:noWrap w:val="false"/>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410"/>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701" w:type="dxa"/>
            <w:vAlign w:val="center"/>
            <w:vMerge w:val="continue"/>
            <w:textDirection w:val="lrTb"/>
            <w:noWrap w:val="false"/>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410"/>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701" w:type="dxa"/>
            <w:vAlign w:val="center"/>
            <w:vMerge w:val="continue"/>
            <w:textDirection w:val="lrTb"/>
            <w:noWrap w:val="false"/>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410"/>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701" w:type="dxa"/>
            <w:vAlign w:val="center"/>
            <w:vMerge w:val="continue"/>
            <w:textDirection w:val="lrTb"/>
            <w:noWrap w:val="false"/>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410"/>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701" w:type="dxa"/>
            <w:vAlign w:val="center"/>
            <w:vMerge w:val="continue"/>
            <w:textDirection w:val="lrTb"/>
            <w:noWrap w:val="false"/>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525"/>
        </w:trPr>
        <w:tc>
          <w:tcPr>
            <w:tcW w:w="1701"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服务期限：</w:t>
            </w:r>
            <w:r/>
          </w:p>
        </w:tc>
        <w:tc>
          <w:tcPr>
            <w:gridSpan w:val="2"/>
            <w:tcW w:w="7371" w:type="dxa"/>
            <w:vAlign w:val="center"/>
            <w:textDirection w:val="lrTb"/>
            <w:noWrap w:val="false"/>
          </w:tcPr>
          <w:p>
            <w:pP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467"/>
        </w:trPr>
        <w:tc>
          <w:tcPr>
            <w:tcW w:w="1701" w:type="dxa"/>
            <w:vAlign w:val="center"/>
            <w:textDirection w:val="lrTb"/>
            <w:noWrap w:val="false"/>
          </w:tcPr>
          <w:p>
            <w:pPr>
              <w:jc w:val="center"/>
              <w:spacing w:line="3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服务质量：</w:t>
            </w:r>
            <w:r/>
          </w:p>
        </w:tc>
        <w:tc>
          <w:tcPr>
            <w:gridSpan w:val="2"/>
            <w:tcW w:w="7371" w:type="dxa"/>
            <w:vAlign w:val="center"/>
            <w:textDirection w:val="lrTb"/>
            <w:noWrap w:val="false"/>
          </w:tcPr>
          <w:p>
            <w:pPr>
              <w:spacing w:line="34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bl>
    <w:p>
      <w:pPr>
        <w:spacing w:before="5"/>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spacing w:before="5"/>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spacing w:before="5"/>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spacing w:line="400" w:lineRule="exact"/>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填写说明：</w:t>
      </w:r>
      <w:r/>
    </w:p>
    <w:p>
      <w:pPr>
        <w:numPr>
          <w:ilvl w:val="0"/>
          <w:numId w:val="20"/>
        </w:num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开标一览表中的内容应与响应函内容一致，否则评标时一律按开标一览表中内容为准，开标一览表中必须盖章或签字。</w:t>
      </w:r>
      <w:r/>
    </w:p>
    <w:p>
      <w:pPr>
        <w:numPr>
          <w:ilvl w:val="0"/>
          <w:numId w:val="20"/>
        </w:num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投标优惠率=1-投标折扣率（例：打九折即折扣率=90%、优惠率=1-90%=10%）</w:t>
      </w:r>
      <w:r/>
    </w:p>
    <w:p>
      <w:pPr>
        <w:rPr>
          <w:rFonts w:hint="eastAsia" w:ascii="黑体" w:hAnsi="宋体" w:eastAsia="黑体"/>
          <w:bCs/>
          <w:color w:val="000000" w:themeColor="text1"/>
          <w:sz w:val="24"/>
          <w:szCs w:val="24"/>
          <w:highlight w:val="none"/>
          <w14:textFill>
            <w14:solidFill>
              <w14:schemeClr w14:val="tx1"/>
            </w14:solidFill>
          </w14:textFill>
        </w:rPr>
        <w:sectPr>
          <w:headerReference w:type="default" r:id="rId9"/>
          <w:headerReference w:type="first" r:id="rId10"/>
          <w:footerReference w:type="default" r:id="rId11"/>
          <w:footerReference w:type="even" r:id="rId12"/>
          <w:footerReference w:type="first" r:id="rId13"/>
          <w:footnotePr/>
          <w:endnotePr/>
          <w:type w:val="continuous"/>
          <w:pgSz w:w="11906" w:h="16838" w:orient="portrait"/>
          <w:pgMar w:top="567" w:right="851" w:bottom="1351" w:left="1134" w:header="624" w:footer="907" w:gutter="0"/>
          <w:cols w:num="1" w:sep="0" w:space="1701" w:equalWidth="1"/>
          <w:docGrid w:linePitch="360"/>
          <w:titlePg/>
        </w:sectPr>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pStyle w:val="77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75"/>
        <w:rPr>
          <w:rFonts w:hint="eastAsia" w:ascii="黑体" w:hAnsi="宋体" w:eastAsia="黑体" w:cs="Times New Roman"/>
          <w:bCs/>
          <w:color w:val="000000" w:themeColor="text1"/>
          <w:sz w:val="24"/>
          <w:szCs w:val="24"/>
          <w:highlight w:val="none"/>
          <w14:textFill>
            <w14:solidFill>
              <w14:schemeClr w14:val="tx1"/>
            </w14:solidFill>
          </w14:textFill>
        </w:rPr>
      </w:pPr>
      <w:r>
        <w:rPr>
          <w:rFonts w:hint="eastAsia" w:ascii="黑体" w:hAnsi="宋体" w:eastAsia="黑体" w:cs="Times New Roman"/>
          <w:bCs/>
          <w:color w:val="000000" w:themeColor="text1"/>
          <w:sz w:val="24"/>
          <w:szCs w:val="24"/>
          <w:highlight w:val="none"/>
          <w14:textFill>
            <w14:solidFill>
              <w14:schemeClr w14:val="tx1"/>
            </w14:solidFill>
          </w14:textFill>
        </w:rPr>
        <w:t xml:space="preserve">（</w:t>
      </w:r>
      <w:r>
        <w:rPr>
          <w:rFonts w:hint="eastAsia" w:ascii="黑体" w:hAnsi="宋体" w:eastAsia="黑体" w:cs="Times New Roman"/>
          <w:bCs/>
          <w:color w:val="000000" w:themeColor="text1"/>
          <w:sz w:val="24"/>
          <w:szCs w:val="24"/>
          <w:highlight w:val="none"/>
          <w:lang w:val="en-US" w:eastAsia="zh-CN"/>
          <w14:textFill>
            <w14:solidFill>
              <w14:schemeClr w14:val="tx1"/>
            </w14:solidFill>
          </w14:textFill>
        </w:rPr>
        <w:t xml:space="preserve">八</w:t>
      </w:r>
      <w:r>
        <w:rPr>
          <w:rFonts w:hint="eastAsia" w:ascii="黑体" w:hAnsi="宋体" w:eastAsia="黑体" w:cs="Times New Roman"/>
          <w:bCs/>
          <w:color w:val="000000" w:themeColor="text1"/>
          <w:sz w:val="24"/>
          <w:szCs w:val="24"/>
          <w:highlight w:val="none"/>
          <w14:textFill>
            <w14:solidFill>
              <w14:schemeClr w14:val="tx1"/>
            </w14:solidFill>
          </w14:textFill>
        </w:rPr>
        <w:t xml:space="preserve">）投标报价明细表（格式）</w:t>
      </w:r>
      <w:r/>
    </w:p>
    <w:p>
      <w:pPr>
        <w:jc w:val="center"/>
        <w:rPr>
          <w:rFonts w:hint="eastAsia" w:eastAsia="黑体"/>
          <w:color w:val="000000" w:themeColor="text1"/>
          <w:highlight w:val="none"/>
          <w:lang w:eastAsia="zh-CN"/>
          <w14:textFill>
            <w14:solidFill>
              <w14:schemeClr w14:val="tx1"/>
            </w14:solidFill>
          </w14:textFill>
        </w:rPr>
        <w:outlineLvl w:val="0"/>
      </w:pPr>
      <w:r>
        <w:rPr>
          <w:rFonts w:hint="eastAsia" w:ascii="黑体" w:hAnsi="Times New Roman" w:eastAsia="黑体" w:cs="Times New Roman"/>
          <w:bCs/>
          <w:color w:val="000000" w:themeColor="text1"/>
          <w:sz w:val="28"/>
          <w:szCs w:val="28"/>
          <w:highlight w:val="none"/>
          <w14:textFill>
            <w14:solidFill>
              <w14:schemeClr w14:val="tx1"/>
            </w14:solidFill>
          </w14:textFill>
        </w:rPr>
        <w:t xml:space="preserve">投标报价明细表</w:t>
      </w:r>
      <w:r/>
    </w:p>
    <w:p>
      <w:pPr>
        <w:ind w:firstLine="960"/>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投标供应商名称（盖章）</w:t>
      </w:r>
      <w:r>
        <w:rPr>
          <w:rFonts w:ascii="黑体" w:eastAsia="黑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           </w:t>
      </w:r>
      <w:r>
        <w:rPr>
          <w:rFonts w:ascii="黑体" w:eastAsia="黑体"/>
          <w:bCs/>
          <w:color w:val="000000" w:themeColor="text1"/>
          <w:sz w:val="24"/>
          <w:szCs w:val="24"/>
          <w:highlight w:val="none"/>
          <w14:textFill>
            <w14:solidFill>
              <w14:schemeClr w14:val="tx1"/>
            </w14:solidFill>
          </w14:textFill>
        </w:rPr>
        <w:t xml:space="preserve"> </w:t>
      </w:r>
      <w:r/>
    </w:p>
    <w:p>
      <w:pPr>
        <w:ind w:firstLine="960"/>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采购项目编号：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JSZC-320214-PXGJ-G2024-0125</w:t>
      </w:r>
      <w:r/>
    </w:p>
    <w:tbl>
      <w:tblPr>
        <w:tblStyle w:val="740"/>
        <w:tblW w:w="8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83"/>
        <w:gridCol w:w="2390"/>
        <w:gridCol w:w="2577"/>
        <w:gridCol w:w="2668"/>
      </w:tblGrid>
      <w:tr>
        <w:trPr>
          <w:cantSplit/>
          <w:jc w:val="center"/>
          <w:trHeight w:val="560"/>
        </w:trPr>
        <w:tc>
          <w:tcPr>
            <w:tcMar>
              <w:left w:w="15" w:type="dxa"/>
              <w:top w:w="15" w:type="dxa"/>
              <w:right w:w="15" w:type="dxa"/>
              <w:bottom w:w="0" w:type="dxa"/>
            </w:tcMar>
            <w:tcW w:w="883"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序号</w:t>
            </w:r>
            <w:r/>
          </w:p>
        </w:tc>
        <w:tc>
          <w:tcPr>
            <w:tcMar>
              <w:left w:w="15" w:type="dxa"/>
              <w:top w:w="15" w:type="dxa"/>
              <w:right w:w="15" w:type="dxa"/>
              <w:bottom w:w="0" w:type="dxa"/>
            </w:tcMar>
            <w:tcW w:w="2390"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品名</w:t>
            </w:r>
            <w:r/>
          </w:p>
        </w:tc>
        <w:tc>
          <w:tcPr>
            <w:tcMar>
              <w:left w:w="15" w:type="dxa"/>
              <w:top w:w="15" w:type="dxa"/>
              <w:right w:w="15" w:type="dxa"/>
              <w:bottom w:w="0" w:type="dxa"/>
            </w:tcMar>
            <w:tcW w:w="2577"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规格</w:t>
            </w:r>
            <w:r/>
          </w:p>
        </w:tc>
        <w:tc>
          <w:tcPr>
            <w:tcW w:w="2668" w:type="dxa"/>
            <w:vAlign w:val="center"/>
            <w:textDirection w:val="lrTb"/>
            <w:noWrap w:val="false"/>
          </w:tcPr>
          <w:p>
            <w:pPr>
              <w:jc w:val="center"/>
              <w:rPr>
                <w:rFonts w:hint="eastAsia" w:ascii="宋体" w:hAnsi="宋体" w:eastAsia="宋体"/>
                <w:color w:val="000000" w:themeColor="text1"/>
                <w:sz w:val="18"/>
                <w:highlight w:val="none"/>
                <w:lang w:eastAsia="zh-CN"/>
                <w14:textFill>
                  <w14:solidFill>
                    <w14:schemeClr w14:val="tx1"/>
                  </w14:solidFill>
                </w14:textFill>
              </w:rPr>
            </w:pPr>
            <w:r>
              <w:rPr>
                <w:rFonts w:hint="eastAsia" w:ascii="宋体" w:hAnsi="宋体"/>
                <w:color w:val="000000" w:themeColor="text1"/>
                <w:sz w:val="18"/>
                <w:highlight w:val="none"/>
                <w:lang w:val="en-US" w:eastAsia="zh-CN"/>
                <w14:textFill>
                  <w14:solidFill>
                    <w14:schemeClr w14:val="tx1"/>
                  </w14:solidFill>
                </w14:textFill>
              </w:rPr>
              <w:t xml:space="preserve">优惠</w:t>
            </w:r>
            <w:r>
              <w:rPr>
                <w:rFonts w:hint="eastAsia" w:ascii="宋体" w:hAnsi="宋体"/>
                <w:color w:val="000000" w:themeColor="text1"/>
                <w:sz w:val="18"/>
                <w:highlight w:val="none"/>
                <w14:textFill>
                  <w14:solidFill>
                    <w14:schemeClr w14:val="tx1"/>
                  </w14:solidFill>
                </w14:textFill>
              </w:rPr>
              <w:t xml:space="preserve">率</w:t>
            </w:r>
            <w:r/>
          </w:p>
        </w:tc>
      </w:tr>
      <w:tr>
        <w:trPr>
          <w:cantSplit/>
          <w:jc w:val="center"/>
          <w:trHeight w:val="770"/>
        </w:trPr>
        <w:tc>
          <w:tcPr>
            <w:tcMar>
              <w:left w:w="15" w:type="dxa"/>
              <w:top w:w="15" w:type="dxa"/>
              <w:right w:w="15" w:type="dxa"/>
              <w:bottom w:w="0" w:type="dxa"/>
            </w:tcMar>
            <w:tcW w:w="883"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1</w:t>
            </w:r>
            <w:r/>
          </w:p>
        </w:tc>
        <w:tc>
          <w:tcPr>
            <w:tcMar>
              <w:left w:w="15" w:type="dxa"/>
              <w:top w:w="15" w:type="dxa"/>
              <w:right w:w="15" w:type="dxa"/>
              <w:bottom w:w="0" w:type="dxa"/>
            </w:tcMar>
            <w:tcW w:w="2390"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Mar>
              <w:left w:w="15" w:type="dxa"/>
              <w:top w:w="15" w:type="dxa"/>
              <w:right w:w="15" w:type="dxa"/>
              <w:bottom w:w="0" w:type="dxa"/>
            </w:tcMar>
            <w:tcW w:w="2577"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668" w:type="dxa"/>
            <w:vAlign w:val="center"/>
            <w:textDirection w:val="lrTb"/>
            <w:noWrap w:val="false"/>
          </w:tcPr>
          <w:p>
            <w:pPr>
              <w:jc w:val="cente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r>
      <w:tr>
        <w:trPr>
          <w:cantSplit/>
          <w:jc w:val="center"/>
          <w:trHeight w:val="596"/>
        </w:trPr>
        <w:tc>
          <w:tcPr>
            <w:tcW w:w="883"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2</w:t>
            </w:r>
            <w:r/>
          </w:p>
        </w:tc>
        <w:tc>
          <w:tcPr>
            <w:tcW w:w="2390"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577"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668" w:type="dxa"/>
            <w:textDirection w:val="lrTb"/>
            <w:noWrap w:val="false"/>
          </w:tcPr>
          <w:p>
            <w:pP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r>
      <w:tr>
        <w:trPr>
          <w:cantSplit/>
          <w:jc w:val="center"/>
          <w:trHeight w:val="596"/>
        </w:trPr>
        <w:tc>
          <w:tcPr>
            <w:tcW w:w="883"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3</w:t>
            </w:r>
            <w:r/>
          </w:p>
        </w:tc>
        <w:tc>
          <w:tcPr>
            <w:tcW w:w="2390"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577"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668" w:type="dxa"/>
            <w:textDirection w:val="lrTb"/>
            <w:noWrap w:val="false"/>
          </w:tcPr>
          <w:p>
            <w:pP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r>
      <w:tr>
        <w:trPr>
          <w:cantSplit/>
          <w:jc w:val="center"/>
          <w:trHeight w:val="596"/>
        </w:trPr>
        <w:tc>
          <w:tcPr>
            <w:tcW w:w="883"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4</w:t>
            </w:r>
            <w:r/>
          </w:p>
        </w:tc>
        <w:tc>
          <w:tcPr>
            <w:tcW w:w="2390"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577"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668" w:type="dxa"/>
            <w:textDirection w:val="lrTb"/>
            <w:noWrap w:val="false"/>
          </w:tcPr>
          <w:p>
            <w:pP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r>
      <w:tr>
        <w:trPr>
          <w:cantSplit/>
          <w:jc w:val="center"/>
          <w:trHeight w:val="596"/>
        </w:trPr>
        <w:tc>
          <w:tcPr>
            <w:tcW w:w="883"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5</w:t>
            </w:r>
            <w:r/>
          </w:p>
        </w:tc>
        <w:tc>
          <w:tcPr>
            <w:tcW w:w="2390"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577"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668" w:type="dxa"/>
            <w:textDirection w:val="lrTb"/>
            <w:noWrap w:val="false"/>
          </w:tcPr>
          <w:p>
            <w:pP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r>
      <w:tr>
        <w:trPr>
          <w:cantSplit/>
          <w:jc w:val="center"/>
          <w:trHeight w:val="634"/>
        </w:trPr>
        <w:tc>
          <w:tcPr>
            <w:tcW w:w="883"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w:t>
            </w:r>
            <w:r/>
          </w:p>
        </w:tc>
        <w:tc>
          <w:tcPr>
            <w:tcW w:w="2390" w:type="dxa"/>
            <w:textDirection w:val="lrTb"/>
            <w:noWrap w:val="false"/>
          </w:tcPr>
          <w:p>
            <w:pP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W w:w="2577" w:type="dxa"/>
            <w:textDirection w:val="lrTb"/>
            <w:noWrap w:val="false"/>
          </w:tcPr>
          <w:p>
            <w:pP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W w:w="2668" w:type="dxa"/>
            <w:textDirection w:val="lrTb"/>
            <w:noWrap w:val="false"/>
          </w:tcPr>
          <w:p>
            <w:pP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r>
    </w:tbl>
    <w:p>
      <w:pPr>
        <w:spacing w:line="360" w:lineRule="auto"/>
        <w:rPr>
          <w:rFonts w:hAnsi="宋体"/>
          <w:bCs/>
          <w:color w:val="000000" w:themeColor="text1"/>
          <w:sz w:val="24"/>
          <w:highlight w:val="none"/>
          <w14:textFill>
            <w14:solidFill>
              <w14:schemeClr w14:val="tx1"/>
            </w14:solidFill>
          </w14:textFill>
        </w:rPr>
        <w:outlineLvl w:val="0"/>
      </w:pPr>
      <w:r>
        <w:rPr>
          <w:rFonts w:hAnsi="宋体"/>
          <w:bCs/>
          <w:color w:val="000000" w:themeColor="text1"/>
          <w:sz w:val="24"/>
          <w:highlight w:val="none"/>
          <w14:textFill>
            <w14:solidFill>
              <w14:schemeClr w14:val="tx1"/>
            </w14:solidFill>
          </w14:textFill>
        </w:rPr>
      </w:r>
      <w:r/>
    </w:p>
    <w:p>
      <w:pPr>
        <w:spacing w:before="5"/>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ind w:firstLine="361"/>
        <w:spacing w:line="360" w:lineRule="auto"/>
        <w:rPr>
          <w:rFonts w:hint="eastAsia" w:hAnsi="宋体"/>
          <w:b/>
          <w:color w:val="000000" w:themeColor="text1"/>
          <w:sz w:val="24"/>
          <w:highlight w:val="none"/>
          <w14:textFill>
            <w14:solidFill>
              <w14:schemeClr w14:val="tx1"/>
            </w14:solidFill>
          </w14:textFill>
        </w:rPr>
        <w:outlineLvl w:val="0"/>
      </w:pPr>
      <w:r>
        <w:rPr>
          <w:rFonts w:hint="eastAsia" w:hAnsi="宋体"/>
          <w:b/>
          <w:color w:val="000000" w:themeColor="text1"/>
          <w:sz w:val="24"/>
          <w:highlight w:val="none"/>
          <w14:textFill>
            <w14:solidFill>
              <w14:schemeClr w14:val="tx1"/>
            </w14:solidFill>
          </w14:textFill>
        </w:rPr>
      </w:r>
      <w:r/>
    </w:p>
    <w:p>
      <w:pPr>
        <w:ind w:firstLine="361"/>
        <w:spacing w:line="360" w:lineRule="auto"/>
        <w:rPr>
          <w:rFonts w:hAnsi="宋体"/>
          <w:bCs/>
          <w:color w:val="000000" w:themeColor="text1"/>
          <w:sz w:val="24"/>
          <w:highlight w:val="none"/>
          <w14:textFill>
            <w14:solidFill>
              <w14:schemeClr w14:val="tx1"/>
            </w14:solidFill>
          </w14:textFill>
        </w:rPr>
        <w:outlineLvl w:val="0"/>
      </w:pPr>
      <w:r>
        <w:rPr>
          <w:rFonts w:hint="eastAsia" w:hAnsi="宋体"/>
          <w:b/>
          <w:color w:val="000000" w:themeColor="text1"/>
          <w:sz w:val="24"/>
          <w:highlight w:val="none"/>
          <w14:textFill>
            <w14:solidFill>
              <w14:schemeClr w14:val="tx1"/>
            </w14:solidFill>
          </w14:textFill>
        </w:rPr>
        <w:t xml:space="preserve">注：</w:t>
      </w:r>
      <w:r>
        <w:rPr>
          <w:rFonts w:hint="eastAsia" w:hAnsi="宋体"/>
          <w:bCs/>
          <w:color w:val="000000" w:themeColor="text1"/>
          <w:sz w:val="24"/>
          <w:highlight w:val="none"/>
          <w14:textFill>
            <w14:solidFill>
              <w14:schemeClr w14:val="tx1"/>
            </w14:solidFill>
          </w14:textFill>
        </w:rPr>
        <w:t xml:space="preserve">（1）报价人应当根据“项目技术要求和有关说明”的内容在上表中详细填写，包含但不限于以上内容，请各供应商自行补充完善；</w:t>
      </w:r>
      <w:r/>
    </w:p>
    <w:p>
      <w:pPr>
        <w:ind w:firstLine="360"/>
        <w:spacing w:line="360" w:lineRule="auto"/>
        <w:rPr>
          <w:rFonts w:hAnsi="宋体"/>
          <w:bCs/>
          <w:color w:val="000000" w:themeColor="text1"/>
          <w:sz w:val="24"/>
          <w:highlight w:val="none"/>
          <w14:textFill>
            <w14:solidFill>
              <w14:schemeClr w14:val="tx1"/>
            </w14:solidFill>
          </w14:textFill>
        </w:rPr>
        <w:outlineLvl w:val="0"/>
      </w:pPr>
      <w:r>
        <w:rPr>
          <w:rFonts w:hint="eastAsia" w:hAnsi="宋体"/>
          <w:bCs/>
          <w:color w:val="000000" w:themeColor="text1"/>
          <w:sz w:val="24"/>
          <w:highlight w:val="none"/>
          <w14:textFill>
            <w14:solidFill>
              <w14:schemeClr w14:val="tx1"/>
            </w14:solidFill>
          </w14:textFill>
        </w:rPr>
        <w:t xml:space="preserve">（2）表格不够可自行延长；</w:t>
      </w:r>
      <w:r/>
    </w:p>
    <w:p>
      <w:pPr>
        <w:spacing w:line="360" w:lineRule="auto"/>
        <w:rPr>
          <w:rFonts w:hAnsi="宋体"/>
          <w:bCs/>
          <w:color w:val="000000" w:themeColor="text1"/>
          <w:sz w:val="24"/>
          <w:highlight w:val="none"/>
          <w14:textFill>
            <w14:solidFill>
              <w14:schemeClr w14:val="tx1"/>
            </w14:solidFill>
          </w14:textFill>
        </w:rPr>
      </w:pPr>
      <w:r>
        <w:rPr>
          <w:rFonts w:hint="eastAsia" w:hAnsi="宋体"/>
          <w:bCs/>
          <w:color w:val="000000" w:themeColor="text1"/>
          <w:sz w:val="24"/>
          <w:highlight w:val="none"/>
          <w14:textFill>
            <w14:solidFill>
              <w14:schemeClr w14:val="tx1"/>
            </w14:solidFill>
          </w14:textFill>
        </w:rPr>
        <w:t xml:space="preserve"> </w:t>
      </w:r>
      <w:r>
        <w:rPr>
          <w:rFonts w:hAnsi="宋体"/>
          <w:bCs/>
          <w:color w:val="000000" w:themeColor="text1"/>
          <w:sz w:val="24"/>
          <w:highlight w:val="non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（3）本表所填内容和附件中列表内并不冲突，请供应商认真填写本表及附件列表。</w:t>
      </w:r>
      <w:r/>
    </w:p>
    <w:p>
      <w:pPr>
        <w:ind w:firstLine="360"/>
        <w:spacing w:line="360" w:lineRule="auto"/>
        <w:rPr>
          <w:rFonts w:hAnsi="宋体"/>
          <w:bCs/>
          <w:color w:val="000000" w:themeColor="text1"/>
          <w:sz w:val="24"/>
          <w:highlight w:val="none"/>
          <w14:textFill>
            <w14:solidFill>
              <w14:schemeClr w14:val="tx1"/>
            </w14:solidFill>
          </w14:textFill>
        </w:rPr>
      </w:pPr>
      <w:r>
        <w:rPr>
          <w:rFonts w:hint="eastAsia" w:hAnsi="宋体"/>
          <w:bCs/>
          <w:color w:val="000000" w:themeColor="text1"/>
          <w:sz w:val="24"/>
          <w:highlight w:val="none"/>
          <w14:textFill>
            <w14:solidFill>
              <w14:schemeClr w14:val="tx1"/>
            </w14:solidFill>
          </w14:textFill>
        </w:rPr>
        <w:t xml:space="preserve">（4）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r/>
    </w:p>
    <w:p>
      <w:pPr>
        <w:pStyle w:val="1048"/>
        <w:ind w:firstLine="480"/>
        <w:rPr>
          <w:rFonts w:ascii="宋体" w:hAnsi="宋体"/>
          <w:b/>
          <w:color w:val="000000" w:themeColor="text1"/>
          <w:sz w:val="24"/>
          <w:highlight w:val="none"/>
          <w14:textFill>
            <w14:solidFill>
              <w14:schemeClr w14:val="tx1"/>
            </w14:solidFill>
          </w14:textFill>
        </w:rPr>
      </w:pPr>
      <w:r>
        <w:rPr>
          <w:rFonts w:hint="eastAsia" w:hAnsi="宋体"/>
          <w:bCs/>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有效报价折扣率的范围：报价折扣率≤100%，供应商的折扣率不得超过此范围，否则按无效投标处理。</w:t>
      </w:r>
      <w:r>
        <w:rPr>
          <w:rFonts w:hint="eastAsia" w:ascii="宋体" w:hAnsi="宋体" w:cs="宋体"/>
          <w:color w:val="000000" w:themeColor="text1"/>
          <w:sz w:val="24"/>
          <w:highlight w:val="none"/>
          <w14:textFill>
            <w14:solidFill>
              <w14:schemeClr w14:val="tx1"/>
            </w14:solidFill>
          </w14:textFill>
        </w:rPr>
        <w:t xml:space="preserve">所有品目投标折扣率必须为同一值，在合同执行期间</w:t>
      </w:r>
      <w:r>
        <w:rPr>
          <w:rFonts w:ascii="宋体" w:hAnsi="宋体" w:cs="宋体"/>
          <w:color w:val="000000" w:themeColor="text1"/>
          <w:sz w:val="24"/>
          <w:highlight w:val="none"/>
          <w14:textFill>
            <w14:solidFill>
              <w14:schemeClr w14:val="tx1"/>
            </w14:solidFill>
          </w14:textFill>
        </w:rPr>
        <w:t xml:space="preserve">折扣率</w:t>
      </w:r>
      <w:r>
        <w:rPr>
          <w:rFonts w:hint="eastAsia" w:ascii="宋体" w:hAnsi="宋体" w:cs="宋体"/>
          <w:color w:val="000000" w:themeColor="text1"/>
          <w:sz w:val="24"/>
          <w:highlight w:val="none"/>
          <w14:textFill>
            <w14:solidFill>
              <w14:schemeClr w14:val="tx1"/>
            </w14:solidFill>
          </w14:textFill>
        </w:rPr>
        <w:t xml:space="preserve">是固定值。</w:t>
      </w:r>
      <w:r/>
    </w:p>
    <w:p>
      <w:pPr>
        <w:ind w:firstLine="560"/>
        <w:jc w:val="center"/>
        <w:rPr>
          <w:rFonts w:hint="eastAsia" w:ascii="黑体" w:hAnsi="Calibri" w:eastAsia="黑体" w:cs="Times New Roman"/>
          <w:bCs/>
          <w:color w:val="000000" w:themeColor="text1"/>
          <w:sz w:val="28"/>
          <w:szCs w:val="28"/>
          <w:highlight w:val="none"/>
          <w14:textFill>
            <w14:solidFill>
              <w14:schemeClr w14:val="tx1"/>
            </w14:solidFill>
          </w14:textFill>
        </w:rPr>
        <w:outlineLvl w:val="0"/>
      </w:pPr>
      <w:r>
        <w:rPr>
          <w:rFonts w:hint="eastAsia" w:ascii="黑体" w:hAnsi="Calibri" w:eastAsia="黑体" w:cs="Times New Roman"/>
          <w:bCs/>
          <w:color w:val="000000" w:themeColor="text1"/>
          <w:sz w:val="28"/>
          <w:szCs w:val="28"/>
          <w:highlight w:val="none"/>
          <w14:textFill>
            <w14:solidFill>
              <w14:schemeClr w14:val="tx1"/>
            </w14:solidFill>
          </w14:textFill>
        </w:rPr>
      </w:r>
      <w:r/>
    </w:p>
    <w:p>
      <w:pPr>
        <w:jc w:val="left"/>
        <w:rPr>
          <w:rFonts w:ascii="黑体" w:eastAsia="黑体"/>
          <w:bCs/>
          <w:color w:val="000000" w:themeColor="text1"/>
          <w:sz w:val="28"/>
          <w:szCs w:val="28"/>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九</w:t>
      </w:r>
      <w:r>
        <w:rPr>
          <w:rFonts w:hint="eastAsia" w:ascii="黑体" w:hAnsi="宋体" w:eastAsia="黑体"/>
          <w:bCs/>
          <w:color w:val="000000" w:themeColor="text1"/>
          <w:sz w:val="24"/>
          <w:szCs w:val="24"/>
          <w:highlight w:val="none"/>
          <w14:textFill>
            <w14:solidFill>
              <w14:schemeClr w14:val="tx1"/>
            </w14:solidFill>
          </w14:textFill>
        </w:rPr>
        <w:t xml:space="preserve">）投标偏离表（格式）：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投标供应商名称（盖章）       </w:t>
      </w:r>
      <w:r>
        <w:rPr>
          <w:rFonts w:ascii="黑体" w:eastAsia="黑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  采购项目编号：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JSZC-320214-PXGJ-G2024-0125</w:t>
      </w:r>
      <w:r/>
    </w:p>
    <w:tbl>
      <w:tblPr>
        <w:tblStyle w:val="740"/>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b/>
          <w:color w:val="000000" w:themeColor="text1"/>
          <w:sz w:val="24"/>
          <w:szCs w:val="24"/>
          <w:highlight w:val="none"/>
          <w14:textFill>
            <w14:solidFill>
              <w14:schemeClr w14:val="tx1"/>
            </w14:solidFill>
          </w14:textFill>
        </w:rPr>
      </w:pPr>
      <w:r>
        <w:rPr>
          <w:rFonts w:ascii="宋体"/>
          <w:b/>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）如无任何服务偏离，请于本表 “偏离说明”中注明“无偏离”；</w:t>
      </w:r>
      <w:r/>
    </w:p>
    <w:p>
      <w:pPr>
        <w:rPr>
          <w:rFonts w:asci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（3）如有服务偏离项，请于本表中列明偏离内容，如需要可自行延长，其余无偏离内容不须赘述。</w:t>
      </w:r>
      <w:r/>
    </w:p>
    <w:p>
      <w:pPr>
        <w:ind w:firstLine="42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2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jc w:val="center"/>
        <w:rPr>
          <w:rFonts w:hint="eastAsia"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br w:type="page" w:clear="all"/>
      </w:r>
      <w:r/>
    </w:p>
    <w:p>
      <w:pPr>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（十）技术方案（</w:t>
      </w:r>
      <w:r>
        <w:rPr>
          <w:rFonts w:hint="eastAsia" w:ascii="黑体" w:hAnsi="宋体" w:eastAsia="黑体"/>
          <w:bCs/>
          <w:color w:val="000000" w:themeColor="text1"/>
          <w:sz w:val="24"/>
          <w:szCs w:val="24"/>
          <w:highlight w:val="none"/>
          <w14:textFill>
            <w14:solidFill>
              <w14:schemeClr w14:val="tx1"/>
            </w14:solidFill>
          </w14:textFill>
        </w:rPr>
        <w:t xml:space="preserve">格式自拟</w:t>
      </w:r>
      <w:r>
        <w:rPr>
          <w:rFonts w:hint="eastAsia" w:ascii="黑体" w:hAnsi="宋体" w:eastAsia="黑体"/>
          <w:bCs/>
          <w:color w:val="000000" w:themeColor="text1"/>
          <w:sz w:val="24"/>
          <w:szCs w:val="24"/>
          <w:highlight w:val="none"/>
          <w14:textFill>
            <w14:solidFill>
              <w14:schemeClr w14:val="tx1"/>
            </w14:solidFill>
          </w14:textFill>
        </w:rPr>
        <w:t xml:space="preserve">）</w:t>
      </w:r>
      <w:r/>
    </w:p>
    <w:p>
      <w:pPr>
        <w:ind w:firstLine="480"/>
        <w:jc w:val="cente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center"/>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技术方案</w:t>
      </w:r>
      <w:r/>
    </w:p>
    <w:p>
      <w:pPr>
        <w:pStyle w:val="1034"/>
        <w:ind w:firstLine="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投标供应商应按评分点编制完整的服务方案，</w:t>
      </w:r>
      <w:r>
        <w:rPr>
          <w:color w:val="000000" w:themeColor="text1"/>
          <w:sz w:val="24"/>
          <w:highlight w:val="none"/>
          <w14:textFill>
            <w14:solidFill>
              <w14:schemeClr w14:val="tx1"/>
            </w14:solidFill>
          </w14:textFill>
        </w:rPr>
        <w:t xml:space="preserve">以便评审。</w:t>
      </w:r>
      <w:r/>
    </w:p>
    <w:p>
      <w:pPr>
        <w:pStyle w:val="1034"/>
        <w:ind w:firstLine="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2"/>
        <w:spacing w:line="360" w:lineRule="auto"/>
        <w:rPr>
          <w:rFonts w:ascii="宋体" w:hAnsi="宋体" w:eastAsia="宋体" w:cs="Times New Roman"/>
          <w:b/>
          <w:color w:val="000000" w:themeColor="text1"/>
          <w:sz w:val="24"/>
          <w:szCs w:val="21"/>
          <w:highlight w:val="none"/>
          <w:u w:val="single"/>
          <w14:textFill>
            <w14:solidFill>
              <w14:schemeClr w14:val="tx1"/>
            </w14:solidFill>
          </w14:textFill>
        </w:rPr>
      </w:pPr>
      <w:r>
        <w:rPr>
          <w:rFonts w:hint="eastAsia" w:ascii="宋体" w:hAnsi="宋体" w:eastAsia="宋体" w:cs="Times New Roman"/>
          <w:b/>
          <w:color w:val="000000" w:themeColor="text1"/>
          <w:sz w:val="24"/>
          <w:szCs w:val="21"/>
          <w:highlight w:val="none"/>
          <w:u w:val="single"/>
          <w14:textFill>
            <w14:solidFill>
              <w14:schemeClr w14:val="tx1"/>
            </w14:solidFill>
          </w14:textFill>
        </w:rPr>
        <w:t xml:space="preserve">特别注意：本项目采用暗标形式，投标人须参照评标办法的相关要求对商务部分和技术</w:t>
      </w:r>
      <w:r>
        <w:rPr>
          <w:rFonts w:hint="eastAsia" w:ascii="宋体" w:hAnsi="宋体" w:cs="Times New Roman"/>
          <w:b/>
          <w:color w:val="000000" w:themeColor="text1"/>
          <w:sz w:val="24"/>
          <w:szCs w:val="21"/>
          <w:highlight w:val="none"/>
          <w:u w:val="single"/>
          <w:lang w:val="en-US" w:eastAsia="zh-CN"/>
          <w14:textFill>
            <w14:solidFill>
              <w14:schemeClr w14:val="tx1"/>
            </w14:solidFill>
          </w14:textFill>
        </w:rPr>
        <w:t xml:space="preserve">文件</w:t>
      </w:r>
      <w:r>
        <w:rPr>
          <w:rFonts w:hint="eastAsia" w:ascii="宋体" w:hAnsi="宋体" w:eastAsia="宋体" w:cs="Times New Roman"/>
          <w:b/>
          <w:color w:val="000000" w:themeColor="text1"/>
          <w:sz w:val="24"/>
          <w:szCs w:val="21"/>
          <w:highlight w:val="none"/>
          <w:u w:val="single"/>
          <w14:textFill>
            <w14:solidFill>
              <w14:schemeClr w14:val="tx1"/>
            </w14:solidFill>
          </w14:textFill>
        </w:rPr>
        <w:t xml:space="preserve">部分分别进行制作。其中技术</w:t>
      </w:r>
      <w:r>
        <w:rPr>
          <w:rFonts w:hint="eastAsia" w:ascii="宋体" w:hAnsi="宋体" w:cs="Times New Roman"/>
          <w:b/>
          <w:color w:val="000000" w:themeColor="text1"/>
          <w:sz w:val="24"/>
          <w:szCs w:val="21"/>
          <w:highlight w:val="none"/>
          <w:u w:val="single"/>
          <w:lang w:val="en-US" w:eastAsia="zh-CN"/>
          <w14:textFill>
            <w14:solidFill>
              <w14:schemeClr w14:val="tx1"/>
            </w14:solidFill>
          </w14:textFill>
        </w:rPr>
        <w:t xml:space="preserve">文件</w:t>
      </w:r>
      <w:r>
        <w:rPr>
          <w:rFonts w:hint="eastAsia" w:ascii="宋体" w:hAnsi="宋体" w:eastAsia="宋体" w:cs="Times New Roman"/>
          <w:b/>
          <w:color w:val="000000" w:themeColor="text1"/>
          <w:sz w:val="24"/>
          <w:szCs w:val="21"/>
          <w:highlight w:val="none"/>
          <w:u w:val="single"/>
          <w14:textFill>
            <w14:solidFill>
              <w14:schemeClr w14:val="tx1"/>
            </w14:solidFill>
          </w14:textFill>
        </w:rPr>
        <w:t xml:space="preserve">部分属于暗标，投标人在制作技术</w:t>
      </w:r>
      <w:r>
        <w:rPr>
          <w:rFonts w:hint="eastAsia" w:ascii="宋体" w:hAnsi="宋体" w:cs="Times New Roman"/>
          <w:b/>
          <w:color w:val="000000" w:themeColor="text1"/>
          <w:sz w:val="24"/>
          <w:szCs w:val="21"/>
          <w:highlight w:val="none"/>
          <w:u w:val="single"/>
          <w:lang w:val="en-US" w:eastAsia="zh-CN"/>
          <w14:textFill>
            <w14:solidFill>
              <w14:schemeClr w14:val="tx1"/>
            </w14:solidFill>
          </w14:textFill>
        </w:rPr>
        <w:t xml:space="preserve">文件</w:t>
      </w:r>
      <w:r>
        <w:rPr>
          <w:rFonts w:hint="eastAsia" w:ascii="宋体" w:hAnsi="宋体" w:eastAsia="宋体" w:cs="Times New Roman"/>
          <w:b/>
          <w:color w:val="000000" w:themeColor="text1"/>
          <w:sz w:val="24"/>
          <w:szCs w:val="21"/>
          <w:highlight w:val="none"/>
          <w:u w:val="single"/>
          <w14:textFill>
            <w14:solidFill>
              <w14:schemeClr w14:val="tx1"/>
            </w14:solidFill>
          </w14:textFill>
        </w:rPr>
        <w:t xml:space="preserve">部分相关内容时不得有体现投标人身份的内容，否则投标无效。</w:t>
      </w:r>
      <w:r/>
    </w:p>
    <w:p>
      <w:pPr>
        <w:ind w:firstLine="482"/>
        <w:spacing w:line="360" w:lineRule="auto"/>
        <w:rPr>
          <w:rFonts w:ascii="宋体" w:hAnsi="宋体" w:eastAsia="宋体" w:cs="Times New Roman"/>
          <w:b/>
          <w:color w:val="000000" w:themeColor="text1"/>
          <w:sz w:val="24"/>
          <w:szCs w:val="21"/>
          <w:highlight w:val="none"/>
          <w:u w:val="single"/>
          <w14:textFill>
            <w14:solidFill>
              <w14:schemeClr w14:val="tx1"/>
            </w14:solidFill>
          </w14:textFill>
        </w:rPr>
      </w:pPr>
      <w:r>
        <w:rPr>
          <w:rFonts w:hint="eastAsia" w:ascii="宋体" w:hAnsi="宋体" w:eastAsia="宋体" w:cs="Times New Roman"/>
          <w:b/>
          <w:color w:val="000000" w:themeColor="text1"/>
          <w:sz w:val="24"/>
          <w:szCs w:val="21"/>
          <w:highlight w:val="none"/>
          <w14:textFill>
            <w14:solidFill>
              <w14:schemeClr w14:val="tx1"/>
            </w14:solidFill>
          </w14:textFill>
        </w:rPr>
        <w:t xml:space="preserve">不得有体现投标人身份的内容是指：</w:t>
      </w:r>
      <w:r/>
    </w:p>
    <w:p>
      <w:pPr>
        <w:ind w:firstLine="482"/>
        <w:spacing w:line="360" w:lineRule="auto"/>
        <w:rPr>
          <w:rFonts w:ascii="宋体" w:hAnsi="宋体" w:eastAsia="宋体" w:cs="Times New Roman"/>
          <w:b/>
          <w:color w:val="000000" w:themeColor="text1"/>
          <w:sz w:val="24"/>
          <w:szCs w:val="21"/>
          <w:highlight w:val="none"/>
          <w14:textFill>
            <w14:solidFill>
              <w14:schemeClr w14:val="tx1"/>
            </w14:solidFill>
          </w14:textFill>
        </w:rPr>
      </w:pPr>
      <w:r>
        <w:rPr>
          <w:rFonts w:hint="eastAsia" w:ascii="宋体" w:hAnsi="宋体" w:cs="Times New Roman"/>
          <w:b/>
          <w:color w:val="000000" w:themeColor="text1"/>
          <w:sz w:val="24"/>
          <w:szCs w:val="21"/>
          <w:highlight w:val="none"/>
          <w:lang w:val="en-US" w:eastAsia="zh-CN"/>
          <w14:textFill>
            <w14:solidFill>
              <w14:schemeClr w14:val="tx1"/>
            </w14:solidFill>
          </w14:textFill>
        </w:rPr>
        <w:t xml:space="preserve">①</w:t>
      </w:r>
      <w:r>
        <w:rPr>
          <w:rFonts w:hint="eastAsia" w:ascii="宋体" w:hAnsi="宋体" w:eastAsia="宋体" w:cs="Times New Roman"/>
          <w:b/>
          <w:color w:val="000000" w:themeColor="text1"/>
          <w:sz w:val="24"/>
          <w:szCs w:val="21"/>
          <w:highlight w:val="none"/>
          <w14:textFill>
            <w14:solidFill>
              <w14:schemeClr w14:val="tx1"/>
            </w14:solidFill>
          </w14:textFill>
        </w:rPr>
        <w:t xml:space="preserve">技术部分不得出现能够体现投标人身份、名称的相关描述、材料、文件等内容；</w:t>
      </w:r>
      <w:r/>
    </w:p>
    <w:p>
      <w:pPr>
        <w:ind w:firstLine="482"/>
        <w:spacing w:line="360" w:lineRule="auto"/>
        <w:rPr>
          <w:rFonts w:ascii="宋体" w:hAnsi="宋体" w:eastAsia="宋体" w:cs="Times New Roman"/>
          <w:b/>
          <w:color w:val="000000" w:themeColor="text1"/>
          <w:sz w:val="24"/>
          <w:szCs w:val="21"/>
          <w:highlight w:val="none"/>
          <w14:textFill>
            <w14:solidFill>
              <w14:schemeClr w14:val="tx1"/>
            </w14:solidFill>
          </w14:textFill>
        </w:rPr>
      </w:pPr>
      <w:r>
        <w:rPr>
          <w:rFonts w:hint="eastAsia" w:ascii="宋体" w:hAnsi="宋体" w:cs="Times New Roman"/>
          <w:b/>
          <w:color w:val="000000" w:themeColor="text1"/>
          <w:sz w:val="24"/>
          <w:szCs w:val="21"/>
          <w:highlight w:val="none"/>
          <w:lang w:val="en-US" w:eastAsia="zh-CN"/>
          <w14:textFill>
            <w14:solidFill>
              <w14:schemeClr w14:val="tx1"/>
            </w14:solidFill>
          </w14:textFill>
        </w:rPr>
        <w:t xml:space="preserve">②</w:t>
      </w:r>
      <w:r>
        <w:rPr>
          <w:rFonts w:hint="eastAsia" w:ascii="宋体" w:hAnsi="宋体" w:eastAsia="宋体" w:cs="Times New Roman"/>
          <w:b/>
          <w:color w:val="000000" w:themeColor="text1"/>
          <w:sz w:val="24"/>
          <w:szCs w:val="21"/>
          <w:highlight w:val="none"/>
          <w14:textFill>
            <w14:solidFill>
              <w14:schemeClr w14:val="tx1"/>
            </w14:solidFill>
          </w14:textFill>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Times New Roman"/>
          <w:b/>
          <w:color w:val="000000" w:themeColor="text1"/>
          <w:sz w:val="24"/>
          <w:szCs w:val="21"/>
          <w:highlight w:val="none"/>
          <w14:textFill>
            <w14:solidFill>
              <w14:schemeClr w14:val="tx1"/>
            </w14:solidFill>
          </w14:textFill>
        </w:rPr>
      </w:pPr>
      <w:r>
        <w:rPr>
          <w:rFonts w:hint="eastAsia" w:ascii="宋体" w:hAnsi="宋体" w:cs="Times New Roman"/>
          <w:b/>
          <w:color w:val="000000" w:themeColor="text1"/>
          <w:sz w:val="24"/>
          <w:szCs w:val="21"/>
          <w:highlight w:val="none"/>
          <w:lang w:val="en-US" w:eastAsia="zh-CN"/>
          <w14:textFill>
            <w14:solidFill>
              <w14:schemeClr w14:val="tx1"/>
            </w14:solidFill>
          </w14:textFill>
        </w:rPr>
        <w:t xml:space="preserve">③</w:t>
      </w:r>
      <w:r>
        <w:rPr>
          <w:rFonts w:hint="eastAsia" w:ascii="宋体" w:hAnsi="宋体" w:eastAsia="宋体" w:cs="Times New Roman"/>
          <w:b/>
          <w:color w:val="000000" w:themeColor="text1"/>
          <w:sz w:val="24"/>
          <w:szCs w:val="21"/>
          <w:highlight w:val="none"/>
          <w14:textFill>
            <w14:solidFill>
              <w14:schemeClr w14:val="tx1"/>
            </w14:solidFill>
          </w14:textFill>
        </w:rPr>
        <w:t xml:space="preserve">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Times New Roman"/>
          <w:b/>
          <w:color w:val="000000" w:themeColor="text1"/>
          <w:sz w:val="24"/>
          <w:szCs w:val="21"/>
          <w:highlight w:val="none"/>
          <w:lang w:val="en-US" w:eastAsia="zh-CN"/>
          <w14:textFill>
            <w14:solidFill>
              <w14:schemeClr w14:val="tx1"/>
            </w14:solidFill>
          </w14:textFill>
        </w:rPr>
        <w:t xml:space="preserve">④</w:t>
      </w:r>
      <w:r>
        <w:rPr>
          <w:rFonts w:hint="eastAsia" w:ascii="宋体" w:hAnsi="宋体" w:eastAsia="宋体" w:cs="Times New Roman"/>
          <w:b/>
          <w:color w:val="000000" w:themeColor="text1"/>
          <w:sz w:val="24"/>
          <w:szCs w:val="21"/>
          <w:highlight w:val="none"/>
          <w14:textFill>
            <w14:solidFill>
              <w14:schemeClr w14:val="tx1"/>
            </w14:solidFill>
          </w14:textFill>
        </w:rPr>
        <w:t xml:space="preserve">不得有其他体现投标人身份的内容。</w:t>
      </w:r>
      <w:r/>
    </w:p>
    <w:sectPr>
      <w:footnotePr/>
      <w:endnotePr/>
      <w:type w:val="continuous"/>
      <w:pgSz w:w="11906" w:h="16838" w:orient="portrait"/>
      <w:pgMar w:top="567" w:right="850" w:bottom="567" w:left="1134"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
    <w:panose1 w:val="020B0503020202020204"/>
  </w:font>
  <w:font w:name="Wingdings">
    <w:panose1 w:val="05000000000000000000"/>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仿宋">
    <w:panose1 w:val="02010609060101010101"/>
  </w:font>
  <w:font w:name="Calibri Light">
    <w:panose1 w:val="020F0302020204030204"/>
  </w:font>
  <w:font w:name="Cambria Math">
    <w:panose1 w:val="02040503050406030204"/>
  </w:font>
  <w:font w:name="ˎ̥">
    <w:panose1 w:val="020B0503020202020204"/>
  </w:font>
  <w:font w:name="楷体_GB2312">
    <w:panose1 w:val="02010609060101010101"/>
  </w:font>
  <w:font w:name="Courier New">
    <w:panose1 w:val="02070309020205020404"/>
  </w:font>
  <w:font w:name="Calibri">
    <w:panose1 w:val="020F0502020204030204"/>
  </w:font>
  <w:font w:name="微软雅黑">
    <w:panose1 w:val="020B0503020204020204"/>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4"/>
                          </w:pPr>
                          <w:r>
                            <w:fldChar w:fldCharType="begin"/>
                          </w:r>
                          <w:r>
                            <w:instrText xml:space="preserve"> PAGE  \* MERGEFORMAT </w:instrText>
                          </w:r>
                          <w:r>
                            <w:fldChar w:fldCharType="separate"/>
                          </w:r>
                          <w:r>
                            <w:t xml:space="preserve">71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4"/>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27"/>
      </w:rPr>
      <w:framePr w:wrap="around" w:vAnchor="text" w:hAnchor="margin" w:xAlign="center" w:y="1"/>
    </w:pPr>
    <w:r>
      <w:rPr>
        <w:rStyle w:val="1027"/>
      </w:rPr>
      <w:fldChar w:fldCharType="begin"/>
    </w:r>
    <w:r>
      <w:rPr>
        <w:rStyle w:val="1027"/>
      </w:rPr>
      <w:instrText xml:space="preserve">PAGE  </w:instrText>
    </w:r>
    <w:r>
      <w:rPr>
        <w:rStyle w:val="1027"/>
      </w:rPr>
      <w:fldChar w:fldCharType="separate"/>
    </w:r>
    <w:r>
      <w:rPr>
        <w:rStyle w:val="1027"/>
      </w:rPr>
      <w:t xml:space="preserve">1</w:t>
    </w:r>
    <w:r>
      <w:rPr>
        <w:rStyle w:val="1027"/>
      </w:rPr>
      <w:fldChar w:fldCharType="end"/>
    </w:r>
    <w:r/>
  </w:p>
  <w:p>
    <w:pPr>
      <w:pStyle w:val="98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tabs>
        <w:tab w:val="clear" w:pos="7143" w:leader="none"/>
      </w:tabs>
      <w:rPr>
        <w:rFonts w:hint="default" w:eastAsia="宋体"/>
        <w:lang w:val="en-US" w:eastAsia="zh-CN"/>
      </w:rPr>
    </w:pPr>
    <w:r>
      <w:rPr>
        <w:rFonts w:hint="eastAsia"/>
        <w:lang w:val="en-US" w:eastAsia="zh-CN"/>
      </w:rPr>
      <w:t xml:space="preserve">69</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left="2880" w:hanging="2880"/>
      <w:jc w:val="left"/>
      <w:tabs>
        <w:tab w:val="center" w:pos="4524" w:leader="none"/>
        <w:tab w:val="right" w:pos="9048" w:leader="none"/>
      </w:tabs>
    </w:pPr>
    <w:r>
      <w:rPr>
        <w:rFonts w:hint="eastAsia" w:ascii="宋体" w:hAnsi="宋体"/>
        <w:lang w:eastAsia="zh-CN"/>
      </w:rPr>
      <w:t xml:space="preserve">JSZC-320214-PXGJ-G2024-0125</w:t>
    </w:r>
    <w:r>
      <w:rPr>
        <w:rFonts w:hint="eastAsia" w:ascii="宋体" w:hAnsi="宋体"/>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硕放派出所食堂食材采购及配送</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left"/>
      <w:tabs>
        <w:tab w:val="center" w:pos="4524" w:leader="none"/>
        <w:tab w:val="right" w:pos="9048" w:leader="none"/>
      </w:tabs>
    </w:pPr>
    <w:r>
      <w:rPr>
        <w:rFonts w:hint="eastAsia" w:ascii="宋体" w:hAnsi="宋体"/>
        <w:lang w:eastAsia="zh-CN"/>
      </w:rPr>
      <w:t xml:space="preserve">JSZC-320214-PXGJ-G2024-0125</w:t>
    </w:r>
    <w:r>
      <w:rPr>
        <w:rFonts w:hint="eastAsia" w:ascii="宋体" w:hAnsi="宋体"/>
      </w:rPr>
      <w:t xml:space="preserve"> </w:t>
    </w:r>
    <w:r>
      <w:rPr>
        <w:rFonts w:hint="eastAsia"/>
      </w:rPr>
      <w:t xml:space="preserve">             </w:t>
    </w:r>
    <w:r>
      <w:rPr>
        <w:rFonts w:hint="eastAsia" w:ascii="宋体" w:hAnsi="宋体"/>
        <w:lang w:eastAsia="zh-CN"/>
      </w:rPr>
      <w:t xml:space="preserve">硕放派出所食堂食材采购及配送</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3"/>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5">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429" w:hanging="720"/>
        <w:tabs>
          <w:tab w:val="left" w:pos="1429" w:leader="none"/>
        </w:tabs>
      </w:pPr>
      <w:rPr>
        <w:rFonts w:hint="eastAsia" w:cs="Times New Roman"/>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bullet"/>
      <w:pStyle w:val="76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0">
    <w:multiLevelType w:val="hybridMultilevel"/>
    <w:lvl w:ilvl="0">
      <w:start w:val="1"/>
      <w:numFmt w:val="upperLetter"/>
      <w:pStyle w:val="927"/>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5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40" w:hanging="420"/>
        <w:tabs>
          <w:tab w:val="left" w:pos="840" w:leader="none"/>
        </w:tabs>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6">
    <w:multiLevelType w:val="hybridMultilevel"/>
    <w:lvl w:ilvl="0">
      <w:start w:val="1"/>
      <w:numFmt w:val="decimal"/>
      <w:isLgl w:val="false"/>
      <w:suff w:val="tab"/>
      <w:lvlText w:val="%1."/>
      <w:lvlJc w:val="left"/>
      <w:pPr>
        <w:ind w:left="630" w:hanging="420"/>
        <w:tabs>
          <w:tab w:val="left" w:pos="630" w:leader="none"/>
        </w:tabs>
      </w:pPr>
      <w:rPr>
        <w:rFonts w:cs="Times New Roman"/>
        <w:b w:val="0"/>
        <w:bCs w:val="0"/>
      </w:rPr>
    </w:lvl>
    <w:lvl w:ilvl="1">
      <w:start w:val="1"/>
      <w:numFmt w:val="decimal"/>
      <w:isLgl w:val="false"/>
      <w:suff w:val="tab"/>
      <w:lvlText w:val="（%2）"/>
      <w:lvlJc w:val="left"/>
      <w:pPr>
        <w:ind w:left="9858" w:hanging="360"/>
        <w:tabs>
          <w:tab w:val="left" w:pos="9858"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7">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9"/>
  </w:num>
  <w:num w:numId="2">
    <w:abstractNumId w:val="10"/>
  </w:num>
  <w:num w:numId="3">
    <w:abstractNumId w:val="3"/>
  </w:num>
  <w:num w:numId="4">
    <w:abstractNumId w:val="11"/>
  </w:num>
  <w:num w:numId="5">
    <w:abstractNumId w:val="2"/>
  </w:num>
  <w:num w:numId="6">
    <w:abstractNumId w:val="16"/>
  </w:num>
  <w:num w:numId="7">
    <w:abstractNumId w:val="1"/>
  </w:num>
  <w:num w:numId="8">
    <w:abstractNumId w:val="7"/>
  </w:num>
  <w:num w:numId="9">
    <w:abstractNumId w:val="14"/>
  </w:num>
  <w:num w:numId="10">
    <w:abstractNumId w:val="8"/>
  </w:num>
  <w:num w:numId="11">
    <w:abstractNumId w:val="12"/>
  </w:num>
  <w:num w:numId="12">
    <w:abstractNumId w:val="17"/>
  </w:num>
  <w:num w:numId="13">
    <w:abstractNumId w:val="5"/>
  </w:num>
  <w:num w:numId="14">
    <w:abstractNumId w:val="4"/>
  </w:num>
  <w:num w:numId="15">
    <w:abstractNumId w:val="0"/>
  </w:num>
  <w:num w:numId="16">
    <w:abstractNumId w:val="6"/>
  </w:num>
  <w:num w:numId="17">
    <w:abstractNumId w:val="13"/>
  </w:num>
  <w:num w:numId="18">
    <w:abstractNumId w:val="19"/>
  </w:num>
  <w:num w:numId="19">
    <w:abstractNumId w:val="1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link w:val="1197"/>
    <w:uiPriority w:val="0"/>
    <w:qFormat/>
    <w:pPr>
      <w:jc w:val="both"/>
      <w:widowControl w:val="off"/>
    </w:pPr>
    <w:rPr>
      <w:rFonts w:hint="default" w:ascii="Times New Roman" w:hAnsi="Times New Roman" w:eastAsia="宋体" w:cs="Times New Roman"/>
      <w:sz w:val="21"/>
      <w:lang w:val="en-US" w:eastAsia="zh-CN" w:bidi="ar-SA"/>
    </w:rPr>
  </w:style>
  <w:style w:type="paragraph" w:styleId="730">
    <w:name w:val="Heading 1"/>
    <w:basedOn w:val="729"/>
    <w:next w:val="729"/>
    <w:link w:val="776"/>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77"/>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78"/>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79"/>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80"/>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81"/>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82"/>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83"/>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84"/>
    <w:uiPriority w:val="9"/>
    <w:unhideWhenUsed/>
    <w:qFormat/>
    <w:pPr>
      <w:keepLines/>
      <w:keepNext/>
      <w:spacing w:before="320" w:after="200"/>
      <w:outlineLvl w:val="8"/>
    </w:pPr>
    <w:rPr>
      <w:rFonts w:ascii="Arial" w:hAnsi="Arial" w:eastAsia="Arial" w:cs="Arial"/>
      <w:i/>
      <w:iCs/>
      <w:sz w:val="21"/>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right="0" w:firstLine="0"/>
      <w:spacing w:after="57"/>
    </w:pPr>
  </w:style>
  <w:style w:type="paragraph" w:styleId="742">
    <w:name w:val="Normal Indent"/>
    <w:basedOn w:val="729"/>
    <w:uiPriority w:val="0"/>
    <w:qFormat/>
    <w:pPr>
      <w:ind w:firstLine="420"/>
      <w:jc w:val="left"/>
      <w:widowControl/>
    </w:pPr>
    <w:rPr>
      <w:sz w:val="20"/>
      <w:szCs w:val="20"/>
    </w:rPr>
  </w:style>
  <w:style w:type="paragraph" w:styleId="743">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annotation text"/>
    <w:basedOn w:val="729"/>
    <w:uiPriority w:val="99"/>
    <w:semiHidden/>
    <w:unhideWhenUsed/>
    <w:qFormat/>
    <w:pPr>
      <w:jc w:val="left"/>
    </w:pPr>
  </w:style>
  <w:style w:type="paragraph" w:styleId="745">
    <w:name w:val="Body Text"/>
    <w:basedOn w:val="729"/>
    <w:next w:val="746"/>
    <w:uiPriority w:val="0"/>
    <w:qFormat/>
    <w:rPr>
      <w:rFonts w:ascii="仿宋_GB2312" w:eastAsia="仿宋_GB2312"/>
      <w:sz w:val="28"/>
      <w:szCs w:val="20"/>
    </w:rPr>
  </w:style>
  <w:style w:type="paragraph" w:styleId="746">
    <w:name w:val="Body Text 2"/>
    <w:basedOn w:val="729"/>
    <w:uiPriority w:val="99"/>
    <w:qFormat/>
    <w:pPr>
      <w:spacing w:after="120" w:line="480" w:lineRule="auto"/>
    </w:pPr>
    <w:rPr>
      <w:rFonts w:ascii="Calibri" w:hAnsi="Calibri"/>
      <w:szCs w:val="22"/>
    </w:rPr>
  </w:style>
  <w:style w:type="paragraph" w:styleId="747">
    <w:name w:val="Body Text Indent"/>
    <w:basedOn w:val="729"/>
    <w:next w:val="748"/>
    <w:uiPriority w:val="99"/>
    <w:qFormat/>
    <w:pPr>
      <w:ind w:firstLine="576"/>
    </w:pPr>
    <w:rPr>
      <w:b/>
      <w:sz w:val="30"/>
    </w:rPr>
  </w:style>
  <w:style w:type="paragraph" w:styleId="748">
    <w:name w:val="envelope return"/>
    <w:basedOn w:val="729"/>
    <w:uiPriority w:val="99"/>
    <w:qFormat/>
    <w:rPr>
      <w:rFonts w:ascii="Arial" w:hAnsi="Arial" w:cs="Arial"/>
    </w:rPr>
  </w:style>
  <w:style w:type="paragraph" w:styleId="749">
    <w:name w:val="toc 5"/>
    <w:basedOn w:val="729"/>
    <w:next w:val="729"/>
    <w:uiPriority w:val="39"/>
    <w:unhideWhenUsed/>
    <w:qFormat/>
    <w:pPr>
      <w:ind w:left="1134" w:right="0" w:firstLine="0"/>
      <w:spacing w:after="57"/>
    </w:pPr>
  </w:style>
  <w:style w:type="paragraph" w:styleId="750">
    <w:name w:val="toc 3"/>
    <w:basedOn w:val="729"/>
    <w:next w:val="729"/>
    <w:uiPriority w:val="39"/>
    <w:unhideWhenUsed/>
    <w:qFormat/>
    <w:pPr>
      <w:ind w:left="567" w:right="0" w:firstLine="0"/>
      <w:spacing w:after="57"/>
    </w:pPr>
  </w:style>
  <w:style w:type="paragraph" w:styleId="751">
    <w:name w:val="Plain Text"/>
    <w:basedOn w:val="729"/>
    <w:uiPriority w:val="0"/>
    <w:qFormat/>
    <w:rPr>
      <w:rFonts w:hint="eastAsia" w:ascii="宋体" w:hAnsi="Courier New" w:eastAsia="楷体_GB2312"/>
      <w:sz w:val="28"/>
    </w:rPr>
  </w:style>
  <w:style w:type="paragraph" w:styleId="752">
    <w:name w:val="toc 8"/>
    <w:basedOn w:val="729"/>
    <w:next w:val="729"/>
    <w:uiPriority w:val="39"/>
    <w:unhideWhenUsed/>
    <w:qFormat/>
    <w:pPr>
      <w:ind w:left="1984" w:right="0" w:firstLine="0"/>
      <w:spacing w:after="57"/>
    </w:pPr>
  </w:style>
  <w:style w:type="paragraph" w:styleId="753">
    <w:name w:val="endnote text"/>
    <w:basedOn w:val="729"/>
    <w:link w:val="921"/>
    <w:uiPriority w:val="99"/>
    <w:semiHidden/>
    <w:unhideWhenUsed/>
    <w:qFormat/>
    <w:pPr>
      <w:spacing w:after="0" w:line="240" w:lineRule="auto"/>
    </w:pPr>
    <w:rPr>
      <w:sz w:val="20"/>
    </w:rPr>
  </w:style>
  <w:style w:type="paragraph" w:styleId="754">
    <w:name w:val="Footer"/>
    <w:basedOn w:val="729"/>
    <w:next w:val="755"/>
    <w:link w:val="794"/>
    <w:uiPriority w:val="99"/>
    <w:unhideWhenUsed/>
    <w:qFormat/>
    <w:pPr>
      <w:spacing w:after="0" w:line="240" w:lineRule="auto"/>
      <w:tabs>
        <w:tab w:val="center" w:pos="7143" w:leader="none"/>
        <w:tab w:val="right" w:pos="14287" w:leader="none"/>
      </w:tabs>
    </w:pPr>
  </w:style>
  <w:style w:type="paragraph" w:styleId="755" w:customStyle="1">
    <w:name w:val="TOC Heading1"/>
    <w:next w:val="729"/>
    <w:uiPriority w:val="0"/>
    <w:unhideWhenUsed/>
    <w:qFormat/>
    <w:rPr>
      <w:rFonts w:hint="eastAsia" w:ascii="Times New Roman" w:hAnsi="Times New Roman" w:eastAsia="Times New Roman" w:cs="Times New Roman"/>
      <w:sz w:val="32"/>
      <w:szCs w:val="24"/>
      <w:lang w:val="en-US" w:eastAsia="zh-CN" w:bidi="ar-SA"/>
    </w:rPr>
  </w:style>
  <w:style w:type="paragraph" w:styleId="756">
    <w:name w:val="Header"/>
    <w:basedOn w:val="729"/>
    <w:link w:val="792"/>
    <w:uiPriority w:val="99"/>
    <w:unhideWhenUsed/>
    <w:qFormat/>
    <w:pPr>
      <w:spacing w:after="0" w:line="240" w:lineRule="auto"/>
      <w:tabs>
        <w:tab w:val="center" w:pos="7143" w:leader="none"/>
        <w:tab w:val="right" w:pos="14287" w:leader="none"/>
      </w:tabs>
    </w:pPr>
  </w:style>
  <w:style w:type="paragraph" w:styleId="757">
    <w:name w:val="toc 1"/>
    <w:basedOn w:val="729"/>
    <w:next w:val="729"/>
    <w:uiPriority w:val="39"/>
    <w:unhideWhenUsed/>
    <w:qFormat/>
    <w:pPr>
      <w:ind w:left="0" w:right="0" w:firstLine="0"/>
      <w:spacing w:after="57"/>
    </w:pPr>
  </w:style>
  <w:style w:type="paragraph" w:styleId="758">
    <w:name w:val="toc 4"/>
    <w:basedOn w:val="729"/>
    <w:next w:val="729"/>
    <w:uiPriority w:val="39"/>
    <w:unhideWhenUsed/>
    <w:qFormat/>
    <w:pPr>
      <w:ind w:left="850" w:right="0" w:firstLine="0"/>
      <w:spacing w:after="57"/>
    </w:pPr>
  </w:style>
  <w:style w:type="paragraph" w:styleId="759">
    <w:name w:val="Subtitle"/>
    <w:basedOn w:val="729"/>
    <w:next w:val="729"/>
    <w:link w:val="787"/>
    <w:uiPriority w:val="11"/>
    <w:qFormat/>
    <w:pPr>
      <w:spacing w:before="200" w:after="200"/>
    </w:pPr>
    <w:rPr>
      <w:sz w:val="24"/>
      <w:szCs w:val="24"/>
    </w:rPr>
  </w:style>
  <w:style w:type="paragraph" w:styleId="760">
    <w:name w:val="List"/>
    <w:basedOn w:val="729"/>
    <w:uiPriority w:val="0"/>
    <w:qFormat/>
    <w:pPr>
      <w:numPr>
        <w:ilvl w:val="0"/>
        <w:numId w:val="1"/>
      </w:numPr>
      <w:spacing w:after="20" w:line="288" w:lineRule="auto"/>
    </w:pPr>
    <w:rPr>
      <w:szCs w:val="20"/>
      <w:lang w:val="en-GB"/>
    </w:rPr>
  </w:style>
  <w:style w:type="paragraph" w:styleId="761">
    <w:name w:val="footnote text"/>
    <w:basedOn w:val="729"/>
    <w:link w:val="920"/>
    <w:uiPriority w:val="99"/>
    <w:semiHidden/>
    <w:unhideWhenUsed/>
    <w:qFormat/>
    <w:pPr>
      <w:spacing w:after="40" w:line="240" w:lineRule="auto"/>
    </w:pPr>
    <w:rPr>
      <w:sz w:val="18"/>
    </w:rPr>
  </w:style>
  <w:style w:type="paragraph" w:styleId="762">
    <w:name w:val="toc 6"/>
    <w:basedOn w:val="729"/>
    <w:next w:val="729"/>
    <w:uiPriority w:val="39"/>
    <w:unhideWhenUsed/>
    <w:qFormat/>
    <w:pPr>
      <w:ind w:left="1417" w:right="0" w:firstLine="0"/>
      <w:spacing w:after="57"/>
    </w:pPr>
  </w:style>
  <w:style w:type="paragraph" w:styleId="763">
    <w:name w:val="table of figures"/>
    <w:basedOn w:val="729"/>
    <w:next w:val="729"/>
    <w:uiPriority w:val="99"/>
    <w:unhideWhenUsed/>
    <w:qFormat/>
    <w:pPr>
      <w:spacing w:after="0" w:afterAutospacing="0"/>
    </w:pPr>
  </w:style>
  <w:style w:type="paragraph" w:styleId="764">
    <w:name w:val="toc 2"/>
    <w:basedOn w:val="729"/>
    <w:next w:val="729"/>
    <w:uiPriority w:val="39"/>
    <w:unhideWhenUsed/>
    <w:qFormat/>
    <w:pPr>
      <w:ind w:left="283" w:right="0" w:firstLine="0"/>
      <w:spacing w:after="57"/>
    </w:pPr>
  </w:style>
  <w:style w:type="paragraph" w:styleId="765">
    <w:name w:val="toc 9"/>
    <w:basedOn w:val="729"/>
    <w:next w:val="729"/>
    <w:uiPriority w:val="39"/>
    <w:unhideWhenUsed/>
    <w:qFormat/>
    <w:pPr>
      <w:ind w:left="2268" w:right="0" w:firstLine="0"/>
      <w:spacing w:after="57"/>
    </w:pPr>
  </w:style>
  <w:style w:type="paragraph" w:styleId="766">
    <w:name w:val="Normal (Web)"/>
    <w:basedOn w:val="729"/>
    <w:uiPriority w:val="0"/>
    <w:qFormat/>
    <w:pPr>
      <w:ind w:firstLine="420"/>
      <w:jc w:val="left"/>
      <w:spacing w:before="100" w:beforeAutospacing="1" w:after="100" w:afterAutospacing="1" w:line="288" w:lineRule="auto"/>
      <w:widowControl/>
    </w:pPr>
    <w:rPr>
      <w:rFonts w:ascii="宋体" w:hAnsi="宋体"/>
      <w:sz w:val="24"/>
    </w:rPr>
  </w:style>
  <w:style w:type="paragraph" w:styleId="767">
    <w:name w:val="Title"/>
    <w:basedOn w:val="729"/>
    <w:next w:val="729"/>
    <w:link w:val="786"/>
    <w:uiPriority w:val="10"/>
    <w:qFormat/>
    <w:pPr>
      <w:contextualSpacing/>
      <w:spacing w:before="300" w:after="200"/>
    </w:pPr>
    <w:rPr>
      <w:sz w:val="48"/>
      <w:szCs w:val="48"/>
    </w:rPr>
  </w:style>
  <w:style w:type="paragraph" w:styleId="768">
    <w:name w:val="Body Text First Indent"/>
    <w:basedOn w:val="729"/>
    <w:uiPriority w:val="0"/>
    <w:qFormat/>
    <w:pPr>
      <w:ind w:firstLine="420"/>
      <w:spacing w:after="120"/>
    </w:pPr>
    <w:rPr>
      <w:color w:val="000000"/>
      <w:spacing w:val="-8"/>
      <w:sz w:val="21"/>
    </w:rPr>
  </w:style>
  <w:style w:type="paragraph" w:styleId="769">
    <w:name w:val="Body Text First Indent 2"/>
    <w:basedOn w:val="747"/>
    <w:uiPriority w:val="99"/>
    <w:qFormat/>
    <w:pPr>
      <w:ind w:left="420" w:firstLine="420"/>
      <w:spacing w:after="120"/>
    </w:pPr>
    <w:rPr>
      <w:sz w:val="20"/>
    </w:rPr>
  </w:style>
  <w:style w:type="table" w:styleId="7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Strong"/>
    <w:uiPriority w:val="0"/>
    <w:qFormat/>
    <w:rPr>
      <w:b/>
      <w:bCs/>
    </w:rPr>
  </w:style>
  <w:style w:type="character" w:styleId="772">
    <w:name w:val="endnote reference"/>
    <w:uiPriority w:val="99"/>
    <w:semiHidden/>
    <w:unhideWhenUsed/>
    <w:qFormat/>
    <w:rPr>
      <w:vertAlign w:val="superscript"/>
    </w:rPr>
  </w:style>
  <w:style w:type="character" w:styleId="773">
    <w:name w:val="Hyperlink"/>
    <w:uiPriority w:val="99"/>
    <w:unhideWhenUsed/>
    <w:qFormat/>
    <w:rPr>
      <w:color w:val="0000ff" w:themeColor="hyperlink"/>
      <w:u w:val="single"/>
      <w14:textFill>
        <w14:solidFill>
          <w14:schemeClr w14:val="hlink"/>
        </w14:solidFill>
      </w14:textFill>
    </w:rPr>
  </w:style>
  <w:style w:type="character" w:styleId="774">
    <w:name w:val="footnote reference"/>
    <w:uiPriority w:val="99"/>
    <w:unhideWhenUsed/>
    <w:qFormat/>
    <w:rPr>
      <w:vertAlign w:val="superscript"/>
    </w:rPr>
  </w:style>
  <w:style w:type="paragraph" w:styleId="775" w:customStyle="1">
    <w:name w:val="_Style 1"/>
    <w:uiPriority w:val="0"/>
    <w:qFormat/>
    <w:pPr>
      <w:ind w:firstLine="420"/>
      <w:jc w:val="both"/>
      <w:spacing w:line="360" w:lineRule="auto"/>
      <w:widowControl w:val="off"/>
    </w:pPr>
    <w:rPr>
      <w:rFonts w:hint="default" w:ascii="Calibri" w:hAnsi="Calibri" w:eastAsia="宋体" w:cs="Times New Roman"/>
      <w:sz w:val="24"/>
      <w:szCs w:val="22"/>
      <w:lang w:val="en-US" w:eastAsia="zh-CN" w:bidi="ar-SA"/>
    </w:rPr>
  </w:style>
  <w:style w:type="character" w:styleId="776" w:customStyle="1">
    <w:name w:val="Heading 1 Char"/>
    <w:link w:val="730"/>
    <w:uiPriority w:val="9"/>
    <w:qFormat/>
    <w:rPr>
      <w:rFonts w:ascii="Arial" w:hAnsi="Arial" w:eastAsia="Arial" w:cs="Arial"/>
      <w:sz w:val="40"/>
      <w:szCs w:val="40"/>
    </w:rPr>
  </w:style>
  <w:style w:type="character" w:styleId="777" w:customStyle="1">
    <w:name w:val="Heading 2 Char"/>
    <w:link w:val="731"/>
    <w:uiPriority w:val="9"/>
    <w:qFormat/>
    <w:rPr>
      <w:rFonts w:ascii="Arial" w:hAnsi="Arial" w:eastAsia="Arial" w:cs="Arial"/>
      <w:sz w:val="34"/>
    </w:rPr>
  </w:style>
  <w:style w:type="character" w:styleId="778" w:customStyle="1">
    <w:name w:val="Heading 3 Char"/>
    <w:link w:val="732"/>
    <w:uiPriority w:val="9"/>
    <w:qFormat/>
    <w:rPr>
      <w:rFonts w:ascii="Arial" w:hAnsi="Arial" w:eastAsia="Arial" w:cs="Arial"/>
      <w:sz w:val="30"/>
      <w:szCs w:val="30"/>
    </w:rPr>
  </w:style>
  <w:style w:type="character" w:styleId="779" w:customStyle="1">
    <w:name w:val="Heading 4 Char"/>
    <w:link w:val="733"/>
    <w:uiPriority w:val="9"/>
    <w:qFormat/>
    <w:rPr>
      <w:rFonts w:ascii="Arial" w:hAnsi="Arial" w:eastAsia="Arial" w:cs="Arial"/>
      <w:b/>
      <w:bCs/>
      <w:sz w:val="26"/>
      <w:szCs w:val="26"/>
    </w:rPr>
  </w:style>
  <w:style w:type="character" w:styleId="780" w:customStyle="1">
    <w:name w:val="Heading 5 Char"/>
    <w:link w:val="734"/>
    <w:uiPriority w:val="9"/>
    <w:qFormat/>
    <w:rPr>
      <w:rFonts w:ascii="Arial" w:hAnsi="Arial" w:eastAsia="Arial" w:cs="Arial"/>
      <w:b/>
      <w:bCs/>
      <w:sz w:val="24"/>
      <w:szCs w:val="24"/>
    </w:rPr>
  </w:style>
  <w:style w:type="character" w:styleId="781" w:customStyle="1">
    <w:name w:val="Heading 6 Char"/>
    <w:link w:val="735"/>
    <w:uiPriority w:val="9"/>
    <w:qFormat/>
    <w:rPr>
      <w:rFonts w:ascii="Arial" w:hAnsi="Arial" w:eastAsia="Arial" w:cs="Arial"/>
      <w:b/>
      <w:bCs/>
      <w:sz w:val="22"/>
      <w:szCs w:val="22"/>
    </w:rPr>
  </w:style>
  <w:style w:type="character" w:styleId="782" w:customStyle="1">
    <w:name w:val="Heading 7 Char"/>
    <w:link w:val="736"/>
    <w:uiPriority w:val="9"/>
    <w:qFormat/>
    <w:rPr>
      <w:rFonts w:ascii="Arial" w:hAnsi="Arial" w:eastAsia="Arial" w:cs="Arial"/>
      <w:b/>
      <w:bCs/>
      <w:i/>
      <w:iCs/>
      <w:sz w:val="22"/>
      <w:szCs w:val="22"/>
    </w:rPr>
  </w:style>
  <w:style w:type="character" w:styleId="783" w:customStyle="1">
    <w:name w:val="Heading 8 Char"/>
    <w:link w:val="737"/>
    <w:uiPriority w:val="9"/>
    <w:qFormat/>
    <w:rPr>
      <w:rFonts w:ascii="Arial" w:hAnsi="Arial" w:eastAsia="Arial" w:cs="Arial"/>
      <w:i/>
      <w:iCs/>
      <w:sz w:val="22"/>
      <w:szCs w:val="22"/>
    </w:rPr>
  </w:style>
  <w:style w:type="character" w:styleId="784" w:customStyle="1">
    <w:name w:val="Heading 9 Char"/>
    <w:link w:val="738"/>
    <w:uiPriority w:val="9"/>
    <w:qFormat/>
    <w:rPr>
      <w:rFonts w:ascii="Arial" w:hAnsi="Arial" w:eastAsia="Arial" w:cs="Arial"/>
      <w:i/>
      <w:iCs/>
      <w:sz w:val="21"/>
      <w:szCs w:val="21"/>
    </w:rPr>
  </w:style>
  <w:style w:type="paragraph" w:styleId="785">
    <w:name w:val="No Spacing"/>
    <w:uiPriority w:val="1"/>
    <w:qFormat/>
    <w:pPr>
      <w:spacing w:before="0" w:after="0" w:line="240" w:lineRule="auto"/>
    </w:pPr>
    <w:rPr>
      <w:rFonts w:hint="default" w:ascii="Times New Roman" w:hAnsi="Times New Roman" w:eastAsia="宋体" w:cs="Times New Roman"/>
    </w:rPr>
  </w:style>
  <w:style w:type="character" w:styleId="786" w:customStyle="1">
    <w:name w:val="Title Char"/>
    <w:link w:val="767"/>
    <w:uiPriority w:val="10"/>
    <w:qFormat/>
    <w:rPr>
      <w:sz w:val="48"/>
      <w:szCs w:val="48"/>
    </w:rPr>
  </w:style>
  <w:style w:type="character" w:styleId="787" w:customStyle="1">
    <w:name w:val="Subtitle Char"/>
    <w:link w:val="759"/>
    <w:uiPriority w:val="11"/>
    <w:qFormat/>
    <w:rPr>
      <w:sz w:val="24"/>
      <w:szCs w:val="24"/>
    </w:rPr>
  </w:style>
  <w:style w:type="paragraph" w:styleId="788">
    <w:name w:val="Quote"/>
    <w:basedOn w:val="729"/>
    <w:next w:val="729"/>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729"/>
    <w:next w:val="729"/>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Header Char"/>
    <w:link w:val="756"/>
    <w:uiPriority w:val="99"/>
    <w:qFormat/>
  </w:style>
  <w:style w:type="character" w:styleId="793" w:customStyle="1">
    <w:name w:val="Footer Char"/>
    <w:link w:val="754"/>
    <w:uiPriority w:val="99"/>
    <w:qFormat/>
  </w:style>
  <w:style w:type="character" w:styleId="794" w:customStyle="1">
    <w:name w:val="Caption Char"/>
    <w:link w:val="754"/>
    <w:uiPriority w:val="99"/>
    <w:qFormat/>
  </w:style>
  <w:style w:type="table" w:styleId="7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link w:val="761"/>
    <w:uiPriority w:val="99"/>
    <w:qFormat/>
    <w:rPr>
      <w:sz w:val="18"/>
    </w:rPr>
  </w:style>
  <w:style w:type="character" w:styleId="921" w:customStyle="1">
    <w:name w:val="Endnote Text Char"/>
    <w:link w:val="753"/>
    <w:uiPriority w:val="99"/>
    <w:qFormat/>
    <w:rPr>
      <w:sz w:val="20"/>
    </w:r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标题 11"/>
    <w:basedOn w:val="729"/>
    <w:next w:val="729"/>
    <w:link w:val="934"/>
    <w:uiPriority w:val="0"/>
    <w:qFormat/>
    <w:pPr>
      <w:jc w:val="center"/>
      <w:keepNext/>
      <w:outlineLvl w:val="0"/>
    </w:pPr>
    <w:rPr>
      <w:rFonts w:ascii="楷体_GB2312" w:eastAsia="楷体_GB2312"/>
      <w:b/>
      <w:sz w:val="28"/>
    </w:rPr>
  </w:style>
  <w:style w:type="paragraph" w:styleId="924" w:customStyle="1">
    <w:name w:val="标题 21"/>
    <w:basedOn w:val="729"/>
    <w:next w:val="729"/>
    <w:link w:val="935"/>
    <w:uiPriority w:val="0"/>
    <w:qFormat/>
    <w:pPr>
      <w:jc w:val="center"/>
      <w:keepNext/>
      <w:outlineLvl w:val="1"/>
    </w:pPr>
    <w:rPr>
      <w:rFonts w:ascii="楷体_GB2312" w:eastAsia="楷体_GB2312"/>
      <w:b/>
      <w:bCs/>
      <w:sz w:val="18"/>
    </w:rPr>
  </w:style>
  <w:style w:type="paragraph" w:styleId="925" w:customStyle="1">
    <w:name w:val="标题 31"/>
    <w:basedOn w:val="729"/>
    <w:next w:val="729"/>
    <w:link w:val="936"/>
    <w:uiPriority w:val="0"/>
    <w:qFormat/>
    <w:pPr>
      <w:jc w:val="center"/>
      <w:keepNext/>
      <w:outlineLvl w:val="2"/>
    </w:pPr>
    <w:rPr>
      <w:rFonts w:eastAsia="楷体_GB2312"/>
      <w:b/>
      <w:bCs/>
      <w:sz w:val="15"/>
    </w:rPr>
  </w:style>
  <w:style w:type="paragraph" w:styleId="926" w:customStyle="1">
    <w:name w:val="标题 41"/>
    <w:basedOn w:val="729"/>
    <w:next w:val="729"/>
    <w:link w:val="937"/>
    <w:uiPriority w:val="0"/>
    <w:qFormat/>
    <w:pPr>
      <w:jc w:val="center"/>
      <w:keepNext/>
      <w:outlineLvl w:val="3"/>
    </w:pPr>
    <w:rPr>
      <w:rFonts w:eastAsia="楷体_GB2312"/>
      <w:b/>
      <w:bCs/>
      <w:sz w:val="13"/>
    </w:rPr>
  </w:style>
  <w:style w:type="paragraph" w:styleId="927" w:customStyle="1">
    <w:name w:val="标题 51"/>
    <w:basedOn w:val="729"/>
    <w:next w:val="729"/>
    <w:link w:val="938"/>
    <w:uiPriority w:val="99"/>
    <w:qFormat/>
    <w:pPr>
      <w:numPr>
        <w:ilvl w:val="0"/>
        <w:numId w:val="2"/>
      </w:numPr>
      <w:keepNext/>
      <w:outlineLvl w:val="4"/>
    </w:pPr>
    <w:rPr>
      <w:rFonts w:ascii="楷体_GB2312" w:eastAsia="楷体_GB2312"/>
      <w:bCs/>
      <w:sz w:val="28"/>
    </w:rPr>
  </w:style>
  <w:style w:type="paragraph" w:styleId="928" w:customStyle="1">
    <w:name w:val="标题 61"/>
    <w:basedOn w:val="729"/>
    <w:next w:val="729"/>
    <w:link w:val="939"/>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29" w:customStyle="1">
    <w:name w:val="标题 71"/>
    <w:basedOn w:val="729"/>
    <w:next w:val="729"/>
    <w:link w:val="940"/>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30" w:customStyle="1">
    <w:name w:val="标题 81"/>
    <w:basedOn w:val="729"/>
    <w:next w:val="729"/>
    <w:link w:val="941"/>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31" w:customStyle="1">
    <w:name w:val="标题 91"/>
    <w:basedOn w:val="729"/>
    <w:next w:val="729"/>
    <w:link w:val="942"/>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32" w:customStyle="1">
    <w:name w:val="默认段落字体1"/>
    <w:link w:val="729"/>
    <w:uiPriority w:val="1"/>
    <w:unhideWhenUsed/>
    <w:qFormat/>
  </w:style>
  <w:style w:type="table" w:styleId="933" w:customStyle="1">
    <w:name w:val="普通表格1"/>
    <w:uiPriority w:val="99"/>
    <w:unhideWhenUsed/>
    <w:qFormat/>
    <w:tblPr/>
  </w:style>
  <w:style w:type="character" w:styleId="934" w:customStyle="1">
    <w:name w:val="标题 1 Char"/>
    <w:link w:val="923"/>
    <w:uiPriority w:val="0"/>
    <w:qFormat/>
    <w:rPr>
      <w:rFonts w:ascii="楷体_GB2312" w:hAnsi="Times New Roman" w:eastAsia="楷体_GB2312" w:cs="Times New Roman"/>
      <w:b/>
      <w:sz w:val="28"/>
      <w:szCs w:val="20"/>
    </w:rPr>
  </w:style>
  <w:style w:type="character" w:styleId="935" w:customStyle="1">
    <w:name w:val="标题 2 Char"/>
    <w:link w:val="924"/>
    <w:uiPriority w:val="0"/>
    <w:qFormat/>
    <w:rPr>
      <w:rFonts w:ascii="楷体_GB2312" w:hAnsi="Times New Roman" w:eastAsia="楷体_GB2312" w:cs="Times New Roman"/>
      <w:b/>
      <w:bCs/>
      <w:sz w:val="18"/>
      <w:szCs w:val="20"/>
    </w:rPr>
  </w:style>
  <w:style w:type="character" w:styleId="936" w:customStyle="1">
    <w:name w:val="标题 3 Char"/>
    <w:link w:val="925"/>
    <w:uiPriority w:val="0"/>
    <w:qFormat/>
    <w:rPr>
      <w:rFonts w:ascii="Times New Roman" w:hAnsi="Times New Roman" w:eastAsia="楷体_GB2312" w:cs="Times New Roman"/>
      <w:b/>
      <w:bCs/>
      <w:sz w:val="15"/>
      <w:szCs w:val="20"/>
    </w:rPr>
  </w:style>
  <w:style w:type="character" w:styleId="937" w:customStyle="1">
    <w:name w:val="标题 4 Char"/>
    <w:link w:val="926"/>
    <w:uiPriority w:val="0"/>
    <w:qFormat/>
    <w:rPr>
      <w:rFonts w:ascii="Times New Roman" w:hAnsi="Times New Roman" w:eastAsia="楷体_GB2312" w:cs="Times New Roman"/>
      <w:b/>
      <w:bCs/>
      <w:sz w:val="13"/>
      <w:szCs w:val="20"/>
    </w:rPr>
  </w:style>
  <w:style w:type="character" w:styleId="938" w:customStyle="1">
    <w:name w:val="标题 5 Char"/>
    <w:link w:val="927"/>
    <w:uiPriority w:val="99"/>
    <w:qFormat/>
    <w:rPr>
      <w:rFonts w:ascii="楷体_GB2312" w:hAnsi="Times New Roman" w:eastAsia="楷体_GB2312"/>
      <w:bCs/>
      <w:sz w:val="28"/>
    </w:rPr>
  </w:style>
  <w:style w:type="character" w:styleId="939" w:customStyle="1">
    <w:name w:val="标题 6 Char"/>
    <w:link w:val="928"/>
    <w:uiPriority w:val="0"/>
    <w:qFormat/>
    <w:rPr>
      <w:rFonts w:ascii="Arial" w:hAnsi="Arial" w:eastAsia="黑体"/>
      <w:b/>
      <w:sz w:val="24"/>
      <w:szCs w:val="24"/>
    </w:rPr>
  </w:style>
  <w:style w:type="character" w:styleId="940" w:customStyle="1">
    <w:name w:val="标题 7 Char"/>
    <w:link w:val="929"/>
    <w:uiPriority w:val="0"/>
    <w:qFormat/>
    <w:rPr>
      <w:rFonts w:ascii="Times New Roman" w:hAnsi="Times New Roman"/>
      <w:b/>
      <w:sz w:val="24"/>
      <w:szCs w:val="24"/>
    </w:rPr>
  </w:style>
  <w:style w:type="character" w:styleId="941" w:customStyle="1">
    <w:name w:val="标题 8 Char"/>
    <w:link w:val="930"/>
    <w:uiPriority w:val="0"/>
    <w:qFormat/>
    <w:rPr>
      <w:rFonts w:ascii="Arial" w:hAnsi="Arial" w:eastAsia="黑体"/>
      <w:sz w:val="24"/>
      <w:szCs w:val="24"/>
    </w:rPr>
  </w:style>
  <w:style w:type="character" w:styleId="942" w:customStyle="1">
    <w:name w:val="标题 9 Char"/>
    <w:link w:val="931"/>
    <w:uiPriority w:val="0"/>
    <w:qFormat/>
    <w:rPr>
      <w:rFonts w:ascii="Arial" w:hAnsi="Arial" w:eastAsia="黑体"/>
      <w:sz w:val="21"/>
      <w:szCs w:val="24"/>
    </w:rPr>
  </w:style>
  <w:style w:type="paragraph" w:styleId="943" w:customStyle="1">
    <w:name w:val="列表 31"/>
    <w:basedOn w:val="729"/>
    <w:uiPriority w:val="0"/>
    <w:qFormat/>
    <w:pPr>
      <w:ind w:left="1260" w:hanging="420"/>
    </w:pPr>
    <w:rPr>
      <w:rFonts w:hAnsi="宋体"/>
      <w:color w:val="000000"/>
      <w:spacing w:val="-8"/>
    </w:rPr>
  </w:style>
  <w:style w:type="paragraph" w:styleId="944" w:customStyle="1">
    <w:name w:val="目录 71"/>
    <w:basedOn w:val="729"/>
    <w:next w:val="729"/>
    <w:uiPriority w:val="0"/>
    <w:qFormat/>
    <w:pPr>
      <w:ind w:left="1260" w:firstLine="420"/>
      <w:jc w:val="left"/>
      <w:spacing w:line="288" w:lineRule="auto"/>
    </w:pPr>
    <w:rPr>
      <w:sz w:val="18"/>
      <w:szCs w:val="18"/>
    </w:rPr>
  </w:style>
  <w:style w:type="paragraph" w:styleId="945" w:customStyle="1">
    <w:name w:val="索引 81"/>
    <w:basedOn w:val="729"/>
    <w:next w:val="729"/>
    <w:uiPriority w:val="0"/>
    <w:qFormat/>
    <w:pPr>
      <w:ind w:left="1400"/>
    </w:pPr>
  </w:style>
  <w:style w:type="paragraph" w:styleId="946" w:customStyle="1">
    <w:name w:val="正文缩进11"/>
    <w:basedOn w:val="729"/>
    <w:link w:val="947"/>
    <w:uiPriority w:val="0"/>
    <w:unhideWhenUsed/>
    <w:qFormat/>
    <w:pPr>
      <w:ind w:firstLine="420"/>
    </w:pPr>
    <w:rPr>
      <w:szCs w:val="24"/>
    </w:rPr>
  </w:style>
  <w:style w:type="character" w:styleId="947" w:customStyle="1">
    <w:name w:val="正文缩进 Char"/>
    <w:link w:val="946"/>
    <w:uiPriority w:val="0"/>
    <w:qFormat/>
    <w:rPr>
      <w:rFonts w:ascii="Times New Roman" w:hAnsi="Times New Roman"/>
      <w:sz w:val="21"/>
      <w:szCs w:val="24"/>
    </w:rPr>
  </w:style>
  <w:style w:type="paragraph" w:styleId="948" w:customStyle="1">
    <w:name w:val="题注1"/>
    <w:basedOn w:val="729"/>
    <w:next w:val="729"/>
    <w:uiPriority w:val="0"/>
    <w:qFormat/>
    <w:rPr>
      <w:rFonts w:ascii="Arial" w:hAnsi="Arial" w:eastAsia="黑体" w:cs="Arial"/>
      <w:sz w:val="20"/>
    </w:rPr>
  </w:style>
  <w:style w:type="paragraph" w:styleId="949" w:customStyle="1">
    <w:name w:val="索引 51"/>
    <w:basedOn w:val="729"/>
    <w:next w:val="729"/>
    <w:uiPriority w:val="0"/>
    <w:unhideWhenUsed/>
    <w:qFormat/>
    <w:pPr>
      <w:ind w:left="800"/>
    </w:pPr>
  </w:style>
  <w:style w:type="paragraph" w:styleId="950" w:customStyle="1">
    <w:name w:val="列表项目符号1"/>
    <w:basedOn w:val="729"/>
    <w:uiPriority w:val="0"/>
    <w:qFormat/>
    <w:pPr>
      <w:ind w:left="360" w:firstLine="200"/>
      <w:tabs>
        <w:tab w:val="left" w:pos="360" w:leader="none"/>
      </w:tabs>
    </w:pPr>
    <w:rPr>
      <w:rFonts w:hAnsi="宋体"/>
      <w:color w:val="000000"/>
      <w:spacing w:val="-8"/>
    </w:rPr>
  </w:style>
  <w:style w:type="paragraph" w:styleId="951" w:customStyle="1">
    <w:name w:val="文档结构图1"/>
    <w:basedOn w:val="729"/>
    <w:link w:val="952"/>
    <w:uiPriority w:val="0"/>
    <w:qFormat/>
    <w:pPr>
      <w:shd w:val="clear" w:color="auto" w:fill="000080"/>
    </w:pPr>
    <w:rPr>
      <w:sz w:val="20"/>
    </w:rPr>
  </w:style>
  <w:style w:type="character" w:styleId="952" w:customStyle="1">
    <w:name w:val="文档结构图 Char"/>
    <w:link w:val="951"/>
    <w:uiPriority w:val="0"/>
    <w:qFormat/>
    <w:rPr>
      <w:rFonts w:ascii="Times New Roman" w:hAnsi="Times New Roman" w:eastAsia="宋体" w:cs="Times New Roman"/>
      <w:szCs w:val="20"/>
      <w:shd w:val="clear" w:color="auto" w:fill="000080"/>
    </w:rPr>
  </w:style>
  <w:style w:type="paragraph" w:styleId="953" w:customStyle="1">
    <w:name w:val="批注文字1"/>
    <w:basedOn w:val="729"/>
    <w:link w:val="954"/>
    <w:uiPriority w:val="0"/>
    <w:qFormat/>
    <w:pPr>
      <w:jc w:val="left"/>
    </w:pPr>
    <w:rPr>
      <w:sz w:val="20"/>
      <w:szCs w:val="24"/>
    </w:rPr>
  </w:style>
  <w:style w:type="character" w:styleId="954" w:customStyle="1">
    <w:name w:val="批注文字 Char"/>
    <w:link w:val="953"/>
    <w:uiPriority w:val="0"/>
    <w:qFormat/>
    <w:rPr>
      <w:rFonts w:ascii="Times New Roman" w:hAnsi="Times New Roman" w:eastAsia="宋体" w:cs="Times New Roman"/>
      <w:szCs w:val="24"/>
    </w:rPr>
  </w:style>
  <w:style w:type="paragraph" w:styleId="955" w:customStyle="1">
    <w:name w:val="索引 61"/>
    <w:basedOn w:val="729"/>
    <w:next w:val="729"/>
    <w:uiPriority w:val="0"/>
    <w:qFormat/>
    <w:pPr>
      <w:ind w:left="1000"/>
    </w:pPr>
  </w:style>
  <w:style w:type="paragraph" w:styleId="956" w:customStyle="1">
    <w:name w:val="称呼1"/>
    <w:basedOn w:val="729"/>
    <w:next w:val="729"/>
    <w:link w:val="957"/>
    <w:uiPriority w:val="0"/>
    <w:qFormat/>
    <w:pPr>
      <w:ind w:firstLine="420"/>
      <w:spacing w:after="20" w:line="288" w:lineRule="auto"/>
    </w:pPr>
    <w:rPr>
      <w:sz w:val="28"/>
      <w:szCs w:val="24"/>
    </w:rPr>
  </w:style>
  <w:style w:type="character" w:styleId="957" w:customStyle="1">
    <w:name w:val="称呼 Char"/>
    <w:link w:val="956"/>
    <w:uiPriority w:val="0"/>
    <w:qFormat/>
    <w:rPr>
      <w:rFonts w:ascii="Times New Roman" w:hAnsi="Times New Roman"/>
      <w:sz w:val="28"/>
      <w:szCs w:val="24"/>
    </w:rPr>
  </w:style>
  <w:style w:type="paragraph" w:styleId="958" w:customStyle="1">
    <w:name w:val="正文文本 31"/>
    <w:basedOn w:val="729"/>
    <w:link w:val="959"/>
    <w:uiPriority w:val="0"/>
    <w:qFormat/>
    <w:pPr>
      <w:jc w:val="center"/>
      <w:spacing w:after="20" w:line="288" w:lineRule="auto"/>
    </w:pPr>
    <w:rPr>
      <w:b/>
      <w:bCs/>
      <w:sz w:val="24"/>
      <w:szCs w:val="24"/>
    </w:rPr>
  </w:style>
  <w:style w:type="character" w:styleId="959" w:customStyle="1">
    <w:name w:val="正文文本 3 Char"/>
    <w:link w:val="958"/>
    <w:uiPriority w:val="0"/>
    <w:qFormat/>
    <w:rPr>
      <w:rFonts w:ascii="Times New Roman" w:hAnsi="Times New Roman"/>
      <w:b/>
      <w:bCs/>
      <w:sz w:val="24"/>
      <w:szCs w:val="24"/>
    </w:rPr>
  </w:style>
  <w:style w:type="paragraph" w:styleId="960" w:customStyle="1">
    <w:name w:val="结束语1"/>
    <w:basedOn w:val="729"/>
    <w:link w:val="961"/>
    <w:uiPriority w:val="0"/>
    <w:qFormat/>
    <w:pPr>
      <w:ind w:left="100" w:firstLine="420"/>
      <w:spacing w:after="20" w:line="288" w:lineRule="auto"/>
    </w:pPr>
    <w:rPr>
      <w:sz w:val="28"/>
      <w:szCs w:val="24"/>
    </w:rPr>
  </w:style>
  <w:style w:type="character" w:styleId="961" w:customStyle="1">
    <w:name w:val="结束语 Char"/>
    <w:link w:val="960"/>
    <w:uiPriority w:val="0"/>
    <w:qFormat/>
    <w:rPr>
      <w:rFonts w:ascii="Times New Roman" w:hAnsi="Times New Roman"/>
      <w:sz w:val="28"/>
      <w:szCs w:val="24"/>
    </w:rPr>
  </w:style>
  <w:style w:type="paragraph" w:styleId="962" w:customStyle="1">
    <w:name w:val="正文文本1"/>
    <w:basedOn w:val="729"/>
    <w:next w:val="963"/>
    <w:link w:val="964"/>
    <w:uiPriority w:val="0"/>
    <w:qFormat/>
    <w:rPr>
      <w:rFonts w:ascii="华文中宋" w:eastAsia="华文中宋"/>
      <w:bCs/>
      <w:sz w:val="28"/>
    </w:rPr>
  </w:style>
  <w:style w:type="paragraph" w:styleId="963" w:customStyle="1">
    <w:name w:val="列表1"/>
    <w:basedOn w:val="729"/>
    <w:uiPriority w:val="0"/>
    <w:qFormat/>
    <w:pPr>
      <w:numPr>
        <w:ilvl w:val="0"/>
        <w:numId w:val="3"/>
      </w:numPr>
      <w:spacing w:after="20" w:line="288" w:lineRule="auto"/>
      <w:tabs>
        <w:tab w:val="left" w:pos="420" w:leader="none"/>
      </w:tabs>
    </w:pPr>
    <w:rPr>
      <w:rFonts w:ascii="Calibri" w:hAnsi="Calibri"/>
      <w:lang w:val="en-GB"/>
    </w:rPr>
  </w:style>
  <w:style w:type="character" w:styleId="964" w:customStyle="1">
    <w:name w:val="正文文本 Char"/>
    <w:link w:val="962"/>
    <w:uiPriority w:val="0"/>
    <w:qFormat/>
    <w:rPr>
      <w:rFonts w:ascii="华文中宋" w:hAnsi="Times New Roman" w:eastAsia="华文中宋" w:cs="Times New Roman"/>
      <w:bCs/>
      <w:sz w:val="28"/>
      <w:szCs w:val="20"/>
    </w:rPr>
  </w:style>
  <w:style w:type="paragraph" w:styleId="965" w:customStyle="1">
    <w:name w:val="正文文本缩进1"/>
    <w:basedOn w:val="729"/>
    <w:link w:val="966"/>
    <w:uiPriority w:val="0"/>
    <w:qFormat/>
    <w:pPr>
      <w:ind w:firstLine="576"/>
    </w:pPr>
    <w:rPr>
      <w:b/>
      <w:sz w:val="30"/>
    </w:rPr>
  </w:style>
  <w:style w:type="character" w:styleId="966" w:customStyle="1">
    <w:name w:val="正文文本缩进 Char"/>
    <w:link w:val="965"/>
    <w:uiPriority w:val="0"/>
    <w:qFormat/>
    <w:rPr>
      <w:rFonts w:ascii="Times New Roman" w:hAnsi="Times New Roman" w:eastAsia="宋体" w:cs="Times New Roman"/>
      <w:b/>
      <w:sz w:val="30"/>
      <w:szCs w:val="20"/>
    </w:rPr>
  </w:style>
  <w:style w:type="paragraph" w:styleId="967" w:customStyle="1">
    <w:name w:val="列表 21"/>
    <w:basedOn w:val="729"/>
    <w:uiPriority w:val="0"/>
    <w:qFormat/>
    <w:pPr>
      <w:ind w:left="840" w:hanging="420"/>
    </w:pPr>
    <w:rPr>
      <w:rFonts w:hAnsi="宋体"/>
      <w:color w:val="000000"/>
      <w:spacing w:val="-8"/>
    </w:rPr>
  </w:style>
  <w:style w:type="paragraph" w:styleId="968" w:customStyle="1">
    <w:name w:val="列表接续1"/>
    <w:basedOn w:val="729"/>
    <w:uiPriority w:val="0"/>
    <w:qFormat/>
    <w:pPr>
      <w:ind w:left="420" w:firstLine="448"/>
      <w:spacing w:after="120"/>
    </w:pPr>
    <w:rPr>
      <w:rFonts w:hAnsi="宋体"/>
      <w:color w:val="000000"/>
      <w:spacing w:val="-8"/>
    </w:rPr>
  </w:style>
  <w:style w:type="paragraph" w:styleId="969" w:customStyle="1">
    <w:name w:val="文本块1"/>
    <w:basedOn w:val="729"/>
    <w:uiPriority w:val="0"/>
    <w:qFormat/>
    <w:pPr>
      <w:ind w:left="420" w:right="33"/>
      <w:jc w:val="left"/>
    </w:pPr>
    <w:rPr>
      <w:sz w:val="24"/>
    </w:rPr>
  </w:style>
  <w:style w:type="paragraph" w:styleId="970" w:customStyle="1">
    <w:name w:val="列表项目符号 21"/>
    <w:basedOn w:val="729"/>
    <w:uiPriority w:val="0"/>
    <w:qFormat/>
    <w:pPr>
      <w:ind w:left="780" w:firstLine="200"/>
      <w:tabs>
        <w:tab w:val="left" w:pos="780" w:leader="none"/>
      </w:tabs>
    </w:pPr>
    <w:rPr>
      <w:rFonts w:hAnsi="宋体"/>
      <w:color w:val="000000"/>
      <w:spacing w:val="-8"/>
    </w:rPr>
  </w:style>
  <w:style w:type="paragraph" w:styleId="971" w:customStyle="1">
    <w:name w:val="索引 41"/>
    <w:basedOn w:val="729"/>
    <w:next w:val="729"/>
    <w:uiPriority w:val="0"/>
    <w:unhideWhenUsed/>
    <w:qFormat/>
    <w:pPr>
      <w:ind w:left="600"/>
    </w:pPr>
  </w:style>
  <w:style w:type="paragraph" w:styleId="972" w:customStyle="1">
    <w:name w:val="目录 51"/>
    <w:basedOn w:val="729"/>
    <w:next w:val="729"/>
    <w:uiPriority w:val="0"/>
    <w:qFormat/>
    <w:pPr>
      <w:ind w:left="840" w:firstLine="420"/>
      <w:jc w:val="left"/>
      <w:spacing w:line="288" w:lineRule="auto"/>
    </w:pPr>
    <w:rPr>
      <w:sz w:val="18"/>
      <w:szCs w:val="18"/>
    </w:rPr>
  </w:style>
  <w:style w:type="paragraph" w:styleId="973" w:customStyle="1">
    <w:name w:val="目录 31"/>
    <w:basedOn w:val="729"/>
    <w:next w:val="729"/>
    <w:uiPriority w:val="0"/>
    <w:qFormat/>
    <w:pPr>
      <w:ind w:left="420" w:firstLine="420"/>
      <w:jc w:val="left"/>
      <w:spacing w:line="288" w:lineRule="auto"/>
    </w:pPr>
    <w:rPr>
      <w:iCs/>
      <w:sz w:val="20"/>
    </w:rPr>
  </w:style>
  <w:style w:type="paragraph" w:styleId="974" w:customStyle="1">
    <w:name w:val="纯文本11"/>
    <w:basedOn w:val="729"/>
    <w:next w:val="729"/>
    <w:link w:val="975"/>
    <w:uiPriority w:val="0"/>
    <w:qFormat/>
    <w:rPr>
      <w:rFonts w:ascii="宋体" w:hAnsi="Courier New"/>
      <w:szCs w:val="21"/>
    </w:rPr>
  </w:style>
  <w:style w:type="character" w:styleId="975" w:customStyle="1">
    <w:name w:val="纯文本 Char"/>
    <w:link w:val="974"/>
    <w:uiPriority w:val="0"/>
    <w:qFormat/>
    <w:rPr>
      <w:rFonts w:ascii="宋体" w:hAnsi="Courier New"/>
      <w:sz w:val="21"/>
      <w:szCs w:val="21"/>
    </w:rPr>
  </w:style>
  <w:style w:type="paragraph" w:styleId="976" w:customStyle="1">
    <w:name w:val="列表项目符号 51"/>
    <w:basedOn w:val="729"/>
    <w:uiPriority w:val="0"/>
    <w:qFormat/>
    <w:pPr>
      <w:ind w:left="2040" w:hanging="360"/>
      <w:spacing w:line="360" w:lineRule="exact"/>
      <w:widowControl/>
      <w:tabs>
        <w:tab w:val="left" w:pos="2040" w:leader="none"/>
      </w:tabs>
    </w:pPr>
    <w:rPr>
      <w:rFonts w:eastAsia="楷体_GB2312"/>
      <w:sz w:val="24"/>
    </w:rPr>
  </w:style>
  <w:style w:type="paragraph" w:styleId="977" w:customStyle="1">
    <w:name w:val="目录 81"/>
    <w:basedOn w:val="729"/>
    <w:next w:val="729"/>
    <w:uiPriority w:val="0"/>
    <w:qFormat/>
    <w:pPr>
      <w:ind w:left="1470" w:firstLine="420"/>
      <w:jc w:val="left"/>
      <w:spacing w:line="288" w:lineRule="auto"/>
    </w:pPr>
    <w:rPr>
      <w:sz w:val="18"/>
      <w:szCs w:val="18"/>
    </w:rPr>
  </w:style>
  <w:style w:type="paragraph" w:styleId="978" w:customStyle="1">
    <w:name w:val="索引 31"/>
    <w:basedOn w:val="729"/>
    <w:next w:val="729"/>
    <w:uiPriority w:val="0"/>
    <w:qFormat/>
    <w:pPr>
      <w:ind w:left="400"/>
    </w:pPr>
  </w:style>
  <w:style w:type="paragraph" w:styleId="979" w:customStyle="1">
    <w:name w:val="日期1"/>
    <w:basedOn w:val="729"/>
    <w:next w:val="729"/>
    <w:link w:val="980"/>
    <w:uiPriority w:val="0"/>
    <w:qFormat/>
    <w:rPr>
      <w:rFonts w:eastAsia="黑体"/>
      <w:b/>
      <w:sz w:val="36"/>
    </w:rPr>
  </w:style>
  <w:style w:type="character" w:styleId="980" w:customStyle="1">
    <w:name w:val="日期 Char"/>
    <w:link w:val="979"/>
    <w:uiPriority w:val="0"/>
    <w:qFormat/>
    <w:rPr>
      <w:rFonts w:ascii="Times New Roman" w:hAnsi="Times New Roman" w:eastAsia="黑体" w:cs="Times New Roman"/>
      <w:b/>
      <w:sz w:val="36"/>
      <w:szCs w:val="20"/>
    </w:rPr>
  </w:style>
  <w:style w:type="paragraph" w:styleId="981" w:customStyle="1">
    <w:name w:val="正文文本缩进 21"/>
    <w:basedOn w:val="729"/>
    <w:link w:val="982"/>
    <w:uiPriority w:val="0"/>
    <w:qFormat/>
    <w:pPr>
      <w:ind w:left="900"/>
    </w:pPr>
    <w:rPr>
      <w:rFonts w:ascii="楷体_GB2312" w:eastAsia="楷体_GB2312"/>
      <w:b/>
      <w:sz w:val="28"/>
    </w:rPr>
  </w:style>
  <w:style w:type="character" w:styleId="982" w:customStyle="1">
    <w:name w:val="正文文本缩进 2 Char"/>
    <w:link w:val="981"/>
    <w:uiPriority w:val="0"/>
    <w:qFormat/>
    <w:rPr>
      <w:rFonts w:ascii="楷体_GB2312" w:hAnsi="Times New Roman" w:eastAsia="楷体_GB2312" w:cs="Times New Roman"/>
      <w:b/>
      <w:sz w:val="28"/>
      <w:szCs w:val="20"/>
    </w:rPr>
  </w:style>
  <w:style w:type="paragraph" w:styleId="983" w:customStyle="1">
    <w:name w:val="批注框文本1"/>
    <w:basedOn w:val="729"/>
    <w:link w:val="984"/>
    <w:uiPriority w:val="0"/>
    <w:unhideWhenUsed/>
    <w:qFormat/>
    <w:rPr>
      <w:sz w:val="18"/>
      <w:szCs w:val="18"/>
    </w:rPr>
  </w:style>
  <w:style w:type="character" w:styleId="984" w:customStyle="1">
    <w:name w:val="批注框文本 Char"/>
    <w:link w:val="983"/>
    <w:uiPriority w:val="0"/>
    <w:qFormat/>
    <w:rPr>
      <w:rFonts w:ascii="Times New Roman" w:hAnsi="Times New Roman" w:eastAsia="宋体" w:cs="Times New Roman"/>
      <w:sz w:val="18"/>
      <w:szCs w:val="18"/>
    </w:rPr>
  </w:style>
  <w:style w:type="paragraph" w:styleId="985" w:customStyle="1">
    <w:name w:val="页脚1"/>
    <w:basedOn w:val="729"/>
    <w:link w:val="986"/>
    <w:uiPriority w:val="99"/>
    <w:unhideWhenUsed/>
    <w:qFormat/>
    <w:pPr>
      <w:jc w:val="left"/>
      <w:tabs>
        <w:tab w:val="center" w:pos="4153" w:leader="none"/>
        <w:tab w:val="right" w:pos="8306" w:leader="none"/>
      </w:tabs>
    </w:pPr>
    <w:rPr>
      <w:sz w:val="18"/>
      <w:szCs w:val="18"/>
    </w:rPr>
  </w:style>
  <w:style w:type="character" w:styleId="986" w:customStyle="1">
    <w:name w:val="页脚 Char"/>
    <w:link w:val="985"/>
    <w:uiPriority w:val="99"/>
    <w:qFormat/>
    <w:rPr>
      <w:sz w:val="18"/>
      <w:szCs w:val="18"/>
    </w:rPr>
  </w:style>
  <w:style w:type="paragraph" w:styleId="987" w:customStyle="1">
    <w:name w:val="寄信人地址1"/>
    <w:basedOn w:val="729"/>
    <w:uiPriority w:val="99"/>
    <w:unhideWhenUsed/>
    <w:qFormat/>
    <w:rPr>
      <w:rFonts w:hint="eastAsia" w:ascii="Arial" w:hAnsi="Arial"/>
      <w:sz w:val="24"/>
      <w:szCs w:val="24"/>
    </w:rPr>
  </w:style>
  <w:style w:type="paragraph" w:styleId="988" w:customStyle="1">
    <w:name w:val="页眉11"/>
    <w:basedOn w:val="729"/>
    <w:link w:val="98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Char"/>
    <w:link w:val="988"/>
    <w:uiPriority w:val="99"/>
    <w:qFormat/>
    <w:rPr>
      <w:sz w:val="18"/>
      <w:szCs w:val="18"/>
    </w:rPr>
  </w:style>
  <w:style w:type="paragraph" w:styleId="990" w:customStyle="1">
    <w:name w:val="目录 11"/>
    <w:basedOn w:val="729"/>
    <w:next w:val="729"/>
    <w:uiPriority w:val="0"/>
    <w:qFormat/>
    <w:pPr>
      <w:spacing w:before="120" w:after="120" w:line="288" w:lineRule="auto"/>
      <w:tabs>
        <w:tab w:val="right" w:pos="8296" w:leader="dot"/>
      </w:tabs>
    </w:pPr>
    <w:rPr>
      <w:rFonts w:ascii="黑体" w:hAnsi="宋体" w:eastAsia="黑体"/>
      <w:caps/>
      <w:sz w:val="30"/>
      <w:szCs w:val="30"/>
    </w:rPr>
  </w:style>
  <w:style w:type="paragraph" w:styleId="991" w:customStyle="1">
    <w:name w:val="目录 41"/>
    <w:basedOn w:val="729"/>
    <w:next w:val="729"/>
    <w:uiPriority w:val="0"/>
    <w:qFormat/>
    <w:pPr>
      <w:ind w:left="630" w:firstLine="420"/>
      <w:jc w:val="left"/>
      <w:spacing w:line="288" w:lineRule="auto"/>
    </w:pPr>
    <w:rPr>
      <w:sz w:val="18"/>
      <w:szCs w:val="18"/>
    </w:rPr>
  </w:style>
  <w:style w:type="paragraph" w:styleId="992" w:customStyle="1">
    <w:name w:val="副标题1"/>
    <w:basedOn w:val="729"/>
    <w:next w:val="729"/>
    <w:link w:val="993"/>
    <w:uiPriority w:val="0"/>
    <w:qFormat/>
    <w:pPr>
      <w:jc w:val="left"/>
      <w:outlineLvl w:val="1"/>
    </w:pPr>
    <w:rPr>
      <w:rFonts w:ascii="Calibri Light" w:hAnsi="Calibri Light" w:eastAsia="仿宋"/>
      <w:b/>
      <w:bCs/>
      <w:sz w:val="28"/>
      <w:szCs w:val="32"/>
    </w:rPr>
  </w:style>
  <w:style w:type="character" w:styleId="993" w:customStyle="1">
    <w:name w:val="副标题 Char"/>
    <w:link w:val="992"/>
    <w:uiPriority w:val="0"/>
    <w:qFormat/>
    <w:rPr>
      <w:rFonts w:ascii="Calibri Light" w:hAnsi="Calibri Light" w:eastAsia="仿宋"/>
      <w:b/>
      <w:bCs/>
      <w:sz w:val="28"/>
      <w:szCs w:val="32"/>
    </w:rPr>
  </w:style>
  <w:style w:type="paragraph" w:styleId="994" w:customStyle="1">
    <w:name w:val="脚注文本1"/>
    <w:basedOn w:val="729"/>
    <w:next w:val="949"/>
    <w:link w:val="995"/>
    <w:uiPriority w:val="0"/>
    <w:qFormat/>
    <w:pPr>
      <w:ind w:firstLine="425"/>
      <w:jc w:val="left"/>
      <w:spacing w:before="120" w:line="360" w:lineRule="auto"/>
    </w:pPr>
    <w:rPr>
      <w:sz w:val="18"/>
    </w:rPr>
  </w:style>
  <w:style w:type="character" w:styleId="995" w:customStyle="1">
    <w:name w:val="脚注文本 Char"/>
    <w:link w:val="994"/>
    <w:uiPriority w:val="0"/>
    <w:qFormat/>
    <w:rPr>
      <w:rFonts w:ascii="Times New Roman" w:hAnsi="Times New Roman"/>
      <w:sz w:val="18"/>
    </w:rPr>
  </w:style>
  <w:style w:type="paragraph" w:styleId="996" w:customStyle="1">
    <w:name w:val="目录 61"/>
    <w:basedOn w:val="729"/>
    <w:next w:val="729"/>
    <w:uiPriority w:val="0"/>
    <w:qFormat/>
    <w:pPr>
      <w:ind w:left="1050" w:firstLine="420"/>
      <w:jc w:val="left"/>
      <w:spacing w:line="288" w:lineRule="auto"/>
    </w:pPr>
    <w:rPr>
      <w:sz w:val="18"/>
      <w:szCs w:val="18"/>
    </w:rPr>
  </w:style>
  <w:style w:type="paragraph" w:styleId="997" w:customStyle="1">
    <w:name w:val="列表 51"/>
    <w:basedOn w:val="729"/>
    <w:uiPriority w:val="0"/>
    <w:qFormat/>
    <w:pPr>
      <w:ind w:left="2100" w:hanging="420"/>
    </w:pPr>
    <w:rPr>
      <w:rFonts w:hAnsi="宋体"/>
      <w:color w:val="000000"/>
      <w:spacing w:val="-8"/>
    </w:rPr>
  </w:style>
  <w:style w:type="paragraph" w:styleId="998" w:customStyle="1">
    <w:name w:val="正文文本缩进 31"/>
    <w:basedOn w:val="729"/>
    <w:link w:val="999"/>
    <w:uiPriority w:val="0"/>
    <w:qFormat/>
    <w:pPr>
      <w:ind w:left="359" w:firstLine="359"/>
    </w:pPr>
    <w:rPr>
      <w:sz w:val="20"/>
    </w:rPr>
  </w:style>
  <w:style w:type="character" w:styleId="999" w:customStyle="1">
    <w:name w:val="正文文本缩进 3 Char"/>
    <w:link w:val="998"/>
    <w:uiPriority w:val="0"/>
    <w:qFormat/>
    <w:rPr>
      <w:rFonts w:ascii="Times New Roman" w:hAnsi="Times New Roman" w:eastAsia="宋体" w:cs="Times New Roman"/>
      <w:szCs w:val="20"/>
    </w:rPr>
  </w:style>
  <w:style w:type="paragraph" w:styleId="1000" w:customStyle="1">
    <w:name w:val="索引 71"/>
    <w:basedOn w:val="729"/>
    <w:next w:val="729"/>
    <w:uiPriority w:val="0"/>
    <w:qFormat/>
    <w:pPr>
      <w:ind w:left="1200"/>
    </w:pPr>
  </w:style>
  <w:style w:type="paragraph" w:styleId="1001" w:customStyle="1">
    <w:name w:val="索引 91"/>
    <w:basedOn w:val="729"/>
    <w:next w:val="729"/>
    <w:uiPriority w:val="0"/>
    <w:qFormat/>
    <w:pPr>
      <w:ind w:left="1600"/>
    </w:pPr>
  </w:style>
  <w:style w:type="paragraph" w:styleId="1002" w:customStyle="1">
    <w:name w:val="目录 21"/>
    <w:basedOn w:val="729"/>
    <w:next w:val="729"/>
    <w:uiPriority w:val="0"/>
    <w:qFormat/>
    <w:pPr>
      <w:ind w:left="210" w:firstLine="420"/>
      <w:jc w:val="left"/>
      <w:spacing w:line="288" w:lineRule="auto"/>
    </w:pPr>
    <w:rPr>
      <w:smallCaps/>
      <w:sz w:val="20"/>
    </w:rPr>
  </w:style>
  <w:style w:type="paragraph" w:styleId="1003" w:customStyle="1">
    <w:name w:val="目录 91"/>
    <w:basedOn w:val="729"/>
    <w:next w:val="729"/>
    <w:uiPriority w:val="0"/>
    <w:qFormat/>
    <w:pPr>
      <w:ind w:left="1680" w:firstLine="420"/>
      <w:jc w:val="left"/>
      <w:spacing w:line="288" w:lineRule="auto"/>
    </w:pPr>
    <w:rPr>
      <w:sz w:val="18"/>
      <w:szCs w:val="18"/>
    </w:rPr>
  </w:style>
  <w:style w:type="paragraph" w:styleId="1004" w:customStyle="1">
    <w:name w:val="正文文本 21"/>
    <w:basedOn w:val="729"/>
    <w:link w:val="1005"/>
    <w:uiPriority w:val="0"/>
    <w:qFormat/>
    <w:pPr>
      <w:spacing w:after="120" w:line="480" w:lineRule="auto"/>
    </w:pPr>
    <w:rPr>
      <w:sz w:val="20"/>
    </w:rPr>
  </w:style>
  <w:style w:type="character" w:styleId="1005" w:customStyle="1">
    <w:name w:val="正文文本 2 Char"/>
    <w:link w:val="1004"/>
    <w:uiPriority w:val="0"/>
    <w:qFormat/>
    <w:rPr>
      <w:rFonts w:ascii="Times New Roman" w:hAnsi="Times New Roman" w:eastAsia="宋体" w:cs="Times New Roman"/>
      <w:szCs w:val="20"/>
    </w:rPr>
  </w:style>
  <w:style w:type="paragraph" w:styleId="1006" w:customStyle="1">
    <w:name w:val="列表 41"/>
    <w:basedOn w:val="729"/>
    <w:uiPriority w:val="0"/>
    <w:qFormat/>
    <w:pPr>
      <w:ind w:left="1680" w:hanging="420"/>
    </w:pPr>
    <w:rPr>
      <w:rFonts w:hAnsi="宋体"/>
      <w:color w:val="000000"/>
      <w:spacing w:val="-8"/>
    </w:rPr>
  </w:style>
  <w:style w:type="paragraph" w:styleId="1007" w:customStyle="1">
    <w:name w:val="列表接续 21"/>
    <w:basedOn w:val="729"/>
    <w:uiPriority w:val="0"/>
    <w:qFormat/>
    <w:pPr>
      <w:ind w:left="840" w:firstLine="448"/>
      <w:spacing w:after="120"/>
    </w:pPr>
    <w:rPr>
      <w:rFonts w:hAnsi="宋体"/>
      <w:color w:val="000000"/>
      <w:spacing w:val="-8"/>
    </w:rPr>
  </w:style>
  <w:style w:type="paragraph" w:styleId="1008" w:customStyle="1">
    <w:name w:val="信息标题1"/>
    <w:basedOn w:val="962"/>
    <w:link w:val="1009"/>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009" w:customStyle="1">
    <w:name w:val="信息标题 Char"/>
    <w:link w:val="1008"/>
    <w:uiPriority w:val="0"/>
    <w:qFormat/>
    <w:rPr>
      <w:rFonts w:ascii="Garamond" w:hAnsi="Garamond"/>
      <w:color w:val="000000"/>
      <w:spacing w:val="-8"/>
      <w:sz w:val="18"/>
      <w:lang w:bidi="he-IL"/>
    </w:rPr>
  </w:style>
  <w:style w:type="paragraph" w:styleId="1010" w:customStyle="1">
    <w:name w:val="HTML 预设格式1"/>
    <w:basedOn w:val="729"/>
    <w:link w:val="101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11" w:customStyle="1">
    <w:name w:val="HTML 预设格式 Char"/>
    <w:link w:val="1010"/>
    <w:uiPriority w:val="0"/>
    <w:qFormat/>
    <w:rPr>
      <w:rFonts w:ascii="黑体" w:hAnsi="Courier New" w:eastAsia="黑体"/>
    </w:rPr>
  </w:style>
  <w:style w:type="paragraph" w:styleId="1012" w:customStyle="1">
    <w:name w:val="普通(网站)1"/>
    <w:basedOn w:val="729"/>
    <w:link w:val="1013"/>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13" w:customStyle="1">
    <w:name w:val="普通(网站) Char"/>
    <w:link w:val="1012"/>
    <w:uiPriority w:val="0"/>
    <w:qFormat/>
    <w:rPr>
      <w:rFonts w:ascii="宋体" w:hAnsi="宋体"/>
      <w:sz w:val="24"/>
      <w:szCs w:val="24"/>
    </w:rPr>
  </w:style>
  <w:style w:type="paragraph" w:styleId="1014" w:customStyle="1">
    <w:name w:val="列表接续 31"/>
    <w:basedOn w:val="729"/>
    <w:uiPriority w:val="0"/>
    <w:qFormat/>
    <w:pPr>
      <w:ind w:left="1260" w:firstLine="448"/>
      <w:spacing w:after="120"/>
    </w:pPr>
    <w:rPr>
      <w:rFonts w:hAnsi="宋体"/>
      <w:color w:val="000000"/>
      <w:spacing w:val="-8"/>
    </w:rPr>
  </w:style>
  <w:style w:type="paragraph" w:styleId="1015" w:customStyle="1">
    <w:name w:val="索引 11"/>
    <w:basedOn w:val="729"/>
    <w:next w:val="729"/>
    <w:uiPriority w:val="0"/>
    <w:qFormat/>
  </w:style>
  <w:style w:type="paragraph" w:styleId="1016" w:customStyle="1">
    <w:name w:val="索引 21"/>
    <w:basedOn w:val="729"/>
    <w:next w:val="729"/>
    <w:uiPriority w:val="0"/>
    <w:qFormat/>
    <w:pPr>
      <w:ind w:left="200"/>
    </w:pPr>
  </w:style>
  <w:style w:type="paragraph" w:styleId="1017" w:customStyle="1">
    <w:name w:val="标题1"/>
    <w:basedOn w:val="729"/>
    <w:link w:val="1018"/>
    <w:uiPriority w:val="10"/>
    <w:qFormat/>
    <w:pPr>
      <w:ind w:firstLine="420"/>
      <w:jc w:val="center"/>
      <w:spacing w:before="240" w:after="60" w:line="288" w:lineRule="auto"/>
      <w:outlineLvl w:val="0"/>
    </w:pPr>
    <w:rPr>
      <w:rFonts w:ascii="Arial" w:hAnsi="Arial"/>
      <w:b/>
      <w:bCs/>
      <w:sz w:val="32"/>
      <w:szCs w:val="32"/>
    </w:rPr>
  </w:style>
  <w:style w:type="character" w:styleId="1018" w:customStyle="1">
    <w:name w:val="标题 Char"/>
    <w:link w:val="1017"/>
    <w:uiPriority w:val="10"/>
    <w:qFormat/>
    <w:rPr>
      <w:rFonts w:ascii="Arial" w:hAnsi="Arial"/>
      <w:b/>
      <w:bCs/>
      <w:sz w:val="32"/>
      <w:szCs w:val="32"/>
    </w:rPr>
  </w:style>
  <w:style w:type="paragraph" w:styleId="1019" w:customStyle="1">
    <w:name w:val="批注主题1"/>
    <w:basedOn w:val="953"/>
    <w:next w:val="953"/>
    <w:link w:val="1020"/>
    <w:uiPriority w:val="0"/>
    <w:qFormat/>
    <w:rPr>
      <w:b/>
      <w:bCs/>
    </w:rPr>
  </w:style>
  <w:style w:type="character" w:styleId="1020" w:customStyle="1">
    <w:name w:val="批注主题 Char"/>
    <w:link w:val="1019"/>
    <w:uiPriority w:val="0"/>
    <w:qFormat/>
    <w:rPr>
      <w:rFonts w:ascii="Times New Roman" w:hAnsi="Times New Roman" w:eastAsia="宋体" w:cs="Times New Roman"/>
      <w:b/>
      <w:bCs/>
      <w:szCs w:val="24"/>
    </w:rPr>
  </w:style>
  <w:style w:type="paragraph" w:styleId="1021" w:customStyle="1">
    <w:name w:val="正文首行缩进1"/>
    <w:basedOn w:val="962"/>
    <w:link w:val="1022"/>
    <w:uiPriority w:val="0"/>
    <w:unhideWhenUsed/>
    <w:qFormat/>
    <w:pPr>
      <w:ind w:firstLine="420"/>
      <w:spacing w:after="120"/>
    </w:pPr>
    <w:rPr>
      <w:rFonts w:ascii="Times New Roman"/>
      <w:bCs w:val="0"/>
      <w:sz w:val="21"/>
    </w:rPr>
  </w:style>
  <w:style w:type="character" w:styleId="1022" w:customStyle="1">
    <w:name w:val="正文首行缩进 Char"/>
    <w:link w:val="1021"/>
    <w:uiPriority w:val="0"/>
    <w:qFormat/>
    <w:rPr>
      <w:rFonts w:ascii="Times New Roman" w:hAnsi="Times New Roman" w:eastAsia="华文中宋" w:cs="Times New Roman"/>
      <w:sz w:val="21"/>
      <w:szCs w:val="20"/>
    </w:rPr>
  </w:style>
  <w:style w:type="paragraph" w:styleId="1023" w:customStyle="1">
    <w:name w:val="正文首行缩进 21"/>
    <w:basedOn w:val="965"/>
    <w:link w:val="1024"/>
    <w:uiPriority w:val="0"/>
    <w:qFormat/>
    <w:pPr>
      <w:ind w:firstLine="210"/>
      <w:spacing w:after="120"/>
    </w:pPr>
    <w:rPr>
      <w:rFonts w:ascii="Cambria Math" w:hAnsi="新宋体" w:eastAsia="Cambria Math"/>
      <w:b w:val="0"/>
      <w:color w:val="000000"/>
      <w:spacing w:val="-8"/>
      <w:sz w:val="21"/>
    </w:rPr>
  </w:style>
  <w:style w:type="character" w:styleId="1024" w:customStyle="1">
    <w:name w:val="正文首行缩进 2 Char"/>
    <w:link w:val="1023"/>
    <w:uiPriority w:val="0"/>
    <w:qFormat/>
    <w:rPr>
      <w:rFonts w:ascii="Cambria Math" w:hAnsi="新宋体" w:eastAsia="Cambria Math" w:cs="Times New Roman"/>
      <w:color w:val="000000"/>
      <w:spacing w:val="-8"/>
      <w:sz w:val="21"/>
      <w:szCs w:val="20"/>
    </w:rPr>
  </w:style>
  <w:style w:type="table" w:styleId="1025" w:customStyle="1">
    <w:name w:val="网格型1"/>
    <w:basedOn w:val="933"/>
    <w:uiPriority w:val="0"/>
    <w:qFormat/>
    <w:tblPr/>
  </w:style>
  <w:style w:type="character" w:styleId="1026" w:customStyle="1">
    <w:name w:val="要点1"/>
    <w:link w:val="729"/>
    <w:uiPriority w:val="0"/>
    <w:qFormat/>
    <w:rPr>
      <w:rFonts w:cs="Times New Roman"/>
      <w:b/>
      <w:bCs/>
    </w:rPr>
  </w:style>
  <w:style w:type="character" w:styleId="1027" w:customStyle="1">
    <w:name w:val="页码1"/>
    <w:link w:val="729"/>
    <w:uiPriority w:val="0"/>
    <w:qFormat/>
    <w:rPr>
      <w:rFonts w:cs="Times New Roman"/>
    </w:rPr>
  </w:style>
  <w:style w:type="character" w:styleId="1028" w:customStyle="1">
    <w:name w:val="已访问的超链接1"/>
    <w:link w:val="729"/>
    <w:uiPriority w:val="0"/>
    <w:qFormat/>
    <w:rPr>
      <w:rFonts w:cs="Times New Roman"/>
      <w:color w:val="000000"/>
      <w:u w:val="none"/>
    </w:rPr>
  </w:style>
  <w:style w:type="character" w:styleId="1029" w:customStyle="1">
    <w:name w:val="强调1"/>
    <w:link w:val="729"/>
    <w:uiPriority w:val="0"/>
    <w:qFormat/>
    <w:rPr>
      <w:i/>
    </w:rPr>
  </w:style>
  <w:style w:type="character" w:styleId="1030" w:customStyle="1">
    <w:name w:val="HTML 打字机1"/>
    <w:link w:val="729"/>
    <w:uiPriority w:val="0"/>
    <w:qFormat/>
    <w:rPr>
      <w:rFonts w:ascii="宋体" w:hAnsi="宋体" w:eastAsia="宋体" w:cs="宋体"/>
      <w:sz w:val="24"/>
      <w:szCs w:val="24"/>
    </w:rPr>
  </w:style>
  <w:style w:type="character" w:styleId="1031" w:customStyle="1">
    <w:name w:val="超链接1"/>
    <w:link w:val="729"/>
    <w:uiPriority w:val="99"/>
    <w:qFormat/>
    <w:rPr>
      <w:color w:val="000000"/>
      <w:u w:val="none"/>
    </w:rPr>
  </w:style>
  <w:style w:type="character" w:styleId="1032" w:customStyle="1">
    <w:name w:val="批注引用1"/>
    <w:link w:val="729"/>
    <w:uiPriority w:val="0"/>
    <w:unhideWhenUsed/>
    <w:qFormat/>
    <w:rPr>
      <w:sz w:val="21"/>
      <w:szCs w:val="21"/>
    </w:rPr>
  </w:style>
  <w:style w:type="character" w:styleId="1033" w:customStyle="1">
    <w:name w:val="脚注引用1"/>
    <w:link w:val="729"/>
    <w:uiPriority w:val="0"/>
    <w:qFormat/>
    <w:rPr>
      <w:rFonts w:ascii="宋体" w:hAnsi="宋体" w:eastAsia="宋体"/>
      <w:vertAlign w:val="superscript"/>
    </w:rPr>
  </w:style>
  <w:style w:type="paragraph" w:styleId="1034" w:customStyle="1">
    <w:name w:val="列出段落"/>
    <w:basedOn w:val="729"/>
    <w:link w:val="1035"/>
    <w:uiPriority w:val="34"/>
    <w:qFormat/>
    <w:pPr>
      <w:ind w:firstLine="420"/>
    </w:pPr>
  </w:style>
  <w:style w:type="character" w:styleId="1035" w:customStyle="1">
    <w:name w:val="列出段落 Char1"/>
    <w:link w:val="1034"/>
    <w:uiPriority w:val="34"/>
    <w:qFormat/>
    <w:rPr>
      <w:rFonts w:ascii="Times New Roman" w:hAnsi="Times New Roman"/>
      <w:sz w:val="21"/>
    </w:rPr>
  </w:style>
  <w:style w:type="paragraph" w:styleId="1036" w:customStyle="1">
    <w:name w:val="段"/>
    <w:next w:val="729"/>
    <w:uiPriority w:val="0"/>
    <w:qFormat/>
    <w:pPr>
      <w:ind w:firstLine="200"/>
      <w:jc w:val="both"/>
    </w:pPr>
    <w:rPr>
      <w:rFonts w:hint="default" w:ascii="宋体" w:hAnsi="Times New Roman" w:eastAsia="宋体" w:cs="Times New Roman"/>
      <w:sz w:val="21"/>
      <w:lang w:val="en-US" w:eastAsia="zh-CN" w:bidi="ar-SA"/>
    </w:rPr>
  </w:style>
  <w:style w:type="character" w:styleId="1037" w:customStyle="1">
    <w:name w:val="日期 Char1"/>
    <w:link w:val="729"/>
    <w:uiPriority w:val="99"/>
    <w:semiHidden/>
    <w:qFormat/>
    <w:rPr>
      <w:rFonts w:ascii="Times New Roman" w:hAnsi="Times New Roman" w:eastAsia="宋体" w:cs="Times New Roman"/>
      <w:szCs w:val="20"/>
    </w:rPr>
  </w:style>
  <w:style w:type="character" w:styleId="1038" w:customStyle="1">
    <w:name w:val="正文文本缩进 Char1"/>
    <w:link w:val="729"/>
    <w:uiPriority w:val="99"/>
    <w:semiHidden/>
    <w:qFormat/>
    <w:rPr>
      <w:rFonts w:ascii="Times New Roman" w:hAnsi="Times New Roman" w:eastAsia="宋体" w:cs="Times New Roman"/>
      <w:szCs w:val="20"/>
    </w:rPr>
  </w:style>
  <w:style w:type="character" w:styleId="1039" w:customStyle="1">
    <w:name w:val="正文文本缩进 2 Char1"/>
    <w:link w:val="729"/>
    <w:uiPriority w:val="99"/>
    <w:semiHidden/>
    <w:qFormat/>
    <w:rPr>
      <w:rFonts w:ascii="Times New Roman" w:hAnsi="Times New Roman" w:eastAsia="宋体" w:cs="Times New Roman"/>
      <w:szCs w:val="20"/>
    </w:rPr>
  </w:style>
  <w:style w:type="character" w:styleId="1040" w:customStyle="1">
    <w:name w:val="正文文本缩进 3 Char1"/>
    <w:link w:val="729"/>
    <w:uiPriority w:val="99"/>
    <w:semiHidden/>
    <w:qFormat/>
    <w:rPr>
      <w:rFonts w:ascii="Times New Roman" w:hAnsi="Times New Roman" w:eastAsia="宋体" w:cs="Times New Roman"/>
      <w:sz w:val="16"/>
      <w:szCs w:val="16"/>
    </w:rPr>
  </w:style>
  <w:style w:type="paragraph" w:styleId="1041" w:customStyle="1">
    <w:name w:val="普通文字"/>
    <w:basedOn w:val="729"/>
    <w:next w:val="729"/>
    <w:uiPriority w:val="0"/>
    <w:qFormat/>
    <w:rPr>
      <w:rFonts w:ascii="宋体"/>
      <w:sz w:val="24"/>
    </w:rPr>
  </w:style>
  <w:style w:type="character" w:styleId="1042" w:customStyle="1">
    <w:name w:val="文档结构图 Char1"/>
    <w:link w:val="729"/>
    <w:uiPriority w:val="99"/>
    <w:semiHidden/>
    <w:qFormat/>
    <w:rPr>
      <w:rFonts w:ascii="宋体" w:hAnsi="Times New Roman" w:eastAsia="宋体" w:cs="Times New Roman"/>
      <w:sz w:val="18"/>
      <w:szCs w:val="18"/>
    </w:rPr>
  </w:style>
  <w:style w:type="character" w:styleId="1043" w:customStyle="1">
    <w:name w:val="正文文本 2 Char1"/>
    <w:link w:val="729"/>
    <w:uiPriority w:val="99"/>
    <w:semiHidden/>
    <w:qFormat/>
    <w:rPr>
      <w:rFonts w:ascii="Times New Roman" w:hAnsi="Times New Roman" w:eastAsia="宋体" w:cs="Times New Roman"/>
      <w:szCs w:val="20"/>
    </w:rPr>
  </w:style>
  <w:style w:type="character" w:styleId="1044" w:customStyle="1">
    <w:name w:val="批注框文本 Char1"/>
    <w:link w:val="729"/>
    <w:uiPriority w:val="99"/>
    <w:semiHidden/>
    <w:qFormat/>
    <w:rPr>
      <w:rFonts w:ascii="Times New Roman" w:hAnsi="Times New Roman" w:eastAsia="宋体" w:cs="Times New Roman"/>
      <w:sz w:val="18"/>
      <w:szCs w:val="18"/>
    </w:rPr>
  </w:style>
  <w:style w:type="paragraph" w:styleId="1045" w:customStyle="1">
    <w:name w:val="样式 小四 段前: 5 磅 段后: 5 磅 首行缩进:  2 字符"/>
    <w:basedOn w:val="729"/>
    <w:uiPriority w:val="0"/>
    <w:qFormat/>
    <w:pPr>
      <w:jc w:val="center"/>
      <w:spacing w:line="360" w:lineRule="auto"/>
    </w:pPr>
    <w:rPr>
      <w:rFonts w:ascii="宋体" w:hAnsi="宋体"/>
      <w:bCs/>
      <w:color w:val="ff0000"/>
      <w:sz w:val="24"/>
      <w:szCs w:val="24"/>
    </w:rPr>
  </w:style>
  <w:style w:type="paragraph" w:styleId="104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7" w:customStyle="1">
    <w:name w:val="列出段落1"/>
    <w:basedOn w:val="729"/>
    <w:uiPriority w:val="0"/>
    <w:qFormat/>
    <w:pPr>
      <w:ind w:firstLine="420"/>
    </w:pPr>
    <w:rPr>
      <w:rFonts w:ascii="Calibri" w:hAnsi="Calibri"/>
      <w:color w:val="000000"/>
      <w:spacing w:val="-8"/>
      <w:szCs w:val="22"/>
    </w:rPr>
  </w:style>
  <w:style w:type="paragraph" w:styleId="1048">
    <w:name w:val="List Paragraph"/>
    <w:basedOn w:val="729"/>
    <w:uiPriority w:val="34"/>
    <w:qFormat/>
    <w:pPr>
      <w:ind w:firstLine="420"/>
    </w:pPr>
    <w:rPr>
      <w:szCs w:val="21"/>
    </w:rPr>
  </w:style>
  <w:style w:type="paragraph" w:styleId="1049" w:customStyle="1">
    <w:name w:val="样式 表格正文 + 两端对齐"/>
    <w:basedOn w:val="729"/>
    <w:next w:val="1050"/>
    <w:uiPriority w:val="99"/>
    <w:qFormat/>
    <w:pPr>
      <w:spacing w:line="300" w:lineRule="auto"/>
    </w:pPr>
    <w:rPr>
      <w:rFonts w:ascii="Calibri" w:hAnsi="Calibri"/>
      <w:szCs w:val="24"/>
    </w:rPr>
  </w:style>
  <w:style w:type="paragraph" w:styleId="1050" w:customStyle="1">
    <w:name w:val="正文1"/>
    <w:basedOn w:val="951"/>
    <w:next w:val="729"/>
    <w:uiPriority w:val="0"/>
    <w:qFormat/>
    <w:pPr>
      <w:ind w:right="1"/>
      <w:spacing w:line="360" w:lineRule="auto"/>
    </w:pPr>
    <w:rPr>
      <w:rFonts w:ascii="宋体" w:hAnsi="宋体"/>
      <w:color w:val="000000"/>
      <w:sz w:val="24"/>
      <w:shd w:val="clear" w:color="auto" w:fill="000080"/>
      <w:lang w:val="en-US" w:eastAsia="zh-CN"/>
    </w:rPr>
  </w:style>
  <w:style w:type="paragraph" w:styleId="1051" w:customStyle="1">
    <w:name w:val="样式 首行缩进:  0 字符"/>
    <w:basedOn w:val="729"/>
    <w:uiPriority w:val="0"/>
    <w:qFormat/>
    <w:pPr>
      <w:spacing w:line="360" w:lineRule="auto"/>
    </w:pPr>
    <w:rPr>
      <w:rFonts w:ascii="Arial" w:hAnsi="Arial" w:cs="宋体"/>
      <w:sz w:val="24"/>
      <w:szCs w:val="24"/>
    </w:rPr>
  </w:style>
  <w:style w:type="character" w:styleId="1052" w:customStyle="1">
    <w:name w:val="bookmark-item"/>
    <w:link w:val="729"/>
    <w:uiPriority w:val="0"/>
    <w:qFormat/>
  </w:style>
  <w:style w:type="character" w:styleId="1053" w:customStyle="1">
    <w:name w:val="font61"/>
    <w:link w:val="729"/>
    <w:uiPriority w:val="0"/>
    <w:qFormat/>
    <w:rPr>
      <w:rFonts w:ascii="微软雅黑" w:hAnsi="微软雅黑" w:eastAsia="微软雅黑" w:cs="微软雅黑"/>
      <w:color w:val="000000"/>
      <w:sz w:val="22"/>
      <w:szCs w:val="22"/>
      <w:u w:val="none"/>
    </w:rPr>
  </w:style>
  <w:style w:type="paragraph" w:styleId="1054"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55" w:customStyle="1">
    <w:name w:val="font41"/>
    <w:link w:val="729"/>
    <w:uiPriority w:val="0"/>
    <w:qFormat/>
    <w:rPr>
      <w:rFonts w:ascii="微软雅黑" w:hAnsi="微软雅黑" w:eastAsia="微软雅黑" w:cs="微软雅黑"/>
      <w:b/>
      <w:color w:val="ff0000"/>
      <w:sz w:val="22"/>
      <w:szCs w:val="22"/>
      <w:u w:val="none"/>
    </w:rPr>
  </w:style>
  <w:style w:type="character" w:styleId="1056" w:customStyle="1">
    <w:name w:val="font71"/>
    <w:link w:val="729"/>
    <w:uiPriority w:val="0"/>
    <w:qFormat/>
    <w:rPr>
      <w:rFonts w:ascii="Calibri" w:hAnsi="Calibri" w:cs="Calibri"/>
      <w:color w:val="000000"/>
      <w:sz w:val="20"/>
      <w:szCs w:val="20"/>
      <w:u w:val="none"/>
    </w:rPr>
  </w:style>
  <w:style w:type="character" w:styleId="1057" w:customStyle="1">
    <w:name w:val="font01"/>
    <w:link w:val="729"/>
    <w:uiPriority w:val="0"/>
    <w:qFormat/>
    <w:rPr>
      <w:rFonts w:ascii="Tahoma" w:hAnsi="Tahoma" w:eastAsia="Tahoma" w:cs="Tahoma"/>
      <w:color w:val="333333"/>
      <w:sz w:val="20"/>
      <w:szCs w:val="20"/>
      <w:u w:val="none"/>
    </w:rPr>
  </w:style>
  <w:style w:type="character" w:styleId="1058" w:customStyle="1">
    <w:name w:val="font11"/>
    <w:link w:val="729"/>
    <w:uiPriority w:val="0"/>
    <w:qFormat/>
    <w:rPr>
      <w:rFonts w:hint="eastAsia" w:ascii="宋体" w:hAnsi="宋体" w:eastAsia="宋体" w:cs="宋体"/>
      <w:color w:val="333333"/>
      <w:sz w:val="20"/>
      <w:szCs w:val="20"/>
      <w:u w:val="none"/>
    </w:rPr>
  </w:style>
  <w:style w:type="character" w:styleId="1059" w:customStyle="1">
    <w:name w:val="font21"/>
    <w:link w:val="729"/>
    <w:uiPriority w:val="0"/>
    <w:qFormat/>
    <w:rPr>
      <w:rFonts w:hint="eastAsia" w:ascii="宋体" w:hAnsi="宋体" w:eastAsia="宋体" w:cs="宋体"/>
      <w:color w:val="333333"/>
      <w:sz w:val="20"/>
      <w:szCs w:val="20"/>
      <w:u w:val="none"/>
    </w:rPr>
  </w:style>
  <w:style w:type="paragraph" w:styleId="1060"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61" w:customStyle="1">
    <w:name w:val="无"/>
    <w:link w:val="729"/>
    <w:uiPriority w:val="0"/>
    <w:qFormat/>
  </w:style>
  <w:style w:type="paragraph" w:styleId="1062" w:customStyle="1">
    <w:name w:val="paragraph"/>
    <w:basedOn w:val="729"/>
    <w:uiPriority w:val="0"/>
    <w:qFormat/>
    <w:pPr>
      <w:jc w:val="left"/>
      <w:spacing w:before="100" w:beforeAutospacing="1" w:after="100" w:afterAutospacing="1"/>
      <w:widowControl/>
    </w:pPr>
    <w:rPr>
      <w:rFonts w:ascii="宋体" w:hAnsi="宋体" w:cs="宋体"/>
      <w:sz w:val="24"/>
      <w:szCs w:val="24"/>
    </w:rPr>
  </w:style>
  <w:style w:type="paragraph" w:styleId="1063"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64" w:customStyle="1">
    <w:name w:val="纯文本111"/>
    <w:basedOn w:val="729"/>
    <w:uiPriority w:val="0"/>
    <w:qFormat/>
    <w:pPr>
      <w:spacing w:line="360" w:lineRule="auto"/>
    </w:pPr>
    <w:rPr>
      <w:rFonts w:ascii="宋体" w:hAnsi="Courier New"/>
      <w:sz w:val="26"/>
      <w:szCs w:val="24"/>
    </w:rPr>
  </w:style>
  <w:style w:type="character" w:styleId="1065" w:customStyle="1">
    <w:name w:val="列出段落 Char"/>
    <w:link w:val="729"/>
    <w:uiPriority w:val="34"/>
    <w:qFormat/>
    <w:rPr>
      <w:rFonts w:ascii="Calibri" w:hAnsi="Calibri"/>
      <w:sz w:val="21"/>
      <w:szCs w:val="22"/>
    </w:rPr>
  </w:style>
  <w:style w:type="paragraph" w:styleId="1066" w:customStyle="1">
    <w:name w:val="纯文本1"/>
    <w:basedOn w:val="729"/>
    <w:uiPriority w:val="0"/>
    <w:qFormat/>
    <w:rPr>
      <w:rFonts w:ascii="宋体" w:hAnsi="Courier New" w:eastAsia="楷体_GB2312"/>
      <w:sz w:val="26"/>
    </w:rPr>
  </w:style>
  <w:style w:type="paragraph" w:styleId="1067" w:customStyle="1">
    <w:name w:val="正文文本首行缩进 2"/>
    <w:basedOn w:val="965"/>
    <w:uiPriority w:val="99"/>
    <w:qFormat/>
    <w:pPr>
      <w:ind w:left="156" w:firstLine="420"/>
      <w:spacing w:line="200" w:lineRule="atLeast"/>
      <w:widowControl/>
    </w:pPr>
    <w:rPr>
      <w:rFonts w:ascii="宋体" w:hAnsi="Courier New" w:eastAsia="仿宋_GB2312"/>
      <w:b w:val="0"/>
      <w:spacing w:val="-4"/>
      <w:sz w:val="18"/>
    </w:rPr>
  </w:style>
  <w:style w:type="character" w:styleId="1068" w:customStyle="1">
    <w:name w:val="Char Char15"/>
    <w:link w:val="729"/>
    <w:uiPriority w:val="0"/>
    <w:qFormat/>
    <w:rPr>
      <w:rFonts w:ascii="仿宋_GB2312" w:hAnsi="Times New Roman" w:eastAsia="宋体" w:cs="Times New Roman"/>
      <w:sz w:val="24"/>
      <w:szCs w:val="24"/>
      <w:shd w:val="clear" w:color="auto" w:fill="000080"/>
    </w:rPr>
  </w:style>
  <w:style w:type="character" w:styleId="1069" w:customStyle="1">
    <w:name w:val="apple-converted-space"/>
    <w:link w:val="729"/>
    <w:uiPriority w:val="0"/>
    <w:qFormat/>
  </w:style>
  <w:style w:type="character" w:styleId="1070" w:customStyle="1">
    <w:name w:val="font"/>
    <w:link w:val="729"/>
    <w:uiPriority w:val="0"/>
    <w:qFormat/>
  </w:style>
  <w:style w:type="character" w:styleId="1071" w:customStyle="1">
    <w:name w:val="Char Char9"/>
    <w:link w:val="729"/>
    <w:uiPriority w:val="0"/>
    <w:qFormat/>
    <w:rPr>
      <w:rFonts w:ascii="Cambria" w:hAnsi="Cambria" w:eastAsia="宋体" w:cs="Times New Roman"/>
      <w:b/>
      <w:bCs/>
      <w:sz w:val="32"/>
      <w:szCs w:val="32"/>
    </w:rPr>
  </w:style>
  <w:style w:type="character" w:styleId="1072" w:customStyle="1">
    <w:name w:val="Char Char7"/>
    <w:link w:val="729"/>
    <w:uiPriority w:val="0"/>
    <w:qFormat/>
    <w:rPr>
      <w:rFonts w:ascii="Times New Roman" w:hAnsi="Times New Roman" w:eastAsia="宋体" w:cs="Times New Roman"/>
      <w:b/>
      <w:bCs/>
      <w:szCs w:val="21"/>
    </w:rPr>
  </w:style>
  <w:style w:type="character" w:styleId="1073" w:customStyle="1">
    <w:name w:val="itm1"/>
    <w:link w:val="729"/>
    <w:uiPriority w:val="0"/>
    <w:qFormat/>
    <w:rPr>
      <w:rFonts w:hint="eastAsia" w:ascii="宋体" w:hAnsi="宋体" w:eastAsia="宋体"/>
      <w:sz w:val="21"/>
      <w:szCs w:val="21"/>
    </w:rPr>
  </w:style>
  <w:style w:type="character" w:styleId="1074" w:customStyle="1">
    <w:name w:val="Char Char4"/>
    <w:link w:val="729"/>
    <w:uiPriority w:val="0"/>
    <w:qFormat/>
    <w:rPr>
      <w:sz w:val="18"/>
      <w:szCs w:val="18"/>
    </w:rPr>
  </w:style>
  <w:style w:type="character" w:styleId="1075" w:customStyle="1">
    <w:name w:val="b"/>
    <w:link w:val="729"/>
    <w:uiPriority w:val="0"/>
    <w:qFormat/>
  </w:style>
  <w:style w:type="character" w:styleId="1076" w:customStyle="1">
    <w:name w:val="apple-style-span"/>
    <w:link w:val="729"/>
    <w:uiPriority w:val="0"/>
    <w:qFormat/>
  </w:style>
  <w:style w:type="character" w:styleId="1077" w:customStyle="1">
    <w:name w:val="Char Char13"/>
    <w:link w:val="729"/>
    <w:uiPriority w:val="0"/>
    <w:qFormat/>
    <w:rPr>
      <w:rFonts w:ascii="仿宋_GB2312" w:hAnsi="Times New Roman" w:eastAsia="宋体" w:cs="Times New Roman"/>
      <w:sz w:val="18"/>
      <w:szCs w:val="18"/>
    </w:rPr>
  </w:style>
  <w:style w:type="character" w:styleId="1078" w:customStyle="1">
    <w:name w:val="表格 Char"/>
    <w:link w:val="1079"/>
    <w:uiPriority w:val="0"/>
    <w:qFormat/>
    <w:rPr>
      <w:sz w:val="21"/>
      <w:szCs w:val="21"/>
    </w:rPr>
  </w:style>
  <w:style w:type="paragraph" w:styleId="1079" w:customStyle="1">
    <w:name w:val="表格"/>
    <w:basedOn w:val="729"/>
    <w:link w:val="1078"/>
    <w:uiPriority w:val="0"/>
    <w:qFormat/>
    <w:pPr>
      <w:jc w:val="center"/>
    </w:pPr>
    <w:rPr>
      <w:szCs w:val="21"/>
    </w:rPr>
  </w:style>
  <w:style w:type="character" w:styleId="1080" w:customStyle="1">
    <w:name w:val="标题 311"/>
    <w:link w:val="729"/>
    <w:uiPriority w:val="0"/>
    <w:qFormat/>
    <w:rPr>
      <w:rFonts w:hint="eastAsia" w:ascii="黑体" w:hAnsi="ˎ̥" w:eastAsia="黑体"/>
      <w:sz w:val="28"/>
    </w:rPr>
  </w:style>
  <w:style w:type="character" w:styleId="1081" w:customStyle="1">
    <w:name w:val="Char Char Char Char Char Char Char Char Char Char Char Char Char"/>
    <w:link w:val="729"/>
    <w:uiPriority w:val="0"/>
    <w:qFormat/>
    <w:rPr>
      <w:rFonts w:eastAsia="宋体"/>
      <w:b/>
      <w:bCs/>
      <w:sz w:val="32"/>
      <w:szCs w:val="44"/>
      <w:lang w:val="en-US" w:eastAsia="zh-CN" w:bidi="ar-SA"/>
    </w:rPr>
  </w:style>
  <w:style w:type="character" w:styleId="1082" w:customStyle="1">
    <w:name w:val="表格正文 Char Char"/>
    <w:link w:val="1083"/>
    <w:uiPriority w:val="0"/>
    <w:qFormat/>
    <w:rPr>
      <w:sz w:val="21"/>
      <w:szCs w:val="24"/>
    </w:rPr>
  </w:style>
  <w:style w:type="paragraph" w:styleId="1083" w:customStyle="1">
    <w:name w:val="表格正文"/>
    <w:basedOn w:val="729"/>
    <w:link w:val="1082"/>
    <w:uiPriority w:val="0"/>
    <w:qFormat/>
    <w:rPr>
      <w:szCs w:val="24"/>
    </w:rPr>
  </w:style>
  <w:style w:type="character" w:styleId="1084" w:customStyle="1">
    <w:name w:val="Char Char8"/>
    <w:link w:val="729"/>
    <w:uiPriority w:val="0"/>
    <w:qFormat/>
    <w:rPr>
      <w:rFonts w:ascii="Times New Roman" w:hAnsi="Times New Roman"/>
      <w:b/>
      <w:bCs/>
      <w:sz w:val="44"/>
      <w:szCs w:val="44"/>
    </w:rPr>
  </w:style>
  <w:style w:type="character" w:styleId="1085" w:customStyle="1">
    <w:name w:val="unnamed21"/>
    <w:link w:val="729"/>
    <w:uiPriority w:val="0"/>
    <w:qFormat/>
    <w:rPr>
      <w:b/>
      <w:bCs/>
      <w:color w:val="ff6600"/>
      <w:sz w:val="21"/>
      <w:szCs w:val="21"/>
      <w:u w:val="none"/>
    </w:rPr>
  </w:style>
  <w:style w:type="character" w:styleId="1086" w:customStyle="1">
    <w:name w:val="tw4winTerm"/>
    <w:link w:val="729"/>
    <w:uiPriority w:val="0"/>
    <w:qFormat/>
    <w:rPr>
      <w:color w:val="0000ff"/>
    </w:rPr>
  </w:style>
  <w:style w:type="character" w:styleId="1087" w:customStyle="1">
    <w:name w:val="正文 + 宋体 Char"/>
    <w:link w:val="1088"/>
    <w:uiPriority w:val="0"/>
    <w:qFormat/>
    <w:rPr>
      <w:rFonts w:ascii="新宋体" w:hAnsi="宋体" w:eastAsia="黑体"/>
      <w:b/>
      <w:bCs/>
      <w:sz w:val="28"/>
      <w:szCs w:val="28"/>
    </w:rPr>
  </w:style>
  <w:style w:type="paragraph" w:styleId="1088" w:customStyle="1">
    <w:name w:val="正文 + 宋体"/>
    <w:basedOn w:val="923"/>
    <w:link w:val="1087"/>
    <w:uiPriority w:val="0"/>
    <w:qFormat/>
    <w:pPr>
      <w:ind w:left="-51"/>
      <w:keepLines/>
      <w:spacing w:before="120" w:after="120"/>
      <w:widowControl/>
      <w:tabs>
        <w:tab w:val="left" w:pos="1800" w:leader="none"/>
      </w:tabs>
    </w:pPr>
    <w:rPr>
      <w:rFonts w:ascii="新宋体" w:hAnsi="宋体" w:eastAsia="黑体"/>
      <w:bCs/>
      <w:szCs w:val="28"/>
    </w:rPr>
  </w:style>
  <w:style w:type="character" w:styleId="1089" w:customStyle="1">
    <w:name w:val="text_list1"/>
    <w:link w:val="729"/>
    <w:uiPriority w:val="0"/>
    <w:qFormat/>
    <w:rPr>
      <w:rFonts w:ascii="Arial" w:hAnsi="Arial" w:cs="Arial"/>
      <w:color w:val="000000"/>
      <w:spacing w:val="272"/>
      <w:sz w:val="16"/>
      <w:szCs w:val="16"/>
    </w:rPr>
  </w:style>
  <w:style w:type="character" w:styleId="1090" w:customStyle="1">
    <w:name w:val="样式 三号 下划线"/>
    <w:link w:val="729"/>
    <w:uiPriority w:val="0"/>
    <w:qFormat/>
    <w:rPr>
      <w:sz w:val="28"/>
      <w:u w:val="single"/>
    </w:rPr>
  </w:style>
  <w:style w:type="character" w:styleId="1091" w:customStyle="1">
    <w:name w:val="普通(网站) 字符"/>
    <w:link w:val="729"/>
    <w:uiPriority w:val="0"/>
    <w:qFormat/>
    <w:rPr>
      <w:rFonts w:ascii="宋体" w:hAnsi="宋体" w:cs="宋体"/>
      <w:sz w:val="24"/>
      <w:szCs w:val="24"/>
    </w:rPr>
  </w:style>
  <w:style w:type="character" w:styleId="1092" w:customStyle="1">
    <w:name w:val="Char Char14"/>
    <w:link w:val="729"/>
    <w:uiPriority w:val="0"/>
    <w:qFormat/>
    <w:rPr>
      <w:rFonts w:ascii="楷体_GB2312" w:hAnsi="Arial" w:eastAsia="楷体_GB2312" w:cs="Times New Roman"/>
      <w:sz w:val="28"/>
      <w:szCs w:val="24"/>
    </w:rPr>
  </w:style>
  <w:style w:type="character" w:styleId="1093" w:customStyle="1">
    <w:name w:val="普通正文 Char Char"/>
    <w:link w:val="1094"/>
    <w:uiPriority w:val="0"/>
    <w:qFormat/>
    <w:rPr>
      <w:rFonts w:ascii="Arial" w:hAnsi="Arial"/>
      <w:sz w:val="24"/>
      <w:szCs w:val="24"/>
    </w:rPr>
  </w:style>
  <w:style w:type="paragraph" w:styleId="1094" w:customStyle="1">
    <w:name w:val="普通正文"/>
    <w:basedOn w:val="729"/>
    <w:link w:val="1093"/>
    <w:uiPriority w:val="0"/>
    <w:qFormat/>
    <w:pPr>
      <w:ind w:firstLine="480"/>
      <w:spacing w:before="120" w:after="120" w:line="500" w:lineRule="exact"/>
    </w:pPr>
    <w:rPr>
      <w:rFonts w:ascii="Arial" w:hAnsi="Arial"/>
      <w:sz w:val="24"/>
      <w:szCs w:val="24"/>
    </w:rPr>
  </w:style>
  <w:style w:type="character" w:styleId="1095" w:customStyle="1">
    <w:name w:val="正文文本 Char Char"/>
    <w:link w:val="729"/>
    <w:uiPriority w:val="0"/>
    <w:qFormat/>
    <w:rPr>
      <w:rFonts w:ascii="楷体_GB2312" w:hAnsi="Arial" w:eastAsia="楷体_GB2312" w:cs="Times New Roman"/>
      <w:sz w:val="28"/>
      <w:szCs w:val="28"/>
    </w:rPr>
  </w:style>
  <w:style w:type="character" w:styleId="1096" w:customStyle="1">
    <w:name w:val="+正文 Char3"/>
    <w:link w:val="1097"/>
    <w:uiPriority w:val="0"/>
    <w:qFormat/>
    <w:rPr>
      <w:sz w:val="24"/>
      <w:szCs w:val="28"/>
    </w:rPr>
  </w:style>
  <w:style w:type="paragraph" w:styleId="1097" w:customStyle="1">
    <w:name w:val="+正文"/>
    <w:basedOn w:val="729"/>
    <w:link w:val="1096"/>
    <w:uiPriority w:val="0"/>
    <w:qFormat/>
    <w:pPr>
      <w:ind w:firstLine="200"/>
      <w:spacing w:line="360" w:lineRule="auto"/>
    </w:pPr>
    <w:rPr>
      <w:sz w:val="24"/>
      <w:szCs w:val="28"/>
    </w:rPr>
  </w:style>
  <w:style w:type="character" w:styleId="1098" w:customStyle="1">
    <w:name w:val="style331"/>
    <w:link w:val="729"/>
    <w:uiPriority w:val="0"/>
    <w:qFormat/>
    <w:rPr>
      <w:color w:val="9900ff"/>
      <w:sz w:val="18"/>
      <w:szCs w:val="18"/>
    </w:rPr>
  </w:style>
  <w:style w:type="character" w:styleId="1099" w:customStyle="1">
    <w:name w:val="一般文字 字元 Char"/>
    <w:link w:val="729"/>
    <w:uiPriority w:val="0"/>
    <w:qFormat/>
    <w:rPr>
      <w:rFonts w:ascii="宋体" w:hAnsi="Courier New" w:eastAsia="宋体"/>
      <w:sz w:val="21"/>
      <w:lang w:val="en-US" w:eastAsia="zh-CN" w:bidi="ar-SA"/>
    </w:rPr>
  </w:style>
  <w:style w:type="character" w:styleId="1100" w:customStyle="1">
    <w:name w:val="正文缩进 Char1"/>
    <w:link w:val="729"/>
    <w:uiPriority w:val="0"/>
    <w:qFormat/>
    <w:rPr>
      <w:rFonts w:eastAsia="楷体_GB2312"/>
      <w:sz w:val="24"/>
      <w:lang w:val="en-US" w:eastAsia="zh-CN" w:bidi="ar-SA"/>
    </w:rPr>
  </w:style>
  <w:style w:type="character" w:styleId="1101" w:customStyle="1">
    <w:name w:val="纯文本 Char1"/>
    <w:link w:val="729"/>
    <w:uiPriority w:val="0"/>
    <w:semiHidden/>
    <w:qFormat/>
    <w:rPr>
      <w:rFonts w:ascii="宋体" w:hAnsi="Courier New" w:eastAsia="宋体"/>
    </w:rPr>
  </w:style>
  <w:style w:type="paragraph" w:styleId="1102" w:customStyle="1">
    <w:name w:val="图形"/>
    <w:basedOn w:val="729"/>
    <w:uiPriority w:val="0"/>
    <w:qFormat/>
    <w:pPr>
      <w:ind w:firstLine="420"/>
      <w:jc w:val="center"/>
      <w:spacing w:after="20" w:line="288" w:lineRule="auto"/>
    </w:pPr>
    <w:rPr>
      <w:szCs w:val="24"/>
    </w:rPr>
  </w:style>
  <w:style w:type="paragraph" w:styleId="1103" w:customStyle="1">
    <w:name w:val="xl45"/>
    <w:basedOn w:val="72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04" w:customStyle="1">
    <w:name w:val="回信地址"/>
    <w:basedOn w:val="729"/>
    <w:uiPriority w:val="0"/>
    <w:qFormat/>
    <w:pPr>
      <w:ind w:right="-120" w:firstLine="420"/>
      <w:jc w:val="left"/>
      <w:keepLines/>
      <w:spacing w:after="20" w:line="200" w:lineRule="atLeast"/>
      <w:widowControl/>
    </w:pPr>
    <w:rPr>
      <w:sz w:val="16"/>
    </w:rPr>
  </w:style>
  <w:style w:type="paragraph" w:styleId="1105" w:customStyle="1">
    <w:name w:val="xl46"/>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106" w:customStyle="1">
    <w:name w:val="xl36"/>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07" w:customStyle="1">
    <w:name w:val="表中"/>
    <w:basedOn w:val="729"/>
    <w:uiPriority w:val="0"/>
    <w:qFormat/>
    <w:pPr>
      <w:jc w:val="center"/>
      <w:spacing w:line="360" w:lineRule="atLeast"/>
    </w:pPr>
  </w:style>
  <w:style w:type="paragraph" w:styleId="1108" w:customStyle="1">
    <w:name w:val="Char"/>
    <w:basedOn w:val="729"/>
    <w:uiPriority w:val="0"/>
    <w:qFormat/>
    <w:rPr>
      <w:rFonts w:ascii="仿宋_GB2312" w:eastAsia="仿宋_GB2312"/>
      <w:b/>
      <w:sz w:val="32"/>
      <w:szCs w:val="32"/>
    </w:rPr>
  </w:style>
  <w:style w:type="paragraph" w:styleId="1109" w:customStyle="1">
    <w:name w:val="font6"/>
    <w:basedOn w:val="729"/>
    <w:uiPriority w:val="0"/>
    <w:qFormat/>
    <w:pPr>
      <w:ind w:firstLine="420"/>
      <w:jc w:val="left"/>
      <w:spacing w:before="100" w:beforeAutospacing="1" w:after="100" w:afterAutospacing="1" w:line="288" w:lineRule="auto"/>
      <w:widowControl/>
    </w:pPr>
    <w:rPr>
      <w:sz w:val="24"/>
      <w:szCs w:val="24"/>
    </w:rPr>
  </w:style>
  <w:style w:type="paragraph" w:styleId="1110" w:customStyle="1">
    <w:name w:val="xl40"/>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11" w:customStyle="1">
    <w:name w:val="xl37"/>
    <w:basedOn w:val="72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112"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113" w:customStyle="1">
    <w:name w:val="样式 纯文本 + 楷体_GB2312 小四 行距: 固定值 20 磅1"/>
    <w:basedOn w:val="974"/>
    <w:uiPriority w:val="0"/>
    <w:qFormat/>
    <w:pPr>
      <w:ind w:firstLine="200"/>
      <w:spacing w:line="400" w:lineRule="exact"/>
    </w:pPr>
    <w:rPr>
      <w:rFonts w:ascii="楷体_GB2312" w:eastAsia="楷体_GB2312"/>
      <w:sz w:val="24"/>
      <w:szCs w:val="20"/>
    </w:rPr>
  </w:style>
  <w:style w:type="paragraph" w:styleId="1114" w:customStyle="1">
    <w:name w:val="页眉1"/>
    <w:basedOn w:val="729"/>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115" w:customStyle="1">
    <w:name w:val="yyn"/>
    <w:basedOn w:val="729"/>
    <w:uiPriority w:val="0"/>
    <w:qFormat/>
    <w:pPr>
      <w:ind w:right="562" w:firstLine="576"/>
      <w:keepNext/>
      <w:spacing w:line="360" w:lineRule="auto"/>
      <w:widowControl/>
    </w:pPr>
    <w:rPr>
      <w:rFonts w:ascii="宋体"/>
      <w:sz w:val="28"/>
    </w:rPr>
  </w:style>
  <w:style w:type="paragraph" w:styleId="1116" w:customStyle="1">
    <w:name w:val="标题2"/>
    <w:basedOn w:val="924"/>
    <w:next w:val="729"/>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117" w:customStyle="1">
    <w:name w:val="样式3"/>
    <w:basedOn w:val="974"/>
    <w:uiPriority w:val="0"/>
    <w:qFormat/>
    <w:pPr>
      <w:ind w:firstLine="448"/>
    </w:pPr>
    <w:rPr>
      <w:rFonts w:cs="Courier New"/>
      <w:color w:val="000000"/>
      <w:spacing w:val="-8"/>
    </w:rPr>
  </w:style>
  <w:style w:type="paragraph" w:styleId="1118" w:customStyle="1">
    <w:name w:val="xl44"/>
    <w:basedOn w:val="729"/>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19" w:customStyle="1">
    <w:name w:val="附录1层"/>
    <w:basedOn w:val="729"/>
    <w:next w:val="729"/>
    <w:uiPriority w:val="0"/>
    <w:qFormat/>
    <w:pPr>
      <w:ind w:firstLine="448"/>
      <w:jc w:val="center"/>
      <w:spacing w:line="440" w:lineRule="exact"/>
    </w:pPr>
    <w:rPr>
      <w:rFonts w:ascii="黑体" w:hAnsi="宋体" w:eastAsia="黑体"/>
      <w:color w:val="000000"/>
      <w:spacing w:val="-8"/>
      <w:sz w:val="24"/>
    </w:rPr>
  </w:style>
  <w:style w:type="paragraph" w:styleId="1120" w:customStyle="1">
    <w:name w:val="正文1)"/>
    <w:basedOn w:val="729"/>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21" w:customStyle="1">
    <w:name w:val="标题0"/>
    <w:basedOn w:val="1017"/>
    <w:next w:val="1017"/>
    <w:uiPriority w:val="0"/>
    <w:qFormat/>
    <w:rPr>
      <w:sz w:val="52"/>
    </w:rPr>
  </w:style>
  <w:style w:type="paragraph" w:styleId="1122" w:customStyle="1">
    <w:name w:val="Table Paragraph"/>
    <w:basedOn w:val="729"/>
    <w:uiPriority w:val="1"/>
    <w:qFormat/>
    <w:rPr>
      <w:rFonts w:ascii="宋体" w:hAnsi="宋体" w:cs="宋体"/>
      <w:szCs w:val="24"/>
      <w:lang w:val="zh-CN" w:bidi="zh-CN"/>
    </w:rPr>
  </w:style>
  <w:style w:type="paragraph" w:styleId="1123" w:customStyle="1">
    <w:name w:val="xl49"/>
    <w:basedOn w:val="729"/>
    <w:uiPriority w:val="0"/>
    <w:qFormat/>
    <w:pPr>
      <w:jc w:val="center"/>
      <w:spacing w:before="100" w:beforeAutospacing="1" w:after="100" w:afterAutospacing="1"/>
      <w:widowControl/>
    </w:pPr>
    <w:rPr>
      <w:rFonts w:ascii="宋体" w:hAnsi="宋体"/>
      <w:b/>
      <w:bCs/>
      <w:color w:val="000000"/>
      <w:sz w:val="40"/>
      <w:szCs w:val="40"/>
    </w:rPr>
  </w:style>
  <w:style w:type="paragraph" w:styleId="1124" w:customStyle="1">
    <w:name w:val="table_lines"/>
    <w:basedOn w:val="729"/>
    <w:uiPriority w:val="0"/>
    <w:qFormat/>
    <w:pPr>
      <w:jc w:val="left"/>
      <w:widowControl/>
    </w:pPr>
    <w:rPr>
      <w:sz w:val="20"/>
      <w:lang w:val="de-DE" w:eastAsia="de-DE"/>
    </w:rPr>
  </w:style>
  <w:style w:type="paragraph" w:styleId="1125" w:customStyle="1">
    <w:name w:val="font7"/>
    <w:basedOn w:val="729"/>
    <w:uiPriority w:val="0"/>
    <w:qFormat/>
    <w:pPr>
      <w:ind w:firstLine="420"/>
      <w:jc w:val="left"/>
      <w:spacing w:before="100" w:beforeAutospacing="1" w:after="100" w:afterAutospacing="1" w:line="288" w:lineRule="auto"/>
      <w:widowControl/>
    </w:pPr>
    <w:rPr>
      <w:b/>
      <w:bCs/>
      <w:sz w:val="24"/>
      <w:szCs w:val="24"/>
    </w:rPr>
  </w:style>
  <w:style w:type="paragraph" w:styleId="1126" w:customStyle="1">
    <w:name w:val="xl33"/>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7" w:customStyle="1">
    <w:name w:val="正文(缩进)"/>
    <w:basedOn w:val="729"/>
    <w:uiPriority w:val="0"/>
    <w:qFormat/>
    <w:pPr>
      <w:ind w:firstLine="200"/>
      <w:spacing w:line="360" w:lineRule="auto"/>
      <w:widowControl/>
    </w:pPr>
    <w:rPr>
      <w:rFonts w:eastAsia="仿宋_GB2312"/>
      <w:sz w:val="24"/>
    </w:rPr>
  </w:style>
  <w:style w:type="paragraph" w:styleId="1128" w:customStyle="1">
    <w:name w:val="样式1"/>
    <w:basedOn w:val="926"/>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29" w:customStyle="1">
    <w:name w:val="并列项-点"/>
    <w:basedOn w:val="729"/>
    <w:uiPriority w:val="0"/>
    <w:qFormat/>
    <w:pPr>
      <w:ind w:left="851" w:hanging="284"/>
      <w:spacing w:before="120" w:line="360" w:lineRule="auto"/>
      <w:widowControl/>
      <w:tabs>
        <w:tab w:val="left" w:pos="851" w:leader="none"/>
        <w:tab w:val="left" w:pos="927" w:leader="none"/>
      </w:tabs>
    </w:pPr>
    <w:rPr>
      <w:sz w:val="24"/>
    </w:rPr>
  </w:style>
  <w:style w:type="paragraph" w:styleId="1130" w:customStyle="1">
    <w:name w:val="表蕊"/>
    <w:basedOn w:val="729"/>
    <w:uiPriority w:val="0"/>
    <w:qFormat/>
    <w:pPr>
      <w:jc w:val="left"/>
      <w:spacing w:line="320" w:lineRule="atLeast"/>
    </w:pPr>
    <w:rPr>
      <w:rFonts w:eastAsia="楷体_GB2312"/>
      <w:spacing w:val="-10"/>
    </w:rPr>
  </w:style>
  <w:style w:type="paragraph" w:styleId="1131" w:customStyle="1">
    <w:name w:val="正文缩进1"/>
    <w:basedOn w:val="729"/>
    <w:uiPriority w:val="99"/>
    <w:qFormat/>
    <w:pPr>
      <w:ind w:firstLine="200"/>
      <w:jc w:val="left"/>
      <w:spacing w:line="360" w:lineRule="auto"/>
      <w:widowControl/>
    </w:pPr>
    <w:rPr>
      <w:rFonts w:eastAsia="华文细黑"/>
      <w:sz w:val="24"/>
      <w:szCs w:val="21"/>
    </w:rPr>
  </w:style>
  <w:style w:type="paragraph" w:styleId="1132" w:customStyle="1">
    <w:name w:val="font5"/>
    <w:basedOn w:val="729"/>
    <w:uiPriority w:val="0"/>
    <w:qFormat/>
    <w:pPr>
      <w:jc w:val="left"/>
      <w:spacing w:before="100" w:beforeAutospacing="1" w:after="100" w:afterAutospacing="1"/>
      <w:widowControl/>
    </w:pPr>
    <w:rPr>
      <w:rFonts w:hint="eastAsia" w:ascii="宋体" w:hAnsi="宋体"/>
      <w:sz w:val="18"/>
      <w:szCs w:val="18"/>
    </w:rPr>
  </w:style>
  <w:style w:type="paragraph" w:styleId="1133" w:customStyle="1">
    <w:name w:val="产品型号"/>
    <w:basedOn w:val="729"/>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34" w:customStyle="1">
    <w:name w:val="xl41"/>
    <w:basedOn w:val="729"/>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35" w:customStyle="1">
    <w:name w:val="xl39"/>
    <w:basedOn w:val="7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36" w:customStyle="1">
    <w:name w:val="名词解释11"/>
    <w:basedOn w:val="1137"/>
    <w:uiPriority w:val="0"/>
    <w:qFormat/>
    <w:pPr>
      <w:ind w:firstLine="0"/>
      <w:spacing w:after="0"/>
    </w:pPr>
  </w:style>
  <w:style w:type="paragraph" w:styleId="1137" w:customStyle="1">
    <w:name w:val="名词解释"/>
    <w:basedOn w:val="729"/>
    <w:uiPriority w:val="0"/>
    <w:qFormat/>
    <w:pPr>
      <w:ind w:left="2325" w:hanging="2325"/>
      <w:spacing w:after="20" w:line="288" w:lineRule="auto"/>
    </w:pPr>
  </w:style>
  <w:style w:type="paragraph" w:styleId="1138" w:customStyle="1">
    <w:name w:val="xl51"/>
    <w:basedOn w:val="729"/>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39" w:customStyle="1">
    <w:name w:val="xl26"/>
    <w:basedOn w:val="729"/>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40" w:customStyle="1">
    <w:name w:val="xl38"/>
    <w:basedOn w:val="729"/>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41" w:customStyle="1">
    <w:name w:val="办公自动化专用正文"/>
    <w:basedOn w:val="729"/>
    <w:uiPriority w:val="0"/>
    <w:qFormat/>
    <w:pPr>
      <w:ind w:firstLine="624"/>
      <w:spacing w:line="500" w:lineRule="atLeast"/>
    </w:pPr>
    <w:rPr>
      <w:rFonts w:hAnsi="宋体" w:eastAsia="楷体_GB2312"/>
      <w:color w:val="000000"/>
      <w:spacing w:val="-8"/>
      <w:sz w:val="32"/>
    </w:rPr>
  </w:style>
  <w:style w:type="paragraph" w:styleId="1142" w:customStyle="1">
    <w:name w:val="样式 标题 2标题 2 Char Char + (西文) 仿宋_GB2312"/>
    <w:basedOn w:val="924"/>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43" w:customStyle="1">
    <w:name w:val="章标题"/>
    <w:next w:val="729"/>
    <w:uiPriority w:val="0"/>
    <w:qFormat/>
    <w:pPr>
      <w:jc w:val="both"/>
      <w:outlineLvl w:val="1"/>
    </w:pPr>
    <w:rPr>
      <w:rFonts w:hint="default" w:ascii="黑体" w:hAnsi="Times New Roman" w:eastAsia="黑体" w:cs="Times New Roman"/>
      <w:sz w:val="21"/>
      <w:lang w:val="en-US" w:eastAsia="zh-CN" w:bidi="ar-SA"/>
    </w:rPr>
  </w:style>
  <w:style w:type="paragraph" w:styleId="1144" w:customStyle="1">
    <w:name w:val="Char Char Char Char Char Char Char Char Char Char Char"/>
    <w:basedOn w:val="951"/>
    <w:uiPriority w:val="0"/>
    <w:qFormat/>
    <w:pPr>
      <w:ind w:firstLine="420"/>
    </w:pPr>
    <w:rPr>
      <w:rFonts w:hAnsi="宋体"/>
      <w:color w:val="000000"/>
      <w:spacing w:val="-8"/>
      <w:sz w:val="21"/>
      <w:shd w:val="clear" w:color="auto" w:fill="000080"/>
    </w:rPr>
  </w:style>
  <w:style w:type="paragraph" w:styleId="1145" w:customStyle="1">
    <w:name w:val="text"/>
    <w:basedOn w:val="729"/>
    <w:uiPriority w:val="0"/>
    <w:qFormat/>
    <w:pPr>
      <w:ind w:left="1098" w:hanging="2"/>
      <w:spacing w:after="60" w:line="264" w:lineRule="auto"/>
      <w:widowControl/>
      <w:tabs>
        <w:tab w:val="left" w:pos="1020" w:leader="none"/>
        <w:tab w:val="left" w:pos="1090" w:leader="none"/>
      </w:tabs>
    </w:pPr>
    <w:rPr>
      <w:sz w:val="24"/>
      <w:szCs w:val="24"/>
    </w:rPr>
  </w:style>
  <w:style w:type="paragraph" w:styleId="1146" w:customStyle="1">
    <w:name w:val="函数注释1"/>
    <w:basedOn w:val="729"/>
    <w:uiPriority w:val="0"/>
    <w:qFormat/>
    <w:pPr>
      <w:ind w:left="1678" w:right="210" w:hanging="1049"/>
      <w:jc w:val="left"/>
      <w:spacing w:after="20" w:line="320" w:lineRule="exact"/>
    </w:pPr>
  </w:style>
  <w:style w:type="paragraph" w:styleId="1147" w:customStyle="1">
    <w:name w:val="列表_名词"/>
    <w:basedOn w:val="1136"/>
    <w:uiPriority w:val="0"/>
    <w:qFormat/>
    <w:pPr>
      <w:ind w:left="2745" w:hanging="420"/>
      <w:tabs>
        <w:tab w:val="left" w:pos="2745" w:leader="none"/>
      </w:tabs>
    </w:pPr>
  </w:style>
  <w:style w:type="paragraph" w:styleId="1148" w:customStyle="1">
    <w:name w:val="样式 标题 3 + (西文) 宋体 黑色"/>
    <w:basedOn w:val="925"/>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49" w:customStyle="1">
    <w:name w:val="Javis"/>
    <w:basedOn w:val="729"/>
    <w:uiPriority w:val="0"/>
    <w:qFormat/>
    <w:pPr>
      <w:ind w:right="210"/>
    </w:pPr>
    <w:rPr>
      <w:rFonts w:cs="宋体"/>
      <w:sz w:val="24"/>
    </w:rPr>
  </w:style>
  <w:style w:type="paragraph" w:styleId="1150" w:customStyle="1">
    <w:name w:val="样式 标题 1 + 加粗"/>
    <w:basedOn w:val="923"/>
    <w:uiPriority w:val="0"/>
    <w:qFormat/>
    <w:pPr>
      <w:keepLines/>
      <w:spacing w:before="120" w:after="120"/>
      <w:widowControl/>
      <w:tabs>
        <w:tab w:val="left" w:pos="1800" w:leader="none"/>
      </w:tabs>
    </w:pPr>
    <w:rPr>
      <w:rFonts w:ascii="新宋体" w:hAnsi="宋体" w:eastAsia="黑体"/>
      <w:bCs/>
      <w:szCs w:val="28"/>
    </w:rPr>
  </w:style>
  <w:style w:type="paragraph" w:styleId="1151" w:customStyle="1">
    <w:name w:val="重点"/>
    <w:basedOn w:val="729"/>
    <w:uiPriority w:val="0"/>
    <w:qFormat/>
    <w:pPr>
      <w:ind w:firstLine="420"/>
      <w:spacing w:after="20" w:line="288" w:lineRule="auto"/>
      <w:shd w:val="pct10" w:color="auto" w:fill="auto"/>
    </w:pPr>
    <w:rPr>
      <w:rFonts w:eastAsia="黑体"/>
      <w:b/>
      <w:szCs w:val="24"/>
    </w:rPr>
  </w:style>
  <w:style w:type="paragraph" w:styleId="1152" w:customStyle="1">
    <w:name w:val="目录"/>
    <w:basedOn w:val="729"/>
    <w:next w:val="729"/>
    <w:uiPriority w:val="0"/>
    <w:qFormat/>
    <w:pPr>
      <w:ind w:firstLine="420"/>
      <w:jc w:val="center"/>
      <w:spacing w:before="360" w:after="360" w:line="360" w:lineRule="auto"/>
    </w:pPr>
    <w:rPr>
      <w:b/>
      <w:spacing w:val="200"/>
      <w:sz w:val="36"/>
    </w:rPr>
  </w:style>
  <w:style w:type="paragraph" w:styleId="1153" w:customStyle="1">
    <w:name w:val="样式2"/>
    <w:basedOn w:val="925"/>
    <w:uiPriority w:val="0"/>
    <w:qFormat/>
    <w:pPr>
      <w:ind w:firstLine="448"/>
      <w:jc w:val="both"/>
      <w:keepLines/>
      <w:spacing w:line="416" w:lineRule="auto"/>
    </w:pPr>
    <w:rPr>
      <w:rFonts w:hAnsi="宋体" w:eastAsia="宋体"/>
      <w:color w:val="000000"/>
      <w:spacing w:val="-8"/>
      <w:sz w:val="24"/>
      <w:szCs w:val="32"/>
    </w:rPr>
  </w:style>
  <w:style w:type="paragraph" w:styleId="1154" w:customStyle="1">
    <w:name w:val="Char Char Char Char Char Char Char Char Char Char Char Char Char Char Char Char"/>
    <w:basedOn w:val="729"/>
    <w:uiPriority w:val="0"/>
    <w:qFormat/>
    <w:pPr>
      <w:tabs>
        <w:tab w:val="left" w:pos="360" w:leader="none"/>
      </w:tabs>
    </w:pPr>
    <w:rPr>
      <w:sz w:val="24"/>
      <w:szCs w:val="24"/>
    </w:rPr>
  </w:style>
  <w:style w:type="paragraph" w:styleId="1155" w:customStyle="1">
    <w:name w:val="xl52"/>
    <w:basedOn w:val="729"/>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56" w:customStyle="1">
    <w:name w:val="函数注释2"/>
    <w:basedOn w:val="729"/>
    <w:uiPriority w:val="0"/>
    <w:qFormat/>
    <w:pPr>
      <w:ind w:left="1680" w:firstLine="420"/>
      <w:spacing w:after="20" w:line="288" w:lineRule="auto"/>
    </w:pPr>
    <w:rPr>
      <w:szCs w:val="24"/>
    </w:rPr>
  </w:style>
  <w:style w:type="paragraph" w:styleId="1157" w:customStyle="1">
    <w:name w:val="xl22"/>
    <w:basedOn w:val="729"/>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58" w:customStyle="1">
    <w:name w:val="xl24"/>
    <w:basedOn w:val="729"/>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59" w:customStyle="1">
    <w:name w:val="xl42"/>
    <w:basedOn w:val="729"/>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60" w:customStyle="1">
    <w:name w:val="复选框1"/>
    <w:basedOn w:val="729"/>
    <w:uiPriority w:val="0"/>
    <w:qFormat/>
    <w:pPr>
      <w:ind w:firstLine="448"/>
      <w:spacing w:before="360" w:after="360"/>
      <w:widowControl/>
    </w:pPr>
    <w:rPr>
      <w:rFonts w:hAnsi="宋体"/>
      <w:color w:val="000000"/>
      <w:spacing w:val="-8"/>
      <w:sz w:val="20"/>
    </w:rPr>
  </w:style>
  <w:style w:type="paragraph" w:styleId="1161" w:customStyle="1">
    <w:name w:val="Char Char Char Char Char Char Char"/>
    <w:basedOn w:val="729"/>
    <w:uiPriority w:val="0"/>
    <w:qFormat/>
    <w:pPr>
      <w:jc w:val="left"/>
      <w:spacing w:after="160" w:line="240" w:lineRule="exact"/>
      <w:widowControl/>
    </w:pPr>
    <w:rPr>
      <w:rFonts w:ascii="Arial" w:hAnsi="Arial" w:eastAsia="Times New Roman" w:cs="Verdana"/>
      <w:b/>
      <w:sz w:val="24"/>
      <w:szCs w:val="24"/>
      <w:lang w:eastAsia="en-US"/>
    </w:rPr>
  </w:style>
  <w:style w:type="paragraph" w:styleId="1162" w:customStyle="1">
    <w:name w:val="标准文字"/>
    <w:basedOn w:val="729"/>
    <w:uiPriority w:val="0"/>
    <w:qFormat/>
    <w:pPr>
      <w:ind w:firstLine="420"/>
      <w:spacing w:after="20" w:line="360" w:lineRule="auto"/>
    </w:pPr>
    <w:rPr>
      <w:szCs w:val="24"/>
    </w:rPr>
  </w:style>
  <w:style w:type="paragraph" w:styleId="1163" w:customStyle="1">
    <w:name w:val="Char Char Char Char"/>
    <w:basedOn w:val="729"/>
    <w:uiPriority w:val="0"/>
    <w:qFormat/>
    <w:pPr>
      <w:jc w:val="left"/>
      <w:spacing w:after="160" w:line="240" w:lineRule="exact"/>
      <w:widowControl/>
    </w:pPr>
    <w:rPr>
      <w:rFonts w:ascii="Verdana" w:hAnsi="Verdana" w:eastAsia="仿宋_GB2312"/>
      <w:sz w:val="24"/>
      <w:lang w:eastAsia="en-US"/>
    </w:rPr>
  </w:style>
  <w:style w:type="paragraph" w:styleId="1164" w:customStyle="1">
    <w:name w:val="样式一"/>
    <w:basedOn w:val="729"/>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65" w:customStyle="1">
    <w:name w:val="程序代码"/>
    <w:basedOn w:val="729"/>
    <w:uiPriority w:val="0"/>
    <w:qFormat/>
    <w:pPr>
      <w:ind w:left="839" w:firstLine="420"/>
      <w:spacing w:after="20" w:line="288" w:lineRule="auto"/>
    </w:pPr>
    <w:rPr>
      <w:rFonts w:eastAsia="仿宋_GB2312"/>
      <w:szCs w:val="24"/>
    </w:rPr>
  </w:style>
  <w:style w:type="paragraph" w:styleId="1166" w:customStyle="1">
    <w:name w:val="表格文字"/>
    <w:basedOn w:val="729"/>
    <w:uiPriority w:val="0"/>
    <w:qFormat/>
    <w:pPr>
      <w:jc w:val="left"/>
      <w:spacing w:line="288" w:lineRule="auto"/>
    </w:pPr>
  </w:style>
  <w:style w:type="paragraph" w:styleId="1167" w:customStyle="1">
    <w:name w:val="xl25"/>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68" w:customStyle="1">
    <w:name w:val="xl29"/>
    <w:basedOn w:val="729"/>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69" w:customStyle="1">
    <w:name w:val="xl47"/>
    <w:basedOn w:val="72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70" w:customStyle="1">
    <w:name w:val="xl34"/>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1" w:customStyle="1">
    <w:name w:val="xl23"/>
    <w:basedOn w:val="729"/>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72" w:customStyle="1">
    <w:name w:val="List Paragraph[858D7CFB-ED40-4347-BF05-701D383B685F][858D7CFB-ED40-4347-BF05-701D383B685F]"/>
    <w:basedOn w:val="729"/>
    <w:uiPriority w:val="0"/>
    <w:qFormat/>
    <w:pPr>
      <w:ind w:firstLine="420"/>
    </w:pPr>
    <w:rPr>
      <w:rFonts w:ascii="Calibri" w:hAnsi="Calibri"/>
      <w:color w:val="000000"/>
      <w:spacing w:val="-8"/>
      <w:szCs w:val="22"/>
    </w:rPr>
  </w:style>
  <w:style w:type="paragraph" w:styleId="1173" w:customStyle="1">
    <w:name w:val="xl30"/>
    <w:basedOn w:val="729"/>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74" w:customStyle="1">
    <w:name w:val="文档标签"/>
    <w:next w:val="729"/>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75" w:customStyle="1">
    <w:name w:val="whs5"/>
    <w:basedOn w:val="729"/>
    <w:uiPriority w:val="0"/>
    <w:qFormat/>
    <w:pPr>
      <w:ind w:left="115" w:right="130" w:firstLine="448"/>
      <w:widowControl/>
    </w:pPr>
    <w:rPr>
      <w:rFonts w:hAnsi="宋体"/>
      <w:color w:val="000000"/>
      <w:spacing w:val="-8"/>
      <w:sz w:val="18"/>
      <w:szCs w:val="18"/>
      <w:lang w:eastAsia="en-US"/>
    </w:rPr>
  </w:style>
  <w:style w:type="paragraph" w:styleId="1176" w:customStyle="1">
    <w:name w:val="Char Char Char Char Char Char"/>
    <w:basedOn w:val="729"/>
    <w:uiPriority w:val="0"/>
    <w:qFormat/>
    <w:pPr>
      <w:jc w:val="left"/>
      <w:spacing w:after="160" w:line="240" w:lineRule="exact"/>
      <w:widowControl/>
    </w:pPr>
    <w:rPr>
      <w:rFonts w:ascii="黑体" w:hAnsi="Verdana" w:eastAsia="黑体"/>
      <w:sz w:val="32"/>
      <w:szCs w:val="32"/>
    </w:rPr>
  </w:style>
  <w:style w:type="paragraph" w:styleId="1177" w:customStyle="1">
    <w:name w:val="表格标题"/>
    <w:basedOn w:val="729"/>
    <w:uiPriority w:val="0"/>
    <w:qFormat/>
    <w:pPr>
      <w:jc w:val="center"/>
      <w:spacing w:before="120" w:line="400" w:lineRule="exact"/>
    </w:pPr>
    <w:rPr>
      <w:rFonts w:eastAsia="文鼎CS中宋"/>
      <w:spacing w:val="8"/>
      <w:sz w:val="24"/>
    </w:rPr>
  </w:style>
  <w:style w:type="paragraph" w:styleId="1178" w:customStyle="1">
    <w:name w:val="列表2"/>
    <w:basedOn w:val="729"/>
    <w:uiPriority w:val="0"/>
    <w:qFormat/>
    <w:pPr>
      <w:ind w:left="1469" w:hanging="420"/>
      <w:spacing w:after="20" w:line="288" w:lineRule="auto"/>
      <w:tabs>
        <w:tab w:val="left" w:pos="1470" w:leader="none"/>
      </w:tabs>
    </w:pPr>
    <w:rPr>
      <w:szCs w:val="24"/>
    </w:rPr>
  </w:style>
  <w:style w:type="paragraph" w:styleId="1179" w:customStyle="1">
    <w:name w:val="列表段落1"/>
    <w:basedOn w:val="729"/>
    <w:uiPriority w:val="0"/>
    <w:qFormat/>
    <w:pPr>
      <w:ind w:firstLine="420"/>
    </w:pPr>
    <w:rPr>
      <w:rFonts w:ascii="Calibri" w:hAnsi="Calibri"/>
      <w:szCs w:val="22"/>
    </w:rPr>
  </w:style>
  <w:style w:type="paragraph" w:styleId="1180" w:customStyle="1">
    <w:name w:val="xl28"/>
    <w:basedOn w:val="729"/>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81" w:customStyle="1">
    <w:name w:val="Char Char Char1 Char Char Char"/>
    <w:basedOn w:val="729"/>
    <w:uiPriority w:val="0"/>
    <w:qFormat/>
    <w:pPr>
      <w:ind w:firstLine="200"/>
    </w:pPr>
    <w:rPr>
      <w:rFonts w:ascii="Tahoma" w:hAnsi="Tahoma"/>
      <w:sz w:val="24"/>
    </w:rPr>
  </w:style>
  <w:style w:type="paragraph" w:styleId="1182" w:customStyle="1">
    <w:name w:val="xl35"/>
    <w:basedOn w:val="72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83"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4" w:customStyle="1">
    <w:name w:val="xl43"/>
    <w:basedOn w:val="729"/>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85" w:customStyle="1">
    <w:name w:val="表头"/>
    <w:basedOn w:val="729"/>
    <w:uiPriority w:val="0"/>
    <w:qFormat/>
    <w:pPr>
      <w:jc w:val="center"/>
      <w:spacing w:line="320" w:lineRule="atLeast"/>
    </w:pPr>
    <w:rPr>
      <w:rFonts w:eastAsia="黑体"/>
      <w:spacing w:val="-10"/>
    </w:rPr>
  </w:style>
  <w:style w:type="paragraph" w:styleId="1186" w:customStyle="1">
    <w:name w:val="标准式样"/>
    <w:basedOn w:val="1002"/>
    <w:uiPriority w:val="0"/>
    <w:qFormat/>
  </w:style>
  <w:style w:type="paragraph" w:styleId="1187" w:customStyle="1">
    <w:name w:val="xl50"/>
    <w:basedOn w:val="729"/>
    <w:uiPriority w:val="0"/>
    <w:qFormat/>
    <w:pPr>
      <w:jc w:val="center"/>
      <w:spacing w:before="100" w:beforeAutospacing="1" w:after="100" w:afterAutospacing="1"/>
      <w:widowControl/>
    </w:pPr>
    <w:rPr>
      <w:rFonts w:ascii="宋体" w:hAnsi="宋体"/>
      <w:b/>
      <w:bCs/>
      <w:sz w:val="40"/>
      <w:szCs w:val="40"/>
    </w:rPr>
  </w:style>
  <w:style w:type="paragraph" w:styleId="1188" w:customStyle="1">
    <w:name w:val="Char1"/>
    <w:basedOn w:val="729"/>
    <w:uiPriority w:val="0"/>
    <w:qFormat/>
    <w:pPr>
      <w:ind w:firstLine="448"/>
    </w:pPr>
    <w:rPr>
      <w:rFonts w:ascii="宋体" w:hAnsi="宋体" w:eastAsia="仿宋_GB2312"/>
      <w:b/>
      <w:color w:val="000000"/>
      <w:spacing w:val="-8"/>
      <w:sz w:val="32"/>
      <w:szCs w:val="32"/>
    </w:rPr>
  </w:style>
  <w:style w:type="paragraph" w:styleId="1189" w:customStyle="1">
    <w:name w:val="font0"/>
    <w:basedOn w:val="729"/>
    <w:uiPriority w:val="0"/>
    <w:qFormat/>
    <w:pPr>
      <w:jc w:val="left"/>
      <w:spacing w:before="100" w:beforeAutospacing="1" w:after="100" w:afterAutospacing="1"/>
      <w:widowControl/>
    </w:pPr>
    <w:rPr>
      <w:rFonts w:hint="eastAsia" w:ascii="宋体" w:hAnsi="宋体"/>
      <w:sz w:val="18"/>
      <w:szCs w:val="18"/>
    </w:rPr>
  </w:style>
  <w:style w:type="paragraph" w:styleId="1190" w:customStyle="1">
    <w:name w:val="xl27"/>
    <w:basedOn w:val="729"/>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91" w:customStyle="1">
    <w:name w:val="简介正文"/>
    <w:basedOn w:val="729"/>
    <w:uiPriority w:val="0"/>
    <w:qFormat/>
    <w:pPr>
      <w:ind w:left="1701" w:hanging="1701"/>
      <w:spacing w:after="20" w:line="520" w:lineRule="exact"/>
      <w:tabs>
        <w:tab w:val="left" w:pos="425" w:leader="none"/>
      </w:tabs>
    </w:pPr>
    <w:rPr>
      <w:sz w:val="24"/>
    </w:rPr>
  </w:style>
  <w:style w:type="paragraph" w:styleId="1192" w:customStyle="1">
    <w:name w:val="xl31"/>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93" w:customStyle="1">
    <w:name w:val="xl32"/>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94" w:customStyle="1">
    <w:name w:val="xl48"/>
    <w:basedOn w:val="7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95" w:customStyle="1">
    <w:name w:val="Other|1"/>
    <w:basedOn w:val="729"/>
    <w:uiPriority w:val="0"/>
    <w:qFormat/>
    <w:pPr>
      <w:ind w:firstLine="220"/>
    </w:pPr>
    <w:rPr>
      <w:rFonts w:ascii="宋体" w:hAnsi="宋体" w:cs="宋体"/>
      <w:sz w:val="20"/>
      <w:lang w:val="zh-TW" w:eastAsia="zh-TW" w:bidi="zh-TW"/>
    </w:rPr>
  </w:style>
  <w:style w:type="paragraph" w:styleId="1196" w:customStyle="1">
    <w:name w:val="reader-word-layer reader-word-s1-8"/>
    <w:basedOn w:val="729"/>
    <w:uiPriority w:val="0"/>
    <w:qFormat/>
    <w:pPr>
      <w:jc w:val="left"/>
      <w:spacing w:before="100" w:beforeAutospacing="1" w:after="100" w:afterAutospacing="1"/>
      <w:widowControl/>
    </w:pPr>
    <w:rPr>
      <w:rFonts w:cs="宋体"/>
      <w:sz w:val="24"/>
      <w:szCs w:val="24"/>
    </w:rPr>
  </w:style>
  <w:style w:type="character" w:styleId="1197" w:customStyle="1">
    <w:name w:val="NormalCharacter1"/>
    <w:link w:val="729"/>
    <w:uiPriority w:val="99"/>
    <w:qFormat/>
  </w:style>
  <w:style w:type="paragraph" w:styleId="1198" w:customStyle="1">
    <w:name w:val="_Style 201"/>
    <w:basedOn w:val="729"/>
    <w:next w:val="1048"/>
    <w:uiPriority w:val="99"/>
    <w:qFormat/>
    <w:pPr>
      <w:ind w:firstLine="420"/>
    </w:pPr>
    <w:rPr>
      <w:rFonts w:ascii="Calibri" w:hAnsi="Calibri"/>
      <w:szCs w:val="22"/>
    </w:rPr>
  </w:style>
  <w:style w:type="numbering" w:styleId="19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dc:creator>
  <cp:lastModifiedBy>孙依雪</cp:lastModifiedBy>
  <cp:revision>7</cp:revision>
  <dcterms:created xsi:type="dcterms:W3CDTF">2022-07-11T04:13:00Z</dcterms:created>
  <dcterms:modified xsi:type="dcterms:W3CDTF">2024-11-08T07:36:18Z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FD44291079C946F2B5CB10DB41F8FF4B_13</vt:lpwstr>
  </property>
</Properties>
</file>