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6667">
      <w:pPr>
        <w:adjustRightInd w:val="0"/>
        <w:snapToGrid w:val="0"/>
        <w:spacing w:line="360" w:lineRule="auto"/>
        <w:jc w:val="center"/>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无锡开放大学教学楼维修工程项目</w:t>
      </w:r>
    </w:p>
    <w:p w14:paraId="694F5960">
      <w:pPr>
        <w:adjustRightInd w:val="0"/>
        <w:snapToGrid w:val="0"/>
        <w:spacing w:line="3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工程量清单编制说明</w:t>
      </w:r>
    </w:p>
    <w:p w14:paraId="7168E01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一、工程概况：</w:t>
      </w:r>
    </w:p>
    <w:p w14:paraId="7C0A937C">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right="170" w:rightChars="0"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项目位置：</w:t>
      </w:r>
      <w:r>
        <w:rPr>
          <w:rFonts w:hint="eastAsia" w:ascii="宋体" w:hAnsi="宋体" w:eastAsia="宋体" w:cs="宋体"/>
          <w:kern w:val="0"/>
          <w:sz w:val="24"/>
          <w:szCs w:val="24"/>
          <w:lang w:val="en-US" w:eastAsia="zh-CN"/>
        </w:rPr>
        <w:t>无锡开放大学学校内</w:t>
      </w:r>
      <w:r>
        <w:rPr>
          <w:rFonts w:hint="eastAsia" w:asciiTheme="minorEastAsia" w:hAnsiTheme="minorEastAsia" w:eastAsiaTheme="minorEastAsia" w:cstheme="minorEastAsia"/>
          <w:kern w:val="0"/>
          <w:sz w:val="24"/>
          <w:szCs w:val="24"/>
          <w:lang w:val="zh-CN"/>
        </w:rPr>
        <w:t>。</w:t>
      </w:r>
    </w:p>
    <w:p w14:paraId="379E6693">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right="17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施工内容</w:t>
      </w:r>
      <w:r>
        <w:rPr>
          <w:rFonts w:hint="eastAsia" w:asciiTheme="minorEastAsia" w:hAnsiTheme="minorEastAsia" w:eastAsiaTheme="minorEastAsia" w:cstheme="minorEastAsia"/>
          <w:kern w:val="0"/>
          <w:sz w:val="24"/>
          <w:szCs w:val="24"/>
          <w:lang w:val="zh-CN"/>
        </w:rPr>
        <w:t>：</w:t>
      </w:r>
      <w:r>
        <w:rPr>
          <w:rFonts w:hint="eastAsia" w:ascii="宋体" w:hAnsi="宋体" w:eastAsia="宋体" w:cs="宋体"/>
          <w:kern w:val="0"/>
          <w:sz w:val="24"/>
          <w:szCs w:val="24"/>
          <w:lang w:val="zh-CN" w:eastAsia="zh-CN"/>
        </w:rPr>
        <w:t>本项目施工楼栋为</w:t>
      </w:r>
      <w:r>
        <w:rPr>
          <w:rFonts w:hint="eastAsia" w:ascii="宋体" w:hAnsi="宋体" w:eastAsia="宋体" w:cs="宋体"/>
          <w:kern w:val="0"/>
          <w:sz w:val="24"/>
          <w:szCs w:val="24"/>
          <w:lang w:val="en-US" w:eastAsia="zh-CN"/>
        </w:rPr>
        <w:t>2#楼、3#楼、8#楼及相应连廊，其中2#楼包含教室、办公室、走廊及楼梯间改造，3#楼包含走廊及楼梯间改造，8#楼包含教室、办公室、走廊、楼梯间及外立面改造，连廊包含走廊、卫生间及杂物间改造</w:t>
      </w:r>
      <w:r>
        <w:rPr>
          <w:rFonts w:hint="eastAsia" w:ascii="宋体" w:hAnsi="宋体" w:eastAsia="宋体" w:cs="宋体"/>
          <w:sz w:val="24"/>
          <w:szCs w:val="24"/>
          <w:highlight w:val="none"/>
          <w:lang w:val="en-US" w:eastAsia="zh-CN"/>
        </w:rPr>
        <w:t>。具体施工内容详见图纸。招标要求工期详见招标文件</w:t>
      </w:r>
    </w:p>
    <w:p w14:paraId="090117F4">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right="17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本次招标范围：</w:t>
      </w:r>
      <w:r>
        <w:rPr>
          <w:rFonts w:hint="eastAsia" w:ascii="宋体" w:hAnsi="宋体" w:eastAsia="宋体" w:cs="宋体"/>
          <w:sz w:val="24"/>
          <w:szCs w:val="24"/>
        </w:rPr>
        <w:t>招标图纸及工程量清单范围内的修缮土建</w:t>
      </w:r>
      <w:r>
        <w:rPr>
          <w:rFonts w:hint="eastAsia" w:ascii="宋体" w:hAnsi="宋体" w:eastAsia="宋体" w:cs="宋体"/>
          <w:sz w:val="24"/>
          <w:szCs w:val="24"/>
          <w:lang w:eastAsia="zh-CN"/>
        </w:rPr>
        <w:t>工程</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rPr>
        <w:t>详见工程量清单。</w:t>
      </w:r>
    </w:p>
    <w:p w14:paraId="36797C10">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二、工程量清单编制依据： </w:t>
      </w:r>
    </w:p>
    <w:p w14:paraId="53417773">
      <w:pPr>
        <w:keepNext w:val="0"/>
        <w:keepLines w:val="0"/>
        <w:pageBreakBefore w:val="0"/>
        <w:kinsoku/>
        <w:overflowPunct/>
        <w:topLinePunct w:val="0"/>
        <w:autoSpaceDE/>
        <w:autoSpaceDN/>
        <w:bidi w:val="0"/>
        <w:adjustRightInd/>
        <w:snapToGrid/>
        <w:spacing w:line="360" w:lineRule="auto"/>
        <w:ind w:firstLine="47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现场勘察、设计单位提供的电子版图纸及</w:t>
      </w:r>
      <w:r>
        <w:rPr>
          <w:rFonts w:hint="eastAsia" w:asciiTheme="minorEastAsia" w:hAnsiTheme="minorEastAsia" w:eastAsiaTheme="minorEastAsia" w:cstheme="minorEastAsia"/>
          <w:sz w:val="24"/>
          <w:szCs w:val="24"/>
          <w:lang w:eastAsia="zh-CN"/>
        </w:rPr>
        <w:t>建设单位的需求</w:t>
      </w:r>
      <w:r>
        <w:rPr>
          <w:rFonts w:hint="eastAsia" w:asciiTheme="minorEastAsia" w:hAnsiTheme="minorEastAsia" w:eastAsiaTheme="minorEastAsia" w:cstheme="minorEastAsia"/>
          <w:sz w:val="24"/>
          <w:szCs w:val="24"/>
          <w:lang w:val="en-US" w:eastAsia="zh-CN"/>
        </w:rPr>
        <w:t>等。</w:t>
      </w:r>
    </w:p>
    <w:p w14:paraId="5566943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2.《建设工程工程量清单计价规范》(GB50500-2013)、《房屋建筑与装饰工程工程量计算规范》（GB50854-2013）、本工程招标文件； </w:t>
      </w:r>
    </w:p>
    <w:p w14:paraId="0B5AEBA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3.采用一般计税法，《江苏省建设工程费用定额》（2014年）营改增后调整内容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《江苏省住房城乡建设厅关于建筑业实施营改增后江苏省建设工程计价依据调整的通知》（苏建价</w:t>
      </w:r>
      <w:r>
        <w:rPr>
          <w:rFonts w:hint="default" w:asciiTheme="minorEastAsia" w:hAnsiTheme="minorEastAsia" w:eastAsiaTheme="minorEastAsia" w:cstheme="minorEastAsia"/>
          <w:sz w:val="24"/>
          <w:szCs w:val="24"/>
        </w:rPr>
        <w:t>〔2016〕154号</w:t>
      </w:r>
      <w:r>
        <w:rPr>
          <w:rFonts w:hint="eastAsia" w:asciiTheme="minorEastAsia" w:hAnsiTheme="minorEastAsia" w:eastAsiaTheme="minorEastAsia" w:cstheme="minorEastAsia"/>
          <w:sz w:val="24"/>
          <w:szCs w:val="24"/>
        </w:rPr>
        <w:t>[2016]154号）、苏建函价〔2019〕178号（省住房城乡建设厅关于调整建设工程计价增值税税率的通知）。</w:t>
      </w:r>
    </w:p>
    <w:p w14:paraId="19E79F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.与建设项目相关的标准、规范、技术资料。无锡市建设局有关文件。</w:t>
      </w:r>
    </w:p>
    <w:p w14:paraId="6F01BCF9">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三、工程质量、材料、施工等特殊要求： </w:t>
      </w:r>
    </w:p>
    <w:p w14:paraId="06AE3C5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.工程质量、材料、施工等特殊要求：</w:t>
      </w:r>
      <w:r>
        <w:rPr>
          <w:rFonts w:hint="eastAsia" w:asciiTheme="minorEastAsia" w:hAnsiTheme="minorEastAsia" w:eastAsiaTheme="minorEastAsia" w:cstheme="minorEastAsia"/>
          <w:sz w:val="24"/>
          <w:szCs w:val="24"/>
          <w:highlight w:val="none"/>
          <w:lang w:val="en-US" w:eastAsia="zh-CN"/>
        </w:rPr>
        <w:t>详见招标文件</w:t>
      </w:r>
      <w:r>
        <w:rPr>
          <w:rFonts w:hint="eastAsia" w:asciiTheme="minorEastAsia" w:hAnsiTheme="minorEastAsia" w:eastAsiaTheme="minorEastAsia" w:cstheme="minorEastAsia"/>
          <w:sz w:val="24"/>
          <w:szCs w:val="24"/>
          <w:highlight w:val="none"/>
        </w:rPr>
        <w:t>。</w:t>
      </w:r>
    </w:p>
    <w:p w14:paraId="0030738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所有砂浆均采用预拌砂浆。</w:t>
      </w:r>
    </w:p>
    <w:p w14:paraId="68B03C2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3.暂列金：无。</w:t>
      </w:r>
    </w:p>
    <w:p w14:paraId="0C94CA5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4.专业工程暂估价：无。</w:t>
      </w:r>
    </w:p>
    <w:p w14:paraId="0E8638E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5.材料暂估价：无。</w:t>
      </w:r>
    </w:p>
    <w:p w14:paraId="73B2B9A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本</w:t>
      </w:r>
      <w:r>
        <w:rPr>
          <w:rFonts w:hint="eastAsia" w:asciiTheme="minorEastAsia" w:hAnsiTheme="minorEastAsia" w:eastAsiaTheme="minorEastAsia" w:cstheme="minorEastAsia"/>
          <w:sz w:val="24"/>
          <w:szCs w:val="24"/>
          <w:highlight w:val="none"/>
          <w:lang w:val="en-US" w:eastAsia="zh-CN"/>
        </w:rPr>
        <w:t>项目</w:t>
      </w:r>
      <w:r>
        <w:rPr>
          <w:rFonts w:hint="eastAsia" w:asciiTheme="minorEastAsia" w:hAnsiTheme="minorEastAsia" w:eastAsiaTheme="minorEastAsia" w:cstheme="minorEastAsia"/>
          <w:sz w:val="24"/>
          <w:szCs w:val="24"/>
          <w:highlight w:val="none"/>
        </w:rPr>
        <w:t>不可竞争费的计取</w:t>
      </w:r>
      <w:r>
        <w:rPr>
          <w:rFonts w:hint="eastAsia" w:asciiTheme="minorEastAsia" w:hAnsiTheme="minorEastAsia" w:eastAsiaTheme="minorEastAsia" w:cstheme="minorEastAsia"/>
          <w:sz w:val="24"/>
          <w:szCs w:val="24"/>
          <w:highlight w:val="none"/>
          <w:lang w:val="en-US" w:eastAsia="zh-CN"/>
        </w:rPr>
        <w:t>如下：</w:t>
      </w:r>
    </w:p>
    <w:tbl>
      <w:tblPr>
        <w:tblStyle w:val="7"/>
        <w:tblpPr w:leftFromText="180" w:rightFromText="180" w:vertAnchor="text" w:horzAnchor="margin" w:tblpX="106"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27"/>
        <w:gridCol w:w="1879"/>
        <w:gridCol w:w="4007"/>
        <w:gridCol w:w="1214"/>
      </w:tblGrid>
      <w:tr w14:paraId="29F7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761" w:type="dxa"/>
            <w:noWrap w:val="0"/>
            <w:vAlign w:val="center"/>
          </w:tcPr>
          <w:p w14:paraId="06B17712">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序号</w:t>
            </w:r>
          </w:p>
        </w:tc>
        <w:tc>
          <w:tcPr>
            <w:tcW w:w="3306" w:type="dxa"/>
            <w:gridSpan w:val="2"/>
            <w:noWrap w:val="0"/>
            <w:vAlign w:val="center"/>
          </w:tcPr>
          <w:p w14:paraId="3CA33C34">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费用类别</w:t>
            </w:r>
          </w:p>
        </w:tc>
        <w:tc>
          <w:tcPr>
            <w:tcW w:w="4007" w:type="dxa"/>
            <w:noWrap w:val="0"/>
            <w:vAlign w:val="center"/>
          </w:tcPr>
          <w:p w14:paraId="6425EBB5">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计算基础</w:t>
            </w:r>
          </w:p>
        </w:tc>
        <w:tc>
          <w:tcPr>
            <w:tcW w:w="1214" w:type="dxa"/>
            <w:noWrap w:val="0"/>
            <w:vAlign w:val="center"/>
          </w:tcPr>
          <w:p w14:paraId="21A0C38A">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修缮土建工程</w:t>
            </w:r>
          </w:p>
        </w:tc>
      </w:tr>
      <w:tr w14:paraId="13CD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1" w:type="dxa"/>
            <w:noWrap w:val="0"/>
            <w:vAlign w:val="center"/>
          </w:tcPr>
          <w:p w14:paraId="41B91ECC">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p>
        </w:tc>
        <w:tc>
          <w:tcPr>
            <w:tcW w:w="1427" w:type="dxa"/>
            <w:vMerge w:val="restart"/>
            <w:noWrap w:val="0"/>
            <w:vAlign w:val="center"/>
          </w:tcPr>
          <w:p w14:paraId="4B5CA13E">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现场安全文明施工措施费费率（%）</w:t>
            </w:r>
          </w:p>
        </w:tc>
        <w:tc>
          <w:tcPr>
            <w:tcW w:w="1879" w:type="dxa"/>
            <w:noWrap w:val="0"/>
            <w:vAlign w:val="center"/>
          </w:tcPr>
          <w:p w14:paraId="034FE6EF">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基本费</w:t>
            </w:r>
          </w:p>
        </w:tc>
        <w:tc>
          <w:tcPr>
            <w:tcW w:w="4007" w:type="dxa"/>
            <w:vMerge w:val="restart"/>
            <w:noWrap w:val="0"/>
            <w:vAlign w:val="center"/>
          </w:tcPr>
          <w:p w14:paraId="5F51A378">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分部分项合计+单价措施项目合计-设备费</w:t>
            </w:r>
          </w:p>
        </w:tc>
        <w:tc>
          <w:tcPr>
            <w:tcW w:w="1214" w:type="dxa"/>
            <w:noWrap w:val="0"/>
            <w:vAlign w:val="center"/>
          </w:tcPr>
          <w:p w14:paraId="0948DCB3">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1.5</w:t>
            </w:r>
          </w:p>
        </w:tc>
      </w:tr>
      <w:tr w14:paraId="1D10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61" w:type="dxa"/>
            <w:noWrap w:val="0"/>
            <w:vAlign w:val="center"/>
          </w:tcPr>
          <w:p w14:paraId="694938D4">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p>
        </w:tc>
        <w:tc>
          <w:tcPr>
            <w:tcW w:w="1427" w:type="dxa"/>
            <w:vMerge w:val="continue"/>
            <w:noWrap w:val="0"/>
            <w:vAlign w:val="center"/>
          </w:tcPr>
          <w:p w14:paraId="04CE2BF3">
            <w:pPr>
              <w:spacing w:line="240" w:lineRule="auto"/>
              <w:jc w:val="center"/>
              <w:rPr>
                <w:rFonts w:hint="eastAsia" w:ascii="宋体" w:hAnsi="宋体" w:eastAsia="宋体" w:cs="Times New Roman"/>
                <w:sz w:val="24"/>
                <w:szCs w:val="24"/>
                <w:highlight w:val="none"/>
                <w:lang w:val="en-US" w:eastAsia="zh-CN"/>
              </w:rPr>
            </w:pPr>
          </w:p>
        </w:tc>
        <w:tc>
          <w:tcPr>
            <w:tcW w:w="1879" w:type="dxa"/>
            <w:noWrap w:val="0"/>
            <w:vAlign w:val="center"/>
          </w:tcPr>
          <w:p w14:paraId="50A08F14">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增加费</w:t>
            </w:r>
          </w:p>
        </w:tc>
        <w:tc>
          <w:tcPr>
            <w:tcW w:w="4007" w:type="dxa"/>
            <w:vMerge w:val="continue"/>
            <w:noWrap w:val="0"/>
            <w:vAlign w:val="center"/>
          </w:tcPr>
          <w:p w14:paraId="6D4DB38F">
            <w:pPr>
              <w:spacing w:line="240" w:lineRule="auto"/>
              <w:jc w:val="center"/>
              <w:rPr>
                <w:rFonts w:hint="eastAsia" w:ascii="宋体" w:hAnsi="宋体" w:eastAsia="宋体" w:cs="Times New Roman"/>
                <w:sz w:val="24"/>
                <w:szCs w:val="24"/>
                <w:highlight w:val="none"/>
                <w:lang w:val="en-US" w:eastAsia="zh-CN"/>
              </w:rPr>
            </w:pPr>
          </w:p>
        </w:tc>
        <w:tc>
          <w:tcPr>
            <w:tcW w:w="1214" w:type="dxa"/>
            <w:noWrap w:val="0"/>
            <w:vAlign w:val="center"/>
          </w:tcPr>
          <w:p w14:paraId="770DEC75">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0</w:t>
            </w:r>
          </w:p>
        </w:tc>
      </w:tr>
      <w:tr w14:paraId="5DF4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1" w:type="dxa"/>
            <w:noWrap w:val="0"/>
            <w:vAlign w:val="center"/>
          </w:tcPr>
          <w:p w14:paraId="2D82A488">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w:t>
            </w:r>
          </w:p>
        </w:tc>
        <w:tc>
          <w:tcPr>
            <w:tcW w:w="1427" w:type="dxa"/>
            <w:vMerge w:val="continue"/>
            <w:noWrap w:val="0"/>
            <w:vAlign w:val="center"/>
          </w:tcPr>
          <w:p w14:paraId="771CB099">
            <w:pPr>
              <w:spacing w:line="240" w:lineRule="auto"/>
              <w:jc w:val="center"/>
              <w:rPr>
                <w:rFonts w:hint="eastAsia" w:ascii="宋体" w:hAnsi="宋体" w:eastAsia="宋体" w:cs="Times New Roman"/>
                <w:sz w:val="24"/>
                <w:szCs w:val="24"/>
                <w:highlight w:val="none"/>
                <w:lang w:val="en-US" w:eastAsia="zh-CN"/>
              </w:rPr>
            </w:pPr>
          </w:p>
        </w:tc>
        <w:tc>
          <w:tcPr>
            <w:tcW w:w="1879" w:type="dxa"/>
            <w:noWrap w:val="0"/>
            <w:vAlign w:val="center"/>
          </w:tcPr>
          <w:p w14:paraId="5D09439F">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扬尘污染防治增加费</w:t>
            </w:r>
          </w:p>
        </w:tc>
        <w:tc>
          <w:tcPr>
            <w:tcW w:w="4007" w:type="dxa"/>
            <w:vMerge w:val="continue"/>
            <w:noWrap w:val="0"/>
            <w:vAlign w:val="center"/>
          </w:tcPr>
          <w:p w14:paraId="4A92603C">
            <w:pPr>
              <w:spacing w:line="240" w:lineRule="auto"/>
              <w:jc w:val="center"/>
              <w:rPr>
                <w:rFonts w:hint="eastAsia" w:ascii="宋体" w:hAnsi="宋体" w:eastAsia="宋体" w:cs="Times New Roman"/>
                <w:sz w:val="24"/>
                <w:szCs w:val="24"/>
                <w:highlight w:val="none"/>
                <w:lang w:val="en-US" w:eastAsia="zh-CN"/>
              </w:rPr>
            </w:pPr>
          </w:p>
        </w:tc>
        <w:tc>
          <w:tcPr>
            <w:tcW w:w="1214" w:type="dxa"/>
            <w:noWrap w:val="0"/>
            <w:vAlign w:val="center"/>
          </w:tcPr>
          <w:p w14:paraId="421407A5">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0.21</w:t>
            </w:r>
          </w:p>
        </w:tc>
      </w:tr>
      <w:tr w14:paraId="5816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61" w:type="dxa"/>
            <w:noWrap w:val="0"/>
            <w:vAlign w:val="center"/>
          </w:tcPr>
          <w:p w14:paraId="10239AEE">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p>
        </w:tc>
        <w:tc>
          <w:tcPr>
            <w:tcW w:w="1427" w:type="dxa"/>
            <w:vMerge w:val="restart"/>
            <w:noWrap w:val="0"/>
            <w:vAlign w:val="center"/>
          </w:tcPr>
          <w:p w14:paraId="3F75948E">
            <w:pPr>
              <w:spacing w:line="240" w:lineRule="auto"/>
              <w:jc w:val="center"/>
              <w:rPr>
                <w:rFonts w:hint="eastAsia" w:ascii="宋体" w:hAnsi="宋体" w:eastAsia="宋体" w:cs="Times New Roman"/>
                <w:sz w:val="24"/>
                <w:szCs w:val="24"/>
                <w:highlight w:val="none"/>
                <w:lang w:val="en-US" w:eastAsia="zh-CN"/>
              </w:rPr>
            </w:pPr>
          </w:p>
          <w:p w14:paraId="78B28760">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规费费率（%）</w:t>
            </w:r>
          </w:p>
        </w:tc>
        <w:tc>
          <w:tcPr>
            <w:tcW w:w="1879" w:type="dxa"/>
            <w:noWrap w:val="0"/>
            <w:vAlign w:val="center"/>
          </w:tcPr>
          <w:p w14:paraId="69FA0782">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社会保险费</w:t>
            </w:r>
          </w:p>
        </w:tc>
        <w:tc>
          <w:tcPr>
            <w:tcW w:w="4007" w:type="dxa"/>
            <w:vMerge w:val="restart"/>
            <w:noWrap w:val="0"/>
            <w:vAlign w:val="center"/>
          </w:tcPr>
          <w:p w14:paraId="15ACB69D">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分部分项工程费+措施项目费+其他项目费-工程设备费</w:t>
            </w:r>
          </w:p>
        </w:tc>
        <w:tc>
          <w:tcPr>
            <w:tcW w:w="1214" w:type="dxa"/>
            <w:noWrap w:val="0"/>
            <w:vAlign w:val="center"/>
          </w:tcPr>
          <w:p w14:paraId="05DBB83A">
            <w:pPr>
              <w:spacing w:line="240" w:lineRule="auto"/>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3.8</w:t>
            </w:r>
          </w:p>
        </w:tc>
      </w:tr>
      <w:tr w14:paraId="5937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1" w:type="dxa"/>
            <w:noWrap w:val="0"/>
            <w:vAlign w:val="center"/>
          </w:tcPr>
          <w:p w14:paraId="08A7018F">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w:t>
            </w:r>
          </w:p>
        </w:tc>
        <w:tc>
          <w:tcPr>
            <w:tcW w:w="1427" w:type="dxa"/>
            <w:vMerge w:val="continue"/>
            <w:noWrap w:val="0"/>
            <w:vAlign w:val="center"/>
          </w:tcPr>
          <w:p w14:paraId="402F5E3A">
            <w:pPr>
              <w:spacing w:line="240" w:lineRule="auto"/>
              <w:jc w:val="center"/>
              <w:rPr>
                <w:rFonts w:hint="eastAsia" w:ascii="宋体" w:hAnsi="宋体" w:eastAsia="宋体" w:cs="Times New Roman"/>
                <w:sz w:val="24"/>
                <w:szCs w:val="24"/>
                <w:highlight w:val="none"/>
                <w:lang w:val="en-US" w:eastAsia="zh-CN"/>
              </w:rPr>
            </w:pPr>
          </w:p>
        </w:tc>
        <w:tc>
          <w:tcPr>
            <w:tcW w:w="1879" w:type="dxa"/>
            <w:noWrap w:val="0"/>
            <w:vAlign w:val="center"/>
          </w:tcPr>
          <w:p w14:paraId="765AD703">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住房公积金</w:t>
            </w:r>
          </w:p>
        </w:tc>
        <w:tc>
          <w:tcPr>
            <w:tcW w:w="4007" w:type="dxa"/>
            <w:vMerge w:val="continue"/>
            <w:noWrap w:val="0"/>
            <w:vAlign w:val="center"/>
          </w:tcPr>
          <w:p w14:paraId="671B44AB">
            <w:pPr>
              <w:spacing w:line="240" w:lineRule="auto"/>
              <w:jc w:val="center"/>
              <w:rPr>
                <w:rFonts w:hint="eastAsia" w:ascii="宋体" w:hAnsi="宋体" w:eastAsia="宋体" w:cs="Times New Roman"/>
                <w:sz w:val="24"/>
                <w:szCs w:val="24"/>
                <w:highlight w:val="none"/>
                <w:lang w:val="en-US" w:eastAsia="zh-CN"/>
              </w:rPr>
            </w:pPr>
          </w:p>
        </w:tc>
        <w:tc>
          <w:tcPr>
            <w:tcW w:w="1214" w:type="dxa"/>
            <w:noWrap w:val="0"/>
            <w:vAlign w:val="center"/>
          </w:tcPr>
          <w:p w14:paraId="77D339C7">
            <w:pPr>
              <w:spacing w:line="240" w:lineRule="auto"/>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0.67</w:t>
            </w:r>
          </w:p>
        </w:tc>
      </w:tr>
      <w:tr w14:paraId="389D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61" w:type="dxa"/>
            <w:noWrap w:val="0"/>
            <w:vAlign w:val="center"/>
          </w:tcPr>
          <w:p w14:paraId="111AFAFE">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w:t>
            </w:r>
          </w:p>
        </w:tc>
        <w:tc>
          <w:tcPr>
            <w:tcW w:w="1427" w:type="dxa"/>
            <w:noWrap w:val="0"/>
            <w:vAlign w:val="center"/>
          </w:tcPr>
          <w:p w14:paraId="5FB18397">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税金费率（%）</w:t>
            </w:r>
          </w:p>
        </w:tc>
        <w:tc>
          <w:tcPr>
            <w:tcW w:w="1879" w:type="dxa"/>
            <w:noWrap w:val="0"/>
            <w:vAlign w:val="center"/>
          </w:tcPr>
          <w:p w14:paraId="28E69E4A">
            <w:pPr>
              <w:spacing w:line="240" w:lineRule="auto"/>
              <w:jc w:val="center"/>
              <w:rPr>
                <w:rFonts w:hint="eastAsia" w:ascii="宋体" w:hAnsi="宋体" w:eastAsia="宋体" w:cs="Times New Roman"/>
                <w:sz w:val="24"/>
                <w:szCs w:val="24"/>
                <w:highlight w:val="none"/>
                <w:lang w:val="en-US" w:eastAsia="zh-CN"/>
              </w:rPr>
            </w:pPr>
          </w:p>
        </w:tc>
        <w:tc>
          <w:tcPr>
            <w:tcW w:w="4007" w:type="dxa"/>
            <w:noWrap w:val="0"/>
            <w:vAlign w:val="center"/>
          </w:tcPr>
          <w:p w14:paraId="7ADDD84B">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分部分项工程费+措施项目费+其他项目费+规费-按规定不计税的工程设备金额</w:t>
            </w:r>
          </w:p>
        </w:tc>
        <w:tc>
          <w:tcPr>
            <w:tcW w:w="1214" w:type="dxa"/>
            <w:noWrap w:val="0"/>
            <w:vAlign w:val="center"/>
          </w:tcPr>
          <w:p w14:paraId="5E2EAA68">
            <w:pPr>
              <w:spacing w:line="24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9</w:t>
            </w:r>
          </w:p>
        </w:tc>
      </w:tr>
    </w:tbl>
    <w:p w14:paraId="6738E49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四、投标报价要求的总说明</w:t>
      </w:r>
      <w:r>
        <w:rPr>
          <w:rFonts w:hint="eastAsia" w:asciiTheme="minorEastAsia" w:hAnsiTheme="minorEastAsia" w:eastAsiaTheme="minorEastAsia" w:cstheme="minorEastAsia"/>
          <w:sz w:val="24"/>
          <w:szCs w:val="24"/>
        </w:rPr>
        <w:t>：</w:t>
      </w:r>
    </w:p>
    <w:p w14:paraId="472CC277">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投标人应按本工程招标文件投标报价。工程量清单与招标图纸不一致时，以工程量清单为准。 </w:t>
      </w:r>
    </w:p>
    <w:p w14:paraId="0401265C">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2.投标人收到招标文件及工程量清单后，应认真核查招标图纸及工程量清单，如工程量清单有漏项，投标人可以在规定的提疑时间内提出疑问，招标人确认后及时修正。  </w:t>
      </w:r>
    </w:p>
    <w:p w14:paraId="56124F50">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清单特征</w:t>
      </w:r>
      <w:r>
        <w:rPr>
          <w:rFonts w:hint="eastAsia" w:asciiTheme="minorEastAsia" w:hAnsiTheme="minorEastAsia" w:eastAsiaTheme="minorEastAsia" w:cstheme="minorEastAsia"/>
          <w:sz w:val="24"/>
          <w:szCs w:val="24"/>
          <w:highlight w:val="none"/>
        </w:rPr>
        <w:t xml:space="preserve">中列举了分项工程计量范围内完成本分项工程应有工作内容，凡说明了的工作内容均应包括在报价范围中，清单项目特征描述中没有体现完全的但又是完成该分项工程必须有的工作内容，也应包括在综合单价中。 </w:t>
      </w:r>
    </w:p>
    <w:p w14:paraId="69D171B7">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工程量清单所列的工程量根据招标图纸计算，仅作为投标报价的基础，工程进度款支付时以由中标人申请、监理审核、跟踪审计复核、招标人核准的实际完成工作量为依据，竣工结算以最终审计单位核实的工程量为准。</w:t>
      </w:r>
    </w:p>
    <w:p w14:paraId="1848342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本工程量清单凡未能注明做法或项目特征无法描述详细的清单项目按现行施工及验收规范、施工图纸及常规施工工艺施工并由投标单位自主报价。本工程量清单应与投标须知、合同条件、合同协议条款、工程范围和图纸一起使用。</w:t>
      </w:r>
    </w:p>
    <w:p w14:paraId="57103C00">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6.投标人在获取工程量清单后必须严格按此清单数量自主报价，并充分考虑风险因素，自行组价，综合报价。</w:t>
      </w:r>
    </w:p>
    <w:p w14:paraId="75CDF676">
      <w:pPr>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投标人需自行至现场仔细勘察。对招标人所列的措施项目，投标人可根据工程实际与施工组织设计进行增补，但不应更改招标人已列措施项目。结算时，除工程变更引起施工方案改变外，中标人不得以招标工程措施项目清单缺项为由要求新增措施项目。</w:t>
      </w:r>
    </w:p>
    <w:p w14:paraId="16E66FC7">
      <w:pPr>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招标人设暂列金额及专业工程暂估价的，投标人投标报价时必须按招标人提供的暂列金额及专业工程暂估价报价，竣工结算时按有关规定结算。专业工程暂估价达到依法必须招标的标准时，须通过招标确定承包人。</w:t>
      </w:r>
    </w:p>
    <w:p w14:paraId="57E23AA6">
      <w:pPr>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施工用水电费由投标单位自主报价，中标人自行装表支付水电费。</w:t>
      </w:r>
    </w:p>
    <w:p w14:paraId="24EFE539">
      <w:pPr>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投标人投标报价时需充分考虑工程当地现行的相关验收标准，确保工程验收通过并投入使用。</w:t>
      </w:r>
    </w:p>
    <w:p w14:paraId="21D97B9A">
      <w:pPr>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施工涉及的临时便道、临时交通设施等措施性费用在投标时</w:t>
      </w:r>
      <w:r>
        <w:rPr>
          <w:rFonts w:hint="eastAsia" w:asciiTheme="minorEastAsia" w:hAnsiTheme="minorEastAsia" w:eastAsiaTheme="minorEastAsia" w:cstheme="minorEastAsia"/>
          <w:sz w:val="24"/>
          <w:szCs w:val="24"/>
          <w:highlight w:val="none"/>
          <w:lang w:eastAsia="zh-CN"/>
        </w:rPr>
        <w:t>综合</w:t>
      </w:r>
      <w:r>
        <w:rPr>
          <w:rFonts w:hint="eastAsia" w:asciiTheme="minorEastAsia" w:hAnsiTheme="minorEastAsia" w:eastAsiaTheme="minorEastAsia" w:cstheme="minorEastAsia"/>
          <w:sz w:val="24"/>
          <w:szCs w:val="24"/>
          <w:highlight w:val="none"/>
        </w:rPr>
        <w:t>考虑</w:t>
      </w:r>
      <w:r>
        <w:rPr>
          <w:rFonts w:hint="eastAsia" w:asciiTheme="minorEastAsia" w:hAnsiTheme="minorEastAsia" w:eastAsiaTheme="minorEastAsia" w:cstheme="minorEastAsia"/>
          <w:sz w:val="24"/>
          <w:szCs w:val="24"/>
          <w:highlight w:val="none"/>
          <w:lang w:eastAsia="zh-CN"/>
        </w:rPr>
        <w:t>在报价中</w:t>
      </w:r>
      <w:r>
        <w:rPr>
          <w:rFonts w:hint="eastAsia" w:asciiTheme="minorEastAsia" w:hAnsiTheme="minorEastAsia" w:eastAsiaTheme="minorEastAsia" w:cstheme="minorEastAsia"/>
          <w:sz w:val="24"/>
          <w:szCs w:val="24"/>
          <w:highlight w:val="none"/>
        </w:rPr>
        <w:t>结算</w:t>
      </w:r>
      <w:r>
        <w:rPr>
          <w:rFonts w:hint="eastAsia" w:asciiTheme="minorEastAsia" w:hAnsiTheme="minorEastAsia" w:eastAsiaTheme="minorEastAsia" w:cstheme="minorEastAsia"/>
          <w:sz w:val="24"/>
          <w:szCs w:val="24"/>
          <w:highlight w:val="none"/>
          <w:lang w:eastAsia="zh-CN"/>
        </w:rPr>
        <w:t>时</w:t>
      </w:r>
      <w:r>
        <w:rPr>
          <w:rFonts w:hint="eastAsia" w:asciiTheme="minorEastAsia" w:hAnsiTheme="minorEastAsia" w:eastAsiaTheme="minorEastAsia" w:cstheme="minorEastAsia"/>
          <w:sz w:val="24"/>
          <w:szCs w:val="24"/>
          <w:highlight w:val="none"/>
        </w:rPr>
        <w:t>不另计。</w:t>
      </w:r>
    </w:p>
    <w:p w14:paraId="1DE5C908">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b w:val="0"/>
          <w:bCs w:val="0"/>
          <w:color w:val="auto"/>
          <w:sz w:val="24"/>
          <w:szCs w:val="24"/>
          <w:highlight w:val="none"/>
          <w:lang w:val="en-US" w:eastAsia="zh-CN"/>
        </w:rPr>
        <w:t>清单中按项包干的内容，投标单位应充分踏勘、理解图纸并结合现场自主报价，结算不做调整。</w:t>
      </w:r>
    </w:p>
    <w:p w14:paraId="3451CA79">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13.所有装饰材料均需符合消防规范要求；材料使用符合要求及施工验收规范要求；装饰材料符合环保要求、乳胶漆必须选用环保型。所有装饰材料均采用符合国家标准的环保产品，在材料进场前均需送样检测，并提供合格的检测报告，并经同意后方可进场。</w:t>
      </w:r>
    </w:p>
    <w:p w14:paraId="1E4D864B">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15.所有装饰面、墙地砖投标单位报价时均应考虑磨边、酸性打蜡、防污、成品保护、打磨、防腐、镜面处理、嵌缝、阳角对边等相关工序，在竣工结算审核时不得因为在投标时未报价而要求调整。</w:t>
      </w:r>
    </w:p>
    <w:p w14:paraId="13AC928E">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16.所有踢脚线、阴角、不同材料交接等部位需打美容胶的，投标单位报价时均应考虑在投标报价中，在竣工结算审核时不得因为在投标时未报价而要求调整。</w:t>
      </w:r>
    </w:p>
    <w:p w14:paraId="490FA1EE">
      <w:pPr>
        <w:keepNext w:val="0"/>
        <w:keepLines w:val="0"/>
        <w:pageBreakBefore w:val="0"/>
        <w:widowControl w:val="0"/>
        <w:kinsoku/>
        <w:wordWrap/>
        <w:overflowPunct/>
        <w:topLinePunct w:val="0"/>
        <w:autoSpaceDE/>
        <w:autoSpaceDN/>
        <w:bidi w:val="0"/>
        <w:spacing w:line="360" w:lineRule="auto"/>
        <w:ind w:leftChars="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五、招标人推荐厂家品牌表，详见下表</w:t>
      </w:r>
    </w:p>
    <w:tbl>
      <w:tblPr>
        <w:tblStyle w:val="7"/>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300"/>
        <w:gridCol w:w="4758"/>
      </w:tblGrid>
      <w:tr w14:paraId="4D8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2" w:type="dxa"/>
            <w:noWrap w:val="0"/>
            <w:vAlign w:val="top"/>
          </w:tcPr>
          <w:p w14:paraId="7064EF78">
            <w:pPr>
              <w:pStyle w:val="22"/>
              <w:spacing w:line="360" w:lineRule="auto"/>
              <w:ind w:left="0" w:right="86"/>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序号</w:t>
            </w:r>
          </w:p>
        </w:tc>
        <w:tc>
          <w:tcPr>
            <w:tcW w:w="3300" w:type="dxa"/>
            <w:noWrap w:val="0"/>
            <w:vAlign w:val="center"/>
          </w:tcPr>
          <w:p w14:paraId="73E0B6D4">
            <w:pPr>
              <w:pStyle w:val="22"/>
              <w:spacing w:line="360" w:lineRule="auto"/>
              <w:ind w:left="0" w:right="86"/>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材料名称</w:t>
            </w:r>
          </w:p>
        </w:tc>
        <w:tc>
          <w:tcPr>
            <w:tcW w:w="4758" w:type="dxa"/>
            <w:noWrap w:val="0"/>
            <w:vAlign w:val="center"/>
          </w:tcPr>
          <w:p w14:paraId="1BCE3547">
            <w:pPr>
              <w:pStyle w:val="22"/>
              <w:spacing w:line="360" w:lineRule="auto"/>
              <w:ind w:left="0" w:right="86"/>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品牌</w:t>
            </w:r>
          </w:p>
        </w:tc>
      </w:tr>
      <w:tr w14:paraId="2A57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2" w:type="dxa"/>
            <w:noWrap w:val="0"/>
            <w:vAlign w:val="top"/>
          </w:tcPr>
          <w:p w14:paraId="088BA1E8">
            <w:pPr>
              <w:pStyle w:val="22"/>
              <w:spacing w:line="360" w:lineRule="auto"/>
              <w:ind w:left="0" w:right="86"/>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1</w:t>
            </w:r>
          </w:p>
        </w:tc>
        <w:tc>
          <w:tcPr>
            <w:tcW w:w="3300" w:type="dxa"/>
            <w:noWrap w:val="0"/>
            <w:vAlign w:val="center"/>
          </w:tcPr>
          <w:p w14:paraId="52475E55">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乳胶漆、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无机</w:t>
            </w:r>
            <w:r>
              <w:rPr>
                <w:rFonts w:hint="eastAsia" w:asciiTheme="minorEastAsia" w:hAnsiTheme="minorEastAsia" w:eastAsiaTheme="minorEastAsia" w:cstheme="minorEastAsia"/>
                <w:color w:val="auto"/>
                <w:kern w:val="2"/>
                <w:sz w:val="24"/>
                <w:szCs w:val="24"/>
                <w:highlight w:val="none"/>
                <w:lang w:val="en-US" w:bidi="ar-SA"/>
              </w:rPr>
              <w:t>涂料</w:t>
            </w:r>
          </w:p>
        </w:tc>
        <w:tc>
          <w:tcPr>
            <w:tcW w:w="4758" w:type="dxa"/>
            <w:noWrap w:val="0"/>
            <w:vAlign w:val="center"/>
          </w:tcPr>
          <w:p w14:paraId="5D1F3619">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立邦、多乐士、三棵树</w:t>
            </w:r>
          </w:p>
        </w:tc>
      </w:tr>
      <w:tr w14:paraId="47FB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2" w:type="dxa"/>
            <w:noWrap w:val="0"/>
            <w:vAlign w:val="top"/>
          </w:tcPr>
          <w:p w14:paraId="6AF047ED">
            <w:pPr>
              <w:pStyle w:val="22"/>
              <w:spacing w:line="360" w:lineRule="auto"/>
              <w:ind w:left="0" w:right="86"/>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2</w:t>
            </w:r>
          </w:p>
        </w:tc>
        <w:tc>
          <w:tcPr>
            <w:tcW w:w="3300" w:type="dxa"/>
            <w:noWrap w:val="0"/>
            <w:vAlign w:val="center"/>
          </w:tcPr>
          <w:p w14:paraId="4F39462C">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墙地砖</w:t>
            </w:r>
          </w:p>
        </w:tc>
        <w:tc>
          <w:tcPr>
            <w:tcW w:w="4758" w:type="dxa"/>
            <w:noWrap w:val="0"/>
            <w:vAlign w:val="center"/>
          </w:tcPr>
          <w:p w14:paraId="30C0F191">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东鹏、冠珠、冠军、</w:t>
            </w:r>
            <w:r>
              <w:rPr>
                <w:rFonts w:hint="eastAsia" w:asciiTheme="minorEastAsia" w:hAnsiTheme="minorEastAsia" w:eastAsiaTheme="minorEastAsia" w:cstheme="minorEastAsia"/>
                <w:color w:val="auto"/>
                <w:kern w:val="2"/>
                <w:sz w:val="24"/>
                <w:szCs w:val="24"/>
                <w:lang w:val="en-US" w:bidi="ar-SA"/>
              </w:rPr>
              <w:t>新中源</w:t>
            </w:r>
          </w:p>
        </w:tc>
      </w:tr>
      <w:tr w14:paraId="7D4C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2" w:type="dxa"/>
            <w:noWrap w:val="0"/>
            <w:vAlign w:val="top"/>
          </w:tcPr>
          <w:p w14:paraId="3905946C">
            <w:pPr>
              <w:pStyle w:val="22"/>
              <w:spacing w:line="360" w:lineRule="auto"/>
              <w:ind w:left="0" w:right="86"/>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3</w:t>
            </w:r>
          </w:p>
        </w:tc>
        <w:tc>
          <w:tcPr>
            <w:tcW w:w="3300" w:type="dxa"/>
            <w:noWrap w:val="0"/>
            <w:vAlign w:val="center"/>
          </w:tcPr>
          <w:p w14:paraId="0AC51A6E">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防水材料</w:t>
            </w:r>
          </w:p>
        </w:tc>
        <w:tc>
          <w:tcPr>
            <w:tcW w:w="4758" w:type="dxa"/>
            <w:noWrap w:val="0"/>
            <w:vAlign w:val="center"/>
          </w:tcPr>
          <w:p w14:paraId="2024C870">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东方雨虹、禹王、科顺</w:t>
            </w:r>
          </w:p>
        </w:tc>
      </w:tr>
      <w:tr w14:paraId="62D6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top"/>
          </w:tcPr>
          <w:p w14:paraId="7A20ED83">
            <w:pPr>
              <w:pStyle w:val="22"/>
              <w:spacing w:line="360" w:lineRule="auto"/>
              <w:ind w:left="0" w:right="86"/>
              <w:rPr>
                <w:rFonts w:hint="eastAsia" w:asciiTheme="minorEastAsia" w:hAnsiTheme="minorEastAsia" w:eastAsiaTheme="minorEastAsia" w:cstheme="minorEastAsia"/>
                <w:kern w:val="2"/>
                <w:sz w:val="24"/>
                <w:szCs w:val="24"/>
                <w:highlight w:val="none"/>
                <w:lang w:val="en-US" w:bidi="ar-SA"/>
              </w:rPr>
            </w:pPr>
            <w:r>
              <w:rPr>
                <w:rFonts w:hint="eastAsia" w:asciiTheme="minorEastAsia" w:hAnsiTheme="minorEastAsia" w:eastAsiaTheme="minorEastAsia" w:cstheme="minorEastAsia"/>
                <w:kern w:val="2"/>
                <w:sz w:val="24"/>
                <w:szCs w:val="24"/>
                <w:highlight w:val="none"/>
                <w:lang w:val="en-US" w:bidi="ar-SA"/>
              </w:rPr>
              <w:t>4</w:t>
            </w:r>
          </w:p>
        </w:tc>
        <w:tc>
          <w:tcPr>
            <w:tcW w:w="3300" w:type="dxa"/>
            <w:shd w:val="clear" w:color="auto" w:fill="auto"/>
            <w:noWrap w:val="0"/>
            <w:vAlign w:val="center"/>
          </w:tcPr>
          <w:p w14:paraId="09BEEB8E">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shd w:val="clear" w:color="auto" w:fill="FFFFFF"/>
              </w:rPr>
              <w:t>纸面石膏板</w:t>
            </w:r>
          </w:p>
        </w:tc>
        <w:tc>
          <w:tcPr>
            <w:tcW w:w="4758" w:type="dxa"/>
            <w:shd w:val="clear" w:color="auto" w:fill="auto"/>
            <w:noWrap w:val="0"/>
            <w:vAlign w:val="center"/>
          </w:tcPr>
          <w:p w14:paraId="4BC87508">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龙牌、可耐福、拉法基</w:t>
            </w:r>
          </w:p>
        </w:tc>
      </w:tr>
      <w:tr w14:paraId="5FC8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2" w:type="dxa"/>
            <w:noWrap w:val="0"/>
            <w:vAlign w:val="top"/>
          </w:tcPr>
          <w:p w14:paraId="673EFE9E">
            <w:pPr>
              <w:pStyle w:val="22"/>
              <w:spacing w:line="360" w:lineRule="auto"/>
              <w:ind w:left="0" w:right="86"/>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w:t>
            </w:r>
          </w:p>
        </w:tc>
        <w:tc>
          <w:tcPr>
            <w:tcW w:w="3300" w:type="dxa"/>
            <w:shd w:val="clear" w:color="auto" w:fill="auto"/>
            <w:noWrap w:val="0"/>
            <w:vAlign w:val="center"/>
          </w:tcPr>
          <w:p w14:paraId="5E8F5195">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板材</w:t>
            </w:r>
          </w:p>
        </w:tc>
        <w:tc>
          <w:tcPr>
            <w:tcW w:w="4758" w:type="dxa"/>
            <w:shd w:val="clear" w:color="auto" w:fill="auto"/>
            <w:noWrap w:val="0"/>
            <w:vAlign w:val="center"/>
          </w:tcPr>
          <w:p w14:paraId="7CCBDB8B">
            <w:pPr>
              <w:pStyle w:val="22"/>
              <w:spacing w:line="360" w:lineRule="auto"/>
              <w:ind w:left="0" w:leftChars="0" w:right="86"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莫干山、兔宝宝、千年舟</w:t>
            </w:r>
          </w:p>
        </w:tc>
      </w:tr>
      <w:tr w14:paraId="57C9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2" w:type="dxa"/>
            <w:noWrap w:val="0"/>
            <w:vAlign w:val="top"/>
          </w:tcPr>
          <w:p w14:paraId="347575D2">
            <w:pPr>
              <w:pStyle w:val="22"/>
              <w:spacing w:line="360" w:lineRule="auto"/>
              <w:ind w:left="0" w:leftChars="0" w:right="86"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w:t>
            </w:r>
          </w:p>
        </w:tc>
        <w:tc>
          <w:tcPr>
            <w:tcW w:w="3300" w:type="dxa"/>
            <w:shd w:val="clear" w:color="auto" w:fill="auto"/>
            <w:noWrap w:val="0"/>
            <w:vAlign w:val="center"/>
          </w:tcPr>
          <w:p w14:paraId="6A587A16">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强化复合地板</w:t>
            </w:r>
          </w:p>
        </w:tc>
        <w:tc>
          <w:tcPr>
            <w:tcW w:w="4758" w:type="dxa"/>
            <w:shd w:val="clear" w:color="auto" w:fill="auto"/>
            <w:noWrap w:val="0"/>
            <w:vAlign w:val="center"/>
          </w:tcPr>
          <w:p w14:paraId="30B27807">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圣象、富得利、大自然</w:t>
            </w:r>
          </w:p>
        </w:tc>
      </w:tr>
      <w:tr w14:paraId="671D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2" w:type="dxa"/>
            <w:noWrap w:val="0"/>
            <w:vAlign w:val="top"/>
          </w:tcPr>
          <w:p w14:paraId="2536FC72">
            <w:pPr>
              <w:pStyle w:val="22"/>
              <w:spacing w:line="360" w:lineRule="auto"/>
              <w:ind w:left="0" w:leftChars="0" w:right="86" w:right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w:t>
            </w:r>
          </w:p>
        </w:tc>
        <w:tc>
          <w:tcPr>
            <w:tcW w:w="3300" w:type="dxa"/>
            <w:shd w:val="clear" w:color="auto" w:fill="auto"/>
            <w:noWrap w:val="0"/>
            <w:vAlign w:val="center"/>
          </w:tcPr>
          <w:p w14:paraId="4D6BD1B6">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实木复合门</w:t>
            </w:r>
          </w:p>
        </w:tc>
        <w:tc>
          <w:tcPr>
            <w:tcW w:w="4758" w:type="dxa"/>
            <w:shd w:val="clear" w:color="auto" w:fill="auto"/>
            <w:noWrap w:val="0"/>
            <w:vAlign w:val="center"/>
          </w:tcPr>
          <w:p w14:paraId="42C0F3B9">
            <w:pPr>
              <w:widowControl/>
              <w:spacing w:line="360" w:lineRule="auto"/>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新多、步阳、盼盼</w:t>
            </w:r>
          </w:p>
        </w:tc>
      </w:tr>
    </w:tbl>
    <w:p w14:paraId="13B30396">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本次招标项目中，属于承包人自行采购的主要材料、设备，采购人提供了3个或3个以上符合本次招标要求的品牌供投标人选择，投标人应预计上述各种品牌之间的价格差异进行投标报价而且必须满足施工图纸要求和购买条件；投标单位对现场施工情况应按设计要求，考虑综合因素，进行投标报价。</w:t>
      </w:r>
    </w:p>
    <w:p w14:paraId="6DB4183E">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2.投标人拟选择推荐的厂家或品牌以外的产品，应满足招标文件中提出技术标准和质量要求，并由采购人书面同意。</w:t>
      </w:r>
    </w:p>
    <w:p w14:paraId="4BE3415F">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3.本工程没有设置品牌的材料需达到国产优质标准，投标人根据图纸要求自主报价，但应注明规格、品牌、型号、等级及产地等且必须满足采购人要求，重要的设备材料施工前需送货看样，经采购人同意后实施。</w:t>
      </w:r>
    </w:p>
    <w:p w14:paraId="264A2418">
      <w:pPr>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4.投标人必须按照本工程的“工程量清单编制说明”中的“采购人品牌推荐表”选定品牌，在投标文件中列明采用的材料、设备等的品牌，</w:t>
      </w:r>
      <w:r>
        <w:rPr>
          <w:rFonts w:hint="eastAsia" w:asciiTheme="minorEastAsia" w:hAnsiTheme="minorEastAsia" w:eastAsiaTheme="minorEastAsia" w:cstheme="minorEastAsia"/>
          <w:b/>
          <w:bCs/>
          <w:color w:val="auto"/>
          <w:sz w:val="24"/>
          <w:szCs w:val="24"/>
          <w:highlight w:val="none"/>
          <w:lang w:val="en-US" w:eastAsia="zh-CN"/>
        </w:rPr>
        <w:t>按照同样格式编制品牌选定表加盖公章附在投标文件中</w:t>
      </w:r>
      <w:r>
        <w:rPr>
          <w:rFonts w:hint="eastAsia" w:asciiTheme="minorEastAsia" w:hAnsiTheme="minorEastAsia" w:eastAsiaTheme="minorEastAsia" w:cstheme="minorEastAsia"/>
          <w:b w:val="0"/>
          <w:bCs w:val="0"/>
          <w:color w:val="auto"/>
          <w:sz w:val="24"/>
          <w:szCs w:val="24"/>
          <w:highlight w:val="none"/>
          <w:lang w:val="en-US" w:eastAsia="zh-CN"/>
        </w:rPr>
        <w:t>，投标人投标时</w:t>
      </w:r>
      <w:r>
        <w:rPr>
          <w:rFonts w:hint="eastAsia" w:asciiTheme="minorEastAsia" w:hAnsiTheme="minorEastAsia" w:eastAsiaTheme="minorEastAsia" w:cstheme="minorEastAsia"/>
          <w:b/>
          <w:bCs/>
          <w:color w:val="auto"/>
          <w:sz w:val="24"/>
          <w:szCs w:val="24"/>
          <w:highlight w:val="none"/>
          <w:lang w:val="en-US" w:eastAsia="zh-CN"/>
        </w:rPr>
        <w:t>必须且仅可选用每种材料中的一种品</w:t>
      </w:r>
      <w:bookmarkStart w:id="0" w:name="_GoBack"/>
      <w:bookmarkEnd w:id="0"/>
      <w:r>
        <w:rPr>
          <w:rFonts w:hint="eastAsia" w:asciiTheme="minorEastAsia" w:hAnsiTheme="minorEastAsia" w:eastAsiaTheme="minorEastAsia" w:cstheme="minorEastAsia"/>
          <w:b/>
          <w:bCs/>
          <w:color w:val="auto"/>
          <w:sz w:val="24"/>
          <w:szCs w:val="24"/>
          <w:highlight w:val="none"/>
          <w:lang w:val="en-US" w:eastAsia="zh-CN"/>
        </w:rPr>
        <w:t>牌</w:t>
      </w:r>
      <w:r>
        <w:rPr>
          <w:rFonts w:hint="eastAsia" w:asciiTheme="minorEastAsia" w:hAnsiTheme="minorEastAsia" w:eastAsiaTheme="minorEastAsia" w:cstheme="minorEastAsia"/>
          <w:b w:val="0"/>
          <w:bCs w:val="0"/>
          <w:color w:val="auto"/>
          <w:sz w:val="24"/>
          <w:szCs w:val="24"/>
          <w:highlight w:val="none"/>
          <w:lang w:val="en-US" w:eastAsia="zh-CN"/>
        </w:rPr>
        <w:t>。投标人拟增加厂家或品牌的，应在招标文件规定的澄清答疑期限结束之前提出，满足招标文件中明确的技术标准和质量要求，并须经过采购人同意。</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238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1109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81109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7D7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267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773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C68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B72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79EAB"/>
    <w:multiLevelType w:val="singleLevel"/>
    <w:tmpl w:val="ED179EAB"/>
    <w:lvl w:ilvl="0" w:tentative="0">
      <w:start w:val="1"/>
      <w:numFmt w:val="decimal"/>
      <w:lvlText w:val="%1."/>
      <w:lvlJc w:val="left"/>
      <w:pPr>
        <w:ind w:left="425" w:hanging="425"/>
      </w:pPr>
      <w:rPr>
        <w:rFonts w:hint="default"/>
      </w:rPr>
    </w:lvl>
  </w:abstractNum>
  <w:abstractNum w:abstractNumId="1">
    <w:nsid w:val="6AB18473"/>
    <w:multiLevelType w:val="multilevel"/>
    <w:tmpl w:val="6AB18473"/>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11E5B"/>
    <w:rsid w:val="00075916"/>
    <w:rsid w:val="000B7F01"/>
    <w:rsid w:val="000E6C9C"/>
    <w:rsid w:val="00294819"/>
    <w:rsid w:val="002B3F73"/>
    <w:rsid w:val="002E77FE"/>
    <w:rsid w:val="00345DA4"/>
    <w:rsid w:val="003558D8"/>
    <w:rsid w:val="003842A4"/>
    <w:rsid w:val="003D02BA"/>
    <w:rsid w:val="005A108C"/>
    <w:rsid w:val="005F12B2"/>
    <w:rsid w:val="006811B8"/>
    <w:rsid w:val="00713B39"/>
    <w:rsid w:val="00730905"/>
    <w:rsid w:val="00753D59"/>
    <w:rsid w:val="007548C1"/>
    <w:rsid w:val="007919BC"/>
    <w:rsid w:val="007A1420"/>
    <w:rsid w:val="007C0F2D"/>
    <w:rsid w:val="007E1670"/>
    <w:rsid w:val="007F6E52"/>
    <w:rsid w:val="008976E4"/>
    <w:rsid w:val="00AE4B1E"/>
    <w:rsid w:val="00AF42AB"/>
    <w:rsid w:val="00AF6F15"/>
    <w:rsid w:val="00AF7995"/>
    <w:rsid w:val="00B22708"/>
    <w:rsid w:val="00B672A2"/>
    <w:rsid w:val="00B8275F"/>
    <w:rsid w:val="00B93D27"/>
    <w:rsid w:val="00C765F7"/>
    <w:rsid w:val="00CF20AF"/>
    <w:rsid w:val="00D24F7B"/>
    <w:rsid w:val="00D46012"/>
    <w:rsid w:val="00D87CFB"/>
    <w:rsid w:val="00DC1B14"/>
    <w:rsid w:val="00DF3BDE"/>
    <w:rsid w:val="00E0009B"/>
    <w:rsid w:val="00E20874"/>
    <w:rsid w:val="00E74CA5"/>
    <w:rsid w:val="00EC5C36"/>
    <w:rsid w:val="00ED1F95"/>
    <w:rsid w:val="00ED3A7D"/>
    <w:rsid w:val="00F42372"/>
    <w:rsid w:val="00F813CB"/>
    <w:rsid w:val="00FB20FF"/>
    <w:rsid w:val="00FD2A74"/>
    <w:rsid w:val="01172658"/>
    <w:rsid w:val="012C59C1"/>
    <w:rsid w:val="01A3073B"/>
    <w:rsid w:val="01CF4E9E"/>
    <w:rsid w:val="020049D1"/>
    <w:rsid w:val="020411DA"/>
    <w:rsid w:val="028A38C8"/>
    <w:rsid w:val="02A213C7"/>
    <w:rsid w:val="02B546E8"/>
    <w:rsid w:val="02EF1E8A"/>
    <w:rsid w:val="0309162A"/>
    <w:rsid w:val="03975DB3"/>
    <w:rsid w:val="03F92894"/>
    <w:rsid w:val="047B506E"/>
    <w:rsid w:val="04B2316F"/>
    <w:rsid w:val="04D96404"/>
    <w:rsid w:val="04F33787"/>
    <w:rsid w:val="05A41E4B"/>
    <w:rsid w:val="05A87846"/>
    <w:rsid w:val="068723D9"/>
    <w:rsid w:val="07342561"/>
    <w:rsid w:val="07667168"/>
    <w:rsid w:val="08444D3B"/>
    <w:rsid w:val="08AD4BA2"/>
    <w:rsid w:val="08F17168"/>
    <w:rsid w:val="094947AB"/>
    <w:rsid w:val="0989144A"/>
    <w:rsid w:val="099A0D9F"/>
    <w:rsid w:val="09E2765E"/>
    <w:rsid w:val="0A69670B"/>
    <w:rsid w:val="0AF9115C"/>
    <w:rsid w:val="0BA46A88"/>
    <w:rsid w:val="0C085D6A"/>
    <w:rsid w:val="0C1609C3"/>
    <w:rsid w:val="0CC277B6"/>
    <w:rsid w:val="0CE84960"/>
    <w:rsid w:val="0D1F2401"/>
    <w:rsid w:val="0DDC47A3"/>
    <w:rsid w:val="0DF047D4"/>
    <w:rsid w:val="0E405DB3"/>
    <w:rsid w:val="0EEA0A3C"/>
    <w:rsid w:val="0F6B41A6"/>
    <w:rsid w:val="0FDD12BC"/>
    <w:rsid w:val="102163AB"/>
    <w:rsid w:val="102601A7"/>
    <w:rsid w:val="10BA1DFB"/>
    <w:rsid w:val="10F82A3F"/>
    <w:rsid w:val="110C00AB"/>
    <w:rsid w:val="113572B1"/>
    <w:rsid w:val="114B271D"/>
    <w:rsid w:val="11B75315"/>
    <w:rsid w:val="124E6923"/>
    <w:rsid w:val="127E06B4"/>
    <w:rsid w:val="12901F23"/>
    <w:rsid w:val="12C15724"/>
    <w:rsid w:val="12EE3620"/>
    <w:rsid w:val="12F9273B"/>
    <w:rsid w:val="13361914"/>
    <w:rsid w:val="133661B1"/>
    <w:rsid w:val="13996C4D"/>
    <w:rsid w:val="13F866C4"/>
    <w:rsid w:val="141D612B"/>
    <w:rsid w:val="145002AE"/>
    <w:rsid w:val="14636234"/>
    <w:rsid w:val="148A2D6D"/>
    <w:rsid w:val="15707AAA"/>
    <w:rsid w:val="15ED6C98"/>
    <w:rsid w:val="161C5282"/>
    <w:rsid w:val="165878EE"/>
    <w:rsid w:val="166D329C"/>
    <w:rsid w:val="1686693D"/>
    <w:rsid w:val="1710680E"/>
    <w:rsid w:val="172E3526"/>
    <w:rsid w:val="182C594B"/>
    <w:rsid w:val="191A70DD"/>
    <w:rsid w:val="195F1E00"/>
    <w:rsid w:val="19F141C5"/>
    <w:rsid w:val="1A07140F"/>
    <w:rsid w:val="1A3E3815"/>
    <w:rsid w:val="1AD02EA7"/>
    <w:rsid w:val="1B99253B"/>
    <w:rsid w:val="1BAC62D2"/>
    <w:rsid w:val="1BF260EF"/>
    <w:rsid w:val="1C5B1EE6"/>
    <w:rsid w:val="1C8036FB"/>
    <w:rsid w:val="1D4808AC"/>
    <w:rsid w:val="1DB970F4"/>
    <w:rsid w:val="1DCA2E80"/>
    <w:rsid w:val="1E392745"/>
    <w:rsid w:val="1E777E64"/>
    <w:rsid w:val="1E7977BC"/>
    <w:rsid w:val="1E955C74"/>
    <w:rsid w:val="1E990AA4"/>
    <w:rsid w:val="204A043C"/>
    <w:rsid w:val="2057749E"/>
    <w:rsid w:val="20BD4861"/>
    <w:rsid w:val="214116AB"/>
    <w:rsid w:val="21417D79"/>
    <w:rsid w:val="214333D9"/>
    <w:rsid w:val="222D7E81"/>
    <w:rsid w:val="23841D23"/>
    <w:rsid w:val="23997803"/>
    <w:rsid w:val="239A5278"/>
    <w:rsid w:val="239B67CE"/>
    <w:rsid w:val="23DE05FF"/>
    <w:rsid w:val="243068FE"/>
    <w:rsid w:val="247E678B"/>
    <w:rsid w:val="249B4AF9"/>
    <w:rsid w:val="24C04FDC"/>
    <w:rsid w:val="24FD1D8D"/>
    <w:rsid w:val="25284930"/>
    <w:rsid w:val="26393298"/>
    <w:rsid w:val="26E34FB2"/>
    <w:rsid w:val="27166BDB"/>
    <w:rsid w:val="27181100"/>
    <w:rsid w:val="278F6CC9"/>
    <w:rsid w:val="27934C2A"/>
    <w:rsid w:val="27A57CCF"/>
    <w:rsid w:val="2872558B"/>
    <w:rsid w:val="29303D71"/>
    <w:rsid w:val="29F669D4"/>
    <w:rsid w:val="2A951663"/>
    <w:rsid w:val="2A9B5335"/>
    <w:rsid w:val="2B153A3F"/>
    <w:rsid w:val="2B2B114E"/>
    <w:rsid w:val="2B404781"/>
    <w:rsid w:val="2BB83428"/>
    <w:rsid w:val="2BD22C2A"/>
    <w:rsid w:val="2BED4F6F"/>
    <w:rsid w:val="2C6646BB"/>
    <w:rsid w:val="2CA970FA"/>
    <w:rsid w:val="2CEE4754"/>
    <w:rsid w:val="2CF41816"/>
    <w:rsid w:val="2D6D3827"/>
    <w:rsid w:val="2DCA438F"/>
    <w:rsid w:val="2DCB4AA6"/>
    <w:rsid w:val="2DE52BE9"/>
    <w:rsid w:val="2E754606"/>
    <w:rsid w:val="2E8454E3"/>
    <w:rsid w:val="2F087AA8"/>
    <w:rsid w:val="2F422FEA"/>
    <w:rsid w:val="2F633311"/>
    <w:rsid w:val="2F972DDE"/>
    <w:rsid w:val="2FC554AA"/>
    <w:rsid w:val="2FCD3AC5"/>
    <w:rsid w:val="2FE11597"/>
    <w:rsid w:val="30515682"/>
    <w:rsid w:val="30E12562"/>
    <w:rsid w:val="30E93BF0"/>
    <w:rsid w:val="315A21BB"/>
    <w:rsid w:val="3186310A"/>
    <w:rsid w:val="32BD6FFF"/>
    <w:rsid w:val="33F64577"/>
    <w:rsid w:val="340F5638"/>
    <w:rsid w:val="34BA1455"/>
    <w:rsid w:val="34CD43E1"/>
    <w:rsid w:val="34DC2B4A"/>
    <w:rsid w:val="34F30AB6"/>
    <w:rsid w:val="35650039"/>
    <w:rsid w:val="357E454E"/>
    <w:rsid w:val="3594746C"/>
    <w:rsid w:val="360D22AD"/>
    <w:rsid w:val="364B47AD"/>
    <w:rsid w:val="36702280"/>
    <w:rsid w:val="36794DCB"/>
    <w:rsid w:val="36B52244"/>
    <w:rsid w:val="36C21D82"/>
    <w:rsid w:val="381B27FE"/>
    <w:rsid w:val="39807B31"/>
    <w:rsid w:val="3A57320E"/>
    <w:rsid w:val="3AE55345"/>
    <w:rsid w:val="3AFB4B7C"/>
    <w:rsid w:val="3B952573"/>
    <w:rsid w:val="3B9A2FE6"/>
    <w:rsid w:val="3C85293C"/>
    <w:rsid w:val="3CBD7E83"/>
    <w:rsid w:val="3D3A3646"/>
    <w:rsid w:val="3D441046"/>
    <w:rsid w:val="3D497555"/>
    <w:rsid w:val="3D567AF3"/>
    <w:rsid w:val="3DAC572A"/>
    <w:rsid w:val="3DED7156"/>
    <w:rsid w:val="3EC243F7"/>
    <w:rsid w:val="3ECA4297"/>
    <w:rsid w:val="3F054DCA"/>
    <w:rsid w:val="3F5B55A1"/>
    <w:rsid w:val="3FA8027A"/>
    <w:rsid w:val="3FAB7A57"/>
    <w:rsid w:val="40893D00"/>
    <w:rsid w:val="408B1DAB"/>
    <w:rsid w:val="415114F6"/>
    <w:rsid w:val="41827116"/>
    <w:rsid w:val="41FE425C"/>
    <w:rsid w:val="42392AF6"/>
    <w:rsid w:val="42BB6C4F"/>
    <w:rsid w:val="43032930"/>
    <w:rsid w:val="435F1404"/>
    <w:rsid w:val="43F14D5A"/>
    <w:rsid w:val="44B31B5B"/>
    <w:rsid w:val="4536196A"/>
    <w:rsid w:val="45AD3412"/>
    <w:rsid w:val="45D24AB7"/>
    <w:rsid w:val="462C1A65"/>
    <w:rsid w:val="466F2D80"/>
    <w:rsid w:val="46873370"/>
    <w:rsid w:val="469043B7"/>
    <w:rsid w:val="469D45CC"/>
    <w:rsid w:val="477B4BE2"/>
    <w:rsid w:val="47C86DC7"/>
    <w:rsid w:val="48190405"/>
    <w:rsid w:val="48574EF5"/>
    <w:rsid w:val="487F4BD6"/>
    <w:rsid w:val="492A1535"/>
    <w:rsid w:val="493F41BC"/>
    <w:rsid w:val="49631E38"/>
    <w:rsid w:val="4A24041C"/>
    <w:rsid w:val="4AAA5E88"/>
    <w:rsid w:val="4AE651CD"/>
    <w:rsid w:val="4B0B4954"/>
    <w:rsid w:val="4B0C2455"/>
    <w:rsid w:val="4C61212F"/>
    <w:rsid w:val="4CBE5C46"/>
    <w:rsid w:val="4CDF2BF2"/>
    <w:rsid w:val="4D556503"/>
    <w:rsid w:val="4E714036"/>
    <w:rsid w:val="4EA51F41"/>
    <w:rsid w:val="4EA87FBA"/>
    <w:rsid w:val="4ED31B4F"/>
    <w:rsid w:val="4F4977F9"/>
    <w:rsid w:val="4F9F3ABC"/>
    <w:rsid w:val="504C7A8F"/>
    <w:rsid w:val="50561658"/>
    <w:rsid w:val="507F00CA"/>
    <w:rsid w:val="50D27E35"/>
    <w:rsid w:val="510B1C5B"/>
    <w:rsid w:val="51362E3F"/>
    <w:rsid w:val="514E7348"/>
    <w:rsid w:val="517D67E9"/>
    <w:rsid w:val="533F1CAD"/>
    <w:rsid w:val="53654882"/>
    <w:rsid w:val="53941C03"/>
    <w:rsid w:val="53F266B1"/>
    <w:rsid w:val="54B57B0B"/>
    <w:rsid w:val="54CE4645"/>
    <w:rsid w:val="54D86A6E"/>
    <w:rsid w:val="550B59C7"/>
    <w:rsid w:val="5558009A"/>
    <w:rsid w:val="5621327D"/>
    <w:rsid w:val="565A053D"/>
    <w:rsid w:val="566C29CD"/>
    <w:rsid w:val="56D8011A"/>
    <w:rsid w:val="56D976B4"/>
    <w:rsid w:val="56F40992"/>
    <w:rsid w:val="56F813F6"/>
    <w:rsid w:val="56FE536D"/>
    <w:rsid w:val="57225312"/>
    <w:rsid w:val="574B49A9"/>
    <w:rsid w:val="58C96444"/>
    <w:rsid w:val="58F50CD5"/>
    <w:rsid w:val="58F622DA"/>
    <w:rsid w:val="592B2D16"/>
    <w:rsid w:val="59777658"/>
    <w:rsid w:val="599478FF"/>
    <w:rsid w:val="59C31E69"/>
    <w:rsid w:val="59CF1242"/>
    <w:rsid w:val="5A1C17BD"/>
    <w:rsid w:val="5A5E0F14"/>
    <w:rsid w:val="5ACA4631"/>
    <w:rsid w:val="5CCD5DDB"/>
    <w:rsid w:val="5D9562FF"/>
    <w:rsid w:val="5E83071A"/>
    <w:rsid w:val="5EBE53E1"/>
    <w:rsid w:val="5F625A16"/>
    <w:rsid w:val="5F6A7634"/>
    <w:rsid w:val="602A5424"/>
    <w:rsid w:val="60522285"/>
    <w:rsid w:val="607C6F43"/>
    <w:rsid w:val="60933287"/>
    <w:rsid w:val="619E193D"/>
    <w:rsid w:val="61B53CEB"/>
    <w:rsid w:val="626E0BFD"/>
    <w:rsid w:val="62D179E2"/>
    <w:rsid w:val="6320315E"/>
    <w:rsid w:val="634A7564"/>
    <w:rsid w:val="634F3B32"/>
    <w:rsid w:val="6424218B"/>
    <w:rsid w:val="644F15F9"/>
    <w:rsid w:val="64CA35E3"/>
    <w:rsid w:val="65222B6E"/>
    <w:rsid w:val="6554084E"/>
    <w:rsid w:val="65CE4FA7"/>
    <w:rsid w:val="66D91AE9"/>
    <w:rsid w:val="66ED231F"/>
    <w:rsid w:val="671E7365"/>
    <w:rsid w:val="674E19F8"/>
    <w:rsid w:val="67597321"/>
    <w:rsid w:val="67954777"/>
    <w:rsid w:val="67D46BA6"/>
    <w:rsid w:val="67F41FE9"/>
    <w:rsid w:val="682B3AE8"/>
    <w:rsid w:val="683F4927"/>
    <w:rsid w:val="699670B1"/>
    <w:rsid w:val="6A006ACF"/>
    <w:rsid w:val="6BBB1626"/>
    <w:rsid w:val="6BE84077"/>
    <w:rsid w:val="6BF80594"/>
    <w:rsid w:val="6C307F40"/>
    <w:rsid w:val="6C313073"/>
    <w:rsid w:val="6C6D3356"/>
    <w:rsid w:val="6C9A56E0"/>
    <w:rsid w:val="6CC6703A"/>
    <w:rsid w:val="6CD032E0"/>
    <w:rsid w:val="6CD04157"/>
    <w:rsid w:val="6D194857"/>
    <w:rsid w:val="6D7E0B5E"/>
    <w:rsid w:val="6DB12CE1"/>
    <w:rsid w:val="6DC30622"/>
    <w:rsid w:val="6E0E0133"/>
    <w:rsid w:val="6E166FE8"/>
    <w:rsid w:val="6E2D448B"/>
    <w:rsid w:val="6E30552B"/>
    <w:rsid w:val="6E6425E7"/>
    <w:rsid w:val="6E661D1D"/>
    <w:rsid w:val="6E681314"/>
    <w:rsid w:val="6F35258B"/>
    <w:rsid w:val="6F870323"/>
    <w:rsid w:val="6F9C3C36"/>
    <w:rsid w:val="70455963"/>
    <w:rsid w:val="710B6F02"/>
    <w:rsid w:val="714125CE"/>
    <w:rsid w:val="71D15516"/>
    <w:rsid w:val="72621A9F"/>
    <w:rsid w:val="732E17D7"/>
    <w:rsid w:val="738323B5"/>
    <w:rsid w:val="73954D1F"/>
    <w:rsid w:val="73F751C6"/>
    <w:rsid w:val="746D0DBC"/>
    <w:rsid w:val="747D391D"/>
    <w:rsid w:val="755564CD"/>
    <w:rsid w:val="755A1742"/>
    <w:rsid w:val="75EA3234"/>
    <w:rsid w:val="76B24414"/>
    <w:rsid w:val="773109EF"/>
    <w:rsid w:val="77752FD1"/>
    <w:rsid w:val="77927D03"/>
    <w:rsid w:val="78264C80"/>
    <w:rsid w:val="7833074B"/>
    <w:rsid w:val="78E71CAD"/>
    <w:rsid w:val="79144E38"/>
    <w:rsid w:val="791F1447"/>
    <w:rsid w:val="797D43BF"/>
    <w:rsid w:val="79975481"/>
    <w:rsid w:val="79A951B4"/>
    <w:rsid w:val="7A4E1337"/>
    <w:rsid w:val="7A6C32D6"/>
    <w:rsid w:val="7AA11547"/>
    <w:rsid w:val="7B0224F3"/>
    <w:rsid w:val="7B2D48A1"/>
    <w:rsid w:val="7BA3346D"/>
    <w:rsid w:val="7BC10362"/>
    <w:rsid w:val="7C723C31"/>
    <w:rsid w:val="7CED677E"/>
    <w:rsid w:val="7D013404"/>
    <w:rsid w:val="7D0A7EC0"/>
    <w:rsid w:val="7D0F23D7"/>
    <w:rsid w:val="7D991A57"/>
    <w:rsid w:val="7E0E55E6"/>
    <w:rsid w:val="7E192908"/>
    <w:rsid w:val="7E45730E"/>
    <w:rsid w:val="7E607F35"/>
    <w:rsid w:val="7EBE700C"/>
    <w:rsid w:val="7EDF3BFF"/>
    <w:rsid w:val="7F4E2109"/>
    <w:rsid w:val="7F6036A0"/>
    <w:rsid w:val="7F8945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before="260" w:after="260"/>
      <w:ind w:right="210" w:rightChars="100" w:firstLine="0"/>
      <w:outlineLvl w:val="2"/>
    </w:pPr>
    <w:rPr>
      <w:b/>
      <w:bCs/>
      <w:szCs w:val="32"/>
      <w:lang w:bidi="en-US"/>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22"/>
    <w:rPr>
      <w:b/>
    </w:rPr>
  </w:style>
  <w:style w:type="character" w:styleId="10">
    <w:name w:val="Hyperlink"/>
    <w:basedOn w:val="8"/>
    <w:autoRedefine/>
    <w:unhideWhenUsed/>
    <w:qFormat/>
    <w:uiPriority w:val="99"/>
    <w:rPr>
      <w:color w:val="0000FF"/>
      <w:u w:val="single"/>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框文本 Char"/>
    <w:basedOn w:val="8"/>
    <w:link w:val="3"/>
    <w:autoRedefine/>
    <w:semiHidden/>
    <w:qFormat/>
    <w:uiPriority w:val="99"/>
    <w:rPr>
      <w:rFonts w:ascii="Times New Roman" w:hAnsi="Times New Roman" w:eastAsia="宋体" w:cs="Times New Roman"/>
      <w:sz w:val="18"/>
      <w:szCs w:val="18"/>
    </w:rPr>
  </w:style>
  <w:style w:type="paragraph" w:customStyle="1" w:styleId="14">
    <w:name w:val="p0"/>
    <w:basedOn w:val="1"/>
    <w:autoRedefine/>
    <w:qFormat/>
    <w:uiPriority w:val="0"/>
    <w:pPr>
      <w:widowControl/>
    </w:pPr>
    <w:rPr>
      <w:kern w:val="0"/>
      <w:szCs w:val="21"/>
    </w:rPr>
  </w:style>
  <w:style w:type="character" w:customStyle="1" w:styleId="15">
    <w:name w:val="font31"/>
    <w:basedOn w:val="8"/>
    <w:autoRedefine/>
    <w:qFormat/>
    <w:uiPriority w:val="0"/>
    <w:rPr>
      <w:rFonts w:ascii="font-weight : 400" w:hAnsi="font-weight : 400" w:eastAsia="font-weight : 400" w:cs="font-weight : 400"/>
      <w:color w:val="000000"/>
      <w:sz w:val="24"/>
      <w:szCs w:val="24"/>
      <w:u w:val="none"/>
    </w:rPr>
  </w:style>
  <w:style w:type="character" w:customStyle="1" w:styleId="16">
    <w:name w:val="font21"/>
    <w:basedOn w:val="8"/>
    <w:autoRedefine/>
    <w:qFormat/>
    <w:uiPriority w:val="0"/>
    <w:rPr>
      <w:rFonts w:hint="default" w:ascii="font-weight : 400" w:hAnsi="font-weight : 400" w:eastAsia="font-weight : 400" w:cs="font-weight : 400"/>
      <w:color w:val="000000"/>
      <w:sz w:val="24"/>
      <w:szCs w:val="24"/>
      <w:u w:val="single"/>
    </w:rPr>
  </w:style>
  <w:style w:type="character" w:customStyle="1" w:styleId="17">
    <w:name w:val="font11"/>
    <w:basedOn w:val="8"/>
    <w:autoRedefine/>
    <w:qFormat/>
    <w:uiPriority w:val="0"/>
    <w:rPr>
      <w:rFonts w:hint="default" w:ascii="font-weight : 400" w:hAnsi="font-weight : 400" w:eastAsia="font-weight : 400" w:cs="font-weight : 400"/>
      <w:color w:val="000000"/>
      <w:sz w:val="24"/>
      <w:szCs w:val="24"/>
      <w:u w:val="single"/>
    </w:rPr>
  </w:style>
  <w:style w:type="character" w:customStyle="1" w:styleId="18">
    <w:name w:val="font41"/>
    <w:basedOn w:val="8"/>
    <w:autoRedefine/>
    <w:qFormat/>
    <w:uiPriority w:val="0"/>
    <w:rPr>
      <w:rFonts w:hint="default" w:ascii="font-weight : 400" w:hAnsi="font-weight : 400" w:eastAsia="font-weight : 400" w:cs="font-weight : 400"/>
      <w:color w:val="000000"/>
      <w:sz w:val="24"/>
      <w:szCs w:val="24"/>
      <w:u w:val="none"/>
    </w:rPr>
  </w:style>
  <w:style w:type="paragraph" w:styleId="19">
    <w:name w:val="List Paragraph"/>
    <w:basedOn w:val="1"/>
    <w:autoRedefine/>
    <w:unhideWhenUsed/>
    <w:qFormat/>
    <w:uiPriority w:val="99"/>
    <w:pPr>
      <w:ind w:firstLine="420" w:firstLineChars="200"/>
    </w:pPr>
  </w:style>
  <w:style w:type="character" w:customStyle="1" w:styleId="20">
    <w:name w:val="font81"/>
    <w:basedOn w:val="8"/>
    <w:autoRedefine/>
    <w:qFormat/>
    <w:uiPriority w:val="0"/>
    <w:rPr>
      <w:rFonts w:hint="eastAsia" w:ascii="宋体" w:hAnsi="宋体" w:eastAsia="宋体" w:cs="宋体"/>
      <w:color w:val="FF0000"/>
      <w:sz w:val="24"/>
      <w:szCs w:val="24"/>
      <w:u w:val="none"/>
    </w:rPr>
  </w:style>
  <w:style w:type="character" w:customStyle="1" w:styleId="21">
    <w:name w:val="font71"/>
    <w:basedOn w:val="8"/>
    <w:autoRedefine/>
    <w:qFormat/>
    <w:uiPriority w:val="0"/>
    <w:rPr>
      <w:rFonts w:hint="eastAsia" w:ascii="宋体" w:hAnsi="宋体" w:eastAsia="宋体" w:cs="宋体"/>
      <w:color w:val="FF0000"/>
      <w:sz w:val="24"/>
      <w:szCs w:val="24"/>
      <w:u w:val="none"/>
    </w:rPr>
  </w:style>
  <w:style w:type="paragraph" w:customStyle="1" w:styleId="22">
    <w:name w:val="Table Paragraph"/>
    <w:basedOn w:val="1"/>
    <w:qFormat/>
    <w:uiPriority w:val="1"/>
    <w:pPr>
      <w:autoSpaceDE w:val="0"/>
      <w:autoSpaceDN w:val="0"/>
      <w:spacing w:before="155"/>
      <w:ind w:left="154" w:right="585"/>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EB71F-6CD0-4AC3-89AB-B79BB55321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1954</Words>
  <Characters>2046</Characters>
  <Lines>127</Lines>
  <Paragraphs>35</Paragraphs>
  <TotalTime>1</TotalTime>
  <ScaleCrop>false</ScaleCrop>
  <LinksUpToDate>false</LinksUpToDate>
  <CharactersWithSpaces>2053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2017-09-30T01:48:00Z</dcterms:created>
  <dc:creator>user</dc:creator>
  <cp:lastModifiedBy>Administrator</cp:lastModifiedBy>
  <cp:lastPrinted>2017-10-09T07:58:00Z</cp:lastPrinted>
  <dcterms:modified xsi:type="dcterms:W3CDTF">2025-06-21T05:59:23Z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50FBE3872A594499AC26284D8E487B07_13</vt:lpwstr>
  </property>
  <property fmtid="{D5CDD505-2E9C-101B-9397-08002B2CF9AE}" pid="4" name="KSOTemplateDocerSaveRecord">
    <vt:lpwstr>eyJoZGlkIjoiZjE2MjZmYjE1MTMxZjlhY2ZkOWJiMDg5NTM4ZjBiNDEiLCJ1c2VySWQiOiIxMjc3MTEyOTUzIn0=</vt:lpwstr>
  </property>
</Properties>
</file>