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55"/>
        <w:spacing w:before="156"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248"/>
        <w:jc w:val="center"/>
        <w:spacing w:before="156"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2909"/>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475"/>
        <w:spacing w:before="156"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75"/>
        <w:spacing w:before="156"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75"/>
        <w:spacing w:before="156"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75"/>
        <w:spacing w:before="156"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72"/>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项目名称：盐城市园林绿化管理处世纪大道东路</w:t>
      </w:r>
      <w:r>
        <w:rPr>
          <w:rFonts w:ascii="Times New Roman" w:hAnsi="Times New Roman" w:eastAsia="Times New Roman" w:cs="Times New Roman"/>
          <w:b/>
          <w:color w:val="000000"/>
          <w:sz w:val="32"/>
        </w:rPr>
        <w:t xml:space="preserve">25</w:t>
      </w:r>
      <w:r>
        <w:rPr>
          <w:rFonts w:ascii="SimSun" w:hAnsi="SimSun" w:eastAsia="SimSun" w:cs="SimSun"/>
          <w:b/>
          <w:color w:val="000000"/>
          <w:sz w:val="32"/>
        </w:rPr>
        <w:t xml:space="preserve">号物业管理服务采购项目</w:t>
      </w:r>
      <w:r>
        <w:rPr>
          <w:rFonts w:ascii="SimSun" w:hAnsi="SimSun" w:eastAsia="SimSun" w:cs="SimSun"/>
          <w:b/>
          <w:color w:val="0000ff"/>
          <w:sz w:val="32"/>
        </w:rPr>
        <w:t xml:space="preserve"> </w:t>
      </w:r>
      <w:r/>
    </w:p>
    <w:p>
      <w:pPr>
        <w:ind w:left="0" w:right="0" w:firstLine="72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JSZC-320900-JZCG-G2025-0016</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盐城市园林绿化管理处</w:t>
      </w:r>
      <w:r/>
    </w:p>
    <w:p>
      <w:pPr>
        <w:ind w:left="0" w:right="0" w:firstLine="475"/>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p>
    <w:p>
      <w:pPr>
        <w:ind w:left="0" w:right="0" w:firstLine="475"/>
        <w:jc w:val="center"/>
        <w:spacing w:before="156"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spacing w:before="156"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55"/>
        <w:jc w:val="center"/>
        <w:spacing w:before="156"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11"/>
        <w:jc w:val="center"/>
        <w:spacing w:before="240" w:after="240" w:line="113" w:lineRule="atLeast"/>
        <w:rPr>
          <w:rFonts w:ascii="Times New Roman" w:hAnsi="Times New Roman" w:eastAsia="Times New Roman" w:cs="Times New Roman"/>
          <w:color w:val="000000"/>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1"/>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r/>
    </w:p>
    <w:p>
      <w:pPr>
        <w:ind w:left="0" w:right="0" w:firstLine="355"/>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40"/>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招标公告………………………………3</w:t>
      </w:r>
      <w:r/>
    </w:p>
    <w:p>
      <w:pPr>
        <w:ind w:left="0" w:right="0" w:firstLine="540"/>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投标人须知……………………………7</w:t>
      </w:r>
      <w:r/>
    </w:p>
    <w:p>
      <w:pPr>
        <w:ind w:left="0" w:right="0" w:firstLine="540"/>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合同文本………………………………22</w:t>
      </w:r>
      <w:r/>
    </w:p>
    <w:p>
      <w:pPr>
        <w:ind w:left="0" w:right="0" w:firstLine="540"/>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采购需求………………………………32</w:t>
      </w:r>
      <w:r/>
    </w:p>
    <w:p>
      <w:pPr>
        <w:ind w:left="0" w:right="0" w:firstLine="540"/>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评标方法与评标标准…………………42</w:t>
      </w:r>
      <w:r/>
    </w:p>
    <w:p>
      <w:pPr>
        <w:ind w:left="0" w:right="0" w:firstLine="540"/>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投标文件格式…………………………45</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w:t>
      </w:r>
      <w:r>
        <w:rPr>
          <w:rFonts w:ascii="SimSun" w:hAnsi="SimSun" w:eastAsia="SimSun" w:cs="SimSun"/>
          <w:color w:val="000000"/>
          <w:sz w:val="32"/>
        </w:rPr>
        <w:t xml:space="preserve"> </w:t>
      </w:r>
      <w:r>
        <w:rPr>
          <w:rFonts w:ascii="SimHei" w:hAnsi="SimHei" w:eastAsia="SimHei" w:cs="SimHei"/>
          <w:color w:val="000000"/>
          <w:sz w:val="32"/>
        </w:rPr>
        <w:t xml:space="preserve">招标公告</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盐城市园林绿化管理处世纪大道东路</w:t>
      </w:r>
      <w:r>
        <w:rPr>
          <w:rFonts w:ascii="Calibri" w:hAnsi="Calibri" w:eastAsia="Calibri" w:cs="Calibri"/>
          <w:color w:val="000000"/>
          <w:sz w:val="24"/>
        </w:rPr>
        <w:t xml:space="preserve">25</w:t>
      </w:r>
      <w:r>
        <w:rPr>
          <w:rFonts w:ascii="SimSun" w:hAnsi="SimSun" w:eastAsia="SimSun" w:cs="SimSun"/>
          <w:color w:val="000000"/>
          <w:sz w:val="24"/>
        </w:rPr>
        <w:t xml:space="preserve">号物业管理服务采购项目的潜在供应商可在“苏采云”系统内免费下载（供应商必须在苏采云系统中获取采购文件，方能参与政府采购项目），并于2025年4月29日09点30分（北京时间）前递交投标文件。</w:t>
      </w:r>
      <w:r/>
    </w:p>
    <w:p>
      <w:pPr>
        <w:ind w:left="0" w:right="0" w:firstLine="0"/>
        <w:jc w:val="both"/>
        <w:spacing w:before="156" w:after="145"/>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项目编号： </w:t>
      </w:r>
      <w:r>
        <w:rPr>
          <w:rFonts w:ascii="Calibri" w:hAnsi="Calibri" w:eastAsia="Calibri" w:cs="Calibri"/>
          <w:color w:val="000000"/>
          <w:sz w:val="24"/>
        </w:rPr>
        <w:t xml:space="preserve">JSZC-320900-JZCG-G2025-0016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项目名称：盐城市园林绿化管理处世纪大道东路</w:t>
      </w:r>
      <w:r>
        <w:rPr>
          <w:rFonts w:ascii="Calibri" w:hAnsi="Calibri" w:eastAsia="Calibri" w:cs="Calibri"/>
          <w:color w:val="000000"/>
          <w:sz w:val="24"/>
        </w:rPr>
        <w:t xml:space="preserve">25</w:t>
      </w:r>
      <w:r>
        <w:rPr>
          <w:rFonts w:ascii="SimSun" w:hAnsi="SimSun" w:eastAsia="SimSun" w:cs="SimSun"/>
          <w:color w:val="000000"/>
          <w:sz w:val="24"/>
        </w:rPr>
        <w:t xml:space="preserve">号物业管理服务采购项目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采购方式：公开招标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预算金额：</w:t>
      </w:r>
      <w:r>
        <w:rPr>
          <w:rFonts w:ascii="Calibri" w:hAnsi="Calibri" w:eastAsia="Calibri" w:cs="Calibri"/>
          <w:color w:val="000000"/>
          <w:sz w:val="24"/>
        </w:rPr>
        <w:t xml:space="preserve">12.00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最高限价：</w:t>
      </w:r>
      <w:r>
        <w:rPr>
          <w:rFonts w:ascii="Calibri" w:hAnsi="Calibri" w:eastAsia="Calibri" w:cs="Calibri"/>
          <w:color w:val="000000"/>
          <w:sz w:val="24"/>
        </w:rPr>
        <w:t xml:space="preserve">12.00</w:t>
      </w:r>
      <w:r>
        <w:rPr>
          <w:rFonts w:ascii="SimSun" w:hAnsi="SimSun" w:eastAsia="SimSun" w:cs="SimSun"/>
          <w:color w:val="000000"/>
          <w:sz w:val="24"/>
        </w:rPr>
        <w:t xml:space="preserve">万元，供应商报价超过限价按无效标处理、不按照招标文件要求报价按无效标处理。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采购需求：盐城市园林绿化管理处世纪大道东路</w:t>
      </w:r>
      <w:r>
        <w:rPr>
          <w:rFonts w:ascii="Calibri" w:hAnsi="Calibri" w:eastAsia="Calibri" w:cs="Calibri"/>
          <w:color w:val="000000"/>
          <w:sz w:val="24"/>
        </w:rPr>
        <w:t xml:space="preserve">25</w:t>
      </w:r>
      <w:r>
        <w:rPr>
          <w:rFonts w:ascii="SimSun" w:hAnsi="SimSun" w:eastAsia="SimSun" w:cs="SimSun"/>
          <w:color w:val="000000"/>
          <w:sz w:val="24"/>
        </w:rPr>
        <w:t xml:space="preserve">号物业管理服务采购项目，包含保洁员、保安员等合计</w:t>
      </w:r>
      <w:r>
        <w:rPr>
          <w:rFonts w:ascii="Calibri" w:hAnsi="Calibri" w:eastAsia="Calibri" w:cs="Calibri"/>
          <w:color w:val="000000"/>
          <w:sz w:val="24"/>
        </w:rPr>
        <w:t xml:space="preserve">3</w:t>
      </w:r>
      <w:r>
        <w:rPr>
          <w:rFonts w:ascii="SimSun" w:hAnsi="SimSun" w:eastAsia="SimSun" w:cs="SimSun"/>
          <w:color w:val="000000"/>
          <w:sz w:val="24"/>
        </w:rPr>
        <w:t xml:space="preserve">人，具体内容及要求详见招标文件第四章采购需求，招标人保留对服务内容进行适当调整的权利。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合同履行期限：</w:t>
      </w:r>
      <w:r>
        <w:rPr>
          <w:rFonts w:ascii="SimSun" w:hAnsi="SimSun" w:eastAsia="SimSun" w:cs="SimSun"/>
          <w:b/>
          <w:color w:val="000000"/>
          <w:sz w:val="24"/>
        </w:rPr>
        <w:t xml:space="preserve">自</w:t>
      </w:r>
      <w:r>
        <w:rPr>
          <w:rFonts w:ascii="Calibri" w:hAnsi="Calibri" w:eastAsia="Calibri" w:cs="Calibri"/>
          <w:b/>
          <w:color w:val="000000"/>
          <w:sz w:val="24"/>
        </w:rPr>
        <w:t xml:space="preserve">2025</w:t>
      </w:r>
      <w:r>
        <w:rPr>
          <w:rFonts w:ascii="SimSun" w:hAnsi="SimSun" w:eastAsia="SimSun" w:cs="SimSun"/>
          <w:b/>
          <w:color w:val="000000"/>
          <w:sz w:val="24"/>
        </w:rPr>
        <w:t xml:space="preserve">年</w:t>
      </w:r>
      <w:r>
        <w:rPr>
          <w:rFonts w:ascii="Calibri" w:hAnsi="Calibri" w:eastAsia="Calibri" w:cs="Calibri"/>
          <w:b/>
          <w:color w:val="000000"/>
          <w:sz w:val="24"/>
        </w:rPr>
        <w:t xml:space="preserve">5</w:t>
      </w:r>
      <w:r>
        <w:rPr>
          <w:rFonts w:ascii="SimSun" w:hAnsi="SimSun" w:eastAsia="SimSun" w:cs="SimSun"/>
          <w:b/>
          <w:color w:val="000000"/>
          <w:sz w:val="24"/>
        </w:rPr>
        <w:t xml:space="preserve">月</w:t>
      </w:r>
      <w:r>
        <w:rPr>
          <w:rFonts w:ascii="Calibri" w:hAnsi="Calibri" w:eastAsia="Calibri" w:cs="Calibri"/>
          <w:b/>
          <w:color w:val="000000"/>
          <w:sz w:val="24"/>
        </w:rPr>
        <w:t xml:space="preserve">11</w:t>
      </w:r>
      <w:r>
        <w:rPr>
          <w:rFonts w:ascii="SimSun" w:hAnsi="SimSun" w:eastAsia="SimSun" w:cs="SimSun"/>
          <w:b/>
          <w:color w:val="000000"/>
          <w:sz w:val="24"/>
        </w:rPr>
        <w:t xml:space="preserve">日至</w:t>
      </w:r>
      <w:r>
        <w:rPr>
          <w:rFonts w:ascii="Calibri" w:hAnsi="Calibri" w:eastAsia="Calibri" w:cs="Calibri"/>
          <w:b/>
          <w:color w:val="000000"/>
          <w:sz w:val="24"/>
        </w:rPr>
        <w:t xml:space="preserve">2026</w:t>
      </w:r>
      <w:r>
        <w:rPr>
          <w:rFonts w:ascii="SimSun" w:hAnsi="SimSun" w:eastAsia="SimSun" w:cs="SimSun"/>
          <w:b/>
          <w:color w:val="000000"/>
          <w:sz w:val="24"/>
        </w:rPr>
        <w:t xml:space="preserve">年</w:t>
      </w:r>
      <w:r>
        <w:rPr>
          <w:rFonts w:ascii="Calibri" w:hAnsi="Calibri" w:eastAsia="Calibri" w:cs="Calibri"/>
          <w:b/>
          <w:color w:val="000000"/>
          <w:sz w:val="24"/>
        </w:rPr>
        <w:t xml:space="preserve">2</w:t>
      </w:r>
      <w:r>
        <w:rPr>
          <w:rFonts w:ascii="SimSun" w:hAnsi="SimSun" w:eastAsia="SimSun" w:cs="SimSun"/>
          <w:b/>
          <w:color w:val="000000"/>
          <w:sz w:val="24"/>
        </w:rPr>
        <w:t xml:space="preserve">月</w:t>
      </w:r>
      <w:r>
        <w:rPr>
          <w:rFonts w:ascii="Calibri" w:hAnsi="Calibri" w:eastAsia="Calibri" w:cs="Calibri"/>
          <w:b/>
          <w:color w:val="000000"/>
          <w:sz w:val="24"/>
        </w:rPr>
        <w:t xml:space="preserve">10</w:t>
      </w:r>
      <w:r>
        <w:rPr>
          <w:rFonts w:ascii="SimSun" w:hAnsi="SimSun" w:eastAsia="SimSun" w:cs="SimSun"/>
          <w:b/>
          <w:color w:val="000000"/>
          <w:sz w:val="24"/>
        </w:rPr>
        <w:t xml:space="preserve">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法人或者其他组织的营业执照等证明文件，自然人的身份证明；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1.2</w:t>
      </w:r>
      <w:r>
        <w:rPr>
          <w:rFonts w:ascii="SimSun" w:hAnsi="SimSun" w:eastAsia="SimSun" w:cs="SimSun"/>
          <w:color w:val="000000"/>
          <w:sz w:val="24"/>
          <w:highlight w:val="white"/>
        </w:rPr>
        <w:t xml:space="preserve">上一年度的财务状况报告（成立不满一年无需提供）；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具备履行合同所必需的设备和专业技术能力的书面声明；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参加政府采购活动前</w:t>
      </w:r>
      <w:r>
        <w:rPr>
          <w:rFonts w:ascii="Calibri" w:hAnsi="Calibri" w:eastAsia="Calibri" w:cs="Calibri"/>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法律、行政法规规定的其他条件。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单位负责人为同一人或者存在直接控股、管理关系的不同供应商，不得参加同一合同项下的政府采购活动。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rPr>
        <w:t xml:space="preserve">本项目专门面向中小企业采购。采购标的的所属行业为物业管理，供应商需按照采购文件的要求提供相应的《中小企业声明函》。企业标准请参照《关于印发中小企业划型标准规定的通知》（工信部联企业</w:t>
      </w:r>
      <w:r>
        <w:rPr>
          <w:rFonts w:ascii="Calibri" w:hAnsi="Calibri" w:eastAsia="Calibri" w:cs="Calibri"/>
          <w:b/>
          <w:color w:val="000000"/>
          <w:sz w:val="24"/>
        </w:rPr>
        <w:t xml:space="preserve">[2011]300</w:t>
      </w:r>
      <w:r>
        <w:rPr>
          <w:rFonts w:ascii="SimSun" w:hAnsi="SimSun" w:eastAsia="SimSun" w:cs="SimSun"/>
          <w:b/>
          <w:color w:val="000000"/>
          <w:sz w:val="24"/>
        </w:rPr>
        <w:t xml:space="preserve">号）文件规定自行填写。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本项目的特定资格要求：无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2.地点：“苏采云”系统内免费下载（供应商必须在苏采云系统中获取采购文件，方能参与政府采购项目）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1.时间：2025年4月29日09点30分（北京时间）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2.2潜在供应商访问“苏采云”系统方法：江苏省政府采购网首页-“苏采云”链接。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如潜在供应商未按上述要求操作，将自行承担所产生的风险。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名称：盐城市园林绿化管理处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地址：盐城市世纪大道东路25号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联系人：鱼女士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联系方式：0515-88818880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名称：盐城市政府采购中心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地址：盐城市府西路1号市公共资源交易中心5楼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联系人：范女士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联系方式：0515-69083506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项目联系人：范女士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话：0515-69083506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w:t>
      </w:r>
      <w:r>
        <w:rPr>
          <w:rFonts w:ascii="SimSun" w:hAnsi="SimSun" w:eastAsia="SimSun" w:cs="SimSun"/>
          <w:color w:val="000000"/>
          <w:sz w:val="32"/>
        </w:rPr>
        <w:t xml:space="preserve"> </w:t>
      </w:r>
      <w:r>
        <w:rPr>
          <w:rFonts w:ascii="SimHei" w:hAnsi="SimHei" w:eastAsia="SimHei" w:cs="SimHei"/>
          <w:color w:val="000000"/>
          <w:sz w:val="32"/>
        </w:rPr>
        <w:t xml:space="preserve">投标人须知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一、总则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Arial" w:hAnsi="Arial" w:eastAsia="Arial" w:cs="Arial"/>
          <w:b/>
          <w:color w:val="000000"/>
          <w:sz w:val="24"/>
        </w:rPr>
        <w:t xml:space="preserve">、招标方式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Arial" w:hAnsi="Arial" w:eastAsia="Arial" w:cs="Arial"/>
          <w:color w:val="000000"/>
          <w:sz w:val="24"/>
        </w:rPr>
        <w:t xml:space="preserve">本次招标采取公开招标方式，本招标文件仅适用于招标公告中所述项目。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Arial" w:hAnsi="Arial" w:eastAsia="Arial" w:cs="Arial"/>
          <w:b/>
          <w:color w:val="000000"/>
          <w:sz w:val="24"/>
        </w:rPr>
        <w:t xml:space="preserve">、合格的供应商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w:t>
      </w:r>
      <w:r>
        <w:rPr>
          <w:rFonts w:ascii="Arial" w:hAnsi="Arial" w:eastAsia="Arial" w:cs="Arial"/>
          <w:color w:val="000000"/>
          <w:sz w:val="24"/>
        </w:rPr>
        <w:t xml:space="preserve">满足招标公告中供应商的资格要求的规定。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w:t>
      </w:r>
      <w:r>
        <w:rPr>
          <w:rFonts w:ascii="Arial" w:hAnsi="Arial" w:eastAsia="Arial" w:cs="Arial"/>
          <w:color w:val="000000"/>
          <w:sz w:val="24"/>
        </w:rPr>
        <w:t xml:space="preserve">满足本文件实质性要求和条件的规定。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w:t>
      </w:r>
      <w:r>
        <w:rPr>
          <w:rFonts w:ascii="Arial" w:hAnsi="Arial" w:eastAsia="Arial" w:cs="Arial"/>
          <w:b/>
          <w:color w:val="000000"/>
          <w:sz w:val="24"/>
        </w:rPr>
        <w:t xml:space="preserve">、适用法律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w:t>
      </w:r>
      <w:r>
        <w:rPr>
          <w:rFonts w:ascii="Arial" w:hAnsi="Arial" w:eastAsia="Arial" w:cs="Arial"/>
          <w:color w:val="000000"/>
          <w:sz w:val="24"/>
        </w:rPr>
        <w:t xml:space="preserve">本次招标及由此产生的合同受中华人民共和国有关的法律法规制约和保护。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Arial" w:hAnsi="Arial" w:eastAsia="Arial" w:cs="Arial"/>
          <w:b/>
          <w:color w:val="000000"/>
          <w:sz w:val="24"/>
        </w:rPr>
        <w:t xml:space="preserve">、投标费用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w:t>
      </w:r>
      <w:r>
        <w:rPr>
          <w:rFonts w:ascii="SimSun" w:hAnsi="SimSun" w:eastAsia="SimSun" w:cs="SimSun"/>
          <w:color w:val="000000"/>
          <w:sz w:val="24"/>
        </w:rPr>
        <w:t xml:space="preserve">供应商</w:t>
      </w:r>
      <w:r>
        <w:rPr>
          <w:rFonts w:ascii="Arial" w:hAnsi="Arial" w:eastAsia="Arial" w:cs="Arial"/>
          <w:color w:val="000000"/>
          <w:sz w:val="24"/>
        </w:rPr>
        <w:t xml:space="preserve">应自行承担所有与参加投标有关的费用，无论投标过程中的做法和结果如何，盐城市政府采购中心（以下简称采购中心）在任何情况下均无义务和责任承担这些费用。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w:t>
      </w:r>
      <w:r>
        <w:rPr>
          <w:rFonts w:ascii="Arial" w:hAnsi="Arial" w:eastAsia="Arial" w:cs="Arial"/>
          <w:color w:val="000000"/>
          <w:sz w:val="24"/>
        </w:rPr>
        <w:t xml:space="preserve">本次招标采购中心和采购人不收取标书工本费与中标服务费。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5</w:t>
      </w:r>
      <w:r>
        <w:rPr>
          <w:rFonts w:ascii="Arial" w:hAnsi="Arial" w:eastAsia="Arial" w:cs="Arial"/>
          <w:b/>
          <w:color w:val="000000"/>
          <w:sz w:val="24"/>
        </w:rPr>
        <w:t xml:space="preserve">、招标文件的约束力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w:t>
      </w:r>
      <w:r>
        <w:rPr>
          <w:rFonts w:ascii="SimSun" w:hAnsi="SimSun" w:eastAsia="SimSun" w:cs="SimSun"/>
          <w:color w:val="000000"/>
          <w:sz w:val="24"/>
        </w:rPr>
        <w:t xml:space="preserve">供应商</w:t>
      </w:r>
      <w:r>
        <w:rPr>
          <w:rFonts w:ascii="Arial" w:hAnsi="Arial" w:eastAsia="Arial" w:cs="Arial"/>
          <w:color w:val="000000"/>
          <w:sz w:val="24"/>
        </w:rPr>
        <w:t xml:space="preserve">一旦参加本项目采购活动，即被认为接受了本招标文件的规定和约束。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二、招标文件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6</w:t>
      </w:r>
      <w:r>
        <w:rPr>
          <w:rFonts w:ascii="Arial" w:hAnsi="Arial" w:eastAsia="Arial" w:cs="Arial"/>
          <w:b/>
          <w:color w:val="000000"/>
          <w:sz w:val="24"/>
        </w:rPr>
        <w:t xml:space="preserve">、招标文件构成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Arial" w:hAnsi="Arial" w:eastAsia="Arial" w:cs="Arial"/>
          <w:color w:val="000000"/>
          <w:sz w:val="24"/>
        </w:rPr>
        <w:t xml:space="preserve">招标文件由以下部分组成：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）招标公告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供应商</w:t>
      </w:r>
      <w:r>
        <w:rPr>
          <w:rFonts w:ascii="Arial" w:hAnsi="Arial" w:eastAsia="Arial" w:cs="Arial"/>
          <w:color w:val="000000"/>
          <w:sz w:val="24"/>
        </w:rPr>
        <w:t xml:space="preserve">须知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3</w:t>
      </w:r>
      <w:r>
        <w:rPr>
          <w:rFonts w:ascii="Arial" w:hAnsi="Arial" w:eastAsia="Arial" w:cs="Arial"/>
          <w:color w:val="000000"/>
          <w:sz w:val="24"/>
        </w:rPr>
        <w:t xml:space="preserve">）合同文本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4</w:t>
      </w:r>
      <w:r>
        <w:rPr>
          <w:rFonts w:ascii="Arial" w:hAnsi="Arial" w:eastAsia="Arial" w:cs="Arial"/>
          <w:color w:val="000000"/>
          <w:sz w:val="24"/>
        </w:rPr>
        <w:t xml:space="preserve">）采购需求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5</w:t>
      </w:r>
      <w:r>
        <w:rPr>
          <w:rFonts w:ascii="Arial" w:hAnsi="Arial" w:eastAsia="Arial" w:cs="Arial"/>
          <w:color w:val="000000"/>
          <w:sz w:val="24"/>
        </w:rPr>
        <w:t xml:space="preserve">）评标方法与评标标准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6</w:t>
      </w:r>
      <w:r>
        <w:rPr>
          <w:rFonts w:ascii="Arial" w:hAnsi="Arial" w:eastAsia="Arial" w:cs="Arial"/>
          <w:color w:val="000000"/>
          <w:sz w:val="24"/>
        </w:rPr>
        <w:t xml:space="preserve">）投标文件格式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请仔细检查招标文件是否齐全，如有缺漏请立即与采购中心联系解决。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w:t>
      </w:r>
      <w:r>
        <w:rPr>
          <w:rFonts w:ascii="SimSun" w:hAnsi="SimSun" w:eastAsia="SimSun" w:cs="SimSun"/>
          <w:color w:val="000000"/>
          <w:sz w:val="24"/>
        </w:rPr>
        <w:t xml:space="preserve">供应商</w:t>
      </w:r>
      <w:r>
        <w:rPr>
          <w:rFonts w:ascii="Arial" w:hAnsi="Arial" w:eastAsia="Arial" w:cs="Arial"/>
          <w:color w:val="000000"/>
          <w:sz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ascii="SimSun" w:hAnsi="SimSun" w:eastAsia="SimSun" w:cs="SimSun"/>
          <w:color w:val="000000"/>
          <w:sz w:val="24"/>
        </w:rPr>
        <w:t xml:space="preserve">供应商</w:t>
      </w:r>
      <w:r>
        <w:rPr>
          <w:rFonts w:ascii="Arial" w:hAnsi="Arial" w:eastAsia="Arial" w:cs="Arial"/>
          <w:color w:val="000000"/>
          <w:sz w:val="24"/>
        </w:rPr>
        <w:t xml:space="preserve">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7</w:t>
      </w:r>
      <w:r>
        <w:rPr>
          <w:rFonts w:ascii="Arial" w:hAnsi="Arial" w:eastAsia="Arial" w:cs="Arial"/>
          <w:b/>
          <w:color w:val="000000"/>
          <w:sz w:val="24"/>
        </w:rPr>
        <w:t xml:space="preserve">、招标文件的澄清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w:t>
      </w:r>
      <w:r>
        <w:rPr>
          <w:rFonts w:ascii="Arial" w:hAnsi="Arial" w:eastAsia="Arial" w:cs="Arial"/>
          <w:color w:val="000000"/>
          <w:sz w:val="24"/>
        </w:rPr>
        <w:t xml:space="preserve">任何要求对招标文件进行澄清的</w:t>
      </w:r>
      <w:r>
        <w:rPr>
          <w:rFonts w:ascii="SimSun" w:hAnsi="SimSun" w:eastAsia="SimSun" w:cs="SimSun"/>
          <w:color w:val="000000"/>
          <w:sz w:val="24"/>
        </w:rPr>
        <w:t xml:space="preserve">供应商</w:t>
      </w:r>
      <w:r>
        <w:rPr>
          <w:rFonts w:ascii="Arial" w:hAnsi="Arial" w:eastAsia="Arial" w:cs="Arial"/>
          <w:color w:val="000000"/>
          <w:sz w:val="24"/>
        </w:rPr>
        <w:t xml:space="preserve">，应在投标截止期</w:t>
      </w:r>
      <w:r>
        <w:rPr>
          <w:rFonts w:ascii="Arial" w:hAnsi="Arial" w:eastAsia="Arial" w:cs="Arial"/>
          <w:b/>
          <w:color w:val="000000"/>
          <w:sz w:val="24"/>
        </w:rPr>
        <w:t xml:space="preserve">十日</w:t>
      </w:r>
      <w:r>
        <w:rPr>
          <w:rFonts w:ascii="Arial" w:hAnsi="Arial" w:eastAsia="Arial" w:cs="Arial"/>
          <w:color w:val="000000"/>
          <w:sz w:val="24"/>
        </w:rPr>
        <w:t xml:space="preserve">前按招标公告中的通讯地址，以书面形式通知采购中心。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8</w:t>
      </w:r>
      <w:r>
        <w:rPr>
          <w:rFonts w:ascii="Arial" w:hAnsi="Arial" w:eastAsia="Arial" w:cs="Arial"/>
          <w:b/>
          <w:color w:val="000000"/>
          <w:sz w:val="24"/>
        </w:rPr>
        <w:t xml:space="preserve">、招标文件的修改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w:t>
      </w:r>
      <w:r>
        <w:rPr>
          <w:rFonts w:ascii="Arial" w:hAnsi="Arial" w:eastAsia="Arial" w:cs="Arial"/>
          <w:color w:val="000000"/>
          <w:sz w:val="24"/>
        </w:rPr>
        <w:t xml:space="preserve">在投标截止时间前，采购中心可以对招标文件进行修改。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w:t>
      </w:r>
      <w:r>
        <w:rPr>
          <w:rFonts w:ascii="Arial" w:hAnsi="Arial" w:eastAsia="Arial" w:cs="Arial"/>
          <w:color w:val="000000"/>
          <w:sz w:val="24"/>
        </w:rPr>
        <w:t xml:space="preserve">采购中心有权按照法定的要求推迟投标截止日期和开标日期。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w:t>
      </w:r>
      <w:r>
        <w:rPr>
          <w:rFonts w:ascii="Arial" w:hAnsi="Arial" w:eastAsia="Arial" w:cs="Arial"/>
          <w:color w:val="000000"/>
          <w:sz w:val="24"/>
        </w:rPr>
        <w:t xml:space="preserve">招标文件的修改将在</w:t>
      </w:r>
      <w:r>
        <w:rPr>
          <w:rFonts w:ascii="SimSun" w:hAnsi="SimSun" w:eastAsia="SimSun" w:cs="SimSun"/>
          <w:color w:val="000000"/>
          <w:sz w:val="24"/>
        </w:rPr>
        <w:t xml:space="preserve">“中国政府采购网”、“江苏政府采购网”、“盐城市政府采购网”</w:t>
      </w:r>
      <w:r>
        <w:rPr>
          <w:rFonts w:ascii="Arial" w:hAnsi="Arial" w:eastAsia="Arial" w:cs="Arial"/>
          <w:color w:val="000000"/>
          <w:sz w:val="24"/>
        </w:rPr>
        <w:t xml:space="preserve">公布，补充文件将作为招标文件的组成部分，并对</w:t>
      </w:r>
      <w:r>
        <w:rPr>
          <w:rFonts w:ascii="SimSun" w:hAnsi="SimSun" w:eastAsia="SimSun" w:cs="SimSun"/>
          <w:color w:val="000000"/>
          <w:sz w:val="24"/>
        </w:rPr>
        <w:t xml:space="preserve">供应商</w:t>
      </w:r>
      <w:r>
        <w:rPr>
          <w:rFonts w:ascii="Arial" w:hAnsi="Arial" w:eastAsia="Arial" w:cs="Arial"/>
          <w:color w:val="000000"/>
          <w:sz w:val="24"/>
        </w:rPr>
        <w:t xml:space="preserve">具有约束力。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三、投标文件的编制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9</w:t>
      </w:r>
      <w:r>
        <w:rPr>
          <w:rFonts w:ascii="Arial" w:hAnsi="Arial" w:eastAsia="Arial" w:cs="Arial"/>
          <w:b/>
          <w:color w:val="000000"/>
          <w:sz w:val="24"/>
        </w:rPr>
        <w:t xml:space="preserve">、投标文件的语言及度量衡单位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w:t>
      </w:r>
      <w:r>
        <w:rPr>
          <w:rFonts w:ascii="SimSun" w:hAnsi="SimSun" w:eastAsia="SimSun" w:cs="SimSun"/>
          <w:color w:val="000000"/>
          <w:sz w:val="24"/>
        </w:rPr>
        <w:t xml:space="preserve">供应商</w:t>
      </w:r>
      <w:r>
        <w:rPr>
          <w:rFonts w:ascii="Arial" w:hAnsi="Arial" w:eastAsia="Arial" w:cs="Arial"/>
          <w:color w:val="000000"/>
          <w:sz w:val="24"/>
        </w:rPr>
        <w:t xml:space="preserve">提交的投标文件以及</w:t>
      </w:r>
      <w:r>
        <w:rPr>
          <w:rFonts w:ascii="SimSun" w:hAnsi="SimSun" w:eastAsia="SimSun" w:cs="SimSun"/>
          <w:color w:val="000000"/>
          <w:sz w:val="24"/>
        </w:rPr>
        <w:t xml:space="preserve">供应商</w:t>
      </w:r>
      <w:r>
        <w:rPr>
          <w:rFonts w:ascii="Arial" w:hAnsi="Arial" w:eastAsia="Arial" w:cs="Arial"/>
          <w:color w:val="000000"/>
          <w:sz w:val="24"/>
        </w:rPr>
        <w:t xml:space="preserve">与采购中心就有关投标的所有来往通知、函件和文件均应使用</w:t>
      </w:r>
      <w:r>
        <w:rPr>
          <w:rFonts w:ascii="Arial" w:hAnsi="Arial" w:eastAsia="Arial" w:cs="Arial"/>
          <w:b/>
          <w:color w:val="000000"/>
          <w:sz w:val="24"/>
        </w:rPr>
        <w:t xml:space="preserve">简体中文</w:t>
      </w:r>
      <w:r>
        <w:rPr>
          <w:rFonts w:ascii="Arial" w:hAnsi="Arial" w:eastAsia="Arial" w:cs="Arial"/>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w:t>
      </w:r>
      <w:r>
        <w:rPr>
          <w:rFonts w:ascii="Arial" w:hAnsi="Arial" w:eastAsia="Arial" w:cs="Arial"/>
          <w:color w:val="000000"/>
          <w:sz w:val="24"/>
        </w:rPr>
        <w:t xml:space="preserve">除技术性能另有规定外，投标文件所使用的度量衡单位，均须采用国家法定计量单位。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10</w:t>
      </w:r>
      <w:r>
        <w:rPr>
          <w:rFonts w:ascii="Arial" w:hAnsi="Arial" w:eastAsia="Arial" w:cs="Arial"/>
          <w:b/>
          <w:color w:val="000000"/>
          <w:sz w:val="24"/>
        </w:rPr>
        <w:t xml:space="preserve">、投标文件构成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w:t>
      </w:r>
      <w:r>
        <w:rPr>
          <w:rFonts w:ascii="SimSun" w:hAnsi="SimSun" w:eastAsia="SimSun" w:cs="SimSun"/>
          <w:color w:val="000000"/>
          <w:sz w:val="24"/>
        </w:rPr>
        <w:t xml:space="preserve">供应商</w:t>
      </w:r>
      <w:r>
        <w:rPr>
          <w:rFonts w:ascii="Arial" w:hAnsi="Arial" w:eastAsia="Arial" w:cs="Arial"/>
          <w:color w:val="000000"/>
          <w:sz w:val="24"/>
        </w:rPr>
        <w:t xml:space="preserve">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w:t>
      </w:r>
      <w:r>
        <w:rPr>
          <w:rFonts w:ascii="Arial" w:hAnsi="Arial" w:eastAsia="Arial" w:cs="Arial"/>
          <w:color w:val="000000"/>
          <w:sz w:val="24"/>
        </w:rPr>
        <w:t xml:space="preserve">如标书制作工具中格式和内容与</w:t>
      </w:r>
      <w:r>
        <w:rPr>
          <w:rFonts w:ascii="SimSun" w:hAnsi="SimSun" w:eastAsia="SimSun" w:cs="SimSun"/>
          <w:color w:val="000000"/>
          <w:sz w:val="24"/>
        </w:rPr>
        <w:t xml:space="preserve">“中国政府采购网”、“江苏政府采购网”、“盐城市政府采购网”</w:t>
      </w:r>
      <w:r>
        <w:rPr>
          <w:rFonts w:ascii="Arial" w:hAnsi="Arial" w:eastAsia="Arial" w:cs="Arial"/>
          <w:color w:val="000000"/>
          <w:sz w:val="24"/>
        </w:rPr>
        <w:t xml:space="preserve">发布的招标文件不一致，请以</w:t>
      </w:r>
      <w:r>
        <w:rPr>
          <w:rFonts w:ascii="SimSun" w:hAnsi="SimSun" w:eastAsia="SimSun" w:cs="SimSun"/>
          <w:color w:val="000000"/>
          <w:sz w:val="24"/>
        </w:rPr>
        <w:t xml:space="preserve">“中国政府采购网”、“江苏政府采购网”、“盐城市政府采购网”</w:t>
      </w:r>
      <w:r>
        <w:rPr>
          <w:rFonts w:ascii="Arial" w:hAnsi="Arial" w:eastAsia="Arial" w:cs="Arial"/>
          <w:color w:val="000000"/>
          <w:sz w:val="24"/>
        </w:rPr>
        <w:t xml:space="preserve">发布的招标文件为准。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11</w:t>
      </w:r>
      <w:r>
        <w:rPr>
          <w:rFonts w:ascii="Arial" w:hAnsi="Arial" w:eastAsia="Arial" w:cs="Arial"/>
          <w:b/>
          <w:color w:val="000000"/>
          <w:sz w:val="24"/>
        </w:rPr>
        <w:t xml:space="preserve">、证明供应商及投标标的符合招标文件规定的文件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w:t>
      </w:r>
      <w:r>
        <w:rPr>
          <w:rFonts w:ascii="SimSun" w:hAnsi="SimSun" w:eastAsia="SimSun" w:cs="SimSun"/>
          <w:color w:val="000000"/>
          <w:sz w:val="24"/>
        </w:rPr>
        <w:t xml:space="preserve">供应商</w:t>
      </w:r>
      <w:r>
        <w:rPr>
          <w:rFonts w:ascii="Arial" w:hAnsi="Arial" w:eastAsia="Arial" w:cs="Arial"/>
          <w:color w:val="000000"/>
          <w:sz w:val="24"/>
        </w:rPr>
        <w:t xml:space="preserve">应按照法律、法规、规章和规范性文件以及招标文件要求提交证明文件，证明其及投标标的符合招标文件规定。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w:t>
      </w:r>
      <w:r>
        <w:rPr>
          <w:rFonts w:ascii="Arial" w:hAnsi="Arial" w:eastAsia="Arial" w:cs="Arial"/>
          <w:color w:val="000000"/>
          <w:sz w:val="24"/>
        </w:rPr>
        <w:t xml:space="preserve">招标文件对证明文件无明确形式要求的，证明文件可以以文字资料、图纸和数据等形式提交。</w:t>
      </w:r>
      <w:r/>
    </w:p>
    <w:p>
      <w:pPr>
        <w:ind w:left="0" w:right="0" w:firstLine="414"/>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Sun" w:hAnsi="SimSun" w:eastAsia="SimSun" w:cs="SimSun"/>
          <w:color w:val="000000"/>
          <w:sz w:val="28"/>
        </w:rPr>
        <w:t xml:space="preserve">、投标分项报价表</w:t>
      </w:r>
      <w:r/>
    </w:p>
    <w:p>
      <w:pPr>
        <w:ind w:left="0" w:right="0" w:firstLine="473"/>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73"/>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分项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Arial" w:hAnsi="Arial" w:eastAsia="Arial" w:cs="Arial"/>
          <w:b/>
          <w:color w:val="000000"/>
          <w:sz w:val="24"/>
        </w:rPr>
        <w:t xml:space="preserve">所有人员工资不低于本市最低工资标准</w:t>
      </w:r>
      <w:r>
        <w:rPr>
          <w:rFonts w:ascii="Times New Roman" w:hAnsi="Times New Roman" w:eastAsia="Times New Roman" w:cs="Times New Roman"/>
          <w:b/>
          <w:color w:val="000000"/>
          <w:sz w:val="24"/>
        </w:rPr>
        <w:t xml:space="preserve">2260</w:t>
      </w:r>
      <w:r>
        <w:rPr>
          <w:rFonts w:ascii="Arial" w:hAnsi="Arial" w:eastAsia="Arial" w:cs="Arial"/>
          <w:b/>
          <w:color w:val="000000"/>
          <w:sz w:val="24"/>
        </w:rPr>
        <w:t xml:space="preserve">元</w:t>
      </w:r>
      <w:r>
        <w:rPr>
          <w:rFonts w:ascii="Times New Roman" w:hAnsi="Times New Roman" w:eastAsia="Times New Roman" w:cs="Times New Roman"/>
          <w:b/>
          <w:color w:val="000000"/>
          <w:sz w:val="24"/>
        </w:rPr>
        <w:t xml:space="preserve">/</w:t>
      </w:r>
      <w:r>
        <w:rPr>
          <w:rFonts w:ascii="Arial" w:hAnsi="Arial" w:eastAsia="Arial" w:cs="Arial"/>
          <w:b/>
          <w:color w:val="000000"/>
          <w:sz w:val="24"/>
        </w:rPr>
        <w:t xml:space="preserve">人每月，所有人员必须足额缴纳社保费用，社保（企业部分）不得低于</w:t>
      </w:r>
      <w:r>
        <w:rPr>
          <w:rFonts w:ascii="Times New Roman" w:hAnsi="Times New Roman" w:eastAsia="Times New Roman" w:cs="Times New Roman"/>
          <w:b/>
          <w:color w:val="000000"/>
          <w:sz w:val="24"/>
        </w:rPr>
        <w:t xml:space="preserve">1273.42</w:t>
      </w:r>
      <w:r>
        <w:rPr>
          <w:rFonts w:ascii="Arial" w:hAnsi="Arial" w:eastAsia="Arial" w:cs="Arial"/>
          <w:b/>
          <w:color w:val="000000"/>
          <w:sz w:val="24"/>
        </w:rPr>
        <w:t xml:space="preserve">元</w:t>
      </w:r>
      <w:r>
        <w:rPr>
          <w:rFonts w:ascii="Times New Roman" w:hAnsi="Times New Roman" w:eastAsia="Times New Roman" w:cs="Times New Roman"/>
          <w:b/>
          <w:color w:val="000000"/>
          <w:sz w:val="24"/>
        </w:rPr>
        <w:t xml:space="preserve">/</w:t>
      </w:r>
      <w:r>
        <w:rPr>
          <w:rFonts w:ascii="Arial" w:hAnsi="Arial" w:eastAsia="Arial" w:cs="Arial"/>
          <w:b/>
          <w:color w:val="000000"/>
          <w:sz w:val="24"/>
        </w:rPr>
        <w:t xml:space="preserve">人</w:t>
      </w:r>
      <w:r>
        <w:rPr>
          <w:rFonts w:ascii="Times New Roman" w:hAnsi="Times New Roman" w:eastAsia="Times New Roman" w:cs="Times New Roman"/>
          <w:b/>
          <w:color w:val="000000"/>
          <w:sz w:val="24"/>
        </w:rPr>
        <w:t xml:space="preserve">/</w:t>
      </w:r>
      <w:r>
        <w:rPr>
          <w:rFonts w:ascii="Arial" w:hAnsi="Arial" w:eastAsia="Arial" w:cs="Arial"/>
          <w:b/>
          <w:color w:val="000000"/>
          <w:sz w:val="24"/>
        </w:rPr>
        <w:t xml:space="preserve">每月，住房公积金不得低于</w:t>
      </w:r>
      <w:r>
        <w:rPr>
          <w:rFonts w:ascii="Times New Roman" w:hAnsi="Times New Roman" w:eastAsia="Times New Roman" w:cs="Times New Roman"/>
          <w:b/>
          <w:color w:val="000000"/>
          <w:sz w:val="24"/>
        </w:rPr>
        <w:t xml:space="preserve">165.6</w:t>
      </w:r>
      <w:r>
        <w:rPr>
          <w:rFonts w:ascii="Arial" w:hAnsi="Arial" w:eastAsia="Arial" w:cs="Arial"/>
          <w:b/>
          <w:color w:val="000000"/>
          <w:sz w:val="24"/>
        </w:rPr>
        <w:t xml:space="preserve">元人</w:t>
      </w:r>
      <w:r>
        <w:rPr>
          <w:rFonts w:ascii="Times New Roman" w:hAnsi="Times New Roman" w:eastAsia="Times New Roman" w:cs="Times New Roman"/>
          <w:b/>
          <w:color w:val="000000"/>
          <w:sz w:val="24"/>
        </w:rPr>
        <w:t xml:space="preserve">/</w:t>
      </w:r>
      <w:r>
        <w:rPr>
          <w:rFonts w:ascii="Arial" w:hAnsi="Arial" w:eastAsia="Arial" w:cs="Arial"/>
          <w:b/>
          <w:color w:val="000000"/>
          <w:sz w:val="24"/>
        </w:rPr>
        <w:t xml:space="preserve">每月，</w:t>
      </w:r>
      <w:r>
        <w:rPr>
          <w:rFonts w:ascii="Arial" w:hAnsi="Arial" w:eastAsia="Arial" w:cs="Arial"/>
          <w:b/>
          <w:color w:val="000000"/>
          <w:sz w:val="24"/>
          <w:highlight w:val="white"/>
        </w:rPr>
        <w:t xml:space="preserve">法定节假日加班费不得低于</w:t>
      </w:r>
      <w:r>
        <w:rPr>
          <w:rFonts w:ascii="Times New Roman" w:hAnsi="Times New Roman" w:eastAsia="Times New Roman" w:cs="Times New Roman"/>
          <w:b/>
          <w:color w:val="000000"/>
          <w:sz w:val="24"/>
          <w:highlight w:val="white"/>
        </w:rPr>
        <w:t xml:space="preserve">1870.34</w:t>
      </w:r>
      <w:r>
        <w:rPr>
          <w:rFonts w:ascii="Arial" w:hAnsi="Arial" w:eastAsia="Arial" w:cs="Arial"/>
          <w:b/>
          <w:color w:val="000000"/>
          <w:sz w:val="24"/>
          <w:highlight w:val="white"/>
        </w:rPr>
        <w:t xml:space="preserve">元</w:t>
      </w:r>
      <w:r>
        <w:rPr>
          <w:rFonts w:ascii="Times New Roman" w:hAnsi="Times New Roman" w:eastAsia="Times New Roman" w:cs="Times New Roman"/>
          <w:b/>
          <w:color w:val="000000"/>
          <w:sz w:val="24"/>
          <w:highlight w:val="white"/>
        </w:rPr>
        <w:t xml:space="preserve">/</w:t>
      </w:r>
      <w:r>
        <w:rPr>
          <w:rFonts w:ascii="Arial" w:hAnsi="Arial" w:eastAsia="Arial" w:cs="Arial"/>
          <w:b/>
          <w:color w:val="000000"/>
          <w:sz w:val="24"/>
          <w:highlight w:val="white"/>
        </w:rPr>
        <w:t xml:space="preserve">人</w:t>
      </w:r>
      <w:r>
        <w:rPr>
          <w:rFonts w:ascii="Times New Roman" w:hAnsi="Times New Roman" w:eastAsia="Times New Roman" w:cs="Times New Roman"/>
          <w:b/>
          <w:color w:val="000000"/>
          <w:sz w:val="24"/>
          <w:highlight w:val="white"/>
        </w:rPr>
        <w:t xml:space="preserve">/9</w:t>
      </w:r>
      <w:r>
        <w:rPr>
          <w:rFonts w:ascii="SimSun" w:hAnsi="SimSun" w:eastAsia="SimSun" w:cs="SimSun"/>
          <w:b/>
          <w:color w:val="000000"/>
          <w:sz w:val="24"/>
          <w:highlight w:val="white"/>
        </w:rPr>
        <w:t xml:space="preserve">个月</w:t>
      </w:r>
      <w:r>
        <w:rPr>
          <w:rFonts w:ascii="Arial" w:hAnsi="Arial" w:eastAsia="Arial" w:cs="Arial"/>
          <w:b/>
          <w:color w:val="000000"/>
          <w:sz w:val="24"/>
          <w:highlight w:val="white"/>
        </w:rPr>
        <w:t xml:space="preserve">，</w:t>
      </w:r>
      <w:r>
        <w:rPr>
          <w:rFonts w:ascii="Arial" w:hAnsi="Arial" w:eastAsia="Arial" w:cs="Arial"/>
          <w:b/>
          <w:color w:val="000000"/>
          <w:sz w:val="24"/>
        </w:rPr>
        <w:t xml:space="preserve">各供应商统一按照</w:t>
      </w:r>
      <w:r>
        <w:rPr>
          <w:rFonts w:ascii="Times New Roman" w:hAnsi="Times New Roman" w:eastAsia="Times New Roman" w:cs="Times New Roman"/>
          <w:b/>
          <w:color w:val="000000"/>
          <w:sz w:val="24"/>
        </w:rPr>
        <w:t xml:space="preserve">6.72%</w:t>
      </w:r>
      <w:r>
        <w:rPr>
          <w:rFonts w:ascii="Arial" w:hAnsi="Arial" w:eastAsia="Arial" w:cs="Arial"/>
          <w:b/>
          <w:color w:val="000000"/>
          <w:sz w:val="24"/>
        </w:rPr>
        <w:t xml:space="preserve">缴纳法定税费。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投标人根据招标内容的要求准确报价，一经报出，不得更改。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12.7对于超出招标文件的其他临时性服务项目，由甲乙双方协商解决。</w:t>
      </w:r>
      <w:r/>
    </w:p>
    <w:p>
      <w:pPr>
        <w:ind w:left="0" w:right="0" w:firstLine="414"/>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Sun" w:hAnsi="SimSun" w:eastAsia="SimSun" w:cs="SimSun"/>
          <w:color w:val="000000"/>
          <w:sz w:val="28"/>
        </w:rPr>
        <w:t xml:space="preserve">、技术要求响应及偏离表、商务要求响应及偏离表</w:t>
      </w:r>
      <w:r/>
    </w:p>
    <w:p>
      <w:pPr>
        <w:ind w:left="0" w:right="0" w:firstLine="47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7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14"/>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Sun" w:hAnsi="SimSun" w:eastAsia="SimSun" w:cs="SimSun"/>
          <w:color w:val="000000"/>
          <w:sz w:val="28"/>
        </w:rPr>
        <w:t xml:space="preserve">、投标函和开标一览表</w:t>
      </w:r>
      <w:r/>
    </w:p>
    <w:p>
      <w:pPr>
        <w:ind w:left="0" w:right="0" w:firstLine="473"/>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73"/>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7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14.3投标文件的大写金额和小写金额不一致的，以大写金额为准；对不同文字文本投标的解释发生异议的，以中文文本为准。</w:t>
      </w:r>
      <w:r/>
    </w:p>
    <w:p>
      <w:pPr>
        <w:ind w:left="0" w:right="0" w:firstLine="414"/>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Sun" w:hAnsi="SimSun" w:eastAsia="SimSun" w:cs="SimSun"/>
          <w:color w:val="000000"/>
          <w:sz w:val="28"/>
        </w:rPr>
        <w:t xml:space="preserve">、投标有效期</w:t>
      </w:r>
      <w:r/>
    </w:p>
    <w:p>
      <w:pPr>
        <w:ind w:left="0" w:right="0" w:firstLine="47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15.1投标有效期为采购中心规定的开标之日后</w:t>
      </w:r>
      <w:r>
        <w:rPr>
          <w:rFonts w:ascii="SimSun" w:hAnsi="SimSun" w:eastAsia="SimSun" w:cs="SimSun"/>
          <w:b/>
          <w:color w:val="000000"/>
          <w:sz w:val="24"/>
          <w:u w:val="single"/>
        </w:rPr>
        <w:t xml:space="preserve">九十（</w:t>
      </w:r>
      <w:r>
        <w:rPr>
          <w:rFonts w:ascii="Calibri" w:hAnsi="Calibri" w:eastAsia="Calibri" w:cs="Calibri"/>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14"/>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Sun" w:hAnsi="SimSun" w:eastAsia="SimSun" w:cs="SimSun"/>
          <w:color w:val="000000"/>
          <w:sz w:val="28"/>
        </w:rPr>
        <w:t xml:space="preserve">、投标有效期的延长</w:t>
      </w:r>
      <w:r/>
    </w:p>
    <w:p>
      <w:pPr>
        <w:ind w:left="0" w:right="0" w:firstLine="473"/>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75"/>
        <w:jc w:val="both"/>
        <w:spacing w:before="156"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17</w:t>
      </w:r>
      <w:r>
        <w:rPr>
          <w:rFonts w:ascii="Arial" w:hAnsi="Arial" w:eastAsia="Arial" w:cs="Arial"/>
          <w:b/>
          <w:color w:val="000000"/>
          <w:sz w:val="24"/>
        </w:rPr>
        <w:t xml:space="preserve">、投标文件的递交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Arial" w:hAnsi="Arial" w:eastAsia="Arial" w:cs="Arial"/>
          <w:color w:val="000000"/>
          <w:sz w:val="24"/>
        </w:rPr>
        <w:t xml:space="preserve">电子投标文件的递交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Arial" w:hAnsi="Arial" w:eastAsia="Arial" w:cs="Arial"/>
          <w:color w:val="000000"/>
          <w:sz w:val="24"/>
        </w:rPr>
        <w:t xml:space="preserve">应当按照《操作手册》规定，在投标截止时间前制作并上传电子投标文件。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18</w:t>
      </w:r>
      <w:r>
        <w:rPr>
          <w:rFonts w:ascii="Arial" w:hAnsi="Arial" w:eastAsia="Arial" w:cs="Arial"/>
          <w:b/>
          <w:color w:val="000000"/>
          <w:sz w:val="24"/>
        </w:rPr>
        <w:t xml:space="preserve">、投标截止时间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i/>
          <w:color w:val="000000"/>
          <w:sz w:val="24"/>
          <w:u w:val="single"/>
        </w:rPr>
        <w:t xml:space="preserve">18.1</w:t>
      </w:r>
      <w:r>
        <w:rPr>
          <w:rFonts w:ascii="Arial" w:hAnsi="Arial" w:eastAsia="Arial" w:cs="Arial"/>
          <w:i/>
          <w:color w:val="000000"/>
          <w:sz w:val="24"/>
          <w:u w:val="single"/>
        </w:rPr>
        <w:t xml:space="preserve">投标人上传电子投标文件的时间不得迟于招标公告中规定的投标截止时间</w:t>
      </w:r>
      <w:r>
        <w:rPr>
          <w:rFonts w:ascii="Arial" w:hAnsi="Arial" w:eastAsia="Arial" w:cs="Arial"/>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Arial" w:hAnsi="Arial" w:eastAsia="Arial" w:cs="Arial"/>
          <w:color w:val="000000"/>
          <w:sz w:val="24"/>
        </w:rPr>
        <w:t xml:space="preserve">应充分考虑到网络环境、网络带宽等风险因素，如因</w:t>
      </w:r>
      <w:r>
        <w:rPr>
          <w:rFonts w:ascii="SimSun" w:hAnsi="SimSun" w:eastAsia="SimSun" w:cs="SimSun"/>
          <w:color w:val="000000"/>
          <w:sz w:val="24"/>
        </w:rPr>
        <w:t xml:space="preserve">投标人</w:t>
      </w:r>
      <w:r>
        <w:rPr>
          <w:rFonts w:ascii="Arial" w:hAnsi="Arial" w:eastAsia="Arial" w:cs="Arial"/>
          <w:color w:val="000000"/>
          <w:sz w:val="24"/>
        </w:rPr>
        <w:t xml:space="preserve">自身原因造成的电子投标文件上传不成功的按照本招标文件第二章第</w:t>
      </w:r>
      <w:r>
        <w:rPr>
          <w:rFonts w:ascii="Calibri" w:hAnsi="Calibri" w:eastAsia="Calibri" w:cs="Calibri"/>
          <w:color w:val="000000"/>
          <w:sz w:val="24"/>
        </w:rPr>
        <w:t xml:space="preserve">26.1.2</w:t>
      </w:r>
      <w:r>
        <w:rPr>
          <w:rFonts w:ascii="Arial" w:hAnsi="Arial" w:eastAsia="Arial" w:cs="Arial"/>
          <w:color w:val="000000"/>
          <w:sz w:val="24"/>
        </w:rPr>
        <w:t xml:space="preserve">条规定做无效投标处理。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18.2</w:t>
      </w:r>
      <w:r>
        <w:rPr>
          <w:rFonts w:ascii="Arial" w:hAnsi="Arial" w:eastAsia="Arial" w:cs="Arial"/>
          <w:color w:val="000000"/>
          <w:sz w:val="24"/>
        </w:rPr>
        <w:t xml:space="preserve">采购中心可以按照规定，通过修改招标文件酌情延长投标截止时间，在此情况下，</w:t>
      </w:r>
      <w:r>
        <w:rPr>
          <w:rFonts w:ascii="SimSun" w:hAnsi="SimSun" w:eastAsia="SimSun" w:cs="SimSun"/>
          <w:color w:val="000000"/>
          <w:sz w:val="24"/>
        </w:rPr>
        <w:t xml:space="preserve">投标人</w:t>
      </w:r>
      <w:r>
        <w:rPr>
          <w:rFonts w:ascii="Arial" w:hAnsi="Arial" w:eastAsia="Arial" w:cs="Arial"/>
          <w:color w:val="000000"/>
          <w:sz w:val="24"/>
        </w:rPr>
        <w:t xml:space="preserve">的所有权利和义务以及</w:t>
      </w:r>
      <w:r>
        <w:rPr>
          <w:rFonts w:ascii="SimSun" w:hAnsi="SimSun" w:eastAsia="SimSun" w:cs="SimSun"/>
          <w:color w:val="000000"/>
          <w:sz w:val="24"/>
        </w:rPr>
        <w:t xml:space="preserve">投标人</w:t>
      </w:r>
      <w:r>
        <w:rPr>
          <w:rFonts w:ascii="Arial" w:hAnsi="Arial" w:eastAsia="Arial" w:cs="Arial"/>
          <w:color w:val="000000"/>
          <w:sz w:val="24"/>
        </w:rPr>
        <w:t xml:space="preserve">受制的截止时间均应以延长后新的截止时间为准。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19</w:t>
      </w:r>
      <w:r>
        <w:rPr>
          <w:rFonts w:ascii="Arial" w:hAnsi="Arial" w:eastAsia="Arial" w:cs="Arial"/>
          <w:b/>
          <w:color w:val="000000"/>
          <w:sz w:val="24"/>
        </w:rPr>
        <w:t xml:space="preserve">、投标文件的拒收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w:t>
      </w:r>
      <w:r>
        <w:rPr>
          <w:rFonts w:ascii="Arial" w:hAnsi="Arial" w:eastAsia="Arial" w:cs="Arial"/>
          <w:color w:val="000000"/>
          <w:sz w:val="24"/>
        </w:rPr>
        <w:t xml:space="preserve">采购中心拒绝接收在其规定的投标截止时间后上传的任何投标文件。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20</w:t>
      </w:r>
      <w:r>
        <w:rPr>
          <w:rFonts w:ascii="Arial" w:hAnsi="Arial" w:eastAsia="Arial" w:cs="Arial"/>
          <w:b/>
          <w:color w:val="000000"/>
          <w:sz w:val="24"/>
        </w:rPr>
        <w:t xml:space="preserve">、投标文件的撤回和修改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w:t>
      </w:r>
      <w:r>
        <w:rPr>
          <w:rFonts w:ascii="Arial" w:hAnsi="Arial" w:eastAsia="Arial" w:cs="Arial"/>
          <w:color w:val="000000"/>
          <w:sz w:val="24"/>
        </w:rPr>
        <w:t xml:space="preserve">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20.1.1</w:t>
      </w:r>
      <w:r>
        <w:rPr>
          <w:rFonts w:ascii="Arial" w:hAnsi="Arial" w:eastAsia="Arial" w:cs="Arial"/>
          <w:color w:val="000000"/>
          <w:sz w:val="24"/>
        </w:rPr>
        <w:t xml:space="preserve">电子投标文件的撤回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Arial" w:hAnsi="Arial" w:eastAsia="Arial" w:cs="Arial"/>
          <w:color w:val="000000"/>
          <w:sz w:val="24"/>
        </w:rPr>
        <w:t xml:space="preserve">可在投标截止时间前，撤回其电子投标文件，具体操作方法见《操作手册》。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20.1.2</w:t>
      </w:r>
      <w:r>
        <w:rPr>
          <w:rFonts w:ascii="SimSun" w:hAnsi="SimSun" w:eastAsia="SimSun" w:cs="SimSun"/>
          <w:color w:val="000000"/>
          <w:sz w:val="24"/>
        </w:rPr>
        <w:t xml:space="preserve">投标人</w:t>
      </w:r>
      <w:r>
        <w:rPr>
          <w:rFonts w:ascii="Arial" w:hAnsi="Arial" w:eastAsia="Arial" w:cs="Arial"/>
          <w:color w:val="000000"/>
          <w:sz w:val="24"/>
        </w:rPr>
        <w:t xml:space="preserve">撤回电子投标文件，则认为其不再参与本项目投标活动。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 </w:t>
      </w:r>
      <w:r>
        <w:rPr>
          <w:rFonts w:ascii="Arial" w:hAnsi="Arial" w:eastAsia="Arial" w:cs="Arial"/>
          <w:color w:val="000000"/>
          <w:sz w:val="24"/>
        </w:rPr>
        <w:t xml:space="preserve">投标文件的修改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20.2.1</w:t>
      </w:r>
      <w:r>
        <w:rPr>
          <w:rFonts w:ascii="SimSun" w:hAnsi="SimSun" w:eastAsia="SimSun" w:cs="SimSun"/>
          <w:color w:val="000000"/>
          <w:sz w:val="24"/>
        </w:rPr>
        <w:t xml:space="preserve">投标人</w:t>
      </w:r>
      <w:r>
        <w:rPr>
          <w:rFonts w:ascii="Arial" w:hAnsi="Arial" w:eastAsia="Arial" w:cs="Arial"/>
          <w:color w:val="000000"/>
          <w:sz w:val="24"/>
        </w:rPr>
        <w:t xml:space="preserve">可在投标截止时间前，对其电子投标文件进行修改，具体操作方法见《操作手册》。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20.2.2</w:t>
      </w:r>
      <w:r>
        <w:rPr>
          <w:rFonts w:ascii="Arial" w:hAnsi="Arial" w:eastAsia="Arial" w:cs="Arial"/>
          <w:color w:val="000000"/>
          <w:sz w:val="24"/>
        </w:rPr>
        <w:t xml:space="preserve">在投标截止时间之后，供应商不得对其电子投标文件作任何修改。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20.3</w:t>
      </w:r>
      <w:r>
        <w:rPr>
          <w:rFonts w:ascii="Arial" w:hAnsi="Arial" w:eastAsia="Arial" w:cs="Arial"/>
          <w:color w:val="000000"/>
          <w:sz w:val="24"/>
        </w:rPr>
        <w:t xml:space="preserve">在投标截止时间至招标文件中规定的投标有效期满之间的这段时间内，供应商不得撤回其投标。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五、开标与评标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21</w:t>
      </w:r>
      <w:r>
        <w:rPr>
          <w:rFonts w:ascii="Arial" w:hAnsi="Arial" w:eastAsia="Arial" w:cs="Arial"/>
          <w:b/>
          <w:color w:val="000000"/>
          <w:sz w:val="24"/>
        </w:rPr>
        <w:t xml:space="preserve">、开标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w:t>
      </w:r>
      <w:r>
        <w:rPr>
          <w:rFonts w:ascii="Arial" w:hAnsi="Arial" w:eastAsia="Arial" w:cs="Arial"/>
          <w:color w:val="000000"/>
          <w:sz w:val="24"/>
        </w:rPr>
        <w:t xml:space="preserve">采购中心将在招标公告中规定的时间和地点组织公开开标。</w:t>
      </w:r>
      <w:r>
        <w:rPr>
          <w:rFonts w:ascii="SimSun" w:hAnsi="SimSun" w:eastAsia="SimSun" w:cs="SimSun"/>
          <w:color w:val="000000"/>
          <w:sz w:val="24"/>
        </w:rPr>
        <w:t xml:space="preserve">投标人</w:t>
      </w:r>
      <w:r>
        <w:rPr>
          <w:rFonts w:ascii="Arial" w:hAnsi="Arial" w:eastAsia="Arial" w:cs="Arial"/>
          <w:color w:val="000000"/>
          <w:sz w:val="24"/>
        </w:rPr>
        <w:t xml:space="preserve">应当按照《操作手册》规定，参加开标活动和在苏采云系统规定的时间内对投标文件进行解密。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w:t>
      </w:r>
      <w:r>
        <w:rPr>
          <w:rFonts w:ascii="Arial" w:hAnsi="Arial" w:eastAsia="Arial" w:cs="Arial"/>
          <w:color w:val="000000"/>
          <w:sz w:val="24"/>
        </w:rPr>
        <w:t xml:space="preserve">开标仪式由采购中心组织。苏采云系统将自动对项目进行开标，并宣布各</w:t>
      </w:r>
      <w:r>
        <w:rPr>
          <w:rFonts w:ascii="SimSun" w:hAnsi="SimSun" w:eastAsia="SimSun" w:cs="SimSun"/>
          <w:color w:val="000000"/>
          <w:sz w:val="24"/>
        </w:rPr>
        <w:t xml:space="preserve">投标人</w:t>
      </w:r>
      <w:r>
        <w:rPr>
          <w:rFonts w:ascii="Arial" w:hAnsi="Arial" w:eastAsia="Arial" w:cs="Arial"/>
          <w:color w:val="000000"/>
          <w:sz w:val="24"/>
        </w:rPr>
        <w:t xml:space="preserve">名称和投标价格。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w:t>
      </w:r>
      <w:r>
        <w:rPr>
          <w:rFonts w:ascii="SimSun" w:hAnsi="SimSun" w:eastAsia="SimSun" w:cs="SimSun"/>
          <w:color w:val="000000"/>
          <w:sz w:val="24"/>
        </w:rPr>
        <w:t xml:space="preserve">投标人</w:t>
      </w:r>
      <w:r>
        <w:rPr>
          <w:rFonts w:ascii="Arial" w:hAnsi="Arial" w:eastAsia="Arial" w:cs="Arial"/>
          <w:color w:val="000000"/>
          <w:sz w:val="24"/>
        </w:rPr>
        <w:t xml:space="preserve">在开标过程中涉及到的投标文件解密、开标结果确认等工作，应按照《操作手册》规定执行。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21.4</w:t>
      </w:r>
      <w:r>
        <w:rPr>
          <w:rFonts w:ascii="SimSun" w:hAnsi="SimSun" w:eastAsia="SimSun" w:cs="SimSun"/>
          <w:color w:val="000000"/>
          <w:sz w:val="24"/>
        </w:rPr>
        <w:t xml:space="preserve">投标人</w:t>
      </w:r>
      <w:r>
        <w:rPr>
          <w:rFonts w:ascii="Arial" w:hAnsi="Arial" w:eastAsia="Arial" w:cs="Arial"/>
          <w:color w:val="000000"/>
          <w:sz w:val="24"/>
        </w:rPr>
        <w:t xml:space="preserve">如果对开标过程和开标记录有疑义，应当根据《操作手册》规定提出，如苏采云系统中《开标记录表》宣布后</w:t>
      </w:r>
      <w:r>
        <w:rPr>
          <w:rFonts w:ascii="Calibri" w:hAnsi="Calibri" w:eastAsia="Calibri" w:cs="Calibri"/>
          <w:color w:val="000000"/>
          <w:sz w:val="24"/>
        </w:rPr>
        <w:t xml:space="preserve">5</w:t>
      </w:r>
      <w:r>
        <w:rPr>
          <w:rFonts w:ascii="Arial" w:hAnsi="Arial" w:eastAsia="Arial" w:cs="Arial"/>
          <w:color w:val="000000"/>
          <w:sz w:val="24"/>
        </w:rPr>
        <w:t xml:space="preserve">分钟内未提出的，视同认可开标结果。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22</w:t>
      </w:r>
      <w:r>
        <w:rPr>
          <w:rFonts w:ascii="Arial" w:hAnsi="Arial" w:eastAsia="Arial" w:cs="Arial"/>
          <w:b/>
          <w:color w:val="000000"/>
          <w:sz w:val="24"/>
        </w:rPr>
        <w:t xml:space="preserve">、评标委员会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w:t>
      </w:r>
      <w:r>
        <w:rPr>
          <w:rFonts w:ascii="Arial" w:hAnsi="Arial" w:eastAsia="Arial" w:cs="Arial"/>
          <w:color w:val="000000"/>
          <w:sz w:val="24"/>
        </w:rPr>
        <w:t xml:space="preserve">开标后，采购中心将立即组织评标委员会（以下简称评委会）进行评标。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w:t>
      </w:r>
      <w:r>
        <w:rPr>
          <w:rFonts w:ascii="Arial" w:hAnsi="Arial" w:eastAsia="Arial" w:cs="Arial"/>
          <w:color w:val="000000"/>
          <w:sz w:val="24"/>
        </w:rPr>
        <w:t xml:space="preserve">评委会由采购人代表和有关技术、经济等方面的专家组成，且人员构成符合政府采购有关规定。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w:t>
      </w:r>
      <w:r>
        <w:rPr>
          <w:rFonts w:ascii="Arial" w:hAnsi="Arial" w:eastAsia="Arial" w:cs="Arial"/>
          <w:color w:val="000000"/>
          <w:sz w:val="24"/>
        </w:rPr>
        <w:t xml:space="preserve">评委会独立工作，负责评审所有投标文件并确定中标</w:t>
      </w:r>
      <w:r>
        <w:rPr>
          <w:rFonts w:ascii="Arial" w:hAnsi="Arial" w:eastAsia="Arial" w:cs="Arial"/>
          <w:color w:val="202329"/>
          <w:sz w:val="24"/>
          <w:highlight w:val="white"/>
        </w:rPr>
        <w:t xml:space="preserve">候</w:t>
      </w:r>
      <w:r>
        <w:rPr>
          <w:rFonts w:ascii="Arial" w:hAnsi="Arial" w:eastAsia="Arial" w:cs="Arial"/>
          <w:color w:val="000000"/>
          <w:sz w:val="24"/>
        </w:rPr>
        <w:t xml:space="preserve">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23</w:t>
      </w:r>
      <w:r>
        <w:rPr>
          <w:rFonts w:ascii="Arial" w:hAnsi="Arial" w:eastAsia="Arial" w:cs="Arial"/>
          <w:b/>
          <w:color w:val="000000"/>
          <w:sz w:val="24"/>
        </w:rPr>
        <w:t xml:space="preserve">、评标过程的保密与公正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w:t>
      </w:r>
      <w:r>
        <w:rPr>
          <w:rFonts w:ascii="Arial" w:hAnsi="Arial" w:eastAsia="Arial" w:cs="Arial"/>
          <w:color w:val="000000"/>
          <w:sz w:val="24"/>
        </w:rPr>
        <w:t xml:space="preserve">凡是与审查、澄清、评价和比较投标的有关资料以及授标建议等，采购人、评委、采购中心均不得向供应商或与评标无关的其他人员透露。</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w:t>
      </w:r>
      <w:r>
        <w:rPr>
          <w:rFonts w:ascii="Arial" w:hAnsi="Arial" w:eastAsia="Arial" w:cs="Arial"/>
          <w:color w:val="000000"/>
          <w:sz w:val="24"/>
        </w:rPr>
        <w:t xml:space="preserve">在评标过程中，供应商不得以任何行为影响评标过程，否则其投标文件将被作为无效投标文件。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w:t>
      </w:r>
      <w:r>
        <w:rPr>
          <w:rFonts w:ascii="Arial" w:hAnsi="Arial" w:eastAsia="Arial" w:cs="Arial"/>
          <w:color w:val="000000"/>
          <w:sz w:val="24"/>
        </w:rPr>
        <w:t xml:space="preserve">采购中心和评标委员会不向未中标的供应商解释未中标原因，也不公布评标过程中的相关细节。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23.4</w:t>
      </w:r>
      <w:r>
        <w:rPr>
          <w:rFonts w:ascii="Arial" w:hAnsi="Arial" w:eastAsia="Arial" w:cs="Arial"/>
          <w:color w:val="000000"/>
          <w:sz w:val="24"/>
        </w:rPr>
        <w:t xml:space="preserve">采用综合评分法的项目，未中标的供应商可于中标结果公告期限届满之日起通过苏采云系统查看自己的评审得分及排序情况。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24</w:t>
      </w:r>
      <w:r>
        <w:rPr>
          <w:rFonts w:ascii="Arial" w:hAnsi="Arial" w:eastAsia="Arial" w:cs="Arial"/>
          <w:b/>
          <w:color w:val="000000"/>
          <w:sz w:val="24"/>
        </w:rPr>
        <w:t xml:space="preserve">、投标文件的澄清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w:t>
      </w:r>
      <w:r>
        <w:rPr>
          <w:rFonts w:ascii="Arial" w:hAnsi="Arial" w:eastAsia="Arial" w:cs="Arial"/>
          <w:color w:val="000000"/>
          <w:sz w:val="24"/>
        </w:rPr>
        <w:t xml:space="preserve">评标期间，评委会对投标文件中含义不明确、同类问题表述不一致或者有明显文字和计算错误的内容，有权要求</w:t>
      </w:r>
      <w:r>
        <w:rPr>
          <w:rFonts w:ascii="SimSun" w:hAnsi="SimSun" w:eastAsia="SimSun" w:cs="SimSun"/>
          <w:color w:val="000000"/>
          <w:sz w:val="24"/>
        </w:rPr>
        <w:t xml:space="preserve">投标人</w:t>
      </w:r>
      <w:r>
        <w:rPr>
          <w:rFonts w:ascii="Arial" w:hAnsi="Arial" w:eastAsia="Arial" w:cs="Arial"/>
          <w:color w:val="000000"/>
          <w:sz w:val="24"/>
        </w:rPr>
        <w:t xml:space="preserve">作出必要的澄清、说明或者补正。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Arial" w:hAnsi="Arial" w:eastAsia="Arial" w:cs="Arial"/>
          <w:color w:val="000000"/>
          <w:sz w:val="24"/>
        </w:rPr>
        <w:t xml:space="preserve">的澄清、说明或者补正不得超出投标文件的范围或者改变投标文件的实质性内容。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评标委员会并非对每个</w:t>
      </w:r>
      <w:r>
        <w:rPr>
          <w:rFonts w:ascii="SimSun" w:hAnsi="SimSun" w:eastAsia="SimSun" w:cs="SimSun"/>
          <w:color w:val="000000"/>
          <w:sz w:val="24"/>
        </w:rPr>
        <w:t xml:space="preserve">投标人</w:t>
      </w:r>
      <w:r>
        <w:rPr>
          <w:rFonts w:ascii="Arial" w:hAnsi="Arial" w:eastAsia="Arial" w:cs="Arial"/>
          <w:color w:val="000000"/>
          <w:sz w:val="24"/>
        </w:rPr>
        <w:t xml:space="preserve">都做澄清要求。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w:t>
      </w:r>
      <w:r>
        <w:rPr>
          <w:rFonts w:ascii="Arial" w:hAnsi="Arial" w:eastAsia="Arial" w:cs="Arial"/>
          <w:color w:val="000000"/>
          <w:sz w:val="24"/>
        </w:rPr>
        <w:t xml:space="preserve">需要供应商进行澄清、说明和补正的，评委会将通过苏采云系统向供应商发出“澄清要求函”，接到“澄清要求函”的供应商应当按照要求在苏采云系统中提交“澄清响应函”并加盖</w:t>
      </w:r>
      <w:r>
        <w:rPr>
          <w:rFonts w:ascii="Calibri" w:hAnsi="Calibri" w:eastAsia="Calibri" w:cs="Calibri"/>
          <w:color w:val="000000"/>
          <w:sz w:val="24"/>
        </w:rPr>
        <w:t xml:space="preserve">CA</w:t>
      </w:r>
      <w:r>
        <w:rPr>
          <w:rFonts w:ascii="Arial" w:hAnsi="Arial" w:eastAsia="Arial" w:cs="Arial"/>
          <w:color w:val="000000"/>
          <w:sz w:val="24"/>
        </w:rPr>
        <w:t xml:space="preserve">电子公章。澄清、说明和补正的内容作为投标文件的补充部分，具体操作方式见《操作手册》。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w:t>
      </w:r>
      <w:r>
        <w:rPr>
          <w:rFonts w:ascii="Arial" w:hAnsi="Arial" w:eastAsia="Arial" w:cs="Arial"/>
          <w:color w:val="000000"/>
          <w:sz w:val="24"/>
        </w:rPr>
        <w:t xml:space="preserve">接到评委会澄清、说明和补正要求的供应商如未按规定做出澄清、说明和补正，其风险由供应商自行承担。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25</w:t>
      </w:r>
      <w:r>
        <w:rPr>
          <w:rFonts w:ascii="Arial" w:hAnsi="Arial" w:eastAsia="Arial" w:cs="Arial"/>
          <w:b/>
          <w:color w:val="000000"/>
          <w:sz w:val="24"/>
        </w:rPr>
        <w:t xml:space="preserve">、对投标文件的初审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w:t>
      </w:r>
      <w:r>
        <w:rPr>
          <w:rFonts w:ascii="Arial" w:hAnsi="Arial" w:eastAsia="Arial" w:cs="Arial"/>
          <w:color w:val="000000"/>
          <w:sz w:val="24"/>
        </w:rPr>
        <w:t xml:space="preserve">投标文件初审分为资格审查和符合性审查。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25.1.1</w:t>
      </w:r>
      <w:r>
        <w:rPr>
          <w:rFonts w:ascii="Arial" w:hAnsi="Arial" w:eastAsia="Arial" w:cs="Arial"/>
          <w:color w:val="000000"/>
          <w:sz w:val="24"/>
        </w:rPr>
        <w:t xml:space="preserve">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采购人在进行资格性审查的同时，将在“信用中国”网（</w:t>
      </w:r>
      <w:r>
        <w:rPr>
          <w:rFonts w:ascii="Calibri" w:hAnsi="Calibri" w:eastAsia="Calibri" w:cs="Calibri"/>
          <w:color w:val="000000"/>
          <w:sz w:val="24"/>
        </w:rPr>
        <w:t xml:space="preserve">www.creditchina.gov.cn</w:t>
      </w:r>
      <w:r>
        <w:rPr>
          <w:rFonts w:ascii="Arial" w:hAnsi="Arial" w:eastAsia="Arial" w:cs="Arial"/>
          <w:color w:val="000000"/>
          <w:sz w:val="24"/>
        </w:rPr>
        <w:t xml:space="preserve">）查询供应商的信用记录，以确定供应商是否具备投标资格</w:t>
      </w:r>
      <w:r>
        <w:rPr>
          <w:rFonts w:ascii="Calibri" w:hAnsi="Calibri" w:eastAsia="Calibri" w:cs="Calibri"/>
          <w:color w:val="000000"/>
          <w:sz w:val="24"/>
        </w:rPr>
        <w:t xml:space="preserve">,</w:t>
      </w:r>
      <w:r>
        <w:rPr>
          <w:rFonts w:ascii="Arial" w:hAnsi="Arial" w:eastAsia="Arial" w:cs="Arial"/>
          <w:color w:val="000000"/>
          <w:sz w:val="24"/>
        </w:rPr>
        <w:t xml:space="preserve">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接受联合体的项目，两个以上的自然人、法人或者其他组织组成一个联合体，以一个供应商的身份共同参加政府采购活动的</w:t>
      </w:r>
      <w:r>
        <w:rPr>
          <w:rFonts w:ascii="Calibri" w:hAnsi="Calibri" w:eastAsia="Calibri" w:cs="Calibri"/>
          <w:color w:val="000000"/>
          <w:sz w:val="24"/>
        </w:rPr>
        <w:t xml:space="preserve">,</w:t>
      </w:r>
      <w:r>
        <w:rPr>
          <w:rFonts w:ascii="Arial" w:hAnsi="Arial" w:eastAsia="Arial" w:cs="Arial"/>
          <w:color w:val="000000"/>
          <w:sz w:val="24"/>
        </w:rPr>
        <w:t xml:space="preserve">联合体成员存在不良信用记录的，视同联合体存在不良应用记录。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25.1.2</w:t>
      </w:r>
      <w:r>
        <w:rPr>
          <w:rFonts w:ascii="Arial" w:hAnsi="Arial" w:eastAsia="Arial" w:cs="Arial"/>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25.1.3</w:t>
      </w:r>
      <w:r>
        <w:rPr>
          <w:rFonts w:ascii="Arial" w:hAnsi="Arial" w:eastAsia="Arial" w:cs="Arial"/>
          <w:color w:val="000000"/>
          <w:sz w:val="24"/>
        </w:rPr>
        <w:t xml:space="preserve">未通过资格审查或符合性审查的供应商，采购中心将在苏采云系统中告知未通过资格审查或符合性审查的原因，评标结束后，采购中心将不再告知未通过资格审查和符合性审查的原因。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w:t>
      </w:r>
      <w:r>
        <w:rPr>
          <w:rFonts w:ascii="Arial" w:hAnsi="Arial" w:eastAsia="Arial" w:cs="Arial"/>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招标文件规定的实质性要求存在负偏离，或者在实质上与招标文件不一致，而且限制了合同中买方和采购中心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w:t>
      </w:r>
      <w:r>
        <w:rPr>
          <w:rFonts w:ascii="Arial" w:hAnsi="Arial" w:eastAsia="Arial" w:cs="Arial"/>
          <w:color w:val="000000"/>
          <w:sz w:val="24"/>
        </w:rPr>
        <w:t xml:space="preserve">如果投标文件实质上没有响应招标文件的要求，评委会将予以拒绝，供应商不得通过修改或撤销不合要求的偏离或保留而使其投标成为实质性响应的投标。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25.4</w:t>
      </w:r>
      <w:r>
        <w:rPr>
          <w:rFonts w:ascii="Arial" w:hAnsi="Arial" w:eastAsia="Arial" w:cs="Arial"/>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）投标文件中开标一览表内容与投标文件中相应内容不一致的，以开标一览表为准。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3</w:t>
      </w:r>
      <w:r>
        <w:rPr>
          <w:rFonts w:ascii="Arial" w:hAnsi="Arial" w:eastAsia="Arial" w:cs="Arial"/>
          <w:color w:val="000000"/>
          <w:sz w:val="24"/>
        </w:rPr>
        <w:t xml:space="preserve">）单价金额小数点或者百分比有明显错位的，以开标一览表的总价为准，并修改单价。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4</w:t>
      </w:r>
      <w:r>
        <w:rPr>
          <w:rFonts w:ascii="Arial" w:hAnsi="Arial" w:eastAsia="Arial" w:cs="Arial"/>
          <w:color w:val="000000"/>
          <w:sz w:val="24"/>
        </w:rPr>
        <w:t xml:space="preserve">）总价金额与按单价汇总金额不一致的，以单价金额计算结果为准。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25.5</w:t>
      </w:r>
      <w:r>
        <w:rPr>
          <w:rFonts w:ascii="Arial" w:hAnsi="Arial" w:eastAsia="Arial" w:cs="Arial"/>
          <w:color w:val="000000"/>
          <w:sz w:val="24"/>
        </w:rPr>
        <w:t xml:space="preserve">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25.6</w:t>
      </w:r>
      <w:r>
        <w:rPr>
          <w:rFonts w:ascii="Arial" w:hAnsi="Arial" w:eastAsia="Arial" w:cs="Arial"/>
          <w:color w:val="000000"/>
          <w:sz w:val="24"/>
        </w:rPr>
        <w:t xml:space="preserve">供应商在开、评标全过程中应保持通讯畅通，及时登录苏采云系统查阅、答复相关信息，并安排专人与采购中心及评标委员会联系。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26</w:t>
      </w:r>
      <w:r>
        <w:rPr>
          <w:rFonts w:ascii="Arial" w:hAnsi="Arial" w:eastAsia="Arial" w:cs="Arial"/>
          <w:b/>
          <w:color w:val="000000"/>
          <w:sz w:val="24"/>
        </w:rPr>
        <w:t xml:space="preserve">、无效投标条款和废标条款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w:t>
      </w:r>
      <w:r>
        <w:rPr>
          <w:rFonts w:ascii="Arial" w:hAnsi="Arial" w:eastAsia="Arial" w:cs="Arial"/>
          <w:color w:val="000000"/>
          <w:sz w:val="24"/>
        </w:rPr>
        <w:t xml:space="preserve">无效投标条款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w:t>
      </w:r>
      <w:r>
        <w:rPr>
          <w:rFonts w:ascii="SimSun" w:hAnsi="SimSun" w:eastAsia="SimSun" w:cs="SimSun"/>
          <w:color w:val="000000"/>
          <w:sz w:val="24"/>
        </w:rPr>
        <w:t xml:space="preserve">投标人</w:t>
      </w:r>
      <w:r>
        <w:rPr>
          <w:rFonts w:ascii="Arial" w:hAnsi="Arial" w:eastAsia="Arial" w:cs="Arial"/>
          <w:color w:val="000000"/>
          <w:sz w:val="24"/>
        </w:rPr>
        <w:t xml:space="preserve">在苏采云系统规定的时间内未成功解密电子投标文件的。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26.1.2</w:t>
      </w:r>
      <w:r>
        <w:rPr>
          <w:rFonts w:ascii="SimSun" w:hAnsi="SimSun" w:eastAsia="SimSun" w:cs="SimSun"/>
          <w:color w:val="000000"/>
          <w:sz w:val="24"/>
        </w:rPr>
        <w:t xml:space="preserve">投标人</w:t>
      </w:r>
      <w:r>
        <w:rPr>
          <w:rFonts w:ascii="Arial" w:hAnsi="Arial" w:eastAsia="Arial" w:cs="Arial"/>
          <w:color w:val="000000"/>
          <w:sz w:val="24"/>
        </w:rPr>
        <w:t xml:space="preserve">未按照招标文件要求上传电子投标文件的。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26.1.3</w:t>
      </w:r>
      <w:r>
        <w:rPr>
          <w:rFonts w:ascii="Arial" w:hAnsi="Arial" w:eastAsia="Arial" w:cs="Arial"/>
          <w:color w:val="000000"/>
          <w:sz w:val="24"/>
        </w:rPr>
        <w:t xml:space="preserve">同一供应商提交两个（含两个）以上不同的投标报价的。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26.1.4</w:t>
      </w:r>
      <w:r>
        <w:rPr>
          <w:rFonts w:ascii="SimSun" w:hAnsi="SimSun" w:eastAsia="SimSun" w:cs="SimSun"/>
          <w:color w:val="000000"/>
          <w:sz w:val="24"/>
        </w:rPr>
        <w:t xml:space="preserve">投标人</w:t>
      </w:r>
      <w:r>
        <w:rPr>
          <w:rFonts w:ascii="Arial" w:hAnsi="Arial" w:eastAsia="Arial" w:cs="Arial"/>
          <w:color w:val="000000"/>
          <w:sz w:val="24"/>
        </w:rPr>
        <w:t xml:space="preserve">不具备招标文件中规定资格要求的。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26.1.5</w:t>
      </w:r>
      <w:r>
        <w:rPr>
          <w:rFonts w:ascii="SimSun" w:hAnsi="SimSun" w:eastAsia="SimSun" w:cs="SimSun"/>
          <w:color w:val="000000"/>
          <w:sz w:val="24"/>
        </w:rPr>
        <w:t xml:space="preserve">投标人</w:t>
      </w:r>
      <w:r>
        <w:rPr>
          <w:rFonts w:ascii="Arial" w:hAnsi="Arial" w:eastAsia="Arial" w:cs="Arial"/>
          <w:color w:val="000000"/>
          <w:sz w:val="24"/>
        </w:rPr>
        <w:t xml:space="preserve">的报价超过了采购预算或最高限价的。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26.1.6</w:t>
      </w:r>
      <w:r>
        <w:rPr>
          <w:rFonts w:ascii="Arial" w:hAnsi="Arial" w:eastAsia="Arial" w:cs="Arial"/>
          <w:color w:val="000000"/>
          <w:sz w:val="24"/>
        </w:rPr>
        <w:t xml:space="preserve">未通过符合性审查的。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26.1.7</w:t>
      </w:r>
      <w:r>
        <w:rPr>
          <w:rFonts w:ascii="Arial" w:hAnsi="Arial" w:eastAsia="Arial" w:cs="Arial"/>
          <w:color w:val="000000"/>
          <w:sz w:val="24"/>
        </w:rPr>
        <w:t xml:space="preserve">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26.1.8</w:t>
      </w:r>
      <w:r>
        <w:rPr>
          <w:rFonts w:ascii="SimSun" w:hAnsi="SimSun" w:eastAsia="SimSun" w:cs="SimSun"/>
          <w:color w:val="000000"/>
          <w:sz w:val="24"/>
        </w:rPr>
        <w:t xml:space="preserve">投标人</w:t>
      </w:r>
      <w:r>
        <w:rPr>
          <w:rFonts w:ascii="Arial" w:hAnsi="Arial" w:eastAsia="Arial" w:cs="Arial"/>
          <w:color w:val="000000"/>
          <w:sz w:val="24"/>
        </w:rPr>
        <w:t xml:space="preserve">被“信用中国”网站（</w:t>
      </w:r>
      <w:r>
        <w:rPr>
          <w:rFonts w:ascii="Calibri" w:hAnsi="Calibri" w:eastAsia="Calibri" w:cs="Calibri"/>
          <w:color w:val="000000"/>
          <w:sz w:val="24"/>
        </w:rPr>
        <w:t xml:space="preserve">www.creditchina.gov.cn</w:t>
      </w:r>
      <w:r>
        <w:rPr>
          <w:rFonts w:ascii="Arial" w:hAnsi="Arial" w:eastAsia="Arial" w:cs="Arial"/>
          <w:color w:val="000000"/>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26.1.9</w:t>
      </w:r>
      <w:r>
        <w:rPr>
          <w:rFonts w:ascii="Arial" w:hAnsi="Arial" w:eastAsia="Arial" w:cs="Arial"/>
          <w:color w:val="000000"/>
          <w:sz w:val="24"/>
        </w:rPr>
        <w:t xml:space="preserve">投标文件含有采购人不能接受的附加条件的。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26.1.10</w:t>
      </w:r>
      <w:r>
        <w:rPr>
          <w:rFonts w:ascii="Arial" w:hAnsi="Arial" w:eastAsia="Arial" w:cs="Arial"/>
          <w:color w:val="000000"/>
          <w:sz w:val="24"/>
        </w:rPr>
        <w:t xml:space="preserve">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26.1.11</w:t>
      </w:r>
      <w:r>
        <w:rPr>
          <w:rFonts w:ascii="Arial" w:hAnsi="Arial" w:eastAsia="Arial" w:cs="Arial"/>
          <w:color w:val="000000"/>
          <w:sz w:val="24"/>
        </w:rPr>
        <w:t xml:space="preserve">投标文件未按照招标文件要求加盖</w:t>
      </w:r>
      <w:r>
        <w:rPr>
          <w:rFonts w:ascii="Calibri" w:hAnsi="Calibri" w:eastAsia="Calibri" w:cs="Calibri"/>
          <w:color w:val="000000"/>
          <w:sz w:val="24"/>
        </w:rPr>
        <w:t xml:space="preserve">CA</w:t>
      </w:r>
      <w:r>
        <w:rPr>
          <w:rFonts w:ascii="Arial" w:hAnsi="Arial" w:eastAsia="Arial" w:cs="Arial"/>
          <w:color w:val="000000"/>
          <w:sz w:val="24"/>
        </w:rPr>
        <w:t xml:space="preserve">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26.1.12</w:t>
      </w:r>
      <w:r>
        <w:rPr>
          <w:rFonts w:ascii="Arial" w:hAnsi="Arial" w:eastAsia="Arial" w:cs="Arial"/>
          <w:color w:val="000000"/>
          <w:sz w:val="24"/>
        </w:rPr>
        <w:t xml:space="preserve">其他法律、法规及本招标文件规定的属无效投标的情形。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w:t>
      </w:r>
      <w:r>
        <w:rPr>
          <w:rFonts w:ascii="Arial" w:hAnsi="Arial" w:eastAsia="Arial" w:cs="Arial"/>
          <w:color w:val="000000"/>
          <w:sz w:val="24"/>
        </w:rPr>
        <w:t xml:space="preserve">废标条款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26.2.1</w:t>
      </w:r>
      <w:r>
        <w:rPr>
          <w:rFonts w:ascii="Arial" w:hAnsi="Arial" w:eastAsia="Arial" w:cs="Arial"/>
          <w:color w:val="000000"/>
          <w:sz w:val="24"/>
        </w:rPr>
        <w:t xml:space="preserve">符合专业条件的供应商或者对招标文件作实质响应的供应商不足三家的。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26.2.2</w:t>
      </w:r>
      <w:r>
        <w:rPr>
          <w:rFonts w:ascii="Arial" w:hAnsi="Arial" w:eastAsia="Arial" w:cs="Arial"/>
          <w:color w:val="000000"/>
          <w:sz w:val="24"/>
        </w:rPr>
        <w:t xml:space="preserve">出现影响采购公正的违法、违规行为的。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26.2.3</w:t>
      </w:r>
      <w:r>
        <w:rPr>
          <w:rFonts w:ascii="Arial" w:hAnsi="Arial" w:eastAsia="Arial" w:cs="Arial"/>
          <w:color w:val="000000"/>
          <w:sz w:val="24"/>
        </w:rPr>
        <w:t xml:space="preserve">因重大变故，采购任务取消的。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26.2.4</w:t>
      </w:r>
      <w:r>
        <w:rPr>
          <w:rFonts w:ascii="Arial" w:hAnsi="Arial" w:eastAsia="Arial" w:cs="Arial"/>
          <w:color w:val="000000"/>
          <w:sz w:val="24"/>
        </w:rPr>
        <w:t xml:space="preserve">评标委员会认定招标文件存在歧义、重大缺陷导致评审工作无法进行。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26.2.5</w:t>
      </w:r>
      <w:r>
        <w:rPr>
          <w:rFonts w:ascii="Arial" w:hAnsi="Arial" w:eastAsia="Arial" w:cs="Arial"/>
          <w:color w:val="000000"/>
          <w:sz w:val="24"/>
        </w:rPr>
        <w:t xml:space="preserve">因苏采云系统系统故障原因造成开标不成功的。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Arial" w:hAnsi="Arial" w:eastAsia="Arial" w:cs="Arial"/>
          <w:color w:val="000000"/>
          <w:sz w:val="24"/>
        </w:rPr>
        <w:t xml:space="preserve">投标截止时间结束后参加投标的供应商不足三家的处理：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26.3.1</w:t>
      </w:r>
      <w:r>
        <w:rPr>
          <w:rFonts w:ascii="Arial" w:hAnsi="Arial" w:eastAsia="Arial" w:cs="Arial"/>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六、定标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27</w:t>
      </w:r>
      <w:r>
        <w:rPr>
          <w:rFonts w:ascii="Arial" w:hAnsi="Arial" w:eastAsia="Arial" w:cs="Arial"/>
          <w:b/>
          <w:color w:val="000000"/>
          <w:sz w:val="24"/>
        </w:rPr>
        <w:t xml:space="preserve">、确定中标单位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w:t>
      </w:r>
      <w:r>
        <w:rPr>
          <w:rFonts w:ascii="Arial" w:hAnsi="Arial" w:eastAsia="Arial" w:cs="Arial"/>
          <w:color w:val="000000"/>
          <w:sz w:val="24"/>
        </w:rPr>
        <w:t xml:space="preserve">中标候选人的选取原则和数量见招标文件第五章规定。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w:t>
      </w:r>
      <w:r>
        <w:rPr>
          <w:rFonts w:ascii="Arial" w:hAnsi="Arial" w:eastAsia="Arial" w:cs="Arial"/>
          <w:color w:val="000000"/>
          <w:sz w:val="24"/>
        </w:rPr>
        <w:t xml:space="preserve">采购人应根据评委会推荐的中标候选人确定中标人。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w:t>
      </w:r>
      <w:r>
        <w:rPr>
          <w:rFonts w:ascii="Arial" w:hAnsi="Arial" w:eastAsia="Arial" w:cs="Arial"/>
          <w:color w:val="000000"/>
          <w:sz w:val="24"/>
        </w:rPr>
        <w:t xml:space="preserve">采购中心将在</w:t>
      </w:r>
      <w:r>
        <w:rPr>
          <w:rFonts w:ascii="SimSun" w:hAnsi="SimSun" w:eastAsia="SimSun" w:cs="SimSun"/>
          <w:color w:val="000000"/>
          <w:sz w:val="24"/>
        </w:rPr>
        <w:t xml:space="preserve">“中国政府采购网”、“江苏政府采购网”、“盐城市政府采购网”</w:t>
      </w:r>
      <w:r>
        <w:rPr>
          <w:rFonts w:ascii="Arial" w:hAnsi="Arial" w:eastAsia="Arial" w:cs="Arial"/>
          <w:color w:val="000000"/>
          <w:sz w:val="24"/>
        </w:rPr>
        <w:t xml:space="preserve">发布中标公告，公告期限为</w:t>
      </w:r>
      <w:r>
        <w:rPr>
          <w:rFonts w:ascii="Calibri" w:hAnsi="Calibri" w:eastAsia="Calibri" w:cs="Calibri"/>
          <w:color w:val="000000"/>
          <w:sz w:val="24"/>
        </w:rPr>
        <w:t xml:space="preserve">1</w:t>
      </w:r>
      <w:r>
        <w:rPr>
          <w:rFonts w:ascii="Arial" w:hAnsi="Arial" w:eastAsia="Arial" w:cs="Arial"/>
          <w:color w:val="000000"/>
          <w:sz w:val="24"/>
        </w:rPr>
        <w:t xml:space="preserve">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w:t>
      </w:r>
      <w:r>
        <w:rPr>
          <w:rFonts w:ascii="Arial" w:hAnsi="Arial" w:eastAsia="Arial" w:cs="Arial"/>
          <w:color w:val="000000"/>
          <w:sz w:val="24"/>
        </w:rPr>
        <w:t xml:space="preserve">若有充分证据证明，中标人出现下列情况之一的，一经查实，将被取消中标资格：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27.4.1</w:t>
      </w:r>
      <w:r>
        <w:rPr>
          <w:rFonts w:ascii="Arial" w:hAnsi="Arial" w:eastAsia="Arial" w:cs="Arial"/>
          <w:color w:val="000000"/>
          <w:sz w:val="24"/>
        </w:rPr>
        <w:t xml:space="preserve">提供虚假材料谋取中标的。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27.4.2</w:t>
      </w:r>
      <w:r>
        <w:rPr>
          <w:rFonts w:ascii="Arial" w:hAnsi="Arial" w:eastAsia="Arial" w:cs="Arial"/>
          <w:color w:val="000000"/>
          <w:sz w:val="24"/>
        </w:rPr>
        <w:t xml:space="preserve">向采购人、采购中心行贿或者提供其他不正当利益的。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27.4.3</w:t>
      </w:r>
      <w:r>
        <w:rPr>
          <w:rFonts w:ascii="Arial" w:hAnsi="Arial" w:eastAsia="Arial" w:cs="Arial"/>
          <w:color w:val="000000"/>
          <w:sz w:val="24"/>
        </w:rPr>
        <w:t xml:space="preserve">属于本文件规定的无效条件，但在评标过程中又未被评委会发现的。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27.4.4</w:t>
      </w:r>
      <w:r>
        <w:rPr>
          <w:rFonts w:ascii="Arial" w:hAnsi="Arial" w:eastAsia="Arial" w:cs="Arial"/>
          <w:color w:val="000000"/>
          <w:sz w:val="24"/>
        </w:rPr>
        <w:t xml:space="preserve">与采购人或者其他供应商恶意串通的。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27.4.5</w:t>
      </w:r>
      <w:r>
        <w:rPr>
          <w:rFonts w:ascii="Arial" w:hAnsi="Arial" w:eastAsia="Arial" w:cs="Arial"/>
          <w:color w:val="000000"/>
          <w:sz w:val="24"/>
        </w:rPr>
        <w:t xml:space="preserve">采取不正当手段诋毁、排挤其他供应商的。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 </w:t>
      </w:r>
      <w:r>
        <w:rPr>
          <w:rFonts w:ascii="Arial" w:hAnsi="Arial" w:eastAsia="Arial" w:cs="Arial"/>
          <w:color w:val="000000"/>
          <w:sz w:val="24"/>
        </w:rPr>
        <w:t xml:space="preserve">有下列情形之一的，视为供应商串通投标，投标无效：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27.5.1</w:t>
      </w:r>
      <w:r>
        <w:rPr>
          <w:rFonts w:ascii="Arial" w:hAnsi="Arial" w:eastAsia="Arial" w:cs="Arial"/>
          <w:color w:val="000000"/>
          <w:sz w:val="24"/>
        </w:rPr>
        <w:t xml:space="preserve">不同供应商的投标文件由同一单位或者个人编制。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27.5.2</w:t>
      </w:r>
      <w:r>
        <w:rPr>
          <w:rFonts w:ascii="Arial" w:hAnsi="Arial" w:eastAsia="Arial" w:cs="Arial"/>
          <w:color w:val="000000"/>
          <w:sz w:val="24"/>
        </w:rPr>
        <w:t xml:space="preserve">不同供应商委托同一单位或者个人办理投标事宜。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27.5.3</w:t>
      </w:r>
      <w:r>
        <w:rPr>
          <w:rFonts w:ascii="Arial" w:hAnsi="Arial" w:eastAsia="Arial" w:cs="Arial"/>
          <w:color w:val="000000"/>
          <w:sz w:val="24"/>
        </w:rPr>
        <w:t xml:space="preserve">不同供应商的投标文件载明的项目管理成员或者联系人员为同一人。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27.5.4</w:t>
      </w:r>
      <w:r>
        <w:rPr>
          <w:rFonts w:ascii="Arial" w:hAnsi="Arial" w:eastAsia="Arial" w:cs="Arial"/>
          <w:color w:val="000000"/>
          <w:sz w:val="24"/>
        </w:rPr>
        <w:t xml:space="preserve">不同供应商的投标文件异常一致或者投标报价呈规律性差异。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28</w:t>
      </w:r>
      <w:r>
        <w:rPr>
          <w:rFonts w:ascii="Arial" w:hAnsi="Arial" w:eastAsia="Arial" w:cs="Arial"/>
          <w:b/>
          <w:color w:val="000000"/>
          <w:sz w:val="24"/>
        </w:rPr>
        <w:t xml:space="preserve">、质疑处理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w:t>
      </w:r>
      <w:r>
        <w:rPr>
          <w:rFonts w:ascii="Arial" w:hAnsi="Arial" w:eastAsia="Arial" w:cs="Arial"/>
          <w:color w:val="000000"/>
          <w:sz w:val="24"/>
        </w:rPr>
        <w:t xml:space="preserve">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w:t>
      </w:r>
      <w:r>
        <w:rPr>
          <w:rFonts w:ascii="Arial" w:hAnsi="Arial" w:eastAsia="Arial" w:cs="Arial"/>
          <w:color w:val="000000"/>
          <w:sz w:val="24"/>
        </w:rPr>
        <w:t xml:space="preserve">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28.2.1</w:t>
      </w:r>
      <w:r>
        <w:rPr>
          <w:rFonts w:ascii="Arial" w:hAnsi="Arial" w:eastAsia="Arial" w:cs="Arial"/>
          <w:color w:val="000000"/>
          <w:sz w:val="24"/>
        </w:rPr>
        <w:t xml:space="preserve">对可以质疑的采购文件提出质疑的，为收到采购文件之日或者采购文件公告期限届满之日；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28.2.2</w:t>
      </w:r>
      <w:r>
        <w:rPr>
          <w:rFonts w:ascii="Arial" w:hAnsi="Arial" w:eastAsia="Arial" w:cs="Arial"/>
          <w:color w:val="000000"/>
          <w:sz w:val="24"/>
        </w:rPr>
        <w:t xml:space="preserve">对采购过程提出质疑的，为各采购程序环节结束之日；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28.2.3</w:t>
      </w:r>
      <w:r>
        <w:rPr>
          <w:rFonts w:ascii="Arial" w:hAnsi="Arial" w:eastAsia="Arial" w:cs="Arial"/>
          <w:color w:val="000000"/>
          <w:sz w:val="24"/>
        </w:rPr>
        <w:t xml:space="preserve">对中标或者成交结果提出质疑的，为中标或者成交结果公告期限届满之日。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rPr>
          <w:rFonts w:ascii="Arial" w:hAnsi="Arial" w:eastAsia="Arial" w:cs="Arial"/>
          <w:color w:val="000000"/>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w:t>
      </w:r>
      <w:r>
        <w:rPr>
          <w:rFonts w:ascii="Arial" w:hAnsi="Arial" w:eastAsia="Arial" w:cs="Arial"/>
          <w:b/>
          <w:color w:val="000000"/>
          <w:sz w:val="24"/>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采购中心及采购人只接收以纸质原件形式送达的质疑</w:t>
      </w:r>
      <w:r>
        <w:rPr>
          <w:rFonts w:ascii="SimSun" w:hAnsi="SimSun" w:eastAsia="SimSun" w:cs="SimSun"/>
          <w:color w:val="000000"/>
          <w:sz w:val="24"/>
        </w:rPr>
        <w:t xml:space="preserve">,</w:t>
      </w:r>
      <w:r>
        <w:rPr>
          <w:rFonts w:ascii="Arial" w:hAnsi="Arial" w:eastAsia="Arial" w:cs="Arial"/>
          <w:color w:val="000000"/>
          <w:sz w:val="24"/>
        </w:rPr>
        <w:t xml:space="preserve">采购人和采购中心不接受未填写快递运单的快件。质疑接收部门为公共资源交易中心业务受理处，联系地址：盐城市府西路</w:t>
      </w:r>
      <w:r>
        <w:rPr>
          <w:rFonts w:ascii="SimSun" w:hAnsi="SimSun" w:eastAsia="SimSun" w:cs="SimSun"/>
          <w:color w:val="000000"/>
          <w:sz w:val="24"/>
        </w:rPr>
        <w:t xml:space="preserve">1</w:t>
      </w:r>
      <w:r>
        <w:rPr>
          <w:rFonts w:ascii="Arial" w:hAnsi="Arial" w:eastAsia="Arial" w:cs="Arial"/>
          <w:color w:val="000000"/>
          <w:sz w:val="24"/>
        </w:rPr>
        <w:t xml:space="preserve">号市公共资源交易中心</w:t>
      </w:r>
      <w:r>
        <w:rPr>
          <w:rFonts w:ascii="SimSun" w:hAnsi="SimSun" w:eastAsia="SimSun" w:cs="SimSun"/>
          <w:color w:val="000000"/>
          <w:sz w:val="24"/>
        </w:rPr>
        <w:t xml:space="preserve">522</w:t>
      </w:r>
      <w:r>
        <w:rPr>
          <w:rFonts w:ascii="Arial" w:hAnsi="Arial" w:eastAsia="Arial" w:cs="Arial"/>
          <w:color w:val="000000"/>
          <w:sz w:val="24"/>
        </w:rPr>
        <w:t xml:space="preserve">，联系电话：</w:t>
      </w:r>
      <w:r>
        <w:rPr>
          <w:rFonts w:ascii="SimSun" w:hAnsi="SimSun" w:eastAsia="SimSun" w:cs="SimSun"/>
          <w:color w:val="000000"/>
          <w:sz w:val="24"/>
        </w:rPr>
        <w:t xml:space="preserve">0515-86665052</w:t>
      </w:r>
      <w:r>
        <w:rPr>
          <w:rFonts w:ascii="Arial" w:hAnsi="Arial" w:eastAsia="Arial" w:cs="Arial"/>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w:t>
      </w:r>
      <w:r>
        <w:rPr>
          <w:rFonts w:ascii="Arial" w:hAnsi="Arial" w:eastAsia="Arial" w:cs="Arial"/>
          <w:color w:val="000000"/>
          <w:sz w:val="24"/>
        </w:rPr>
        <w:t xml:space="preserve">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w:t>
      </w:r>
      <w:r>
        <w:rPr>
          <w:rFonts w:ascii="Arial" w:hAnsi="Arial" w:eastAsia="Arial" w:cs="Arial"/>
          <w:color w:val="000000"/>
          <w:sz w:val="24"/>
        </w:rPr>
        <w:t xml:space="preserve">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28.5.2</w:t>
      </w:r>
      <w:r>
        <w:rPr>
          <w:rFonts w:ascii="Arial" w:hAnsi="Arial" w:eastAsia="Arial" w:cs="Arial"/>
          <w:color w:val="000000"/>
          <w:sz w:val="24"/>
        </w:rPr>
        <w:t xml:space="preserve">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28.5.3</w:t>
      </w:r>
      <w:r>
        <w:rPr>
          <w:rFonts w:ascii="Arial" w:hAnsi="Arial" w:eastAsia="Arial" w:cs="Arial"/>
          <w:color w:val="000000"/>
          <w:sz w:val="24"/>
        </w:rPr>
        <w:t xml:space="preserve">以传真、电子邮件等方式递交的非原件形式的质疑。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28.5.4</w:t>
      </w:r>
      <w:r>
        <w:rPr>
          <w:rFonts w:ascii="Arial" w:hAnsi="Arial" w:eastAsia="Arial" w:cs="Arial"/>
          <w:color w:val="000000"/>
          <w:sz w:val="24"/>
        </w:rPr>
        <w:t xml:space="preserve">未参加投标活动的供应商或在投标活动中自身权益未受到损害的供应商所提出的质疑。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28.5.5</w:t>
      </w:r>
      <w:r>
        <w:rPr>
          <w:rFonts w:ascii="Arial" w:hAnsi="Arial" w:eastAsia="Arial" w:cs="Arial"/>
          <w:color w:val="000000"/>
          <w:sz w:val="24"/>
        </w:rPr>
        <w:t xml:space="preserve">供应商组成联合体参加投标，联合体中任何一方或多方未按要求签字、盖章、加盖公章的质疑。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28.6</w:t>
      </w:r>
      <w:r>
        <w:rPr>
          <w:rFonts w:ascii="Arial" w:hAnsi="Arial" w:eastAsia="Arial" w:cs="Arial"/>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29</w:t>
      </w:r>
      <w:r>
        <w:rPr>
          <w:rFonts w:ascii="Arial" w:hAnsi="Arial" w:eastAsia="Arial" w:cs="Arial"/>
          <w:b/>
          <w:color w:val="000000"/>
          <w:sz w:val="24"/>
        </w:rPr>
        <w:t xml:space="preserve">、中标通知书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29.l</w:t>
      </w:r>
      <w:r>
        <w:rPr>
          <w:rFonts w:ascii="Arial" w:hAnsi="Arial" w:eastAsia="Arial" w:cs="Arial"/>
          <w:color w:val="000000"/>
          <w:sz w:val="24"/>
        </w:rPr>
        <w:t xml:space="preserve">中标结果确定后，采购中心将向中标人发出中标通知书。请中标人在中标结果公告届满之日起</w:t>
      </w:r>
      <w:r>
        <w:rPr>
          <w:rFonts w:ascii="Calibri" w:hAnsi="Calibri" w:eastAsia="Calibri" w:cs="Calibri"/>
          <w:color w:val="000000"/>
          <w:sz w:val="24"/>
        </w:rPr>
        <w:t xml:space="preserve">30</w:t>
      </w:r>
      <w:r>
        <w:rPr>
          <w:rFonts w:ascii="Arial" w:hAnsi="Arial" w:eastAsia="Arial" w:cs="Arial"/>
          <w:color w:val="000000"/>
          <w:sz w:val="24"/>
        </w:rPr>
        <w:t xml:space="preserve">日内</w:t>
      </w:r>
      <w:r>
        <w:rPr>
          <w:rFonts w:ascii="Calibri" w:hAnsi="Calibri" w:eastAsia="Calibri" w:cs="Calibri"/>
          <w:color w:val="000000"/>
          <w:sz w:val="24"/>
        </w:rPr>
        <w:t xml:space="preserve">,</w:t>
      </w:r>
      <w:r>
        <w:rPr>
          <w:rFonts w:ascii="Arial" w:hAnsi="Arial" w:eastAsia="Arial" w:cs="Arial"/>
          <w:color w:val="000000"/>
          <w:sz w:val="24"/>
        </w:rPr>
        <w:t xml:space="preserve">使用</w:t>
      </w:r>
      <w:r>
        <w:rPr>
          <w:rFonts w:ascii="Calibri" w:hAnsi="Calibri" w:eastAsia="Calibri" w:cs="Calibri"/>
          <w:color w:val="000000"/>
          <w:sz w:val="24"/>
        </w:rPr>
        <w:t xml:space="preserve">CA</w:t>
      </w:r>
      <w:r>
        <w:rPr>
          <w:rFonts w:ascii="Arial" w:hAnsi="Arial" w:eastAsia="Arial" w:cs="Arial"/>
          <w:color w:val="000000"/>
          <w:sz w:val="24"/>
        </w:rPr>
        <w:t xml:space="preserve">数字证书登录苏采云系统及时下载中标通知书。因系统存储空间有限，自中标结果公告届满之日起</w:t>
      </w:r>
      <w:r>
        <w:rPr>
          <w:rFonts w:ascii="Calibri" w:hAnsi="Calibri" w:eastAsia="Calibri" w:cs="Calibri"/>
          <w:color w:val="000000"/>
          <w:sz w:val="24"/>
        </w:rPr>
        <w:t xml:space="preserve">30</w:t>
      </w:r>
      <w:r>
        <w:rPr>
          <w:rFonts w:ascii="Arial" w:hAnsi="Arial" w:eastAsia="Arial" w:cs="Arial"/>
          <w:color w:val="000000"/>
          <w:sz w:val="24"/>
        </w:rPr>
        <w:t xml:space="preserve">日后，苏采云系统不再保证提供下载中标通知书服务</w:t>
      </w:r>
      <w:r>
        <w:rPr>
          <w:rFonts w:ascii="Calibri" w:hAnsi="Calibri" w:eastAsia="Calibri" w:cs="Calibri"/>
          <w:color w:val="000000"/>
          <w:sz w:val="24"/>
        </w:rPr>
        <w:t xml:space="preserve">,</w:t>
      </w:r>
      <w:r>
        <w:rPr>
          <w:rFonts w:ascii="Arial" w:hAnsi="Arial" w:eastAsia="Arial" w:cs="Arial"/>
          <w:color w:val="000000"/>
          <w:sz w:val="24"/>
        </w:rPr>
        <w:t xml:space="preserve">因未及时下载而造成的不利后果由中标人自行承担。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w:t>
      </w:r>
      <w:r>
        <w:rPr>
          <w:rFonts w:ascii="Arial" w:hAnsi="Arial" w:eastAsia="Arial" w:cs="Arial"/>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七、授予合同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30.</w:t>
      </w:r>
      <w:r>
        <w:rPr>
          <w:rFonts w:ascii="Arial" w:hAnsi="Arial" w:eastAsia="Arial" w:cs="Arial"/>
          <w:b/>
          <w:color w:val="000000"/>
          <w:sz w:val="24"/>
        </w:rPr>
        <w:t xml:space="preserve">签订合同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30.l</w:t>
      </w:r>
      <w:r>
        <w:rPr>
          <w:rFonts w:ascii="Arial" w:hAnsi="Arial" w:eastAsia="Arial" w:cs="Arial"/>
          <w:color w:val="000000"/>
          <w:sz w:val="24"/>
        </w:rPr>
        <w:t xml:space="preserve">中标人应当在中标通知书发出之日起三十日内，按照招标文件确定的事项与采购人签订政府采购合同。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w:t>
      </w:r>
      <w:r>
        <w:rPr>
          <w:rFonts w:ascii="Arial" w:hAnsi="Arial" w:eastAsia="Arial" w:cs="Arial"/>
          <w:color w:val="000000"/>
          <w:sz w:val="24"/>
        </w:rPr>
        <w:t xml:space="preserve">招标文件、中标人的投标文件及招标过程中有关澄清、承诺文件均应作为合同附件。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w:t>
      </w:r>
      <w:r>
        <w:rPr>
          <w:rFonts w:ascii="Arial" w:hAnsi="Arial" w:eastAsia="Arial" w:cs="Arial"/>
          <w:color w:val="000000"/>
          <w:sz w:val="24"/>
        </w:rPr>
        <w:t xml:space="preserve">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w:t>
      </w:r>
      <w:r>
        <w:rPr>
          <w:rFonts w:ascii="Arial" w:hAnsi="Arial" w:eastAsia="Arial" w:cs="Arial"/>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31</w:t>
      </w:r>
      <w:r>
        <w:rPr>
          <w:rFonts w:ascii="Arial" w:hAnsi="Arial" w:eastAsia="Arial" w:cs="Arial"/>
          <w:b/>
          <w:color w:val="000000"/>
          <w:sz w:val="24"/>
        </w:rPr>
        <w:t xml:space="preserve">、服务（包含与服务相关的货物）的追加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w:t>
      </w:r>
      <w:r>
        <w:rPr>
          <w:rFonts w:ascii="Arial" w:hAnsi="Arial" w:eastAsia="Arial" w:cs="Arial"/>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Calibri" w:hAnsi="Calibri" w:eastAsia="Calibri" w:cs="Calibri"/>
          <w:color w:val="000000"/>
          <w:sz w:val="24"/>
        </w:rPr>
        <w:t xml:space="preserve">10%</w:t>
      </w:r>
      <w:r>
        <w:rPr>
          <w:rFonts w:ascii="Arial" w:hAnsi="Arial" w:eastAsia="Arial" w:cs="Arial"/>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32</w:t>
      </w:r>
      <w:r>
        <w:rPr>
          <w:rFonts w:ascii="Arial" w:hAnsi="Arial" w:eastAsia="Arial" w:cs="Arial"/>
          <w:b/>
          <w:color w:val="000000"/>
          <w:sz w:val="24"/>
        </w:rPr>
        <w:t xml:space="preserve">、政府采购政策功能落实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ascii="SimSun" w:hAnsi="SimSun" w:eastAsia="SimSun" w:cs="SimSun"/>
          <w:color w:val="000000"/>
          <w:sz w:val="24"/>
          <w:highlight w:val="white"/>
        </w:rPr>
        <w:t xml:space="preserve">江苏政府采购网“政采贷”栏目）申请贷款，相关金融机构按照双方自愿的原则提供便捷、优惠的贷款服务；具体操作流程请参考苏采云系统中操作手册。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w:t>
      </w:r>
      <w:r>
        <w:rPr>
          <w:rFonts w:ascii="SimSun" w:hAnsi="SimSun" w:eastAsia="SimSun" w:cs="SimSun"/>
          <w:color w:val="000000"/>
          <w:sz w:val="24"/>
          <w:u w:val="single"/>
        </w:rPr>
        <w:t xml:space="preserve">5%</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33</w:t>
      </w:r>
      <w:r>
        <w:rPr>
          <w:rFonts w:ascii="SimSun" w:hAnsi="SimSun" w:eastAsia="SimSun" w:cs="SimSun"/>
          <w:b/>
          <w:color w:val="000000"/>
          <w:sz w:val="24"/>
        </w:rPr>
        <w:t xml:space="preserve">、预付款制度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本项目落实预付款制度，预付款比例为</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rPr>
          <w:rFonts w:ascii="Calibri" w:hAnsi="Calibri" w:eastAsia="Calibri" w:cs="Calibri"/>
          <w:sz w:val="21"/>
        </w:rPr>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br w:type="page" w:clear="all"/>
      </w:r>
      <w:r>
        <w:rPr>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w:t>
      </w:r>
      <w:r>
        <w:rPr>
          <w:rFonts w:ascii="SimSun" w:hAnsi="SimSun" w:eastAsia="SimSun" w:cs="SimSun"/>
          <w:color w:val="000000"/>
          <w:sz w:val="32"/>
        </w:rPr>
        <w:t xml:space="preserve"> </w:t>
      </w:r>
      <w:r>
        <w:rPr>
          <w:rFonts w:ascii="SimHei" w:hAnsi="SimHei" w:eastAsia="SimHei" w:cs="SimHei"/>
          <w:color w:val="000000"/>
          <w:sz w:val="32"/>
        </w:rPr>
        <w:t xml:space="preserve">合同文本</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355"/>
        <w:jc w:val="center"/>
        <w:spacing w:before="156"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46"/>
        <w:jc w:val="center"/>
        <w:spacing w:before="156"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355"/>
        <w:jc w:val="both"/>
        <w:spacing w:before="15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盐城市园林绿化管理处世纪大道东路</w:t>
      </w:r>
      <w:r>
        <w:rPr>
          <w:rFonts w:ascii="Times New Roman" w:hAnsi="Times New Roman" w:eastAsia="Times New Roman" w:cs="Times New Roman"/>
          <w:color w:val="000000"/>
          <w:sz w:val="24"/>
          <w:u w:val="single"/>
        </w:rPr>
        <w:t xml:space="preserve">25</w:t>
      </w:r>
      <w:r>
        <w:rPr>
          <w:rFonts w:ascii="SimSun" w:hAnsi="SimSun" w:eastAsia="SimSun" w:cs="SimSun"/>
          <w:color w:val="000000"/>
          <w:sz w:val="24"/>
          <w:u w:val="single"/>
        </w:rPr>
        <w:t xml:space="preserve">号物业管理服务采购项目</w:t>
      </w:r>
      <w:r/>
    </w:p>
    <w:p>
      <w:pPr>
        <w:ind w:left="0" w:right="0" w:firstLine="355"/>
        <w:jc w:val="both"/>
        <w:spacing w:before="15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LiSu" w:hAnsi="LiSu" w:eastAsia="LiSu" w:cs="LiSu"/>
          <w:color w:val="000000"/>
          <w:spacing w:val="40"/>
          <w:sz w:val="22"/>
        </w:rPr>
        <w:t xml:space="preserve">JSZC-320900-JZCG-G2025-0016</w:t>
      </w:r>
      <w:r/>
    </w:p>
    <w:p>
      <w:pPr>
        <w:ind w:left="0" w:right="0" w:firstLine="355"/>
        <w:jc w:val="both"/>
        <w:spacing w:before="15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盐城市园林绿化管理处</w:t>
      </w:r>
      <w:r/>
    </w:p>
    <w:p>
      <w:pPr>
        <w:ind w:left="0" w:right="0" w:firstLine="355"/>
        <w:jc w:val="both"/>
        <w:spacing w:before="15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70"/>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甲、乙双方根据盐城市政府采购中心盐城市园林绿化管理处世纪大道东路25号物业管理服务采购项目公开招标的结果，签署本合同。</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第一条、物业管理的基本情况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 </w:t>
      </w:r>
      <w:r>
        <w:rPr>
          <w:rFonts w:ascii="SimSun" w:hAnsi="SimSun" w:eastAsia="SimSun" w:cs="SimSun"/>
          <w:color w:val="000000"/>
          <w:sz w:val="24"/>
          <w:highlight w:val="white"/>
        </w:rPr>
        <w:t xml:space="preserve">物业名称：盐城市园林绿化管理处世纪大道东路</w:t>
      </w:r>
      <w:r>
        <w:rPr>
          <w:rFonts w:ascii="Times New Roman" w:hAnsi="Times New Roman" w:eastAsia="Times New Roman" w:cs="Times New Roman"/>
          <w:color w:val="000000"/>
          <w:sz w:val="24"/>
          <w:highlight w:val="white"/>
        </w:rPr>
        <w:t xml:space="preserve">25</w:t>
      </w:r>
      <w:r>
        <w:rPr>
          <w:rFonts w:ascii="SimSun" w:hAnsi="SimSun" w:eastAsia="SimSun" w:cs="SimSun"/>
          <w:color w:val="000000"/>
          <w:sz w:val="24"/>
          <w:highlight w:val="white"/>
        </w:rPr>
        <w:t xml:space="preserve">号物业管理服务采购项目</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w:t>
      </w:r>
      <w:r>
        <w:rPr>
          <w:rFonts w:ascii="SimSun" w:hAnsi="SimSun" w:eastAsia="SimSun" w:cs="SimSun"/>
          <w:color w:val="000000"/>
          <w:sz w:val="24"/>
        </w:rPr>
        <w:t xml:space="preserve">坐落位置：世纪大道东路</w:t>
      </w:r>
      <w:r>
        <w:rPr>
          <w:rFonts w:ascii="Calibri" w:hAnsi="Calibri" w:eastAsia="Calibri" w:cs="Calibri"/>
          <w:color w:val="000000"/>
          <w:sz w:val="24"/>
        </w:rPr>
        <w:t xml:space="preserve">25</w:t>
      </w:r>
      <w:r>
        <w:rPr>
          <w:rFonts w:ascii="SimSun" w:hAnsi="SimSun" w:eastAsia="SimSun" w:cs="SimSun"/>
          <w:color w:val="000000"/>
          <w:sz w:val="24"/>
        </w:rPr>
        <w:t xml:space="preserve">号办公楼 </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项目概况</w:t>
      </w:r>
      <w:r>
        <w:rPr>
          <w:rFonts w:ascii="Calibri" w:hAnsi="Calibri" w:eastAsia="Calibri" w:cs="Calibri"/>
          <w:color w:val="000000"/>
          <w:sz w:val="24"/>
        </w:rPr>
        <w:t xml:space="preserve">: </w:t>
      </w:r>
      <w:r>
        <w:rPr>
          <w:rFonts w:ascii="SimSun" w:hAnsi="SimSun" w:eastAsia="SimSun" w:cs="SimSun"/>
          <w:color w:val="000000"/>
          <w:sz w:val="24"/>
        </w:rPr>
        <w:t xml:space="preserve"> 世纪大道东路</w:t>
      </w:r>
      <w:r>
        <w:rPr>
          <w:rFonts w:ascii="Calibri" w:hAnsi="Calibri" w:eastAsia="Calibri" w:cs="Calibri"/>
          <w:color w:val="000000"/>
          <w:sz w:val="24"/>
        </w:rPr>
        <w:t xml:space="preserve">25</w:t>
      </w:r>
      <w:r>
        <w:rPr>
          <w:rFonts w:ascii="SimSun" w:hAnsi="SimSun" w:eastAsia="SimSun" w:cs="SimSun"/>
          <w:color w:val="000000"/>
          <w:sz w:val="24"/>
        </w:rPr>
        <w:t xml:space="preserve">号办公楼，局部三层，建筑面积约</w:t>
      </w:r>
      <w:r>
        <w:rPr>
          <w:rFonts w:ascii="Calibri" w:hAnsi="Calibri" w:eastAsia="Calibri" w:cs="Calibri"/>
          <w:color w:val="000000"/>
          <w:sz w:val="24"/>
        </w:rPr>
        <w:t xml:space="preserve">2200</w:t>
      </w:r>
      <w:r>
        <w:rPr>
          <w:rFonts w:ascii="SimSun" w:hAnsi="SimSun" w:eastAsia="SimSun" w:cs="SimSun"/>
          <w:color w:val="000000"/>
          <w:sz w:val="24"/>
        </w:rPr>
        <w:t xml:space="preserve">平方米；附属配套用房面积约</w:t>
      </w:r>
      <w:r>
        <w:rPr>
          <w:rFonts w:ascii="Calibri" w:hAnsi="Calibri" w:eastAsia="Calibri" w:cs="Calibri"/>
          <w:color w:val="000000"/>
          <w:sz w:val="24"/>
        </w:rPr>
        <w:t xml:space="preserve">50</w:t>
      </w:r>
      <w:r>
        <w:rPr>
          <w:rFonts w:ascii="SimSun" w:hAnsi="SimSun" w:eastAsia="SimSun" w:cs="SimSun"/>
          <w:color w:val="000000"/>
          <w:sz w:val="24"/>
        </w:rPr>
        <w:t xml:space="preserve">平方米，占地面积约</w:t>
      </w:r>
      <w:r>
        <w:rPr>
          <w:rFonts w:ascii="Calibri" w:hAnsi="Calibri" w:eastAsia="Calibri" w:cs="Calibri"/>
          <w:color w:val="000000"/>
          <w:sz w:val="24"/>
        </w:rPr>
        <w:t xml:space="preserve">2000</w:t>
      </w:r>
      <w:r>
        <w:rPr>
          <w:rFonts w:ascii="SimSun" w:hAnsi="SimSun" w:eastAsia="SimSun" w:cs="SimSun"/>
          <w:color w:val="000000"/>
          <w:sz w:val="24"/>
        </w:rPr>
        <w:t xml:space="preserve">平方米。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第二条委托管理期限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合同履行期限：自2025年5月11日至2026年2月10日。</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委托物业管理范围及要求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1.1承担市园林绿化管理处（世纪大道东路</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号）保安、保洁等工作。包括出入人员、车辆管理，院内、各楼层安全巡查，院内、外环境卫生保洁，空调设备外箱进、出风口清洗及日常巡查等工作。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1.2按照物业管理条例规定，建立健全本物业管理服务方案，收集、保管好本物业相关的图纸、数据等资料。建立、保管好物业管理档案，做好档案交接工作等。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1.3甲方委托乙方管理的其他事项。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服务标准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质量要求。从本物业管理实际出发，根据合同约定的管理服务范围和标准，配备符合要求的物业管理人员和各类服务人员，制定完整、有效的内部管理制度和日常服务运行管理制度等相关制度。服务质量应达到《江苏省省级示范物业管理项目服务质量评价标准（公共物业）》评价标准的要求。</w:t>
      </w:r>
      <w:r/>
    </w:p>
    <w:p>
      <w:pPr>
        <w:ind w:left="0" w:right="0" w:firstLine="0"/>
        <w:jc w:val="both"/>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2.2人员要求。根据市园林绿化管理处（世纪大道东路</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号）的布置及财政预算的实际情况，物业服务人员共计需3人，分别为：保安2人，保洁1人，并确定一名项目负责人。具体要求：保安工作时间对进出楼宇人员进行身份核验登记，为外来人员提供咨询解答和引导服务，实行全天候保安巡视服务，巡视内容包括走道清洁，照明、门、窗等。保洁工作时间需保证公共区域、会议室、卫生间等区域保持清洁，无污渍、水渍、灰尘、烟头等；墙面无明显污迹；天花板、排风口、灯具等无明显污迹，无蛛网；卫生间无异味；区域内的垃圾日产日清。办公楼窗户玻璃每年至少全面清洁1次，保持干净。</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第四条物业管理服务费用组成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本物业管理费用支付时，乙方应提供税务发票。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1、物业管理服务费包括：详见采购文件投标报价中的所有费用。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2、在合约履行中，乙方接受甲方委托，提供其他专项服务的，专项服务的内容和费用另行约定，甲、乙双方按其约定执行。</w:t>
      </w:r>
      <w:r/>
    </w:p>
    <w:p>
      <w:pPr>
        <w:ind w:left="0" w:right="0" w:firstLine="480"/>
        <w:jc w:val="both"/>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3、除本合同规定的应收费项目外，未经甲方同意，乙方不得以甲方所辖物业设备设施提供使用为由收取其他任何费用（应甲方的要求，向甲方提供的特约有偿服务收费除外）。</w:t>
      </w:r>
      <w:r/>
    </w:p>
    <w:p>
      <w:pPr>
        <w:ind w:left="0" w:right="0" w:firstLine="241"/>
        <w:jc w:val="both"/>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付款方式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本物业管理费总价为人民币：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80"/>
        <w:spacing w:before="5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付合同价的30%作为预付款，物业管理费的支付采用每月考核，下月支付，即甲方于每月10日前对上月物业管理工作进行考核，并支付经考核合格的上一个月的物业服务费。每月物业管理费足额抵扣预付款，扣完为止。</w:t>
      </w:r>
      <w:r/>
    </w:p>
    <w:p>
      <w:pPr>
        <w:ind w:left="0" w:right="0" w:firstLine="480"/>
        <w:spacing w:before="5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注：每次付款，甲方应当自收到乙方完整的发票后10个工作日内支付资金，以上付款均无利息，一律通过银行结转。</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乙方交纳人民币</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元作为本合同的履约保证金。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，采购人对</w:t>
      </w:r>
      <w:r>
        <w:rPr>
          <w:rFonts w:ascii="Times New Roman" w:hAnsi="Times New Roman" w:eastAsia="Times New Roman" w:cs="Times New Roman"/>
          <w:color w:val="000000"/>
          <w:sz w:val="24"/>
        </w:rPr>
        <w:t xml:space="preserve">AA</w:t>
      </w:r>
      <w:r>
        <w:rPr>
          <w:rFonts w:ascii="SimSun" w:hAnsi="SimSun" w:eastAsia="SimSun" w:cs="SimSun"/>
          <w:color w:val="000000"/>
          <w:sz w:val="24"/>
        </w:rPr>
        <w:t xml:space="preserve">评级及以上政府采购供应商（需提供信用管理部门备案的第三方信用报告）降低履约保证金缴纳比例至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w:t>
      </w: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如以履约保函（保险）形式缴纳履约保证金，供应商可通过政府采购电子履约保函（保险）平台（</w:t>
      </w:r>
      <w:r>
        <w:rPr>
          <w:rFonts w:ascii="Times New Roman" w:hAnsi="Times New Roman" w:eastAsia="Times New Roman" w:cs="Times New Roman"/>
          <w:color w:val="000000"/>
          <w:sz w:val="24"/>
        </w:rPr>
        <w:t xml:space="preserve">www.jsdzbh.com</w:t>
      </w:r>
      <w:r>
        <w:rPr>
          <w:rFonts w:ascii="SimSun" w:hAnsi="SimSun" w:eastAsia="SimSun" w:cs="SimSun"/>
          <w:color w:val="000000"/>
          <w:sz w:val="24"/>
        </w:rPr>
        <w:t xml:space="preserve">）在线申请履约保函（保险）。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合同履行结束后，甲方应及时退还交纳的履约保证金。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履约保证金的退还：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6.4.1</w:t>
      </w:r>
      <w:r>
        <w:rPr>
          <w:rFonts w:ascii="SimSun" w:hAnsi="SimSun" w:eastAsia="SimSun" w:cs="SimSun"/>
          <w:color w:val="000000"/>
          <w:sz w:val="24"/>
        </w:rPr>
        <w:t xml:space="preserve">方式：无息退还至投标人缴纳履约保证金的账户。如为保函，在到期时自行失效。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6.4.2</w:t>
      </w:r>
      <w:r>
        <w:rPr>
          <w:rFonts w:ascii="SimSun" w:hAnsi="SimSun" w:eastAsia="SimSun" w:cs="SimSun"/>
          <w:color w:val="000000"/>
          <w:sz w:val="24"/>
        </w:rPr>
        <w:t xml:space="preserve">时间：验收合格且采购人收到发票后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6.4.3</w:t>
      </w:r>
      <w:r>
        <w:rPr>
          <w:rFonts w:ascii="SimSun" w:hAnsi="SimSun" w:eastAsia="SimSun" w:cs="SimSun"/>
          <w:color w:val="000000"/>
          <w:sz w:val="24"/>
        </w:rPr>
        <w:t xml:space="preserve">条件：按合同要求全部履约完成并经采购人验收合格，且采购人收到中标人出具的发票。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6.4.4</w:t>
      </w:r>
      <w:r>
        <w:rPr>
          <w:rFonts w:ascii="SimSun" w:hAnsi="SimSun" w:eastAsia="SimSun" w:cs="SimSun"/>
          <w:color w:val="000000"/>
          <w:sz w:val="24"/>
        </w:rPr>
        <w:t xml:space="preserve">不予退还情形：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）中标人无正当理由拒绝签订合同的，或者在签订合同时向采购人提出附加条件或者更改合同实质性内容要求的；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）中标人不履行与采购人订立的合同的；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）中标人所供货物或服务不符合招标文件规定要求的；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）中标人采取欺骗、弄虚作假方式投标的或与其它投标人串通投标的；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）中标人将合同内容转包、违法分包的；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）中标人故意捏造事实或伪造证明材料，进行虚假恶意投诉或反映的。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6.4.5</w:t>
      </w:r>
      <w:r>
        <w:rPr>
          <w:rFonts w:ascii="SimSun" w:hAnsi="SimSun" w:eastAsia="SimSun" w:cs="SimSun"/>
          <w:color w:val="000000"/>
          <w:sz w:val="24"/>
        </w:rPr>
        <w:t xml:space="preserve">逾期退还的违约责任：采购人逾期无故未退还履约保证金的，按中国人民银行同期贷款基准利率上浮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第七条、甲方权利和义务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1、审定乙方拟定的物业管理服务计划和方案；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对乙方的物业管理工作和投标文件、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3、在合同履行期间，如乙方中途退出或发生责任事故，给甲方带来不良影响的，或者因乙方工作严重不力，影响甲方正常工作秩序的，甲方有权终止本合同，并要求乙方给予经济赔偿；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4、对拒绝、不服从或抵触甲方领导指挥的乙方使用人员严加教育，屡教不改的，甲方有权要求乙方进行调换，否则甲方有权终止本合同，并对乙方扣除5000元违约金；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5、监督、指导乙方人员在区域内的一切行为和活动；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6、有权制定单位内部管理方面的制度督促乙方执行，并对乙方员工违规违纪现象有权对照规章制度实施查处；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7、对乙方服务态度欠佳，有权对乙方实施警告，年内警告三次以上仍不能改观，甲方有权终止合同；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8、依据相关法律、法规规定享有的其他权利。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1、向乙方无偿提供一定面积的物业管理用房。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2、甲方应向乙方提供下列资料：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（1）现场总平面图，配套设施等；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（2）物业管理所必需的其他资料。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3、按照合同约定支付物业管理服务费；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4、协助乙方做好物业管理工作和宣传教育、文化活动；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5、协助乙方规范对区域内人员违反法规、规章的行为；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6、协调、配合乙方共同处理本合同生效前发生的相关遗留问题；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7、法律、法规规定的其他义务。</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第八条乙方的权利义务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1、按照国家和有关物业管理的技术标准、行业规范以及本服务合同进行管理，提供专业化的服务；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2、按照本合同和有关规定向甲方收取物业管理服务费用和其他费用；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3、根据甲方授权，制定必要的规章制度，并以有效方式督促辖区使用人遵守；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4、根据甲方授权，采取规劝、警告等措施制止使用人违反公众管理制度的行为；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5、依照法律、法规规定和本合同约定享有的其他权利。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1、全面贯彻执行国家物业管理的法规、政策，全面遵守采购文件的要求，执行投标文件的承诺，接受甲方的检查、考核和监督，接受物业管理行政主管部门等的监督和指导。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2、及时向甲方通告本区域内有关物业管理服务的重大事项，及时处理投诉，接受甲方的监督管理；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3、在承接物业后，乙方按甲方要求随时配合进行设备设施的查查验工作，应当对物业共用部位、共用设备设施进行查验,并做好书面记录和签认工作；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4、结合本物业管理区域的实际情况，编制管理计划，经甲方批准后组织实施；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5、制止本物业管理区域内违反有关治安、环保和使用等方面规章制度的行为，对违反法律法规规定的行为及时向甲方报告；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做好本物业管理区域内的安全防范工作，发生安全事故时，在采取应急措施的同时，及时向有关行政管理部门报告，保护好现场、协助做好救助工作；治安保卫人员在维护本物业管理区域的公共秩序时，要履行职责，不得侵害公民的合法权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7、非经甲方许可并办理有关手续，不得擅自改变物业管理区域内共用部分、共用设备设施的用途；对本物业的公用设施不得擅自占用和改变使用功能；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8、因维修、养护共用部位、共用设备设施需要而暂时停水、停电或停止共用设备设施的使用的（除排危抢险情形以外），乙方应事先通知甲方；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9、乙方员工的管理及相关责任（包括乙方员工在甲方和其他场所发生的人身伤亡事故）均由乙方承担，与甲方无关；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10、本合同终止时，应当将物业管理用房和物业管理相关资料、物件、设施及时如数地移交给甲方，不得以任何理由拒绝或拖延；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11、建立严格规范的应急体系，以便应对突发的传染性疾病、火灾、治安等紧急情况，当发生紧急情况时，乙方必须无条件地配合甲方相关工作等。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12、法律、法规规定的其他义务。</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第九条物业管理用房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1、甲方应向乙方提供固定的物业管理用房。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2、物业管理用房属甲方所有，由乙方在本合同期限内无偿使用，但不得改变其用途。本合同终止时，乙方应当将物业管理用房、物业管理相关资料等及时如数地移交给甲方。</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第十条物业管理服务质量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须按甲方的委托物业服务事项和物业服务考核细则进行物业服务，且满足甲方要求，平时随机抽查和月度考核相结合，平时三次抽查达不到采购文件及本合同规定要求的，将根据产生的后果确定处罚额度。甲方将每个月考核一次，如果达不到考核标准每次扣0.5万元人民币，如连续三次达不到考核标准的将责令乙方退场，终止本合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1、甲方不履行本合同约定的义务，乙方可要求甲方履行，由此造成的损失，甲方应承担相应的责任。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2、甲方违反本合同的约定，未能按时如数支付物业服务费的，应按每月万分之五的标准向乙方支付违约金，并应于五日内补交费用。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3、乙方违反本合同约定，乙方如发生将本物业转包、转让、违规、违法现象或在履行合约单方中途退出的，甲方将中止本合同并不予退还履约保证金和不予支付物业服务费。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4、甲、乙双方约定，以下条件下所致的损害，可构成对乙方的免责事由：</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（1）因维修、养护共用部位、共用设备设施需要暂时停水、停电或停止共用设备设施的使用的（除排危抢险情形以外，乙方应事先通知甲方）；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（2）因政府有关部门原因而非乙方责任造成的供水、供电、供热、供冷、通讯、有线电视及其他共用设备设施的障碍和损坏；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（3）天灾、地震等不可抗力的事由所致的损害；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（4）暴动、抢劫、破坏、爆炸、火灾、刑事犯罪等违法行为事由所致的损害（因乙方故意或过失所致者除外）；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（5）因本合同标的物本身固有瑕疵所致的损害；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（6）因甲方或第三者之故意、过失所致的损害；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（7）甲方、物业使用单位专有部分的火灾、盗窃等所致的损害；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（8）因乙方书面建议甲方改善共用部分（含共用部位、共用设备设施）或改进管理措施，而甲方未采纳所致的损害；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（9）因不可抗力而导致的中断服务或物业价值的贬损。</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1、乙方服务人员更换及缺岗须向甲方书面报备同意后方可更换及缺岗，并在规定时间内补足人员。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服从甲方的管理及调度，同时甲方有权根据实际工作需要增减人员，其费用也相应增减。结算时除甲方变更外，一律不予调整中标价；工作日下班后，周六、周日、节假日等有会议保障或其他活动时乙方须无偿按甲方要求进行配合保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3、在合同实施过程中，所有进场服务员工的安全由乙方负责，如发生安全事故甲方不承担任何责任且有权解除合同。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4、如乙方不及时发放工资，甲方发现后乙方未及时整改的，甲方有权解除合同。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5、本合同中的未尽事宜，甲、乙双方可协商后进行补充，以书面形式签订补充协议，补充协议与本合同具同等效力。本合同之附件均为本合同不可分割的组成部分，与本合同具有同等的法律效力。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6、甲方的采购文件和乙方的投标文件，本合同附件均为合同的有效组成部分。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7、乙方须服从并配合甲方日常管理与考核；否则，接受甲方处罚，直至终止合同。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8、本合同及其附件和补充协议中的未规定事宜，均按照中华人民共和国有关法律、法规和规章执行。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9、本合同之附件如有与本合同相抵触之处，以本合同规定为准，合同期满本合同自然终止。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10、物业服务合同终止时，乙方应当将物业管理用房和所有物管资料、档案完整的移交给甲方。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11、物业服务合同终止时，甲方选聘了新的物业管理服务企业的，乙方与新的物业管理服务企业之间应当做好交接工作。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甲方发现乙方按投标承诺配备了相应人员，但却不能完成相应物业服务或服务质量达不到要求的，甲方可责令乙方无偿更换或增加相应派遣人员，直至满足相应服务要求，其产生的费用由乙方自行承担，甲方不另行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合同在履行中如遇争议，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14、本合同连同附件，一式陆份，甲、乙双方各执叁份，具同等法律效力。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15、本合同自甲、乙双方签订之日起生效。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0"/>
        <w:gridCol w:w="453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盐城市园林绿化管理处</w:t>
      </w:r>
      <w:r>
        <w:rPr>
          <w:rFonts w:ascii="SimSun" w:hAnsi="SimSun" w:eastAsia="SimSun" w:cs="SimSun"/>
          <w:color w:val="000000"/>
          <w:sz w:val="24"/>
        </w:rPr>
        <w:t xml:space="preserve">（世纪大道东路</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号）</w:t>
      </w:r>
      <w:r>
        <w:rPr>
          <w:rFonts w:ascii="SimSun" w:hAnsi="SimSun" w:eastAsia="SimSun" w:cs="SimSun"/>
          <w:b/>
          <w:color w:val="000000"/>
          <w:sz w:val="28"/>
        </w:rPr>
        <w:t xml:space="preserve">物业管理服务项目月度考核表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考核日期： 年 月 日-  年 月 日</w:t>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236"/>
        <w:gridCol w:w="8660"/>
        <w:gridCol w:w="236"/>
        <w:gridCol w:w="222"/>
      </w:tblGrid>
      <w:tr>
        <w:trPr>
          <w:trHeight w:val="633"/>
        </w:trPr>
        <w:tc>
          <w:tcPr>
            <w:tcBorders>
              <w:bottom w:val="single" w:color="000000" w:sz="4" w:space="0"/>
            </w:tcBorders>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c>
        <w:tc>
          <w:tcPr>
            <w:tcMar>
              <w:left w:w="108" w:type="dxa"/>
              <w:top w:w="0" w:type="dxa"/>
              <w:right w:w="108" w:type="dxa"/>
              <w:bottom w:w="0" w:type="dxa"/>
            </w:tcMar>
            <w:tcW w:w="86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考核分值</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卫生保洁</w:t>
            </w:r>
            <w:r/>
          </w:p>
        </w:tc>
        <w:tc>
          <w:tcPr>
            <w:tcBorders>
              <w:left w:val="single" w:color="000000" w:sz="4" w:space="0"/>
            </w:tcBorders>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1"/>
              </w:rPr>
              <w:t xml:space="preserve">垃圾桶、果皮箱的清洁标准</w:t>
            </w:r>
            <w:r>
              <w:rPr>
                <w:rFonts w:ascii="Calibri" w:hAnsi="Calibri" w:eastAsia="Calibri" w:cs="Calibri"/>
                <w:b/>
                <w:color w:val="000000"/>
                <w:sz w:val="21"/>
              </w:rPr>
              <w:t xml:space="preserve">:</w:t>
            </w:r>
            <w:r>
              <w:rPr>
                <w:rFonts w:ascii="SimSun" w:hAnsi="SimSun" w:eastAsia="SimSun" w:cs="SimSun"/>
                <w:color w:val="000000"/>
                <w:sz w:val="21"/>
              </w:rPr>
              <w:t xml:space="preserve">垃圾袋装化、分类化，目视垃圾桶、果皮箱无污迹、油迹，无异味；垃圾桶、果皮箱周围无积水；生活垃圾每日清运</w:t>
            </w:r>
            <w:r>
              <w:rPr>
                <w:rFonts w:ascii="Calibri" w:hAnsi="Calibri" w:eastAsia="Calibri" w:cs="Calibri"/>
                <w:color w:val="000000"/>
                <w:sz w:val="21"/>
              </w:rPr>
              <w:t xml:space="preserve">1</w:t>
            </w:r>
            <w:r>
              <w:rPr>
                <w:rFonts w:ascii="SimSun" w:hAnsi="SimSun" w:eastAsia="SimSun" w:cs="SimSun"/>
                <w:color w:val="000000"/>
                <w:sz w:val="21"/>
              </w:rPr>
              <w:t xml:space="preserve">次。</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1"/>
              </w:rPr>
              <w:t xml:space="preserve">楼道、门窗清洁标准</w:t>
            </w:r>
            <w:r>
              <w:rPr>
                <w:rFonts w:ascii="Calibri" w:hAnsi="Calibri" w:eastAsia="Calibri" w:cs="Calibri"/>
                <w:b/>
                <w:color w:val="000000"/>
                <w:sz w:val="21"/>
              </w:rPr>
              <w:t xml:space="preserve">:</w:t>
            </w:r>
            <w:r>
              <w:rPr>
                <w:rFonts w:ascii="SimSun" w:hAnsi="SimSun" w:eastAsia="SimSun" w:cs="SimSun"/>
                <w:color w:val="000000"/>
                <w:sz w:val="21"/>
              </w:rPr>
              <w:t xml:space="preserve">楼道保持清洁，目视地面、梯级洁净，无污渍、水渍、灰尘；楼梯扶手、楼道灯保持清洁。楼道地面无果皮、纸屑、烟头、痰迹、水迹、毛发等；墙面无明显污迹；天花板、排风口、灯具等无明显污迹，无蛛网；门窗玻璃保持无污渍，做到窗子下槽无积灰。（在室外擦窗子、清洗墙面的保洁工要系好安全带，注意人身安全，倘若发生安全事故均由投标人负责，与采购人无关。）</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8660"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1"/>
              </w:rPr>
              <w:t xml:space="preserve">室内清洁标准：</w:t>
            </w:r>
            <w:r>
              <w:rPr>
                <w:rFonts w:ascii="SimSun" w:hAnsi="SimSun" w:eastAsia="SimSun" w:cs="SimSun"/>
                <w:color w:val="000000"/>
                <w:sz w:val="21"/>
              </w:rPr>
              <w:t xml:space="preserve">地面无果皮、纸屑、烟头、痰迹、水迹、随时用排拖拖抹地面；地面无破损、无污迹；天花板、排风口、灯罩无灰尘、蛛网，门窗玻璃每天保持无污渍，做到窗子下槽无积灰。</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0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8660"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1"/>
              </w:rPr>
              <w:t xml:space="preserve">卫生间清洁标准：</w:t>
            </w:r>
            <w:r>
              <w:rPr>
                <w:rFonts w:ascii="SimSun" w:hAnsi="SimSun" w:eastAsia="SimSun" w:cs="SimSun"/>
                <w:color w:val="000000"/>
                <w:sz w:val="21"/>
              </w:rPr>
              <w:t xml:space="preserve">卫生间墙面、门窗和灯具清洁无尘、无水迹、无蛛网；面盆台面内外及周围地面无污迹、秽物等；及时清洁并倾倒纸篓；卫生间内地面保持干净；卫生间无异味；负责区域内的垃圾收集，清理，做到日产日清。</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8660"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1"/>
              </w:rPr>
              <w:t xml:space="preserve">室外公共区域清洁标准</w:t>
            </w:r>
            <w:r>
              <w:rPr>
                <w:rFonts w:ascii="SimSun" w:hAnsi="SimSun" w:eastAsia="SimSun" w:cs="SimSun"/>
                <w:b/>
                <w:color w:val="000000"/>
                <w:sz w:val="24"/>
              </w:rPr>
              <w:t xml:space="preserve">：</w:t>
            </w:r>
            <w:r>
              <w:rPr>
                <w:rFonts w:ascii="SimSun" w:hAnsi="SimSun" w:eastAsia="SimSun" w:cs="SimSun"/>
                <w:color w:val="000000"/>
                <w:sz w:val="21"/>
              </w:rPr>
              <w:t xml:space="preserve">道路、停车场、绿地保持清洁，目视地面无杂物，积水、明显污渍、泥沙；行人路干净无杂物、垃圾；绿地内无白色垃圾、烟头等。</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9"/>
        </w:trPr>
        <w:tc>
          <w:tcPr>
            <w:tcBorders>
              <w:top w:val="single" w:color="000000" w:sz="4" w:space="0"/>
            </w:tcBorders>
            <w:tcMar>
              <w:left w:w="108" w:type="dxa"/>
              <w:top w:w="0" w:type="dxa"/>
              <w:right w:w="108" w:type="dxa"/>
              <w:bottom w:w="0" w:type="dxa"/>
            </w:tcMar>
            <w:tcW w:w="23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保安服务</w:t>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、上岗应保持仪表、仪容的端庄整洁，精神饱满，在岗时不允许手插入口袋；</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4"/>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、上岗要保持制服干净，衣服纽扣全部扣上，大沿帽佩戴端正，穿黑色皮鞋，保持光亮；</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55"/>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、不在公众场所大声喧嚷；</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、值岗态度认真，做好相关记录；</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15"/>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、门岗值岗时要认真、负责，在管理区域门岗实行</w:t>
            </w:r>
            <w:r>
              <w:rPr>
                <w:rFonts w:ascii="Calibri" w:hAnsi="Calibri" w:eastAsia="Calibri" w:cs="Calibri"/>
                <w:color w:val="000000"/>
                <w:sz w:val="21"/>
              </w:rPr>
              <w:t xml:space="preserve">24</w:t>
            </w:r>
            <w:r>
              <w:rPr>
                <w:rFonts w:ascii="SimSun" w:hAnsi="SimSun" w:eastAsia="SimSun" w:cs="SimSun"/>
                <w:color w:val="000000"/>
                <w:sz w:val="21"/>
              </w:rPr>
              <w:t xml:space="preserve">小时服务；</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15"/>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、在指定位置，指定面向坐岗，严禁脱岗</w:t>
            </w:r>
            <w:r>
              <w:rPr>
                <w:rFonts w:ascii="SimSun" w:hAnsi="SimSun" w:eastAsia="SimSun" w:cs="SimSun"/>
                <w:color w:val="000000"/>
                <w:sz w:val="21"/>
                <w:u w:val="none"/>
              </w:rPr>
              <w:t xml:space="preserve">（</w:t>
            </w:r>
            <w:r>
              <w:rPr>
                <w:rFonts w:ascii="SimSun" w:hAnsi="SimSun" w:eastAsia="SimSun" w:cs="SimSun"/>
                <w:color w:val="000000"/>
                <w:sz w:val="21"/>
              </w:rPr>
              <w:t xml:space="preserve">一楼玻璃门厅内）；</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29"/>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、管理区内实行全天候保安巡视服务，确保每</w:t>
            </w:r>
            <w:r>
              <w:rPr>
                <w:rFonts w:ascii="Calibri" w:hAnsi="Calibri" w:eastAsia="Calibri" w:cs="Calibri"/>
                <w:color w:val="000000"/>
                <w:sz w:val="21"/>
              </w:rPr>
              <w:t xml:space="preserve">6</w:t>
            </w:r>
            <w:r>
              <w:rPr>
                <w:rFonts w:ascii="SimSun" w:hAnsi="SimSun" w:eastAsia="SimSun" w:cs="SimSun"/>
                <w:color w:val="000000"/>
                <w:sz w:val="21"/>
              </w:rPr>
              <w:t xml:space="preserve">小时巡遍全部公共区域；</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4"/>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、巡视内容：走道清洁，照明、灭火器、消火栓、弱电间、空调机房、烟感、喷淋、门、窗、防火门等；</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w:t>
            </w:r>
            <w:r>
              <w:rPr>
                <w:rFonts w:ascii="SimSun" w:hAnsi="SimSun" w:eastAsia="SimSun" w:cs="SimSun"/>
                <w:color w:val="000000"/>
                <w:sz w:val="22"/>
              </w:rPr>
              <w:t xml:space="preserve">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0"/>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、按指定的巡视路线巡逻，巡视记录中应记载发现情况及时间；</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14"/>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rPr>
                <w:rFonts w:ascii="SimSun" w:hAnsi="SimSun" w:eastAsia="SimSun" w:cs="SimSun"/>
                <w:color w:val="000000"/>
                <w:sz w:val="21"/>
              </w:rPr>
              <w:t xml:space="preserve">、发现可疑的人和异常的事、物及时报告，并迅速查明情况，严密监视；</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4"/>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w:t>
            </w:r>
            <w:r>
              <w:rPr>
                <w:rFonts w:ascii="SimSun" w:hAnsi="SimSun" w:eastAsia="SimSun" w:cs="SimSun"/>
                <w:color w:val="000000"/>
                <w:sz w:val="21"/>
              </w:rPr>
              <w:t xml:space="preserve">、发现违规情况，立即向采购人指出，及时阻止，作出相应处理，做好记录，并将相关情况报采购人办公室；</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39"/>
        </w:trPr>
        <w:tc>
          <w:tcPr>
            <w:vMerge w:val="continue"/>
            <w:textDirection w:val="lrTb"/>
            <w:noWrap w:val="false"/>
          </w:tcPr>
          <w:p>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w:t>
            </w:r>
            <w:r>
              <w:rPr>
                <w:rFonts w:ascii="SimSun" w:hAnsi="SimSun" w:eastAsia="SimSun" w:cs="SimSun"/>
                <w:color w:val="000000"/>
                <w:sz w:val="21"/>
              </w:rPr>
              <w:t xml:space="preserve">、巡视时看到小垃圾及时拾捡，投入就近的垃圾回收箱内；发现水管及阀漏水，及时通知采购人。</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82"/>
        </w:trPr>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考核得分</w:t>
            </w:r>
            <w:r/>
          </w:p>
        </w:tc>
        <w:tc>
          <w:tcPr>
            <w:tcMar>
              <w:left w:w="108" w:type="dxa"/>
              <w:top w:w="0" w:type="dxa"/>
              <w:right w:w="108" w:type="dxa"/>
              <w:bottom w:w="0" w:type="dxa"/>
            </w:tcMar>
            <w:tcW w:w="86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Mar>
              <w:left w:w="108" w:type="dxa"/>
              <w:top w:w="0" w:type="dxa"/>
              <w:right w:w="108" w:type="dxa"/>
              <w:bottom w:w="0" w:type="dxa"/>
            </w:tcMar>
            <w:tcW w:w="2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Mar>
              <w:left w:w="108" w:type="dxa"/>
              <w:top w:w="0" w:type="dxa"/>
              <w:right w:w="108" w:type="dxa"/>
              <w:bottom w:w="0" w:type="dxa"/>
            </w:tcMar>
            <w:tcW w:w="2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备注：每项考核内容没有做到得</w:t>
      </w:r>
      <w:r>
        <w:rPr>
          <w:rFonts w:ascii="Calibri" w:hAnsi="Calibri" w:eastAsia="Calibri" w:cs="Calibri"/>
          <w:color w:val="000000"/>
          <w:sz w:val="24"/>
        </w:rPr>
        <w:t xml:space="preserve">0</w:t>
      </w:r>
      <w:r>
        <w:rPr>
          <w:rFonts w:ascii="SimSun" w:hAnsi="SimSun" w:eastAsia="SimSun" w:cs="SimSun"/>
          <w:color w:val="000000"/>
          <w:sz w:val="24"/>
        </w:rPr>
        <w:t xml:space="preserve">分，做不到位的有一项扣</w:t>
      </w:r>
      <w:r>
        <w:rPr>
          <w:rFonts w:ascii="Calibri" w:hAnsi="Calibri" w:eastAsia="Calibri" w:cs="Calibri"/>
          <w:color w:val="000000"/>
          <w:sz w:val="24"/>
        </w:rPr>
        <w:t xml:space="preserve">1</w:t>
      </w:r>
      <w:r>
        <w:rPr>
          <w:rFonts w:ascii="SimSun" w:hAnsi="SimSun" w:eastAsia="SimSun" w:cs="SimSun"/>
          <w:color w:val="000000"/>
          <w:sz w:val="24"/>
        </w:rPr>
        <w:t xml:space="preserve">分。由甲方对乙方的服务每月进行一次考核，考核得分达到</w:t>
      </w:r>
      <w:r>
        <w:rPr>
          <w:rFonts w:ascii="Calibri" w:hAnsi="Calibri" w:eastAsia="Calibri" w:cs="Calibri"/>
          <w:color w:val="000000"/>
          <w:sz w:val="24"/>
        </w:rPr>
        <w:t xml:space="preserve">85</w:t>
      </w:r>
      <w:r>
        <w:rPr>
          <w:rFonts w:ascii="SimSun" w:hAnsi="SimSun" w:eastAsia="SimSun" w:cs="SimSun"/>
          <w:color w:val="000000"/>
          <w:sz w:val="24"/>
        </w:rPr>
        <w:t xml:space="preserve">分为合格。如果达不到考核合格标准每次扣0.5万元人民币。如连续三次达不到考核合格标准的将责令乙方退场，终止本合同。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考核人员签字：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被考核单位签字：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第四章 采购需求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项目属性:服务类项目。</w:t>
      </w:r>
      <w:r/>
    </w:p>
    <w:p>
      <w:pPr>
        <w:ind w:left="0" w:right="6743" w:firstLine="0"/>
        <w:jc w:val="both"/>
        <w:spacing w:before="275"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一、项目概况</w:t>
      </w:r>
      <w:r>
        <w:rPr>
          <w:rFonts w:ascii="SimSun" w:hAnsi="SimSun" w:eastAsia="SimSun" w:cs="SimSun"/>
          <w:color w:val="000000"/>
          <w:sz w:val="24"/>
        </w:rPr>
        <w:t xml:space="preserve"> </w:t>
      </w:r>
      <w:r/>
    </w:p>
    <w:p>
      <w:pPr>
        <w:ind w:left="0" w:right="6743" w:firstLine="0"/>
        <w:jc w:val="both"/>
        <w:spacing w:before="275"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1.物业情况</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0"/>
        <w:gridCol w:w="3292"/>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0" w:type="dxa"/>
            <w:vAlign w:val="center"/>
            <w:textDirection w:val="lrTb"/>
            <w:noWrap w:val="false"/>
          </w:tcPr>
          <w:p>
            <w:pPr>
              <w:ind w:left="0" w:right="0" w:firstLine="0"/>
              <w:jc w:val="center"/>
              <w:spacing w:before="2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物业名称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292" w:type="dxa"/>
            <w:vAlign w:val="center"/>
            <w:textDirection w:val="lrTb"/>
            <w:noWrap w:val="false"/>
          </w:tcPr>
          <w:p>
            <w:pPr>
              <w:ind w:left="0" w:right="0" w:firstLine="0"/>
              <w:jc w:val="center"/>
              <w:spacing w:before="2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物业地址</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0"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盐城市园林绿化管理处</w:t>
            </w:r>
            <w:r>
              <w:rPr>
                <w:rFonts w:ascii="SimSun" w:hAnsi="SimSun" w:eastAsia="SimSun" w:cs="SimSun"/>
                <w:color w:val="000000"/>
                <w:sz w:val="24"/>
              </w:rPr>
              <w:t xml:space="preserve">世纪大道东路25号物业管理服务采购项目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92" w:type="dxa"/>
            <w:vAlign w:val="center"/>
            <w:textDirection w:val="lrTb"/>
            <w:noWrap w:val="false"/>
          </w:tcPr>
          <w:p>
            <w:pPr>
              <w:ind w:left="1336" w:right="211" w:hanging="1115"/>
              <w:jc w:val="center"/>
              <w:spacing w:before="214"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世纪大道东路25号办公楼</w:t>
            </w:r>
            <w:r/>
          </w:p>
        </w:tc>
      </w:tr>
    </w:tbl>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托管的物业服务范围：盐城市园林绿化管理处（世纪大道东路</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号）保安、保洁等工作。包括出入人员、车辆管理，院内、各楼层安全巡查，院内、外环境卫生保洁，空调设备外箱进、出风口清洗及日常巡查等工作。详细情况</w:t>
      </w:r>
      <w:r>
        <w:rPr>
          <w:rFonts w:ascii="SimSun" w:hAnsi="SimSun" w:eastAsia="SimSun" w:cs="SimSun"/>
          <w:color w:val="000000"/>
          <w:spacing w:val="-1"/>
          <w:sz w:val="24"/>
        </w:rPr>
        <w:t xml:space="preserve">请各投标人实地勘察。</w:t>
      </w:r>
      <w:r/>
    </w:p>
    <w:p>
      <w:pPr>
        <w:ind w:left="0" w:right="0" w:firstLine="0"/>
        <w:jc w:val="both"/>
        <w:spacing w:before="6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2.物业服务范围</w:t>
      </w:r>
      <w:r/>
    </w:p>
    <w:p>
      <w:pPr>
        <w:ind w:left="0" w:right="0" w:firstLine="0"/>
        <w:jc w:val="both"/>
        <w:spacing w:before="27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（1）物业管理（建筑物）</w:t>
      </w:r>
      <w:r/>
    </w:p>
    <w:p>
      <w:pPr>
        <w:ind w:left="34" w:right="35" w:firstLine="501"/>
        <w:jc w:val="both"/>
        <w:spacing w:before="242"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以上内容体现需要供应商进行物业管理的物业的情况、边界、范围。</w:t>
      </w:r>
      <w:r>
        <w:rPr>
          <w:rFonts w:ascii="SimSun" w:hAnsi="SimSun" w:eastAsia="SimSun" w:cs="SimSun"/>
          <w:color w:val="000000"/>
          <w:spacing w:val="-2"/>
          <w:sz w:val="24"/>
        </w:rPr>
        <w:t xml:space="preserve">指标的设</w:t>
      </w:r>
      <w:r>
        <w:rPr>
          <w:rFonts w:ascii="SimSun" w:hAnsi="SimSun" w:eastAsia="SimSun" w:cs="SimSun"/>
          <w:color w:val="000000"/>
          <w:sz w:val="24"/>
        </w:rPr>
        <w:t xml:space="preserve"> </w:t>
      </w:r>
      <w:r>
        <w:rPr>
          <w:rFonts w:ascii="SimSun" w:hAnsi="SimSun" w:eastAsia="SimSun" w:cs="SimSun"/>
          <w:color w:val="000000"/>
          <w:spacing w:val="-1"/>
          <w:sz w:val="24"/>
        </w:rPr>
        <w:t xml:space="preserve">置要充分考虑可能影响供应商报价和项目实施风险的因素。</w:t>
      </w:r>
      <w:r/>
    </w:p>
    <w:tbl>
      <w:tblPr>
        <w:tblStyle w:val="704"/>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1618"/>
        <w:gridCol w:w="2044"/>
        <w:gridCol w:w="3175"/>
        <w:gridCol w:w="2335"/>
      </w:tblGrid>
      <w:tr>
        <w:trPr/>
        <w:tc>
          <w:tcPr>
            <w:gridSpan w:val="2"/>
            <w:tcMar>
              <w:left w:w="0" w:type="dxa"/>
              <w:top w:w="0" w:type="dxa"/>
              <w:right w:w="0" w:type="dxa"/>
              <w:bottom w:w="0" w:type="dxa"/>
            </w:tcMar>
            <w:tcW w:w="3662" w:type="dxa"/>
            <w:vAlign w:val="center"/>
            <w:textDirection w:val="lrTb"/>
            <w:noWrap w:val="false"/>
          </w:tcPr>
          <w:p>
            <w:pPr>
              <w:ind w:left="1358" w:right="0" w:firstLine="0"/>
              <w:jc w:val="both"/>
              <w:spacing w:before="203"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名称</w:t>
            </w:r>
            <w:r/>
          </w:p>
        </w:tc>
        <w:tc>
          <w:tcPr>
            <w:tcMar>
              <w:left w:w="0" w:type="dxa"/>
              <w:top w:w="0" w:type="dxa"/>
              <w:right w:w="0" w:type="dxa"/>
              <w:bottom w:w="0" w:type="dxa"/>
            </w:tcMar>
            <w:tcW w:w="3175" w:type="dxa"/>
            <w:vAlign w:val="center"/>
            <w:textDirection w:val="lrTb"/>
            <w:noWrap w:val="false"/>
          </w:tcPr>
          <w:p>
            <w:pPr>
              <w:ind w:left="1374" w:right="0" w:firstLine="0"/>
              <w:jc w:val="both"/>
              <w:spacing w:before="203"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9"/>
                <w:sz w:val="24"/>
              </w:rPr>
              <w:t xml:space="preserve">明细</w:t>
            </w:r>
            <w:r/>
          </w:p>
        </w:tc>
        <w:tc>
          <w:tcPr>
            <w:tcMar>
              <w:left w:w="0" w:type="dxa"/>
              <w:top w:w="0" w:type="dxa"/>
              <w:right w:w="0" w:type="dxa"/>
              <w:bottom w:w="0" w:type="dxa"/>
            </w:tcMar>
            <w:tcW w:w="2335" w:type="dxa"/>
            <w:vAlign w:val="center"/>
            <w:textDirection w:val="lrTb"/>
            <w:noWrap w:val="false"/>
          </w:tcPr>
          <w:p>
            <w:pPr>
              <w:ind w:left="329" w:right="0" w:firstLine="0"/>
              <w:jc w:val="both"/>
              <w:spacing w:before="203"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服务内容及标准</w:t>
            </w:r>
            <w:r/>
          </w:p>
        </w:tc>
      </w:tr>
      <w:tr>
        <w:trPr/>
        <w:tc>
          <w:tcPr>
            <w:gridSpan w:val="2"/>
            <w:tcMar>
              <w:left w:w="0" w:type="dxa"/>
              <w:top w:w="0" w:type="dxa"/>
              <w:right w:w="0" w:type="dxa"/>
              <w:bottom w:w="0" w:type="dxa"/>
            </w:tcMar>
            <w:tcW w:w="3662" w:type="dxa"/>
            <w:vAlign w:val="center"/>
            <w:textDirection w:val="lrTb"/>
            <w:noWrap w:val="false"/>
          </w:tcPr>
          <w:p>
            <w:pPr>
              <w:ind w:left="0" w:right="0" w:firstLine="480"/>
              <w:jc w:val="both"/>
              <w:spacing w:before="1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盐城市园林绿化管理处</w:t>
            </w:r>
            <w:r/>
          </w:p>
        </w:tc>
        <w:tc>
          <w:tcPr>
            <w:tcMar>
              <w:left w:w="0" w:type="dxa"/>
              <w:top w:w="0" w:type="dxa"/>
              <w:right w:w="0" w:type="dxa"/>
              <w:bottom w:w="0" w:type="dxa"/>
            </w:tcMar>
            <w:tcW w:w="3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Mar>
              <w:left w:w="0" w:type="dxa"/>
              <w:top w:w="0" w:type="dxa"/>
              <w:right w:w="0" w:type="dxa"/>
              <w:bottom w:w="0" w:type="dxa"/>
            </w:tcMar>
            <w:tcW w:w="2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8" w:type="dxa"/>
            <w:vAlign w:val="center"/>
            <w:vMerge w:val="restart"/>
            <w:textDirection w:val="lrTb"/>
            <w:noWrap w:val="false"/>
          </w:tcPr>
          <w:p>
            <w:pPr>
              <w:ind w:left="462"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总面积</w:t>
            </w:r>
            <w:r/>
          </w:p>
        </w:tc>
        <w:tc>
          <w:tcPr>
            <w:tcBorders>
              <w:left w:val="single" w:color="000000" w:sz="8" w:space="0"/>
            </w:tcBorders>
            <w:tcMar>
              <w:left w:w="0" w:type="dxa"/>
              <w:top w:w="0" w:type="dxa"/>
              <w:right w:w="0" w:type="dxa"/>
              <w:bottom w:w="0" w:type="dxa"/>
            </w:tcMar>
            <w:tcW w:w="2044" w:type="dxa"/>
            <w:vAlign w:val="center"/>
            <w:textDirection w:val="lrTb"/>
            <w:noWrap w:val="false"/>
          </w:tcPr>
          <w:p>
            <w:pPr>
              <w:ind w:left="437" w:right="298" w:hanging="128"/>
              <w:jc w:val="both"/>
              <w:spacing w:before="115" w:after="24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建筑面积</w:t>
            </w:r>
            <w:r>
              <w:rPr>
                <w:rFonts w:ascii="SimSun" w:hAnsi="SimSun" w:eastAsia="SimSun" w:cs="SimSun"/>
                <w:color w:val="000000"/>
                <w:spacing w:val="2"/>
                <w:sz w:val="24"/>
              </w:rPr>
              <w:t xml:space="preserve"> </w:t>
            </w:r>
            <w:r>
              <w:rPr>
                <w:rFonts w:ascii="SimSun" w:hAnsi="SimSun" w:eastAsia="SimSun" w:cs="SimSun"/>
                <w:color w:val="000000"/>
                <w:spacing w:val="-13"/>
                <w:sz w:val="24"/>
              </w:rPr>
              <w:t xml:space="preserve">（㎡）</w:t>
            </w:r>
            <w:r/>
          </w:p>
        </w:tc>
        <w:tc>
          <w:tcPr>
            <w:tcMar>
              <w:left w:w="0" w:type="dxa"/>
              <w:top w:w="0" w:type="dxa"/>
              <w:right w:w="0" w:type="dxa"/>
              <w:bottom w:w="0" w:type="dxa"/>
            </w:tcMar>
            <w:tcW w:w="3175" w:type="dxa"/>
            <w:vAlign w:val="center"/>
            <w:textDirection w:val="lrTb"/>
            <w:noWrap w:val="false"/>
          </w:tcPr>
          <w:p>
            <w:pPr>
              <w:ind w:left="1202" w:right="0" w:firstLine="0"/>
              <w:jc w:val="both"/>
              <w:spacing w:before="31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2200m</w:t>
            </w:r>
            <w:r>
              <w:rPr>
                <w:rFonts w:ascii="SimSun" w:hAnsi="SimSun" w:eastAsia="SimSun" w:cs="SimSun"/>
                <w:color w:val="000000"/>
                <w:spacing w:val="-2"/>
                <w:sz w:val="12"/>
              </w:rPr>
              <w:t xml:space="preserve">2</w:t>
            </w:r>
            <w:r/>
          </w:p>
        </w:tc>
        <w:tc>
          <w:tcPr>
            <w:tcMar>
              <w:left w:w="0" w:type="dxa"/>
              <w:top w:w="0" w:type="dxa"/>
              <w:right w:w="0" w:type="dxa"/>
              <w:bottom w:w="0" w:type="dxa"/>
            </w:tcMar>
            <w:tcW w:w="2335" w:type="dxa"/>
            <w:vAlign w:val="center"/>
            <w:textDirection w:val="lrTb"/>
            <w:noWrap w:val="false"/>
          </w:tcPr>
          <w:p>
            <w:pPr>
              <w:ind w:left="0" w:right="0" w:firstLine="0"/>
              <w:jc w:val="both"/>
              <w:spacing w:before="1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u w:val="none"/>
              </w:rPr>
              <w:t xml:space="preserve">见“3.1</w:t>
            </w:r>
            <w:r>
              <w:rPr>
                <w:rFonts w:ascii="SimSun" w:hAnsi="SimSun" w:eastAsia="SimSun" w:cs="SimSun"/>
                <w:color w:val="000000"/>
                <w:spacing w:val="-45"/>
                <w:sz w:val="24"/>
              </w:rPr>
              <w:t xml:space="preserve"> </w:t>
            </w:r>
            <w:r>
              <w:rPr>
                <w:rFonts w:ascii="SimSun" w:hAnsi="SimSun" w:eastAsia="SimSun" w:cs="SimSun"/>
                <w:color w:val="000000"/>
                <w:spacing w:val="-3"/>
                <w:sz w:val="24"/>
              </w:rPr>
              <w:t xml:space="preserve">保洁服务</w:t>
            </w:r>
            <w:r>
              <w:rPr>
                <w:rFonts w:ascii="SimSun" w:hAnsi="SimSun" w:eastAsia="SimSun" w:cs="SimSun"/>
                <w:color w:val="000000"/>
                <w:spacing w:val="-89"/>
                <w:sz w:val="24"/>
              </w:rPr>
              <w:t xml:space="preserve"> </w:t>
            </w:r>
            <w:r>
              <w:rPr>
                <w:rFonts w:ascii="SimSun" w:hAnsi="SimSun" w:eastAsia="SimSun" w:cs="SimSun"/>
                <w:color w:val="000000"/>
                <w:spacing w:val="24"/>
                <w:sz w:val="24"/>
              </w:rPr>
              <w:t xml:space="preserve">”</w:t>
            </w:r>
            <w:r>
              <w:rPr>
                <w:rFonts w:ascii="SimSun" w:hAnsi="SimSun" w:eastAsia="SimSun" w:cs="SimSun"/>
                <w:color w:val="000000"/>
                <w:spacing w:val="-3"/>
                <w:sz w:val="24"/>
              </w:rPr>
              <w:t xml:space="preserve">“3.2</w:t>
            </w:r>
            <w:r>
              <w:rPr>
                <w:rFonts w:ascii="SimSun" w:hAnsi="SimSun" w:eastAsia="SimSun" w:cs="SimSun"/>
                <w:color w:val="000000"/>
                <w:spacing w:val="-45"/>
                <w:sz w:val="24"/>
              </w:rPr>
              <w:t xml:space="preserve"> </w:t>
            </w:r>
            <w:r>
              <w:rPr>
                <w:rFonts w:ascii="SimSun" w:hAnsi="SimSun" w:eastAsia="SimSun" w:cs="SimSun"/>
                <w:color w:val="000000"/>
                <w:spacing w:val="-3"/>
                <w:sz w:val="24"/>
              </w:rPr>
              <w:t xml:space="preserve">保安服务</w:t>
            </w:r>
            <w:r>
              <w:rPr>
                <w:rFonts w:ascii="SimSun" w:hAnsi="SimSun" w:eastAsia="SimSun" w:cs="SimSun"/>
                <w:color w:val="000000"/>
                <w:spacing w:val="-89"/>
                <w:sz w:val="24"/>
              </w:rPr>
              <w:t xml:space="preserve"> </w:t>
            </w:r>
            <w:r>
              <w:rPr>
                <w:rFonts w:ascii="SimSun" w:hAnsi="SimSun" w:eastAsia="SimSun" w:cs="SimSun"/>
                <w:color w:val="000000"/>
                <w:spacing w:val="24"/>
                <w:sz w:val="24"/>
              </w:rPr>
              <w:t xml:space="preserve">”</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0" w:type="dxa"/>
              <w:top w:w="0" w:type="dxa"/>
              <w:right w:w="0" w:type="dxa"/>
              <w:bottom w:w="0" w:type="dxa"/>
            </w:tcMar>
            <w:tcW w:w="2044" w:type="dxa"/>
            <w:vAlign w:val="center"/>
            <w:textDirection w:val="lrTb"/>
            <w:noWrap w:val="false"/>
          </w:tcPr>
          <w:p>
            <w:pPr>
              <w:ind w:left="199" w:right="0" w:firstLine="0"/>
              <w:jc w:val="both"/>
              <w:spacing w:before="11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附属配套用房</w:t>
            </w:r>
            <w:r>
              <w:rPr>
                <w:rFonts w:ascii="SimSun" w:hAnsi="SimSun" w:eastAsia="SimSun" w:cs="SimSun"/>
                <w:color w:val="000000"/>
                <w:spacing w:val="-5"/>
                <w:sz w:val="24"/>
              </w:rPr>
              <w:t xml:space="preserve">面积</w:t>
            </w:r>
            <w:r>
              <w:rPr>
                <w:rFonts w:ascii="SimSun" w:hAnsi="SimSun" w:eastAsia="SimSun" w:cs="SimSun"/>
                <w:color w:val="000000"/>
                <w:spacing w:val="-14"/>
                <w:sz w:val="24"/>
              </w:rPr>
              <w:t xml:space="preserve">（㎡）</w:t>
            </w:r>
            <w:r/>
          </w:p>
        </w:tc>
        <w:tc>
          <w:tcPr>
            <w:tcMar>
              <w:left w:w="0" w:type="dxa"/>
              <w:top w:w="0" w:type="dxa"/>
              <w:right w:w="0" w:type="dxa"/>
              <w:bottom w:w="0" w:type="dxa"/>
            </w:tcMar>
            <w:tcW w:w="3175" w:type="dxa"/>
            <w:vAlign w:val="center"/>
            <w:textDirection w:val="lrTb"/>
            <w:noWrap w:val="false"/>
          </w:tcPr>
          <w:p>
            <w:pPr>
              <w:ind w:left="1202" w:right="0" w:firstLine="0"/>
              <w:jc w:val="both"/>
              <w:spacing w:before="31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50m</w:t>
            </w:r>
            <w:r>
              <w:rPr>
                <w:rFonts w:ascii="SimSun" w:hAnsi="SimSun" w:eastAsia="SimSun" w:cs="SimSun"/>
                <w:color w:val="000000"/>
                <w:spacing w:val="-2"/>
                <w:sz w:val="12"/>
              </w:rPr>
              <w:t xml:space="preserve">2</w:t>
            </w:r>
            <w:r/>
          </w:p>
        </w:tc>
        <w:tc>
          <w:tcPr>
            <w:tcMar>
              <w:left w:w="0" w:type="dxa"/>
              <w:top w:w="0" w:type="dxa"/>
              <w:right w:w="0" w:type="dxa"/>
              <w:bottom w:w="0" w:type="dxa"/>
            </w:tcMar>
            <w:tcW w:w="2335" w:type="dxa"/>
            <w:vAlign w:val="center"/>
            <w:textDirection w:val="lrTb"/>
            <w:noWrap w:val="false"/>
          </w:tcPr>
          <w:p>
            <w:pPr>
              <w:ind w:left="0" w:right="0" w:firstLine="0"/>
              <w:jc w:val="both"/>
              <w:spacing w:before="1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见“3.1 保洁服务 ”“3.2 保安服务 ”</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0" w:type="dxa"/>
              <w:top w:w="0" w:type="dxa"/>
              <w:right w:w="0" w:type="dxa"/>
              <w:bottom w:w="0" w:type="dxa"/>
            </w:tcMar>
            <w:tcW w:w="2044" w:type="dxa"/>
            <w:vAlign w:val="center"/>
            <w:textDirection w:val="lrTb"/>
            <w:noWrap w:val="false"/>
          </w:tcPr>
          <w:p>
            <w:pPr>
              <w:ind w:left="199" w:right="0" w:firstLine="0"/>
              <w:jc w:val="both"/>
              <w:spacing w:before="11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需保洁面积</w:t>
            </w:r>
            <w:r/>
          </w:p>
          <w:p>
            <w:pPr>
              <w:ind w:left="438" w:right="0" w:firstLine="0"/>
              <w:jc w:val="center"/>
              <w:spacing w:before="11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w:t>
            </w:r>
            <w:r/>
          </w:p>
        </w:tc>
        <w:tc>
          <w:tcPr>
            <w:tcMar>
              <w:left w:w="0" w:type="dxa"/>
              <w:top w:w="0" w:type="dxa"/>
              <w:right w:w="0" w:type="dxa"/>
              <w:bottom w:w="0" w:type="dxa"/>
            </w:tcMar>
            <w:tcW w:w="3175" w:type="dxa"/>
            <w:vAlign w:val="center"/>
            <w:textDirection w:val="lrTb"/>
            <w:noWrap w:val="false"/>
          </w:tcPr>
          <w:p>
            <w:pPr>
              <w:ind w:left="1026" w:right="0" w:firstLine="236"/>
              <w:jc w:val="both"/>
              <w:spacing w:before="3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2000m</w:t>
            </w:r>
            <w:r>
              <w:rPr>
                <w:rFonts w:ascii="SimSun" w:hAnsi="SimSun" w:eastAsia="SimSun" w:cs="SimSun"/>
                <w:color w:val="000000"/>
                <w:spacing w:val="-2"/>
                <w:sz w:val="12"/>
              </w:rPr>
              <w:t xml:space="preserve">2</w:t>
            </w:r>
            <w:r/>
          </w:p>
        </w:tc>
        <w:tc>
          <w:tcPr>
            <w:tcMar>
              <w:left w:w="0" w:type="dxa"/>
              <w:top w:w="0" w:type="dxa"/>
              <w:right w:w="0" w:type="dxa"/>
              <w:bottom w:w="0" w:type="dxa"/>
            </w:tcMar>
            <w:tcW w:w="2335" w:type="dxa"/>
            <w:vAlign w:val="center"/>
            <w:textDirection w:val="lrTb"/>
            <w:noWrap w:val="false"/>
          </w:tcPr>
          <w:p>
            <w:pPr>
              <w:ind w:left="0" w:right="0" w:firstLine="0"/>
              <w:jc w:val="both"/>
              <w:spacing w:before="1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见“3.1 保洁服务 ”“3.2 保安服务 ”</w:t>
            </w:r>
            <w:r/>
          </w:p>
        </w:tc>
      </w:tr>
      <w:tr>
        <w:trPr/>
        <w:tc>
          <w:tcPr>
            <w:tcBorders>
              <w:top w:val="single" w:color="000000" w:sz="8" w:space="0"/>
            </w:tcBorders>
            <w:tcMar>
              <w:left w:w="0" w:type="dxa"/>
              <w:top w:w="0" w:type="dxa"/>
              <w:right w:w="0" w:type="dxa"/>
              <w:bottom w:w="0" w:type="dxa"/>
            </w:tcMar>
            <w:tcW w:w="1618" w:type="dxa"/>
            <w:vAlign w:val="center"/>
            <w:textDirection w:val="lrTb"/>
            <w:noWrap w:val="false"/>
          </w:tcPr>
          <w:p>
            <w:pPr>
              <w:ind w:left="0" w:right="0" w:firstLine="46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办公楼</w:t>
            </w:r>
            <w:r/>
          </w:p>
        </w:tc>
        <w:tc>
          <w:tcPr>
            <w:tcMar>
              <w:left w:w="0" w:type="dxa"/>
              <w:top w:w="0" w:type="dxa"/>
              <w:right w:w="0" w:type="dxa"/>
              <w:bottom w:w="0" w:type="dxa"/>
            </w:tcMar>
            <w:tcW w:w="2044" w:type="dxa"/>
            <w:vAlign w:val="center"/>
            <w:textDirection w:val="lrTb"/>
            <w:noWrap w:val="false"/>
          </w:tcPr>
          <w:p>
            <w:pPr>
              <w:ind w:left="437" w:right="418" w:hanging="4"/>
              <w:jc w:val="both"/>
              <w:spacing w:before="120" w:after="24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总数量</w:t>
            </w:r>
            <w:r>
              <w:rPr>
                <w:rFonts w:ascii="SimSun" w:hAnsi="SimSun" w:eastAsia="SimSun" w:cs="SimSun"/>
                <w:color w:val="000000"/>
                <w:spacing w:val="1"/>
                <w:sz w:val="24"/>
              </w:rPr>
              <w:t xml:space="preserve"> </w:t>
            </w:r>
            <w:r>
              <w:rPr>
                <w:rFonts w:ascii="SimSun" w:hAnsi="SimSun" w:eastAsia="SimSun" w:cs="SimSun"/>
                <w:color w:val="000000"/>
                <w:spacing w:val="-7"/>
                <w:sz w:val="24"/>
              </w:rPr>
              <w:t xml:space="preserve">（个）</w:t>
            </w:r>
            <w:r/>
          </w:p>
        </w:tc>
        <w:tc>
          <w:tcPr>
            <w:tcMar>
              <w:left w:w="0" w:type="dxa"/>
              <w:top w:w="0" w:type="dxa"/>
              <w:right w:w="0" w:type="dxa"/>
              <w:bottom w:w="0" w:type="dxa"/>
            </w:tcMar>
            <w:tcW w:w="3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401"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w:t>
            </w:r>
            <w:r>
              <w:rPr>
                <w:rFonts w:ascii="SimSun" w:hAnsi="SimSun" w:eastAsia="SimSun" w:cs="SimSun"/>
                <w:color w:val="000000"/>
                <w:spacing w:val="-51"/>
                <w:sz w:val="24"/>
              </w:rPr>
              <w:t xml:space="preserve"> </w:t>
            </w:r>
            <w:r>
              <w:rPr>
                <w:rFonts w:ascii="SimSun" w:hAnsi="SimSun" w:eastAsia="SimSun" w:cs="SimSun"/>
                <w:color w:val="000000"/>
                <w:spacing w:val="-14"/>
                <w:sz w:val="24"/>
              </w:rPr>
              <w:t xml:space="preserve">个</w:t>
            </w:r>
            <w:r/>
          </w:p>
        </w:tc>
        <w:tc>
          <w:tcPr>
            <w:tcMar>
              <w:left w:w="0" w:type="dxa"/>
              <w:top w:w="0" w:type="dxa"/>
              <w:right w:w="0" w:type="dxa"/>
              <w:bottom w:w="0" w:type="dxa"/>
            </w:tcMar>
            <w:tcW w:w="2335"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见“3.1 保洁服务 ”“3.2 保安服务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 </w:t>
      </w:r>
      <w:r/>
    </w:p>
    <w:p>
      <w:pPr>
        <w:ind w:left="0" w:right="0" w:firstLine="0"/>
        <w:jc w:val="both"/>
        <w:spacing w:before="114"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（2）物业管理（室外）</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3"/>
        <w:gridCol w:w="2560"/>
        <w:gridCol w:w="386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23" w:type="dxa"/>
            <w:vAlign w:val="center"/>
            <w:textDirection w:val="lrTb"/>
            <w:noWrap w:val="false"/>
          </w:tcPr>
          <w:p>
            <w:pPr>
              <w:ind w:left="889" w:right="0" w:firstLine="0"/>
              <w:spacing w:before="18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0" w:type="dxa"/>
            <w:vAlign w:val="center"/>
            <w:textDirection w:val="lrTb"/>
            <w:noWrap w:val="false"/>
          </w:tcPr>
          <w:p>
            <w:pPr>
              <w:ind w:left="1073" w:right="0" w:firstLine="0"/>
              <w:spacing w:before="18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9"/>
                <w:sz w:val="24"/>
              </w:rPr>
              <w:t xml:space="preserve">明细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63" w:type="dxa"/>
            <w:vAlign w:val="center"/>
            <w:textDirection w:val="lrTb"/>
            <w:noWrap w:val="false"/>
          </w:tcPr>
          <w:p>
            <w:pPr>
              <w:ind w:left="1110" w:right="0" w:firstLine="0"/>
              <w:spacing w:before="18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服务内容及标准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3" w:type="dxa"/>
            <w:vAlign w:val="center"/>
            <w:textDirection w:val="lrTb"/>
            <w:noWrap w:val="false"/>
          </w:tcPr>
          <w:p>
            <w:pPr>
              <w:ind w:left="650" w:right="0" w:firstLine="0"/>
              <w:spacing w:before="14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室外面积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0" w:type="dxa"/>
            <w:vAlign w:val="center"/>
            <w:textDirection w:val="lrTb"/>
            <w:noWrap w:val="false"/>
          </w:tcPr>
          <w:p>
            <w:pPr>
              <w:ind w:left="904" w:right="0" w:firstLine="0"/>
              <w:spacing w:before="14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2500㎡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63" w:type="dxa"/>
            <w:vAlign w:val="center"/>
            <w:textDirection w:val="lrTb"/>
            <w:noWrap w:val="false"/>
          </w:tcPr>
          <w:p>
            <w:pPr>
              <w:ind w:left="0" w:right="0" w:firstLine="0"/>
              <w:spacing w:before="14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见“3.1 保洁服务 ”“3.2 保安服务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3" w:type="dxa"/>
            <w:vAlign w:val="center"/>
            <w:textDirection w:val="lrTb"/>
            <w:noWrap w:val="false"/>
          </w:tcPr>
          <w:p>
            <w:pPr>
              <w:ind w:left="888" w:right="0" w:firstLine="0"/>
              <w:spacing w:before="20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绿化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0" w:type="dxa"/>
            <w:vAlign w:val="center"/>
            <w:textDirection w:val="lrTb"/>
            <w:noWrap w:val="false"/>
          </w:tcPr>
          <w:p>
            <w:pPr>
              <w:ind w:left="963" w:right="0" w:firstLine="0"/>
              <w:spacing w:before="20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3000</w:t>
            </w:r>
            <w:r>
              <w:rPr>
                <w:rFonts w:ascii="SimSun" w:hAnsi="SimSun" w:eastAsia="SimSun" w:cs="SimSun"/>
                <w:color w:val="000000"/>
                <w:spacing w:val="-38"/>
                <w:sz w:val="24"/>
              </w:rPr>
              <w:t xml:space="preserve"> </w:t>
            </w:r>
            <w:r>
              <w:rPr>
                <w:rFonts w:ascii="SimSun" w:hAnsi="SimSun" w:eastAsia="SimSun" w:cs="SimSun"/>
                <w:color w:val="000000"/>
                <w:spacing w:val="-3"/>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63" w:type="dxa"/>
            <w:vAlign w:val="center"/>
            <w:textDirection w:val="lrTb"/>
            <w:noWrap w:val="false"/>
          </w:tcPr>
          <w:p>
            <w:pPr>
              <w:ind w:left="0" w:right="0" w:firstLine="0"/>
              <w:spacing w:before="20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见“3.1 保洁服务 ”“3.2 保安服务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3" w:type="dxa"/>
            <w:vAlign w:val="center"/>
            <w:textDirection w:val="lrTb"/>
            <w:noWrap w:val="false"/>
          </w:tcPr>
          <w:p>
            <w:pPr>
              <w:ind w:left="888" w:right="0" w:firstLine="0"/>
              <w:spacing w:before="14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草坪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0" w:type="dxa"/>
            <w:vAlign w:val="center"/>
            <w:textDirection w:val="lrTb"/>
            <w:noWrap w:val="false"/>
          </w:tcPr>
          <w:p>
            <w:pPr>
              <w:ind w:left="1082" w:right="0" w:firstLine="0"/>
              <w:spacing w:before="14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63" w:type="dxa"/>
            <w:vAlign w:val="center"/>
            <w:textDirection w:val="lrTb"/>
            <w:noWrap w:val="false"/>
          </w:tcPr>
          <w:p>
            <w:pPr>
              <w:ind w:left="0" w:right="0" w:firstLine="0"/>
              <w:spacing w:before="14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见“3.1 保洁服务 ”“3.2 保安服务 ”</w:t>
            </w:r>
            <w:r/>
          </w:p>
        </w:tc>
      </w:tr>
    </w:tbl>
    <w:p>
      <w:pPr>
        <w:ind w:left="0" w:right="0" w:firstLine="0"/>
        <w:jc w:val="both"/>
        <w:spacing w:before="24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二、项目总体要求</w:t>
      </w:r>
      <w:r/>
    </w:p>
    <w:p>
      <w:pPr>
        <w:ind w:left="36" w:right="0" w:firstLine="480"/>
        <w:jc w:val="both"/>
        <w:spacing w:before="277"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物业管理单位应从本物业管理实际出发，根</w:t>
      </w:r>
      <w:r>
        <w:rPr>
          <w:rFonts w:ascii="SimSun" w:hAnsi="SimSun" w:eastAsia="SimSun" w:cs="SimSun"/>
          <w:color w:val="000000"/>
          <w:spacing w:val="-2"/>
          <w:sz w:val="24"/>
        </w:rPr>
        <w:t xml:space="preserve">据合同约定的管理服务范围和标准，</w:t>
      </w:r>
      <w:r>
        <w:rPr>
          <w:rFonts w:ascii="SimSun" w:hAnsi="SimSun" w:eastAsia="SimSun" w:cs="SimSun"/>
          <w:color w:val="000000"/>
          <w:sz w:val="24"/>
        </w:rPr>
        <w:t xml:space="preserve"> 设立专门的项目管理机构，配备符合要求的物业管理人员</w:t>
      </w:r>
      <w:r>
        <w:rPr>
          <w:rFonts w:ascii="SimSun" w:hAnsi="SimSun" w:eastAsia="SimSun" w:cs="SimSun"/>
          <w:color w:val="000000"/>
          <w:spacing w:val="-1"/>
          <w:sz w:val="24"/>
        </w:rPr>
        <w:t xml:space="preserve">、工程专业技术人员和各</w:t>
      </w:r>
      <w:r>
        <w:rPr>
          <w:rFonts w:ascii="SimSun" w:hAnsi="SimSun" w:eastAsia="SimSun" w:cs="SimSun"/>
          <w:color w:val="000000"/>
          <w:sz w:val="24"/>
        </w:rPr>
        <w:t xml:space="preserve">  </w:t>
      </w:r>
      <w:r>
        <w:rPr>
          <w:rFonts w:ascii="SimSun" w:hAnsi="SimSun" w:eastAsia="SimSun" w:cs="SimSun"/>
          <w:color w:val="000000"/>
          <w:spacing w:val="-1"/>
          <w:sz w:val="24"/>
        </w:rPr>
        <w:t xml:space="preserve">类服务人员，制定完整、有效的内部管理制度和日常</w:t>
      </w:r>
      <w:r>
        <w:rPr>
          <w:rFonts w:ascii="SimSun" w:hAnsi="SimSun" w:eastAsia="SimSun" w:cs="SimSun"/>
          <w:color w:val="000000"/>
          <w:spacing w:val="-2"/>
          <w:sz w:val="24"/>
        </w:rPr>
        <w:t xml:space="preserve">服务运行管理制度等相关制度。</w:t>
      </w:r>
      <w:r/>
    </w:p>
    <w:p>
      <w:pPr>
        <w:ind w:left="38" w:right="200" w:firstLine="478"/>
        <w:jc w:val="both"/>
        <w:spacing w:before="37" w:after="0" w:line="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物业管理单位对大楼的环境保洁服务，提供整洁、卫</w:t>
      </w:r>
      <w:r>
        <w:rPr>
          <w:rFonts w:ascii="SimSun" w:hAnsi="SimSun" w:eastAsia="SimSun" w:cs="SimSun"/>
          <w:color w:val="000000"/>
          <w:spacing w:val="-1"/>
          <w:sz w:val="24"/>
        </w:rPr>
        <w:t xml:space="preserve">生、美观的环境；物业管</w:t>
      </w:r>
      <w:r>
        <w:rPr>
          <w:rFonts w:ascii="SimSun" w:hAnsi="SimSun" w:eastAsia="SimSun" w:cs="SimSun"/>
          <w:color w:val="000000"/>
          <w:sz w:val="24"/>
        </w:rPr>
        <w:t xml:space="preserve"> 理单位应为楼内办公人员提供优美的工作环境；物业</w:t>
      </w:r>
      <w:r>
        <w:rPr>
          <w:rFonts w:ascii="SimSun" w:hAnsi="SimSun" w:eastAsia="SimSun" w:cs="SimSun"/>
          <w:color w:val="000000"/>
          <w:spacing w:val="-1"/>
          <w:sz w:val="24"/>
        </w:rPr>
        <w:t xml:space="preserve">管理单位对自然灾害、事故灾</w:t>
      </w:r>
      <w:r>
        <w:rPr>
          <w:rFonts w:ascii="SimSun" w:hAnsi="SimSun" w:eastAsia="SimSun" w:cs="SimSun"/>
          <w:color w:val="000000"/>
          <w:sz w:val="24"/>
        </w:rPr>
        <w:t xml:space="preserve"> 害、公共卫生事件等突发公共事件建立应急预案，并</w:t>
      </w:r>
      <w:r>
        <w:rPr>
          <w:rFonts w:ascii="SimSun" w:hAnsi="SimSun" w:eastAsia="SimSun" w:cs="SimSun"/>
          <w:color w:val="000000"/>
          <w:spacing w:val="-1"/>
          <w:sz w:val="24"/>
        </w:rPr>
        <w:t xml:space="preserve">组织培训、演练。有突发事件</w:t>
      </w:r>
      <w:r>
        <w:rPr>
          <w:rFonts w:ascii="SimSun" w:hAnsi="SimSun" w:eastAsia="SimSun" w:cs="SimSun"/>
          <w:color w:val="000000"/>
          <w:sz w:val="24"/>
        </w:rPr>
        <w:t xml:space="preserve"> </w:t>
      </w:r>
      <w:r>
        <w:rPr>
          <w:rFonts w:ascii="SimSun" w:hAnsi="SimSun" w:eastAsia="SimSun" w:cs="SimSun"/>
          <w:color w:val="000000"/>
          <w:spacing w:val="-1"/>
          <w:sz w:val="24"/>
        </w:rPr>
        <w:t xml:space="preserve">按规定程序及时采取相应措施。</w:t>
      </w:r>
      <w:r/>
    </w:p>
    <w:p>
      <w:pPr>
        <w:ind w:left="0" w:right="0" w:firstLine="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三、物业管理范围及具体服务项目</w:t>
      </w:r>
      <w:r/>
    </w:p>
    <w:p>
      <w:pPr>
        <w:ind w:left="38" w:right="200" w:firstLine="478"/>
        <w:jc w:val="both"/>
        <w:spacing w:before="37" w:after="0" w:line="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盐城市园林绿化管理处（世纪大道东路25号）保安、保洁等工作。包括出入人员、车辆管理，院内、各楼层安全巡查，院内、外环境卫生保洁，空调设备外箱进、出风口清洗及日常巡查等工作。</w:t>
      </w:r>
      <w:r/>
    </w:p>
    <w:p>
      <w:pPr>
        <w:ind w:left="499"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（一）卫生保洁</w:t>
      </w:r>
      <w:r/>
    </w:p>
    <w:p>
      <w:pPr>
        <w:ind w:left="488" w:right="3180" w:firstLine="0"/>
        <w:jc w:val="both"/>
        <w:spacing w:before="272"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保洁范围：本次采购内所有区域，具体范围为：</w:t>
      </w:r>
      <w:r>
        <w:rPr>
          <w:rFonts w:ascii="SimSun" w:hAnsi="SimSun" w:eastAsia="SimSun" w:cs="SimSun"/>
          <w:color w:val="000000"/>
          <w:spacing w:val="12"/>
          <w:sz w:val="24"/>
        </w:rPr>
        <w:t xml:space="preserve"> </w:t>
      </w:r>
      <w:r/>
    </w:p>
    <w:p>
      <w:pPr>
        <w:ind w:left="488" w:right="3180" w:firstLine="0"/>
        <w:jc w:val="both"/>
        <w:spacing w:before="272"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建筑部分：</w:t>
      </w:r>
      <w:r/>
    </w:p>
    <w:p>
      <w:pPr>
        <w:ind w:left="9" w:right="40" w:firstLine="480"/>
        <w:jc w:val="both"/>
        <w:spacing w:before="36"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市园林绿化管理处公共地面保洁、洗盥间、男、女厕所、门窗、会议室、</w:t>
      </w:r>
      <w:r>
        <w:rPr>
          <w:rFonts w:ascii="SimSun" w:hAnsi="SimSun" w:eastAsia="SimSun" w:cs="SimSun"/>
          <w:color w:val="000000"/>
          <w:spacing w:val="-1"/>
          <w:sz w:val="24"/>
        </w:rPr>
        <w:t xml:space="preserve">过道、楼梯间、内墙面、垃圾外运等所有建筑物的保洁。</w:t>
      </w:r>
      <w:r/>
    </w:p>
    <w:p>
      <w:pPr>
        <w:ind w:left="492" w:right="0" w:firstLine="0"/>
        <w:jc w:val="both"/>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室外部分：</w:t>
      </w:r>
      <w:r/>
    </w:p>
    <w:p>
      <w:pPr>
        <w:ind w:left="492" w:right="0" w:firstLine="0"/>
        <w:jc w:val="both"/>
        <w:spacing w:before="2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室外广场和停车场、道路、绿化等的保洁工作等。</w:t>
      </w:r>
      <w:r/>
    </w:p>
    <w:p>
      <w:pPr>
        <w:ind w:left="8" w:right="209" w:firstLine="481"/>
        <w:jc w:val="both"/>
        <w:spacing w:before="274"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垃圾须日积日清，负责与环卫部门对接清理清运出市园林绿化管理处。因创文创卫需要突击期间，做好相关保障及垃圾清理清运工</w:t>
      </w:r>
      <w:r>
        <w:rPr>
          <w:rFonts w:ascii="SimSun" w:hAnsi="SimSun" w:eastAsia="SimSun" w:cs="SimSun"/>
          <w:b/>
          <w:color w:val="000000"/>
          <w:spacing w:val="-3"/>
          <w:sz w:val="24"/>
        </w:rPr>
        <w:t xml:space="preserve">作。</w:t>
      </w:r>
      <w:r/>
    </w:p>
    <w:p>
      <w:pPr>
        <w:ind w:left="499" w:right="0" w:firstLine="0"/>
        <w:jc w:val="both"/>
        <w:spacing w:before="3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（二）消耗品</w:t>
      </w:r>
      <w:r/>
    </w:p>
    <w:p>
      <w:pPr>
        <w:ind w:left="28" w:right="121" w:firstLine="478"/>
        <w:jc w:val="both"/>
        <w:spacing w:before="274"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保洁易耗品由成交供应商负责提供，如拖把、抹布等保洁用具及清洁保养</w:t>
      </w:r>
      <w:r>
        <w:rPr>
          <w:rFonts w:ascii="SimSun" w:hAnsi="SimSun" w:eastAsia="SimSun" w:cs="SimSun"/>
          <w:color w:val="000000"/>
          <w:spacing w:val="-4"/>
          <w:sz w:val="24"/>
        </w:rPr>
        <w:t xml:space="preserve">的各种清洁液等。</w:t>
      </w:r>
      <w:r/>
    </w:p>
    <w:p>
      <w:pPr>
        <w:ind w:left="433" w:right="0" w:firstLine="0"/>
        <w:jc w:val="both"/>
        <w:spacing w:before="22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3.1</w:t>
      </w:r>
      <w:r>
        <w:rPr>
          <w:rFonts w:ascii="SimSun" w:hAnsi="SimSun" w:eastAsia="SimSun" w:cs="SimSun"/>
          <w:color w:val="000000"/>
          <w:spacing w:val="-47"/>
          <w:sz w:val="24"/>
        </w:rPr>
        <w:t xml:space="preserve"> </w:t>
      </w:r>
      <w:r>
        <w:rPr>
          <w:rFonts w:ascii="SimSun" w:hAnsi="SimSun" w:eastAsia="SimSun" w:cs="SimSun"/>
          <w:b/>
          <w:color w:val="000000"/>
          <w:spacing w:val="-6"/>
          <w:sz w:val="24"/>
        </w:rPr>
        <w:t xml:space="preserve">保洁服务</w:t>
      </w:r>
      <w:r/>
    </w:p>
    <w:tbl>
      <w:tblPr>
        <w:tblStyle w:val="704"/>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736"/>
        <w:gridCol w:w="1243"/>
        <w:gridCol w:w="6913"/>
      </w:tblGrid>
      <w:tr>
        <w:trPr>
          <w:trHeight w:val="797"/>
        </w:trPr>
        <w:tc>
          <w:tcPr>
            <w:tcMar>
              <w:left w:w="0" w:type="dxa"/>
              <w:top w:w="0" w:type="dxa"/>
              <w:right w:w="0" w:type="dxa"/>
              <w:bottom w:w="0" w:type="dxa"/>
            </w:tcMar>
            <w:tcW w:w="736" w:type="dxa"/>
            <w:vAlign w:val="center"/>
            <w:textDirection w:val="lrTb"/>
            <w:noWrap w:val="false"/>
          </w:tcPr>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序号</w:t>
            </w:r>
            <w:r/>
          </w:p>
        </w:tc>
        <w:tc>
          <w:tcPr>
            <w:tcBorders>
              <w:bottom w:val="single" w:color="000000" w:sz="8" w:space="0"/>
            </w:tcBorders>
            <w:tcMar>
              <w:left w:w="0" w:type="dxa"/>
              <w:top w:w="0" w:type="dxa"/>
              <w:right w:w="0" w:type="dxa"/>
              <w:bottom w:w="0" w:type="dxa"/>
            </w:tcMar>
            <w:tcW w:w="1243" w:type="dxa"/>
            <w:vAlign w:val="center"/>
            <w:textDirection w:val="lrTb"/>
            <w:noWrap w:val="false"/>
          </w:tcPr>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服务内容</w:t>
            </w:r>
            <w:r/>
          </w:p>
        </w:tc>
        <w:tc>
          <w:tcPr>
            <w:tcMar>
              <w:left w:w="0" w:type="dxa"/>
              <w:top w:w="0" w:type="dxa"/>
              <w:right w:w="0" w:type="dxa"/>
              <w:bottom w:w="0" w:type="dxa"/>
            </w:tcMar>
            <w:tcW w:w="6913" w:type="dxa"/>
            <w:vAlign w:val="center"/>
            <w:textDirection w:val="lrTb"/>
            <w:noWrap w:val="false"/>
          </w:tcPr>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服务标准</w:t>
            </w:r>
            <w:r/>
          </w:p>
        </w:tc>
      </w:tr>
      <w:tr>
        <w:trPr/>
        <w:tc>
          <w:tcPr>
            <w:tcBorders>
              <w:right w:val="single" w:color="000000" w:sz="8" w:space="0"/>
            </w:tcBorders>
            <w:tcMar>
              <w:left w:w="0" w:type="dxa"/>
              <w:top w:w="0" w:type="dxa"/>
              <w:right w:w="0" w:type="dxa"/>
              <w:bottom w:w="0" w:type="dxa"/>
            </w:tcMar>
            <w:tcW w:w="736" w:type="dxa"/>
            <w:vAlign w:val="center"/>
            <w:vMerge w:val="restart"/>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3" w:type="dxa"/>
            <w:vAlign w:val="center"/>
            <w:vMerge w:val="restart"/>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基本要求</w:t>
            </w:r>
            <w:r/>
          </w:p>
        </w:tc>
        <w:tc>
          <w:tcPr>
            <w:tcBorders>
              <w:left w:val="single" w:color="000000" w:sz="8" w:space="0"/>
            </w:tcBorders>
            <w:tcMar>
              <w:left w:w="0" w:type="dxa"/>
              <w:top w:w="0" w:type="dxa"/>
              <w:right w:w="0" w:type="dxa"/>
              <w:bottom w:w="0" w:type="dxa"/>
            </w:tcMar>
            <w:tcW w:w="6913" w:type="dxa"/>
            <w:vAlign w:val="top"/>
            <w:textDirection w:val="lrTb"/>
            <w:noWrap w:val="false"/>
          </w:tcPr>
          <w:p>
            <w:pPr>
              <w:ind w:left="117" w:right="401" w:firstLine="7"/>
              <w:spacing w:before="194"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（1）建立保洁服务的工作制度及工作计划，并按照执</w:t>
            </w:r>
            <w:r>
              <w:rPr>
                <w:rFonts w:ascii="SimSun" w:hAnsi="SimSun" w:eastAsia="SimSun" w:cs="SimSun"/>
                <w:color w:val="000000"/>
                <w:spacing w:val="-7"/>
                <w:sz w:val="24"/>
              </w:rPr>
              <w:t xml:space="preserve">行。</w:t>
            </w:r>
            <w:r/>
          </w:p>
        </w:tc>
      </w:tr>
      <w:tr>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0" w:type="dxa"/>
              <w:top w:w="0" w:type="dxa"/>
              <w:right w:w="0" w:type="dxa"/>
              <w:bottom w:w="0" w:type="dxa"/>
            </w:tcMar>
            <w:tcW w:w="6913" w:type="dxa"/>
            <w:vAlign w:val="top"/>
            <w:textDirection w:val="lrTb"/>
            <w:noWrap w:val="false"/>
          </w:tcPr>
          <w:p>
            <w:pPr>
              <w:ind w:left="113" w:right="401" w:firstLine="11"/>
              <w:spacing w:before="198"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（2）做好保洁服务工作记录，记录填写规范、保存完</w:t>
            </w:r>
            <w:r>
              <w:rPr>
                <w:rFonts w:ascii="SimSun" w:hAnsi="SimSun" w:eastAsia="SimSun" w:cs="SimSun"/>
                <w:color w:val="000000"/>
                <w:spacing w:val="-5"/>
                <w:sz w:val="24"/>
              </w:rPr>
              <w:t xml:space="preserve">好。</w:t>
            </w:r>
            <w:r/>
          </w:p>
        </w:tc>
      </w:tr>
      <w:tr>
        <w:trPr>
          <w:trHeight w:val="1042"/>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0" w:type="dxa"/>
              <w:top w:w="0" w:type="dxa"/>
              <w:right w:w="0" w:type="dxa"/>
              <w:bottom w:w="0" w:type="dxa"/>
            </w:tcMar>
            <w:tcW w:w="6913" w:type="dxa"/>
            <w:vAlign w:val="top"/>
            <w:textDirection w:val="lrTb"/>
            <w:noWrap w:val="false"/>
          </w:tcPr>
          <w:p>
            <w:pPr>
              <w:ind w:left="112" w:right="161" w:firstLine="12"/>
              <w:spacing w:before="197"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（3）作业时采取安全防护措施，防止对作业人员或他人造成伤害。相关耗材的环保、安全性等应当符合国家相</w:t>
            </w:r>
            <w:r>
              <w:rPr>
                <w:rFonts w:ascii="SimSun" w:hAnsi="SimSun" w:eastAsia="SimSun" w:cs="SimSun"/>
                <w:color w:val="000000"/>
                <w:spacing w:val="-3"/>
                <w:sz w:val="24"/>
              </w:rPr>
              <w:t xml:space="preserve">关规定要求。</w:t>
            </w:r>
            <w:r/>
          </w:p>
        </w:tc>
      </w:tr>
      <w:tr>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0" w:type="dxa"/>
              <w:top w:w="0" w:type="dxa"/>
              <w:right w:w="0" w:type="dxa"/>
              <w:bottom w:w="0" w:type="dxa"/>
            </w:tcMar>
            <w:tcW w:w="6913" w:type="dxa"/>
            <w:vAlign w:val="top"/>
            <w:textDirection w:val="lrTb"/>
            <w:noWrap w:val="false"/>
          </w:tcPr>
          <w:p>
            <w:pPr>
              <w:ind w:left="115" w:right="161" w:firstLine="9"/>
              <w:spacing w:before="194"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（4）须保持整个服务区环境优美，卫生整洁；保持室内外各公共包干区清洁卫生、环境宜人；重点部位须专人负责，始终保持清洁状态</w:t>
            </w:r>
            <w:r>
              <w:rPr>
                <w:rFonts w:ascii="SimSun" w:hAnsi="SimSun" w:eastAsia="SimSun" w:cs="SimSun"/>
                <w:color w:val="000000"/>
                <w:spacing w:val="-2"/>
                <w:sz w:val="24"/>
              </w:rPr>
              <w:t xml:space="preserve">。</w:t>
            </w:r>
            <w:r/>
          </w:p>
        </w:tc>
      </w:tr>
      <w:tr>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0" w:type="dxa"/>
              <w:top w:w="0" w:type="dxa"/>
              <w:right w:w="0" w:type="dxa"/>
              <w:bottom w:w="0" w:type="dxa"/>
            </w:tcMar>
            <w:tcW w:w="6913" w:type="dxa"/>
            <w:vAlign w:val="top"/>
            <w:textDirection w:val="lrTb"/>
            <w:noWrap w:val="false"/>
          </w:tcPr>
          <w:p>
            <w:pPr>
              <w:ind w:left="113" w:right="159" w:firstLine="11"/>
              <w:spacing w:before="194" w:after="2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（5）保洁服务范围</w:t>
            </w:r>
            <w:r/>
          </w:p>
          <w:p>
            <w:pPr>
              <w:ind w:left="113" w:right="159" w:firstLine="11"/>
              <w:spacing w:before="194" w:after="2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①室内部分包括：所有楼内公共区域；</w:t>
            </w:r>
            <w:r/>
          </w:p>
          <w:p>
            <w:pPr>
              <w:ind w:left="113" w:right="159" w:firstLine="11"/>
              <w:spacing w:before="194" w:after="24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②室外部分包括：道路、广场、停车位、绿化带、停车场等公共环境。</w:t>
            </w:r>
            <w:r/>
          </w:p>
        </w:tc>
      </w:tr>
      <w:tr>
        <w:trPr>
          <w:trHeight w:val="569"/>
        </w:trPr>
        <w:tc>
          <w:tcPr>
            <w:tcMar>
              <w:left w:w="0" w:type="dxa"/>
              <w:top w:w="0" w:type="dxa"/>
              <w:right w:w="0" w:type="dxa"/>
              <w:bottom w:w="0" w:type="dxa"/>
            </w:tcMar>
            <w:tcW w:w="736"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tcBorders>
            <w:tcMar>
              <w:left w:w="0" w:type="dxa"/>
              <w:top w:w="0" w:type="dxa"/>
              <w:right w:w="0" w:type="dxa"/>
              <w:bottom w:w="0" w:type="dxa"/>
            </w:tcMar>
            <w:tcW w:w="124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室外区域</w:t>
            </w:r>
            <w:r/>
          </w:p>
        </w:tc>
        <w:tc>
          <w:tcPr>
            <w:tcMar>
              <w:left w:w="0" w:type="dxa"/>
              <w:top w:w="0" w:type="dxa"/>
              <w:right w:w="0" w:type="dxa"/>
              <w:bottom w:w="0" w:type="dxa"/>
            </w:tcMar>
            <w:tcW w:w="69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道路、停车场、绿地保持清洁，目视地面无杂物，积水、明显污渍、泥沙；行人路面干净无杂物、垃圾；绿地内无白色垃圾、烟头等；</w:t>
            </w:r>
            <w:r/>
          </w:p>
        </w:tc>
      </w:tr>
      <w:tr>
        <w:trPr>
          <w:trHeight w:val="889"/>
        </w:trPr>
        <w:tc>
          <w:tcPr>
            <w:tcMar>
              <w:left w:w="0" w:type="dxa"/>
              <w:top w:w="0" w:type="dxa"/>
              <w:right w:w="0" w:type="dxa"/>
              <w:bottom w:w="0" w:type="dxa"/>
            </w:tcMar>
            <w:tcW w:w="736" w:type="dxa"/>
            <w:vAlign w:val="top"/>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Mar>
              <w:left w:w="0" w:type="dxa"/>
              <w:top w:w="0" w:type="dxa"/>
              <w:right w:w="0" w:type="dxa"/>
              <w:bottom w:w="0" w:type="dxa"/>
            </w:tcMar>
            <w:tcW w:w="124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室内公共区域</w:t>
            </w:r>
            <w:r/>
          </w:p>
        </w:tc>
        <w:tc>
          <w:tcPr>
            <w:tcMar>
              <w:left w:w="0" w:type="dxa"/>
              <w:top w:w="0" w:type="dxa"/>
              <w:right w:w="0" w:type="dxa"/>
              <w:bottom w:w="0" w:type="dxa"/>
            </w:tcMar>
            <w:tcW w:w="6913" w:type="dxa"/>
            <w:vAlign w:val="top"/>
            <w:textDirection w:val="lrTb"/>
            <w:noWrap w:val="false"/>
          </w:tcPr>
          <w:p>
            <w:pPr>
              <w:ind w:left="117" w:right="281" w:hanging="5"/>
              <w:spacing w:before="217"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地面无果皮、纸屑、烟头、痰迹、水迹、随时用排拖拖抹地面；地面无破损、无污迹；天花板、排风口、灯罩无灰尘、蛛网；</w:t>
            </w:r>
            <w:r/>
          </w:p>
        </w:tc>
      </w:tr>
      <w:tr>
        <w:trPr>
          <w:trHeight w:val="1840"/>
        </w:trPr>
        <w:tc>
          <w:tcPr>
            <w:tcMar>
              <w:left w:w="0" w:type="dxa"/>
              <w:top w:w="0" w:type="dxa"/>
              <w:right w:w="0" w:type="dxa"/>
              <w:bottom w:w="0" w:type="dxa"/>
            </w:tcMar>
            <w:tcW w:w="736"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Mar>
              <w:left w:w="0" w:type="dxa"/>
              <w:top w:w="0" w:type="dxa"/>
              <w:right w:w="0" w:type="dxa"/>
              <w:bottom w:w="0" w:type="dxa"/>
            </w:tcMar>
            <w:tcW w:w="124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公共洗手间、 开水间</w:t>
            </w:r>
            <w:r/>
          </w:p>
        </w:tc>
        <w:tc>
          <w:tcPr>
            <w:tcMar>
              <w:left w:w="0" w:type="dxa"/>
              <w:top w:w="0" w:type="dxa"/>
              <w:right w:w="0" w:type="dxa"/>
              <w:bottom w:w="0" w:type="dxa"/>
            </w:tcMar>
            <w:tcW w:w="6913" w:type="dxa"/>
            <w:vAlign w:val="center"/>
            <w:textDirection w:val="lrTb"/>
            <w:noWrap w:val="false"/>
          </w:tcPr>
          <w:p>
            <w:pPr>
              <w:ind w:left="113" w:right="281" w:hanging="2"/>
              <w:spacing w:before="216" w:after="24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卫生间墙面、门窗和灯具清洁无尘、无水迹、无蛛网；面盆台面内外及周围地面无污迹、秽物等；及时清洁并倾倒纸篓；卫生间内地面保持干净；卫生间无异味；负责区域内的垃圾收集，清理，做到日产日清；</w:t>
            </w:r>
            <w:r/>
          </w:p>
        </w:tc>
      </w:tr>
      <w:tr>
        <w:trPr/>
        <w:tc>
          <w:tcPr>
            <w:tcMar>
              <w:left w:w="0" w:type="dxa"/>
              <w:top w:w="0" w:type="dxa"/>
              <w:right w:w="0" w:type="dxa"/>
              <w:bottom w:w="0" w:type="dxa"/>
            </w:tcMar>
            <w:tcW w:w="736" w:type="dxa"/>
            <w:vAlign w:val="top"/>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Mar>
              <w:left w:w="0" w:type="dxa"/>
              <w:top w:w="0" w:type="dxa"/>
              <w:right w:w="0" w:type="dxa"/>
              <w:bottom w:w="0" w:type="dxa"/>
            </w:tcMar>
            <w:tcW w:w="124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楼道、门窗清洁</w:t>
            </w:r>
            <w:r/>
          </w:p>
        </w:tc>
        <w:tc>
          <w:tcPr>
            <w:tcMar>
              <w:left w:w="0" w:type="dxa"/>
              <w:top w:w="0" w:type="dxa"/>
              <w:right w:w="0" w:type="dxa"/>
              <w:bottom w:w="0" w:type="dxa"/>
            </w:tcMar>
            <w:tcW w:w="6913" w:type="dxa"/>
            <w:vAlign w:val="top"/>
            <w:textDirection w:val="lrTb"/>
            <w:noWrap w:val="false"/>
          </w:tcPr>
          <w:p>
            <w:pPr>
              <w:ind w:left="111" w:right="0" w:firstLine="0"/>
              <w:spacing w:before="2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道保持清洁，目视地面、梯级洁净，无污渍、水渍、灰尘；楼梯扶手、楼道灯保持清洁。楼道地面无果皮、纸屑、烟头、痰迹、水迹、毛发等；墙面无明显污迹；天花板、排风口、灯具等无明显污迹，无蛛网；门窗玻璃保持无污渍，做到窗子下槽无积灰；（在室外擦窗子、清洗墙面的保洁工要系好安全带，注意人身安全，倘若发生安全事故均由投标人负责，与采购人无关。）</w:t>
            </w:r>
            <w:r/>
          </w:p>
        </w:tc>
      </w:tr>
      <w:tr>
        <w:trPr>
          <w:trHeight w:val="838"/>
        </w:trPr>
        <w:tc>
          <w:tcPr>
            <w:tcMar>
              <w:left w:w="0" w:type="dxa"/>
              <w:top w:w="0" w:type="dxa"/>
              <w:right w:w="0" w:type="dxa"/>
              <w:bottom w:w="0" w:type="dxa"/>
            </w:tcMar>
            <w:tcW w:w="736"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Mar>
              <w:left w:w="0" w:type="dxa"/>
              <w:top w:w="0" w:type="dxa"/>
              <w:right w:w="0" w:type="dxa"/>
              <w:bottom w:w="0" w:type="dxa"/>
            </w:tcMar>
            <w:tcW w:w="124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垃圾处理</w:t>
            </w:r>
            <w:r/>
          </w:p>
        </w:tc>
        <w:tc>
          <w:tcPr>
            <w:tcMar>
              <w:left w:w="0" w:type="dxa"/>
              <w:top w:w="0" w:type="dxa"/>
              <w:right w:w="0" w:type="dxa"/>
              <w:bottom w:w="0" w:type="dxa"/>
            </w:tcMar>
            <w:tcW w:w="6913" w:type="dxa"/>
            <w:vAlign w:val="center"/>
            <w:textDirection w:val="lrTb"/>
            <w:noWrap w:val="false"/>
          </w:tcPr>
          <w:p>
            <w:pPr>
              <w:ind w:left="125" w:right="0" w:firstLine="0"/>
              <w:spacing w:before="21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垃圾袋装化、分类化，目视垃圾桶、果皮箱无污迹、油迹，无异味；垃圾桶、果皮箱周围无积水；生活垃圾每日清运1次。</w:t>
            </w:r>
            <w:r/>
          </w:p>
        </w:tc>
      </w:tr>
    </w:tbl>
    <w:p>
      <w:pPr>
        <w:ind w:left="625" w:right="0" w:firstLine="0"/>
        <w:jc w:val="both"/>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3.1.1</w:t>
      </w:r>
      <w:r>
        <w:rPr>
          <w:rFonts w:ascii="SimSun" w:hAnsi="SimSun" w:eastAsia="SimSun" w:cs="SimSun"/>
          <w:color w:val="000000"/>
          <w:spacing w:val="-41"/>
          <w:sz w:val="24"/>
        </w:rPr>
        <w:t xml:space="preserve"> </w:t>
      </w:r>
      <w:r>
        <w:rPr>
          <w:rFonts w:ascii="SimSun" w:hAnsi="SimSun" w:eastAsia="SimSun" w:cs="SimSun"/>
          <w:b/>
          <w:color w:val="000000"/>
          <w:spacing w:val="-5"/>
          <w:sz w:val="24"/>
        </w:rPr>
        <w:t xml:space="preserve">具体清洁要求</w:t>
      </w:r>
      <w:r/>
    </w:p>
    <w:p>
      <w:pPr>
        <w:ind w:left="0" w:right="0" w:firstLine="0"/>
        <w:jc w:val="both"/>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1276"/>
        <w:gridCol w:w="6949"/>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材质</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9" w:type="dxa"/>
            <w:vAlign w:val="center"/>
            <w:textDirection w:val="lrTb"/>
            <w:noWrap w:val="false"/>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清洁要求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232"/>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瓷砖地面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9" w:type="dxa"/>
            <w:vAlign w:val="center"/>
            <w:textDirection w:val="lrTb"/>
            <w:noWrap w:val="false"/>
          </w:tcPr>
          <w:p>
            <w:pPr>
              <w:ind w:left="0" w:right="571" w:firstLine="0"/>
              <w:jc w:val="center"/>
              <w:spacing w:before="197"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推尘，保持地面干净无杂物，使用洗洁精或肥皂水清</w:t>
            </w:r>
            <w:r>
              <w:rPr>
                <w:rFonts w:ascii="SimSun" w:hAnsi="SimSun" w:eastAsia="SimSun" w:cs="SimSun"/>
                <w:color w:val="000000"/>
                <w:spacing w:val="-7"/>
                <w:sz w:val="24"/>
              </w:rPr>
              <w:t xml:space="preserve">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ind w:left="352" w:right="0" w:firstLine="0"/>
              <w:jc w:val="both"/>
              <w:spacing w:before="24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jc w:val="center"/>
              <w:spacing w:before="20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石材地面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9" w:type="dxa"/>
            <w:vAlign w:val="top"/>
            <w:textDirection w:val="lrTb"/>
            <w:noWrap w:val="false"/>
          </w:tcPr>
          <w:p>
            <w:pPr>
              <w:ind w:left="114" w:right="0" w:firstLine="0"/>
              <w:spacing w:before="20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使用中性清洁剂清洁，避免使用强酸或强碱清洁剂。</w:t>
            </w:r>
            <w:r/>
          </w:p>
        </w:tc>
      </w:tr>
    </w:tbl>
    <w:p>
      <w:pPr>
        <w:ind w:left="488" w:right="0" w:firstLine="0"/>
        <w:jc w:val="both"/>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注：根据物业用材情况选择清洁要求</w:t>
      </w:r>
      <w:r/>
    </w:p>
    <w:p>
      <w:pPr>
        <w:ind w:left="540" w:right="0" w:firstLine="0"/>
        <w:jc w:val="both"/>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3.2保安服务</w:t>
      </w:r>
      <w:r/>
    </w:p>
    <w:p>
      <w:pPr>
        <w:ind w:left="0" w:right="0" w:firstLine="0"/>
        <w:jc w:val="both"/>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6"/>
        <w:gridCol w:w="1574"/>
        <w:gridCol w:w="642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19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val="false"/>
          </w:tcPr>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26" w:type="dxa"/>
            <w:vAlign w:val="top"/>
            <w:textDirection w:val="lrTb"/>
            <w:noWrap w:val="false"/>
          </w:tcPr>
          <w:p>
            <w:pPr>
              <w:ind w:left="2657" w:right="0" w:firstLine="0"/>
              <w:spacing w:before="2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（1）建立保安服务相关制度，并按照执行。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（2）对巡查、值守及异常情况等做好相关记录，填写规范，建立台账，保存完好。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（3）配备保安服务必要的器材。</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4"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具体要求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6"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1）上岗应保持仪表、仪容的端庄整洁，精神饱满，在岗时不允许手插入口袋；</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（2）上岗要保持制服干净，衣服纽扣全部扣上，大沿帽佩戴端正，穿黑色皮鞋，保持光亮；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（3）不在公众场所大声喧哗；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（4）值岗态度认真，做好相关记录；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（5）门岗值岗时要认真、负责，在管理区域门岗实行24小时服务；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（6）在指定位置，指定面向坐岗，严禁脱岗（一楼玻璃门厅内）；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（7）管理区内实行全天候保安巡视服务，确保每6小时巡遍全部公共区域；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（8）巡视内容：走道清洁，照明、灭火器、消火栓、弱电间、空调机房、烟感、喷淋、门、窗、防火门等；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（9）按指定的巡视路线巡逻，巡视记录中应记载发现情况及时间；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（10）.发现可疑的人和异常的事、物及时报告，并迅速查明情况，严密监视；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（11）.发现违规情况，立即向采购人指出，及时阻止，作出相应处理，做好记录，并将相关情况报采购人办公室；</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（12）巡视时看到小垃圾及时拾捡，投入就近的垃圾回收箱内；发现水管及阀漏水，及时通知采购人。</w:t>
            </w:r>
            <w:r/>
          </w:p>
        </w:tc>
      </w:tr>
    </w:tbl>
    <w:p>
      <w:pPr>
        <w:ind w:left="669" w:right="0" w:firstLine="0"/>
        <w:jc w:val="both"/>
        <w:spacing w:before="19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3.3</w:t>
      </w:r>
      <w:r>
        <w:rPr>
          <w:rFonts w:ascii="SimSun" w:hAnsi="SimSun" w:eastAsia="SimSun" w:cs="SimSun"/>
          <w:color w:val="000000"/>
          <w:spacing w:val="-47"/>
          <w:sz w:val="24"/>
        </w:rPr>
        <w:t xml:space="preserve"> </w:t>
      </w:r>
      <w:r>
        <w:rPr>
          <w:rFonts w:ascii="SimSun" w:hAnsi="SimSun" w:eastAsia="SimSun" w:cs="SimSun"/>
          <w:b/>
          <w:color w:val="000000"/>
          <w:spacing w:val="-4"/>
          <w:sz w:val="24"/>
        </w:rPr>
        <w:t xml:space="preserve">建立健全物业管理制度</w:t>
      </w:r>
      <w:r/>
    </w:p>
    <w:p>
      <w:pPr>
        <w:ind w:left="53" w:right="41" w:firstLine="480"/>
        <w:jc w:val="both"/>
        <w:spacing w:before="232"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按照物业管理条例规定，建立健全本物业管理服务方案，收集、保管好本物业相关的图纸、数据等资料。建立、保管好物业管理档案，做好档案交接工作等</w:t>
      </w:r>
      <w:r>
        <w:rPr>
          <w:rFonts w:ascii="SimSun" w:hAnsi="SimSun" w:eastAsia="SimSun" w:cs="SimSun"/>
          <w:color w:val="000000"/>
          <w:spacing w:val="-1"/>
          <w:sz w:val="24"/>
        </w:rPr>
        <w:t xml:space="preserve">。</w:t>
      </w:r>
      <w:r/>
    </w:p>
    <w:p>
      <w:pPr>
        <w:ind w:left="555" w:right="0" w:firstLine="0"/>
        <w:jc w:val="both"/>
        <w:spacing w:before="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四、供应商履行合同所需的设备</w:t>
      </w:r>
      <w:r/>
    </w:p>
    <w:p>
      <w:pPr>
        <w:ind w:left="0" w:right="0" w:firstLine="0"/>
        <w:jc w:val="both"/>
        <w:spacing w:before="0" w:after="0" w:line="2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1519"/>
        <w:gridCol w:w="4461"/>
        <w:gridCol w:w="856"/>
        <w:gridCol w:w="938"/>
      </w:tblGrid>
      <w:tr>
        <w:trPr>
          <w:trHeight w:val="5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1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1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用途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0" w:firstLine="0"/>
              <w:jc w:val="center"/>
              <w:spacing w:before="10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作业设备名称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6" w:type="dxa"/>
            <w:vAlign w:val="center"/>
            <w:textDirection w:val="lrTb"/>
            <w:noWrap w:val="false"/>
          </w:tcPr>
          <w:p>
            <w:pPr>
              <w:ind w:left="0" w:right="0" w:firstLine="0"/>
              <w:jc w:val="center"/>
              <w:spacing w:before="10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10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保洁服务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14" w:right="272" w:firstLine="2"/>
              <w:jc w:val="center"/>
              <w:spacing w:before="246" w:after="24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室内外扫帚、垃圾桶、抹布、专用清洁</w:t>
            </w:r>
            <w:r>
              <w:rPr>
                <w:rFonts w:ascii="SimSun" w:hAnsi="SimSun" w:eastAsia="SimSun" w:cs="SimSun"/>
                <w:color w:val="000000"/>
                <w:spacing w:val="2"/>
                <w:sz w:val="24"/>
              </w:rPr>
              <w:t xml:space="preserve"> </w:t>
            </w:r>
            <w:r>
              <w:rPr>
                <w:rFonts w:ascii="SimSun" w:hAnsi="SimSun" w:eastAsia="SimSun" w:cs="SimSun"/>
                <w:color w:val="000000"/>
                <w:spacing w:val="-2"/>
                <w:sz w:val="24"/>
              </w:rPr>
              <w:t xml:space="preserve">剂、平拖、软布拖把等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center"/>
            <w:textDirection w:val="lrTb"/>
            <w:noWrap w:val="false"/>
          </w:tcPr>
          <w:p>
            <w:pPr>
              <w:ind w:left="395"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356"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272" w:firstLine="0"/>
              <w:jc w:val="center"/>
              <w:spacing w:before="246" w:after="24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无线对讲机等保安设备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center"/>
            <w:textDirection w:val="lrTb"/>
            <w:noWrap w:val="false"/>
          </w:tcPr>
          <w:p>
            <w:pPr>
              <w:ind w:left="395"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356"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9" w:type="dxa"/>
            <w:vAlign w:val="center"/>
            <w:textDirection w:val="lrTb"/>
            <w:noWrap w:val="false"/>
          </w:tcPr>
          <w:p>
            <w:pPr>
              <w:ind w:left="0"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工程维修服务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272" w:firstLine="0"/>
              <w:jc w:val="center"/>
              <w:spacing w:before="246" w:after="24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维修工具等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10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5"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line="9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6"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r>
    </w:tbl>
    <w:p>
      <w:pPr>
        <w:ind w:left="0"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五、岗位设置、人员配备及相关要求</w:t>
      </w:r>
      <w:r/>
    </w:p>
    <w:p>
      <w:pPr>
        <w:ind w:left="516" w:right="0" w:firstLine="0"/>
        <w:jc w:val="both"/>
        <w:spacing w:before="2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1、岗位要求</w:t>
      </w:r>
      <w:r/>
    </w:p>
    <w:p>
      <w:pPr>
        <w:ind w:left="0" w:right="0" w:firstLine="0"/>
        <w:jc w:val="both"/>
        <w:spacing w:before="0" w:after="0" w:line="3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64"/>
        <w:gridCol w:w="1869"/>
        <w:gridCol w:w="2765"/>
        <w:gridCol w:w="178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4" w:type="dxa"/>
            <w:vAlign w:val="center"/>
            <w:textDirection w:val="lrTb"/>
            <w:noWrap w:val="false"/>
          </w:tcPr>
          <w:p>
            <w:pPr>
              <w:ind w:left="620"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9" w:type="dxa"/>
            <w:vAlign w:val="center"/>
            <w:textDirection w:val="lrTb"/>
            <w:noWrap w:val="false"/>
          </w:tcPr>
          <w:p>
            <w:pPr>
              <w:ind w:left="228" w:right="0" w:firstLine="0"/>
              <w:jc w:val="center"/>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最低配置人数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65" w:type="dxa"/>
            <w:vAlign w:val="center"/>
            <w:textDirection w:val="lrTb"/>
            <w:noWrap w:val="false"/>
          </w:tcPr>
          <w:p>
            <w:pPr>
              <w:ind w:left="924"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其他条件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668"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4" w:type="dxa"/>
            <w:vAlign w:val="center"/>
            <w:textDirection w:val="lrTb"/>
            <w:noWrap w:val="false"/>
          </w:tcPr>
          <w:p>
            <w:pPr>
              <w:ind w:left="0" w:right="0" w:firstLine="468"/>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保洁人员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9" w:type="dxa"/>
            <w:vAlign w:val="center"/>
            <w:textDirection w:val="lrTb"/>
            <w:noWrap w:val="false"/>
          </w:tcPr>
          <w:p>
            <w:pPr>
              <w:ind w:left="816"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65" w:type="dxa"/>
            <w:vAlign w:val="center"/>
            <w:textDirection w:val="lrTb"/>
            <w:noWrap w:val="false"/>
          </w:tcPr>
          <w:p>
            <w:pPr>
              <w:ind w:left="424" w:right="0" w:firstLine="0"/>
              <w:jc w:val="both"/>
              <w:spacing w:before="21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男性：60</w:t>
            </w:r>
            <w:r>
              <w:rPr>
                <w:rFonts w:ascii="SimSun" w:hAnsi="SimSun" w:eastAsia="SimSun" w:cs="SimSun"/>
                <w:color w:val="000000"/>
                <w:spacing w:val="-44"/>
                <w:sz w:val="24"/>
              </w:rPr>
              <w:t xml:space="preserve"> </w:t>
            </w:r>
            <w:r>
              <w:rPr>
                <w:rFonts w:ascii="SimSun" w:hAnsi="SimSun" w:eastAsia="SimSun" w:cs="SimSun"/>
                <w:color w:val="000000"/>
                <w:spacing w:val="-4"/>
                <w:sz w:val="24"/>
              </w:rPr>
              <w:t xml:space="preserve">周岁以下</w:t>
            </w:r>
            <w:r/>
          </w:p>
          <w:p>
            <w:pPr>
              <w:ind w:left="421" w:right="0" w:firstLine="0"/>
              <w:jc w:val="both"/>
              <w:spacing w:before="4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女性：50</w:t>
            </w:r>
            <w:r>
              <w:rPr>
                <w:rFonts w:ascii="SimSun" w:hAnsi="SimSun" w:eastAsia="SimSun" w:cs="SimSun"/>
                <w:color w:val="000000"/>
                <w:spacing w:val="-50"/>
                <w:sz w:val="24"/>
              </w:rPr>
              <w:t xml:space="preserve"> </w:t>
            </w:r>
            <w:r>
              <w:rPr>
                <w:rFonts w:ascii="SimSun" w:hAnsi="SimSun" w:eastAsia="SimSun" w:cs="SimSun"/>
                <w:color w:val="000000"/>
                <w:spacing w:val="-3"/>
                <w:sz w:val="24"/>
              </w:rPr>
              <w:t xml:space="preserve">周岁以下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4" w:type="dxa"/>
            <w:vAlign w:val="center"/>
            <w:textDirection w:val="lrTb"/>
            <w:noWrap w:val="false"/>
          </w:tcPr>
          <w:p>
            <w:pPr>
              <w:ind w:left="258" w:right="0" w:firstLine="236"/>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保安人员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9" w:type="dxa"/>
            <w:vAlign w:val="center"/>
            <w:textDirection w:val="lrTb"/>
            <w:noWrap w:val="false"/>
          </w:tcPr>
          <w:p>
            <w:pPr>
              <w:ind w:left="828" w:right="0" w:firstLine="0"/>
              <w:jc w:val="both"/>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w:t>
            </w:r>
            <w:r>
              <w:rPr>
                <w:rFonts w:ascii="SimSun" w:hAnsi="SimSun" w:eastAsia="SimSun" w:cs="SimSun"/>
                <w:color w:val="000000"/>
                <w:spacing w:val="-49"/>
                <w:sz w:val="24"/>
              </w:rPr>
              <w:t xml:space="preserve"> </w:t>
            </w:r>
            <w:r>
              <w:rPr>
                <w:rFonts w:ascii="SimSun" w:hAnsi="SimSun" w:eastAsia="SimSun" w:cs="SimSun"/>
                <w:color w:val="000000"/>
                <w:spacing w:val="-14"/>
                <w:sz w:val="24"/>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65" w:type="dxa"/>
            <w:vAlign w:val="center"/>
            <w:textDirection w:val="lrTb"/>
            <w:noWrap w:val="false"/>
          </w:tcPr>
          <w:p>
            <w:pPr>
              <w:ind w:left="424" w:right="0" w:firstLine="0"/>
              <w:jc w:val="both"/>
              <w:spacing w:before="2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男性：60</w:t>
            </w:r>
            <w:r>
              <w:rPr>
                <w:rFonts w:ascii="SimSun" w:hAnsi="SimSun" w:eastAsia="SimSun" w:cs="SimSun"/>
                <w:color w:val="000000"/>
                <w:spacing w:val="-44"/>
                <w:sz w:val="24"/>
              </w:rPr>
              <w:t xml:space="preserve"> </w:t>
            </w:r>
            <w:r>
              <w:rPr>
                <w:rFonts w:ascii="SimSun" w:hAnsi="SimSun" w:eastAsia="SimSun" w:cs="SimSun"/>
                <w:color w:val="000000"/>
                <w:spacing w:val="-4"/>
                <w:sz w:val="24"/>
              </w:rPr>
              <w:t xml:space="preserve">周岁以下</w:t>
            </w:r>
            <w:r/>
          </w:p>
          <w:p>
            <w:pPr>
              <w:ind w:left="421" w:right="0" w:firstLine="0"/>
              <w:jc w:val="both"/>
              <w:spacing w:before="4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女性：50</w:t>
            </w:r>
            <w:r>
              <w:rPr>
                <w:rFonts w:ascii="SimSun" w:hAnsi="SimSun" w:eastAsia="SimSun" w:cs="SimSun"/>
                <w:color w:val="000000"/>
                <w:spacing w:val="-50"/>
                <w:sz w:val="24"/>
              </w:rPr>
              <w:t xml:space="preserve"> </w:t>
            </w:r>
            <w:r>
              <w:rPr>
                <w:rFonts w:ascii="SimSun" w:hAnsi="SimSun" w:eastAsia="SimSun" w:cs="SimSun"/>
                <w:color w:val="000000"/>
                <w:spacing w:val="-3"/>
                <w:sz w:val="24"/>
              </w:rPr>
              <w:t xml:space="preserve">周岁以下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4" w:type="dxa"/>
            <w:vAlign w:val="center"/>
            <w:textDirection w:val="lrTb"/>
            <w:noWrap w:val="false"/>
          </w:tcPr>
          <w:p>
            <w:pPr>
              <w:ind w:left="865" w:right="0" w:firstLine="0"/>
              <w:jc w:val="both"/>
              <w:spacing w:before="21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小计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9" w:type="dxa"/>
            <w:vAlign w:val="center"/>
            <w:textDirection w:val="lrTb"/>
            <w:noWrap w:val="false"/>
          </w:tcPr>
          <w:p>
            <w:pPr>
              <w:ind w:left="828" w:right="0" w:firstLine="0"/>
              <w:jc w:val="both"/>
              <w:spacing w:before="2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3人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502" w:right="0" w:firstLine="0"/>
        <w:jc w:val="both"/>
        <w:spacing w:before="24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2、人员配备要求</w:t>
      </w:r>
      <w:r/>
    </w:p>
    <w:p>
      <w:pPr>
        <w:ind w:left="23" w:right="0" w:firstLine="493"/>
        <w:jc w:val="both"/>
        <w:spacing w:before="27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w:t>
      </w:r>
      <w:r>
        <w:rPr>
          <w:rFonts w:ascii="SimSun" w:hAnsi="SimSun" w:eastAsia="SimSun" w:cs="SimSun"/>
          <w:color w:val="000000"/>
          <w:spacing w:val="-3"/>
          <w:sz w:val="24"/>
        </w:rPr>
        <w:t xml:space="preserve">原则：思想品质好、作风正派、无不良记录、精干、高效、专业、敬业、 健康</w:t>
      </w:r>
      <w:r/>
    </w:p>
    <w:p>
      <w:pPr>
        <w:ind w:left="25" w:right="0" w:firstLine="491"/>
        <w:jc w:val="both"/>
        <w:spacing w:before="276"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人员要求。根据市园林绿化管理处（世纪大道东路25号）的布置及财政预算的实际情况，物业服务人员共计需3人，分别为：保安2人，保洁1人，并确定一名项目负责人。具体要求：保安工作时间对进出楼宇人员进行身份核验登记，为外来人员提供咨询解答和引导服务，实行全天候保安巡视服务，巡视内容包括走道清洁，照明、门、窗等。保洁工作时间需保证公共区域、会议室、卫生间等区域保持清洁，无污渍、水渍、灰尘、烟头等；墙面无明显污迹；天花板、排风口、灯具等无明显污迹，无蛛网；卫生间无异味；区域内的垃圾日产日清。办公楼窗户玻璃每年至少</w:t>
      </w:r>
      <w:r>
        <w:rPr>
          <w:rFonts w:ascii="SimSun" w:hAnsi="SimSun" w:eastAsia="SimSun" w:cs="SimSun"/>
          <w:color w:val="000000"/>
          <w:spacing w:val="-3"/>
          <w:sz w:val="24"/>
        </w:rPr>
        <w:t xml:space="preserve">全面清洁1次，保持干净。</w:t>
      </w:r>
      <w:r/>
    </w:p>
    <w:p>
      <w:pPr>
        <w:ind w:left="25" w:right="0" w:firstLine="491"/>
        <w:jc w:val="both"/>
        <w:spacing w:before="276"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2.2.1项目负责人：全面负责物业服务各项事务，负责组织整理收集物业服务值班记录和档案资料归档保管等。投标人一旦中标进场履职后，物业管理服务的内容所形成的文件、合同、协议、图纸、表格、经济往来凭证、财务管理账目等资料均系物业管理档案资料必须妥善保管，及时收集、整理、汇总、留存，服务期满移交采购人归档存查。</w:t>
      </w:r>
      <w:r/>
    </w:p>
    <w:p>
      <w:pPr>
        <w:ind w:left="25" w:right="0" w:firstLine="491"/>
        <w:jc w:val="both"/>
        <w:spacing w:before="276"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2.2.2保洁员、保安员：男性：60</w:t>
      </w:r>
      <w:r>
        <w:rPr>
          <w:rFonts w:ascii="SimSun" w:hAnsi="SimSun" w:eastAsia="SimSun" w:cs="SimSun"/>
          <w:color w:val="000000"/>
          <w:spacing w:val="-42"/>
          <w:sz w:val="24"/>
        </w:rPr>
        <w:t xml:space="preserve"> </w:t>
      </w:r>
      <w:r>
        <w:rPr>
          <w:rFonts w:ascii="SimSun" w:hAnsi="SimSun" w:eastAsia="SimSun" w:cs="SimSun"/>
          <w:color w:val="000000"/>
          <w:spacing w:val="-3"/>
          <w:sz w:val="24"/>
        </w:rPr>
        <w:t xml:space="preserve">周岁以下；</w:t>
      </w:r>
      <w:r>
        <w:rPr>
          <w:rFonts w:ascii="SimSun" w:hAnsi="SimSun" w:eastAsia="SimSun" w:cs="SimSun"/>
          <w:color w:val="000000"/>
          <w:sz w:val="24"/>
        </w:rPr>
        <w:t xml:space="preserve"> </w:t>
      </w:r>
      <w:r>
        <w:rPr>
          <w:rFonts w:ascii="SimSun" w:hAnsi="SimSun" w:eastAsia="SimSun" w:cs="SimSun"/>
          <w:color w:val="000000"/>
          <w:spacing w:val="-2"/>
          <w:sz w:val="24"/>
        </w:rPr>
        <w:t xml:space="preserve">女性：50</w:t>
      </w:r>
      <w:r>
        <w:rPr>
          <w:rFonts w:ascii="SimSun" w:hAnsi="SimSun" w:eastAsia="SimSun" w:cs="SimSun"/>
          <w:color w:val="000000"/>
          <w:spacing w:val="-31"/>
          <w:sz w:val="24"/>
        </w:rPr>
        <w:t xml:space="preserve"> </w:t>
      </w:r>
      <w:r>
        <w:rPr>
          <w:rFonts w:ascii="SimSun" w:hAnsi="SimSun" w:eastAsia="SimSun" w:cs="SimSun"/>
          <w:color w:val="000000"/>
          <w:spacing w:val="-2"/>
          <w:sz w:val="24"/>
        </w:rPr>
        <w:t xml:space="preserve">周岁以下，有吃苦耐劳精神，责任心强。</w:t>
      </w:r>
      <w:r>
        <w:rPr>
          <w:rFonts w:ascii="SimSun" w:hAnsi="SimSun" w:eastAsia="SimSun" w:cs="SimSun"/>
          <w:color w:val="000000"/>
          <w:spacing w:val="-1"/>
          <w:sz w:val="24"/>
        </w:rPr>
        <w:t xml:space="preserve">以上所有人员均须有健康证，无重大疾病和传染病，不接受退休人员</w:t>
      </w:r>
      <w:r>
        <w:rPr>
          <w:rFonts w:ascii="SimSun" w:hAnsi="SimSun" w:eastAsia="SimSun" w:cs="SimSun"/>
          <w:color w:val="000000"/>
          <w:spacing w:val="-2"/>
          <w:sz w:val="24"/>
        </w:rPr>
        <w:t xml:space="preserve">为本项目</w:t>
      </w:r>
      <w:r>
        <w:rPr>
          <w:rFonts w:ascii="SimSun" w:hAnsi="SimSun" w:eastAsia="SimSun" w:cs="SimSun"/>
          <w:color w:val="000000"/>
          <w:sz w:val="24"/>
        </w:rPr>
        <w:t xml:space="preserve"> </w:t>
      </w:r>
      <w:r>
        <w:rPr>
          <w:rFonts w:ascii="SimSun" w:hAnsi="SimSun" w:eastAsia="SimSun" w:cs="SimSun"/>
          <w:color w:val="000000"/>
          <w:spacing w:val="-3"/>
          <w:sz w:val="24"/>
        </w:rPr>
        <w:t xml:space="preserve">项目组成员。</w:t>
      </w:r>
      <w:r/>
    </w:p>
    <w:p>
      <w:pPr>
        <w:ind w:left="22" w:right="118" w:firstLine="481"/>
        <w:jc w:val="both"/>
        <w:spacing w:before="36"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2.2.3本项目配备人员不少于</w:t>
      </w:r>
      <w:r>
        <w:rPr>
          <w:rFonts w:ascii="SimSun" w:hAnsi="SimSun" w:eastAsia="SimSun" w:cs="SimSun"/>
          <w:color w:val="000000"/>
          <w:spacing w:val="-17"/>
          <w:sz w:val="24"/>
        </w:rPr>
        <w:t xml:space="preserve">3</w:t>
      </w:r>
      <w:r>
        <w:rPr>
          <w:rFonts w:ascii="SimSun" w:hAnsi="SimSun" w:eastAsia="SimSun" w:cs="SimSun"/>
          <w:color w:val="000000"/>
          <w:spacing w:val="-2"/>
          <w:sz w:val="24"/>
        </w:rPr>
        <w:t xml:space="preserve">人，人员必须用足，中标方需统筹安排满足甲方</w:t>
      </w:r>
      <w:r>
        <w:rPr>
          <w:rFonts w:ascii="SimSun" w:hAnsi="SimSun" w:eastAsia="SimSun" w:cs="SimSun"/>
          <w:color w:val="000000"/>
          <w:spacing w:val="-1"/>
          <w:sz w:val="24"/>
        </w:rPr>
        <w:t xml:space="preserve">工作要求，具体要求及范围按项目需求实施。</w:t>
      </w:r>
      <w:r/>
    </w:p>
    <w:p>
      <w:pPr>
        <w:ind w:left="8" w:right="1" w:firstLine="480"/>
        <w:jc w:val="both"/>
        <w:spacing w:before="78" w:after="0" w:line="1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注:1.服务单位必须按照有关法律法规充分考虑加班</w:t>
      </w:r>
      <w:r>
        <w:rPr>
          <w:rFonts w:ascii="SimSun" w:hAnsi="SimSun" w:eastAsia="SimSun" w:cs="SimSun"/>
          <w:color w:val="000000"/>
          <w:spacing w:val="-1"/>
          <w:sz w:val="24"/>
        </w:rPr>
        <w:t xml:space="preserve">费和员工福利，招标人不</w:t>
      </w:r>
      <w:r>
        <w:rPr>
          <w:rFonts w:ascii="SimSun" w:hAnsi="SimSun" w:eastAsia="SimSun" w:cs="SimSun"/>
          <w:color w:val="000000"/>
          <w:sz w:val="24"/>
        </w:rPr>
        <w:t xml:space="preserve">  再另外支付人员的其它任何费用。2.服务单位于合同签订</w:t>
      </w:r>
      <w:r>
        <w:rPr>
          <w:rFonts w:ascii="SimSun" w:hAnsi="SimSun" w:eastAsia="SimSun" w:cs="SimSun"/>
          <w:color w:val="000000"/>
          <w:spacing w:val="-1"/>
          <w:sz w:val="24"/>
        </w:rPr>
        <w:t xml:space="preserve">之日起七日内所有服务人员必须按要求持证上岗（包括所有服务人员领取健康证等</w:t>
      </w:r>
      <w:r>
        <w:rPr>
          <w:rFonts w:ascii="SimSun" w:hAnsi="SimSun" w:eastAsia="SimSun" w:cs="SimSun"/>
          <w:color w:val="000000"/>
          <w:spacing w:val="11"/>
          <w:sz w:val="24"/>
        </w:rPr>
        <w:t xml:space="preserve">），</w:t>
      </w:r>
      <w:r>
        <w:rPr>
          <w:rFonts w:ascii="SimSun" w:hAnsi="SimSun" w:eastAsia="SimSun" w:cs="SimSun"/>
          <w:color w:val="000000"/>
          <w:spacing w:val="-1"/>
          <w:sz w:val="24"/>
        </w:rPr>
        <w:t xml:space="preserve">有一项不符合则视为</w:t>
      </w:r>
      <w:r>
        <w:rPr>
          <w:rFonts w:ascii="SimSun" w:hAnsi="SimSun" w:eastAsia="SimSun" w:cs="SimSun"/>
          <w:color w:val="000000"/>
          <w:spacing w:val="1"/>
          <w:sz w:val="24"/>
        </w:rPr>
        <w:t xml:space="preserve"> </w:t>
      </w:r>
      <w:r>
        <w:rPr>
          <w:rFonts w:ascii="SimSun" w:hAnsi="SimSun" w:eastAsia="SimSun" w:cs="SimSun"/>
          <w:color w:val="000000"/>
          <w:sz w:val="24"/>
        </w:rPr>
        <w:t xml:space="preserve">违约，甲方可终止合同，不予退还其履约保证金，乙方承担</w:t>
      </w:r>
      <w:r>
        <w:rPr>
          <w:rFonts w:ascii="SimSun" w:hAnsi="SimSun" w:eastAsia="SimSun" w:cs="SimSun"/>
          <w:color w:val="000000"/>
          <w:spacing w:val="-1"/>
          <w:sz w:val="24"/>
        </w:rPr>
        <w:t xml:space="preserve">相应法律责任。3.各类</w:t>
      </w:r>
      <w:r>
        <w:rPr>
          <w:rFonts w:ascii="SimSun" w:hAnsi="SimSun" w:eastAsia="SimSun" w:cs="SimSun"/>
          <w:color w:val="000000"/>
          <w:sz w:val="24"/>
        </w:rPr>
        <w:t xml:space="preserve">物业工作人员应参加相关的专业知识培训，中标服务单位</w:t>
      </w:r>
      <w:r>
        <w:rPr>
          <w:rFonts w:ascii="SimSun" w:hAnsi="SimSun" w:eastAsia="SimSun" w:cs="SimSun"/>
          <w:color w:val="000000"/>
          <w:spacing w:val="-1"/>
          <w:sz w:val="24"/>
        </w:rPr>
        <w:t xml:space="preserve">必须对所录用人员严格审</w:t>
      </w:r>
      <w:r>
        <w:rPr>
          <w:rFonts w:ascii="SimSun" w:hAnsi="SimSun" w:eastAsia="SimSun" w:cs="SimSun"/>
          <w:color w:val="000000"/>
          <w:sz w:val="24"/>
        </w:rPr>
        <w:t xml:space="preserve">查，保证录用人员没有刑事犯罪记录，持健康证及相应专</w:t>
      </w:r>
      <w:r>
        <w:rPr>
          <w:rFonts w:ascii="SimSun" w:hAnsi="SimSun" w:eastAsia="SimSun" w:cs="SimSun"/>
          <w:color w:val="000000"/>
          <w:spacing w:val="-1"/>
          <w:sz w:val="24"/>
        </w:rPr>
        <w:t xml:space="preserve">业岗位资格证。招标人对</w:t>
      </w:r>
      <w:r>
        <w:rPr>
          <w:rFonts w:ascii="SimSun" w:hAnsi="SimSun" w:eastAsia="SimSun" w:cs="SimSun"/>
          <w:color w:val="000000"/>
          <w:sz w:val="24"/>
        </w:rPr>
        <w:t xml:space="preserve">一些重要岗位的设置、人员录用与管理有审批权；中标物</w:t>
      </w:r>
      <w:r>
        <w:rPr>
          <w:rFonts w:ascii="SimSun" w:hAnsi="SimSun" w:eastAsia="SimSun" w:cs="SimSun"/>
          <w:color w:val="000000"/>
          <w:spacing w:val="-1"/>
          <w:sz w:val="24"/>
        </w:rPr>
        <w:t xml:space="preserve">业单位所录用人员必须符合国家相关的法律法规的要求（包括国家劳动法和地方相关管理规定</w:t>
      </w:r>
      <w:r>
        <w:rPr>
          <w:rFonts w:ascii="SimSun" w:hAnsi="SimSun" w:eastAsia="SimSun" w:cs="SimSun"/>
          <w:color w:val="000000"/>
          <w:spacing w:val="11"/>
          <w:sz w:val="24"/>
        </w:rPr>
        <w:t xml:space="preserve">），</w:t>
      </w:r>
      <w:r>
        <w:rPr>
          <w:rFonts w:ascii="SimSun" w:hAnsi="SimSun" w:eastAsia="SimSun" w:cs="SimSun"/>
          <w:color w:val="000000"/>
          <w:spacing w:val="-1"/>
          <w:sz w:val="24"/>
        </w:rPr>
        <w:t xml:space="preserve">所有用工</w:t>
      </w:r>
      <w:r>
        <w:rPr>
          <w:rFonts w:ascii="SimSun" w:hAnsi="SimSun" w:eastAsia="SimSun" w:cs="SimSun"/>
          <w:color w:val="000000"/>
          <w:sz w:val="24"/>
        </w:rPr>
        <w:t xml:space="preserve">人员录用后须到甲方备案，不得随意更换。4.由于各类活</w:t>
      </w:r>
      <w:r>
        <w:rPr>
          <w:rFonts w:ascii="SimSun" w:hAnsi="SimSun" w:eastAsia="SimSun" w:cs="SimSun"/>
          <w:color w:val="000000"/>
          <w:spacing w:val="-1"/>
          <w:sz w:val="24"/>
        </w:rPr>
        <w:t xml:space="preserve">动、突击迎检、节假日期</w:t>
      </w:r>
      <w:r>
        <w:rPr>
          <w:rFonts w:ascii="SimSun" w:hAnsi="SimSun" w:eastAsia="SimSun" w:cs="SimSun"/>
          <w:color w:val="000000"/>
          <w:sz w:val="24"/>
        </w:rPr>
        <w:t xml:space="preserve">间等因素导致的费用，不论这些因素是可预测或不可预测</w:t>
      </w:r>
      <w:r>
        <w:rPr>
          <w:rFonts w:ascii="SimSun" w:hAnsi="SimSun" w:eastAsia="SimSun" w:cs="SimSun"/>
          <w:color w:val="000000"/>
          <w:spacing w:val="-1"/>
          <w:sz w:val="24"/>
        </w:rPr>
        <w:t xml:space="preserve">的，均已包含在投标报价中。除甲方要求外，不作调整。</w:t>
      </w:r>
      <w:r/>
    </w:p>
    <w:p>
      <w:pPr>
        <w:ind w:left="8" w:right="1" w:firstLine="479"/>
        <w:jc w:val="both"/>
        <w:spacing w:before="34"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4、包括所有人员的工资、法定节假日加班费、社保、</w:t>
      </w:r>
      <w:r>
        <w:rPr>
          <w:rFonts w:ascii="SimSun" w:hAnsi="SimSun" w:eastAsia="SimSun" w:cs="SimSun"/>
          <w:color w:val="000000"/>
          <w:spacing w:val="-1"/>
          <w:sz w:val="24"/>
        </w:rPr>
        <w:t xml:space="preserve">公积金、福利费，还应</w:t>
      </w:r>
      <w:r>
        <w:rPr>
          <w:rFonts w:ascii="SimSun" w:hAnsi="SimSun" w:eastAsia="SimSun" w:cs="SimSun"/>
          <w:color w:val="000000"/>
          <w:sz w:val="24"/>
        </w:rPr>
        <w:t xml:space="preserve">  包括：管理、劳务、培训、风险、税金、合理利润及政策</w:t>
      </w:r>
      <w:r>
        <w:rPr>
          <w:rFonts w:ascii="SimSun" w:hAnsi="SimSun" w:eastAsia="SimSun" w:cs="SimSun"/>
          <w:color w:val="000000"/>
          <w:spacing w:val="-1"/>
          <w:sz w:val="24"/>
        </w:rPr>
        <w:t xml:space="preserve">性文件规定等各项应有费</w:t>
      </w:r>
      <w:r>
        <w:rPr>
          <w:rFonts w:ascii="SimSun" w:hAnsi="SimSun" w:eastAsia="SimSun" w:cs="SimSun"/>
          <w:color w:val="000000"/>
          <w:sz w:val="24"/>
        </w:rPr>
        <w:t xml:space="preserve"> 用，以及为完成招标文件规定的物业服务工作所</w:t>
      </w:r>
      <w:r>
        <w:rPr>
          <w:rFonts w:ascii="SimSun" w:hAnsi="SimSun" w:eastAsia="SimSun" w:cs="SimSun"/>
          <w:color w:val="000000"/>
          <w:spacing w:val="-1"/>
          <w:sz w:val="24"/>
        </w:rPr>
        <w:t xml:space="preserve">涉及到的一切相关费用。</w:t>
      </w:r>
      <w:r/>
    </w:p>
    <w:p>
      <w:pPr>
        <w:ind w:left="10" w:right="1" w:firstLine="480"/>
        <w:jc w:val="both"/>
        <w:spacing w:before="33" w:after="0" w:line="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各投标人自行根据招标人提供的服务内容、招</w:t>
      </w:r>
      <w:r>
        <w:rPr>
          <w:rFonts w:ascii="SimSun" w:hAnsi="SimSun" w:eastAsia="SimSun" w:cs="SimSun"/>
          <w:color w:val="000000"/>
          <w:spacing w:val="-1"/>
          <w:sz w:val="24"/>
        </w:rPr>
        <w:t xml:space="preserve">标文件及答疑文件等资料要求，</w:t>
      </w:r>
      <w:r>
        <w:rPr>
          <w:rFonts w:ascii="SimSun" w:hAnsi="SimSun" w:eastAsia="SimSun" w:cs="SimSun"/>
          <w:color w:val="000000"/>
          <w:sz w:val="24"/>
        </w:rPr>
        <w:t xml:space="preserve"> 并根据市场行情、结合自身公司实力、服务水平等因</w:t>
      </w:r>
      <w:r>
        <w:rPr>
          <w:rFonts w:ascii="SimSun" w:hAnsi="SimSun" w:eastAsia="SimSun" w:cs="SimSun"/>
          <w:color w:val="000000"/>
          <w:spacing w:val="-1"/>
          <w:sz w:val="24"/>
        </w:rPr>
        <w:t xml:space="preserve">素，按要求进行报价。服务期</w:t>
      </w:r>
      <w:r>
        <w:rPr>
          <w:rFonts w:ascii="SimSun" w:hAnsi="SimSun" w:eastAsia="SimSun" w:cs="SimSun"/>
          <w:color w:val="000000"/>
          <w:sz w:val="24"/>
        </w:rPr>
        <w:t xml:space="preserve"> 内，如政府出台文件对我市最低工资标准、社保费率</w:t>
      </w:r>
      <w:r>
        <w:rPr>
          <w:rFonts w:ascii="SimSun" w:hAnsi="SimSun" w:eastAsia="SimSun" w:cs="SimSun"/>
          <w:color w:val="000000"/>
          <w:spacing w:val="-1"/>
          <w:sz w:val="24"/>
        </w:rPr>
        <w:t xml:space="preserve">或基数等进行调整，中标人应</w:t>
      </w:r>
      <w:r>
        <w:rPr>
          <w:rFonts w:ascii="SimSun" w:hAnsi="SimSun" w:eastAsia="SimSun" w:cs="SimSun"/>
          <w:color w:val="000000"/>
          <w:sz w:val="24"/>
        </w:rPr>
        <w:t xml:space="preserve"> </w:t>
      </w:r>
      <w:r>
        <w:rPr>
          <w:rFonts w:ascii="SimSun" w:hAnsi="SimSun" w:eastAsia="SimSun" w:cs="SimSun"/>
          <w:color w:val="000000"/>
          <w:spacing w:val="-2"/>
          <w:sz w:val="24"/>
        </w:rPr>
        <w:t xml:space="preserve">按相关规定执行。</w:t>
      </w:r>
      <w:r/>
    </w:p>
    <w:p>
      <w:pPr>
        <w:ind w:left="6" w:right="202" w:firstLine="481"/>
        <w:jc w:val="both"/>
        <w:spacing w:before="37" w:after="0" w:line="1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所有人员工资不低于本市最低工资标准</w:t>
      </w:r>
      <w:r>
        <w:rPr>
          <w:rFonts w:ascii="SimSun" w:hAnsi="SimSun" w:eastAsia="SimSun" w:cs="SimSun"/>
          <w:color w:val="000000"/>
          <w:spacing w:val="-34"/>
          <w:sz w:val="24"/>
        </w:rPr>
        <w:t xml:space="preserve"> </w:t>
      </w:r>
      <w:r>
        <w:rPr>
          <w:rFonts w:ascii="SimSun" w:hAnsi="SimSun" w:eastAsia="SimSun" w:cs="SimSun"/>
          <w:b/>
          <w:color w:val="000000"/>
          <w:spacing w:val="-3"/>
          <w:sz w:val="24"/>
        </w:rPr>
        <w:t xml:space="preserve">2260</w:t>
      </w:r>
      <w:r>
        <w:rPr>
          <w:rFonts w:ascii="SimSun" w:hAnsi="SimSun" w:eastAsia="SimSun" w:cs="SimSun"/>
          <w:color w:val="000000"/>
          <w:spacing w:val="-49"/>
          <w:sz w:val="24"/>
        </w:rPr>
        <w:t xml:space="preserve"> </w:t>
      </w:r>
      <w:r>
        <w:rPr>
          <w:rFonts w:ascii="SimSun" w:hAnsi="SimSun" w:eastAsia="SimSun" w:cs="SimSun"/>
          <w:b/>
          <w:color w:val="000000"/>
          <w:spacing w:val="-3"/>
          <w:sz w:val="24"/>
        </w:rPr>
        <w:t xml:space="preserve">元/人每月，所有人员必须足额</w:t>
      </w:r>
      <w:r>
        <w:rPr>
          <w:rFonts w:ascii="SimSun" w:hAnsi="SimSun" w:eastAsia="SimSun" w:cs="SimSun"/>
          <w:color w:val="000000"/>
          <w:sz w:val="24"/>
        </w:rPr>
        <w:t xml:space="preserve"> </w:t>
      </w:r>
      <w:r>
        <w:rPr>
          <w:rFonts w:ascii="SimSun" w:hAnsi="SimSun" w:eastAsia="SimSun" w:cs="SimSun"/>
          <w:b/>
          <w:color w:val="000000"/>
          <w:spacing w:val="-3"/>
          <w:sz w:val="24"/>
        </w:rPr>
        <w:t xml:space="preserve">缴纳社保费用，社保（企业部分）不得低于</w:t>
      </w:r>
      <w:r>
        <w:rPr>
          <w:rFonts w:ascii="SimSun" w:hAnsi="SimSun" w:eastAsia="SimSun" w:cs="SimSun"/>
          <w:color w:val="000000"/>
          <w:spacing w:val="-26"/>
          <w:sz w:val="24"/>
        </w:rPr>
        <w:t xml:space="preserve"> </w:t>
      </w:r>
      <w:r>
        <w:rPr>
          <w:rFonts w:ascii="SimSun" w:hAnsi="SimSun" w:eastAsia="SimSun" w:cs="SimSun"/>
          <w:b/>
          <w:color w:val="000000"/>
          <w:spacing w:val="-3"/>
          <w:sz w:val="24"/>
        </w:rPr>
        <w:t xml:space="preserve">1273.42</w:t>
      </w:r>
      <w:r>
        <w:rPr>
          <w:rFonts w:ascii="SimSun" w:hAnsi="SimSun" w:eastAsia="SimSun" w:cs="SimSun"/>
          <w:color w:val="000000"/>
          <w:spacing w:val="-48"/>
          <w:sz w:val="24"/>
        </w:rPr>
        <w:t xml:space="preserve"> </w:t>
      </w:r>
      <w:r>
        <w:rPr>
          <w:rFonts w:ascii="SimSun" w:hAnsi="SimSun" w:eastAsia="SimSun" w:cs="SimSun"/>
          <w:b/>
          <w:color w:val="000000"/>
          <w:spacing w:val="-3"/>
          <w:sz w:val="24"/>
        </w:rPr>
        <w:t xml:space="preserve">元/人/每月，住房公积金不</w:t>
      </w:r>
      <w:r>
        <w:rPr>
          <w:rFonts w:ascii="SimSun" w:hAnsi="SimSun" w:eastAsia="SimSun" w:cs="SimSun"/>
          <w:color w:val="000000"/>
          <w:sz w:val="24"/>
        </w:rPr>
        <w:t xml:space="preserve"> </w:t>
      </w:r>
      <w:r>
        <w:rPr>
          <w:rFonts w:ascii="SimSun" w:hAnsi="SimSun" w:eastAsia="SimSun" w:cs="SimSun"/>
          <w:b/>
          <w:color w:val="000000"/>
          <w:spacing w:val="-3"/>
          <w:sz w:val="24"/>
        </w:rPr>
        <w:t xml:space="preserve">得低于</w:t>
      </w:r>
      <w:r>
        <w:rPr>
          <w:rFonts w:ascii="SimSun" w:hAnsi="SimSun" w:eastAsia="SimSun" w:cs="SimSun"/>
          <w:color w:val="000000"/>
          <w:spacing w:val="-33"/>
          <w:sz w:val="24"/>
        </w:rPr>
        <w:t xml:space="preserve"> </w:t>
      </w:r>
      <w:r>
        <w:rPr>
          <w:rFonts w:ascii="SimSun" w:hAnsi="SimSun" w:eastAsia="SimSun" w:cs="SimSun"/>
          <w:b/>
          <w:color w:val="000000"/>
          <w:spacing w:val="-3"/>
          <w:sz w:val="24"/>
        </w:rPr>
        <w:t xml:space="preserve">165.6</w:t>
      </w:r>
      <w:r>
        <w:rPr>
          <w:rFonts w:ascii="SimSun" w:hAnsi="SimSun" w:eastAsia="SimSun" w:cs="SimSun"/>
          <w:color w:val="000000"/>
          <w:spacing w:val="-49"/>
          <w:sz w:val="24"/>
        </w:rPr>
        <w:t xml:space="preserve"> </w:t>
      </w:r>
      <w:r>
        <w:rPr>
          <w:rFonts w:ascii="SimSun" w:hAnsi="SimSun" w:eastAsia="SimSun" w:cs="SimSun"/>
          <w:b/>
          <w:color w:val="000000"/>
          <w:spacing w:val="-3"/>
          <w:sz w:val="24"/>
        </w:rPr>
        <w:t xml:space="preserve">元人/每月，</w:t>
      </w:r>
      <w:r>
        <w:rPr>
          <w:rFonts w:ascii="Arial" w:hAnsi="Arial" w:eastAsia="Arial" w:cs="Arial"/>
          <w:b/>
          <w:color w:val="000000"/>
          <w:sz w:val="24"/>
        </w:rPr>
        <w:t xml:space="preserve">法定节假日加班费不得低于</w:t>
      </w:r>
      <w:r>
        <w:rPr>
          <w:rFonts w:ascii="Times New Roman" w:hAnsi="Times New Roman" w:eastAsia="Times New Roman" w:cs="Times New Roman"/>
          <w:b/>
          <w:color w:val="000000"/>
          <w:sz w:val="24"/>
        </w:rPr>
        <w:t xml:space="preserve">1870.34</w:t>
      </w:r>
      <w:r>
        <w:rPr>
          <w:rFonts w:ascii="Arial" w:hAnsi="Arial" w:eastAsia="Arial" w:cs="Arial"/>
          <w:b/>
          <w:color w:val="000000"/>
          <w:sz w:val="24"/>
        </w:rPr>
        <w:t xml:space="preserve">元</w:t>
      </w:r>
      <w:r>
        <w:rPr>
          <w:rFonts w:ascii="Times New Roman" w:hAnsi="Times New Roman" w:eastAsia="Times New Roman" w:cs="Times New Roman"/>
          <w:b/>
          <w:color w:val="000000"/>
          <w:sz w:val="24"/>
        </w:rPr>
        <w:t xml:space="preserve">/</w:t>
      </w:r>
      <w:r>
        <w:rPr>
          <w:rFonts w:ascii="Arial" w:hAnsi="Arial" w:eastAsia="Arial" w:cs="Arial"/>
          <w:b/>
          <w:color w:val="000000"/>
          <w:sz w:val="24"/>
        </w:rPr>
        <w:t xml:space="preserve">人</w:t>
      </w: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个月</w:t>
      </w:r>
      <w:r>
        <w:rPr>
          <w:rFonts w:ascii="SimSun" w:hAnsi="SimSun" w:eastAsia="SimSun" w:cs="SimSun"/>
          <w:b/>
          <w:color w:val="000000"/>
          <w:spacing w:val="-4"/>
          <w:sz w:val="24"/>
        </w:rPr>
        <w:t xml:space="preserve">，各供</w:t>
      </w:r>
      <w:r>
        <w:rPr>
          <w:rFonts w:ascii="SimSun" w:hAnsi="SimSun" w:eastAsia="SimSun" w:cs="SimSun"/>
          <w:color w:val="000000"/>
          <w:sz w:val="24"/>
        </w:rPr>
        <w:t xml:space="preserve"> </w:t>
      </w:r>
      <w:r>
        <w:rPr>
          <w:rFonts w:ascii="SimSun" w:hAnsi="SimSun" w:eastAsia="SimSun" w:cs="SimSun"/>
          <w:b/>
          <w:color w:val="000000"/>
          <w:spacing w:val="-3"/>
          <w:sz w:val="24"/>
        </w:rPr>
        <w:t xml:space="preserve">应商统一按照</w:t>
      </w:r>
      <w:r>
        <w:rPr>
          <w:rFonts w:ascii="SimSun" w:hAnsi="SimSun" w:eastAsia="SimSun" w:cs="SimSun"/>
          <w:color w:val="000000"/>
          <w:spacing w:val="-44"/>
          <w:sz w:val="24"/>
        </w:rPr>
        <w:t xml:space="preserve"> </w:t>
      </w:r>
      <w:r>
        <w:rPr>
          <w:rFonts w:ascii="SimSun" w:hAnsi="SimSun" w:eastAsia="SimSun" w:cs="SimSun"/>
          <w:b/>
          <w:color w:val="000000"/>
          <w:spacing w:val="-3"/>
          <w:sz w:val="24"/>
        </w:rPr>
        <w:t xml:space="preserve">6.72%缴纳法定税费。</w:t>
      </w:r>
      <w:r/>
    </w:p>
    <w:p>
      <w:pPr>
        <w:ind w:left="8" w:right="390" w:firstLine="483"/>
        <w:jc w:val="both"/>
        <w:spacing w:before="78"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如果招标公告发布之后开标前遇政府调整职工最低工资标准或社会保</w:t>
      </w:r>
      <w:r>
        <w:rPr>
          <w:rFonts w:ascii="SimSun" w:hAnsi="SimSun" w:eastAsia="SimSun" w:cs="SimSun"/>
          <w:b/>
          <w:color w:val="000000"/>
          <w:spacing w:val="-3"/>
          <w:sz w:val="24"/>
        </w:rPr>
        <w:t xml:space="preserve">险缴纳</w:t>
      </w:r>
      <w:r>
        <w:rPr>
          <w:rFonts w:ascii="SimSun" w:hAnsi="SimSun" w:eastAsia="SimSun" w:cs="SimSun"/>
          <w:color w:val="000000"/>
          <w:sz w:val="24"/>
        </w:rPr>
        <w:t xml:space="preserve"> </w:t>
      </w:r>
      <w:r>
        <w:rPr>
          <w:rFonts w:ascii="SimSun" w:hAnsi="SimSun" w:eastAsia="SimSun" w:cs="SimSun"/>
          <w:b/>
          <w:color w:val="000000"/>
          <w:spacing w:val="-2"/>
          <w:sz w:val="24"/>
        </w:rPr>
        <w:t xml:space="preserve">基数，评标时可仍按上述标准审查，中标后，中标人应按照最新政策文件规定执</w:t>
      </w:r>
      <w:r>
        <w:rPr>
          <w:rFonts w:ascii="SimSun" w:hAnsi="SimSun" w:eastAsia="SimSun" w:cs="SimSun"/>
          <w:color w:val="000000"/>
          <w:spacing w:val="2"/>
          <w:sz w:val="24"/>
        </w:rPr>
        <w:t xml:space="preserve"> </w:t>
      </w:r>
      <w:r>
        <w:rPr>
          <w:rFonts w:ascii="SimSun" w:hAnsi="SimSun" w:eastAsia="SimSun" w:cs="SimSun"/>
          <w:b/>
          <w:color w:val="000000"/>
          <w:spacing w:val="-8"/>
          <w:sz w:val="24"/>
        </w:rPr>
        <w:t xml:space="preserve">行。</w:t>
      </w:r>
      <w:r/>
    </w:p>
    <w:p>
      <w:pPr>
        <w:ind w:left="11" w:right="0" w:firstLine="477"/>
        <w:jc w:val="both"/>
        <w:spacing w:before="36"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注：聘用人员需符合国家法定劳动年龄规定，无任何违法犯罪记录，身体健康，</w:t>
      </w:r>
      <w:r>
        <w:rPr>
          <w:rFonts w:ascii="SimSun" w:hAnsi="SimSun" w:eastAsia="SimSun" w:cs="SimSun"/>
          <w:color w:val="000000"/>
          <w:spacing w:val="1"/>
          <w:sz w:val="24"/>
        </w:rPr>
        <w:t xml:space="preserve"> </w:t>
      </w:r>
      <w:r>
        <w:rPr>
          <w:rFonts w:ascii="SimSun" w:hAnsi="SimSun" w:eastAsia="SimSun" w:cs="SimSun"/>
          <w:color w:val="000000"/>
          <w:sz w:val="24"/>
        </w:rPr>
        <w:t xml:space="preserve">持有健康体检证明，无重大疾病和传染病；上岗前</w:t>
      </w:r>
      <w:r>
        <w:rPr>
          <w:rFonts w:ascii="SimSun" w:hAnsi="SimSun" w:eastAsia="SimSun" w:cs="SimSun"/>
          <w:color w:val="000000"/>
          <w:spacing w:val="-1"/>
          <w:sz w:val="24"/>
        </w:rPr>
        <w:t xml:space="preserve">须将人员情况报招标人审核，审核通过后方可上岗，专业人员须持证上岗；</w:t>
      </w:r>
      <w:r>
        <w:rPr>
          <w:rFonts w:ascii="SimSun" w:hAnsi="SimSun" w:eastAsia="SimSun" w:cs="SimSun"/>
          <w:b/>
          <w:color w:val="000000"/>
          <w:spacing w:val="-1"/>
          <w:sz w:val="24"/>
        </w:rPr>
        <w:t xml:space="preserve">投标时无须提供本条规定</w:t>
      </w:r>
      <w:r>
        <w:rPr>
          <w:rFonts w:ascii="SimSun" w:hAnsi="SimSun" w:eastAsia="SimSun" w:cs="SimSun"/>
          <w:b/>
          <w:color w:val="000000"/>
          <w:spacing w:val="-2"/>
          <w:sz w:val="24"/>
        </w:rPr>
        <w:t xml:space="preserve">的以上人员相关证书及证明，中标单位在签订合同前将上述证书交由甲方核验。</w:t>
      </w:r>
      <w:r/>
    </w:p>
    <w:p>
      <w:pPr>
        <w:ind w:left="490" w:right="0" w:firstLine="0"/>
        <w:jc w:val="both"/>
        <w:spacing w:before="27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六、项目管理服务方案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投标人应根据采购需求和本项目实际，制订相应的服务方案包括但不限于以下 内容：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符合政策法规的整体设想及策划：</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投标人应根据采购需求和本项目实际，提供本项目整体设想及策划，方案应包括但不限于：（</w:t>
      </w:r>
      <w:r>
        <w:rPr>
          <w:rFonts w:ascii="Arial" w:hAnsi="Arial" w:eastAsia="Arial" w:cs="Arial"/>
          <w:color w:val="000000"/>
          <w:sz w:val="24"/>
        </w:rPr>
        <w:t xml:space="preserve">1</w:t>
      </w:r>
      <w:r>
        <w:rPr>
          <w:rFonts w:ascii="SimSun" w:hAnsi="SimSun" w:eastAsia="SimSun" w:cs="SimSun"/>
          <w:color w:val="000000"/>
          <w:sz w:val="24"/>
        </w:rPr>
        <w:t xml:space="preserve">）本项目管理理念；（</w:t>
      </w:r>
      <w:r>
        <w:rPr>
          <w:rFonts w:ascii="Arial" w:hAnsi="Arial" w:eastAsia="Arial" w:cs="Arial"/>
          <w:color w:val="000000"/>
          <w:sz w:val="24"/>
        </w:rPr>
        <w:t xml:space="preserve">2</w:t>
      </w:r>
      <w:r>
        <w:rPr>
          <w:rFonts w:ascii="SimSun" w:hAnsi="SimSun" w:eastAsia="SimSun" w:cs="SimSun"/>
          <w:color w:val="000000"/>
          <w:sz w:val="24"/>
        </w:rPr>
        <w:t xml:space="preserve">）管理工作目标；（</w:t>
      </w:r>
      <w:r>
        <w:rPr>
          <w:rFonts w:ascii="Arial" w:hAnsi="Arial" w:eastAsia="Arial" w:cs="Arial"/>
          <w:color w:val="000000"/>
          <w:sz w:val="24"/>
        </w:rPr>
        <w:t xml:space="preserve">3)</w:t>
      </w:r>
      <w:r>
        <w:rPr>
          <w:rFonts w:ascii="SimSun" w:hAnsi="SimSun" w:eastAsia="SimSun" w:cs="SimSun"/>
          <w:color w:val="000000"/>
          <w:sz w:val="24"/>
        </w:rPr>
        <w:t xml:space="preserve">项目服务定位；（</w:t>
      </w:r>
      <w:r>
        <w:rPr>
          <w:rFonts w:ascii="Arial" w:hAnsi="Arial" w:eastAsia="Arial" w:cs="Arial"/>
          <w:color w:val="000000"/>
          <w:sz w:val="24"/>
        </w:rPr>
        <w:t xml:space="preserve">4)</w:t>
      </w:r>
      <w:r>
        <w:rPr>
          <w:rFonts w:ascii="SimSun" w:hAnsi="SimSun" w:eastAsia="SimSun" w:cs="SimSun"/>
          <w:color w:val="000000"/>
          <w:sz w:val="24"/>
        </w:rPr>
        <w:t xml:space="preserve">服务设想及策划；（</w:t>
      </w:r>
      <w:r>
        <w:rPr>
          <w:rFonts w:ascii="Arial" w:hAnsi="Arial" w:eastAsia="Arial" w:cs="Arial"/>
          <w:color w:val="000000"/>
          <w:sz w:val="24"/>
        </w:rPr>
        <w:t xml:space="preserve">5)</w:t>
      </w:r>
      <w:r>
        <w:rPr>
          <w:rFonts w:ascii="SimSun" w:hAnsi="SimSun" w:eastAsia="SimSun" w:cs="SimSun"/>
          <w:color w:val="000000"/>
          <w:sz w:val="24"/>
        </w:rPr>
        <w:t xml:space="preserve">重点、难点把控等情况的分析应对；（</w:t>
      </w:r>
      <w:r>
        <w:rPr>
          <w:rFonts w:ascii="Arial" w:hAnsi="Arial" w:eastAsia="Arial" w:cs="Arial"/>
          <w:color w:val="000000"/>
          <w:sz w:val="24"/>
        </w:rPr>
        <w:t xml:space="preserve">6)</w:t>
      </w:r>
      <w:r>
        <w:rPr>
          <w:rFonts w:ascii="SimSun" w:hAnsi="SimSun" w:eastAsia="SimSun" w:cs="SimSun"/>
          <w:color w:val="000000"/>
          <w:sz w:val="24"/>
        </w:rPr>
        <w:t xml:space="preserve">制度建设；（</w:t>
      </w:r>
      <w:r>
        <w:rPr>
          <w:rFonts w:ascii="Arial" w:hAnsi="Arial" w:eastAsia="Arial" w:cs="Arial"/>
          <w:color w:val="000000"/>
          <w:sz w:val="24"/>
        </w:rPr>
        <w:t xml:space="preserve">7)</w:t>
      </w:r>
      <w:r>
        <w:rPr>
          <w:rFonts w:ascii="SimSun" w:hAnsi="SimSun" w:eastAsia="SimSun" w:cs="SimSun"/>
          <w:color w:val="000000"/>
          <w:sz w:val="24"/>
        </w:rPr>
        <w:t xml:space="preserve">档案管理；（</w:t>
      </w:r>
      <w:r>
        <w:rPr>
          <w:rFonts w:ascii="Arial" w:hAnsi="Arial" w:eastAsia="Arial" w:cs="Arial"/>
          <w:color w:val="000000"/>
          <w:sz w:val="24"/>
        </w:rPr>
        <w:t xml:space="preserve">8)</w:t>
      </w:r>
      <w:r>
        <w:rPr>
          <w:rFonts w:ascii="SimSun" w:hAnsi="SimSun" w:eastAsia="SimSun" w:cs="SimSun"/>
          <w:color w:val="000000"/>
          <w:sz w:val="24"/>
        </w:rPr>
        <w:t xml:space="preserve">进场交接过渡方案（包括交接时间进度安排、人员培训、具体交接的内容等，要求方案详细、科学合理、可行性高且措施有力，确保平稳有序交 接完成）等。要求方案细致完整、针对性强、措施有力，方案的贯彻应能满足本项 目各项服务要求。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组织机构设置、人员配备、培训与管理：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根据项目需求组织机构设置、人员配备、培训与管理方案。方案内容包括但不限于：（</w:t>
      </w:r>
      <w:r>
        <w:rPr>
          <w:rFonts w:ascii="Arial" w:hAnsi="Arial" w:eastAsia="Arial" w:cs="Arial"/>
          <w:color w:val="000000"/>
          <w:sz w:val="24"/>
        </w:rPr>
        <w:t xml:space="preserve">1</w:t>
      </w:r>
      <w:r>
        <w:rPr>
          <w:rFonts w:ascii="SimSun" w:hAnsi="SimSun" w:eastAsia="SimSun" w:cs="SimSun"/>
          <w:color w:val="000000"/>
          <w:sz w:val="24"/>
        </w:rPr>
        <w:t xml:space="preserve">）投标方应针对本项目实际运行状况及服务要求，拟定配备员工人数</w:t>
      </w:r>
      <w:r>
        <w:rPr>
          <w:rFonts w:ascii="Arial" w:hAnsi="Arial" w:eastAsia="Arial" w:cs="Arial"/>
          <w:color w:val="000000"/>
          <w:sz w:val="24"/>
        </w:rPr>
        <w:t xml:space="preserve">,</w:t>
      </w:r>
      <w:r>
        <w:rPr>
          <w:rFonts w:ascii="SimSun" w:hAnsi="SimSun" w:eastAsia="SimSun" w:cs="SimSun"/>
          <w:color w:val="000000"/>
          <w:sz w:val="24"/>
        </w:rPr>
        <w:t xml:space="preserve">投 标方负责提供岗位人员配备清单及排班表等。（</w:t>
      </w:r>
      <w:r>
        <w:rPr>
          <w:rFonts w:ascii="Arial" w:hAnsi="Arial" w:eastAsia="Arial" w:cs="Arial"/>
          <w:color w:val="000000"/>
          <w:sz w:val="24"/>
        </w:rPr>
        <w:t xml:space="preserve">2)</w:t>
      </w:r>
      <w:r>
        <w:rPr>
          <w:rFonts w:ascii="SimSun" w:hAnsi="SimSun" w:eastAsia="SimSun" w:cs="SimSun"/>
          <w:color w:val="000000"/>
          <w:sz w:val="24"/>
        </w:rPr>
        <w:t xml:space="preserve">项目经理要求具有全面负责物业 服务各项事务，为业主提供规范细致、热情周到的物业服务，本项目管理人员一经 确定，未经采购人同意不得随意更换。（</w:t>
      </w:r>
      <w:r>
        <w:rPr>
          <w:rFonts w:ascii="Arial" w:hAnsi="Arial" w:eastAsia="Arial" w:cs="Arial"/>
          <w:color w:val="000000"/>
          <w:sz w:val="24"/>
        </w:rPr>
        <w:t xml:space="preserve">3)</w:t>
      </w:r>
      <w:r>
        <w:rPr>
          <w:rFonts w:ascii="SimSun" w:hAnsi="SimSun" w:eastAsia="SimSun" w:cs="SimSun"/>
          <w:color w:val="000000"/>
          <w:sz w:val="24"/>
        </w:rPr>
        <w:t xml:space="preserve">项目经理要求具备良好的沟通和协调能力，团队合作精神和领导能力，能够提供热情的迎宾，能够带领团队高效完成工作任务，能快速融入新环境。（</w:t>
      </w:r>
      <w:r>
        <w:rPr>
          <w:rFonts w:ascii="Arial" w:hAnsi="Arial" w:eastAsia="Arial" w:cs="Arial"/>
          <w:color w:val="000000"/>
          <w:sz w:val="24"/>
        </w:rPr>
        <w:t xml:space="preserve">4)</w:t>
      </w:r>
      <w:r>
        <w:rPr>
          <w:rFonts w:ascii="SimSun" w:hAnsi="SimSun" w:eastAsia="SimSun" w:cs="SimSun"/>
          <w:color w:val="000000"/>
          <w:sz w:val="24"/>
        </w:rPr>
        <w:t xml:space="preserve">所有员工必须经过岗前培训，培训合格方能入职，物业员工需具有垃圾分类、节能环保等意识。（</w:t>
      </w:r>
      <w:r>
        <w:rPr>
          <w:rFonts w:ascii="Arial" w:hAnsi="Arial" w:eastAsia="Arial" w:cs="Arial"/>
          <w:color w:val="000000"/>
          <w:sz w:val="24"/>
        </w:rPr>
        <w:t xml:space="preserve">5)</w:t>
      </w:r>
      <w:r>
        <w:rPr>
          <w:rFonts w:ascii="SimSun" w:hAnsi="SimSun" w:eastAsia="SimSun" w:cs="SimSun"/>
          <w:color w:val="000000"/>
          <w:sz w:val="24"/>
        </w:rPr>
        <w:t xml:space="preserve">投标人所投服务所有人员</w:t>
      </w:r>
      <w:r>
        <w:rPr>
          <w:rFonts w:ascii="Arial" w:hAnsi="Arial" w:eastAsia="Arial" w:cs="Arial"/>
          <w:color w:val="000000"/>
          <w:sz w:val="24"/>
        </w:rPr>
        <w:t xml:space="preserve">(</w:t>
      </w:r>
      <w:r>
        <w:rPr>
          <w:rFonts w:ascii="SimSun" w:hAnsi="SimSun" w:eastAsia="SimSun" w:cs="SimSun"/>
          <w:color w:val="000000"/>
          <w:sz w:val="24"/>
        </w:rPr>
        <w:t xml:space="preserve">含管理人员</w:t>
      </w:r>
      <w:r>
        <w:rPr>
          <w:rFonts w:ascii="Arial" w:hAnsi="Arial" w:eastAsia="Arial" w:cs="Arial"/>
          <w:color w:val="000000"/>
          <w:sz w:val="24"/>
        </w:rPr>
        <w:t xml:space="preserve">)</w:t>
      </w:r>
      <w:r>
        <w:rPr>
          <w:rFonts w:ascii="SimSun" w:hAnsi="SimSun" w:eastAsia="SimSun" w:cs="SimSun"/>
          <w:color w:val="000000"/>
          <w:sz w:val="24"/>
        </w:rPr>
        <w:t xml:space="preserve">必须专职为采购人服务，不得兼职。（</w:t>
      </w:r>
      <w:r>
        <w:rPr>
          <w:rFonts w:ascii="Arial" w:hAnsi="Arial" w:eastAsia="Arial" w:cs="Arial"/>
          <w:color w:val="000000"/>
          <w:sz w:val="24"/>
        </w:rPr>
        <w:t xml:space="preserve">6</w:t>
      </w:r>
      <w:r>
        <w:rPr>
          <w:rFonts w:ascii="SimSun" w:hAnsi="SimSun" w:eastAsia="SimSun" w:cs="SimSun"/>
          <w:color w:val="000000"/>
          <w:sz w:val="24"/>
        </w:rPr>
        <w:t xml:space="preserve">）投标人有岗前培训，服务人员</w:t>
      </w:r>
      <w:r>
        <w:rPr>
          <w:rFonts w:ascii="Arial" w:hAnsi="Arial" w:eastAsia="Arial" w:cs="Arial"/>
          <w:color w:val="000000"/>
          <w:sz w:val="24"/>
        </w:rPr>
        <w:t xml:space="preserve">100%</w:t>
      </w:r>
      <w:r>
        <w:rPr>
          <w:rFonts w:ascii="SimSun" w:hAnsi="SimSun" w:eastAsia="SimSun" w:cs="SimSun"/>
          <w:color w:val="000000"/>
          <w:sz w:val="24"/>
        </w:rPr>
        <w:t xml:space="preserve">经过岗前或在岗培训，考试合格才能独立上岗。投标人需为保障服务有序开展设置培训内容，针对普通一线员工培训教程，制定培训计划</w:t>
      </w:r>
      <w:r>
        <w:rPr>
          <w:rFonts w:ascii="Arial" w:hAnsi="Arial" w:eastAsia="Arial" w:cs="Arial"/>
          <w:color w:val="000000"/>
          <w:sz w:val="24"/>
        </w:rPr>
        <w:t xml:space="preserve">(</w:t>
      </w:r>
      <w:r>
        <w:rPr>
          <w:rFonts w:ascii="SimSun" w:hAnsi="SimSun" w:eastAsia="SimSun" w:cs="SimSun"/>
          <w:color w:val="000000"/>
          <w:sz w:val="24"/>
        </w:rPr>
        <w:t xml:space="preserve">包含培训内容、培训时间等内容</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7</w:t>
      </w:r>
      <w:r>
        <w:rPr>
          <w:rFonts w:ascii="SimSun" w:hAnsi="SimSun" w:eastAsia="SimSun" w:cs="SimSun"/>
          <w:color w:val="000000"/>
          <w:sz w:val="24"/>
        </w:rPr>
        <w:t xml:space="preserve">）要求每周有班会、每月至少对员工进行一次再培训，投标人的各岗位员工必须参与校方组织的安全生产、消防安全、应急演练等 专业培训。</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拟采取的管理服务模式：</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投标人应根据采购需求和本项目实际，提供本项目拟采取的管理服务模式方案，方案应包括但不限于：（</w:t>
      </w:r>
      <w:r>
        <w:rPr>
          <w:rFonts w:ascii="Arial" w:hAnsi="Arial" w:eastAsia="Arial" w:cs="Arial"/>
          <w:color w:val="000000"/>
          <w:sz w:val="24"/>
        </w:rPr>
        <w:t xml:space="preserve">1</w:t>
      </w:r>
      <w:r>
        <w:rPr>
          <w:rFonts w:ascii="SimSun" w:hAnsi="SimSun" w:eastAsia="SimSun" w:cs="SimSun"/>
          <w:color w:val="000000"/>
          <w:sz w:val="24"/>
        </w:rPr>
        <w:t xml:space="preserve">）综合管理模式。（</w:t>
      </w:r>
      <w:r>
        <w:rPr>
          <w:rFonts w:ascii="Arial" w:hAnsi="Arial" w:eastAsia="Arial" w:cs="Arial"/>
          <w:color w:val="000000"/>
          <w:sz w:val="24"/>
        </w:rPr>
        <w:t xml:space="preserve">2</w:t>
      </w:r>
      <w:r>
        <w:rPr>
          <w:rFonts w:ascii="SimSun" w:hAnsi="SimSun" w:eastAsia="SimSun" w:cs="SimSun"/>
          <w:color w:val="000000"/>
          <w:sz w:val="24"/>
        </w:rPr>
        <w:t xml:space="preserve">）设施设备管理模式。（</w:t>
      </w:r>
      <w:r>
        <w:rPr>
          <w:rFonts w:ascii="Arial" w:hAnsi="Arial" w:eastAsia="Arial" w:cs="Arial"/>
          <w:color w:val="000000"/>
          <w:sz w:val="24"/>
        </w:rPr>
        <w:t xml:space="preserve">3</w:t>
      </w:r>
      <w:r>
        <w:rPr>
          <w:rFonts w:ascii="SimSun" w:hAnsi="SimSun" w:eastAsia="SimSun" w:cs="SimSun"/>
          <w:color w:val="000000"/>
          <w:sz w:val="24"/>
        </w:rPr>
        <w:t xml:space="preserve">）安全管理模式。（</w:t>
      </w:r>
      <w:r>
        <w:rPr>
          <w:rFonts w:ascii="Arial" w:hAnsi="Arial" w:eastAsia="Arial" w:cs="Arial"/>
          <w:color w:val="000000"/>
          <w:sz w:val="24"/>
        </w:rPr>
        <w:t xml:space="preserve">4</w:t>
      </w:r>
      <w:r>
        <w:rPr>
          <w:rFonts w:ascii="SimSun" w:hAnsi="SimSun" w:eastAsia="SimSun" w:cs="SimSun"/>
          <w:color w:val="000000"/>
          <w:sz w:val="24"/>
        </w:rPr>
        <w:t xml:space="preserve">）环境卫生管理模式等内容。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制度的建立：</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投标人应根据采购需求和本项目实际，提供本项目制度建立方案，方案应包括但不限于：（</w:t>
      </w:r>
      <w:r>
        <w:rPr>
          <w:rFonts w:ascii="Arial" w:hAnsi="Arial" w:eastAsia="Arial" w:cs="Arial"/>
          <w:color w:val="000000"/>
          <w:sz w:val="24"/>
        </w:rPr>
        <w:t xml:space="preserve">1</w:t>
      </w:r>
      <w:r>
        <w:rPr>
          <w:rFonts w:ascii="SimSun" w:hAnsi="SimSun" w:eastAsia="SimSun" w:cs="SimSun"/>
          <w:color w:val="000000"/>
          <w:sz w:val="24"/>
        </w:rPr>
        <w:t xml:space="preserve">）人员管理制度。（</w:t>
      </w:r>
      <w:r>
        <w:rPr>
          <w:rFonts w:ascii="Arial" w:hAnsi="Arial" w:eastAsia="Arial" w:cs="Arial"/>
          <w:color w:val="000000"/>
          <w:sz w:val="24"/>
        </w:rPr>
        <w:t xml:space="preserve">2</w:t>
      </w:r>
      <w:r>
        <w:rPr>
          <w:rFonts w:ascii="SimSun" w:hAnsi="SimSun" w:eastAsia="SimSun" w:cs="SimSun"/>
          <w:color w:val="000000"/>
          <w:sz w:val="24"/>
        </w:rPr>
        <w:t xml:space="preserve">）服务流程制度。（</w:t>
      </w:r>
      <w:r>
        <w:rPr>
          <w:rFonts w:ascii="Arial" w:hAnsi="Arial" w:eastAsia="Arial" w:cs="Arial"/>
          <w:color w:val="000000"/>
          <w:sz w:val="24"/>
        </w:rPr>
        <w:t xml:space="preserve">3</w:t>
      </w:r>
      <w:r>
        <w:rPr>
          <w:rFonts w:ascii="SimSun" w:hAnsi="SimSun" w:eastAsia="SimSun" w:cs="SimSun"/>
          <w:color w:val="000000"/>
          <w:sz w:val="24"/>
        </w:rPr>
        <w:t xml:space="preserve">）财务管理制度等内容。</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适合本项目的各种突发事件的处理预案：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方案包括本物业项目制定的各种突发事件的处理预案（自然灾害中的应急预案、 重大节日及大型活动应急预案等</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 </w:t>
      </w:r>
      <w:r>
        <w:rPr>
          <w:rFonts w:ascii="SimSun" w:hAnsi="SimSun" w:eastAsia="SimSun" w:cs="SimSun"/>
          <w:color w:val="000000"/>
          <w:sz w:val="24"/>
        </w:rPr>
        <w:t xml:space="preserve">日常管理措施等：</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投标人应根据采购需求和本项目实际，制定相应的日常管理措施方案包括但不限于以下内容：（</w:t>
      </w:r>
      <w:r>
        <w:rPr>
          <w:rFonts w:ascii="Arial" w:hAnsi="Arial" w:eastAsia="Arial" w:cs="Arial"/>
          <w:color w:val="000000"/>
          <w:sz w:val="24"/>
        </w:rPr>
        <w:t xml:space="preserve">1</w:t>
      </w:r>
      <w:r>
        <w:rPr>
          <w:rFonts w:ascii="SimSun" w:hAnsi="SimSun" w:eastAsia="SimSun" w:cs="SimSun"/>
          <w:color w:val="000000"/>
          <w:sz w:val="24"/>
        </w:rPr>
        <w:t xml:space="preserve">）公共设备设施管理、清洁保洁管理等。（</w:t>
      </w:r>
      <w:r>
        <w:rPr>
          <w:rFonts w:ascii="Arial" w:hAnsi="Arial" w:eastAsia="Arial" w:cs="Arial"/>
          <w:color w:val="000000"/>
          <w:sz w:val="24"/>
        </w:rPr>
        <w:t xml:space="preserve">2</w:t>
      </w:r>
      <w:r>
        <w:rPr>
          <w:rFonts w:ascii="SimSun" w:hAnsi="SimSun" w:eastAsia="SimSun" w:cs="SimSun"/>
          <w:color w:val="000000"/>
          <w:sz w:val="24"/>
        </w:rPr>
        <w:t xml:space="preserve">）岗位设置、分工职责、各类规章制度等。（</w:t>
      </w:r>
      <w:r>
        <w:rPr>
          <w:rFonts w:ascii="Arial" w:hAnsi="Arial" w:eastAsia="Arial" w:cs="Arial"/>
          <w:color w:val="000000"/>
          <w:sz w:val="24"/>
        </w:rPr>
        <w:t xml:space="preserve">3</w:t>
      </w:r>
      <w:r>
        <w:rPr>
          <w:rFonts w:ascii="SimSun" w:hAnsi="SimSun" w:eastAsia="SimSun" w:cs="SimSun"/>
          <w:color w:val="000000"/>
          <w:sz w:val="24"/>
        </w:rPr>
        <w:t xml:space="preserve">）制定具体的实施流程、实施方案及质量标准等内容。（</w:t>
      </w:r>
      <w:r>
        <w:rPr>
          <w:rFonts w:ascii="Arial" w:hAnsi="Arial" w:eastAsia="Arial" w:cs="Arial"/>
          <w:color w:val="000000"/>
          <w:sz w:val="24"/>
        </w:rPr>
        <w:t xml:space="preserve">4</w:t>
      </w:r>
      <w:r>
        <w:rPr>
          <w:rFonts w:ascii="SimSun" w:hAnsi="SimSun" w:eastAsia="SimSun" w:cs="SimSun"/>
          <w:color w:val="000000"/>
          <w:sz w:val="24"/>
        </w:rPr>
        <w:t xml:space="preserve">）安全防范措施等。要求方案细致完整、针对性强、措施有力，方案的贯彻应能满足本项目服务要求。</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w:t>
      </w:r>
      <w:r>
        <w:rPr>
          <w:rFonts w:ascii="SimSun" w:hAnsi="SimSun" w:eastAsia="SimSun" w:cs="SimSun"/>
          <w:color w:val="000000"/>
          <w:sz w:val="24"/>
        </w:rPr>
        <w:t xml:space="preserve">体系认证</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投标人需具备良好的质量管理体系规范日常管理与服务，积极保障员工健康和 安全，以保障本项目的顺利实施，具有国家认监委认可的机构颁发的有效期内的质 量管理体系认证证书、环境管理体系认证证书、职业安全健康管理体系认证证书的优先。</w:t>
      </w:r>
      <w:r/>
    </w:p>
    <w:p>
      <w:pPr>
        <w:numPr>
          <w:ilvl w:val="0"/>
          <w:numId w:val="6"/>
        </w:numPr>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投标人需要具备丰富的物业服务相关承接经验，确保本项目的顺利实施，投标人自</w:t>
      </w:r>
      <w:r>
        <w:rPr>
          <w:rFonts w:ascii="Arial" w:hAnsi="Arial" w:eastAsia="Arial" w:cs="Arial"/>
          <w:color w:val="000000"/>
          <w:sz w:val="24"/>
        </w:rPr>
        <w:t xml:space="preserve">2021</w:t>
      </w:r>
      <w:r>
        <w:rPr>
          <w:rFonts w:ascii="SimSun" w:hAnsi="SimSun" w:eastAsia="SimSun" w:cs="SimSun"/>
          <w:color w:val="000000"/>
          <w:sz w:val="24"/>
        </w:rPr>
        <w:t xml:space="preserve">年</w:t>
      </w:r>
      <w:r>
        <w:rPr>
          <w:rFonts w:ascii="Arial" w:hAnsi="Arial" w:eastAsia="Arial" w:cs="Arial"/>
          <w:color w:val="000000"/>
          <w:sz w:val="24"/>
        </w:rPr>
        <w:t xml:space="preserve">1</w:t>
      </w:r>
      <w:r>
        <w:rPr>
          <w:rFonts w:ascii="SimSun" w:hAnsi="SimSun" w:eastAsia="SimSun" w:cs="SimSun"/>
          <w:color w:val="000000"/>
          <w:sz w:val="24"/>
        </w:rPr>
        <w:t xml:space="preserve">月</w:t>
      </w:r>
      <w:r>
        <w:rPr>
          <w:rFonts w:ascii="Arial" w:hAnsi="Arial" w:eastAsia="Arial" w:cs="Arial"/>
          <w:color w:val="000000"/>
          <w:sz w:val="24"/>
        </w:rPr>
        <w:t xml:space="preserve">1</w:t>
      </w:r>
      <w:r>
        <w:rPr>
          <w:rFonts w:ascii="SimSun" w:hAnsi="SimSun" w:eastAsia="SimSun" w:cs="SimSun"/>
          <w:color w:val="000000"/>
          <w:sz w:val="24"/>
        </w:rPr>
        <w:t xml:space="preserve">日以来承接过类似党政机关、事业单位、企业单位物业管理服务项目</w:t>
      </w:r>
      <w:r>
        <w:rPr>
          <w:rFonts w:ascii="Arial" w:hAnsi="Arial" w:eastAsia="Arial" w:cs="Arial"/>
          <w:color w:val="000000"/>
          <w:sz w:val="24"/>
        </w:rPr>
        <w:t xml:space="preserve">(</w:t>
      </w:r>
      <w:r>
        <w:rPr>
          <w:rFonts w:ascii="SimSun" w:hAnsi="SimSun" w:eastAsia="SimSun" w:cs="SimSun"/>
          <w:color w:val="000000"/>
          <w:sz w:val="24"/>
        </w:rPr>
        <w:t xml:space="preserve">不含住宅、工厂等</w:t>
      </w:r>
      <w:r>
        <w:rPr>
          <w:rFonts w:ascii="Arial" w:hAnsi="Arial" w:eastAsia="Arial" w:cs="Arial"/>
          <w:color w:val="000000"/>
          <w:sz w:val="24"/>
        </w:rPr>
        <w:t xml:space="preserve">)</w:t>
      </w:r>
      <w:r>
        <w:rPr>
          <w:rFonts w:ascii="SimSun" w:hAnsi="SimSun" w:eastAsia="SimSun" w:cs="SimSun"/>
          <w:color w:val="000000"/>
          <w:sz w:val="24"/>
        </w:rPr>
        <w:t xml:space="preserve">业绩的优先。</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Arial" w:hAnsi="Arial" w:eastAsia="Arial" w:cs="Arial"/>
          <w:b/>
          <w:color w:val="000000"/>
          <w:sz w:val="24"/>
        </w:rPr>
        <w:t xml:space="preserve">采购标的对应的中小企业划分标准所属行业一览表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1"/>
        <w:gridCol w:w="5269"/>
        <w:gridCol w:w="3284"/>
      </w:tblGrid>
      <w:tr>
        <w:trPr>
          <w:trHeight w:val="8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12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9" w:type="dxa"/>
            <w:vAlign w:val="center"/>
            <w:textDirection w:val="lrTb"/>
            <w:noWrap/>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盐城市园林绿化管理处世纪大道东路25号物业管理服务采购项目</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w:t>
      </w:r>
      <w:r>
        <w:rPr>
          <w:rFonts w:ascii="SimSun" w:hAnsi="SimSun" w:eastAsia="SimSun" w:cs="SimSun"/>
          <w:color w:val="000000"/>
          <w:sz w:val="32"/>
        </w:rPr>
        <w:t xml:space="preserve"> </w:t>
      </w:r>
      <w:r>
        <w:rPr>
          <w:rFonts w:ascii="SimHei" w:hAnsi="SimHei" w:eastAsia="SimHei" w:cs="SimHei"/>
          <w:color w:val="000000"/>
          <w:sz w:val="32"/>
        </w:rPr>
        <w:t xml:space="preserve">评标方法与评标标准</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综合评分法</w:t>
      </w:r>
      <w:r>
        <w:rPr>
          <w:rFonts w:ascii="SimSun" w:hAnsi="SimSun" w:eastAsia="SimSun" w:cs="SimSun"/>
          <w:color w:val="000000"/>
          <w:sz w:val="24"/>
        </w:rPr>
        <w:t xml:space="preserve">的，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、小微型企业价格扣除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）本项目专门面向中小企业采购，不再对小型和微型企业报价给予价格扣除。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）供应商需按照采购文件的要求提供相应的《中小企业声明函》。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）企业标准请参照《关于印发中小企业划型标准规定的通知》（工信部联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rPr>
          <w:rFonts w:ascii="Calibri" w:hAnsi="Calibri" w:eastAsia="Calibri" w:cs="Calibri"/>
          <w:color w:val="000000"/>
          <w:sz w:val="24"/>
        </w:rPr>
        <w:t xml:space="preserve">[2011]300 </w:t>
      </w:r>
      <w:r>
        <w:rPr>
          <w:rFonts w:ascii="SimSun" w:hAnsi="SimSun" w:eastAsia="SimSun" w:cs="SimSun"/>
          <w:color w:val="000000"/>
          <w:sz w:val="24"/>
        </w:rPr>
        <w:t xml:space="preserve">号）文件规定自行填写。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、残疾人福利单位价格扣除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）本项目对残疾人福利性单位视同小型、微型企业。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）残疾人福利单位需按照采购文件的要求提供《残疾人福利性单位声明 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）残疾人福利单位标准请参照《关于促进残疾人就业政府采购政策的通知》 （财库〔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 </w:t>
      </w:r>
      <w:r>
        <w:rPr>
          <w:rFonts w:ascii="SimSun" w:hAnsi="SimSun" w:eastAsia="SimSun" w:cs="SimSun"/>
          <w:color w:val="000000"/>
          <w:sz w:val="24"/>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、监狱和戒毒企业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）本项目对监狱和戒毒企业（简称监狱企业）视同小型、微型企业。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）监狱企业参加政府采购活动时，需提供由省级以上监狱管理局、戒毒管 理局</w:t>
      </w:r>
      <w:r>
        <w:rPr>
          <w:rFonts w:ascii="Calibri" w:hAnsi="Calibri" w:eastAsia="Calibri" w:cs="Calibri"/>
          <w:color w:val="000000"/>
          <w:sz w:val="24"/>
        </w:rPr>
        <w:t xml:space="preserve">(</w:t>
      </w:r>
      <w:r>
        <w:rPr>
          <w:rFonts w:ascii="SimSun" w:hAnsi="SimSun" w:eastAsia="SimSun" w:cs="SimSun"/>
          <w:color w:val="000000"/>
          <w:sz w:val="24"/>
        </w:rPr>
        <w:t xml:space="preserve">含新疆生产建设兵团</w:t>
      </w:r>
      <w:r>
        <w:rPr>
          <w:rFonts w:ascii="Calibri" w:hAnsi="Calibri" w:eastAsia="Calibri" w:cs="Calibri"/>
          <w:color w:val="000000"/>
          <w:sz w:val="24"/>
        </w:rPr>
        <w:t xml:space="preserve">)</w:t>
      </w:r>
      <w:r>
        <w:rPr>
          <w:rFonts w:ascii="SimSun" w:hAnsi="SimSun" w:eastAsia="SimSun" w:cs="SimSun"/>
          <w:color w:val="000000"/>
          <w:sz w:val="24"/>
        </w:rPr>
        <w:t xml:space="preserve">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）监狱企业标准请参照《关于政府采购支持监狱企业发展有关问题的通知》 （财库</w:t>
      </w:r>
      <w:r>
        <w:rPr>
          <w:rFonts w:ascii="Calibri" w:hAnsi="Calibri" w:eastAsia="Calibri" w:cs="Calibri"/>
          <w:color w:val="000000"/>
          <w:sz w:val="24"/>
        </w:rPr>
        <w:t xml:space="preserve">[2014]68 </w:t>
      </w:r>
      <w:r>
        <w:rPr>
          <w:rFonts w:ascii="SimSun" w:hAnsi="SimSun" w:eastAsia="SimSun" w:cs="SimSun"/>
          <w:color w:val="000000"/>
          <w:sz w:val="24"/>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、严格执行政府采购关于支持节能产品、环境标志产品的相关政策规定。如 本次采购的产品属于财政部、国家发展改革委、生态环境部、市场监管总局等部门 发布的节能产品、环境标志产品品目清单政府强制采购范围的，供应商必须在响应 文件中提供所投产品的相关证书</w:t>
      </w:r>
      <w:r>
        <w:rPr>
          <w:rFonts w:ascii="Calibri" w:hAnsi="Calibri" w:eastAsia="Calibri" w:cs="Calibri"/>
          <w:color w:val="000000"/>
          <w:sz w:val="24"/>
        </w:rPr>
        <w:t xml:space="preserve">(</w:t>
      </w:r>
      <w:r>
        <w:rPr>
          <w:rFonts w:ascii="SimSun" w:hAnsi="SimSun" w:eastAsia="SimSun" w:cs="SimSun"/>
          <w:color w:val="000000"/>
          <w:sz w:val="24"/>
        </w:rPr>
        <w:t xml:space="preserve">由国家确定的认证机构出具的、处于有效期之内 的节能产品、环境标志产品认证证书</w:t>
      </w:r>
      <w:r>
        <w:rPr>
          <w:rFonts w:ascii="Calibri" w:hAnsi="Calibri" w:eastAsia="Calibri" w:cs="Calibri"/>
          <w:color w:val="000000"/>
          <w:sz w:val="24"/>
        </w:rPr>
        <w:t xml:space="preserve">)</w:t>
      </w:r>
      <w:r>
        <w:rPr>
          <w:rFonts w:ascii="SimSun" w:hAnsi="SimSun" w:eastAsia="SimSun" w:cs="SimSun"/>
          <w:color w:val="000000"/>
          <w:sz w:val="24"/>
        </w:rPr>
        <w:t xml:space="preserve">。节能产品、环境标志产品品目清单以递交 响应文件截止时已正式公布的最近一期信息为准，如属政府强制采购产品未提供 认证证书的或认证证书提供不全的将视为未实质性响应采购要求。其他条件相同 情况下，应当优先采购节能产品、环境标志产品。</w:t>
      </w:r>
      <w:r/>
    </w:p>
    <w:p>
      <w:pPr>
        <w:ind w:left="0" w:right="0" w:firstLine="357"/>
        <w:spacing w:before="156"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w:t>
      </w:r>
      <w:r>
        <w:rPr>
          <w:rFonts w:ascii="SimSun" w:hAnsi="SimSun" w:eastAsia="SimSun" w:cs="SimSun"/>
          <w:b/>
          <w:color w:val="000000"/>
          <w:sz w:val="24"/>
        </w:rPr>
        <w:t xml:space="preserve">评标方法与评标标准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本项目评分总分值为</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分。</w:t>
      </w:r>
      <w:r/>
    </w:p>
    <w:tbl>
      <w:tblPr>
        <w:tblStyle w:val="704"/>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437"/>
        <w:gridCol w:w="1162"/>
        <w:gridCol w:w="6757"/>
        <w:gridCol w:w="703"/>
      </w:tblGrid>
      <w:tr>
        <w:trPr>
          <w:trHeight w:val="532"/>
        </w:trPr>
        <w:tc>
          <w:tcPr>
            <w:gridSpan w:val="2"/>
            <w:tcMar>
              <w:left w:w="108" w:type="dxa"/>
              <w:top w:w="0" w:type="dxa"/>
              <w:right w:w="108" w:type="dxa"/>
              <w:bottom w:w="0" w:type="dxa"/>
            </w:tcMar>
            <w:tcW w:w="1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评审项目</w:t>
            </w:r>
            <w:r/>
          </w:p>
        </w:tc>
        <w:tc>
          <w:tcPr>
            <w:tcMar>
              <w:left w:w="108" w:type="dxa"/>
              <w:top w:w="0" w:type="dxa"/>
              <w:right w:w="108" w:type="dxa"/>
              <w:bottom w:w="0" w:type="dxa"/>
            </w:tcMar>
            <w:tcW w:w="6757" w:type="dxa"/>
            <w:vAlign w:val="center"/>
            <w:textDirection w:val="lrTb"/>
            <w:noWrap/>
          </w:tcPr>
          <w:p>
            <w:pPr>
              <w:ind w:left="0" w:right="0" w:firstLine="48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Mar>
              <w:left w:w="108" w:type="dxa"/>
              <w:top w:w="0" w:type="dxa"/>
              <w:right w:w="108" w:type="dxa"/>
              <w:bottom w:w="0" w:type="dxa"/>
            </w:tcMar>
            <w:tcW w:w="70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439"/>
        </w:trPr>
        <w:tc>
          <w:tcPr>
            <w:gridSpan w:val="2"/>
            <w:tcMar>
              <w:left w:w="108" w:type="dxa"/>
              <w:top w:w="0" w:type="dxa"/>
              <w:right w:w="108" w:type="dxa"/>
              <w:bottom w:w="0" w:type="dxa"/>
            </w:tcMar>
            <w:tcW w:w="1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Mar>
              <w:left w:w="108" w:type="dxa"/>
              <w:top w:w="0" w:type="dxa"/>
              <w:right w:w="108" w:type="dxa"/>
              <w:bottom w:w="0" w:type="dxa"/>
            </w:tcMar>
            <w:tcW w:w="6757"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采用低价优先法，即满足招标文件要求且投标价格最低的投标报价为评标基准价，其价格分为满分。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其他投标人的价格分统一按下列公式计算：投标报价得分＝（评标基准价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投标报价）×</w:t>
            </w:r>
            <w:r>
              <w:rPr>
                <w:rFonts w:ascii="Times New Roman" w:hAnsi="Times New Roman" w:eastAsia="Times New Roman" w:cs="Times New Roman"/>
                <w:color w:val="000000"/>
                <w:sz w:val="22"/>
              </w:rPr>
              <w:t xml:space="preserve">50</w:t>
            </w:r>
            <w:r>
              <w:rPr>
                <w:rFonts w:ascii="SimSun" w:hAnsi="SimSun" w:eastAsia="SimSun" w:cs="SimSun"/>
                <w:color w:val="000000"/>
                <w:sz w:val="22"/>
              </w:rPr>
              <w:t xml:space="preserve">（小数点保留两位）</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50</w:t>
            </w:r>
            <w:r/>
          </w:p>
        </w:tc>
      </w:tr>
      <w:tr>
        <w:trPr>
          <w:trHeight w:val="439"/>
        </w:trPr>
        <w:tc>
          <w:tcPr>
            <w:gridSpan w:val="2"/>
            <w:tcMar>
              <w:left w:w="108" w:type="dxa"/>
              <w:top w:w="0" w:type="dxa"/>
              <w:right w:w="108" w:type="dxa"/>
              <w:bottom w:w="0" w:type="dxa"/>
            </w:tcMar>
            <w:tcW w:w="1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Mar>
              <w:left w:w="108" w:type="dxa"/>
              <w:top w:w="0" w:type="dxa"/>
              <w:right w:w="108" w:type="dxa"/>
              <w:bottom w:w="0" w:type="dxa"/>
            </w:tcMar>
            <w:tcW w:w="6757" w:type="dxa"/>
            <w:vAlign w:val="center"/>
            <w:textDirection w:val="lrTb"/>
            <w:noWrap/>
          </w:tcPr>
          <w:p>
            <w:pPr>
              <w:ind w:left="0" w:right="0" w:firstLine="2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w:t>
            </w:r>
            <w:r>
              <w:rPr>
                <w:rFonts w:ascii="Times New Roman" w:hAnsi="Times New Roman" w:eastAsia="Times New Roman" w:cs="Times New Roman"/>
                <w:color w:val="000000"/>
                <w:sz w:val="22"/>
              </w:rPr>
              <w:t xml:space="preserve">2021</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日以来承接过类似党政机关、事业单位、企业单位等办公楼物业管理项目（不含住宅、工厂等），每有一个得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分，本项最高分得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w:t>
            </w:r>
            <w:r/>
          </w:p>
          <w:p>
            <w:pPr>
              <w:ind w:left="0" w:right="0" w:firstLine="2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备注：以有效的合同扫描件加盖单位公章，合同中必须包含服务内容、合同签订时间等信息，否则不计分。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r>
      <w:tr>
        <w:trPr>
          <w:trHeight w:val="439"/>
        </w:trPr>
        <w:tc>
          <w:tcPr>
            <w:gridSpan w:val="2"/>
            <w:tcMar>
              <w:left w:w="108" w:type="dxa"/>
              <w:top w:w="0" w:type="dxa"/>
              <w:right w:w="108" w:type="dxa"/>
              <w:bottom w:w="0" w:type="dxa"/>
            </w:tcMar>
            <w:tcW w:w="1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信誉</w:t>
            </w:r>
            <w:r/>
          </w:p>
        </w:tc>
        <w:tc>
          <w:tcPr>
            <w:tcMar>
              <w:left w:w="108" w:type="dxa"/>
              <w:top w:w="0" w:type="dxa"/>
              <w:right w:w="108" w:type="dxa"/>
              <w:bottom w:w="0" w:type="dxa"/>
            </w:tcMar>
            <w:tcW w:w="6757" w:type="dxa"/>
            <w:vAlign w:val="center"/>
            <w:textDirection w:val="lrTb"/>
            <w:noWrap/>
          </w:tcPr>
          <w:p>
            <w:pPr>
              <w:ind w:left="0" w:right="0" w:firstLine="22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取得有效期内的质量管理体系认证证书得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22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取得有效期内的环境管理体系认证证书得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22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取得有效期内的职业安全健康管理体系认证证书得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2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备注：需提供体系认证证书扫描件和官网查询截图加盖投标人公章，提供不全不得分。认证证书查询官网“全国认证认可信息公共服务平台</w:t>
            </w:r>
            <w:r>
              <w:rPr>
                <w:rFonts w:ascii="Times New Roman" w:hAnsi="Times New Roman" w:eastAsia="Times New Roman" w:cs="Times New Roman"/>
                <w:color w:val="000000"/>
                <w:sz w:val="22"/>
              </w:rPr>
              <w:t xml:space="preserve">http://cx.cnca.cn/CertECloud/index/index/page</w:t>
            </w:r>
            <w:r>
              <w:rPr>
                <w:rFonts w:ascii="SimSun" w:hAnsi="SimSun" w:eastAsia="SimSun" w:cs="SimSun"/>
                <w:color w:val="000000"/>
                <w:sz w:val="22"/>
              </w:rPr>
              <w:t xml:space="preserve">”，</w:t>
            </w:r>
            <w:r>
              <w:rPr>
                <w:rFonts w:ascii="SimSun" w:hAnsi="SimSun" w:eastAsia="SimSun" w:cs="SimSun"/>
                <w:b/>
                <w:color w:val="000000"/>
                <w:sz w:val="22"/>
              </w:rPr>
              <w:t xml:space="preserve">投标人应当确保证书开标当天处于有效期内</w:t>
            </w:r>
            <w:r>
              <w:rPr>
                <w:rFonts w:ascii="SimSun" w:hAnsi="SimSun" w:eastAsia="SimSun" w:cs="SimSun"/>
                <w:color w:val="000000"/>
                <w:sz w:val="22"/>
              </w:rPr>
              <w:t xml:space="preserve">）</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r>
      <w:tr>
        <w:trPr>
          <w:trHeight w:val="4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center"/>
            <w:vMerge w:val="restart"/>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tc>
        <w:tc>
          <w:tcPr>
            <w:tcBorders>
              <w:lef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符合政策法规的整体设想及策划</w:t>
            </w:r>
            <w:r/>
          </w:p>
        </w:tc>
        <w:tc>
          <w:tcPr>
            <w:tcMar>
              <w:left w:w="108" w:type="dxa"/>
              <w:top w:w="0" w:type="dxa"/>
              <w:right w:w="108" w:type="dxa"/>
              <w:bottom w:w="0" w:type="dxa"/>
            </w:tcMar>
            <w:tcW w:w="6757"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评标委员会根据投标人针对本项目中符合政策法规的整体设想及策划方面陈述内容的合理性、完整性进行综合评审，优于招标文件要求得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分，满足招标文件要求得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分，不满足或不提供得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r>
      <w:tr>
        <w:trPr>
          <w:trHeight w:val="43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组织机构设置、人员配备、培训与管理</w:t>
            </w:r>
            <w:r/>
          </w:p>
        </w:tc>
        <w:tc>
          <w:tcPr>
            <w:tcMar>
              <w:left w:w="108" w:type="dxa"/>
              <w:top w:w="0" w:type="dxa"/>
              <w:right w:w="108" w:type="dxa"/>
              <w:bottom w:w="0" w:type="dxa"/>
            </w:tcMar>
            <w:tcW w:w="6757"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评标委员会根据投标人针对本项目中组织机构设置、人员配备、培训与管理方面陈述内容的合理性、完整性进行综合评审，优于招标文件要求得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分，满足招标文件要求得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分，不满足或不提供得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r>
      <w:tr>
        <w:trPr>
          <w:trHeight w:val="152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62" w:type="dxa"/>
            <w:vAlign w:val="center"/>
            <w:textDirection w:val="lrTb"/>
            <w:noWrap/>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拟采取的管理服务模式及质量标准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w:t>
            </w:r>
            <w:r/>
          </w:p>
        </w:tc>
        <w:tc>
          <w:tcPr>
            <w:tcMar>
              <w:left w:w="108" w:type="dxa"/>
              <w:top w:w="0" w:type="dxa"/>
              <w:right w:w="108" w:type="dxa"/>
              <w:bottom w:w="0" w:type="dxa"/>
            </w:tcMar>
            <w:tcW w:w="6757"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评标委员会根据投标人针对本项目中拟采取的管理服务模式及质量标准承诺方面陈述内容的合理性、完整性进行综合评审，优于招标文件要求得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分，满足招标文件要求得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分，不满足或不提供得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r>
      <w:tr>
        <w:trPr>
          <w:trHeight w:val="43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制度的建立</w:t>
            </w:r>
            <w:r/>
          </w:p>
        </w:tc>
        <w:tc>
          <w:tcPr>
            <w:tcMar>
              <w:left w:w="108" w:type="dxa"/>
              <w:top w:w="0" w:type="dxa"/>
              <w:right w:w="108" w:type="dxa"/>
              <w:bottom w:w="0" w:type="dxa"/>
            </w:tcMar>
            <w:tcW w:w="6757"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评标委员会根据投标人针对本项目中制度建立方面陈述内容的合理性、完整性进行综合评审，优于招标文件要求得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分，满足招标文件要求得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分，不满足或不提供得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r>
      <w:tr>
        <w:trPr>
          <w:trHeight w:val="43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适合本项目的各种突发事件的处理预案</w:t>
            </w:r>
            <w:r/>
          </w:p>
        </w:tc>
        <w:tc>
          <w:tcPr>
            <w:tcMar>
              <w:left w:w="108" w:type="dxa"/>
              <w:top w:w="0" w:type="dxa"/>
              <w:right w:w="108" w:type="dxa"/>
              <w:bottom w:w="0" w:type="dxa"/>
            </w:tcMar>
            <w:tcW w:w="6757"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评标委员会根据投标人针对本项目中适合本项目的各种突发事件的处理预案方面陈述内容的合理性、完整性进行综合评审，优于招标文件要求得6分，满足招标文件要求得5分，不满足或不提供得0分。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r>
      <w:tr>
        <w:trPr>
          <w:trHeight w:val="43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left w:val="single" w:color="000000" w:sz="8" w:space="0"/>
            </w:tcBorders>
            <w:tcMar>
              <w:left w:w="108" w:type="dxa"/>
              <w:top w:w="0" w:type="dxa"/>
              <w:right w:w="108" w:type="dxa"/>
              <w:bottom w:w="0" w:type="dxa"/>
            </w:tcMar>
            <w:tcW w:w="116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日常管理措施</w:t>
            </w:r>
            <w:r/>
          </w:p>
        </w:tc>
        <w:tc>
          <w:tcPr>
            <w:tcMar>
              <w:left w:w="108" w:type="dxa"/>
              <w:top w:w="0" w:type="dxa"/>
              <w:right w:w="108" w:type="dxa"/>
              <w:bottom w:w="0" w:type="dxa"/>
            </w:tcMar>
            <w:tcW w:w="6757" w:type="dxa"/>
            <w:vAlign w:val="center"/>
            <w:textDirection w:val="lrTb"/>
            <w:noWrap/>
          </w:tcPr>
          <w:p>
            <w:pPr>
              <w:ind w:left="0" w:right="0" w:firstLine="4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评标委员会根据投标人针对本项目中日常管理措施方面陈述内容的合理性、完整性进行综合评审，优于招标文件要求得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分，满足招标文件要求得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分，不满足或不提供得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Mar>
              <w:left w:w="108" w:type="dxa"/>
              <w:top w:w="0" w:type="dxa"/>
              <w:right w:w="108" w:type="dxa"/>
              <w:bottom w:w="0" w:type="dxa"/>
            </w:tcMar>
            <w:tcW w:w="7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r>
    </w:tbl>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项目物业技术方案部分为“暗标”，不得编制页眉以及目录，方案及页码字体大小均采用四号宋体；投标人在“服务方案（物业技术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rFonts w:ascii="Times New Roman" w:hAnsi="Times New Roman" w:eastAsia="Times New Roman" w:cs="Times New Roman"/>
          <w:b/>
          <w:i/>
          <w:color w:val="000000"/>
          <w:sz w:val="24"/>
          <w:u w:val="single"/>
        </w:rPr>
        <w:t xml:space="preserve">80</w:t>
      </w:r>
      <w:r>
        <w:rPr>
          <w:rFonts w:ascii="SimSun" w:hAnsi="SimSun" w:eastAsia="SimSun" w:cs="SimSun"/>
          <w:b/>
          <w:i/>
          <w:color w:val="000000"/>
          <w:sz w:val="24"/>
          <w:u w:val="single"/>
        </w:rPr>
        <w:t xml:space="preserve">页，否则本项内容不得分。上传的</w:t>
      </w:r>
      <w:r>
        <w:rPr>
          <w:rFonts w:ascii="Times New Roman" w:hAnsi="Times New Roman" w:eastAsia="Times New Roman" w:cs="Times New Roman"/>
          <w:b/>
          <w:i/>
          <w:color w:val="000000"/>
          <w:sz w:val="24"/>
          <w:u w:val="single"/>
        </w:rPr>
        <w:t xml:space="preserve">“</w:t>
      </w:r>
      <w:r>
        <w:rPr>
          <w:rFonts w:ascii="SimSun" w:hAnsi="SimSun" w:eastAsia="SimSun" w:cs="SimSun"/>
          <w:b/>
          <w:i/>
          <w:color w:val="000000"/>
          <w:sz w:val="24"/>
          <w:u w:val="single"/>
        </w:rPr>
        <w:t xml:space="preserve">明标</w:t>
      </w:r>
      <w:r>
        <w:rPr>
          <w:rFonts w:ascii="Times New Roman" w:hAnsi="Times New Roman" w:eastAsia="Times New Roman" w:cs="Times New Roman"/>
          <w:b/>
          <w:i/>
          <w:color w:val="000000"/>
          <w:sz w:val="24"/>
          <w:u w:val="single"/>
        </w:rPr>
        <w:t xml:space="preserve">”</w:t>
      </w:r>
      <w:r>
        <w:rPr>
          <w:rFonts w:ascii="SimSun" w:hAnsi="SimSun" w:eastAsia="SimSun" w:cs="SimSun"/>
          <w:b/>
          <w:i/>
          <w:color w:val="000000"/>
          <w:sz w:val="24"/>
          <w:u w:val="single"/>
        </w:rPr>
        <w:t xml:space="preserve">材料中不得出现与服务方案相关的内容，否则作无效标书处理</w:t>
      </w:r>
      <w:r>
        <w:rPr>
          <w:rFonts w:ascii="SimSun" w:hAnsi="SimSun" w:eastAsia="SimSun" w:cs="SimSun"/>
          <w:b/>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w:t>
      </w:r>
      <w:r>
        <w:rPr>
          <w:rFonts w:ascii="SimSun" w:hAnsi="SimSun" w:eastAsia="SimSun" w:cs="SimSun"/>
          <w:color w:val="000000"/>
          <w:sz w:val="32"/>
        </w:rPr>
        <w:t xml:space="preserve"> </w:t>
      </w:r>
      <w:r>
        <w:rPr>
          <w:rFonts w:ascii="SimHei" w:hAnsi="SimHei" w:eastAsia="SimHei" w:cs="SimHei"/>
          <w:color w:val="000000"/>
          <w:sz w:val="32"/>
        </w:rPr>
        <w:t xml:space="preserve">投标文件格式</w:t>
      </w:r>
      <w:r/>
    </w:p>
    <w:p>
      <w:pPr>
        <w:ind w:left="0" w:right="0" w:firstLine="107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07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07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07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3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53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w:t>
      </w:r>
      <w:r>
        <w:rPr>
          <w:rFonts w:ascii="SimSun" w:hAnsi="SimSun" w:eastAsia="SimSun" w:cs="SimSun"/>
          <w:b/>
          <w:color w:val="000000"/>
          <w:sz w:val="36"/>
          <w:u w:val="single"/>
        </w:rPr>
        <w:t xml:space="preserve">（加盖CA电子公章） </w:t>
      </w:r>
      <w:r/>
    </w:p>
    <w:p>
      <w:pPr>
        <w:ind w:left="0" w:right="0" w:firstLine="53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w:t>
      </w:r>
      <w:r>
        <w:rPr>
          <w:rFonts w:ascii="SimSun" w:hAnsi="SimSun" w:eastAsia="SimSun" w:cs="SimSun"/>
          <w:b/>
          <w:color w:val="000000"/>
          <w:sz w:val="36"/>
          <w:u w:val="single"/>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7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rPr>
          <w:rFonts w:ascii="Calibri" w:hAnsi="Calibri" w:eastAsia="Calibri" w:cs="Calibri"/>
          <w:color w:val="000000"/>
          <w:sz w:val="24"/>
        </w:rPr>
        <w:t xml:space="preserve"> </w:t>
      </w:r>
      <w:r>
        <w:rPr>
          <w:sz w:val="24"/>
        </w:rPr>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二、上一年度的财务状况报告（至少提供资产负债表、利润表、现金流量表，</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前一年内至少一个月依法缴纳税收及缴纳社会保障资金的证明材料。投标人依法享受缓缴、免缴税收、社会保障资金的提供证明材料）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7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7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7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7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十五、服务方案等</w:t>
      </w:r>
      <w:r/>
    </w:p>
    <w:p>
      <w:pPr>
        <w:ind w:left="0" w:right="0" w:firstLine="47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br w:type="page" w:clear="all"/>
      </w:r>
      <w:r>
        <w:rPr>
          <w:sz w:val="24"/>
        </w:rPr>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p>
    <w:p>
      <w:pPr>
        <w:ind w:left="0" w:right="0" w:firstLine="355"/>
        <w:jc w:val="both"/>
        <w:spacing w:before="240" w:after="240"/>
        <w:rPr>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0" w:right="0" w:firstLine="355"/>
        <w:jc w:val="both"/>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（至少提供资产负债表、利润表、现金流量表，</w:t>
      </w:r>
      <w:r>
        <w:rPr>
          <w:rFonts w:ascii="SimSun" w:hAnsi="SimSun" w:eastAsia="SimSun" w:cs="SimSun"/>
          <w:i/>
          <w:color w:val="000000"/>
          <w:sz w:val="21"/>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7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4"/>
        <w:jc w:val="both"/>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7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357"/>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六、特定资格要求的证明文件</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shd w:val="nil" w:color="auto"/>
        <w:rPr>
          <w:sz w:val="24"/>
          <w:szCs w:val="24"/>
        </w:rPr>
      </w:pPr>
      <w:r>
        <w:rPr>
          <w:rFonts w:ascii="SimHei" w:hAnsi="SimHei" w:eastAsia="SimHei" w:cs="SimHei"/>
          <w:i/>
          <w:color w:val="000000"/>
          <w:sz w:val="32"/>
          <w:highlight w:val="none"/>
          <w:u w:val="single"/>
        </w:rPr>
        <w:br w:type="page" w:clear="all"/>
      </w:r>
      <w:r>
        <w:rPr>
          <w:rFonts w:ascii="SimHei" w:hAnsi="SimHei" w:eastAsia="SimHei" w:cs="SimHei"/>
          <w:i/>
          <w:color w:val="000000"/>
          <w:sz w:val="32"/>
          <w:highlight w:val="none"/>
          <w:u w:val="single"/>
        </w:rPr>
      </w:r>
      <w:r/>
    </w:p>
    <w:p>
      <w:pPr>
        <w:ind w:left="0" w:right="0" w:firstLine="474"/>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JSZC-320900-JZCG-G2025-0016</w:t>
      </w:r>
      <w:r>
        <w:rPr>
          <w:rFonts w:ascii="SimSun" w:hAnsi="SimSun" w:eastAsia="SimSun" w:cs="SimSun"/>
          <w:color w:val="000000"/>
          <w:sz w:val="24"/>
        </w:rPr>
        <w:t xml:space="preserve">号</w:t>
      </w:r>
      <w:r>
        <w:rPr>
          <w:rFonts w:ascii="SimSun" w:hAnsi="SimSun" w:eastAsia="SimSun" w:cs="SimSun"/>
          <w:color w:val="000000"/>
          <w:sz w:val="24"/>
          <w:u w:val="single"/>
        </w:rPr>
        <w:t xml:space="preserve">盐城市园林绿化管理处世纪大道东路</w:t>
      </w:r>
      <w:r>
        <w:rPr>
          <w:rFonts w:ascii="Times New Roman" w:hAnsi="Times New Roman" w:eastAsia="Times New Roman" w:cs="Times New Roman"/>
          <w:color w:val="000000"/>
          <w:sz w:val="24"/>
          <w:u w:val="single"/>
        </w:rPr>
        <w:t xml:space="preserve">25</w:t>
      </w:r>
      <w:r>
        <w:rPr>
          <w:rFonts w:ascii="SimSun" w:hAnsi="SimSun" w:eastAsia="SimSun" w:cs="SimSun"/>
          <w:color w:val="000000"/>
          <w:sz w:val="24"/>
          <w:u w:val="single"/>
        </w:rPr>
        <w:t xml:space="preserve">号物业管理服务采购项目</w:t>
      </w:r>
      <w:r>
        <w:rPr>
          <w:rFonts w:ascii="SimSun" w:hAnsi="SimSun" w:eastAsia="SimSun" w:cs="SimSun"/>
          <w:color w:val="000000"/>
          <w:sz w:val="24"/>
        </w:rPr>
        <w:t xml:space="preserve">采购活动的合法代理人，以本单位名义全权处理一切与该项目采购有关的事务。</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单位地址：</w:t>
      </w:r>
      <w:r>
        <w:rPr>
          <w:rFonts w:ascii="Times New Roman" w:hAnsi="Times New Roman" w:eastAsia="Times New Roman" w:cs="Times New Roman"/>
          <w:color w:val="000000"/>
          <w:sz w:val="24"/>
          <w:u w:val="single"/>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7"/>
        <w:jc w:val="center"/>
        <w:spacing w:before="156"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57"/>
        <w:jc w:val="center"/>
        <w:spacing w:before="156"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八、投标函</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致：盐城市政府采购中心</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根据贵方的</w:t>
      </w:r>
      <w:r>
        <w:rPr>
          <w:rFonts w:ascii="Times New Roman" w:hAnsi="Times New Roman" w:eastAsia="Times New Roman" w:cs="Times New Roman"/>
          <w:color w:val="000000"/>
          <w:sz w:val="24"/>
          <w:u w:val="single"/>
        </w:rPr>
        <w:t xml:space="preserve">JSZC-320900-JZCG-G2025-0016</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rPr>
          <w:rFonts w:ascii="SimSun" w:hAnsi="SimSun" w:eastAsia="SimSun" w:cs="SimSun"/>
          <w:color w:val="000000"/>
          <w:sz w:val="24"/>
        </w:rPr>
        <w:t xml:space="preserve"> </w:t>
      </w:r>
      <w:r>
        <w:rPr>
          <w:sz w:val="24"/>
        </w:rPr>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355"/>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355"/>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color w:val="000000"/>
          <w:sz w:val="24"/>
        </w:rPr>
        <w:t xml:space="preserve">   </w:t>
      </w:r>
      <w:r>
        <w:rPr>
          <w:sz w:val="24"/>
        </w:rPr>
      </w:r>
      <w:r/>
    </w:p>
    <w:p>
      <w:pPr>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九</w:t>
      </w:r>
      <w:r>
        <w:rPr>
          <w:rFonts w:ascii="Microsoft YaHei" w:hAnsi="Microsoft YaHei" w:eastAsia="Microsoft YaHei" w:cs="Microsoft YaHei"/>
          <w:color w:val="000000"/>
          <w:sz w:val="27"/>
        </w:rPr>
        <w:t xml:space="preserve">、</w:t>
      </w:r>
      <w:r>
        <w:rPr>
          <w:rFonts w:ascii="Microsoft YaHei" w:hAnsi="Microsoft YaHei" w:eastAsia="Microsoft YaHei" w:cs="Microsoft YaHei"/>
          <w:color w:val="000000"/>
          <w:sz w:val="27"/>
        </w:rPr>
        <w:t xml:space="preserve">中小企业声明函（服务）</w:t>
      </w:r>
      <w:r>
        <w:rPr>
          <w:sz w:val="24"/>
        </w:rPr>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本公司（联合体）郑重声明，根据《政府采购促进中小企业发展管理办法》(财库[2020]46号)的规定，本公司（联合体）参加盐城市政府采购中心组织的</w:t>
      </w:r>
      <w:r>
        <w:rPr>
          <w:rFonts w:ascii="SimSun" w:hAnsi="SimSun" w:eastAsia="SimSun" w:cs="SimSun"/>
          <w:color w:val="000000"/>
          <w:sz w:val="24"/>
          <w:u w:val="single"/>
        </w:rPr>
        <w:t xml:space="preserve">盐城市园林绿化管理处</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JSZC-320900-JZCG-G2025-0016</w:t>
      </w:r>
      <w:r>
        <w:rPr>
          <w:rFonts w:ascii="SimSun" w:hAnsi="SimSun" w:eastAsia="SimSun" w:cs="SimSun"/>
          <w:color w:val="000000"/>
          <w:sz w:val="24"/>
        </w:rPr>
        <w:t xml:space="preserve">，</w:t>
      </w:r>
      <w:r>
        <w:rPr>
          <w:rFonts w:ascii="SimSun" w:hAnsi="SimSun" w:eastAsia="SimSun" w:cs="SimSun"/>
          <w:color w:val="000000"/>
          <w:sz w:val="24"/>
          <w:u w:val="single"/>
        </w:rPr>
        <w:t xml:space="preserve">盐城市园林绿化管理处世纪大道东路</w:t>
      </w:r>
      <w:r>
        <w:rPr>
          <w:rFonts w:ascii="Calibri" w:hAnsi="Calibri" w:eastAsia="Calibri" w:cs="Calibri"/>
          <w:color w:val="000000"/>
          <w:sz w:val="24"/>
          <w:u w:val="single"/>
        </w:rPr>
        <w:t xml:space="preserve">25</w:t>
      </w:r>
      <w:r>
        <w:rPr>
          <w:rFonts w:ascii="SimSun" w:hAnsi="SimSun" w:eastAsia="SimSun" w:cs="SimSun"/>
          <w:color w:val="000000"/>
          <w:sz w:val="24"/>
          <w:u w:val="single"/>
        </w:rPr>
        <w:t xml:space="preserve">号物业管理服务采购项目</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55"/>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355"/>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rPr>
          <w:rFonts w:ascii="SimSun" w:hAnsi="SimSun" w:eastAsia="SimSun" w:cs="SimSun"/>
          <w:color w:val="000000"/>
          <w:sz w:val="24"/>
        </w:rPr>
        <w:t xml:space="preserve"> </w:t>
      </w:r>
      <w:r>
        <w:rPr>
          <w:sz w:val="24"/>
        </w:rPr>
      </w:r>
      <w:r/>
    </w:p>
    <w:p>
      <w:pPr>
        <w:ind w:left="0" w:right="0" w:firstLine="355"/>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355"/>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br w:type="page" w:clear="all"/>
      </w:r>
      <w:r>
        <w:rPr>
          <w:sz w:val="24"/>
        </w:rPr>
      </w:r>
      <w:r/>
    </w:p>
    <w:p>
      <w:pPr>
        <w:ind w:left="0" w:right="0" w:firstLine="47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盐城市园林绿化管理处</w:t>
      </w:r>
      <w:r>
        <w:rPr>
          <w:rFonts w:ascii="SimSun" w:hAnsi="SimSun" w:eastAsia="SimSun" w:cs="SimSun"/>
          <w:color w:val="000000"/>
          <w:sz w:val="24"/>
        </w:rPr>
        <w:t xml:space="preserve">单位的采购文件编号为</w:t>
      </w:r>
      <w:r>
        <w:rPr>
          <w:rFonts w:ascii="Times New Roman" w:hAnsi="Times New Roman" w:eastAsia="Times New Roman" w:cs="Times New Roman"/>
          <w:color w:val="000000"/>
          <w:sz w:val="24"/>
          <w:u w:val="single"/>
        </w:rPr>
        <w:t xml:space="preserve">JSZC-320900-JZCG-G2025-0016</w:t>
      </w:r>
      <w:r>
        <w:rPr>
          <w:rFonts w:ascii="SimSun" w:hAnsi="SimSun" w:eastAsia="SimSun" w:cs="SimSun"/>
          <w:color w:val="000000"/>
          <w:sz w:val="24"/>
        </w:rPr>
        <w:t xml:space="preserve">的</w:t>
      </w:r>
      <w:r>
        <w:rPr>
          <w:rFonts w:ascii="SimSun" w:hAnsi="SimSun" w:eastAsia="SimSun" w:cs="SimSun"/>
          <w:color w:val="000000"/>
          <w:sz w:val="24"/>
          <w:u w:val="single"/>
        </w:rPr>
        <w:t xml:space="preserve">盐城市园林绿化管理处世纪大道东路</w:t>
      </w:r>
      <w:r>
        <w:rPr>
          <w:rFonts w:ascii="Times New Roman" w:hAnsi="Times New Roman" w:eastAsia="Times New Roman" w:cs="Times New Roman"/>
          <w:color w:val="000000"/>
          <w:sz w:val="24"/>
          <w:u w:val="single"/>
        </w:rPr>
        <w:t xml:space="preserve">25</w:t>
      </w:r>
      <w:r>
        <w:rPr>
          <w:rFonts w:ascii="SimSun" w:hAnsi="SimSun" w:eastAsia="SimSun" w:cs="SimSun"/>
          <w:color w:val="000000"/>
          <w:sz w:val="24"/>
          <w:u w:val="single"/>
        </w:rPr>
        <w:t xml:space="preserve">号物业管理服务采购项目</w:t>
      </w:r>
      <w:r>
        <w:rPr>
          <w:rFonts w:ascii="SimSun" w:hAnsi="SimSun" w:eastAsia="SimSun" w:cs="SimSun"/>
          <w:color w:val="000000"/>
          <w:sz w:val="24"/>
        </w:rPr>
        <w:t xml:space="preserve">项目采购活动由本单位提供服务。</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444"/>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355"/>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w:t>
      </w:r>
      <w:r>
        <w:rPr>
          <w:rFonts w:ascii="SimHei" w:hAnsi="SimHei" w:eastAsia="SimHei" w:cs="SimHei"/>
          <w:b/>
          <w:color w:val="000000"/>
          <w:sz w:val="32"/>
        </w:rPr>
        <w:t xml:space="preserve">、</w:t>
      </w:r>
      <w:r>
        <w:rPr>
          <w:rFonts w:ascii="SimHei" w:hAnsi="SimHei" w:eastAsia="SimHei" w:cs="SimHei"/>
          <w:b/>
          <w:color w:val="000000"/>
          <w:sz w:val="32"/>
        </w:rPr>
        <w:t xml:space="preserve">投标分项报价表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tbl>
      <w:tblPr>
        <w:tblStyle w:val="704"/>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03"/>
        <w:gridCol w:w="2976"/>
        <w:gridCol w:w="992"/>
        <w:gridCol w:w="567"/>
        <w:gridCol w:w="850"/>
        <w:gridCol w:w="850"/>
        <w:gridCol w:w="2121"/>
      </w:tblGrid>
      <w:tr>
        <w:trPr>
          <w:trHeight w:val="285"/>
        </w:trPr>
        <w:tc>
          <w:tcPr>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Mar>
              <w:left w:w="108" w:type="dxa"/>
              <w:top w:w="0" w:type="dxa"/>
              <w:right w:w="108" w:type="dxa"/>
              <w:bottom w:w="0" w:type="dxa"/>
            </w:tcMar>
            <w:tcW w:w="2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rPr>
                <w:rFonts w:ascii="SimSun" w:hAnsi="SimSun" w:eastAsia="SimSun" w:cs="SimSun"/>
                <w:b/>
                <w:color w:val="000000"/>
                <w:sz w:val="20"/>
              </w:rPr>
              <w:t xml:space="preserve">（</w:t>
            </w:r>
            <w:r>
              <w:rPr>
                <w:rFonts w:ascii="SimSun" w:hAnsi="SimSun" w:eastAsia="SimSun" w:cs="SimSun"/>
                <w:color w:val="000000"/>
                <w:sz w:val="21"/>
              </w:rPr>
              <w:t xml:space="preserve">元）</w:t>
            </w:r>
            <w:r/>
          </w:p>
        </w:tc>
        <w:tc>
          <w:tcPr>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总价（元） </w:t>
            </w:r>
            <w:r/>
          </w:p>
        </w:tc>
        <w:tc>
          <w:tcPr>
            <w:tcMar>
              <w:left w:w="108" w:type="dxa"/>
              <w:top w:w="0" w:type="dxa"/>
              <w:right w:w="108" w:type="dxa"/>
              <w:bottom w:w="0" w:type="dxa"/>
            </w:tcMar>
            <w:tcW w:w="2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80"/>
        </w:trPr>
        <w:tc>
          <w:tcPr>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Mar>
              <w:left w:w="108" w:type="dxa"/>
              <w:top w:w="0" w:type="dxa"/>
              <w:right w:w="108" w:type="dxa"/>
              <w:bottom w:w="0" w:type="dxa"/>
            </w:tcMar>
            <w:tcW w:w="29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物业管理服务人员工资、社保、住房公积金、加班费等费用</w:t>
            </w:r>
            <w:r/>
          </w:p>
        </w:tc>
        <w:tc>
          <w:tcPr>
            <w:gridSpan w:val="3"/>
            <w:tcMar>
              <w:left w:w="108" w:type="dxa"/>
              <w:top w:w="0" w:type="dxa"/>
              <w:right w:w="108" w:type="dxa"/>
              <w:bottom w:w="0" w:type="dxa"/>
            </w:tcMar>
            <w:tcW w:w="24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（以下各项合计）</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21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备注栏内要求必须完全响应否则作无效标书处理。</w:t>
            </w:r>
            <w:r/>
          </w:p>
        </w:tc>
      </w:tr>
      <w:tr>
        <w:trPr>
          <w:trHeight w:val="1375"/>
        </w:trPr>
        <w:tc>
          <w:tcPr>
            <w:tcMar>
              <w:left w:w="108" w:type="dxa"/>
              <w:top w:w="0" w:type="dxa"/>
              <w:right w:w="108" w:type="dxa"/>
              <w:bottom w:w="0" w:type="dxa"/>
            </w:tcMar>
            <w:tcW w:w="703" w:type="dxa"/>
            <w:vAlign w:val="center"/>
            <w:vMerge w:val="restart"/>
            <w:textDirection w:val="lrTb"/>
            <w:noWrap w:val="false"/>
          </w:tcPr>
          <w:p>
            <w:pPr>
              <w:spacing w:before="0" w:after="0" w:line="57" w:lineRule="atLeast"/>
            </w:pPr>
            <w:r/>
            <w:r/>
          </w:p>
        </w:tc>
        <w:tc>
          <w:tcPr>
            <w:tcBorders>
              <w:bottom w:val="single" w:color="000000" w:sz="8" w:space="0"/>
            </w:tcBorders>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保安人员</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人*9个月</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及相关费用测算依据根据按苏人社规〔2023〕4号《江苏省人力资源社会保障厅关于调整全省最低工资标准的通知》：所有工作人员工资不低于本市最新公布的最低工资标准（2260元/人*月）。所提供人员的费用不得低于上述标准进行测算，否则将视为未实质性响应招标文件要求。</w:t>
            </w:r>
            <w:r/>
          </w:p>
        </w:tc>
      </w:tr>
      <w:tr>
        <w:trPr>
          <w:trHeight w:val="510"/>
        </w:trPr>
        <w:tc>
          <w:tcPr>
            <w:tcBorders>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tcBorders>
              <w:lef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人*9个月</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vMerge w:val="continue"/>
            <w:textDirection w:val="lrTb"/>
            <w:noWrap w:val="false"/>
          </w:tcPr>
          <w:p>
            <w:r/>
            <w:r/>
          </w:p>
        </w:tc>
      </w:tr>
      <w:tr>
        <w:trPr>
          <w:trHeight w:val="1275"/>
        </w:trPr>
        <w:tc>
          <w:tcPr>
            <w:vMerge w:val="continue"/>
            <w:textDirection w:val="lrTb"/>
            <w:noWrap w:val="false"/>
          </w:tcPr>
          <w:p>
            <w:r/>
            <w:r/>
          </w:p>
        </w:tc>
        <w:tc>
          <w:tcPr>
            <w:tcBorders>
              <w:top w:val="single" w:color="000000" w:sz="8" w:space="0"/>
            </w:tcBorders>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人*9个月</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所有人员必须足额缴纳社保费用，社保费用应执行苏人社发[2024]3号《关于2024年度社会保险缴费工资基数上下限暂行标准的通知》，社保（企业部分）不得低于上述文件标准及规定险种，即不得低于1273.42元/人/每月。</w:t>
            </w:r>
            <w:r/>
          </w:p>
        </w:tc>
      </w:tr>
      <w:tr>
        <w:trPr>
          <w:trHeight w:val="337"/>
        </w:trPr>
        <w:tc>
          <w:tcPr>
            <w:vMerge w:val="continue"/>
            <w:textDirection w:val="lrTb"/>
            <w:noWrap w:val="false"/>
          </w:tcPr>
          <w:p>
            <w:r/>
            <w:r/>
          </w:p>
        </w:tc>
        <w:tc>
          <w:tcPr>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人*9个月</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住房公积金须按不低于</w:t>
            </w:r>
            <w:r>
              <w:rPr>
                <w:rFonts w:ascii="SimSun" w:hAnsi="SimSun" w:eastAsia="SimSun" w:cs="SimSun"/>
                <w:color w:val="000000"/>
                <w:sz w:val="20"/>
                <w:highlight w:val="white"/>
              </w:rPr>
              <w:t xml:space="preserve">165.6元/</w:t>
            </w:r>
            <w:r>
              <w:rPr>
                <w:rFonts w:ascii="SimSun" w:hAnsi="SimSun" w:eastAsia="SimSun" w:cs="SimSun"/>
                <w:color w:val="000000"/>
                <w:sz w:val="20"/>
              </w:rPr>
              <w:t xml:space="preserve">人每月。</w:t>
            </w:r>
            <w:r/>
          </w:p>
        </w:tc>
      </w:tr>
      <w:tr>
        <w:trPr>
          <w:trHeight w:val="1785"/>
        </w:trPr>
        <w:tc>
          <w:tcPr>
            <w:vMerge w:val="continue"/>
            <w:textDirection w:val="lrTb"/>
            <w:noWrap w:val="false"/>
          </w:tcPr>
          <w:p>
            <w:r/>
            <w:r/>
          </w:p>
        </w:tc>
        <w:tc>
          <w:tcPr>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国假加班费</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本项目要求国假加班天数为6天，国假加班人员数不得低于2人，各投标人综合考虑，不得低于1870.34元/人/9个月。</w:t>
            </w:r>
            <w:r/>
          </w:p>
        </w:tc>
      </w:tr>
      <w:tr>
        <w:trPr>
          <w:trHeight w:val="285"/>
        </w:trPr>
        <w:tc>
          <w:tcPr>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综合管理杂费</w:t>
            </w:r>
            <w:r/>
          </w:p>
        </w:tc>
        <w:tc>
          <w:tcPr>
            <w:gridSpan w:val="3"/>
            <w:tcMar>
              <w:left w:w="108" w:type="dxa"/>
              <w:top w:w="0" w:type="dxa"/>
              <w:right w:w="108" w:type="dxa"/>
              <w:bottom w:w="0" w:type="dxa"/>
            </w:tcMar>
            <w:tcW w:w="24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（以下各项合计）</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2121" w:type="dxa"/>
            <w:vAlign w:val="top"/>
            <w:textDirection w:val="lrTb"/>
            <w:noWrap w:val="false"/>
          </w:tcPr>
          <w:p>
            <w:pPr>
              <w:spacing w:before="0" w:after="0" w:line="57" w:lineRule="atLeast"/>
            </w:pPr>
            <w:r/>
            <w:r/>
          </w:p>
        </w:tc>
      </w:tr>
      <w:tr>
        <w:trPr>
          <w:trHeight w:val="510"/>
        </w:trPr>
        <w:tc>
          <w:tcPr>
            <w:tcMar>
              <w:left w:w="108" w:type="dxa"/>
              <w:top w:w="0" w:type="dxa"/>
              <w:right w:w="108" w:type="dxa"/>
              <w:bottom w:w="0" w:type="dxa"/>
            </w:tcMar>
            <w:tcW w:w="7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Mar>
              <w:left w:w="108" w:type="dxa"/>
              <w:top w:w="0" w:type="dxa"/>
              <w:right w:w="108" w:type="dxa"/>
              <w:bottom w:w="0" w:type="dxa"/>
            </w:tcMar>
            <w:tcW w:w="29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服装费及通讯工具费、体检费、工作餐费、培训费、</w:t>
            </w:r>
            <w:r>
              <w:rPr>
                <w:rFonts w:ascii="SimSun" w:hAnsi="SimSun" w:eastAsia="SimSun" w:cs="SimSun"/>
                <w:color w:val="000000"/>
                <w:sz w:val="20"/>
              </w:rPr>
              <w:t xml:space="preserve">日常耗材费用、办公品消耗费、劳动用具及清洁用品费</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由投标人自行考虑。</w:t>
            </w:r>
            <w:r/>
          </w:p>
        </w:tc>
      </w:tr>
      <w:tr>
        <w:trPr>
          <w:trHeight w:val="285"/>
        </w:trPr>
        <w:tc>
          <w:tcPr>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不可预见费</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其他投标人为完成招标文件规定的服务工作所涉及到的一切相关费用</w:t>
            </w:r>
            <w:r/>
          </w:p>
        </w:tc>
      </w:tr>
      <w:tr>
        <w:trPr>
          <w:trHeight w:val="285"/>
        </w:trPr>
        <w:tc>
          <w:tcPr>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利润</w:t>
            </w:r>
            <w:r>
              <w:rPr>
                <w:rFonts w:ascii="SimSun" w:hAnsi="SimSun" w:eastAsia="SimSun" w:cs="SimSun"/>
                <w:b/>
                <w:color w:val="000000"/>
                <w:sz w:val="21"/>
              </w:rPr>
              <w:t xml:space="preserve">（管理费）</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tcPr>
          <w:p>
            <w:pPr>
              <w:spacing w:before="0" w:after="0" w:line="57" w:lineRule="atLeast"/>
            </w:pPr>
            <w:r/>
            <w:r/>
          </w:p>
        </w:tc>
      </w:tr>
      <w:tr>
        <w:trPr>
          <w:trHeight w:val="765"/>
        </w:trPr>
        <w:tc>
          <w:tcPr>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Mar>
              <w:left w:w="108" w:type="dxa"/>
              <w:top w:w="0" w:type="dxa"/>
              <w:right w:w="108" w:type="dxa"/>
              <w:bottom w:w="0" w:type="dxa"/>
            </w:tcMar>
            <w:tcW w:w="297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法定税费</w:t>
            </w:r>
            <w:r/>
          </w:p>
        </w:tc>
        <w:tc>
          <w:tcPr>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Mar>
              <w:left w:w="108" w:type="dxa"/>
              <w:top w:w="0" w:type="dxa"/>
              <w:right w:w="108" w:type="dxa"/>
              <w:bottom w:w="0" w:type="dxa"/>
            </w:tcMar>
            <w:tcW w:w="850" w:type="dxa"/>
            <w:vAlign w:val="center"/>
            <w:textDirection w:val="lrTb"/>
            <w:noWrap/>
          </w:tcPr>
          <w:p>
            <w:pPr>
              <w:spacing w:before="0" w:after="0" w:line="57" w:lineRule="atLeast"/>
            </w:pPr>
            <w:r/>
            <w:r/>
          </w:p>
        </w:tc>
        <w:tc>
          <w:tcPr>
            <w:tcMar>
              <w:left w:w="108" w:type="dxa"/>
              <w:top w:w="0" w:type="dxa"/>
              <w:right w:w="108" w:type="dxa"/>
              <w:bottom w:w="0" w:type="dxa"/>
            </w:tcMar>
            <w:tcW w:w="850" w:type="dxa"/>
            <w:vAlign w:val="top"/>
            <w:textDirection w:val="lrTb"/>
            <w:noWrap w:val="false"/>
          </w:tcPr>
          <w:p>
            <w:pPr>
              <w:spacing w:before="0" w:after="0" w:line="57" w:lineRule="atLeast"/>
            </w:pPr>
            <w:r/>
            <w:r/>
          </w:p>
        </w:tc>
        <w:tc>
          <w:tcPr>
            <w:tcMar>
              <w:left w:w="108" w:type="dxa"/>
              <w:top w:w="0" w:type="dxa"/>
              <w:right w:w="108" w:type="dxa"/>
              <w:bottom w:w="0" w:type="dxa"/>
            </w:tcMar>
            <w:tcW w:w="21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各投标人填报的税率统一按照6.72%计算。</w:t>
            </w:r>
            <w:r/>
          </w:p>
        </w:tc>
      </w:tr>
      <w:tr>
        <w:trPr>
          <w:trHeight w:val="300"/>
        </w:trPr>
        <w:tc>
          <w:tcPr>
            <w:gridSpan w:val="2"/>
            <w:tcMar>
              <w:left w:w="108" w:type="dxa"/>
              <w:top w:w="0" w:type="dxa"/>
              <w:right w:w="108" w:type="dxa"/>
              <w:bottom w:w="0" w:type="dxa"/>
            </w:tcMar>
            <w:tcW w:w="36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投标总价（元）</w:t>
            </w:r>
            <w:r/>
          </w:p>
        </w:tc>
        <w:tc>
          <w:tcPr>
            <w:tcMar>
              <w:left w:w="108" w:type="dxa"/>
              <w:top w:w="0" w:type="dxa"/>
              <w:right w:w="108" w:type="dxa"/>
              <w:bottom w:w="0" w:type="dxa"/>
            </w:tcMar>
            <w:tcW w:w="99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Mar>
              <w:left w:w="108" w:type="dxa"/>
              <w:top w:w="0" w:type="dxa"/>
              <w:right w:w="108" w:type="dxa"/>
              <w:bottom w:w="0" w:type="dxa"/>
            </w:tcMar>
            <w:tcW w:w="1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Mar>
              <w:left w:w="108" w:type="dxa"/>
              <w:top w:w="0" w:type="dxa"/>
              <w:right w:w="108" w:type="dxa"/>
              <w:bottom w:w="0" w:type="dxa"/>
            </w:tcMar>
            <w:tcW w:w="21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计算式（1项+2项+…+5项）</w:t>
            </w:r>
            <w:r/>
          </w:p>
        </w:tc>
      </w:tr>
    </w:tbl>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Arial" w:hAnsi="Arial" w:eastAsia="Arial" w:cs="Arial"/>
          <w:b/>
          <w:i/>
          <w:color w:val="000000"/>
          <w:sz w:val="24"/>
          <w:u w:val="single"/>
        </w:rPr>
        <w:t xml:space="preserve">供应商所提供人员的费用不得低于上述标准进行测算，否则视为未实质性响应招标文件要求</w:t>
      </w:r>
      <w:r>
        <w:rPr>
          <w:rFonts w:ascii="Arial" w:hAnsi="Arial" w:eastAsia="Arial" w:cs="Arial"/>
          <w:b/>
          <w:color w:val="000000"/>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left="0" w:right="0" w:firstLine="44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投标方：（单位盖章）</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7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16"/>
        <w:gridCol w:w="2867"/>
        <w:gridCol w:w="2139"/>
        <w:gridCol w:w="2126"/>
        <w:gridCol w:w="14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br w:type="page" w:clear="all"/>
      </w:r>
      <w:r>
        <w:rPr>
          <w:sz w:val="24"/>
        </w:rPr>
      </w:r>
      <w:r/>
    </w:p>
    <w:p>
      <w:pPr>
        <w:ind w:left="0" w:right="0" w:firstLine="47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2238"/>
        <w:gridCol w:w="2591"/>
        <w:gridCol w:w="2228"/>
        <w:gridCol w:w="14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355"/>
              <w:jc w:val="center"/>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355"/>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sz w:val="24"/>
        </w:rPr>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7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项目名称：盐城市园林绿化管理处世纪大道东路</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号物业管理服务采购项目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招标编号：</w:t>
      </w:r>
      <w:r>
        <w:rPr>
          <w:rFonts w:ascii="Times New Roman" w:hAnsi="Times New Roman" w:eastAsia="Times New Roman" w:cs="Times New Roman"/>
          <w:color w:val="000000"/>
          <w:sz w:val="24"/>
        </w:rPr>
        <w:t xml:space="preserve">JSZC-320900-JZCG-G2025-0016</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分包号：/</w:t>
      </w:r>
      <w:r>
        <w:rPr>
          <w:rFonts w:ascii="SimSun" w:hAnsi="SimSun" w:eastAsia="SimSun" w:cs="SimSun"/>
          <w:color w:val="000000"/>
          <w:sz w:val="24"/>
        </w:rPr>
        <w:t xml:space="preserve">               </w:t>
      </w:r>
      <w:r>
        <w:rPr>
          <w:sz w:val="24"/>
        </w:rPr>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5" w:type="dxa"/>
            <w:vAlign w:val="center"/>
            <w:textDirection w:val="lrTb"/>
            <w:noWrap/>
          </w:tcPr>
          <w:p>
            <w:pPr>
              <w:ind w:left="0" w:right="0" w:firstLine="355"/>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5" w:type="dxa"/>
            <w:vAlign w:val="center"/>
            <w:textDirection w:val="lrTb"/>
            <w:noWrap/>
          </w:tcPr>
          <w:p>
            <w:pPr>
              <w:ind w:left="0" w:right="0" w:firstLine="355"/>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5" w:type="dxa"/>
            <w:vAlign w:val="center"/>
            <w:textDirection w:val="lrTb"/>
            <w:noWrap/>
          </w:tcPr>
          <w:p>
            <w:pPr>
              <w:ind w:left="0" w:right="0" w:firstLine="355"/>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金额大写                  </w:t>
            </w:r>
            <w:r/>
          </w:p>
        </w:tc>
      </w:tr>
    </w:tbl>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十五、服务方案等</w:t>
      </w:r>
      <w:r/>
    </w:p>
    <w:p>
      <w:pPr>
        <w:ind w:left="0" w:right="0" w:firstLine="35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项目物业技术方案部分为“暗标”，不得编制页眉以及目录，方案及页码字体大小均采用四号宋体；投标人在“服务方案（物业技术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rFonts w:ascii="Times New Roman" w:hAnsi="Times New Roman" w:eastAsia="Times New Roman" w:cs="Times New Roman"/>
          <w:b/>
          <w:i/>
          <w:color w:val="000000"/>
          <w:sz w:val="24"/>
          <w:u w:val="single"/>
        </w:rPr>
        <w:t xml:space="preserve">80</w:t>
      </w:r>
      <w:r>
        <w:rPr>
          <w:rFonts w:ascii="SimSun" w:hAnsi="SimSun" w:eastAsia="SimSun" w:cs="SimSun"/>
          <w:b/>
          <w:i/>
          <w:color w:val="000000"/>
          <w:sz w:val="24"/>
          <w:u w:val="single"/>
        </w:rPr>
        <w:t xml:space="preserve">页，否则本项内容不得分</w:t>
      </w:r>
      <w:r>
        <w:rPr>
          <w:rFonts w:ascii="SimSun" w:hAnsi="SimSun" w:eastAsia="SimSun" w:cs="SimSun"/>
          <w:b/>
          <w:i/>
          <w:color w:val="000000"/>
          <w:sz w:val="24"/>
        </w:rPr>
        <w:t xml:space="preserve">。</w:t>
      </w:r>
      <w:r>
        <w:rPr>
          <w:rFonts w:ascii="SimSun" w:hAnsi="SimSun" w:eastAsia="SimSun" w:cs="SimSun"/>
          <w:b/>
          <w:i/>
          <w:color w:val="000000"/>
          <w:sz w:val="24"/>
          <w:u w:val="single"/>
        </w:rPr>
        <w:t xml:space="preserve">上传的</w:t>
      </w:r>
      <w:r>
        <w:rPr>
          <w:rFonts w:ascii="Times New Roman" w:hAnsi="Times New Roman" w:eastAsia="Times New Roman" w:cs="Times New Roman"/>
          <w:b/>
          <w:i/>
          <w:color w:val="000000"/>
          <w:sz w:val="24"/>
          <w:u w:val="single"/>
        </w:rPr>
        <w:t xml:space="preserve">“</w:t>
      </w:r>
      <w:r>
        <w:rPr>
          <w:rFonts w:ascii="SimSun" w:hAnsi="SimSun" w:eastAsia="SimSun" w:cs="SimSun"/>
          <w:b/>
          <w:i/>
          <w:color w:val="000000"/>
          <w:sz w:val="24"/>
          <w:u w:val="single"/>
        </w:rPr>
        <w:t xml:space="preserve">明标</w:t>
      </w:r>
      <w:r>
        <w:rPr>
          <w:rFonts w:ascii="Times New Roman" w:hAnsi="Times New Roman" w:eastAsia="Times New Roman" w:cs="Times New Roman"/>
          <w:b/>
          <w:i/>
          <w:color w:val="000000"/>
          <w:sz w:val="24"/>
          <w:u w:val="single"/>
        </w:rPr>
        <w:t xml:space="preserve">”</w:t>
      </w:r>
      <w:r>
        <w:rPr>
          <w:rFonts w:ascii="SimSun" w:hAnsi="SimSun" w:eastAsia="SimSun" w:cs="SimSun"/>
          <w:b/>
          <w:i/>
          <w:color w:val="000000"/>
          <w:sz w:val="24"/>
          <w:u w:val="single"/>
        </w:rPr>
        <w:t xml:space="preserve">材料中不得出现与服务方案相关的内容，否则作无效标书处理</w:t>
      </w:r>
      <w:r>
        <w:rPr>
          <w:rFonts w:ascii="SimSun" w:hAnsi="SimSun" w:eastAsia="SimSun" w:cs="SimSun"/>
          <w:b/>
          <w:i/>
          <w:color w:val="000000"/>
          <w:sz w:val="24"/>
        </w:rPr>
        <w:t xml:space="preserve">。</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w:t>
      </w:r>
      <w:r>
        <w:rPr>
          <w:rFonts w:ascii="SimSun" w:hAnsi="SimSun" w:eastAsia="SimSun" w:cs="SimSun"/>
          <w:color w:val="000000"/>
          <w:sz w:val="24"/>
          <w:highlight w:val="white"/>
        </w:rPr>
        <w:t xml:space="preserve">成分</w:t>
      </w:r>
      <w:r>
        <w:rPr>
          <w:rFonts w:ascii="SimSun" w:hAnsi="SimSun" w:eastAsia="SimSun" w:cs="SimSun"/>
          <w:color w:val="000000"/>
          <w:sz w:val="24"/>
        </w:rPr>
        <w:t xml:space="preserve">，并对所提供资料的真实性负责；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3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47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355"/>
        <w:jc w:val="both"/>
        <w:spacing w:before="15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357"/>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35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3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headerReference w:type="default" r:id="rId9"/>
      <w:footerReference w:type="default" r:id="rId10"/>
      <w:footnotePr/>
      <w:endnotePr/>
      <w:type w:val="nextPage"/>
      <w:pgSz w:w="11906" w:h="16838" w:orient="portrait"/>
      <w:pgMar w:top="1440" w:right="1531" w:bottom="1247" w:left="1531" w:header="851"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Garamond">
    <w:panose1 w:val="02020404030301010803"/>
  </w:font>
  <w:font w:name="幼圆">
    <w:panose1 w:val="02010509060101010101"/>
  </w:font>
  <w:font w:name="黑体">
    <w:panose1 w:val="02010609060101010101"/>
  </w:font>
  <w:font w:name="LiSu">
    <w:panose1 w:val="02010509060101010101"/>
  </w:font>
  <w:font w:name="仿宋_GB2312">
    <w:panose1 w:val="02010609060101010101"/>
  </w:font>
  <w:font w:name="Verdana">
    <w:panose1 w:val="020B0604030504040204"/>
  </w:font>
  <w:font w:name="楷体_GB2312">
    <w:panose1 w:val="02010609060101010101"/>
  </w:font>
  <w:font w:name="Calibri">
    <w:panose1 w:val="020F0502020204030204"/>
  </w:font>
  <w:font w:name="Arial Unicode MS">
    <w:panose1 w:val="020B0604020202020204"/>
  </w:font>
  <w:font w:name="Arial">
    <w:panose1 w:val="020B0604020202020204"/>
  </w:font>
  <w:font w:name="隶书">
    <w:panose1 w:val="02010509060101010101"/>
  </w:font>
  <w:font w:name="Helvetica">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822"/>
      <w:tabs>
        <w:tab w:val="center" w:pos="4153" w:leader="none"/>
        <w:tab w:val="right" w:pos="8306" w:leader="none"/>
      </w:tabs>
    </w:pPr>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w:rPr>
        <w:rFonts w:ascii="隶书" w:hAnsi="隶书" w:eastAsia="隶书" w:cs="隶书"/>
        <w:color w:val="000000"/>
        <w:spacing w:val="40"/>
        <w:sz w:val="22"/>
      </w:rPr>
      <w:t xml:space="preserve">盐城市政府采购（JSZC-320900-JZCG-G202</w:t>
    </w:r>
    <w:r>
      <w:rPr>
        <w:rFonts w:hint="eastAsia" w:ascii="隶书" w:hAnsi="隶书" w:eastAsia="隶书" w:cs="隶书"/>
        <w:color w:val="000000"/>
        <w:spacing w:val="40"/>
        <w:sz w:val="22"/>
        <w:lang w:val="en-US" w:eastAsia="zh-CN"/>
      </w:rPr>
      <w:t xml:space="preserve">5</w:t>
    </w:r>
    <w:r>
      <w:rPr>
        <w:rFonts w:ascii="隶书" w:hAnsi="隶书" w:eastAsia="隶书" w:cs="隶书"/>
        <w:color w:val="000000"/>
        <w:spacing w:val="40"/>
        <w:sz w:val="22"/>
      </w:rPr>
      <w:t xml:space="preserve">-</w:t>
    </w:r>
    <w:r>
      <w:rPr>
        <w:rFonts w:hint="eastAsia" w:ascii="隶书" w:hAnsi="隶书" w:eastAsia="隶书" w:cs="隶书"/>
        <w:color w:val="000000"/>
        <w:spacing w:val="40"/>
        <w:sz w:val="22"/>
        <w:lang w:val="en-US" w:eastAsia="zh-CN"/>
      </w:rPr>
      <w:t xml:space="preserve">0016</w:t>
    </w:r>
    <w:r>
      <w:rPr>
        <w:rFonts w:ascii="隶书" w:hAnsi="隶书" w:eastAsia="隶书" w:cs="隶书"/>
        <w:color w:val="000000"/>
        <w:spacing w:val="40"/>
        <w:sz w:val="22"/>
      </w:rPr>
      <w:t xml:space="preserve">）招标文件</w:t>
    </w:r>
    <w:r/>
  </w:p>
  <w:p>
    <w:pPr>
      <w:pStyle w:val="7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pStyle w:val="7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pStyle w:val="7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pStyle w:val="7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pStyle w:val="720"/>
      </w:pPr>
      <w:rPr>
        <w:rFonts w:hint="eastAsia"/>
      </w:rPr>
    </w:lvl>
    <w:lvl w:ilvl="1">
      <w:start w:val="1"/>
      <w:numFmt w:val="bullet"/>
      <w:isLgl w:val="false"/>
      <w:suff w:val="tab"/>
      <w:lvlText w:val="o"/>
      <w:lvlJc w:val="left"/>
      <w:pPr>
        <w:pStyle w:val="720"/>
        <w:ind w:left="1440" w:hanging="360"/>
      </w:pPr>
      <w:rPr>
        <w:rFonts w:ascii="Courier New" w:hAnsi="Courier New" w:eastAsia="Courier New" w:cs="Courier New"/>
      </w:rPr>
    </w:lvl>
    <w:lvl w:ilvl="2">
      <w:start w:val="1"/>
      <w:numFmt w:val="bullet"/>
      <w:isLgl w:val="false"/>
      <w:suff w:val="tab"/>
      <w:lvlText w:val="§"/>
      <w:lvlJc w:val="left"/>
      <w:pPr>
        <w:pStyle w:val="720"/>
        <w:ind w:left="2160" w:hanging="360"/>
      </w:pPr>
      <w:rPr>
        <w:rFonts w:ascii="Wingdings" w:hAnsi="Wingdings" w:eastAsia="Wingdings" w:cs="Wingdings"/>
      </w:rPr>
    </w:lvl>
    <w:lvl w:ilvl="3">
      <w:start w:val="1"/>
      <w:numFmt w:val="bullet"/>
      <w:isLgl w:val="false"/>
      <w:suff w:val="tab"/>
      <w:lvlText w:val="·"/>
      <w:lvlJc w:val="left"/>
      <w:pPr>
        <w:pStyle w:val="720"/>
        <w:ind w:left="2880" w:hanging="360"/>
      </w:pPr>
      <w:rPr>
        <w:rFonts w:ascii="Symbol" w:hAnsi="Symbol" w:eastAsia="Symbol" w:cs="Symbol"/>
      </w:rPr>
    </w:lvl>
    <w:lvl w:ilvl="4">
      <w:start w:val="1"/>
      <w:numFmt w:val="bullet"/>
      <w:isLgl w:val="false"/>
      <w:suff w:val="tab"/>
      <w:lvlText w:val="o"/>
      <w:lvlJc w:val="left"/>
      <w:pPr>
        <w:pStyle w:val="720"/>
        <w:ind w:left="3600" w:hanging="360"/>
      </w:pPr>
      <w:rPr>
        <w:rFonts w:ascii="Courier New" w:hAnsi="Courier New" w:eastAsia="Courier New" w:cs="Courier New"/>
      </w:rPr>
    </w:lvl>
    <w:lvl w:ilvl="5">
      <w:start w:val="1"/>
      <w:numFmt w:val="bullet"/>
      <w:isLgl w:val="false"/>
      <w:suff w:val="tab"/>
      <w:lvlText w:val="§"/>
      <w:lvlJc w:val="left"/>
      <w:pPr>
        <w:pStyle w:val="720"/>
        <w:ind w:left="4320" w:hanging="360"/>
      </w:pPr>
      <w:rPr>
        <w:rFonts w:ascii="Wingdings" w:hAnsi="Wingdings" w:eastAsia="Wingdings" w:cs="Wingdings"/>
      </w:rPr>
    </w:lvl>
    <w:lvl w:ilvl="6">
      <w:start w:val="1"/>
      <w:numFmt w:val="bullet"/>
      <w:isLgl w:val="false"/>
      <w:suff w:val="tab"/>
      <w:lvlText w:val="·"/>
      <w:lvlJc w:val="left"/>
      <w:pPr>
        <w:pStyle w:val="720"/>
        <w:ind w:left="5040" w:hanging="360"/>
      </w:pPr>
      <w:rPr>
        <w:rFonts w:ascii="Symbol" w:hAnsi="Symbol" w:eastAsia="Symbol" w:cs="Symbol"/>
      </w:rPr>
    </w:lvl>
    <w:lvl w:ilvl="7">
      <w:start w:val="1"/>
      <w:numFmt w:val="bullet"/>
      <w:isLgl w:val="false"/>
      <w:suff w:val="tab"/>
      <w:lvlText w:val="o"/>
      <w:lvlJc w:val="left"/>
      <w:pPr>
        <w:pStyle w:val="720"/>
        <w:ind w:left="5760" w:hanging="360"/>
      </w:pPr>
      <w:rPr>
        <w:rFonts w:ascii="Courier New" w:hAnsi="Courier New" w:eastAsia="Courier New" w:cs="Courier New"/>
      </w:rPr>
    </w:lvl>
    <w:lvl w:ilvl="8">
      <w:start w:val="1"/>
      <w:numFmt w:val="bullet"/>
      <w:isLgl w:val="false"/>
      <w:suff w:val="tab"/>
      <w:lvlText w:val="§"/>
      <w:lvlJc w:val="left"/>
      <w:pPr>
        <w:pStyle w:val="720"/>
        <w:ind w:left="6480" w:hanging="360"/>
      </w:pPr>
      <w:rPr>
        <w:rFonts w:ascii="Wingdings" w:hAnsi="Wingdings" w:eastAsia="Wingdings" w:cs="Wingdings"/>
      </w:rPr>
    </w:lvl>
  </w:abstractNum>
  <w:abstractNum w:abstractNumId="4">
    <w:multiLevelType w:val="hybridMultilevel"/>
    <w:lvl w:ilvl="0">
      <w:start w:val="3"/>
      <w:numFmt w:val="decimal"/>
      <w:isLgl w:val="false"/>
      <w:suff w:val="tab"/>
      <w:lvlText w:val="第%1条"/>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720"/>
    <w:next w:val="720"/>
    <w:link w:val="874"/>
    <w:uiPriority w:val="9"/>
    <w:qFormat/>
    <w:pPr>
      <w:keepLines/>
      <w:keepNext/>
      <w:spacing w:before="480" w:after="200"/>
      <w:outlineLvl w:val="0"/>
    </w:pPr>
    <w:rPr>
      <w:rFonts w:ascii="Arial" w:hAnsi="Arial" w:eastAsia="Arial" w:cs="Arial"/>
      <w:sz w:val="40"/>
      <w:szCs w:val="40"/>
    </w:rPr>
  </w:style>
  <w:style w:type="paragraph" w:styleId="691">
    <w:name w:val="Heading 2"/>
    <w:basedOn w:val="720"/>
    <w:next w:val="720"/>
    <w:link w:val="875"/>
    <w:uiPriority w:val="9"/>
    <w:unhideWhenUsed/>
    <w:qFormat/>
    <w:pPr>
      <w:keepLines/>
      <w:keepNext/>
      <w:spacing w:before="360" w:after="200"/>
      <w:outlineLvl w:val="1"/>
    </w:pPr>
    <w:rPr>
      <w:rFonts w:ascii="Arial" w:hAnsi="Arial" w:eastAsia="Arial" w:cs="Arial"/>
      <w:sz w:val="34"/>
    </w:rPr>
  </w:style>
  <w:style w:type="paragraph" w:styleId="692">
    <w:name w:val="Heading 3"/>
    <w:basedOn w:val="720"/>
    <w:next w:val="720"/>
    <w:link w:val="876"/>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720"/>
    <w:next w:val="720"/>
    <w:link w:val="877"/>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720"/>
    <w:next w:val="720"/>
    <w:link w:val="878"/>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720"/>
    <w:next w:val="720"/>
    <w:link w:val="879"/>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720"/>
    <w:next w:val="720"/>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720"/>
    <w:next w:val="720"/>
    <w:link w:val="881"/>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720"/>
    <w:next w:val="720"/>
    <w:link w:val="882"/>
    <w:uiPriority w:val="9"/>
    <w:unhideWhenUsed/>
    <w:qFormat/>
    <w:pPr>
      <w:keepLines/>
      <w:keepNext/>
      <w:spacing w:before="320" w:after="200"/>
      <w:outlineLvl w:val="8"/>
    </w:pPr>
    <w:rPr>
      <w:rFonts w:ascii="Arial" w:hAnsi="Arial" w:eastAsia="Arial" w:cs="Arial"/>
      <w:i/>
      <w:iCs/>
      <w:sz w:val="21"/>
      <w:szCs w:val="21"/>
    </w:rPr>
  </w:style>
  <w:style w:type="paragraph" w:styleId="699">
    <w:name w:val="Title"/>
    <w:basedOn w:val="720"/>
    <w:next w:val="720"/>
    <w:link w:val="883"/>
    <w:uiPriority w:val="10"/>
    <w:qFormat/>
    <w:pPr>
      <w:contextualSpacing/>
      <w:spacing w:before="300" w:after="200"/>
    </w:pPr>
    <w:rPr>
      <w:sz w:val="48"/>
      <w:szCs w:val="48"/>
    </w:rPr>
  </w:style>
  <w:style w:type="paragraph" w:styleId="700">
    <w:name w:val="Subtitle"/>
    <w:basedOn w:val="720"/>
    <w:next w:val="720"/>
    <w:link w:val="884"/>
    <w:uiPriority w:val="11"/>
    <w:qFormat/>
    <w:pPr>
      <w:spacing w:before="200" w:after="200"/>
    </w:pPr>
    <w:rPr>
      <w:sz w:val="24"/>
      <w:szCs w:val="24"/>
    </w:rPr>
  </w:style>
  <w:style w:type="paragraph" w:styleId="701">
    <w:name w:val="Header"/>
    <w:basedOn w:val="720"/>
    <w:link w:val="887"/>
    <w:uiPriority w:val="99"/>
    <w:unhideWhenUsed/>
    <w:pPr>
      <w:spacing w:after="0" w:line="240" w:lineRule="auto"/>
      <w:tabs>
        <w:tab w:val="center" w:pos="7143" w:leader="none"/>
        <w:tab w:val="right" w:pos="14287" w:leader="none"/>
      </w:tabs>
    </w:pPr>
  </w:style>
  <w:style w:type="paragraph" w:styleId="702">
    <w:name w:val="Footer"/>
    <w:basedOn w:val="720"/>
    <w:link w:val="888"/>
    <w:uiPriority w:val="99"/>
    <w:unhideWhenUsed/>
    <w:pPr>
      <w:spacing w:after="0" w:line="240" w:lineRule="auto"/>
      <w:tabs>
        <w:tab w:val="center" w:pos="7143" w:leader="none"/>
        <w:tab w:val="right" w:pos="14287" w:leader="none"/>
      </w:tabs>
    </w:pPr>
  </w:style>
  <w:style w:type="paragraph" w:styleId="703">
    <w:name w:val="Caption"/>
    <w:basedOn w:val="720"/>
    <w:next w:val="720"/>
    <w:uiPriority w:val="35"/>
    <w:semiHidden/>
    <w:unhideWhenUsed/>
    <w:qFormat/>
    <w:pPr>
      <w:spacing w:line="276" w:lineRule="auto"/>
    </w:pPr>
    <w:rPr>
      <w:b/>
      <w:bCs/>
      <w:color w:val="4f81bd" w:themeColor="accent1"/>
      <w:sz w:val="18"/>
      <w:szCs w:val="18"/>
    </w:rPr>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Hyperlink"/>
    <w:uiPriority w:val="99"/>
    <w:unhideWhenUsed/>
    <w:rPr>
      <w:color w:val="0000ff" w:themeColor="hyperlink"/>
      <w:u w:val="single"/>
    </w:rPr>
  </w:style>
  <w:style w:type="paragraph" w:styleId="706">
    <w:name w:val="footnote text"/>
    <w:basedOn w:val="720"/>
    <w:link w:val="889"/>
    <w:uiPriority w:val="99"/>
    <w:semiHidden/>
    <w:unhideWhenUsed/>
    <w:pPr>
      <w:spacing w:after="40" w:line="240" w:lineRule="auto"/>
    </w:pPr>
    <w:rPr>
      <w:sz w:val="18"/>
    </w:rPr>
  </w:style>
  <w:style w:type="character" w:styleId="707">
    <w:name w:val="footnote reference"/>
    <w:uiPriority w:val="99"/>
    <w:unhideWhenUsed/>
    <w:rPr>
      <w:vertAlign w:val="superscript"/>
    </w:rPr>
  </w:style>
  <w:style w:type="paragraph" w:styleId="708">
    <w:name w:val="endnote text"/>
    <w:basedOn w:val="720"/>
    <w:link w:val="890"/>
    <w:uiPriority w:val="99"/>
    <w:semiHidden/>
    <w:unhideWhenUsed/>
    <w:pPr>
      <w:spacing w:after="0" w:line="240" w:lineRule="auto"/>
    </w:pPr>
    <w:rPr>
      <w:sz w:val="20"/>
    </w:rPr>
  </w:style>
  <w:style w:type="character" w:styleId="709">
    <w:name w:val="endnote reference"/>
    <w:uiPriority w:val="99"/>
    <w:semiHidden/>
    <w:unhideWhenUsed/>
    <w:rPr>
      <w:vertAlign w:val="superscript"/>
    </w:rPr>
  </w:style>
  <w:style w:type="paragraph" w:styleId="710">
    <w:name w:val="toc 1"/>
    <w:basedOn w:val="720"/>
    <w:next w:val="720"/>
    <w:uiPriority w:val="39"/>
    <w:unhideWhenUsed/>
    <w:pPr>
      <w:ind w:left="0" w:right="0" w:firstLine="0"/>
      <w:spacing w:after="57"/>
    </w:pPr>
  </w:style>
  <w:style w:type="paragraph" w:styleId="711">
    <w:name w:val="toc 2"/>
    <w:basedOn w:val="720"/>
    <w:next w:val="720"/>
    <w:uiPriority w:val="39"/>
    <w:unhideWhenUsed/>
    <w:pPr>
      <w:ind w:left="283" w:right="0" w:firstLine="0"/>
      <w:spacing w:after="57"/>
    </w:pPr>
  </w:style>
  <w:style w:type="paragraph" w:styleId="712">
    <w:name w:val="toc 3"/>
    <w:basedOn w:val="720"/>
    <w:next w:val="720"/>
    <w:uiPriority w:val="39"/>
    <w:unhideWhenUsed/>
    <w:pPr>
      <w:ind w:left="567" w:right="0" w:firstLine="0"/>
      <w:spacing w:after="57"/>
    </w:pPr>
  </w:style>
  <w:style w:type="paragraph" w:styleId="713">
    <w:name w:val="toc 4"/>
    <w:basedOn w:val="720"/>
    <w:next w:val="720"/>
    <w:uiPriority w:val="39"/>
    <w:unhideWhenUsed/>
    <w:pPr>
      <w:ind w:left="850" w:right="0" w:firstLine="0"/>
      <w:spacing w:after="57"/>
    </w:pPr>
  </w:style>
  <w:style w:type="paragraph" w:styleId="714">
    <w:name w:val="toc 5"/>
    <w:basedOn w:val="720"/>
    <w:next w:val="720"/>
    <w:uiPriority w:val="39"/>
    <w:unhideWhenUsed/>
    <w:pPr>
      <w:ind w:left="1134" w:right="0" w:firstLine="0"/>
      <w:spacing w:after="57"/>
    </w:pPr>
  </w:style>
  <w:style w:type="paragraph" w:styleId="715">
    <w:name w:val="toc 6"/>
    <w:basedOn w:val="720"/>
    <w:next w:val="720"/>
    <w:uiPriority w:val="39"/>
    <w:unhideWhenUsed/>
    <w:pPr>
      <w:ind w:left="1417" w:right="0" w:firstLine="0"/>
      <w:spacing w:after="57"/>
    </w:pPr>
  </w:style>
  <w:style w:type="paragraph" w:styleId="716">
    <w:name w:val="toc 7"/>
    <w:basedOn w:val="720"/>
    <w:next w:val="720"/>
    <w:uiPriority w:val="39"/>
    <w:unhideWhenUsed/>
    <w:pPr>
      <w:ind w:left="1701" w:right="0" w:firstLine="0"/>
      <w:spacing w:after="57"/>
    </w:pPr>
  </w:style>
  <w:style w:type="paragraph" w:styleId="717">
    <w:name w:val="toc 8"/>
    <w:basedOn w:val="720"/>
    <w:next w:val="720"/>
    <w:uiPriority w:val="39"/>
    <w:unhideWhenUsed/>
    <w:pPr>
      <w:ind w:left="1984" w:right="0" w:firstLine="0"/>
      <w:spacing w:after="57"/>
    </w:pPr>
  </w:style>
  <w:style w:type="paragraph" w:styleId="718">
    <w:name w:val="toc 9"/>
    <w:basedOn w:val="720"/>
    <w:next w:val="720"/>
    <w:uiPriority w:val="39"/>
    <w:unhideWhenUsed/>
    <w:pPr>
      <w:ind w:left="2268" w:right="0" w:firstLine="0"/>
      <w:spacing w:after="57"/>
    </w:pPr>
  </w:style>
  <w:style w:type="paragraph" w:styleId="719">
    <w:name w:val="table of figures"/>
    <w:basedOn w:val="720"/>
    <w:next w:val="720"/>
    <w:uiPriority w:val="99"/>
    <w:unhideWhenUsed/>
    <w:pPr>
      <w:spacing w:after="0" w:afterAutospacing="0"/>
    </w:pPr>
  </w:style>
  <w:style w:type="paragraph" w:styleId="720" w:default="1">
    <w:name w:val="Normal"/>
    <w:next w:val="732"/>
    <w:link w:val="720"/>
    <w:qFormat/>
    <w:pPr>
      <w:jc w:val="both"/>
      <w:widowControl w:val="off"/>
    </w:pPr>
    <w:rPr>
      <w:rFonts w:ascii="Calibri" w:hAnsi="Calibri" w:eastAsia="宋体" w:cs="Times New Roman"/>
      <w:sz w:val="21"/>
      <w:szCs w:val="24"/>
    </w:rPr>
  </w:style>
  <w:style w:type="paragraph" w:styleId="721">
    <w:name w:val="标题 1"/>
    <w:basedOn w:val="720"/>
    <w:next w:val="720"/>
    <w:link w:val="738"/>
    <w:uiPriority w:val="9"/>
    <w:qFormat/>
    <w:pPr>
      <w:keepLines/>
      <w:keepNext/>
      <w:spacing w:before="340" w:after="330" w:line="578" w:lineRule="auto"/>
      <w:outlineLvl w:val="0"/>
    </w:pPr>
    <w:rPr>
      <w:b/>
      <w:bCs/>
      <w:sz w:val="44"/>
      <w:szCs w:val="44"/>
    </w:rPr>
  </w:style>
  <w:style w:type="paragraph" w:styleId="722">
    <w:name w:val="标题 2"/>
    <w:basedOn w:val="720"/>
    <w:next w:val="720"/>
    <w:link w:val="720"/>
    <w:uiPriority w:val="9"/>
    <w:unhideWhenUsed/>
    <w:qFormat/>
    <w:pPr>
      <w:keepLines/>
      <w:keepNext/>
      <w:spacing w:before="360" w:after="200"/>
      <w:outlineLvl w:val="1"/>
    </w:pPr>
    <w:rPr>
      <w:rFonts w:ascii="Arial" w:hAnsi="Arial" w:eastAsia="Arial" w:cs="Arial"/>
      <w:sz w:val="34"/>
    </w:rPr>
  </w:style>
  <w:style w:type="paragraph" w:styleId="723">
    <w:name w:val="标题 3"/>
    <w:basedOn w:val="720"/>
    <w:next w:val="720"/>
    <w:link w:val="720"/>
    <w:uiPriority w:val="9"/>
    <w:unhideWhenUsed/>
    <w:qFormat/>
    <w:pPr>
      <w:keepLines/>
      <w:keepNext/>
      <w:spacing w:before="320" w:after="200"/>
      <w:outlineLvl w:val="2"/>
    </w:pPr>
    <w:rPr>
      <w:rFonts w:ascii="Arial" w:hAnsi="Arial" w:eastAsia="Arial" w:cs="Arial"/>
      <w:sz w:val="30"/>
      <w:szCs w:val="30"/>
    </w:rPr>
  </w:style>
  <w:style w:type="paragraph" w:styleId="724">
    <w:name w:val="标题 4"/>
    <w:basedOn w:val="720"/>
    <w:next w:val="720"/>
    <w:link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标题 5"/>
    <w:basedOn w:val="720"/>
    <w:next w:val="720"/>
    <w:link w:val="720"/>
    <w:uiPriority w:val="9"/>
    <w:unhideWhenUsed/>
    <w:qFormat/>
    <w:pPr>
      <w:keepLines/>
      <w:keepNext/>
      <w:spacing w:before="320" w:after="200"/>
      <w:outlineLvl w:val="4"/>
    </w:pPr>
    <w:rPr>
      <w:rFonts w:ascii="Arial" w:hAnsi="Arial" w:eastAsia="Arial" w:cs="Arial"/>
      <w:b/>
      <w:bCs/>
      <w:sz w:val="24"/>
      <w:szCs w:val="24"/>
    </w:rPr>
  </w:style>
  <w:style w:type="paragraph" w:styleId="726">
    <w:name w:val="标题 6"/>
    <w:basedOn w:val="720"/>
    <w:next w:val="720"/>
    <w:link w:val="720"/>
    <w:uiPriority w:val="9"/>
    <w:unhideWhenUsed/>
    <w:qFormat/>
    <w:pPr>
      <w:keepLines/>
      <w:keepNext/>
      <w:spacing w:before="320" w:after="200"/>
      <w:outlineLvl w:val="5"/>
    </w:pPr>
    <w:rPr>
      <w:rFonts w:ascii="Arial" w:hAnsi="Arial" w:eastAsia="Arial" w:cs="Arial"/>
      <w:b/>
      <w:bCs/>
      <w:sz w:val="22"/>
      <w:szCs w:val="22"/>
    </w:rPr>
  </w:style>
  <w:style w:type="paragraph" w:styleId="727">
    <w:name w:val="标题 7"/>
    <w:basedOn w:val="720"/>
    <w:next w:val="720"/>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标题 8"/>
    <w:basedOn w:val="720"/>
    <w:next w:val="720"/>
    <w:link w:val="720"/>
    <w:uiPriority w:val="9"/>
    <w:unhideWhenUsed/>
    <w:qFormat/>
    <w:pPr>
      <w:keepLines/>
      <w:keepNext/>
      <w:spacing w:before="320" w:after="200"/>
      <w:outlineLvl w:val="7"/>
    </w:pPr>
    <w:rPr>
      <w:rFonts w:ascii="Arial" w:hAnsi="Arial" w:eastAsia="Arial" w:cs="Arial"/>
      <w:i/>
      <w:iCs/>
      <w:sz w:val="22"/>
      <w:szCs w:val="22"/>
    </w:rPr>
  </w:style>
  <w:style w:type="paragraph" w:styleId="729">
    <w:name w:val="标题 9"/>
    <w:basedOn w:val="720"/>
    <w:next w:val="720"/>
    <w:link w:val="720"/>
    <w:uiPriority w:val="9"/>
    <w:unhideWhenUsed/>
    <w:qFormat/>
    <w:pPr>
      <w:keepLines/>
      <w:keepNext/>
      <w:spacing w:before="320" w:after="200"/>
      <w:outlineLvl w:val="8"/>
    </w:pPr>
    <w:rPr>
      <w:rFonts w:ascii="Arial" w:hAnsi="Arial" w:eastAsia="Arial" w:cs="Arial"/>
      <w:i/>
      <w:iCs/>
      <w:sz w:val="21"/>
      <w:szCs w:val="21"/>
    </w:rPr>
  </w:style>
  <w:style w:type="character" w:styleId="730">
    <w:name w:val="默认段落字体"/>
    <w:next w:val="730"/>
    <w:link w:val="720"/>
    <w:uiPriority w:val="1"/>
    <w:unhideWhenUsed/>
    <w:qFormat/>
  </w:style>
  <w:style w:type="table" w:styleId="731">
    <w:name w:val="普通表格"/>
    <w:next w:val="731"/>
    <w:link w:val="720"/>
    <w:uiPriority w:val="99"/>
    <w:unhideWhenUsed/>
    <w:qFormat/>
    <w:tblPr/>
  </w:style>
  <w:style w:type="paragraph" w:styleId="732">
    <w:name w:val="正文首行缩进 2"/>
    <w:basedOn w:val="733"/>
    <w:next w:val="737"/>
    <w:link w:val="73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paragraph" w:styleId="733">
    <w:name w:val="正文文本缩进"/>
    <w:basedOn w:val="720"/>
    <w:next w:val="735"/>
    <w:link w:val="734"/>
    <w:qFormat/>
    <w:pPr>
      <w:ind w:firstLine="645"/>
    </w:pPr>
    <w:rPr>
      <w:rFonts w:ascii="楷体_GB2312" w:eastAsia="楷体_GB2312"/>
      <w:sz w:val="32"/>
      <w:szCs w:val="32"/>
    </w:rPr>
  </w:style>
  <w:style w:type="character" w:styleId="734">
    <w:name w:val="正文文本缩进 Char"/>
    <w:basedOn w:val="730"/>
    <w:next w:val="734"/>
    <w:link w:val="733"/>
    <w:qFormat/>
    <w:rPr>
      <w:rFonts w:ascii="楷体_GB2312" w:eastAsia="楷体_GB2312"/>
      <w:sz w:val="32"/>
      <w:szCs w:val="32"/>
    </w:rPr>
  </w:style>
  <w:style w:type="paragraph" w:styleId="735">
    <w:name w:val="寄信人地址"/>
    <w:basedOn w:val="720"/>
    <w:next w:val="735"/>
    <w:link w:val="720"/>
    <w:qFormat/>
    <w:pPr>
      <w:ind w:firstLine="420"/>
      <w:jc w:val="left"/>
      <w:spacing w:line="360" w:lineRule="auto"/>
    </w:pPr>
    <w:rPr>
      <w:rFonts w:ascii="Arial" w:hAnsi="Arial" w:eastAsia="宋体" w:cs="宋体"/>
      <w:color w:val="000000"/>
      <w:sz w:val="22"/>
      <w:szCs w:val="21"/>
    </w:rPr>
  </w:style>
  <w:style w:type="character" w:styleId="736">
    <w:name w:val="正文首行缩进 2 Char"/>
    <w:basedOn w:val="734"/>
    <w:next w:val="736"/>
    <w:link w:val="732"/>
    <w:uiPriority w:val="99"/>
    <w:qFormat/>
    <w:rPr>
      <w:rFonts w:ascii="楷体_GB2312" w:eastAsia="楷体_GB2312"/>
      <w:sz w:val="32"/>
      <w:szCs w:val="32"/>
    </w:rPr>
  </w:style>
  <w:style w:type="paragraph" w:styleId="737">
    <w:name w:val="正文缩进"/>
    <w:basedOn w:val="720"/>
    <w:next w:val="737"/>
    <w:link w:val="720"/>
    <w:qFormat/>
    <w:pPr>
      <w:ind w:firstLine="420"/>
      <w:jc w:val="left"/>
      <w:spacing w:line="360" w:lineRule="auto"/>
    </w:pPr>
    <w:rPr>
      <w:rFonts w:ascii="宋体" w:hAnsi="宋体" w:eastAsia="宋体" w:cs="宋体"/>
      <w:color w:val="000000"/>
      <w:sz w:val="24"/>
      <w:szCs w:val="21"/>
    </w:rPr>
  </w:style>
  <w:style w:type="character" w:styleId="738">
    <w:name w:val="标题 1 Char1"/>
    <w:basedOn w:val="730"/>
    <w:next w:val="738"/>
    <w:link w:val="721"/>
    <w:uiPriority w:val="9"/>
    <w:qFormat/>
    <w:rPr>
      <w:b/>
      <w:bCs/>
      <w:sz w:val="44"/>
      <w:szCs w:val="44"/>
    </w:rPr>
  </w:style>
  <w:style w:type="paragraph" w:styleId="739">
    <w:name w:val="目录 7"/>
    <w:basedOn w:val="720"/>
    <w:next w:val="720"/>
    <w:link w:val="720"/>
    <w:uiPriority w:val="39"/>
    <w:unhideWhenUsed/>
    <w:qFormat/>
    <w:pPr>
      <w:ind w:left="1701" w:firstLine="420"/>
      <w:jc w:val="left"/>
      <w:spacing w:after="57" w:line="360" w:lineRule="auto"/>
    </w:pPr>
    <w:rPr>
      <w:rFonts w:ascii="宋体" w:hAnsi="宋体" w:eastAsia="宋体" w:cs="宋体"/>
      <w:color w:val="000000"/>
      <w:sz w:val="22"/>
      <w:szCs w:val="21"/>
    </w:rPr>
  </w:style>
  <w:style w:type="paragraph" w:styleId="740">
    <w:name w:val="题注"/>
    <w:basedOn w:val="720"/>
    <w:next w:val="720"/>
    <w:link w:val="720"/>
    <w:uiPriority w:val="35"/>
    <w:unhideWhenUsed/>
    <w:qFormat/>
    <w:pPr>
      <w:spacing w:line="276" w:lineRule="auto"/>
    </w:pPr>
    <w:rPr>
      <w:b/>
      <w:bCs/>
      <w:color w:val="5b9bd5"/>
      <w:sz w:val="18"/>
      <w:szCs w:val="18"/>
    </w:rPr>
  </w:style>
  <w:style w:type="paragraph" w:styleId="741">
    <w:name w:val="批注文字"/>
    <w:basedOn w:val="720"/>
    <w:next w:val="741"/>
    <w:link w:val="742"/>
    <w:qFormat/>
    <w:pPr>
      <w:jc w:val="left"/>
      <w:spacing w:line="300" w:lineRule="auto"/>
    </w:pPr>
    <w:rPr>
      <w:rFonts w:ascii="Calibri" w:hAnsi="Calibri" w:eastAsia="宋体" w:cs="Calibri"/>
      <w:sz w:val="20"/>
      <w:szCs w:val="21"/>
    </w:rPr>
  </w:style>
  <w:style w:type="character" w:styleId="742">
    <w:name w:val="批注文字 Char"/>
    <w:basedOn w:val="730"/>
    <w:next w:val="742"/>
    <w:link w:val="741"/>
    <w:qFormat/>
    <w:rPr>
      <w:rFonts w:ascii="Calibri" w:hAnsi="Calibri" w:eastAsia="宋体" w:cs="Calibri"/>
      <w:szCs w:val="21"/>
    </w:rPr>
  </w:style>
  <w:style w:type="paragraph" w:styleId="743">
    <w:name w:val="正文文本"/>
    <w:basedOn w:val="720"/>
    <w:next w:val="743"/>
    <w:link w:val="744"/>
    <w:uiPriority w:val="99"/>
    <w:unhideWhenUsed/>
    <w:qFormat/>
    <w:pPr>
      <w:spacing w:after="120"/>
    </w:pPr>
  </w:style>
  <w:style w:type="character" w:styleId="744">
    <w:name w:val="正文文本 Char"/>
    <w:basedOn w:val="730"/>
    <w:next w:val="744"/>
    <w:link w:val="743"/>
    <w:uiPriority w:val="99"/>
    <w:semiHidden/>
    <w:qFormat/>
    <w:rPr>
      <w:sz w:val="21"/>
      <w:szCs w:val="24"/>
    </w:rPr>
  </w:style>
  <w:style w:type="paragraph" w:styleId="745">
    <w:name w:val="文本块"/>
    <w:basedOn w:val="720"/>
    <w:next w:val="745"/>
    <w:link w:val="720"/>
    <w:uiPriority w:val="99"/>
    <w:qFormat/>
    <w:pPr>
      <w:ind w:left="560" w:right="-512"/>
    </w:pPr>
    <w:rPr>
      <w:rFonts w:ascii="幼圆" w:hAnsi="Times New Roman" w:eastAsia="幼圆" w:cs="Garamond"/>
      <w:sz w:val="24"/>
      <w:szCs w:val="21"/>
    </w:rPr>
  </w:style>
  <w:style w:type="paragraph" w:styleId="746">
    <w:name w:val="目录 5"/>
    <w:basedOn w:val="720"/>
    <w:next w:val="720"/>
    <w:link w:val="720"/>
    <w:uiPriority w:val="39"/>
    <w:unhideWhenUsed/>
    <w:qFormat/>
    <w:pPr>
      <w:ind w:left="1134" w:firstLine="420"/>
      <w:jc w:val="left"/>
      <w:spacing w:after="57" w:line="360" w:lineRule="auto"/>
    </w:pPr>
    <w:rPr>
      <w:rFonts w:ascii="宋体" w:hAnsi="宋体" w:eastAsia="宋体" w:cs="宋体"/>
      <w:color w:val="000000"/>
      <w:sz w:val="22"/>
      <w:szCs w:val="21"/>
    </w:rPr>
  </w:style>
  <w:style w:type="paragraph" w:styleId="747">
    <w:name w:val="目录 3"/>
    <w:basedOn w:val="720"/>
    <w:next w:val="720"/>
    <w:link w:val="720"/>
    <w:uiPriority w:val="39"/>
    <w:unhideWhenUsed/>
    <w:qFormat/>
    <w:pPr>
      <w:ind w:left="567" w:firstLine="420"/>
      <w:jc w:val="left"/>
      <w:spacing w:after="57" w:line="360" w:lineRule="auto"/>
    </w:pPr>
    <w:rPr>
      <w:rFonts w:ascii="宋体" w:hAnsi="宋体" w:eastAsia="宋体" w:cs="宋体"/>
      <w:color w:val="000000"/>
      <w:sz w:val="22"/>
      <w:szCs w:val="21"/>
    </w:rPr>
  </w:style>
  <w:style w:type="paragraph" w:styleId="748">
    <w:name w:val="纯文本"/>
    <w:basedOn w:val="720"/>
    <w:next w:val="748"/>
    <w:link w:val="749"/>
    <w:uiPriority w:val="99"/>
    <w:qFormat/>
    <w:pPr>
      <w:ind w:firstLine="420"/>
      <w:jc w:val="left"/>
      <w:spacing w:line="360" w:lineRule="auto"/>
    </w:pPr>
    <w:rPr>
      <w:rFonts w:ascii="宋体" w:hAnsi="Courier New" w:eastAsia="楷体_GB2312" w:cs="宋体"/>
      <w:color w:val="000000"/>
      <w:sz w:val="28"/>
      <w:szCs w:val="20"/>
    </w:rPr>
  </w:style>
  <w:style w:type="character" w:styleId="749">
    <w:name w:val="纯文本 Char"/>
    <w:basedOn w:val="730"/>
    <w:next w:val="749"/>
    <w:link w:val="748"/>
    <w:uiPriority w:val="99"/>
    <w:qFormat/>
    <w:rPr>
      <w:rFonts w:ascii="宋体" w:hAnsi="Courier New" w:eastAsia="楷体_GB2312" w:cs="宋体"/>
      <w:color w:val="000000"/>
      <w:sz w:val="28"/>
    </w:rPr>
  </w:style>
  <w:style w:type="paragraph" w:styleId="750">
    <w:name w:val="目录 8"/>
    <w:basedOn w:val="720"/>
    <w:next w:val="720"/>
    <w:link w:val="720"/>
    <w:uiPriority w:val="39"/>
    <w:unhideWhenUsed/>
    <w:qFormat/>
    <w:pPr>
      <w:ind w:left="1984" w:firstLine="420"/>
      <w:jc w:val="left"/>
      <w:spacing w:after="57" w:line="360" w:lineRule="auto"/>
    </w:pPr>
    <w:rPr>
      <w:rFonts w:ascii="宋体" w:hAnsi="宋体" w:eastAsia="宋体" w:cs="宋体"/>
      <w:color w:val="000000"/>
      <w:sz w:val="22"/>
      <w:szCs w:val="21"/>
    </w:rPr>
  </w:style>
  <w:style w:type="paragraph" w:styleId="751">
    <w:name w:val="尾注文本"/>
    <w:basedOn w:val="720"/>
    <w:next w:val="751"/>
    <w:link w:val="752"/>
    <w:uiPriority w:val="99"/>
    <w:unhideWhenUsed/>
    <w:qFormat/>
    <w:pPr>
      <w:ind w:firstLine="420"/>
      <w:jc w:val="left"/>
      <w:spacing w:line="360" w:lineRule="auto"/>
    </w:pPr>
    <w:rPr>
      <w:rFonts w:ascii="宋体" w:hAnsi="宋体" w:eastAsia="宋体" w:cs="宋体"/>
      <w:color w:val="000000"/>
      <w:sz w:val="20"/>
      <w:szCs w:val="21"/>
    </w:rPr>
  </w:style>
  <w:style w:type="character" w:styleId="752">
    <w:name w:val="尾注文本 Char"/>
    <w:basedOn w:val="730"/>
    <w:next w:val="752"/>
    <w:link w:val="751"/>
    <w:uiPriority w:val="99"/>
    <w:qFormat/>
    <w:rPr>
      <w:rFonts w:ascii="宋体" w:hAnsi="宋体" w:eastAsia="宋体" w:cs="宋体"/>
      <w:color w:val="000000"/>
      <w:szCs w:val="21"/>
    </w:rPr>
  </w:style>
  <w:style w:type="paragraph" w:styleId="753">
    <w:name w:val="批注框文本"/>
    <w:basedOn w:val="720"/>
    <w:next w:val="753"/>
    <w:link w:val="754"/>
    <w:qFormat/>
    <w:pPr>
      <w:spacing w:line="300" w:lineRule="auto"/>
    </w:pPr>
    <w:rPr>
      <w:rFonts w:ascii="Calibri" w:hAnsi="Calibri" w:eastAsia="宋体" w:cs="Calibri"/>
      <w:sz w:val="18"/>
      <w:szCs w:val="18"/>
    </w:rPr>
  </w:style>
  <w:style w:type="character" w:styleId="754">
    <w:name w:val="批注框文本 Char"/>
    <w:basedOn w:val="730"/>
    <w:next w:val="754"/>
    <w:link w:val="753"/>
    <w:qFormat/>
    <w:rPr>
      <w:rFonts w:ascii="Calibri" w:hAnsi="Calibri" w:eastAsia="宋体" w:cs="Calibri"/>
      <w:sz w:val="18"/>
      <w:szCs w:val="18"/>
    </w:rPr>
  </w:style>
  <w:style w:type="paragraph" w:styleId="755">
    <w:name w:val="页脚"/>
    <w:basedOn w:val="720"/>
    <w:next w:val="755"/>
    <w:link w:val="756"/>
    <w:unhideWhenUsed/>
    <w:qFormat/>
    <w:pPr>
      <w:jc w:val="left"/>
      <w:tabs>
        <w:tab w:val="center" w:pos="4153" w:leader="none"/>
        <w:tab w:val="right" w:pos="8306" w:leader="none"/>
      </w:tabs>
    </w:pPr>
    <w:rPr>
      <w:sz w:val="18"/>
      <w:szCs w:val="18"/>
    </w:rPr>
  </w:style>
  <w:style w:type="character" w:styleId="756">
    <w:name w:val="页脚 Char1"/>
    <w:basedOn w:val="730"/>
    <w:next w:val="756"/>
    <w:link w:val="755"/>
    <w:uiPriority w:val="99"/>
    <w:qFormat/>
    <w:rPr>
      <w:sz w:val="18"/>
      <w:szCs w:val="18"/>
    </w:rPr>
  </w:style>
  <w:style w:type="paragraph" w:styleId="757">
    <w:name w:val="页眉"/>
    <w:basedOn w:val="720"/>
    <w:next w:val="757"/>
    <w:link w:val="758"/>
    <w:unhideWhenUsed/>
    <w:qFormat/>
    <w:pPr>
      <w:jc w:val="center"/>
      <w:tabs>
        <w:tab w:val="center" w:pos="4153" w:leader="none"/>
        <w:tab w:val="right" w:pos="8306" w:leader="none"/>
      </w:tabs>
      <w:pBdr>
        <w:bottom w:val="single" w:color="000000" w:sz="6" w:space="1"/>
      </w:pBdr>
    </w:pPr>
    <w:rPr>
      <w:sz w:val="18"/>
      <w:szCs w:val="18"/>
    </w:rPr>
  </w:style>
  <w:style w:type="character" w:styleId="758">
    <w:name w:val="页眉 Char1"/>
    <w:basedOn w:val="730"/>
    <w:next w:val="758"/>
    <w:link w:val="757"/>
    <w:uiPriority w:val="99"/>
    <w:qFormat/>
    <w:rPr>
      <w:sz w:val="18"/>
      <w:szCs w:val="18"/>
    </w:rPr>
  </w:style>
  <w:style w:type="paragraph" w:styleId="759">
    <w:name w:val="目录 1"/>
    <w:basedOn w:val="720"/>
    <w:next w:val="720"/>
    <w:link w:val="720"/>
    <w:uiPriority w:val="39"/>
    <w:unhideWhenUsed/>
    <w:qFormat/>
    <w:pPr>
      <w:ind w:firstLine="420"/>
      <w:jc w:val="left"/>
      <w:spacing w:after="57" w:line="360" w:lineRule="auto"/>
    </w:pPr>
    <w:rPr>
      <w:rFonts w:ascii="宋体" w:hAnsi="宋体" w:eastAsia="宋体" w:cs="宋体"/>
      <w:color w:val="000000"/>
      <w:sz w:val="22"/>
      <w:szCs w:val="21"/>
    </w:rPr>
  </w:style>
  <w:style w:type="paragraph" w:styleId="760">
    <w:name w:val="目录 4"/>
    <w:basedOn w:val="720"/>
    <w:next w:val="720"/>
    <w:link w:val="720"/>
    <w:uiPriority w:val="39"/>
    <w:unhideWhenUsed/>
    <w:qFormat/>
    <w:pPr>
      <w:ind w:left="850" w:firstLine="420"/>
      <w:jc w:val="left"/>
      <w:spacing w:after="57" w:line="360" w:lineRule="auto"/>
    </w:pPr>
    <w:rPr>
      <w:rFonts w:ascii="宋体" w:hAnsi="宋体" w:eastAsia="宋体" w:cs="宋体"/>
      <w:color w:val="000000"/>
      <w:sz w:val="22"/>
      <w:szCs w:val="21"/>
    </w:rPr>
  </w:style>
  <w:style w:type="paragraph" w:styleId="761">
    <w:name w:val="副标题"/>
    <w:basedOn w:val="720"/>
    <w:next w:val="720"/>
    <w:link w:val="762"/>
    <w:uiPriority w:val="11"/>
    <w:qFormat/>
    <w:pPr>
      <w:ind w:firstLine="420"/>
      <w:jc w:val="left"/>
      <w:spacing w:before="200" w:after="200" w:line="360" w:lineRule="auto"/>
    </w:pPr>
    <w:rPr>
      <w:rFonts w:ascii="宋体" w:hAnsi="宋体" w:eastAsia="宋体" w:cs="宋体"/>
      <w:color w:val="000000"/>
      <w:sz w:val="24"/>
      <w:szCs w:val="21"/>
    </w:rPr>
  </w:style>
  <w:style w:type="character" w:styleId="762">
    <w:name w:val="副标题 Char"/>
    <w:basedOn w:val="730"/>
    <w:next w:val="762"/>
    <w:link w:val="761"/>
    <w:uiPriority w:val="11"/>
    <w:qFormat/>
    <w:rPr>
      <w:rFonts w:ascii="宋体" w:hAnsi="宋体" w:eastAsia="宋体" w:cs="宋体"/>
      <w:color w:val="000000"/>
      <w:sz w:val="24"/>
      <w:szCs w:val="21"/>
    </w:rPr>
  </w:style>
  <w:style w:type="paragraph" w:styleId="763">
    <w:name w:val="脚注文本"/>
    <w:basedOn w:val="720"/>
    <w:next w:val="763"/>
    <w:link w:val="764"/>
    <w:uiPriority w:val="99"/>
    <w:unhideWhenUsed/>
    <w:qFormat/>
    <w:pPr>
      <w:ind w:firstLine="420"/>
      <w:jc w:val="left"/>
      <w:spacing w:after="40" w:line="360" w:lineRule="auto"/>
    </w:pPr>
    <w:rPr>
      <w:rFonts w:ascii="宋体" w:hAnsi="宋体" w:eastAsia="宋体" w:cs="宋体"/>
      <w:color w:val="000000"/>
      <w:sz w:val="18"/>
      <w:szCs w:val="21"/>
    </w:rPr>
  </w:style>
  <w:style w:type="character" w:styleId="764">
    <w:name w:val="脚注文本 Char"/>
    <w:basedOn w:val="730"/>
    <w:next w:val="764"/>
    <w:link w:val="763"/>
    <w:uiPriority w:val="99"/>
    <w:qFormat/>
    <w:rPr>
      <w:rFonts w:ascii="宋体" w:hAnsi="宋体" w:eastAsia="宋体" w:cs="宋体"/>
      <w:color w:val="000000"/>
      <w:sz w:val="18"/>
      <w:szCs w:val="21"/>
    </w:rPr>
  </w:style>
  <w:style w:type="paragraph" w:styleId="765">
    <w:name w:val="目录 6"/>
    <w:basedOn w:val="720"/>
    <w:next w:val="720"/>
    <w:link w:val="720"/>
    <w:uiPriority w:val="39"/>
    <w:unhideWhenUsed/>
    <w:qFormat/>
    <w:pPr>
      <w:ind w:left="1417" w:firstLine="420"/>
      <w:jc w:val="left"/>
      <w:spacing w:after="57" w:line="360" w:lineRule="auto"/>
    </w:pPr>
    <w:rPr>
      <w:rFonts w:ascii="宋体" w:hAnsi="宋体" w:eastAsia="宋体" w:cs="宋体"/>
      <w:color w:val="000000"/>
      <w:sz w:val="22"/>
      <w:szCs w:val="21"/>
    </w:rPr>
  </w:style>
  <w:style w:type="paragraph" w:styleId="766">
    <w:name w:val="正文文本缩进 3"/>
    <w:basedOn w:val="720"/>
    <w:next w:val="766"/>
    <w:link w:val="767"/>
    <w:qFormat/>
    <w:pPr>
      <w:ind w:left="645" w:firstLine="645"/>
    </w:pPr>
    <w:rPr>
      <w:rFonts w:ascii="Arial" w:hAnsi="Arial" w:eastAsia="仿宋_GB2312" w:cs="Arial"/>
      <w:color w:val="ffff00"/>
      <w:sz w:val="32"/>
      <w:szCs w:val="32"/>
    </w:rPr>
  </w:style>
  <w:style w:type="character" w:styleId="767">
    <w:name w:val="正文文本缩进 3 Char"/>
    <w:basedOn w:val="730"/>
    <w:next w:val="767"/>
    <w:link w:val="766"/>
    <w:qFormat/>
    <w:rPr>
      <w:rFonts w:ascii="Arial" w:hAnsi="Arial" w:eastAsia="仿宋_GB2312" w:cs="Arial"/>
      <w:color w:val="ffff00"/>
      <w:sz w:val="32"/>
      <w:szCs w:val="32"/>
    </w:rPr>
  </w:style>
  <w:style w:type="paragraph" w:styleId="768">
    <w:name w:val="图表目录"/>
    <w:basedOn w:val="720"/>
    <w:next w:val="720"/>
    <w:link w:val="720"/>
    <w:uiPriority w:val="99"/>
    <w:unhideWhenUsed/>
    <w:qFormat/>
    <w:pPr>
      <w:ind w:firstLine="420"/>
      <w:jc w:val="left"/>
      <w:spacing w:line="360" w:lineRule="auto"/>
    </w:pPr>
    <w:rPr>
      <w:rFonts w:ascii="宋体" w:hAnsi="宋体" w:eastAsia="宋体" w:cs="宋体"/>
      <w:color w:val="000000"/>
      <w:sz w:val="22"/>
      <w:szCs w:val="21"/>
    </w:rPr>
  </w:style>
  <w:style w:type="paragraph" w:styleId="769">
    <w:name w:val="目录 2"/>
    <w:basedOn w:val="720"/>
    <w:next w:val="720"/>
    <w:link w:val="720"/>
    <w:uiPriority w:val="39"/>
    <w:unhideWhenUsed/>
    <w:qFormat/>
    <w:pPr>
      <w:ind w:left="283" w:firstLine="420"/>
      <w:jc w:val="left"/>
      <w:spacing w:after="57" w:line="360" w:lineRule="auto"/>
    </w:pPr>
    <w:rPr>
      <w:rFonts w:ascii="宋体" w:hAnsi="宋体" w:eastAsia="宋体" w:cs="宋体"/>
      <w:color w:val="000000"/>
      <w:sz w:val="22"/>
      <w:szCs w:val="21"/>
    </w:rPr>
  </w:style>
  <w:style w:type="paragraph" w:styleId="770">
    <w:name w:val="目录 9"/>
    <w:basedOn w:val="720"/>
    <w:next w:val="720"/>
    <w:link w:val="720"/>
    <w:uiPriority w:val="39"/>
    <w:unhideWhenUsed/>
    <w:qFormat/>
    <w:pPr>
      <w:ind w:left="2268" w:firstLine="420"/>
      <w:jc w:val="left"/>
      <w:spacing w:after="57" w:line="360" w:lineRule="auto"/>
    </w:pPr>
    <w:rPr>
      <w:rFonts w:ascii="宋体" w:hAnsi="宋体" w:eastAsia="宋体" w:cs="宋体"/>
      <w:color w:val="000000"/>
      <w:sz w:val="22"/>
      <w:szCs w:val="21"/>
    </w:rPr>
  </w:style>
  <w:style w:type="paragraph" w:styleId="771">
    <w:name w:val="HTML 预设格式"/>
    <w:basedOn w:val="720"/>
    <w:next w:val="771"/>
    <w:link w:val="772"/>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772">
    <w:name w:val="HTML 预设格式 Char"/>
    <w:basedOn w:val="730"/>
    <w:next w:val="772"/>
    <w:link w:val="771"/>
    <w:qFormat/>
    <w:rPr>
      <w:rFonts w:ascii="宋体" w:hAnsi="宋体" w:eastAsia="宋体" w:cs="Times New Roman"/>
      <w:sz w:val="24"/>
      <w:szCs w:val="24"/>
    </w:rPr>
  </w:style>
  <w:style w:type="paragraph" w:styleId="773">
    <w:name w:val="普通(网站)"/>
    <w:basedOn w:val="720"/>
    <w:next w:val="773"/>
    <w:link w:val="720"/>
    <w:qFormat/>
    <w:pPr>
      <w:jc w:val="left"/>
      <w:spacing w:beforeAutospacing="1" w:afterAutospacing="1"/>
    </w:pPr>
    <w:rPr>
      <w:rFonts w:cs="Times New Roman"/>
      <w:sz w:val="24"/>
    </w:rPr>
  </w:style>
  <w:style w:type="paragraph" w:styleId="774">
    <w:name w:val="标题"/>
    <w:basedOn w:val="720"/>
    <w:next w:val="720"/>
    <w:link w:val="775"/>
    <w:uiPriority w:val="10"/>
    <w:qFormat/>
    <w:pPr>
      <w:contextualSpacing/>
      <w:ind w:firstLine="420"/>
      <w:jc w:val="left"/>
      <w:spacing w:before="300" w:after="200" w:line="360" w:lineRule="auto"/>
    </w:pPr>
    <w:rPr>
      <w:rFonts w:ascii="宋体" w:hAnsi="宋体" w:eastAsia="宋体" w:cs="宋体"/>
      <w:color w:val="000000"/>
      <w:sz w:val="48"/>
      <w:szCs w:val="48"/>
    </w:rPr>
  </w:style>
  <w:style w:type="character" w:styleId="775">
    <w:name w:val="标题 Char"/>
    <w:basedOn w:val="730"/>
    <w:next w:val="775"/>
    <w:link w:val="774"/>
    <w:uiPriority w:val="10"/>
    <w:qFormat/>
    <w:rPr>
      <w:rFonts w:ascii="宋体" w:hAnsi="宋体" w:eastAsia="宋体" w:cs="宋体"/>
      <w:color w:val="000000"/>
      <w:sz w:val="48"/>
      <w:szCs w:val="48"/>
    </w:rPr>
  </w:style>
  <w:style w:type="paragraph" w:styleId="776">
    <w:name w:val="批注主题"/>
    <w:basedOn w:val="741"/>
    <w:next w:val="741"/>
    <w:link w:val="777"/>
    <w:qFormat/>
    <w:rPr>
      <w:b/>
      <w:bCs/>
    </w:rPr>
  </w:style>
  <w:style w:type="character" w:styleId="777">
    <w:name w:val="批注主题 Char"/>
    <w:basedOn w:val="742"/>
    <w:next w:val="777"/>
    <w:link w:val="776"/>
    <w:qFormat/>
    <w:rPr>
      <w:rFonts w:ascii="Calibri" w:hAnsi="Calibri" w:eastAsia="宋体" w:cs="Calibri"/>
      <w:b/>
      <w:bCs/>
      <w:szCs w:val="21"/>
    </w:rPr>
  </w:style>
  <w:style w:type="paragraph" w:styleId="778">
    <w:name w:val="正文首行缩进"/>
    <w:basedOn w:val="720"/>
    <w:next w:val="720"/>
    <w:link w:val="779"/>
    <w:uiPriority w:val="99"/>
    <w:unhideWhenUsed/>
    <w:qFormat/>
    <w:pPr>
      <w:ind w:firstLine="420"/>
    </w:pPr>
    <w:rPr>
      <w:rFonts w:ascii="Times New Roman" w:hAnsi="Times New Roman" w:eastAsia="宋体" w:cs="Times New Roman"/>
    </w:rPr>
  </w:style>
  <w:style w:type="character" w:styleId="779">
    <w:name w:val="正文首行缩进 Char"/>
    <w:basedOn w:val="744"/>
    <w:next w:val="779"/>
    <w:link w:val="778"/>
    <w:uiPriority w:val="99"/>
    <w:qFormat/>
    <w:rPr>
      <w:rFonts w:ascii="Times New Roman" w:hAnsi="Times New Roman" w:eastAsia="宋体" w:cs="Times New Roman"/>
      <w:sz w:val="21"/>
      <w:szCs w:val="24"/>
    </w:rPr>
  </w:style>
  <w:style w:type="table" w:styleId="780">
    <w:name w:val="网格型"/>
    <w:next w:val="780"/>
    <w:link w:val="720"/>
    <w:uiPriority w:val="59"/>
    <w:qFormat/>
    <w:tblPr/>
  </w:style>
  <w:style w:type="character" w:styleId="781">
    <w:name w:val="尾注引用"/>
    <w:next w:val="781"/>
    <w:link w:val="720"/>
    <w:uiPriority w:val="99"/>
    <w:unhideWhenUsed/>
    <w:qFormat/>
    <w:rPr>
      <w:vertAlign w:val="superscript"/>
    </w:rPr>
  </w:style>
  <w:style w:type="character" w:styleId="782">
    <w:name w:val="超链接"/>
    <w:basedOn w:val="730"/>
    <w:next w:val="782"/>
    <w:link w:val="720"/>
    <w:unhideWhenUsed/>
    <w:qFormat/>
    <w:rPr>
      <w:color w:val="0563c1"/>
      <w:u w:val="single"/>
    </w:rPr>
  </w:style>
  <w:style w:type="character" w:styleId="783">
    <w:name w:val="脚注引用"/>
    <w:next w:val="783"/>
    <w:link w:val="720"/>
    <w:uiPriority w:val="99"/>
    <w:unhideWhenUsed/>
    <w:qFormat/>
    <w:rPr>
      <w:vertAlign w:val="superscript"/>
    </w:rPr>
  </w:style>
  <w:style w:type="table" w:styleId="784">
    <w:name w:val="Plain Table 1"/>
    <w:basedOn w:val="731"/>
    <w:next w:val="784"/>
    <w:link w:val="720"/>
    <w:uiPriority w:val="59"/>
    <w:qFormat/>
    <w:pPr>
      <w:spacing w:after="0" w:line="240" w:lineRule="auto"/>
    </w:pPr>
    <w:tblPr/>
  </w:style>
  <w:style w:type="table" w:styleId="785">
    <w:name w:val="Plain Table 2"/>
    <w:basedOn w:val="731"/>
    <w:next w:val="785"/>
    <w:link w:val="720"/>
    <w:uiPriority w:val="59"/>
    <w:qFormat/>
    <w:pPr>
      <w:spacing w:after="0" w:line="240" w:lineRule="auto"/>
    </w:pPr>
    <w:tblPr/>
  </w:style>
  <w:style w:type="table" w:styleId="786">
    <w:name w:val="Plain Table 3"/>
    <w:basedOn w:val="731"/>
    <w:next w:val="786"/>
    <w:link w:val="720"/>
    <w:uiPriority w:val="99"/>
    <w:qFormat/>
    <w:pPr>
      <w:spacing w:after="0" w:line="240" w:lineRule="auto"/>
    </w:pPr>
    <w:tblPr/>
  </w:style>
  <w:style w:type="table" w:styleId="787">
    <w:name w:val="Plain Table 4"/>
    <w:basedOn w:val="731"/>
    <w:next w:val="787"/>
    <w:link w:val="720"/>
    <w:uiPriority w:val="99"/>
    <w:qFormat/>
    <w:pPr>
      <w:spacing w:after="0" w:line="240" w:lineRule="auto"/>
    </w:pPr>
    <w:tblPr/>
  </w:style>
  <w:style w:type="table" w:styleId="788">
    <w:name w:val="Plain Table 5"/>
    <w:basedOn w:val="731"/>
    <w:next w:val="788"/>
    <w:link w:val="720"/>
    <w:uiPriority w:val="99"/>
    <w:qFormat/>
    <w:pPr>
      <w:spacing w:after="0" w:line="240" w:lineRule="auto"/>
    </w:pPr>
    <w:tblPr/>
  </w:style>
  <w:style w:type="table" w:styleId="789">
    <w:name w:val="Grid Table 1 Light"/>
    <w:basedOn w:val="731"/>
    <w:next w:val="789"/>
    <w:link w:val="720"/>
    <w:uiPriority w:val="99"/>
    <w:qFormat/>
    <w:pPr>
      <w:spacing w:after="0" w:line="240" w:lineRule="auto"/>
    </w:pPr>
    <w:tblPr/>
  </w:style>
  <w:style w:type="table" w:styleId="790">
    <w:name w:val="Grid Table 2"/>
    <w:basedOn w:val="731"/>
    <w:next w:val="790"/>
    <w:link w:val="720"/>
    <w:uiPriority w:val="99"/>
    <w:qFormat/>
    <w:pPr>
      <w:spacing w:after="0" w:line="240" w:lineRule="auto"/>
    </w:pPr>
    <w:tblPr/>
  </w:style>
  <w:style w:type="table" w:styleId="791">
    <w:name w:val="Grid Table 3"/>
    <w:basedOn w:val="731"/>
    <w:next w:val="791"/>
    <w:link w:val="720"/>
    <w:uiPriority w:val="99"/>
    <w:qFormat/>
    <w:pPr>
      <w:spacing w:after="0" w:line="240" w:lineRule="auto"/>
    </w:pPr>
    <w:tblPr/>
  </w:style>
  <w:style w:type="table" w:styleId="792">
    <w:name w:val="Grid Table 4"/>
    <w:basedOn w:val="731"/>
    <w:next w:val="792"/>
    <w:link w:val="720"/>
    <w:uiPriority w:val="59"/>
    <w:qFormat/>
    <w:pPr>
      <w:spacing w:after="0" w:line="240" w:lineRule="auto"/>
    </w:pPr>
    <w:tblPr/>
  </w:style>
  <w:style w:type="table" w:styleId="793">
    <w:name w:val="Grid Table 5 Dark"/>
    <w:basedOn w:val="731"/>
    <w:next w:val="793"/>
    <w:link w:val="720"/>
    <w:uiPriority w:val="99"/>
    <w:qFormat/>
    <w:pPr>
      <w:spacing w:after="0" w:line="240" w:lineRule="auto"/>
    </w:pPr>
    <w:tblPr/>
  </w:style>
  <w:style w:type="table" w:styleId="794">
    <w:name w:val="Grid Table 6 Colorful"/>
    <w:basedOn w:val="731"/>
    <w:next w:val="794"/>
    <w:link w:val="720"/>
    <w:uiPriority w:val="99"/>
    <w:qFormat/>
    <w:pPr>
      <w:spacing w:after="0" w:line="240" w:lineRule="auto"/>
    </w:pPr>
    <w:tblPr/>
  </w:style>
  <w:style w:type="table" w:styleId="795">
    <w:name w:val="Grid Table 7 Colorful"/>
    <w:basedOn w:val="731"/>
    <w:next w:val="795"/>
    <w:link w:val="720"/>
    <w:uiPriority w:val="99"/>
    <w:qFormat/>
    <w:pPr>
      <w:spacing w:after="0" w:line="240" w:lineRule="auto"/>
    </w:pPr>
    <w:tblPr/>
  </w:style>
  <w:style w:type="table" w:styleId="796">
    <w:name w:val="List Table 1 Light"/>
    <w:basedOn w:val="731"/>
    <w:next w:val="796"/>
    <w:link w:val="720"/>
    <w:uiPriority w:val="99"/>
    <w:qFormat/>
    <w:pPr>
      <w:spacing w:after="0" w:line="240" w:lineRule="auto"/>
    </w:pPr>
    <w:tblPr/>
  </w:style>
  <w:style w:type="table" w:styleId="797">
    <w:name w:val="List Table 2"/>
    <w:basedOn w:val="731"/>
    <w:next w:val="797"/>
    <w:link w:val="720"/>
    <w:uiPriority w:val="99"/>
    <w:qFormat/>
    <w:pPr>
      <w:spacing w:after="0" w:line="240" w:lineRule="auto"/>
    </w:pPr>
    <w:tblPr/>
  </w:style>
  <w:style w:type="table" w:styleId="798">
    <w:name w:val="List Table 3"/>
    <w:basedOn w:val="731"/>
    <w:next w:val="798"/>
    <w:link w:val="720"/>
    <w:uiPriority w:val="99"/>
    <w:qFormat/>
    <w:pPr>
      <w:spacing w:after="0" w:line="240" w:lineRule="auto"/>
    </w:pPr>
    <w:tblPr/>
  </w:style>
  <w:style w:type="table" w:styleId="799">
    <w:name w:val="List Table 4"/>
    <w:basedOn w:val="731"/>
    <w:next w:val="799"/>
    <w:link w:val="720"/>
    <w:uiPriority w:val="99"/>
    <w:qFormat/>
    <w:pPr>
      <w:spacing w:after="0" w:line="240" w:lineRule="auto"/>
    </w:pPr>
    <w:tblPr/>
  </w:style>
  <w:style w:type="table" w:styleId="800">
    <w:name w:val="List Table 5 Dark"/>
    <w:basedOn w:val="731"/>
    <w:next w:val="800"/>
    <w:link w:val="720"/>
    <w:uiPriority w:val="99"/>
    <w:qFormat/>
    <w:pPr>
      <w:spacing w:after="0" w:line="240" w:lineRule="auto"/>
    </w:pPr>
    <w:tblPr/>
  </w:style>
  <w:style w:type="table" w:styleId="801">
    <w:name w:val="List Table 6 Colorful"/>
    <w:basedOn w:val="731"/>
    <w:next w:val="801"/>
    <w:link w:val="720"/>
    <w:uiPriority w:val="99"/>
    <w:qFormat/>
    <w:pPr>
      <w:spacing w:after="0" w:line="240" w:lineRule="auto"/>
    </w:pPr>
    <w:tblPr/>
  </w:style>
  <w:style w:type="table" w:styleId="802">
    <w:name w:val="List Table 7 Colorful"/>
    <w:basedOn w:val="731"/>
    <w:next w:val="802"/>
    <w:link w:val="720"/>
    <w:uiPriority w:val="99"/>
    <w:qFormat/>
    <w:pPr>
      <w:spacing w:after="0" w:line="240" w:lineRule="auto"/>
    </w:pPr>
    <w:tblPr/>
  </w:style>
  <w:style w:type="paragraph" w:styleId="803">
    <w:name w:val="TOC Heading"/>
    <w:next w:val="803"/>
    <w:link w:val="720"/>
    <w:uiPriority w:val="39"/>
    <w:unhideWhenUsed/>
    <w:qFormat/>
    <w:rPr>
      <w:rFonts w:ascii="Times New Roman" w:hAnsi="Times New Roman" w:eastAsia="宋体" w:cs="Times New Roman"/>
    </w:rPr>
  </w:style>
  <w:style w:type="paragraph" w:styleId="804">
    <w:name w:val="TOC 标题1"/>
    <w:next w:val="804"/>
    <w:link w:val="720"/>
    <w:uiPriority w:val="39"/>
    <w:unhideWhenUsed/>
    <w:qFormat/>
    <w:rPr>
      <w:rFonts w:ascii="Calibri" w:hAnsi="Calibri" w:eastAsia="宋体" w:cs="Times New Roman"/>
    </w:rPr>
  </w:style>
  <w:style w:type="paragraph" w:styleId="805">
    <w:name w:val="标题 11"/>
    <w:basedOn w:val="720"/>
    <w:next w:val="720"/>
    <w:link w:val="720"/>
    <w:qFormat/>
    <w:pPr>
      <w:keepLines/>
      <w:keepNext/>
      <w:spacing w:before="480" w:after="200"/>
      <w:outlineLvl w:val="0"/>
    </w:pPr>
    <w:rPr>
      <w:rFonts w:ascii="Arial" w:hAnsi="Arial" w:eastAsia="Arial" w:cs="Arial"/>
      <w:sz w:val="40"/>
      <w:szCs w:val="40"/>
    </w:rPr>
  </w:style>
  <w:style w:type="paragraph" w:styleId="806">
    <w:name w:val="标题 21"/>
    <w:basedOn w:val="720"/>
    <w:next w:val="720"/>
    <w:link w:val="720"/>
    <w:unhideWhenUsed/>
    <w:qFormat/>
    <w:pPr>
      <w:jc w:val="left"/>
      <w:spacing w:beforeAutospacing="1" w:afterAutospacing="1"/>
      <w:outlineLvl w:val="1"/>
    </w:pPr>
    <w:rPr>
      <w:rFonts w:hint="eastAsia" w:ascii="宋体" w:hAnsi="宋体" w:eastAsia="宋体" w:cs="Times New Roman"/>
      <w:b/>
      <w:bCs/>
      <w:sz w:val="36"/>
      <w:szCs w:val="36"/>
    </w:rPr>
  </w:style>
  <w:style w:type="paragraph" w:styleId="807">
    <w:name w:val="标题 31"/>
    <w:basedOn w:val="720"/>
    <w:next w:val="720"/>
    <w:link w:val="808"/>
    <w:unhideWhenUsed/>
    <w:qFormat/>
    <w:pPr>
      <w:keepLines/>
      <w:keepNext/>
      <w:spacing w:before="320" w:after="200"/>
      <w:outlineLvl w:val="2"/>
    </w:pPr>
    <w:rPr>
      <w:rFonts w:ascii="Arial" w:hAnsi="Arial" w:eastAsia="Arial" w:cs="Arial"/>
      <w:sz w:val="30"/>
      <w:szCs w:val="30"/>
    </w:rPr>
  </w:style>
  <w:style w:type="character" w:styleId="808">
    <w:name w:val="标题 3 Char"/>
    <w:basedOn w:val="730"/>
    <w:next w:val="808"/>
    <w:link w:val="807"/>
    <w:qFormat/>
    <w:rPr>
      <w:rFonts w:ascii="Arial" w:hAnsi="Arial" w:eastAsia="Arial" w:cs="Arial"/>
      <w:sz w:val="30"/>
      <w:szCs w:val="30"/>
    </w:rPr>
  </w:style>
  <w:style w:type="paragraph" w:styleId="809">
    <w:name w:val="标题 41"/>
    <w:basedOn w:val="720"/>
    <w:next w:val="720"/>
    <w:link w:val="810"/>
    <w:unhideWhenUsed/>
    <w:qFormat/>
    <w:pPr>
      <w:keepLines/>
      <w:keepNext/>
      <w:spacing w:before="320" w:after="200"/>
      <w:outlineLvl w:val="3"/>
    </w:pPr>
    <w:rPr>
      <w:rFonts w:ascii="Arial" w:hAnsi="Arial" w:eastAsia="Arial" w:cs="Arial"/>
      <w:b/>
      <w:bCs/>
      <w:sz w:val="26"/>
      <w:szCs w:val="26"/>
    </w:rPr>
  </w:style>
  <w:style w:type="character" w:styleId="810">
    <w:name w:val="标题 4 Char"/>
    <w:basedOn w:val="730"/>
    <w:next w:val="810"/>
    <w:link w:val="809"/>
    <w:qFormat/>
    <w:rPr>
      <w:rFonts w:ascii="Arial" w:hAnsi="Arial" w:eastAsia="Arial" w:cs="Arial"/>
      <w:b/>
      <w:bCs/>
      <w:sz w:val="26"/>
      <w:szCs w:val="26"/>
    </w:rPr>
  </w:style>
  <w:style w:type="paragraph" w:styleId="811">
    <w:name w:val="标题 51"/>
    <w:basedOn w:val="720"/>
    <w:next w:val="720"/>
    <w:link w:val="812"/>
    <w:uiPriority w:val="9"/>
    <w:unhideWhenUsed/>
    <w:qFormat/>
    <w:pPr>
      <w:keepLines/>
      <w:keepNext/>
      <w:spacing w:before="320" w:after="200"/>
      <w:outlineLvl w:val="4"/>
    </w:pPr>
    <w:rPr>
      <w:rFonts w:ascii="Arial" w:hAnsi="Arial" w:eastAsia="Arial" w:cs="Arial"/>
      <w:b/>
      <w:bCs/>
      <w:sz w:val="24"/>
    </w:rPr>
  </w:style>
  <w:style w:type="character" w:styleId="812">
    <w:name w:val="标题 5 Char"/>
    <w:basedOn w:val="730"/>
    <w:next w:val="812"/>
    <w:link w:val="811"/>
    <w:uiPriority w:val="9"/>
    <w:qFormat/>
    <w:rPr>
      <w:rFonts w:ascii="Arial" w:hAnsi="Arial" w:eastAsia="Arial" w:cs="Arial"/>
      <w:b/>
      <w:bCs/>
      <w:sz w:val="24"/>
      <w:szCs w:val="24"/>
    </w:rPr>
  </w:style>
  <w:style w:type="paragraph" w:styleId="813">
    <w:name w:val="标题 61"/>
    <w:basedOn w:val="720"/>
    <w:next w:val="720"/>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标题 6 Char"/>
    <w:basedOn w:val="730"/>
    <w:next w:val="814"/>
    <w:link w:val="813"/>
    <w:uiPriority w:val="9"/>
    <w:qFormat/>
    <w:rPr>
      <w:rFonts w:ascii="Arial" w:hAnsi="Arial" w:eastAsia="Arial" w:cs="Arial"/>
      <w:b/>
      <w:bCs/>
      <w:sz w:val="22"/>
      <w:szCs w:val="22"/>
    </w:rPr>
  </w:style>
  <w:style w:type="paragraph" w:styleId="815">
    <w:name w:val="标题 71"/>
    <w:basedOn w:val="720"/>
    <w:next w:val="720"/>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标题 7 Char"/>
    <w:basedOn w:val="730"/>
    <w:next w:val="816"/>
    <w:link w:val="815"/>
    <w:uiPriority w:val="9"/>
    <w:qFormat/>
    <w:rPr>
      <w:rFonts w:ascii="Arial" w:hAnsi="Arial" w:eastAsia="Arial" w:cs="Arial"/>
      <w:b/>
      <w:bCs/>
      <w:i/>
      <w:iCs/>
      <w:sz w:val="22"/>
      <w:szCs w:val="22"/>
    </w:rPr>
  </w:style>
  <w:style w:type="paragraph" w:styleId="817">
    <w:name w:val="标题 81"/>
    <w:basedOn w:val="720"/>
    <w:next w:val="720"/>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标题 8 Char"/>
    <w:basedOn w:val="730"/>
    <w:next w:val="818"/>
    <w:link w:val="817"/>
    <w:uiPriority w:val="9"/>
    <w:qFormat/>
    <w:rPr>
      <w:rFonts w:ascii="Arial" w:hAnsi="Arial" w:eastAsia="Arial" w:cs="Arial"/>
      <w:i/>
      <w:iCs/>
      <w:sz w:val="22"/>
      <w:szCs w:val="22"/>
    </w:rPr>
  </w:style>
  <w:style w:type="paragraph" w:styleId="819">
    <w:name w:val="标题 91"/>
    <w:basedOn w:val="720"/>
    <w:next w:val="720"/>
    <w:link w:val="820"/>
    <w:uiPriority w:val="9"/>
    <w:unhideWhenUsed/>
    <w:qFormat/>
    <w:pPr>
      <w:keepLines/>
      <w:keepNext/>
      <w:spacing w:before="320" w:after="200"/>
      <w:outlineLvl w:val="8"/>
    </w:pPr>
    <w:rPr>
      <w:rFonts w:ascii="Arial" w:hAnsi="Arial" w:eastAsia="Arial" w:cs="Arial"/>
      <w:i/>
      <w:iCs/>
      <w:szCs w:val="21"/>
    </w:rPr>
  </w:style>
  <w:style w:type="character" w:styleId="820">
    <w:name w:val="标题 9 Char"/>
    <w:basedOn w:val="730"/>
    <w:next w:val="820"/>
    <w:link w:val="819"/>
    <w:uiPriority w:val="9"/>
    <w:qFormat/>
    <w:rPr>
      <w:rFonts w:ascii="Arial" w:hAnsi="Arial" w:eastAsia="Arial" w:cs="Arial"/>
      <w:i/>
      <w:iCs/>
      <w:sz w:val="21"/>
      <w:szCs w:val="21"/>
    </w:rPr>
  </w:style>
  <w:style w:type="paragraph" w:styleId="821">
    <w:name w:val="题注1"/>
    <w:basedOn w:val="720"/>
    <w:next w:val="720"/>
    <w:link w:val="720"/>
    <w:uiPriority w:val="35"/>
    <w:unhideWhenUsed/>
    <w:qFormat/>
    <w:pPr>
      <w:spacing w:line="276" w:lineRule="auto"/>
    </w:pPr>
    <w:rPr>
      <w:b/>
      <w:bCs/>
      <w:color w:val="5b9bd5"/>
      <w:sz w:val="18"/>
      <w:szCs w:val="18"/>
    </w:rPr>
  </w:style>
  <w:style w:type="paragraph" w:styleId="822">
    <w:name w:val="页脚1"/>
    <w:basedOn w:val="720"/>
    <w:next w:val="822"/>
    <w:link w:val="823"/>
    <w:qFormat/>
    <w:pPr>
      <w:jc w:val="left"/>
      <w:tabs>
        <w:tab w:val="center" w:pos="4153" w:leader="none"/>
        <w:tab w:val="right" w:pos="8306" w:leader="none"/>
      </w:tabs>
    </w:pPr>
    <w:rPr>
      <w:sz w:val="18"/>
      <w:szCs w:val="18"/>
    </w:rPr>
  </w:style>
  <w:style w:type="character" w:styleId="823">
    <w:name w:val="页脚 Char"/>
    <w:basedOn w:val="730"/>
    <w:next w:val="823"/>
    <w:link w:val="822"/>
    <w:qFormat/>
    <w:rPr>
      <w:sz w:val="18"/>
      <w:szCs w:val="18"/>
    </w:rPr>
  </w:style>
  <w:style w:type="paragraph" w:styleId="824">
    <w:name w:val="页眉1"/>
    <w:basedOn w:val="720"/>
    <w:next w:val="824"/>
    <w:link w:val="825"/>
    <w:qFormat/>
    <w:pPr>
      <w:jc w:val="center"/>
      <w:tabs>
        <w:tab w:val="center" w:pos="4153" w:leader="none"/>
        <w:tab w:val="right" w:pos="8306" w:leader="none"/>
      </w:tabs>
      <w:pBdr>
        <w:bottom w:val="single" w:color="000000" w:sz="6" w:space="1"/>
      </w:pBdr>
    </w:pPr>
    <w:rPr>
      <w:sz w:val="18"/>
      <w:szCs w:val="18"/>
    </w:rPr>
  </w:style>
  <w:style w:type="character" w:styleId="825">
    <w:name w:val="页眉 Char"/>
    <w:basedOn w:val="730"/>
    <w:next w:val="825"/>
    <w:link w:val="824"/>
    <w:qFormat/>
    <w:rPr>
      <w:sz w:val="18"/>
      <w:szCs w:val="18"/>
    </w:rPr>
  </w:style>
  <w:style w:type="paragraph" w:styleId="826">
    <w:name w:val="TOC 标题112"/>
    <w:next w:val="826"/>
    <w:link w:val="720"/>
    <w:uiPriority w:val="39"/>
    <w:unhideWhenUsed/>
    <w:qFormat/>
    <w:rPr>
      <w:rFonts w:ascii="Calibri" w:hAnsi="Calibri" w:eastAsia="宋体" w:cs="Times New Roman"/>
    </w:rPr>
  </w:style>
  <w:style w:type="paragraph" w:styleId="827">
    <w:name w:val="4"/>
    <w:basedOn w:val="720"/>
    <w:next w:val="766"/>
    <w:link w:val="720"/>
    <w:qFormat/>
    <w:pPr>
      <w:ind w:firstLine="420"/>
      <w:spacing w:line="360" w:lineRule="auto"/>
    </w:pPr>
    <w:rPr>
      <w:color w:val="ff0000"/>
      <w:sz w:val="24"/>
    </w:rPr>
  </w:style>
  <w:style w:type="paragraph" w:styleId="828">
    <w:name w:val="纯文本1"/>
    <w:basedOn w:val="720"/>
    <w:next w:val="828"/>
    <w:link w:val="720"/>
    <w:qFormat/>
    <w:rPr>
      <w:rFonts w:ascii="宋体" w:hAnsi="Courier New" w:eastAsia="楷体_GB2312"/>
      <w:sz w:val="28"/>
      <w:szCs w:val="20"/>
    </w:rPr>
  </w:style>
  <w:style w:type="paragraph" w:styleId="829">
    <w:name w:val="Char Char Char Char Char Char Char Char"/>
    <w:basedOn w:val="720"/>
    <w:next w:val="829"/>
    <w:link w:val="720"/>
    <w:qFormat/>
    <w:pPr>
      <w:ind w:firstLine="420"/>
      <w:jc w:val="left"/>
      <w:spacing w:after="160" w:line="240" w:lineRule="exact"/>
      <w:widowControl/>
    </w:pPr>
    <w:rPr>
      <w:rFonts w:ascii="Verdana" w:hAnsi="Verdana" w:eastAsia="宋体" w:cs="Times New Roman"/>
      <w:color w:val="000000"/>
      <w:sz w:val="20"/>
      <w:szCs w:val="20"/>
      <w:lang w:eastAsia="en-US"/>
    </w:rPr>
  </w:style>
  <w:style w:type="paragraph" w:styleId="830">
    <w:name w:val="文本块1"/>
    <w:basedOn w:val="720"/>
    <w:next w:val="830"/>
    <w:link w:val="720"/>
    <w:uiPriority w:val="99"/>
    <w:qFormat/>
    <w:pPr>
      <w:ind w:left="1440" w:right="1440" w:firstLine="420"/>
      <w:jc w:val="left"/>
      <w:spacing w:after="120" w:line="360" w:lineRule="auto"/>
      <w:tabs>
        <w:tab w:val="left" w:pos="9000" w:leader="none"/>
      </w:tabs>
    </w:pPr>
    <w:rPr>
      <w:rFonts w:ascii="宋体" w:hAnsi="宋体" w:eastAsia="宋体" w:cs="宋体"/>
      <w:color w:val="000000"/>
      <w:sz w:val="22"/>
      <w:szCs w:val="21"/>
    </w:rPr>
  </w:style>
  <w:style w:type="table" w:styleId="831">
    <w:name w:val="无格式表格 11"/>
    <w:basedOn w:val="731"/>
    <w:next w:val="831"/>
    <w:link w:val="720"/>
    <w:uiPriority w:val="59"/>
    <w:qFormat/>
    <w:tblPr/>
  </w:style>
  <w:style w:type="table" w:styleId="832">
    <w:name w:val="无格式表格 21"/>
    <w:basedOn w:val="731"/>
    <w:next w:val="832"/>
    <w:link w:val="720"/>
    <w:uiPriority w:val="59"/>
    <w:qFormat/>
    <w:tblPr/>
  </w:style>
  <w:style w:type="table" w:styleId="833">
    <w:name w:val="无格式表格 31"/>
    <w:basedOn w:val="731"/>
    <w:next w:val="833"/>
    <w:link w:val="720"/>
    <w:uiPriority w:val="99"/>
    <w:qFormat/>
    <w:tblPr/>
  </w:style>
  <w:style w:type="table" w:styleId="834">
    <w:name w:val="无格式表格 41"/>
    <w:basedOn w:val="731"/>
    <w:next w:val="834"/>
    <w:link w:val="720"/>
    <w:uiPriority w:val="99"/>
    <w:qFormat/>
    <w:tblPr/>
  </w:style>
  <w:style w:type="table" w:styleId="835">
    <w:name w:val="无格式表格 51"/>
    <w:basedOn w:val="731"/>
    <w:next w:val="835"/>
    <w:link w:val="720"/>
    <w:uiPriority w:val="99"/>
    <w:qFormat/>
    <w:tblPr/>
  </w:style>
  <w:style w:type="table" w:styleId="836">
    <w:name w:val="网格表 1 浅色1"/>
    <w:basedOn w:val="731"/>
    <w:next w:val="836"/>
    <w:link w:val="720"/>
    <w:uiPriority w:val="99"/>
    <w:qFormat/>
    <w:tblPr/>
  </w:style>
  <w:style w:type="table" w:styleId="837">
    <w:name w:val="网格表 21"/>
    <w:basedOn w:val="731"/>
    <w:next w:val="837"/>
    <w:link w:val="720"/>
    <w:uiPriority w:val="99"/>
    <w:qFormat/>
    <w:tblPr/>
  </w:style>
  <w:style w:type="table" w:styleId="838">
    <w:name w:val="网格表 31"/>
    <w:basedOn w:val="731"/>
    <w:next w:val="838"/>
    <w:link w:val="720"/>
    <w:uiPriority w:val="99"/>
    <w:qFormat/>
    <w:tblPr/>
  </w:style>
  <w:style w:type="table" w:styleId="839">
    <w:name w:val="网格表 41"/>
    <w:basedOn w:val="731"/>
    <w:next w:val="839"/>
    <w:link w:val="720"/>
    <w:uiPriority w:val="59"/>
    <w:qFormat/>
    <w:tblPr/>
  </w:style>
  <w:style w:type="table" w:styleId="840">
    <w:name w:val="网格表 5 深色1"/>
    <w:basedOn w:val="731"/>
    <w:next w:val="840"/>
    <w:link w:val="720"/>
    <w:uiPriority w:val="99"/>
    <w:qFormat/>
    <w:tblPr/>
  </w:style>
  <w:style w:type="table" w:styleId="841">
    <w:name w:val="网格表 6 彩色1"/>
    <w:basedOn w:val="731"/>
    <w:next w:val="841"/>
    <w:link w:val="720"/>
    <w:uiPriority w:val="99"/>
    <w:qFormat/>
    <w:tblPr/>
  </w:style>
  <w:style w:type="table" w:styleId="842">
    <w:name w:val="网格表 7 彩色1"/>
    <w:basedOn w:val="731"/>
    <w:next w:val="842"/>
    <w:link w:val="720"/>
    <w:uiPriority w:val="99"/>
    <w:qFormat/>
    <w:tblPr/>
  </w:style>
  <w:style w:type="table" w:styleId="843">
    <w:name w:val="清单表 1 浅色1"/>
    <w:basedOn w:val="731"/>
    <w:next w:val="843"/>
    <w:link w:val="720"/>
    <w:uiPriority w:val="99"/>
    <w:qFormat/>
    <w:tblPr/>
  </w:style>
  <w:style w:type="table" w:styleId="844">
    <w:name w:val="清单表 21"/>
    <w:basedOn w:val="731"/>
    <w:next w:val="844"/>
    <w:link w:val="720"/>
    <w:uiPriority w:val="99"/>
    <w:qFormat/>
    <w:tblPr/>
  </w:style>
  <w:style w:type="table" w:styleId="845">
    <w:name w:val="清单表 31"/>
    <w:basedOn w:val="731"/>
    <w:next w:val="845"/>
    <w:link w:val="720"/>
    <w:uiPriority w:val="99"/>
    <w:qFormat/>
    <w:tblPr/>
  </w:style>
  <w:style w:type="table" w:styleId="846">
    <w:name w:val="清单表 41"/>
    <w:basedOn w:val="731"/>
    <w:next w:val="846"/>
    <w:link w:val="720"/>
    <w:uiPriority w:val="99"/>
    <w:qFormat/>
    <w:tblPr/>
  </w:style>
  <w:style w:type="table" w:styleId="847">
    <w:name w:val="清单表 5 深色1"/>
    <w:basedOn w:val="731"/>
    <w:next w:val="847"/>
    <w:link w:val="720"/>
    <w:uiPriority w:val="99"/>
    <w:qFormat/>
    <w:tblPr/>
  </w:style>
  <w:style w:type="table" w:styleId="848">
    <w:name w:val="清单表 6 彩色1"/>
    <w:basedOn w:val="731"/>
    <w:next w:val="848"/>
    <w:link w:val="720"/>
    <w:uiPriority w:val="99"/>
    <w:qFormat/>
    <w:tblPr/>
  </w:style>
  <w:style w:type="table" w:styleId="849">
    <w:name w:val="清单表 7 彩色1"/>
    <w:basedOn w:val="731"/>
    <w:next w:val="849"/>
    <w:link w:val="720"/>
    <w:uiPriority w:val="99"/>
    <w:qFormat/>
    <w:tblPr/>
  </w:style>
  <w:style w:type="paragraph" w:styleId="850">
    <w:name w:val="TOC 标题111"/>
    <w:next w:val="850"/>
    <w:link w:val="720"/>
    <w:uiPriority w:val="39"/>
    <w:unhideWhenUsed/>
    <w:qFormat/>
    <w:rPr>
      <w:rFonts w:ascii="Times New Roman" w:hAnsi="Times New Roman" w:eastAsia="宋体" w:cs="Times New Roman"/>
    </w:rPr>
  </w:style>
  <w:style w:type="paragraph" w:styleId="851">
    <w:name w:val="标题 1111"/>
    <w:basedOn w:val="720"/>
    <w:next w:val="720"/>
    <w:link w:val="852"/>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852">
    <w:name w:val="标题 1 字符"/>
    <w:next w:val="852"/>
    <w:link w:val="851"/>
    <w:uiPriority w:val="9"/>
    <w:qFormat/>
    <w:rPr>
      <w:rFonts w:ascii="Arial" w:hAnsi="Arial" w:eastAsia="Arial" w:cs="Arial"/>
      <w:color w:val="000000"/>
      <w:sz w:val="40"/>
      <w:szCs w:val="40"/>
    </w:rPr>
  </w:style>
  <w:style w:type="paragraph" w:styleId="853">
    <w:name w:val="标题 2111"/>
    <w:basedOn w:val="720"/>
    <w:next w:val="720"/>
    <w:link w:val="854"/>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854">
    <w:name w:val="标题 2 字符"/>
    <w:next w:val="854"/>
    <w:link w:val="853"/>
    <w:uiPriority w:val="9"/>
    <w:qFormat/>
    <w:rPr>
      <w:rFonts w:ascii="Arial" w:hAnsi="Arial" w:eastAsia="Arial" w:cs="Arial"/>
      <w:color w:val="000000"/>
      <w:sz w:val="34"/>
      <w:szCs w:val="21"/>
    </w:rPr>
  </w:style>
  <w:style w:type="paragraph" w:styleId="855">
    <w:name w:val="标题 3111"/>
    <w:basedOn w:val="720"/>
    <w:next w:val="720"/>
    <w:link w:val="856"/>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856">
    <w:name w:val="标题 3 字符"/>
    <w:next w:val="856"/>
    <w:link w:val="855"/>
    <w:uiPriority w:val="9"/>
    <w:qFormat/>
    <w:rPr>
      <w:rFonts w:ascii="Arial" w:hAnsi="Arial" w:eastAsia="Arial" w:cs="Arial"/>
      <w:color w:val="000000"/>
      <w:sz w:val="30"/>
      <w:szCs w:val="30"/>
    </w:rPr>
  </w:style>
  <w:style w:type="paragraph" w:styleId="857">
    <w:name w:val="标题 4111"/>
    <w:basedOn w:val="720"/>
    <w:next w:val="720"/>
    <w:link w:val="858"/>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858">
    <w:name w:val="标题 4 字符"/>
    <w:next w:val="858"/>
    <w:link w:val="857"/>
    <w:uiPriority w:val="9"/>
    <w:qFormat/>
    <w:rPr>
      <w:rFonts w:ascii="Arial" w:hAnsi="Arial" w:eastAsia="Arial" w:cs="Arial"/>
      <w:b/>
      <w:bCs/>
      <w:color w:val="000000"/>
      <w:sz w:val="26"/>
      <w:szCs w:val="26"/>
    </w:rPr>
  </w:style>
  <w:style w:type="paragraph" w:styleId="859">
    <w:name w:val="标题 511"/>
    <w:basedOn w:val="720"/>
    <w:next w:val="720"/>
    <w:link w:val="860"/>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860">
    <w:name w:val="标题 5 字符"/>
    <w:next w:val="860"/>
    <w:link w:val="859"/>
    <w:uiPriority w:val="9"/>
    <w:qFormat/>
    <w:rPr>
      <w:rFonts w:ascii="Arial" w:hAnsi="Arial" w:eastAsia="Arial" w:cs="Arial"/>
      <w:b/>
      <w:bCs/>
      <w:color w:val="000000"/>
      <w:sz w:val="24"/>
      <w:szCs w:val="21"/>
    </w:rPr>
  </w:style>
  <w:style w:type="paragraph" w:styleId="861">
    <w:name w:val="标题 611"/>
    <w:basedOn w:val="720"/>
    <w:next w:val="720"/>
    <w:link w:val="862"/>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862">
    <w:name w:val="标题 6 字符"/>
    <w:next w:val="862"/>
    <w:link w:val="861"/>
    <w:uiPriority w:val="9"/>
    <w:qFormat/>
    <w:rPr>
      <w:rFonts w:ascii="Arial" w:hAnsi="Arial" w:eastAsia="Arial" w:cs="Arial"/>
      <w:b/>
      <w:bCs/>
      <w:color w:val="000000"/>
      <w:sz w:val="22"/>
      <w:szCs w:val="22"/>
    </w:rPr>
  </w:style>
  <w:style w:type="paragraph" w:styleId="863">
    <w:name w:val="标题 711"/>
    <w:basedOn w:val="720"/>
    <w:next w:val="720"/>
    <w:link w:val="864"/>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864">
    <w:name w:val="标题 7 字符"/>
    <w:next w:val="864"/>
    <w:link w:val="863"/>
    <w:uiPriority w:val="9"/>
    <w:qFormat/>
    <w:rPr>
      <w:rFonts w:ascii="Arial" w:hAnsi="Arial" w:eastAsia="Arial" w:cs="Arial"/>
      <w:b/>
      <w:bCs/>
      <w:i/>
      <w:iCs/>
      <w:color w:val="000000"/>
      <w:sz w:val="22"/>
      <w:szCs w:val="22"/>
    </w:rPr>
  </w:style>
  <w:style w:type="paragraph" w:styleId="865">
    <w:name w:val="标题 811"/>
    <w:basedOn w:val="720"/>
    <w:next w:val="720"/>
    <w:link w:val="866"/>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866">
    <w:name w:val="标题 8 字符"/>
    <w:next w:val="866"/>
    <w:link w:val="865"/>
    <w:uiPriority w:val="9"/>
    <w:qFormat/>
    <w:rPr>
      <w:rFonts w:ascii="Arial" w:hAnsi="Arial" w:eastAsia="Arial" w:cs="Arial"/>
      <w:i/>
      <w:iCs/>
      <w:color w:val="000000"/>
      <w:sz w:val="22"/>
      <w:szCs w:val="22"/>
    </w:rPr>
  </w:style>
  <w:style w:type="paragraph" w:styleId="867">
    <w:name w:val="标题 911"/>
    <w:basedOn w:val="720"/>
    <w:next w:val="720"/>
    <w:link w:val="868"/>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868">
    <w:name w:val="标题 9 字符"/>
    <w:next w:val="868"/>
    <w:link w:val="867"/>
    <w:uiPriority w:val="9"/>
    <w:qFormat/>
    <w:rPr>
      <w:rFonts w:ascii="Arial" w:hAnsi="Arial" w:eastAsia="Arial" w:cs="Arial"/>
      <w:i/>
      <w:iCs/>
      <w:color w:val="000000"/>
      <w:sz w:val="22"/>
      <w:szCs w:val="21"/>
    </w:rPr>
  </w:style>
  <w:style w:type="paragraph" w:styleId="869">
    <w:name w:val="题注11"/>
    <w:basedOn w:val="720"/>
    <w:next w:val="720"/>
    <w:link w:val="720"/>
    <w:uiPriority w:val="35"/>
    <w:unhideWhenUsed/>
    <w:qFormat/>
    <w:pPr>
      <w:ind w:firstLine="420"/>
      <w:jc w:val="left"/>
      <w:spacing w:line="276" w:lineRule="auto"/>
    </w:pPr>
    <w:rPr>
      <w:rFonts w:ascii="宋体" w:hAnsi="宋体" w:eastAsia="宋体" w:cs="宋体"/>
      <w:b/>
      <w:bCs/>
      <w:color w:val="5b9bd5"/>
      <w:sz w:val="18"/>
      <w:szCs w:val="18"/>
    </w:rPr>
  </w:style>
  <w:style w:type="paragraph" w:styleId="870">
    <w:name w:val="页脚111"/>
    <w:basedOn w:val="720"/>
    <w:next w:val="870"/>
    <w:link w:val="871"/>
    <w:uiPriority w:val="99"/>
    <w:unhideWhenUsed/>
    <w:qFormat/>
    <w:pPr>
      <w:ind w:firstLine="420"/>
      <w:jc w:val="left"/>
      <w:spacing w:line="360" w:lineRule="auto"/>
      <w:tabs>
        <w:tab w:val="center" w:pos="7143" w:leader="none"/>
        <w:tab w:val="right" w:pos="14287" w:leader="none"/>
      </w:tabs>
    </w:pPr>
    <w:rPr>
      <w:rFonts w:ascii="宋体" w:hAnsi="宋体" w:eastAsia="宋体" w:cs="宋体"/>
      <w:color w:val="000000"/>
      <w:sz w:val="22"/>
      <w:szCs w:val="21"/>
    </w:rPr>
  </w:style>
  <w:style w:type="character" w:styleId="871">
    <w:name w:val="页脚 字符"/>
    <w:next w:val="871"/>
    <w:link w:val="870"/>
    <w:qFormat/>
    <w:rPr>
      <w:rFonts w:ascii="宋体" w:hAnsi="宋体" w:eastAsia="宋体" w:cs="宋体"/>
      <w:color w:val="000000"/>
      <w:sz w:val="22"/>
      <w:szCs w:val="21"/>
    </w:rPr>
  </w:style>
  <w:style w:type="paragraph" w:styleId="872">
    <w:name w:val="页眉111"/>
    <w:basedOn w:val="720"/>
    <w:next w:val="872"/>
    <w:link w:val="873"/>
    <w:uiPriority w:val="99"/>
    <w:unhideWhenUsed/>
    <w:qFormat/>
    <w:pPr>
      <w:ind w:firstLine="420"/>
      <w:jc w:val="left"/>
      <w:spacing w:line="360" w:lineRule="auto"/>
      <w:tabs>
        <w:tab w:val="center" w:pos="7143" w:leader="none"/>
        <w:tab w:val="right" w:pos="14287" w:leader="none"/>
      </w:tabs>
    </w:pPr>
    <w:rPr>
      <w:rFonts w:ascii="宋体" w:hAnsi="宋体" w:eastAsia="宋体" w:cs="宋体"/>
      <w:color w:val="000000"/>
      <w:sz w:val="22"/>
      <w:szCs w:val="21"/>
    </w:rPr>
  </w:style>
  <w:style w:type="character" w:styleId="873">
    <w:name w:val="页眉 字符"/>
    <w:next w:val="873"/>
    <w:link w:val="872"/>
    <w:qFormat/>
    <w:rPr>
      <w:rFonts w:ascii="宋体" w:hAnsi="宋体" w:eastAsia="宋体" w:cs="宋体"/>
      <w:color w:val="000000"/>
      <w:sz w:val="22"/>
      <w:szCs w:val="21"/>
    </w:rPr>
  </w:style>
  <w:style w:type="character" w:styleId="874">
    <w:name w:val="Heading 1 Char"/>
    <w:basedOn w:val="730"/>
    <w:next w:val="874"/>
    <w:link w:val="720"/>
    <w:uiPriority w:val="9"/>
    <w:qFormat/>
    <w:rPr>
      <w:rFonts w:ascii="Arial" w:hAnsi="Arial" w:eastAsia="Arial" w:cs="Arial"/>
      <w:sz w:val="40"/>
      <w:szCs w:val="40"/>
    </w:rPr>
  </w:style>
  <w:style w:type="character" w:styleId="875">
    <w:name w:val="Heading 2 Char"/>
    <w:basedOn w:val="730"/>
    <w:next w:val="875"/>
    <w:link w:val="720"/>
    <w:uiPriority w:val="9"/>
    <w:qFormat/>
    <w:rPr>
      <w:rFonts w:ascii="Arial" w:hAnsi="Arial" w:eastAsia="Arial" w:cs="Arial"/>
      <w:sz w:val="34"/>
    </w:rPr>
  </w:style>
  <w:style w:type="character" w:styleId="876">
    <w:name w:val="Heading 3 Char"/>
    <w:basedOn w:val="730"/>
    <w:next w:val="876"/>
    <w:link w:val="720"/>
    <w:uiPriority w:val="9"/>
    <w:qFormat/>
    <w:rPr>
      <w:rFonts w:ascii="Arial" w:hAnsi="Arial" w:eastAsia="Arial" w:cs="Arial"/>
      <w:sz w:val="30"/>
      <w:szCs w:val="30"/>
    </w:rPr>
  </w:style>
  <w:style w:type="character" w:styleId="877">
    <w:name w:val="Heading 4 Char"/>
    <w:basedOn w:val="730"/>
    <w:next w:val="877"/>
    <w:link w:val="720"/>
    <w:uiPriority w:val="9"/>
    <w:qFormat/>
    <w:rPr>
      <w:rFonts w:ascii="Arial" w:hAnsi="Arial" w:eastAsia="Arial" w:cs="Arial"/>
      <w:b/>
      <w:bCs/>
      <w:sz w:val="26"/>
      <w:szCs w:val="26"/>
    </w:rPr>
  </w:style>
  <w:style w:type="character" w:styleId="878">
    <w:name w:val="Heading 5 Char"/>
    <w:basedOn w:val="730"/>
    <w:next w:val="878"/>
    <w:link w:val="720"/>
    <w:uiPriority w:val="9"/>
    <w:qFormat/>
    <w:rPr>
      <w:rFonts w:ascii="Arial" w:hAnsi="Arial" w:eastAsia="Arial" w:cs="Arial"/>
      <w:b/>
      <w:bCs/>
      <w:sz w:val="24"/>
      <w:szCs w:val="24"/>
    </w:rPr>
  </w:style>
  <w:style w:type="character" w:styleId="879">
    <w:name w:val="Heading 6 Char"/>
    <w:basedOn w:val="730"/>
    <w:next w:val="879"/>
    <w:link w:val="720"/>
    <w:uiPriority w:val="9"/>
    <w:qFormat/>
    <w:rPr>
      <w:rFonts w:ascii="Arial" w:hAnsi="Arial" w:eastAsia="Arial" w:cs="Arial"/>
      <w:b/>
      <w:bCs/>
      <w:sz w:val="22"/>
      <w:szCs w:val="22"/>
    </w:rPr>
  </w:style>
  <w:style w:type="character" w:styleId="880">
    <w:name w:val="Heading 7 Char"/>
    <w:basedOn w:val="730"/>
    <w:next w:val="880"/>
    <w:link w:val="720"/>
    <w:uiPriority w:val="9"/>
    <w:qFormat/>
    <w:rPr>
      <w:rFonts w:ascii="Arial" w:hAnsi="Arial" w:eastAsia="Arial" w:cs="Arial"/>
      <w:b/>
      <w:bCs/>
      <w:i/>
      <w:iCs/>
      <w:sz w:val="22"/>
      <w:szCs w:val="22"/>
    </w:rPr>
  </w:style>
  <w:style w:type="character" w:styleId="881">
    <w:name w:val="Heading 8 Char"/>
    <w:basedOn w:val="730"/>
    <w:next w:val="881"/>
    <w:link w:val="720"/>
    <w:uiPriority w:val="9"/>
    <w:qFormat/>
    <w:rPr>
      <w:rFonts w:ascii="Arial" w:hAnsi="Arial" w:eastAsia="Arial" w:cs="Arial"/>
      <w:i/>
      <w:iCs/>
      <w:sz w:val="22"/>
      <w:szCs w:val="22"/>
    </w:rPr>
  </w:style>
  <w:style w:type="character" w:styleId="882">
    <w:name w:val="Heading 9 Char"/>
    <w:basedOn w:val="730"/>
    <w:next w:val="882"/>
    <w:link w:val="720"/>
    <w:uiPriority w:val="9"/>
    <w:qFormat/>
    <w:rPr>
      <w:rFonts w:ascii="Arial" w:hAnsi="Arial" w:eastAsia="Arial" w:cs="Arial"/>
      <w:i/>
      <w:iCs/>
      <w:sz w:val="21"/>
      <w:szCs w:val="21"/>
    </w:rPr>
  </w:style>
  <w:style w:type="character" w:styleId="883">
    <w:name w:val="Title Char"/>
    <w:basedOn w:val="730"/>
    <w:next w:val="883"/>
    <w:link w:val="720"/>
    <w:uiPriority w:val="10"/>
    <w:qFormat/>
    <w:rPr>
      <w:sz w:val="48"/>
      <w:szCs w:val="48"/>
    </w:rPr>
  </w:style>
  <w:style w:type="character" w:styleId="884">
    <w:name w:val="Subtitle Char"/>
    <w:basedOn w:val="730"/>
    <w:next w:val="884"/>
    <w:link w:val="720"/>
    <w:uiPriority w:val="11"/>
    <w:qFormat/>
    <w:rPr>
      <w:sz w:val="24"/>
      <w:szCs w:val="24"/>
    </w:rPr>
  </w:style>
  <w:style w:type="character" w:styleId="885">
    <w:name w:val="Quote Char"/>
    <w:next w:val="885"/>
    <w:link w:val="720"/>
    <w:uiPriority w:val="29"/>
    <w:qFormat/>
    <w:rPr>
      <w:i/>
    </w:rPr>
  </w:style>
  <w:style w:type="character" w:styleId="886">
    <w:name w:val="Intense Quote Char"/>
    <w:next w:val="886"/>
    <w:link w:val="720"/>
    <w:uiPriority w:val="30"/>
    <w:qFormat/>
    <w:rPr>
      <w:i/>
    </w:rPr>
  </w:style>
  <w:style w:type="character" w:styleId="887">
    <w:name w:val="Header Char"/>
    <w:basedOn w:val="730"/>
    <w:next w:val="887"/>
    <w:link w:val="720"/>
    <w:uiPriority w:val="99"/>
    <w:qFormat/>
  </w:style>
  <w:style w:type="character" w:styleId="888">
    <w:name w:val="Caption Char"/>
    <w:next w:val="888"/>
    <w:link w:val="720"/>
    <w:uiPriority w:val="99"/>
    <w:qFormat/>
  </w:style>
  <w:style w:type="character" w:styleId="889">
    <w:name w:val="Footnote Text Char"/>
    <w:next w:val="889"/>
    <w:link w:val="720"/>
    <w:uiPriority w:val="99"/>
    <w:qFormat/>
    <w:rPr>
      <w:sz w:val="18"/>
    </w:rPr>
  </w:style>
  <w:style w:type="character" w:styleId="890">
    <w:name w:val="Endnote Text Char"/>
    <w:next w:val="890"/>
    <w:link w:val="720"/>
    <w:uiPriority w:val="99"/>
    <w:qFormat/>
    <w:rPr>
      <w:sz w:val="20"/>
    </w:rPr>
  </w:style>
  <w:style w:type="paragraph" w:styleId="891">
    <w:name w:val="正文1"/>
    <w:next w:val="891"/>
    <w:link w:val="720"/>
    <w:qFormat/>
    <w:rPr>
      <w:rFonts w:ascii="Helvetica" w:hAnsi="Helvetica" w:eastAsia="Arial Unicode MS" w:cs="Arial Unicode MS"/>
      <w:color w:val="000000"/>
      <w:sz w:val="22"/>
      <w:szCs w:val="22"/>
    </w:rPr>
  </w:style>
  <w:style w:type="paragraph" w:styleId="892">
    <w:name w:val="List Paragraph"/>
    <w:basedOn w:val="720"/>
    <w:next w:val="892"/>
    <w:link w:val="720"/>
    <w:uiPriority w:val="34"/>
    <w:qFormat/>
    <w:pPr>
      <w:contextualSpacing/>
      <w:ind w:left="720" w:firstLine="420"/>
      <w:jc w:val="left"/>
      <w:spacing w:line="360" w:lineRule="auto"/>
    </w:pPr>
    <w:rPr>
      <w:rFonts w:ascii="宋体" w:hAnsi="宋体" w:eastAsia="宋体" w:cs="宋体"/>
      <w:color w:val="000000"/>
      <w:sz w:val="22"/>
      <w:szCs w:val="21"/>
    </w:rPr>
  </w:style>
  <w:style w:type="paragraph" w:styleId="893">
    <w:name w:val="No Spacing"/>
    <w:next w:val="893"/>
    <w:link w:val="720"/>
    <w:uiPriority w:val="1"/>
    <w:qFormat/>
    <w:rPr>
      <w:rFonts w:ascii="Calibri" w:hAnsi="Calibri" w:eastAsia="宋体" w:cs="Times New Roman"/>
    </w:rPr>
  </w:style>
  <w:style w:type="paragraph" w:styleId="894">
    <w:name w:val="Quote"/>
    <w:basedOn w:val="720"/>
    <w:next w:val="720"/>
    <w:link w:val="895"/>
    <w:uiPriority w:val="29"/>
    <w:qFormat/>
    <w:pPr>
      <w:ind w:left="720" w:right="720" w:firstLine="420"/>
      <w:jc w:val="left"/>
      <w:spacing w:line="360" w:lineRule="auto"/>
    </w:pPr>
    <w:rPr>
      <w:rFonts w:ascii="宋体" w:hAnsi="宋体" w:eastAsia="宋体" w:cs="宋体"/>
      <w:i/>
      <w:color w:val="000000"/>
      <w:sz w:val="22"/>
      <w:szCs w:val="21"/>
    </w:rPr>
  </w:style>
  <w:style w:type="character" w:styleId="895">
    <w:name w:val="引用 Char"/>
    <w:basedOn w:val="730"/>
    <w:next w:val="895"/>
    <w:link w:val="894"/>
    <w:uiPriority w:val="29"/>
    <w:qFormat/>
    <w:rPr>
      <w:rFonts w:ascii="宋体" w:hAnsi="宋体" w:eastAsia="宋体" w:cs="宋体"/>
      <w:i/>
      <w:color w:val="000000"/>
      <w:sz w:val="22"/>
      <w:szCs w:val="21"/>
    </w:rPr>
  </w:style>
  <w:style w:type="paragraph" w:styleId="896">
    <w:name w:val="Intense Quote"/>
    <w:basedOn w:val="720"/>
    <w:next w:val="720"/>
    <w:link w:val="897"/>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eastAsia="宋体" w:cs="宋体"/>
      <w:i/>
      <w:color w:val="000000"/>
      <w:sz w:val="22"/>
      <w:szCs w:val="21"/>
    </w:rPr>
  </w:style>
  <w:style w:type="character" w:styleId="897">
    <w:name w:val="明显引用 Char"/>
    <w:basedOn w:val="730"/>
    <w:next w:val="897"/>
    <w:link w:val="896"/>
    <w:uiPriority w:val="30"/>
    <w:qFormat/>
    <w:rPr>
      <w:rFonts w:ascii="宋体" w:hAnsi="宋体" w:eastAsia="宋体" w:cs="宋体"/>
      <w:i/>
      <w:color w:val="000000"/>
      <w:sz w:val="22"/>
      <w:szCs w:val="21"/>
      <w:shd w:val="clear" w:color="auto" w:fill="f2f2f2"/>
    </w:rPr>
  </w:style>
  <w:style w:type="character" w:styleId="898">
    <w:name w:val="Footer Char"/>
    <w:next w:val="898"/>
    <w:link w:val="720"/>
    <w:uiPriority w:val="99"/>
    <w:qFormat/>
  </w:style>
  <w:style w:type="table" w:styleId="899">
    <w:name w:val="Table Grid Light"/>
    <w:next w:val="899"/>
    <w:link w:val="720"/>
    <w:uiPriority w:val="59"/>
    <w:qFormat/>
    <w:tblPr/>
  </w:style>
  <w:style w:type="table" w:styleId="900">
    <w:name w:val="Grid Table 1 Light - Accent 1"/>
    <w:next w:val="900"/>
    <w:link w:val="720"/>
    <w:uiPriority w:val="99"/>
    <w:qFormat/>
    <w:tblPr/>
  </w:style>
  <w:style w:type="table" w:styleId="901">
    <w:name w:val="Grid Table 1 Light - Accent 2"/>
    <w:next w:val="901"/>
    <w:link w:val="720"/>
    <w:uiPriority w:val="99"/>
    <w:qFormat/>
    <w:tblPr/>
  </w:style>
  <w:style w:type="table" w:styleId="902">
    <w:name w:val="Grid Table 1 Light - Accent 3"/>
    <w:next w:val="902"/>
    <w:link w:val="720"/>
    <w:uiPriority w:val="99"/>
    <w:qFormat/>
    <w:tblPr/>
  </w:style>
  <w:style w:type="table" w:styleId="903">
    <w:name w:val="Grid Table 1 Light - Accent 4"/>
    <w:next w:val="903"/>
    <w:link w:val="720"/>
    <w:uiPriority w:val="99"/>
    <w:qFormat/>
    <w:tblPr/>
  </w:style>
  <w:style w:type="table" w:styleId="904">
    <w:name w:val="Grid Table 1 Light - Accent 5"/>
    <w:next w:val="904"/>
    <w:link w:val="720"/>
    <w:uiPriority w:val="99"/>
    <w:qFormat/>
    <w:tblPr/>
  </w:style>
  <w:style w:type="table" w:styleId="905">
    <w:name w:val="Grid Table 1 Light - Accent 6"/>
    <w:next w:val="905"/>
    <w:link w:val="720"/>
    <w:uiPriority w:val="99"/>
    <w:qFormat/>
    <w:tblPr/>
  </w:style>
  <w:style w:type="table" w:styleId="906">
    <w:name w:val="Grid Table 2 - Accent 1"/>
    <w:next w:val="906"/>
    <w:link w:val="720"/>
    <w:uiPriority w:val="99"/>
    <w:qFormat/>
    <w:tblPr/>
  </w:style>
  <w:style w:type="table" w:styleId="907">
    <w:name w:val="Grid Table 2 - Accent 2"/>
    <w:next w:val="907"/>
    <w:link w:val="720"/>
    <w:uiPriority w:val="99"/>
    <w:qFormat/>
    <w:tblPr/>
  </w:style>
  <w:style w:type="table" w:styleId="908">
    <w:name w:val="Grid Table 2 - Accent 3"/>
    <w:next w:val="908"/>
    <w:link w:val="720"/>
    <w:uiPriority w:val="99"/>
    <w:qFormat/>
    <w:tblPr/>
  </w:style>
  <w:style w:type="table" w:styleId="909">
    <w:name w:val="Grid Table 2 - Accent 4"/>
    <w:next w:val="909"/>
    <w:link w:val="720"/>
    <w:uiPriority w:val="99"/>
    <w:qFormat/>
    <w:tblPr/>
  </w:style>
  <w:style w:type="table" w:styleId="910">
    <w:name w:val="Grid Table 2 - Accent 5"/>
    <w:next w:val="910"/>
    <w:link w:val="720"/>
    <w:uiPriority w:val="99"/>
    <w:qFormat/>
    <w:tblPr/>
  </w:style>
  <w:style w:type="table" w:styleId="911">
    <w:name w:val="Grid Table 2 - Accent 6"/>
    <w:next w:val="911"/>
    <w:link w:val="720"/>
    <w:uiPriority w:val="99"/>
    <w:qFormat/>
    <w:tblPr/>
  </w:style>
  <w:style w:type="table" w:styleId="912">
    <w:name w:val="Grid Table 3 - Accent 1"/>
    <w:next w:val="912"/>
    <w:link w:val="720"/>
    <w:uiPriority w:val="99"/>
    <w:qFormat/>
    <w:tblPr/>
  </w:style>
  <w:style w:type="table" w:styleId="913">
    <w:name w:val="Grid Table 3 - Accent 2"/>
    <w:next w:val="913"/>
    <w:link w:val="720"/>
    <w:uiPriority w:val="99"/>
    <w:qFormat/>
    <w:tblPr/>
  </w:style>
  <w:style w:type="table" w:styleId="914">
    <w:name w:val="Grid Table 3 - Accent 3"/>
    <w:next w:val="914"/>
    <w:link w:val="720"/>
    <w:uiPriority w:val="99"/>
    <w:qFormat/>
    <w:tblPr/>
  </w:style>
  <w:style w:type="table" w:styleId="915">
    <w:name w:val="Grid Table 3 - Accent 4"/>
    <w:next w:val="915"/>
    <w:link w:val="720"/>
    <w:uiPriority w:val="99"/>
    <w:qFormat/>
    <w:tblPr/>
  </w:style>
  <w:style w:type="table" w:styleId="916">
    <w:name w:val="Grid Table 3 - Accent 5"/>
    <w:next w:val="916"/>
    <w:link w:val="720"/>
    <w:uiPriority w:val="99"/>
    <w:qFormat/>
    <w:tblPr/>
  </w:style>
  <w:style w:type="table" w:styleId="917">
    <w:name w:val="Grid Table 3 - Accent 6"/>
    <w:next w:val="917"/>
    <w:link w:val="720"/>
    <w:uiPriority w:val="99"/>
    <w:qFormat/>
    <w:tblPr/>
  </w:style>
  <w:style w:type="table" w:styleId="918">
    <w:name w:val="Grid Table 4 - Accent 1"/>
    <w:next w:val="918"/>
    <w:link w:val="720"/>
    <w:uiPriority w:val="59"/>
    <w:qFormat/>
    <w:tblPr/>
  </w:style>
  <w:style w:type="table" w:styleId="919">
    <w:name w:val="Grid Table 4 - Accent 2"/>
    <w:next w:val="919"/>
    <w:link w:val="720"/>
    <w:uiPriority w:val="59"/>
    <w:qFormat/>
    <w:tblPr/>
  </w:style>
  <w:style w:type="table" w:styleId="920">
    <w:name w:val="Grid Table 4 - Accent 3"/>
    <w:next w:val="920"/>
    <w:link w:val="720"/>
    <w:uiPriority w:val="59"/>
    <w:qFormat/>
    <w:tblPr/>
  </w:style>
  <w:style w:type="table" w:styleId="921">
    <w:name w:val="Grid Table 4 - Accent 4"/>
    <w:next w:val="921"/>
    <w:link w:val="720"/>
    <w:uiPriority w:val="59"/>
    <w:qFormat/>
    <w:tblPr/>
  </w:style>
  <w:style w:type="table" w:styleId="922">
    <w:name w:val="Grid Table 4 - Accent 5"/>
    <w:next w:val="922"/>
    <w:link w:val="720"/>
    <w:uiPriority w:val="59"/>
    <w:qFormat/>
    <w:tblPr/>
  </w:style>
  <w:style w:type="table" w:styleId="923">
    <w:name w:val="Grid Table 4 - Accent 6"/>
    <w:next w:val="923"/>
    <w:link w:val="720"/>
    <w:uiPriority w:val="59"/>
    <w:qFormat/>
    <w:tblPr/>
  </w:style>
  <w:style w:type="table" w:styleId="924">
    <w:name w:val="Grid Table 5 Dark- Accent 1"/>
    <w:next w:val="924"/>
    <w:link w:val="720"/>
    <w:uiPriority w:val="99"/>
    <w:qFormat/>
    <w:tblPr/>
  </w:style>
  <w:style w:type="table" w:styleId="925">
    <w:name w:val="Grid Table 5 Dark - Accent 2"/>
    <w:next w:val="925"/>
    <w:link w:val="720"/>
    <w:uiPriority w:val="99"/>
    <w:qFormat/>
    <w:tblPr/>
  </w:style>
  <w:style w:type="table" w:styleId="926">
    <w:name w:val="Grid Table 5 Dark - Accent 3"/>
    <w:next w:val="926"/>
    <w:link w:val="720"/>
    <w:uiPriority w:val="99"/>
    <w:qFormat/>
    <w:tblPr/>
  </w:style>
  <w:style w:type="table" w:styleId="927">
    <w:name w:val="Grid Table 5 Dark- Accent 4"/>
    <w:next w:val="927"/>
    <w:link w:val="720"/>
    <w:uiPriority w:val="99"/>
    <w:qFormat/>
    <w:tblPr/>
  </w:style>
  <w:style w:type="table" w:styleId="928">
    <w:name w:val="Grid Table 5 Dark - Accent 5"/>
    <w:next w:val="928"/>
    <w:link w:val="720"/>
    <w:uiPriority w:val="99"/>
    <w:qFormat/>
    <w:tblPr/>
  </w:style>
  <w:style w:type="table" w:styleId="929">
    <w:name w:val="Grid Table 5 Dark - Accent 6"/>
    <w:next w:val="929"/>
    <w:link w:val="720"/>
    <w:uiPriority w:val="99"/>
    <w:qFormat/>
    <w:tblPr/>
  </w:style>
  <w:style w:type="table" w:styleId="930">
    <w:name w:val="Grid Table 6 Colorful - Accent 1"/>
    <w:next w:val="930"/>
    <w:link w:val="720"/>
    <w:uiPriority w:val="99"/>
    <w:qFormat/>
    <w:tblPr/>
  </w:style>
  <w:style w:type="table" w:styleId="931">
    <w:name w:val="Grid Table 6 Colorful - Accent 2"/>
    <w:next w:val="931"/>
    <w:link w:val="720"/>
    <w:uiPriority w:val="99"/>
    <w:qFormat/>
    <w:tblPr/>
  </w:style>
  <w:style w:type="table" w:styleId="932">
    <w:name w:val="Grid Table 6 Colorful - Accent 3"/>
    <w:next w:val="932"/>
    <w:link w:val="720"/>
    <w:uiPriority w:val="99"/>
    <w:qFormat/>
    <w:tblPr/>
  </w:style>
  <w:style w:type="table" w:styleId="933">
    <w:name w:val="Grid Table 6 Colorful - Accent 4"/>
    <w:next w:val="933"/>
    <w:link w:val="720"/>
    <w:uiPriority w:val="99"/>
    <w:qFormat/>
    <w:tblPr/>
  </w:style>
  <w:style w:type="table" w:styleId="934">
    <w:name w:val="Grid Table 6 Colorful - Accent 5"/>
    <w:next w:val="934"/>
    <w:link w:val="720"/>
    <w:uiPriority w:val="99"/>
    <w:qFormat/>
    <w:tblPr/>
  </w:style>
  <w:style w:type="table" w:styleId="935">
    <w:name w:val="Grid Table 6 Colorful - Accent 6"/>
    <w:next w:val="935"/>
    <w:link w:val="720"/>
    <w:uiPriority w:val="99"/>
    <w:qFormat/>
    <w:tblPr/>
  </w:style>
  <w:style w:type="table" w:styleId="936">
    <w:name w:val="Grid Table 7 Colorful - Accent 1"/>
    <w:next w:val="936"/>
    <w:link w:val="720"/>
    <w:uiPriority w:val="99"/>
    <w:qFormat/>
    <w:tblPr/>
  </w:style>
  <w:style w:type="table" w:styleId="937">
    <w:name w:val="Grid Table 7 Colorful - Accent 2"/>
    <w:next w:val="937"/>
    <w:link w:val="720"/>
    <w:uiPriority w:val="99"/>
    <w:qFormat/>
    <w:tblPr/>
  </w:style>
  <w:style w:type="table" w:styleId="938">
    <w:name w:val="Grid Table 7 Colorful - Accent 3"/>
    <w:next w:val="938"/>
    <w:link w:val="720"/>
    <w:uiPriority w:val="99"/>
    <w:qFormat/>
    <w:tblPr/>
  </w:style>
  <w:style w:type="table" w:styleId="939">
    <w:name w:val="Grid Table 7 Colorful - Accent 4"/>
    <w:next w:val="939"/>
    <w:link w:val="720"/>
    <w:uiPriority w:val="99"/>
    <w:qFormat/>
    <w:tblPr/>
  </w:style>
  <w:style w:type="table" w:styleId="940">
    <w:name w:val="Grid Table 7 Colorful - Accent 5"/>
    <w:next w:val="940"/>
    <w:link w:val="720"/>
    <w:uiPriority w:val="99"/>
    <w:qFormat/>
    <w:tblPr/>
  </w:style>
  <w:style w:type="table" w:styleId="941">
    <w:name w:val="Grid Table 7 Colorful - Accent 6"/>
    <w:next w:val="941"/>
    <w:link w:val="720"/>
    <w:uiPriority w:val="99"/>
    <w:qFormat/>
    <w:tblPr/>
  </w:style>
  <w:style w:type="table" w:styleId="942">
    <w:name w:val="List Table 1 Light - Accent 1"/>
    <w:next w:val="942"/>
    <w:link w:val="720"/>
    <w:uiPriority w:val="99"/>
    <w:qFormat/>
    <w:tblPr/>
  </w:style>
  <w:style w:type="table" w:styleId="943">
    <w:name w:val="List Table 1 Light - Accent 2"/>
    <w:next w:val="943"/>
    <w:link w:val="720"/>
    <w:uiPriority w:val="99"/>
    <w:qFormat/>
    <w:tblPr/>
  </w:style>
  <w:style w:type="table" w:styleId="944">
    <w:name w:val="List Table 1 Light - Accent 3"/>
    <w:next w:val="944"/>
    <w:link w:val="720"/>
    <w:uiPriority w:val="99"/>
    <w:qFormat/>
    <w:tblPr/>
  </w:style>
  <w:style w:type="table" w:styleId="945">
    <w:name w:val="List Table 1 Light - Accent 4"/>
    <w:next w:val="945"/>
    <w:link w:val="720"/>
    <w:uiPriority w:val="99"/>
    <w:qFormat/>
    <w:tblPr/>
  </w:style>
  <w:style w:type="table" w:styleId="946">
    <w:name w:val="List Table 1 Light - Accent 5"/>
    <w:next w:val="946"/>
    <w:link w:val="720"/>
    <w:uiPriority w:val="99"/>
    <w:qFormat/>
    <w:tblPr/>
  </w:style>
  <w:style w:type="table" w:styleId="947">
    <w:name w:val="List Table 1 Light - Accent 6"/>
    <w:next w:val="947"/>
    <w:link w:val="720"/>
    <w:uiPriority w:val="99"/>
    <w:qFormat/>
    <w:tblPr/>
  </w:style>
  <w:style w:type="table" w:styleId="948">
    <w:name w:val="List Table 2 - Accent 1"/>
    <w:next w:val="948"/>
    <w:link w:val="720"/>
    <w:uiPriority w:val="99"/>
    <w:qFormat/>
    <w:tblPr/>
  </w:style>
  <w:style w:type="table" w:styleId="949">
    <w:name w:val="List Table 2 - Accent 2"/>
    <w:next w:val="949"/>
    <w:link w:val="720"/>
    <w:uiPriority w:val="99"/>
    <w:qFormat/>
    <w:tblPr/>
  </w:style>
  <w:style w:type="table" w:styleId="950">
    <w:name w:val="List Table 2 - Accent 3"/>
    <w:next w:val="950"/>
    <w:link w:val="720"/>
    <w:uiPriority w:val="99"/>
    <w:qFormat/>
    <w:tblPr/>
  </w:style>
  <w:style w:type="table" w:styleId="951">
    <w:name w:val="List Table 2 - Accent 4"/>
    <w:next w:val="951"/>
    <w:link w:val="720"/>
    <w:uiPriority w:val="99"/>
    <w:qFormat/>
    <w:tblPr/>
  </w:style>
  <w:style w:type="table" w:styleId="952">
    <w:name w:val="List Table 2 - Accent 5"/>
    <w:next w:val="952"/>
    <w:link w:val="720"/>
    <w:uiPriority w:val="99"/>
    <w:qFormat/>
    <w:tblPr/>
  </w:style>
  <w:style w:type="table" w:styleId="953">
    <w:name w:val="List Table 2 - Accent 6"/>
    <w:next w:val="953"/>
    <w:link w:val="720"/>
    <w:uiPriority w:val="99"/>
    <w:qFormat/>
    <w:tblPr/>
  </w:style>
  <w:style w:type="table" w:styleId="954">
    <w:name w:val="List Table 3 - Accent 1"/>
    <w:next w:val="954"/>
    <w:link w:val="720"/>
    <w:uiPriority w:val="99"/>
    <w:qFormat/>
    <w:tblPr/>
  </w:style>
  <w:style w:type="table" w:styleId="955">
    <w:name w:val="List Table 3 - Accent 2"/>
    <w:next w:val="955"/>
    <w:link w:val="720"/>
    <w:uiPriority w:val="99"/>
    <w:qFormat/>
    <w:tblPr/>
  </w:style>
  <w:style w:type="table" w:styleId="956">
    <w:name w:val="List Table 3 - Accent 3"/>
    <w:next w:val="956"/>
    <w:link w:val="720"/>
    <w:uiPriority w:val="99"/>
    <w:qFormat/>
    <w:tblPr/>
  </w:style>
  <w:style w:type="table" w:styleId="957">
    <w:name w:val="List Table 3 - Accent 4"/>
    <w:next w:val="957"/>
    <w:link w:val="720"/>
    <w:uiPriority w:val="99"/>
    <w:qFormat/>
    <w:tblPr/>
  </w:style>
  <w:style w:type="table" w:styleId="958">
    <w:name w:val="List Table 3 - Accent 5"/>
    <w:next w:val="958"/>
    <w:link w:val="720"/>
    <w:uiPriority w:val="99"/>
    <w:qFormat/>
    <w:tblPr/>
  </w:style>
  <w:style w:type="table" w:styleId="959">
    <w:name w:val="List Table 3 - Accent 6"/>
    <w:next w:val="959"/>
    <w:link w:val="720"/>
    <w:uiPriority w:val="99"/>
    <w:qFormat/>
    <w:tblPr/>
  </w:style>
  <w:style w:type="table" w:styleId="960">
    <w:name w:val="List Table 4 - Accent 1"/>
    <w:next w:val="960"/>
    <w:link w:val="720"/>
    <w:uiPriority w:val="99"/>
    <w:qFormat/>
    <w:tblPr/>
  </w:style>
  <w:style w:type="table" w:styleId="961">
    <w:name w:val="List Table 4 - Accent 2"/>
    <w:next w:val="961"/>
    <w:link w:val="720"/>
    <w:uiPriority w:val="99"/>
    <w:qFormat/>
    <w:tblPr/>
  </w:style>
  <w:style w:type="table" w:styleId="962">
    <w:name w:val="List Table 4 - Accent 3"/>
    <w:next w:val="962"/>
    <w:link w:val="720"/>
    <w:uiPriority w:val="99"/>
    <w:qFormat/>
    <w:tblPr/>
  </w:style>
  <w:style w:type="table" w:styleId="963">
    <w:name w:val="List Table 4 - Accent 4"/>
    <w:next w:val="963"/>
    <w:link w:val="720"/>
    <w:uiPriority w:val="99"/>
    <w:qFormat/>
    <w:tblPr/>
  </w:style>
  <w:style w:type="table" w:styleId="964">
    <w:name w:val="List Table 4 - Accent 5"/>
    <w:next w:val="964"/>
    <w:link w:val="720"/>
    <w:uiPriority w:val="99"/>
    <w:qFormat/>
    <w:tblPr/>
  </w:style>
  <w:style w:type="table" w:styleId="965">
    <w:name w:val="List Table 4 - Accent 6"/>
    <w:next w:val="965"/>
    <w:link w:val="720"/>
    <w:uiPriority w:val="99"/>
    <w:qFormat/>
    <w:tblPr/>
  </w:style>
  <w:style w:type="table" w:styleId="966">
    <w:name w:val="List Table 5 Dark - Accent 1"/>
    <w:next w:val="966"/>
    <w:link w:val="720"/>
    <w:uiPriority w:val="99"/>
    <w:qFormat/>
    <w:tblPr/>
  </w:style>
  <w:style w:type="table" w:styleId="967">
    <w:name w:val="List Table 5 Dark - Accent 2"/>
    <w:next w:val="967"/>
    <w:link w:val="720"/>
    <w:uiPriority w:val="99"/>
    <w:qFormat/>
    <w:tblPr/>
  </w:style>
  <w:style w:type="table" w:styleId="968">
    <w:name w:val="List Table 5 Dark - Accent 3"/>
    <w:next w:val="968"/>
    <w:link w:val="720"/>
    <w:uiPriority w:val="99"/>
    <w:qFormat/>
    <w:tblPr/>
  </w:style>
  <w:style w:type="table" w:styleId="969">
    <w:name w:val="List Table 5 Dark - Accent 4"/>
    <w:next w:val="969"/>
    <w:link w:val="720"/>
    <w:uiPriority w:val="99"/>
    <w:qFormat/>
    <w:tblPr/>
  </w:style>
  <w:style w:type="table" w:styleId="970">
    <w:name w:val="List Table 5 Dark - Accent 5"/>
    <w:next w:val="970"/>
    <w:link w:val="720"/>
    <w:uiPriority w:val="99"/>
    <w:qFormat/>
    <w:tblPr/>
  </w:style>
  <w:style w:type="table" w:styleId="971">
    <w:name w:val="List Table 5 Dark - Accent 6"/>
    <w:next w:val="971"/>
    <w:link w:val="720"/>
    <w:uiPriority w:val="99"/>
    <w:qFormat/>
    <w:tblPr/>
  </w:style>
  <w:style w:type="table" w:styleId="972">
    <w:name w:val="List Table 6 Colorful - Accent 1"/>
    <w:next w:val="972"/>
    <w:link w:val="720"/>
    <w:uiPriority w:val="99"/>
    <w:qFormat/>
    <w:tblPr/>
  </w:style>
  <w:style w:type="table" w:styleId="973">
    <w:name w:val="List Table 6 Colorful - Accent 2"/>
    <w:next w:val="973"/>
    <w:link w:val="720"/>
    <w:uiPriority w:val="99"/>
    <w:qFormat/>
    <w:tblPr/>
  </w:style>
  <w:style w:type="table" w:styleId="974">
    <w:name w:val="List Table 6 Colorful - Accent 3"/>
    <w:next w:val="974"/>
    <w:link w:val="720"/>
    <w:uiPriority w:val="99"/>
    <w:qFormat/>
    <w:tblPr/>
  </w:style>
  <w:style w:type="table" w:styleId="975">
    <w:name w:val="List Table 6 Colorful - Accent 4"/>
    <w:next w:val="975"/>
    <w:link w:val="720"/>
    <w:uiPriority w:val="99"/>
    <w:qFormat/>
    <w:tblPr/>
  </w:style>
  <w:style w:type="table" w:styleId="976">
    <w:name w:val="List Table 6 Colorful - Accent 5"/>
    <w:next w:val="976"/>
    <w:link w:val="720"/>
    <w:uiPriority w:val="99"/>
    <w:qFormat/>
    <w:tblPr/>
  </w:style>
  <w:style w:type="table" w:styleId="977">
    <w:name w:val="List Table 6 Colorful - Accent 6"/>
    <w:next w:val="977"/>
    <w:link w:val="720"/>
    <w:uiPriority w:val="99"/>
    <w:qFormat/>
    <w:tblPr/>
  </w:style>
  <w:style w:type="table" w:styleId="978">
    <w:name w:val="List Table 7 Colorful - Accent 1"/>
    <w:next w:val="978"/>
    <w:link w:val="720"/>
    <w:uiPriority w:val="99"/>
    <w:qFormat/>
    <w:tblPr/>
  </w:style>
  <w:style w:type="table" w:styleId="979">
    <w:name w:val="List Table 7 Colorful - Accent 2"/>
    <w:next w:val="979"/>
    <w:link w:val="720"/>
    <w:uiPriority w:val="99"/>
    <w:qFormat/>
    <w:tblPr/>
  </w:style>
  <w:style w:type="table" w:styleId="980">
    <w:name w:val="List Table 7 Colorful - Accent 3"/>
    <w:next w:val="980"/>
    <w:link w:val="720"/>
    <w:uiPriority w:val="99"/>
    <w:qFormat/>
    <w:tblPr/>
  </w:style>
  <w:style w:type="table" w:styleId="981">
    <w:name w:val="List Table 7 Colorful - Accent 4"/>
    <w:next w:val="981"/>
    <w:link w:val="720"/>
    <w:uiPriority w:val="99"/>
    <w:qFormat/>
    <w:tblPr/>
  </w:style>
  <w:style w:type="table" w:styleId="982">
    <w:name w:val="List Table 7 Colorful - Accent 5"/>
    <w:next w:val="982"/>
    <w:link w:val="720"/>
    <w:uiPriority w:val="99"/>
    <w:qFormat/>
    <w:tblPr/>
  </w:style>
  <w:style w:type="table" w:styleId="983">
    <w:name w:val="List Table 7 Colorful - Accent 6"/>
    <w:next w:val="983"/>
    <w:link w:val="720"/>
    <w:uiPriority w:val="99"/>
    <w:qFormat/>
    <w:tblPr/>
  </w:style>
  <w:style w:type="table" w:styleId="984">
    <w:name w:val="Lined - Accent"/>
    <w:next w:val="984"/>
    <w:link w:val="720"/>
    <w:uiPriority w:val="99"/>
    <w:qFormat/>
    <w:rPr>
      <w:color w:val="404040"/>
    </w:rPr>
    <w:tblPr/>
  </w:style>
  <w:style w:type="table" w:styleId="985">
    <w:name w:val="Lined - Accent 1"/>
    <w:next w:val="985"/>
    <w:link w:val="720"/>
    <w:uiPriority w:val="99"/>
    <w:qFormat/>
    <w:rPr>
      <w:color w:val="404040"/>
    </w:rPr>
    <w:tblPr/>
  </w:style>
  <w:style w:type="table" w:styleId="986">
    <w:name w:val="Lined - Accent 2"/>
    <w:next w:val="986"/>
    <w:link w:val="720"/>
    <w:uiPriority w:val="99"/>
    <w:qFormat/>
    <w:rPr>
      <w:color w:val="404040"/>
    </w:rPr>
    <w:tblPr/>
  </w:style>
  <w:style w:type="table" w:styleId="987">
    <w:name w:val="Lined - Accent 3"/>
    <w:next w:val="987"/>
    <w:link w:val="720"/>
    <w:uiPriority w:val="99"/>
    <w:qFormat/>
    <w:rPr>
      <w:color w:val="404040"/>
    </w:rPr>
    <w:tblPr/>
  </w:style>
  <w:style w:type="table" w:styleId="988">
    <w:name w:val="Lined - Accent 4"/>
    <w:next w:val="988"/>
    <w:link w:val="720"/>
    <w:uiPriority w:val="99"/>
    <w:qFormat/>
    <w:rPr>
      <w:color w:val="404040"/>
    </w:rPr>
    <w:tblPr/>
  </w:style>
  <w:style w:type="table" w:styleId="989">
    <w:name w:val="Lined - Accent 5"/>
    <w:next w:val="989"/>
    <w:link w:val="720"/>
    <w:uiPriority w:val="99"/>
    <w:qFormat/>
    <w:rPr>
      <w:color w:val="404040"/>
    </w:rPr>
    <w:tblPr/>
  </w:style>
  <w:style w:type="table" w:styleId="990">
    <w:name w:val="Lined - Accent 6"/>
    <w:next w:val="990"/>
    <w:link w:val="720"/>
    <w:uiPriority w:val="99"/>
    <w:qFormat/>
    <w:rPr>
      <w:color w:val="404040"/>
    </w:rPr>
    <w:tblPr/>
  </w:style>
  <w:style w:type="table" w:styleId="991">
    <w:name w:val="Bordered &amp; Lined - Accent"/>
    <w:next w:val="991"/>
    <w:link w:val="720"/>
    <w:uiPriority w:val="99"/>
    <w:qFormat/>
    <w:rPr>
      <w:color w:val="404040"/>
    </w:rPr>
    <w:tblPr/>
  </w:style>
  <w:style w:type="table" w:styleId="992">
    <w:name w:val="Bordered &amp; Lined - Accent 1"/>
    <w:next w:val="992"/>
    <w:link w:val="720"/>
    <w:uiPriority w:val="99"/>
    <w:qFormat/>
    <w:rPr>
      <w:color w:val="404040"/>
    </w:rPr>
    <w:tblPr/>
  </w:style>
  <w:style w:type="table" w:styleId="993">
    <w:name w:val="Bordered &amp; Lined - Accent 2"/>
    <w:next w:val="993"/>
    <w:link w:val="720"/>
    <w:uiPriority w:val="99"/>
    <w:qFormat/>
    <w:rPr>
      <w:color w:val="404040"/>
    </w:rPr>
    <w:tblPr/>
  </w:style>
  <w:style w:type="table" w:styleId="994">
    <w:name w:val="Bordered &amp; Lined - Accent 3"/>
    <w:next w:val="994"/>
    <w:link w:val="720"/>
    <w:uiPriority w:val="99"/>
    <w:qFormat/>
    <w:rPr>
      <w:color w:val="404040"/>
    </w:rPr>
    <w:tblPr/>
  </w:style>
  <w:style w:type="table" w:styleId="995">
    <w:name w:val="Bordered &amp; Lined - Accent 4"/>
    <w:next w:val="995"/>
    <w:link w:val="720"/>
    <w:uiPriority w:val="99"/>
    <w:qFormat/>
    <w:rPr>
      <w:color w:val="404040"/>
    </w:rPr>
    <w:tblPr/>
  </w:style>
  <w:style w:type="table" w:styleId="996">
    <w:name w:val="Bordered &amp; Lined - Accent 5"/>
    <w:next w:val="996"/>
    <w:link w:val="720"/>
    <w:uiPriority w:val="99"/>
    <w:qFormat/>
    <w:rPr>
      <w:color w:val="404040"/>
    </w:rPr>
    <w:tblPr/>
  </w:style>
  <w:style w:type="table" w:styleId="997">
    <w:name w:val="Bordered &amp; Lined - Accent 6"/>
    <w:next w:val="997"/>
    <w:link w:val="720"/>
    <w:uiPriority w:val="99"/>
    <w:qFormat/>
    <w:rPr>
      <w:color w:val="404040"/>
    </w:rPr>
    <w:tblPr/>
  </w:style>
  <w:style w:type="table" w:styleId="998">
    <w:name w:val="Bordered"/>
    <w:next w:val="998"/>
    <w:link w:val="720"/>
    <w:uiPriority w:val="99"/>
    <w:qFormat/>
    <w:tblPr/>
  </w:style>
  <w:style w:type="table" w:styleId="999">
    <w:name w:val="Bordered - Accent 1"/>
    <w:next w:val="999"/>
    <w:link w:val="720"/>
    <w:uiPriority w:val="99"/>
    <w:qFormat/>
    <w:tblPr/>
  </w:style>
  <w:style w:type="table" w:styleId="1000">
    <w:name w:val="Bordered - Accent 2"/>
    <w:next w:val="1000"/>
    <w:link w:val="720"/>
    <w:uiPriority w:val="99"/>
    <w:qFormat/>
    <w:tblPr/>
  </w:style>
  <w:style w:type="table" w:styleId="1001">
    <w:name w:val="Bordered - Accent 3"/>
    <w:next w:val="1001"/>
    <w:link w:val="720"/>
    <w:uiPriority w:val="99"/>
    <w:qFormat/>
    <w:tblPr/>
  </w:style>
  <w:style w:type="table" w:styleId="1002">
    <w:name w:val="Bordered - Accent 4"/>
    <w:next w:val="1002"/>
    <w:link w:val="720"/>
    <w:uiPriority w:val="99"/>
    <w:qFormat/>
    <w:tblPr/>
  </w:style>
  <w:style w:type="table" w:styleId="1003">
    <w:name w:val="Bordered - Accent 5"/>
    <w:next w:val="1003"/>
    <w:link w:val="720"/>
    <w:uiPriority w:val="99"/>
    <w:qFormat/>
    <w:tblPr/>
  </w:style>
  <w:style w:type="table" w:styleId="1004">
    <w:name w:val="Bordered - Accent 6"/>
    <w:next w:val="1004"/>
    <w:link w:val="720"/>
    <w:uiPriority w:val="99"/>
    <w:qFormat/>
    <w:tblPr/>
  </w:style>
  <w:style w:type="paragraph" w:styleId="1005">
    <w:name w:val="TOC 标题11"/>
    <w:next w:val="1005"/>
    <w:link w:val="720"/>
    <w:uiPriority w:val="39"/>
    <w:unhideWhenUsed/>
    <w:qFormat/>
    <w:rPr>
      <w:rFonts w:ascii="Calibri" w:hAnsi="Calibri" w:eastAsia="宋体" w:cs="Times New Roman"/>
    </w:rPr>
  </w:style>
  <w:style w:type="paragraph" w:styleId="1006">
    <w:name w:val="标题 111"/>
    <w:basedOn w:val="720"/>
    <w:next w:val="720"/>
    <w:link w:val="720"/>
    <w:qFormat/>
    <w:pPr>
      <w:ind w:firstLine="420"/>
      <w:jc w:val="left"/>
      <w:keepNext/>
      <w:spacing w:line="360" w:lineRule="auto"/>
      <w:outlineLvl w:val="0"/>
    </w:pPr>
    <w:rPr>
      <w:rFonts w:ascii="楷体_GB2312" w:hAnsi="宋体" w:eastAsia="楷体_GB2312" w:cs="宋体"/>
      <w:color w:val="000000"/>
      <w:sz w:val="28"/>
      <w:szCs w:val="20"/>
    </w:rPr>
  </w:style>
  <w:style w:type="paragraph" w:styleId="1007">
    <w:name w:val="标题 211"/>
    <w:basedOn w:val="720"/>
    <w:next w:val="720"/>
    <w:link w:val="1008"/>
    <w:qFormat/>
    <w:pPr>
      <w:ind w:firstLine="420"/>
      <w:jc w:val="center"/>
      <w:keepLines/>
      <w:keepNext/>
      <w:spacing w:before="260" w:after="260" w:line="416" w:lineRule="auto"/>
      <w:outlineLvl w:val="1"/>
    </w:pPr>
    <w:rPr>
      <w:rFonts w:ascii="Arial" w:hAnsi="Arial" w:eastAsia="幼圆" w:cs="宋体"/>
      <w:b/>
      <w:color w:val="000000"/>
      <w:sz w:val="44"/>
      <w:szCs w:val="20"/>
    </w:rPr>
  </w:style>
  <w:style w:type="character" w:styleId="1008">
    <w:name w:val="标题 2 Char"/>
    <w:next w:val="1008"/>
    <w:link w:val="1007"/>
    <w:qFormat/>
    <w:rPr>
      <w:rFonts w:ascii="Arial" w:hAnsi="Arial" w:eastAsia="幼圆" w:cs="宋体"/>
      <w:b/>
      <w:color w:val="000000"/>
      <w:sz w:val="44"/>
    </w:rPr>
  </w:style>
  <w:style w:type="paragraph" w:styleId="1009">
    <w:name w:val="标题 311"/>
    <w:basedOn w:val="720"/>
    <w:next w:val="720"/>
    <w:link w:val="720"/>
    <w:qFormat/>
    <w:pPr>
      <w:ind w:firstLine="420"/>
      <w:jc w:val="left"/>
      <w:keepLines/>
      <w:keepNext/>
      <w:spacing w:before="260" w:after="260" w:line="416" w:lineRule="auto"/>
      <w:outlineLvl w:val="2"/>
    </w:pPr>
    <w:rPr>
      <w:rFonts w:ascii="宋体" w:hAnsi="宋体" w:eastAsia="宋体" w:cs="宋体"/>
      <w:b/>
      <w:color w:val="000000"/>
      <w:sz w:val="32"/>
      <w:szCs w:val="20"/>
    </w:rPr>
  </w:style>
  <w:style w:type="paragraph" w:styleId="1010">
    <w:name w:val="标题 411"/>
    <w:basedOn w:val="720"/>
    <w:next w:val="1011"/>
    <w:link w:val="720"/>
    <w:qFormat/>
    <w:pPr>
      <w:ind w:firstLine="420"/>
      <w:jc w:val="left"/>
      <w:keepLines/>
      <w:keepNext/>
      <w:spacing w:before="280" w:after="290" w:line="376" w:lineRule="auto"/>
      <w:outlineLvl w:val="3"/>
    </w:pPr>
    <w:rPr>
      <w:rFonts w:ascii="Arial" w:hAnsi="Arial" w:eastAsia="黑体" w:cs="宋体"/>
      <w:b/>
      <w:bCs/>
      <w:color w:val="000000"/>
      <w:sz w:val="28"/>
      <w:szCs w:val="28"/>
    </w:rPr>
  </w:style>
  <w:style w:type="paragraph" w:styleId="1011">
    <w:name w:val="正文缩进11"/>
    <w:basedOn w:val="720"/>
    <w:next w:val="1011"/>
    <w:link w:val="720"/>
    <w:qFormat/>
    <w:pPr>
      <w:ind w:firstLine="420"/>
      <w:jc w:val="left"/>
      <w:spacing w:line="360" w:lineRule="auto"/>
    </w:pPr>
    <w:rPr>
      <w:rFonts w:ascii="宋体" w:hAnsi="宋体" w:eastAsia="宋体" w:cs="宋体"/>
      <w:color w:val="000000"/>
      <w:sz w:val="22"/>
      <w:szCs w:val="20"/>
    </w:rPr>
  </w:style>
  <w:style w:type="character" w:styleId="1012">
    <w:name w:val="默认段落字体1"/>
    <w:next w:val="1012"/>
    <w:link w:val="720"/>
    <w:semiHidden/>
    <w:qFormat/>
  </w:style>
  <w:style w:type="table" w:styleId="1013">
    <w:name w:val="普通表格1"/>
    <w:next w:val="1013"/>
    <w:link w:val="720"/>
    <w:semiHidden/>
    <w:qFormat/>
    <w:tblPr/>
  </w:style>
  <w:style w:type="paragraph" w:styleId="1014">
    <w:name w:val="批注文字1"/>
    <w:basedOn w:val="720"/>
    <w:next w:val="1014"/>
    <w:link w:val="720"/>
    <w:qFormat/>
    <w:pPr>
      <w:ind w:firstLine="420"/>
      <w:jc w:val="left"/>
      <w:spacing w:line="360" w:lineRule="auto"/>
    </w:pPr>
    <w:rPr>
      <w:rFonts w:ascii="Calibri" w:hAnsi="Calibri" w:eastAsia="宋体" w:cs="宋体"/>
      <w:color w:val="000000"/>
      <w:sz w:val="22"/>
      <w:szCs w:val="22"/>
    </w:rPr>
  </w:style>
  <w:style w:type="paragraph" w:styleId="1015">
    <w:name w:val="正文文本1"/>
    <w:basedOn w:val="720"/>
    <w:next w:val="1016"/>
    <w:link w:val="720"/>
    <w:qFormat/>
    <w:pPr>
      <w:ind w:firstLine="420"/>
      <w:jc w:val="left"/>
      <w:spacing w:line="360" w:lineRule="auto"/>
    </w:pPr>
    <w:rPr>
      <w:rFonts w:ascii="楷体_GB2312" w:hAnsi="Arial" w:eastAsia="楷体_GB2312" w:cs="宋体"/>
      <w:color w:val="000000"/>
      <w:sz w:val="28"/>
      <w:szCs w:val="20"/>
    </w:rPr>
  </w:style>
  <w:style w:type="paragraph" w:styleId="1016">
    <w:name w:val="正文文本 21"/>
    <w:basedOn w:val="720"/>
    <w:next w:val="1016"/>
    <w:link w:val="720"/>
    <w:qFormat/>
    <w:pPr>
      <w:ind w:firstLine="420"/>
      <w:jc w:val="center"/>
      <w:spacing w:line="360" w:lineRule="auto"/>
    </w:pPr>
    <w:rPr>
      <w:rFonts w:ascii="仿宋_GB2312" w:hAnsi="宋体" w:eastAsia="仿宋_GB2312" w:cs="宋体"/>
      <w:color w:val="000000"/>
      <w:sz w:val="44"/>
      <w:szCs w:val="21"/>
    </w:rPr>
  </w:style>
  <w:style w:type="paragraph" w:styleId="1017">
    <w:name w:val="正文文本缩进11"/>
    <w:basedOn w:val="720"/>
    <w:next w:val="1018"/>
    <w:link w:val="720"/>
    <w:qFormat/>
    <w:pPr>
      <w:ind w:left="420" w:firstLine="420"/>
      <w:jc w:val="left"/>
      <w:spacing w:after="120" w:line="360" w:lineRule="auto"/>
    </w:pPr>
    <w:rPr>
      <w:rFonts w:ascii="宋体" w:hAnsi="宋体" w:eastAsia="宋体" w:cs="宋体"/>
      <w:color w:val="000000"/>
      <w:sz w:val="22"/>
      <w:szCs w:val="21"/>
    </w:rPr>
  </w:style>
  <w:style w:type="paragraph" w:styleId="1018">
    <w:name w:val="寄信人地址1"/>
    <w:basedOn w:val="720"/>
    <w:next w:val="1018"/>
    <w:link w:val="720"/>
    <w:qFormat/>
    <w:pPr>
      <w:ind w:firstLine="420"/>
      <w:jc w:val="left"/>
      <w:spacing w:line="360" w:lineRule="auto"/>
    </w:pPr>
    <w:rPr>
      <w:rFonts w:ascii="Arial" w:hAnsi="Arial" w:eastAsia="宋体" w:cs="宋体"/>
      <w:color w:val="000000"/>
      <w:sz w:val="22"/>
      <w:szCs w:val="21"/>
    </w:rPr>
  </w:style>
  <w:style w:type="paragraph" w:styleId="1019">
    <w:name w:val="纯文本11"/>
    <w:basedOn w:val="720"/>
    <w:next w:val="1019"/>
    <w:link w:val="720"/>
    <w:uiPriority w:val="99"/>
    <w:qFormat/>
    <w:pPr>
      <w:ind w:firstLine="420"/>
      <w:jc w:val="left"/>
      <w:spacing w:line="360" w:lineRule="auto"/>
    </w:pPr>
    <w:rPr>
      <w:rFonts w:ascii="宋体" w:hAnsi="Courier New" w:eastAsia="宋体" w:cs="宋体"/>
      <w:color w:val="000000"/>
      <w:sz w:val="22"/>
      <w:szCs w:val="20"/>
    </w:rPr>
  </w:style>
  <w:style w:type="paragraph" w:styleId="1020">
    <w:name w:val="日期1"/>
    <w:basedOn w:val="720"/>
    <w:next w:val="720"/>
    <w:link w:val="720"/>
    <w:qFormat/>
    <w:pPr>
      <w:ind w:firstLine="420"/>
      <w:jc w:val="left"/>
      <w:spacing w:line="360" w:lineRule="auto"/>
    </w:pPr>
    <w:rPr>
      <w:rFonts w:ascii="宋体" w:hAnsi="宋体" w:eastAsia="宋体" w:cs="宋体"/>
      <w:color w:val="000000"/>
      <w:sz w:val="24"/>
      <w:szCs w:val="20"/>
    </w:rPr>
  </w:style>
  <w:style w:type="paragraph" w:styleId="1021">
    <w:name w:val="页脚11"/>
    <w:basedOn w:val="720"/>
    <w:next w:val="1021"/>
    <w:link w:val="720"/>
    <w:qFormat/>
    <w:pPr>
      <w:ind w:firstLine="420"/>
      <w:jc w:val="left"/>
      <w:spacing w:line="360" w:lineRule="auto"/>
      <w:tabs>
        <w:tab w:val="center" w:pos="4153" w:leader="none"/>
        <w:tab w:val="right" w:pos="8306" w:leader="none"/>
      </w:tabs>
    </w:pPr>
    <w:rPr>
      <w:rFonts w:ascii="宋体" w:hAnsi="宋体" w:eastAsia="宋体" w:cs="宋体"/>
      <w:color w:val="000000"/>
      <w:sz w:val="18"/>
      <w:szCs w:val="20"/>
    </w:rPr>
  </w:style>
  <w:style w:type="paragraph" w:styleId="1022">
    <w:name w:val="页眉11"/>
    <w:basedOn w:val="720"/>
    <w:next w:val="1022"/>
    <w:link w:val="720"/>
    <w:qFormat/>
    <w:pPr>
      <w:ind w:firstLine="420"/>
      <w:jc w:val="center"/>
      <w:spacing w:line="360" w:lineRule="auto"/>
      <w:tabs>
        <w:tab w:val="center" w:pos="4153" w:leader="none"/>
        <w:tab w:val="right" w:pos="8306" w:leader="none"/>
      </w:tabs>
      <w:pBdr>
        <w:bottom w:val="single" w:color="000000" w:sz="6" w:space="1"/>
      </w:pBdr>
    </w:pPr>
    <w:rPr>
      <w:rFonts w:ascii="宋体" w:hAnsi="宋体" w:eastAsia="宋体" w:cs="宋体"/>
      <w:color w:val="000000"/>
      <w:sz w:val="18"/>
      <w:szCs w:val="18"/>
    </w:rPr>
  </w:style>
  <w:style w:type="paragraph" w:styleId="1023">
    <w:name w:val="目录 11"/>
    <w:basedOn w:val="720"/>
    <w:next w:val="720"/>
    <w:link w:val="720"/>
    <w:semiHidden/>
    <w:qFormat/>
    <w:pPr>
      <w:ind w:firstLine="420"/>
      <w:jc w:val="left"/>
      <w:spacing w:before="120" w:after="120" w:line="300" w:lineRule="exact"/>
      <w:tabs>
        <w:tab w:val="right" w:pos="9440" w:leader="dot"/>
      </w:tabs>
    </w:pPr>
    <w:rPr>
      <w:rFonts w:ascii="黑体" w:hAnsi="宋体" w:eastAsia="黑体" w:cs="宋体"/>
      <w:b/>
      <w:caps/>
      <w:color w:val="000000"/>
      <w:sz w:val="18"/>
      <w:szCs w:val="28"/>
    </w:rPr>
  </w:style>
  <w:style w:type="paragraph" w:styleId="1024">
    <w:name w:val="普通(网站)11"/>
    <w:basedOn w:val="720"/>
    <w:next w:val="1024"/>
    <w:link w:val="720"/>
    <w:unhideWhenUsed/>
    <w:qFormat/>
    <w:pPr>
      <w:ind w:firstLine="5742"/>
      <w:jc w:val="center"/>
      <w:spacing w:before="100" w:beforeAutospacing="1" w:after="100" w:afterAutospacing="1" w:line="360" w:lineRule="auto"/>
      <w:widowControl/>
    </w:pPr>
    <w:rPr>
      <w:rFonts w:ascii="黑体" w:hAnsi="黑体" w:eastAsia="黑体" w:cs="宋体"/>
      <w:b/>
      <w:color w:val="000000"/>
      <w:sz w:val="44"/>
      <w:szCs w:val="21"/>
    </w:rPr>
  </w:style>
  <w:style w:type="paragraph" w:styleId="1025">
    <w:name w:val="正文首行缩进1"/>
    <w:basedOn w:val="720"/>
    <w:next w:val="1026"/>
    <w:link w:val="720"/>
    <w:uiPriority w:val="99"/>
    <w:qFormat/>
    <w:pPr>
      <w:ind w:firstLine="200"/>
      <w:jc w:val="left"/>
      <w:spacing w:line="360" w:lineRule="auto"/>
    </w:pPr>
    <w:rPr>
      <w:rFonts w:ascii="仿宋_GB2312" w:hAnsi="宋体" w:eastAsia="仿宋_GB2312" w:cs="宋体"/>
      <w:color w:val="000000"/>
      <w:sz w:val="30"/>
      <w:szCs w:val="30"/>
    </w:rPr>
  </w:style>
  <w:style w:type="paragraph" w:styleId="1026">
    <w:name w:val="正文首行缩进 211"/>
    <w:basedOn w:val="1017"/>
    <w:next w:val="1026"/>
    <w:link w:val="720"/>
    <w:qFormat/>
  </w:style>
  <w:style w:type="character" w:styleId="1027">
    <w:name w:val="页码11"/>
    <w:next w:val="1027"/>
    <w:link w:val="720"/>
    <w:qFormat/>
  </w:style>
  <w:style w:type="paragraph" w:styleId="1028">
    <w:name w:val="段"/>
    <w:next w:val="720"/>
    <w:link w:val="720"/>
    <w:qFormat/>
    <w:pPr>
      <w:ind w:firstLine="420"/>
      <w:jc w:val="both"/>
      <w:tabs>
        <w:tab w:val="center" w:pos="4201" w:leader="none"/>
        <w:tab w:val="right" w:pos="9298" w:leader="dot"/>
      </w:tabs>
    </w:pPr>
    <w:rPr>
      <w:rFonts w:ascii="宋体" w:hAnsi="Calibri" w:eastAsia="宋体" w:cs="Times New Roman"/>
      <w:sz w:val="21"/>
    </w:rPr>
  </w:style>
  <w:style w:type="paragraph" w:styleId="1029">
    <w:name w:val="普通正文"/>
    <w:basedOn w:val="720"/>
    <w:next w:val="1029"/>
    <w:link w:val="1030"/>
    <w:qFormat/>
    <w:pPr>
      <w:ind w:firstLine="480"/>
      <w:jc w:val="left"/>
      <w:spacing w:before="120" w:after="120" w:line="360" w:lineRule="auto"/>
    </w:pPr>
    <w:rPr>
      <w:rFonts w:ascii="Arial" w:hAnsi="Arial" w:eastAsia="宋体" w:cs="宋体"/>
      <w:color w:val="000000"/>
      <w:sz w:val="24"/>
      <w:szCs w:val="21"/>
    </w:rPr>
  </w:style>
  <w:style w:type="character" w:styleId="1030">
    <w:name w:val="普通正文 Char"/>
    <w:next w:val="1030"/>
    <w:link w:val="1029"/>
    <w:qFormat/>
    <w:rPr>
      <w:rFonts w:ascii="Arial" w:hAnsi="Arial" w:eastAsia="宋体" w:cs="宋体"/>
      <w:color w:val="000000"/>
      <w:sz w:val="24"/>
      <w:szCs w:val="21"/>
    </w:rPr>
  </w:style>
  <w:style w:type="paragraph" w:styleId="1031">
    <w:name w:val="无间隔1"/>
    <w:next w:val="1031"/>
    <w:link w:val="720"/>
    <w:uiPriority w:val="1"/>
    <w:qFormat/>
    <w:pPr>
      <w:jc w:val="both"/>
      <w:widowControl w:val="off"/>
    </w:pPr>
    <w:rPr>
      <w:rFonts w:ascii="Calibri" w:hAnsi="Calibri" w:eastAsia="宋体" w:cs="Times New Roman"/>
      <w:sz w:val="21"/>
      <w:szCs w:val="22"/>
    </w:rPr>
  </w:style>
  <w:style w:type="paragraph" w:styleId="1032">
    <w:name w:val="pa-3"/>
    <w:basedOn w:val="720"/>
    <w:next w:val="1032"/>
    <w:link w:val="720"/>
    <w:qFormat/>
    <w:pPr>
      <w:ind w:firstLine="420"/>
      <w:jc w:val="left"/>
      <w:spacing w:before="150" w:after="150" w:line="360" w:lineRule="auto"/>
      <w:widowControl/>
    </w:pPr>
    <w:rPr>
      <w:rFonts w:ascii="宋体" w:hAnsi="宋体" w:eastAsia="宋体" w:cs="宋体"/>
      <w:color w:val="000000"/>
      <w:sz w:val="24"/>
      <w:szCs w:val="21"/>
    </w:rPr>
  </w:style>
  <w:style w:type="paragraph" w:styleId="1033">
    <w:name w:val="pa-4"/>
    <w:basedOn w:val="720"/>
    <w:next w:val="1033"/>
    <w:link w:val="720"/>
    <w:qFormat/>
    <w:pPr>
      <w:ind w:firstLine="420"/>
      <w:jc w:val="left"/>
      <w:spacing w:before="150" w:after="150" w:line="360" w:lineRule="auto"/>
      <w:widowControl/>
    </w:pPr>
    <w:rPr>
      <w:rFonts w:ascii="宋体" w:hAnsi="宋体" w:eastAsia="宋体" w:cs="宋体"/>
      <w:color w:val="000000"/>
      <w:sz w:val="24"/>
      <w:szCs w:val="21"/>
    </w:rPr>
  </w:style>
  <w:style w:type="paragraph" w:styleId="1034">
    <w:name w:val="pa-5"/>
    <w:basedOn w:val="720"/>
    <w:next w:val="1034"/>
    <w:link w:val="720"/>
    <w:qFormat/>
    <w:pPr>
      <w:ind w:firstLine="420"/>
      <w:jc w:val="left"/>
      <w:spacing w:before="150" w:after="150" w:line="360" w:lineRule="auto"/>
      <w:widowControl/>
    </w:pPr>
    <w:rPr>
      <w:rFonts w:ascii="宋体" w:hAnsi="宋体" w:eastAsia="宋体" w:cs="宋体"/>
      <w:color w:val="000000"/>
      <w:sz w:val="24"/>
      <w:szCs w:val="21"/>
    </w:rPr>
  </w:style>
  <w:style w:type="paragraph" w:styleId="1035">
    <w:name w:val="pa-6"/>
    <w:basedOn w:val="720"/>
    <w:next w:val="1035"/>
    <w:link w:val="720"/>
    <w:qFormat/>
    <w:pPr>
      <w:ind w:firstLine="420"/>
      <w:jc w:val="left"/>
      <w:spacing w:before="150" w:after="150" w:line="360" w:lineRule="auto"/>
      <w:widowControl/>
    </w:pPr>
    <w:rPr>
      <w:rFonts w:ascii="宋体" w:hAnsi="宋体" w:eastAsia="宋体" w:cs="宋体"/>
      <w:color w:val="000000"/>
      <w:sz w:val="24"/>
      <w:szCs w:val="21"/>
    </w:rPr>
  </w:style>
  <w:style w:type="paragraph" w:styleId="1036">
    <w:name w:val="flName"/>
    <w:basedOn w:val="720"/>
    <w:next w:val="1036"/>
    <w:link w:val="720"/>
    <w:qFormat/>
    <w:pPr>
      <w:ind w:firstLine="420"/>
      <w:jc w:val="center"/>
      <w:spacing w:before="320" w:after="160" w:line="360" w:lineRule="atLeast"/>
    </w:pPr>
    <w:rPr>
      <w:rFonts w:ascii="Arial" w:hAnsi="宋体" w:eastAsia="黑体" w:cs="宋体"/>
      <w:color w:val="000000"/>
      <w:sz w:val="32"/>
      <w:szCs w:val="20"/>
    </w:rPr>
  </w:style>
  <w:style w:type="paragraph" w:styleId="1037">
    <w:name w:val="Default"/>
    <w:next w:val="1037"/>
    <w:link w:val="720"/>
    <w:qFormat/>
    <w:pPr>
      <w:widowControl w:val="off"/>
    </w:pPr>
    <w:rPr>
      <w:rFonts w:ascii="Times New Roman" w:hAnsi="Times New Roman" w:eastAsia="宋体" w:cs="Times New Roman"/>
      <w:color w:val="000000"/>
      <w:sz w:val="24"/>
      <w:szCs w:val="24"/>
    </w:rPr>
  </w:style>
  <w:style w:type="paragraph" w:styleId="1038">
    <w:name w:val="列出段落1"/>
    <w:basedOn w:val="720"/>
    <w:next w:val="1038"/>
    <w:link w:val="720"/>
    <w:qFormat/>
    <w:pPr>
      <w:contextualSpacing/>
      <w:ind w:left="720" w:firstLine="420"/>
      <w:jc w:val="left"/>
      <w:spacing w:line="360" w:lineRule="auto"/>
      <w:widowControl/>
    </w:pPr>
    <w:rPr>
      <w:rFonts w:ascii="Calibri" w:hAnsi="Calibri" w:eastAsia="宋体" w:cs="宋体"/>
      <w:color w:val="000000"/>
      <w:sz w:val="24"/>
      <w:szCs w:val="21"/>
      <w:lang w:eastAsia="en-US" w:bidi="en-US"/>
    </w:rPr>
  </w:style>
  <w:style w:type="paragraph" w:styleId="1039">
    <w:name w:val="Char"/>
    <w:basedOn w:val="720"/>
    <w:next w:val="1039"/>
    <w:link w:val="720"/>
    <w:qFormat/>
    <w:pPr>
      <w:ind w:firstLine="420"/>
      <w:jc w:val="left"/>
      <w:spacing w:line="360" w:lineRule="auto"/>
      <w:tabs>
        <w:tab w:val="left" w:pos="360" w:leader="none"/>
      </w:tabs>
    </w:pPr>
    <w:rPr>
      <w:rFonts w:ascii="宋体" w:hAnsi="宋体" w:eastAsia="宋体" w:cs="宋体"/>
      <w:color w:val="000000"/>
      <w:sz w:val="24"/>
      <w:szCs w:val="21"/>
    </w:rPr>
  </w:style>
  <w:style w:type="paragraph" w:styleId="1040">
    <w:name w:val="Body text|2"/>
    <w:basedOn w:val="720"/>
    <w:next w:val="1040"/>
    <w:link w:val="720"/>
    <w:qFormat/>
    <w:pPr>
      <w:ind w:firstLine="420"/>
      <w:jc w:val="left"/>
      <w:spacing w:after="580" w:line="360" w:lineRule="auto"/>
    </w:pPr>
    <w:rPr>
      <w:rFonts w:ascii="宋体" w:hAnsi="宋体" w:eastAsia="宋体" w:cs="宋体"/>
      <w:color w:val="000000"/>
      <w:sz w:val="28"/>
      <w:szCs w:val="28"/>
      <w:lang w:val="zh-TW" w:eastAsia="zh-TW" w:bidi="zh-TW"/>
    </w:rPr>
  </w:style>
  <w:style w:type="paragraph" w:styleId="1041">
    <w:name w:val="Body text|1"/>
    <w:basedOn w:val="720"/>
    <w:next w:val="1041"/>
    <w:link w:val="720"/>
    <w:qFormat/>
    <w:pPr>
      <w:ind w:firstLine="320"/>
      <w:jc w:val="left"/>
      <w:spacing w:line="466" w:lineRule="auto"/>
    </w:pPr>
    <w:rPr>
      <w:rFonts w:ascii="宋体" w:hAnsi="宋体" w:eastAsia="宋体" w:cs="宋体"/>
      <w:color w:val="000000"/>
      <w:sz w:val="20"/>
      <w:szCs w:val="20"/>
      <w:lang w:val="zh-TW" w:eastAsia="zh-TW" w:bidi="zh-TW"/>
    </w:rPr>
  </w:style>
  <w:style w:type="paragraph" w:styleId="1042">
    <w:name w:val="Body text|4"/>
    <w:basedOn w:val="720"/>
    <w:next w:val="1042"/>
    <w:link w:val="720"/>
    <w:qFormat/>
    <w:pPr>
      <w:ind w:hanging="1540"/>
      <w:jc w:val="left"/>
      <w:spacing w:line="360" w:lineRule="auto"/>
    </w:pPr>
    <w:rPr>
      <w:rFonts w:ascii="宋体" w:hAnsi="宋体" w:eastAsia="宋体" w:cs="宋体"/>
      <w:color w:val="000000"/>
      <w:sz w:val="20"/>
      <w:szCs w:val="20"/>
      <w:lang w:val="zh-CN"/>
    </w:rPr>
  </w:style>
  <w:style w:type="paragraph" w:styleId="1043">
    <w:name w:val="样式 小四 段前: 5 磅 段后: 5 磅 首行缩进:  2 字符"/>
    <w:basedOn w:val="720"/>
    <w:next w:val="1043"/>
    <w:link w:val="720"/>
    <w:qFormat/>
    <w:pPr>
      <w:ind w:firstLine="420"/>
      <w:jc w:val="left"/>
      <w:spacing w:line="360" w:lineRule="auto"/>
    </w:pPr>
    <w:rPr>
      <w:rFonts w:ascii="宋体" w:hAnsi="宋体" w:eastAsia="宋体" w:cs="宋体"/>
      <w:color w:val="000000"/>
      <w:sz w:val="22"/>
      <w:szCs w:val="21"/>
    </w:rPr>
  </w:style>
  <w:style w:type="paragraph" w:styleId="1044">
    <w:name w:val="标题 112"/>
    <w:basedOn w:val="720"/>
    <w:next w:val="720"/>
    <w:link w:val="720"/>
    <w:qFormat/>
    <w:pPr>
      <w:ind w:firstLine="420"/>
      <w:jc w:val="center"/>
      <w:keepNext/>
      <w:spacing w:line="360" w:lineRule="auto"/>
      <w:outlineLvl w:val="0"/>
    </w:pPr>
    <w:rPr>
      <w:rFonts w:ascii="楷体_GB2312" w:hAnsi="宋体" w:eastAsia="楷体_GB2312" w:cs="宋体"/>
      <w:color w:val="000000"/>
      <w:sz w:val="28"/>
      <w:szCs w:val="28"/>
    </w:rPr>
  </w:style>
  <w:style w:type="paragraph" w:styleId="1045">
    <w:name w:val="标题 212"/>
    <w:basedOn w:val="720"/>
    <w:next w:val="1046"/>
    <w:link w:val="72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046">
    <w:name w:val="正文缩进1"/>
    <w:basedOn w:val="720"/>
    <w:next w:val="1046"/>
    <w:link w:val="720"/>
    <w:qFormat/>
    <w:pPr>
      <w:ind w:firstLine="420"/>
      <w:jc w:val="left"/>
      <w:spacing w:line="360" w:lineRule="auto"/>
    </w:pPr>
    <w:rPr>
      <w:rFonts w:ascii="宋体" w:hAnsi="宋体" w:eastAsia="宋体" w:cs="宋体"/>
      <w:color w:val="000000"/>
      <w:sz w:val="22"/>
      <w:szCs w:val="21"/>
    </w:rPr>
  </w:style>
  <w:style w:type="paragraph" w:styleId="1047">
    <w:name w:val="标题 412"/>
    <w:basedOn w:val="720"/>
    <w:next w:val="720"/>
    <w:link w:val="72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048">
    <w:name w:val="正文首行缩进 21"/>
    <w:basedOn w:val="1049"/>
    <w:next w:val="1048"/>
    <w:link w:val="720"/>
    <w:qFormat/>
    <w:pPr>
      <w:ind w:firstLine="420"/>
    </w:pPr>
    <w:rPr>
      <w:rFonts w:ascii="宋体" w:eastAsia="宋体"/>
      <w:sz w:val="21"/>
      <w:szCs w:val="20"/>
    </w:rPr>
  </w:style>
  <w:style w:type="paragraph" w:styleId="1049">
    <w:name w:val="正文文本缩进1"/>
    <w:basedOn w:val="720"/>
    <w:next w:val="1049"/>
    <w:link w:val="720"/>
    <w:qFormat/>
    <w:pPr>
      <w:ind w:firstLine="645"/>
      <w:jc w:val="left"/>
      <w:spacing w:line="360" w:lineRule="auto"/>
    </w:pPr>
    <w:rPr>
      <w:rFonts w:ascii="楷体_GB2312" w:hAnsi="宋体" w:eastAsia="楷体_GB2312" w:cs="宋体"/>
      <w:color w:val="000000"/>
      <w:sz w:val="32"/>
      <w:szCs w:val="32"/>
    </w:rPr>
  </w:style>
  <w:style w:type="paragraph" w:styleId="1050">
    <w:name w:val="标题 312"/>
    <w:basedOn w:val="720"/>
    <w:next w:val="720"/>
    <w:link w:val="720"/>
    <w:qFormat/>
    <w:pPr>
      <w:ind w:firstLine="420"/>
      <w:jc w:val="left"/>
      <w:keepLines/>
      <w:keepNext/>
      <w:spacing w:before="260" w:after="260" w:line="416" w:lineRule="auto"/>
      <w:outlineLvl w:val="2"/>
    </w:pPr>
    <w:rPr>
      <w:rFonts w:ascii="宋体" w:hAnsi="宋体" w:eastAsia="宋体" w:cs="宋体"/>
      <w:b/>
      <w:bCs/>
      <w:color w:val="000000"/>
      <w:sz w:val="32"/>
      <w:szCs w:val="32"/>
    </w:rPr>
  </w:style>
  <w:style w:type="paragraph" w:styleId="1051">
    <w:name w:val="页眉12"/>
    <w:basedOn w:val="720"/>
    <w:next w:val="1051"/>
    <w:link w:val="720"/>
    <w:qFormat/>
    <w:pPr>
      <w:ind w:firstLine="420"/>
      <w:jc w:val="center"/>
      <w:spacing w:line="360" w:lineRule="auto"/>
      <w:tabs>
        <w:tab w:val="center" w:pos="4153" w:leader="none"/>
        <w:tab w:val="right" w:pos="8306" w:leader="none"/>
      </w:tabs>
      <w:pBdr>
        <w:bottom w:val="single" w:color="000000" w:sz="6" w:space="1"/>
      </w:pBdr>
    </w:pPr>
    <w:rPr>
      <w:rFonts w:ascii="宋体" w:hAnsi="宋体" w:eastAsia="宋体" w:cs="宋体"/>
      <w:color w:val="000000"/>
      <w:sz w:val="18"/>
      <w:szCs w:val="18"/>
    </w:rPr>
  </w:style>
  <w:style w:type="paragraph" w:styleId="1052">
    <w:name w:val="页脚12"/>
    <w:basedOn w:val="720"/>
    <w:next w:val="1052"/>
    <w:link w:val="720"/>
    <w:qFormat/>
    <w:pPr>
      <w:ind w:firstLine="420"/>
      <w:jc w:val="left"/>
      <w:spacing w:line="360" w:lineRule="auto"/>
      <w:tabs>
        <w:tab w:val="center" w:pos="4153" w:leader="none"/>
        <w:tab w:val="right" w:pos="8306" w:leader="none"/>
      </w:tabs>
    </w:pPr>
    <w:rPr>
      <w:rFonts w:ascii="宋体" w:hAnsi="宋体" w:eastAsia="宋体" w:cs="宋体"/>
      <w:color w:val="000000"/>
      <w:sz w:val="18"/>
      <w:szCs w:val="18"/>
    </w:rPr>
  </w:style>
  <w:style w:type="character" w:styleId="1053">
    <w:name w:val="页码1"/>
    <w:next w:val="1053"/>
    <w:link w:val="720"/>
    <w:qFormat/>
  </w:style>
  <w:style w:type="paragraph" w:styleId="1054">
    <w:name w:val="普通(网站)1"/>
    <w:basedOn w:val="720"/>
    <w:next w:val="1054"/>
    <w:link w:val="72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character" w:styleId="1055">
    <w:name w:val="NormalCharacter1"/>
    <w:next w:val="1055"/>
    <w:link w:val="720"/>
    <w:uiPriority w:val="99"/>
    <w:qFormat/>
    <w:rPr>
      <w:rFonts w:ascii="Calibri" w:hAnsi="Calibri" w:eastAsia="宋体"/>
    </w:rPr>
  </w:style>
  <w:style w:type="character" w:styleId="1056">
    <w:name w:val="font11"/>
    <w:basedOn w:val="730"/>
    <w:next w:val="1056"/>
    <w:link w:val="720"/>
    <w:qFormat/>
    <w:rPr>
      <w:rFonts w:ascii="Calibri" w:hAnsi="Calibri" w:eastAsia="宋体" w:cs="Times New Roman"/>
      <w:sz w:val="21"/>
      <w:szCs w:val="24"/>
      <w:lang w:val="en-US" w:eastAsia="zh-CN" w:bidi="ar-SA"/>
    </w:rPr>
  </w:style>
  <w:style w:type="character" w:styleId="1057">
    <w:name w:val="font21"/>
    <w:basedOn w:val="730"/>
    <w:next w:val="1057"/>
    <w:link w:val="720"/>
    <w:qFormat/>
    <w:rPr>
      <w:rFonts w:hint="eastAsia" w:ascii="宋体" w:hAnsi="宋体" w:eastAsia="宋体" w:cs="宋体"/>
      <w:b/>
      <w:bCs/>
      <w:color w:val="000000"/>
      <w:sz w:val="21"/>
      <w:szCs w:val="21"/>
      <w:u w:val="none"/>
    </w:rPr>
  </w:style>
  <w:style w:type="character" w:styleId="1058">
    <w:name w:val="15"/>
    <w:basedOn w:val="730"/>
    <w:next w:val="1058"/>
    <w:link w:val="720"/>
    <w:qFormat/>
  </w:style>
  <w:style w:type="paragraph" w:styleId="1059">
    <w:name w:val="首行缩进"/>
    <w:basedOn w:val="720"/>
    <w:next w:val="1059"/>
    <w:link w:val="720"/>
    <w:qFormat/>
    <w:pPr>
      <w:ind w:firstLine="480"/>
      <w:spacing w:line="360" w:lineRule="auto"/>
    </w:pPr>
    <w:rPr>
      <w:rFonts w:ascii="宋体" w:hAnsi="宋体" w:eastAsia="宋体" w:cs="宋体"/>
      <w:sz w:val="24"/>
      <w:szCs w:val="21"/>
    </w:rPr>
  </w:style>
  <w:style w:type="character" w:styleId="1060">
    <w:name w:val="NormalCharacter1"/>
    <w:next w:val="1060"/>
    <w:link w:val="720"/>
    <w:uiPriority w:val="99"/>
    <w:qFormat/>
    <w:rPr>
      <w:rFonts w:ascii="Calibri" w:hAnsi="Calibri" w:eastAsia="宋体"/>
    </w:rPr>
  </w:style>
  <w:style w:type="character" w:styleId="1061">
    <w:name w:val="标题 1 Char"/>
    <w:basedOn w:val="730"/>
    <w:next w:val="1061"/>
    <w:link w:val="720"/>
    <w:qFormat/>
    <w:rPr>
      <w:b/>
      <w:bCs/>
      <w:sz w:val="44"/>
      <w:szCs w:val="44"/>
    </w:rPr>
  </w:style>
  <w:style w:type="character" w:styleId="1062">
    <w:name w:val="批注文字 Char1"/>
    <w:basedOn w:val="730"/>
    <w:next w:val="1062"/>
    <w:link w:val="720"/>
    <w:uiPriority w:val="99"/>
    <w:semiHidden/>
    <w:qFormat/>
    <w:rPr>
      <w:sz w:val="21"/>
      <w:szCs w:val="24"/>
    </w:rPr>
  </w:style>
  <w:style w:type="character" w:styleId="1063">
    <w:name w:val="批注框文本 Char1"/>
    <w:basedOn w:val="730"/>
    <w:next w:val="1063"/>
    <w:link w:val="720"/>
    <w:uiPriority w:val="99"/>
    <w:semiHidden/>
    <w:qFormat/>
    <w:rPr>
      <w:sz w:val="18"/>
      <w:szCs w:val="18"/>
    </w:rPr>
  </w:style>
  <w:style w:type="character" w:styleId="1064">
    <w:name w:val="HTML 预设格式 Char1"/>
    <w:basedOn w:val="730"/>
    <w:next w:val="1064"/>
    <w:link w:val="720"/>
    <w:uiPriority w:val="99"/>
    <w:semiHidden/>
    <w:qFormat/>
    <w:rPr>
      <w:rFonts w:ascii="Courier New" w:hAnsi="Courier New" w:cs="Courier New"/>
    </w:rPr>
  </w:style>
  <w:style w:type="character" w:styleId="1065">
    <w:name w:val="批注主题 Char1"/>
    <w:basedOn w:val="1062"/>
    <w:next w:val="1065"/>
    <w:link w:val="720"/>
    <w:uiPriority w:val="99"/>
    <w:semiHidden/>
    <w:qFormat/>
    <w:rPr>
      <w:b/>
      <w:bCs/>
      <w:sz w:val="21"/>
      <w:szCs w:val="24"/>
    </w:rPr>
  </w:style>
  <w:style w:type="paragraph" w:styleId="1066">
    <w:name w:val="Table Text"/>
    <w:basedOn w:val="720"/>
    <w:next w:val="1066"/>
    <w:link w:val="720"/>
    <w:semiHidden/>
    <w:qFormat/>
    <w:rPr>
      <w:rFonts w:ascii="宋体" w:hAnsi="宋体" w:eastAsia="宋体" w:cs="宋体"/>
      <w:sz w:val="24"/>
      <w:szCs w:val="24"/>
      <w:lang w:val="en-US" w:eastAsia="en-US" w:bidi="ar-SA"/>
    </w:rPr>
  </w:style>
  <w:style w:type="table" w:styleId="1067">
    <w:name w:val="Table Normal"/>
    <w:next w:val="1067"/>
    <w:link w:val="720"/>
    <w:unhideWhenUsed/>
    <w:qFormat/>
    <w:tbl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范蓉</cp:lastModifiedBy>
  <cp:revision>6</cp:revision>
  <dcterms:created xsi:type="dcterms:W3CDTF">2024-12-18T08:56:00Z</dcterms:created>
  <dcterms:modified xsi:type="dcterms:W3CDTF">2025-04-08T07:01:41Z</dcterms:modified>
</cp:coreProperties>
</file>