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DB3FC2">
      <w:pPr>
        <w:spacing w:line="360" w:lineRule="auto"/>
        <w:rPr>
          <w:rFonts w:ascii="宋体" w:hAnsi="宋体" w:cs="宋体"/>
          <w:b/>
          <w:color w:val="auto"/>
          <w:sz w:val="52"/>
          <w:szCs w:val="52"/>
          <w:highlight w:val="none"/>
        </w:rPr>
      </w:pPr>
    </w:p>
    <w:p w14:paraId="6729C86C">
      <w:pPr>
        <w:spacing w:line="360" w:lineRule="auto"/>
        <w:jc w:val="center"/>
        <w:rPr>
          <w:rFonts w:ascii="宋体" w:hAnsi="宋体" w:cs="宋体"/>
          <w:b/>
          <w:color w:val="auto"/>
          <w:sz w:val="52"/>
          <w:szCs w:val="52"/>
          <w:highlight w:val="none"/>
        </w:rPr>
      </w:pPr>
    </w:p>
    <w:p w14:paraId="48FAB3FF">
      <w:pPr>
        <w:spacing w:line="360" w:lineRule="auto"/>
        <w:jc w:val="center"/>
        <w:rPr>
          <w:rFonts w:ascii="宋体" w:hAnsi="宋体" w:cs="宋体"/>
          <w:b/>
          <w:color w:val="auto"/>
          <w:sz w:val="52"/>
          <w:szCs w:val="52"/>
          <w:highlight w:val="none"/>
        </w:rPr>
      </w:pPr>
      <w:r>
        <w:rPr>
          <w:rFonts w:hint="eastAsia" w:ascii="宋体" w:hAnsi="宋体" w:cs="宋体"/>
          <w:b/>
          <w:color w:val="auto"/>
          <w:sz w:val="52"/>
          <w:szCs w:val="52"/>
          <w:highlight w:val="none"/>
        </w:rPr>
        <w:t>无锡市政府采购项目</w:t>
      </w:r>
    </w:p>
    <w:p w14:paraId="54D81288">
      <w:pPr>
        <w:spacing w:line="360" w:lineRule="auto"/>
        <w:jc w:val="center"/>
        <w:rPr>
          <w:rFonts w:ascii="宋体" w:hAnsi="宋体" w:cs="宋体"/>
          <w:b/>
          <w:color w:val="auto"/>
          <w:sz w:val="52"/>
          <w:szCs w:val="52"/>
          <w:highlight w:val="none"/>
        </w:rPr>
      </w:pPr>
      <w:r>
        <w:rPr>
          <w:rFonts w:hint="eastAsia" w:ascii="宋体" w:hAnsi="宋体" w:cs="宋体"/>
          <w:b/>
          <w:color w:val="auto"/>
          <w:sz w:val="52"/>
          <w:szCs w:val="52"/>
          <w:highlight w:val="none"/>
        </w:rPr>
        <w:t>公开招标文件</w:t>
      </w:r>
    </w:p>
    <w:p w14:paraId="004BBD88">
      <w:pPr>
        <w:spacing w:line="360" w:lineRule="auto"/>
        <w:jc w:val="center"/>
        <w:rPr>
          <w:rFonts w:ascii="宋体" w:hAnsi="宋体" w:cs="宋体"/>
          <w:b/>
          <w:color w:val="auto"/>
          <w:sz w:val="24"/>
          <w:highlight w:val="none"/>
        </w:rPr>
      </w:pPr>
      <w:r>
        <w:rPr>
          <w:rFonts w:hint="eastAsia" w:ascii="华文中宋" w:hAnsi="华文中宋" w:eastAsia="华文中宋"/>
          <w:b/>
          <w:color w:val="auto"/>
          <w:sz w:val="30"/>
          <w:highlight w:val="none"/>
        </w:rPr>
        <w:t>（全流程电子化）</w:t>
      </w:r>
    </w:p>
    <w:p w14:paraId="74B2C0E0">
      <w:pPr>
        <w:spacing w:line="360" w:lineRule="auto"/>
        <w:rPr>
          <w:rFonts w:ascii="宋体" w:hAnsi="宋体" w:cs="宋体"/>
          <w:b/>
          <w:color w:val="auto"/>
          <w:sz w:val="24"/>
          <w:highlight w:val="none"/>
        </w:rPr>
      </w:pPr>
    </w:p>
    <w:p w14:paraId="089E539B">
      <w:pPr>
        <w:pStyle w:val="237"/>
        <w:rPr>
          <w:color w:val="auto"/>
          <w:highlight w:val="none"/>
        </w:rPr>
      </w:pPr>
    </w:p>
    <w:p w14:paraId="3CFA1755">
      <w:pPr>
        <w:spacing w:line="360" w:lineRule="auto"/>
        <w:rPr>
          <w:rFonts w:ascii="宋体" w:hAnsi="宋体" w:cs="宋体"/>
          <w:b/>
          <w:color w:val="auto"/>
          <w:sz w:val="24"/>
          <w:highlight w:val="none"/>
        </w:rPr>
      </w:pPr>
    </w:p>
    <w:p w14:paraId="615DF04B">
      <w:pPr>
        <w:spacing w:line="360" w:lineRule="auto"/>
        <w:rPr>
          <w:rFonts w:ascii="宋体" w:hAnsi="宋体" w:cs="宋体"/>
          <w:b/>
          <w:color w:val="auto"/>
          <w:sz w:val="24"/>
          <w:highlight w:val="none"/>
        </w:rPr>
      </w:pPr>
    </w:p>
    <w:p w14:paraId="6BD853F8">
      <w:pPr>
        <w:widowControl/>
        <w:spacing w:before="90" w:after="90"/>
        <w:ind w:left="161" w:hanging="161"/>
        <w:jc w:val="left"/>
        <w:rPr>
          <w:rFonts w:ascii="宋体" w:hAnsi="宋体" w:cs="宋体"/>
          <w:b/>
          <w:color w:val="auto"/>
          <w:sz w:val="32"/>
          <w:szCs w:val="32"/>
          <w:highlight w:val="none"/>
        </w:rPr>
      </w:pPr>
      <w:r>
        <w:rPr>
          <w:rFonts w:hint="eastAsia" w:ascii="宋体" w:hAnsi="宋体" w:cs="宋体"/>
          <w:b/>
          <w:color w:val="auto"/>
          <w:sz w:val="32"/>
          <w:szCs w:val="32"/>
          <w:highlight w:val="none"/>
        </w:rPr>
        <w:t xml:space="preserve">政府采购编号：JSZC-320200-BJJZ-G2025-0047 </w:t>
      </w:r>
    </w:p>
    <w:p w14:paraId="651A526B">
      <w:pPr>
        <w:spacing w:line="360" w:lineRule="auto"/>
        <w:rPr>
          <w:rFonts w:ascii="宋体" w:hAnsi="宋体" w:cs="宋体"/>
          <w:b/>
          <w:color w:val="auto"/>
          <w:sz w:val="32"/>
          <w:szCs w:val="32"/>
          <w:highlight w:val="none"/>
        </w:rPr>
      </w:pPr>
    </w:p>
    <w:p w14:paraId="3DD8C07E">
      <w:pPr>
        <w:spacing w:line="360" w:lineRule="auto"/>
        <w:rPr>
          <w:rFonts w:ascii="宋体" w:hAnsi="宋体" w:cs="宋体"/>
          <w:b/>
          <w:bCs/>
          <w:color w:val="auto"/>
          <w:sz w:val="32"/>
          <w:szCs w:val="32"/>
          <w:highlight w:val="none"/>
        </w:rPr>
      </w:pPr>
      <w:r>
        <w:rPr>
          <w:rFonts w:hint="eastAsia" w:ascii="宋体" w:hAnsi="宋体" w:cs="宋体"/>
          <w:b/>
          <w:color w:val="auto"/>
          <w:sz w:val="32"/>
          <w:szCs w:val="32"/>
          <w:highlight w:val="none"/>
        </w:rPr>
        <w:t>项目名称：</w:t>
      </w:r>
      <w:r>
        <w:rPr>
          <w:rFonts w:hint="eastAsia" w:ascii="宋体" w:hAnsi="宋体" w:cs="宋体"/>
          <w:b/>
          <w:bCs/>
          <w:color w:val="auto"/>
          <w:sz w:val="32"/>
          <w:szCs w:val="32"/>
          <w:highlight w:val="none"/>
        </w:rPr>
        <w:t>无锡市精神卫生中心信息基础设施运维服务项目</w:t>
      </w:r>
    </w:p>
    <w:p w14:paraId="3F5D71A6">
      <w:pPr>
        <w:spacing w:line="360" w:lineRule="auto"/>
        <w:rPr>
          <w:rFonts w:ascii="宋体" w:hAnsi="宋体" w:cs="宋体"/>
          <w:b/>
          <w:color w:val="auto"/>
          <w:sz w:val="32"/>
          <w:szCs w:val="32"/>
          <w:highlight w:val="none"/>
        </w:rPr>
      </w:pPr>
    </w:p>
    <w:p w14:paraId="7EDDB8E7">
      <w:pPr>
        <w:spacing w:line="360" w:lineRule="auto"/>
        <w:rPr>
          <w:rFonts w:ascii="宋体" w:hAnsi="宋体" w:cs="宋体"/>
          <w:b/>
          <w:color w:val="auto"/>
          <w:sz w:val="32"/>
          <w:szCs w:val="32"/>
          <w:highlight w:val="none"/>
        </w:rPr>
      </w:pPr>
      <w:r>
        <w:rPr>
          <w:rFonts w:hint="eastAsia" w:ascii="宋体" w:hAnsi="宋体" w:cs="宋体"/>
          <w:b/>
          <w:bCs/>
          <w:color w:val="auto"/>
          <w:sz w:val="32"/>
          <w:szCs w:val="32"/>
          <w:highlight w:val="none"/>
        </w:rPr>
        <w:t>采购人：无锡市精神卫生中心</w:t>
      </w:r>
    </w:p>
    <w:p w14:paraId="1B0B80B0">
      <w:pPr>
        <w:spacing w:line="360" w:lineRule="auto"/>
        <w:rPr>
          <w:rFonts w:ascii="宋体" w:hAnsi="宋体" w:cs="宋体"/>
          <w:b/>
          <w:color w:val="auto"/>
          <w:sz w:val="32"/>
          <w:szCs w:val="32"/>
          <w:highlight w:val="none"/>
        </w:rPr>
      </w:pPr>
    </w:p>
    <w:p w14:paraId="2354A2B3">
      <w:pPr>
        <w:spacing w:line="360" w:lineRule="auto"/>
        <w:jc w:val="left"/>
        <w:rPr>
          <w:rFonts w:ascii="宋体" w:hAnsi="宋体" w:cs="宋体"/>
          <w:b/>
          <w:color w:val="auto"/>
          <w:sz w:val="32"/>
          <w:szCs w:val="32"/>
          <w:highlight w:val="none"/>
        </w:rPr>
      </w:pPr>
      <w:r>
        <w:rPr>
          <w:rFonts w:hint="eastAsia" w:ascii="宋体" w:hAnsi="宋体" w:cs="宋体"/>
          <w:b/>
          <w:color w:val="auto"/>
          <w:sz w:val="32"/>
          <w:szCs w:val="32"/>
          <w:highlight w:val="none"/>
        </w:rPr>
        <w:t>采购代理机构：北京建智达工程管理股份有限公司</w:t>
      </w:r>
    </w:p>
    <w:p w14:paraId="00F280CD">
      <w:pPr>
        <w:pStyle w:val="237"/>
        <w:rPr>
          <w:rFonts w:ascii="宋体" w:hAnsi="宋体" w:eastAsia="宋体" w:cs="宋体"/>
          <w:color w:val="auto"/>
          <w:highlight w:val="none"/>
        </w:rPr>
      </w:pPr>
    </w:p>
    <w:p w14:paraId="7243EECB">
      <w:pPr>
        <w:spacing w:line="360" w:lineRule="auto"/>
        <w:jc w:val="center"/>
        <w:rPr>
          <w:rFonts w:ascii="宋体" w:hAnsi="宋体" w:cs="宋体"/>
          <w:b/>
          <w:color w:val="auto"/>
          <w:sz w:val="32"/>
          <w:szCs w:val="32"/>
          <w:highlight w:val="none"/>
        </w:rPr>
      </w:pPr>
    </w:p>
    <w:p w14:paraId="332CD609">
      <w:pPr>
        <w:spacing w:line="360" w:lineRule="auto"/>
        <w:jc w:val="center"/>
        <w:rPr>
          <w:rFonts w:ascii="宋体" w:hAnsi="宋体" w:cs="宋体"/>
          <w:b/>
          <w:color w:val="auto"/>
          <w:sz w:val="32"/>
          <w:szCs w:val="32"/>
          <w:highlight w:val="none"/>
        </w:rPr>
      </w:pPr>
    </w:p>
    <w:p w14:paraId="5A1BF90D">
      <w:pPr>
        <w:spacing w:line="360" w:lineRule="auto"/>
        <w:jc w:val="center"/>
        <w:rPr>
          <w:rFonts w:ascii="宋体" w:hAnsi="宋体" w:cs="宋体"/>
          <w:b/>
          <w:color w:val="auto"/>
          <w:sz w:val="44"/>
          <w:szCs w:val="44"/>
          <w:highlight w:val="none"/>
        </w:rPr>
      </w:pPr>
      <w:r>
        <w:rPr>
          <w:rFonts w:hint="eastAsia" w:ascii="宋体" w:hAnsi="宋体" w:cs="宋体"/>
          <w:b/>
          <w:color w:val="auto"/>
          <w:sz w:val="32"/>
          <w:szCs w:val="32"/>
          <w:highlight w:val="none"/>
        </w:rPr>
        <w:t>二〇二五年十月</w:t>
      </w:r>
    </w:p>
    <w:p w14:paraId="7E2E4322">
      <w:pPr>
        <w:spacing w:line="360" w:lineRule="auto"/>
        <w:jc w:val="center"/>
        <w:rPr>
          <w:rFonts w:ascii="宋体" w:hAnsi="宋体" w:cs="宋体"/>
          <w:b/>
          <w:color w:val="auto"/>
          <w:sz w:val="44"/>
          <w:szCs w:val="44"/>
          <w:highlight w:val="none"/>
        </w:rPr>
      </w:pPr>
    </w:p>
    <w:p w14:paraId="4FD26045">
      <w:pPr>
        <w:spacing w:line="360" w:lineRule="auto"/>
        <w:jc w:val="center"/>
        <w:rPr>
          <w:rFonts w:ascii="宋体" w:hAnsi="宋体" w:cs="宋体"/>
          <w:b/>
          <w:color w:val="auto"/>
          <w:sz w:val="44"/>
          <w:szCs w:val="44"/>
          <w:highlight w:val="none"/>
        </w:rPr>
      </w:pPr>
      <w:r>
        <w:rPr>
          <w:rFonts w:hint="eastAsia" w:ascii="宋体" w:hAnsi="宋体" w:cs="宋体"/>
          <w:b/>
          <w:color w:val="auto"/>
          <w:sz w:val="44"/>
          <w:szCs w:val="44"/>
          <w:highlight w:val="none"/>
        </w:rPr>
        <w:t>目录</w:t>
      </w:r>
    </w:p>
    <w:p w14:paraId="54C406B7">
      <w:pPr>
        <w:spacing w:line="360" w:lineRule="auto"/>
        <w:jc w:val="center"/>
        <w:rPr>
          <w:rFonts w:ascii="宋体" w:hAnsi="宋体" w:cs="宋体"/>
          <w:b/>
          <w:color w:val="auto"/>
          <w:sz w:val="30"/>
          <w:szCs w:val="30"/>
          <w:highlight w:val="none"/>
        </w:rPr>
      </w:pPr>
    </w:p>
    <w:p w14:paraId="7F42778A">
      <w:pPr>
        <w:tabs>
          <w:tab w:val="left" w:pos="8000"/>
        </w:tabs>
        <w:spacing w:line="1000" w:lineRule="exact"/>
        <w:ind w:firstLine="602" w:firstLineChars="200"/>
        <w:rPr>
          <w:rFonts w:ascii="宋体" w:hAnsi="宋体" w:cs="宋体"/>
          <w:b/>
          <w:color w:val="auto"/>
          <w:sz w:val="30"/>
          <w:szCs w:val="30"/>
          <w:highlight w:val="none"/>
        </w:rPr>
      </w:pPr>
      <w:r>
        <w:rPr>
          <w:rFonts w:hint="eastAsia" w:ascii="宋体" w:hAnsi="宋体" w:cs="宋体"/>
          <w:b/>
          <w:color w:val="auto"/>
          <w:sz w:val="30"/>
          <w:szCs w:val="30"/>
          <w:highlight w:val="none"/>
        </w:rPr>
        <w:t>第一部分投标邀请</w:t>
      </w:r>
    </w:p>
    <w:p w14:paraId="33F0D9E7">
      <w:pPr>
        <w:spacing w:line="1000" w:lineRule="exact"/>
        <w:ind w:firstLine="602" w:firstLineChars="200"/>
        <w:rPr>
          <w:rFonts w:ascii="宋体" w:hAnsi="宋体" w:cs="宋体"/>
          <w:b/>
          <w:color w:val="auto"/>
          <w:sz w:val="30"/>
          <w:szCs w:val="30"/>
          <w:highlight w:val="none"/>
        </w:rPr>
      </w:pPr>
      <w:r>
        <w:rPr>
          <w:rFonts w:hint="eastAsia" w:ascii="宋体" w:hAnsi="宋体" w:cs="宋体"/>
          <w:b/>
          <w:color w:val="auto"/>
          <w:sz w:val="30"/>
          <w:szCs w:val="30"/>
          <w:highlight w:val="none"/>
        </w:rPr>
        <w:t>第二部分投标供应商须知</w:t>
      </w:r>
    </w:p>
    <w:p w14:paraId="39E434A1">
      <w:pPr>
        <w:spacing w:line="1000" w:lineRule="exact"/>
        <w:ind w:firstLine="602" w:firstLineChars="200"/>
        <w:rPr>
          <w:rFonts w:ascii="宋体" w:hAnsi="宋体" w:cs="宋体"/>
          <w:b/>
          <w:color w:val="auto"/>
          <w:sz w:val="30"/>
          <w:szCs w:val="30"/>
          <w:highlight w:val="none"/>
        </w:rPr>
      </w:pPr>
      <w:r>
        <w:rPr>
          <w:rFonts w:hint="eastAsia" w:ascii="宋体" w:hAnsi="宋体" w:cs="宋体"/>
          <w:b/>
          <w:color w:val="auto"/>
          <w:sz w:val="30"/>
          <w:szCs w:val="30"/>
          <w:highlight w:val="none"/>
        </w:rPr>
        <w:t>第三部分采购需求</w:t>
      </w:r>
    </w:p>
    <w:p w14:paraId="02C3E9CC">
      <w:pPr>
        <w:spacing w:line="1000" w:lineRule="exact"/>
        <w:ind w:firstLine="602" w:firstLineChars="200"/>
        <w:rPr>
          <w:rFonts w:ascii="宋体" w:hAnsi="宋体" w:cs="宋体"/>
          <w:b/>
          <w:color w:val="auto"/>
          <w:sz w:val="30"/>
          <w:szCs w:val="30"/>
          <w:highlight w:val="none"/>
        </w:rPr>
      </w:pPr>
      <w:r>
        <w:rPr>
          <w:rFonts w:hint="eastAsia" w:ascii="宋体" w:hAnsi="宋体" w:cs="宋体"/>
          <w:b/>
          <w:color w:val="auto"/>
          <w:sz w:val="30"/>
          <w:szCs w:val="30"/>
          <w:highlight w:val="none"/>
        </w:rPr>
        <w:t>第四部分合同</w:t>
      </w:r>
    </w:p>
    <w:p w14:paraId="30ECDA67">
      <w:pPr>
        <w:spacing w:line="1000" w:lineRule="exact"/>
        <w:ind w:firstLine="602" w:firstLineChars="200"/>
        <w:rPr>
          <w:rFonts w:ascii="宋体" w:hAnsi="宋体" w:cs="宋体"/>
          <w:b/>
          <w:color w:val="auto"/>
          <w:sz w:val="30"/>
          <w:szCs w:val="30"/>
          <w:highlight w:val="none"/>
        </w:rPr>
      </w:pPr>
      <w:r>
        <w:rPr>
          <w:rFonts w:hint="eastAsia" w:ascii="宋体" w:hAnsi="宋体" w:cs="宋体"/>
          <w:b/>
          <w:color w:val="auto"/>
          <w:sz w:val="30"/>
          <w:szCs w:val="30"/>
          <w:highlight w:val="none"/>
        </w:rPr>
        <w:t>第五部分附件</w:t>
      </w:r>
    </w:p>
    <w:p w14:paraId="09836A1B">
      <w:pPr>
        <w:spacing w:line="1000" w:lineRule="exact"/>
        <w:rPr>
          <w:rFonts w:ascii="宋体" w:hAnsi="宋体" w:cs="宋体"/>
          <w:b/>
          <w:color w:val="auto"/>
          <w:sz w:val="30"/>
          <w:szCs w:val="30"/>
          <w:highlight w:val="none"/>
        </w:rPr>
      </w:pPr>
    </w:p>
    <w:p w14:paraId="118A3945">
      <w:pPr>
        <w:widowControl/>
        <w:spacing w:line="360" w:lineRule="auto"/>
        <w:rPr>
          <w:rFonts w:ascii="宋体" w:hAnsi="宋体" w:cs="宋体"/>
          <w:b/>
          <w:color w:val="auto"/>
          <w:sz w:val="24"/>
          <w:highlight w:val="none"/>
        </w:rPr>
      </w:pPr>
    </w:p>
    <w:p w14:paraId="7EC3CD07">
      <w:pPr>
        <w:widowControl/>
        <w:spacing w:line="360" w:lineRule="auto"/>
        <w:rPr>
          <w:rFonts w:ascii="宋体" w:hAnsi="宋体" w:cs="宋体"/>
          <w:b/>
          <w:color w:val="auto"/>
          <w:sz w:val="24"/>
          <w:highlight w:val="none"/>
        </w:rPr>
      </w:pPr>
    </w:p>
    <w:p w14:paraId="389D71E4">
      <w:pPr>
        <w:widowControl/>
        <w:spacing w:line="360" w:lineRule="auto"/>
        <w:rPr>
          <w:rFonts w:ascii="宋体" w:hAnsi="宋体" w:cs="宋体"/>
          <w:b/>
          <w:color w:val="auto"/>
          <w:sz w:val="24"/>
          <w:highlight w:val="none"/>
        </w:rPr>
      </w:pPr>
    </w:p>
    <w:p w14:paraId="0B27047C">
      <w:pPr>
        <w:widowControl/>
        <w:spacing w:line="360" w:lineRule="auto"/>
        <w:rPr>
          <w:rFonts w:ascii="宋体" w:hAnsi="宋体" w:cs="宋体"/>
          <w:b/>
          <w:color w:val="auto"/>
          <w:sz w:val="24"/>
          <w:highlight w:val="none"/>
        </w:rPr>
      </w:pPr>
    </w:p>
    <w:p w14:paraId="72E3B58D">
      <w:pPr>
        <w:widowControl/>
        <w:spacing w:line="360" w:lineRule="auto"/>
        <w:rPr>
          <w:rFonts w:ascii="宋体" w:hAnsi="宋体" w:cs="宋体"/>
          <w:b/>
          <w:color w:val="auto"/>
          <w:sz w:val="24"/>
          <w:highlight w:val="none"/>
        </w:rPr>
      </w:pPr>
    </w:p>
    <w:p w14:paraId="24B8DE61">
      <w:pPr>
        <w:widowControl/>
        <w:spacing w:before="470"/>
        <w:rPr>
          <w:rFonts w:ascii="宋体" w:hAnsi="宋体" w:cs="宋体"/>
          <w:b/>
          <w:color w:val="auto"/>
          <w:sz w:val="24"/>
          <w:highlight w:val="none"/>
        </w:rPr>
      </w:pPr>
    </w:p>
    <w:p w14:paraId="63380854">
      <w:pPr>
        <w:widowControl/>
        <w:spacing w:before="470"/>
        <w:rPr>
          <w:rFonts w:ascii="宋体" w:hAnsi="宋体" w:cs="宋体"/>
          <w:b/>
          <w:color w:val="auto"/>
          <w:sz w:val="24"/>
          <w:highlight w:val="none"/>
        </w:rPr>
      </w:pPr>
    </w:p>
    <w:p w14:paraId="77A4573A">
      <w:pPr>
        <w:widowControl/>
        <w:spacing w:before="470" w:line="440" w:lineRule="exact"/>
        <w:rPr>
          <w:rFonts w:ascii="宋体" w:hAnsi="宋体" w:cs="宋体"/>
          <w:b/>
          <w:color w:val="auto"/>
          <w:sz w:val="44"/>
          <w:szCs w:val="44"/>
          <w:highlight w:val="none"/>
        </w:rPr>
      </w:pPr>
    </w:p>
    <w:p w14:paraId="76B34EAB">
      <w:pPr>
        <w:widowControl/>
        <w:spacing w:before="470" w:line="440" w:lineRule="exact"/>
        <w:rPr>
          <w:rFonts w:ascii="宋体" w:hAnsi="宋体" w:cs="宋体"/>
          <w:b/>
          <w:color w:val="auto"/>
          <w:sz w:val="44"/>
          <w:szCs w:val="44"/>
          <w:highlight w:val="none"/>
        </w:rPr>
        <w:sectPr>
          <w:pgSz w:w="11906" w:h="16839"/>
          <w:pgMar w:top="1431" w:right="1139" w:bottom="1134" w:left="1138" w:header="0" w:footer="0" w:gutter="0"/>
          <w:cols w:space="720" w:num="1"/>
        </w:sectPr>
      </w:pPr>
    </w:p>
    <w:p w14:paraId="57DDE709">
      <w:pPr>
        <w:widowControl/>
        <w:spacing w:before="470" w:line="440" w:lineRule="exact"/>
        <w:jc w:val="center"/>
        <w:rPr>
          <w:rFonts w:ascii="宋体" w:hAnsi="宋体" w:cs="宋体"/>
          <w:b/>
          <w:color w:val="auto"/>
          <w:sz w:val="44"/>
          <w:szCs w:val="44"/>
          <w:highlight w:val="none"/>
        </w:rPr>
      </w:pPr>
      <w:r>
        <w:rPr>
          <w:rFonts w:hint="eastAsia" w:ascii="宋体" w:hAnsi="宋体" w:cs="宋体"/>
          <w:b/>
          <w:color w:val="auto"/>
          <w:sz w:val="44"/>
          <w:szCs w:val="44"/>
          <w:highlight w:val="none"/>
        </w:rPr>
        <w:t>第一部分.投标邀请</w:t>
      </w:r>
    </w:p>
    <w:p w14:paraId="76F53A47">
      <w:pPr>
        <w:widowControl/>
        <w:spacing w:before="470" w:line="360" w:lineRule="auto"/>
        <w:ind w:firstLine="480" w:firstLineChars="200"/>
        <w:jc w:val="left"/>
        <w:rPr>
          <w:rFonts w:ascii="宋体" w:hAnsi="宋体" w:cs="宋体"/>
          <w:color w:val="auto"/>
          <w:sz w:val="44"/>
          <w:szCs w:val="44"/>
          <w:highlight w:val="none"/>
        </w:rPr>
      </w:pPr>
      <w:r>
        <w:rPr>
          <w:rFonts w:hint="eastAsia" w:ascii="宋体" w:hAnsi="宋体" w:cs="宋体"/>
          <w:color w:val="auto"/>
          <w:sz w:val="24"/>
          <w:highlight w:val="none"/>
        </w:rPr>
        <w:t>北京建智达工程管理股份有限公司受无锡市精神卫生中心委托，就其无锡市精神卫生中心信息基础设施运维服务项目进行公开招标。现欢迎符合相关条件的投标供应商参加投标，投标邀请如下：</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6"/>
        <w:gridCol w:w="8445"/>
      </w:tblGrid>
      <w:tr w14:paraId="21AC3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6" w:hRule="atLeast"/>
          <w:jc w:val="center"/>
        </w:trPr>
        <w:tc>
          <w:tcPr>
            <w:tcW w:w="826" w:type="dxa"/>
            <w:vAlign w:val="center"/>
          </w:tcPr>
          <w:p w14:paraId="38C9B938">
            <w:pPr>
              <w:widowControl/>
              <w:spacing w:line="312" w:lineRule="auto"/>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8445" w:type="dxa"/>
            <w:vAlign w:val="center"/>
          </w:tcPr>
          <w:p w14:paraId="2DD363E6">
            <w:pPr>
              <w:widowControl/>
              <w:spacing w:line="312" w:lineRule="auto"/>
              <w:jc w:val="center"/>
              <w:rPr>
                <w:rFonts w:ascii="宋体" w:hAnsi="宋体" w:cs="宋体"/>
                <w:b/>
                <w:bCs/>
                <w:color w:val="auto"/>
                <w:sz w:val="24"/>
                <w:highlight w:val="none"/>
              </w:rPr>
            </w:pPr>
            <w:r>
              <w:rPr>
                <w:rFonts w:hint="eastAsia" w:ascii="宋体" w:hAnsi="宋体" w:cs="宋体"/>
                <w:b/>
                <w:bCs/>
                <w:color w:val="auto"/>
                <w:sz w:val="24"/>
                <w:highlight w:val="none"/>
              </w:rPr>
              <w:t>内容</w:t>
            </w:r>
          </w:p>
        </w:tc>
      </w:tr>
      <w:tr w14:paraId="29F43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vAlign w:val="center"/>
          </w:tcPr>
          <w:p w14:paraId="67D84E14">
            <w:pPr>
              <w:spacing w:line="312" w:lineRule="auto"/>
              <w:jc w:val="center"/>
              <w:rPr>
                <w:rFonts w:ascii="宋体" w:hAnsi="宋体" w:cs="宋体"/>
                <w:color w:val="auto"/>
                <w:sz w:val="24"/>
                <w:highlight w:val="none"/>
              </w:rPr>
            </w:pPr>
            <w:r>
              <w:rPr>
                <w:rFonts w:hint="eastAsia" w:ascii="宋体" w:hAnsi="宋体" w:cs="宋体"/>
                <w:color w:val="auto"/>
                <w:sz w:val="24"/>
                <w:highlight w:val="none"/>
              </w:rPr>
              <w:t>1</w:t>
            </w:r>
          </w:p>
        </w:tc>
        <w:tc>
          <w:tcPr>
            <w:tcW w:w="8445" w:type="dxa"/>
            <w:vAlign w:val="center"/>
          </w:tcPr>
          <w:p w14:paraId="70384A27">
            <w:pPr>
              <w:spacing w:line="312" w:lineRule="auto"/>
              <w:rPr>
                <w:rFonts w:ascii="宋体" w:hAnsi="宋体" w:cs="宋体"/>
                <w:color w:val="auto"/>
                <w:sz w:val="24"/>
                <w:highlight w:val="none"/>
              </w:rPr>
            </w:pPr>
            <w:r>
              <w:rPr>
                <w:rFonts w:hint="eastAsia" w:ascii="宋体" w:hAnsi="宋体" w:cs="宋体"/>
                <w:color w:val="auto"/>
                <w:sz w:val="24"/>
                <w:highlight w:val="none"/>
              </w:rPr>
              <w:t>项目名称：无锡市精神卫生中心信息基础设施运维服务项目</w:t>
            </w:r>
          </w:p>
          <w:p w14:paraId="3A81A1CB">
            <w:pPr>
              <w:spacing w:line="312" w:lineRule="auto"/>
              <w:rPr>
                <w:rFonts w:ascii="宋体" w:hAnsi="宋体" w:cs="宋体"/>
                <w:color w:val="auto"/>
                <w:sz w:val="24"/>
                <w:highlight w:val="none"/>
              </w:rPr>
            </w:pPr>
            <w:r>
              <w:rPr>
                <w:rFonts w:hint="eastAsia" w:ascii="宋体" w:hAnsi="宋体" w:cs="宋体"/>
                <w:color w:val="auto"/>
                <w:sz w:val="24"/>
                <w:highlight w:val="none"/>
              </w:rPr>
              <w:t>采购编号：JSZC-320200-BJJZ-G2025-0047</w:t>
            </w:r>
          </w:p>
          <w:p w14:paraId="1A28CAAE">
            <w:pPr>
              <w:spacing w:line="312" w:lineRule="auto"/>
              <w:rPr>
                <w:rFonts w:ascii="宋体" w:hAnsi="宋体" w:cs="宋体"/>
                <w:color w:val="auto"/>
                <w:sz w:val="24"/>
                <w:highlight w:val="none"/>
              </w:rPr>
            </w:pPr>
            <w:r>
              <w:rPr>
                <w:rFonts w:hint="eastAsia" w:ascii="宋体" w:hAnsi="宋体" w:cs="宋体"/>
                <w:color w:val="auto"/>
                <w:sz w:val="24"/>
                <w:highlight w:val="none"/>
              </w:rPr>
              <w:t>采购方式：公开招标</w:t>
            </w:r>
          </w:p>
        </w:tc>
      </w:tr>
      <w:tr w14:paraId="7D37CB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93" w:hRule="atLeast"/>
          <w:jc w:val="center"/>
        </w:trPr>
        <w:tc>
          <w:tcPr>
            <w:tcW w:w="826" w:type="dxa"/>
            <w:vAlign w:val="center"/>
          </w:tcPr>
          <w:p w14:paraId="191CBED7">
            <w:pPr>
              <w:spacing w:line="312" w:lineRule="auto"/>
              <w:jc w:val="center"/>
              <w:rPr>
                <w:rFonts w:ascii="宋体" w:hAnsi="宋体" w:cs="宋体"/>
                <w:color w:val="auto"/>
                <w:sz w:val="24"/>
                <w:highlight w:val="none"/>
              </w:rPr>
            </w:pPr>
            <w:r>
              <w:rPr>
                <w:rFonts w:hint="eastAsia" w:ascii="宋体" w:hAnsi="宋体" w:cs="宋体"/>
                <w:color w:val="auto"/>
                <w:sz w:val="24"/>
                <w:highlight w:val="none"/>
              </w:rPr>
              <w:t>2</w:t>
            </w:r>
          </w:p>
        </w:tc>
        <w:tc>
          <w:tcPr>
            <w:tcW w:w="8445" w:type="dxa"/>
            <w:vAlign w:val="center"/>
          </w:tcPr>
          <w:p w14:paraId="7ED20E6D">
            <w:pPr>
              <w:spacing w:line="312" w:lineRule="auto"/>
              <w:rPr>
                <w:rFonts w:ascii="宋体" w:hAnsi="宋体" w:cs="宋体"/>
                <w:color w:val="auto"/>
                <w:sz w:val="24"/>
                <w:highlight w:val="none"/>
              </w:rPr>
            </w:pPr>
            <w:r>
              <w:rPr>
                <w:rFonts w:hint="eastAsia" w:ascii="宋体" w:hAnsi="宋体" w:cs="宋体"/>
                <w:color w:val="auto"/>
                <w:sz w:val="24"/>
                <w:highlight w:val="none"/>
              </w:rPr>
              <w:t>采购人：无锡市精神卫生中心</w:t>
            </w:r>
          </w:p>
          <w:p w14:paraId="5B806102">
            <w:pPr>
              <w:spacing w:line="312" w:lineRule="auto"/>
              <w:rPr>
                <w:rFonts w:ascii="宋体" w:hAnsi="宋体" w:cs="宋体"/>
                <w:color w:val="auto"/>
                <w:sz w:val="24"/>
                <w:highlight w:val="none"/>
              </w:rPr>
            </w:pPr>
            <w:r>
              <w:rPr>
                <w:rFonts w:hint="eastAsia" w:ascii="宋体" w:hAnsi="宋体" w:cs="宋体"/>
                <w:color w:val="auto"/>
                <w:sz w:val="24"/>
                <w:highlight w:val="none"/>
              </w:rPr>
              <w:t>采购人地址：无锡市钱荣路156号</w:t>
            </w:r>
          </w:p>
          <w:p w14:paraId="67167BD7">
            <w:pPr>
              <w:spacing w:line="312" w:lineRule="auto"/>
              <w:rPr>
                <w:rFonts w:ascii="宋体" w:hAnsi="宋体" w:cs="宋体"/>
                <w:color w:val="auto"/>
                <w:sz w:val="24"/>
                <w:highlight w:val="none"/>
              </w:rPr>
            </w:pPr>
            <w:r>
              <w:rPr>
                <w:rFonts w:hint="eastAsia" w:ascii="宋体" w:hAnsi="宋体" w:cs="宋体"/>
                <w:color w:val="auto"/>
                <w:sz w:val="24"/>
                <w:highlight w:val="none"/>
              </w:rPr>
              <w:t>采购代理机构：北京建智达工程管理股份有限公司</w:t>
            </w:r>
          </w:p>
          <w:p w14:paraId="6499D972">
            <w:pPr>
              <w:spacing w:line="312" w:lineRule="auto"/>
              <w:rPr>
                <w:rFonts w:ascii="宋体" w:hAnsi="宋体" w:cs="宋体"/>
                <w:color w:val="auto"/>
                <w:sz w:val="24"/>
                <w:highlight w:val="none"/>
              </w:rPr>
            </w:pPr>
            <w:r>
              <w:rPr>
                <w:rFonts w:hint="eastAsia" w:ascii="宋体" w:hAnsi="宋体" w:cs="宋体"/>
                <w:color w:val="auto"/>
                <w:sz w:val="24"/>
                <w:highlight w:val="none"/>
              </w:rPr>
              <w:t>采购代理机构地址：无锡市滨湖区绣溪道59号交大创意园21号楼3楼</w:t>
            </w:r>
          </w:p>
        </w:tc>
      </w:tr>
      <w:tr w14:paraId="16AD0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826" w:type="dxa"/>
            <w:vAlign w:val="center"/>
          </w:tcPr>
          <w:p w14:paraId="607EF720">
            <w:pPr>
              <w:spacing w:line="312" w:lineRule="auto"/>
              <w:jc w:val="center"/>
              <w:rPr>
                <w:rFonts w:ascii="宋体" w:hAnsi="宋体" w:cs="宋体"/>
                <w:color w:val="auto"/>
                <w:sz w:val="24"/>
                <w:highlight w:val="none"/>
              </w:rPr>
            </w:pPr>
            <w:r>
              <w:rPr>
                <w:rFonts w:hint="eastAsia" w:ascii="宋体" w:hAnsi="宋体" w:cs="宋体"/>
                <w:color w:val="auto"/>
                <w:sz w:val="24"/>
                <w:highlight w:val="none"/>
              </w:rPr>
              <w:t>3</w:t>
            </w:r>
          </w:p>
        </w:tc>
        <w:tc>
          <w:tcPr>
            <w:tcW w:w="8445" w:type="dxa"/>
            <w:vAlign w:val="center"/>
          </w:tcPr>
          <w:p w14:paraId="01DB82A3">
            <w:pPr>
              <w:widowControl/>
              <w:numPr>
                <w:ilvl w:val="255"/>
                <w:numId w:val="0"/>
              </w:numPr>
              <w:spacing w:line="312" w:lineRule="auto"/>
              <w:rPr>
                <w:rFonts w:ascii="宋体" w:hAnsi="宋体" w:cs="宋体"/>
                <w:bCs/>
                <w:color w:val="auto"/>
                <w:sz w:val="24"/>
                <w:highlight w:val="none"/>
              </w:rPr>
            </w:pPr>
            <w:r>
              <w:rPr>
                <w:rFonts w:hint="eastAsia" w:ascii="宋体" w:hAnsi="宋体" w:cs="宋体"/>
                <w:bCs/>
                <w:color w:val="auto"/>
                <w:sz w:val="24"/>
                <w:highlight w:val="none"/>
              </w:rPr>
              <w:t>采购项目概况、要求：</w:t>
            </w:r>
          </w:p>
          <w:p w14:paraId="5D2F4BEE">
            <w:pPr>
              <w:spacing w:line="312" w:lineRule="auto"/>
              <w:jc w:val="left"/>
              <w:rPr>
                <w:color w:val="auto"/>
                <w:highlight w:val="none"/>
              </w:rPr>
            </w:pPr>
            <w:r>
              <w:rPr>
                <w:rFonts w:hint="eastAsia"/>
                <w:color w:val="auto"/>
                <w:highlight w:val="none"/>
              </w:rPr>
              <w:t>1</w:t>
            </w:r>
            <w:r>
              <w:rPr>
                <w:rFonts w:hint="eastAsia" w:ascii="宋体" w:hAnsi="宋体" w:cs="宋体"/>
                <w:color w:val="auto"/>
                <w:sz w:val="24"/>
                <w:highlight w:val="none"/>
              </w:rPr>
              <w:t>.</w:t>
            </w:r>
            <w:r>
              <w:rPr>
                <w:rFonts w:hint="eastAsia" w:ascii="宋体" w:hAnsi="宋体" w:cs="宋体"/>
                <w:bCs/>
                <w:color w:val="auto"/>
                <w:sz w:val="24"/>
                <w:highlight w:val="none"/>
              </w:rPr>
              <w:t>项目概况：为医院提供网络资源、计算资源池、存储资源池和基础设施运行服务。详见采购需求。</w:t>
            </w:r>
          </w:p>
          <w:p w14:paraId="7A80C373">
            <w:pPr>
              <w:spacing w:line="312" w:lineRule="auto"/>
              <w:jc w:val="left"/>
              <w:rPr>
                <w:rFonts w:ascii="宋体" w:hAnsi="宋体" w:cs="宋体"/>
                <w:color w:val="auto"/>
                <w:sz w:val="24"/>
                <w:highlight w:val="none"/>
              </w:rPr>
            </w:pPr>
            <w:r>
              <w:rPr>
                <w:rFonts w:hint="eastAsia" w:ascii="宋体" w:hAnsi="宋体" w:cs="宋体"/>
                <w:color w:val="auto"/>
                <w:sz w:val="24"/>
                <w:highlight w:val="none"/>
              </w:rPr>
              <w:t>2.服务期限：</w:t>
            </w:r>
            <w:r>
              <w:rPr>
                <w:rFonts w:hint="eastAsia" w:ascii="宋体" w:hAnsi="宋体" w:cs="宋体"/>
                <w:color w:val="auto"/>
                <w:sz w:val="24"/>
                <w:highlight w:val="none"/>
              </w:rPr>
              <w:t>合同签订之后12个月。</w:t>
            </w:r>
          </w:p>
          <w:p w14:paraId="38D70964">
            <w:pPr>
              <w:spacing w:line="312" w:lineRule="auto"/>
              <w:jc w:val="left"/>
              <w:rPr>
                <w:rFonts w:ascii="宋体" w:hAnsi="宋体" w:cs="宋体"/>
                <w:color w:val="auto"/>
                <w:sz w:val="24"/>
                <w:highlight w:val="none"/>
              </w:rPr>
            </w:pPr>
            <w:r>
              <w:rPr>
                <w:rFonts w:hint="eastAsia" w:ascii="宋体" w:hAnsi="宋体" w:cs="宋体"/>
                <w:color w:val="auto"/>
                <w:sz w:val="24"/>
                <w:highlight w:val="none"/>
              </w:rPr>
              <w:t>3.服务质量要求：符合采购人使用需求。</w:t>
            </w:r>
          </w:p>
          <w:p w14:paraId="2C90097C">
            <w:pPr>
              <w:spacing w:line="312" w:lineRule="auto"/>
              <w:jc w:val="left"/>
              <w:rPr>
                <w:rFonts w:ascii="宋体" w:hAnsi="宋体" w:cs="宋体"/>
                <w:color w:val="auto"/>
                <w:sz w:val="24"/>
                <w:highlight w:val="none"/>
              </w:rPr>
            </w:pPr>
            <w:r>
              <w:rPr>
                <w:rFonts w:hint="eastAsia" w:ascii="宋体" w:hAnsi="宋体" w:cs="宋体"/>
                <w:color w:val="auto"/>
                <w:sz w:val="24"/>
                <w:highlight w:val="none"/>
              </w:rPr>
              <w:t>4.采购预算价：</w:t>
            </w:r>
            <w:r>
              <w:rPr>
                <w:rFonts w:hint="eastAsia" w:ascii="宋体" w:hAnsi="宋体" w:cs="宋体"/>
                <w:color w:val="auto"/>
                <w:sz w:val="24"/>
                <w:highlight w:val="none"/>
              </w:rPr>
              <w:t>70.83万元。</w:t>
            </w:r>
          </w:p>
          <w:p w14:paraId="2CC8B0D1">
            <w:pPr>
              <w:widowControl/>
              <w:numPr>
                <w:ilvl w:val="255"/>
                <w:numId w:val="0"/>
              </w:numPr>
              <w:spacing w:line="312" w:lineRule="auto"/>
              <w:rPr>
                <w:rFonts w:ascii="宋体" w:hAnsi="宋体" w:cs="宋体"/>
                <w:color w:val="auto"/>
                <w:sz w:val="24"/>
                <w:highlight w:val="none"/>
              </w:rPr>
            </w:pPr>
            <w:r>
              <w:rPr>
                <w:rFonts w:hint="eastAsia" w:ascii="宋体" w:hAnsi="宋体" w:cs="宋体"/>
                <w:color w:val="auto"/>
                <w:sz w:val="24"/>
                <w:highlight w:val="none"/>
              </w:rPr>
              <w:t>5.最高限价（人民币）：70.83万元；超过最高限价的按无效投标文件处理。</w:t>
            </w:r>
          </w:p>
          <w:p w14:paraId="2A340271">
            <w:pPr>
              <w:widowControl/>
              <w:numPr>
                <w:ilvl w:val="255"/>
                <w:numId w:val="0"/>
              </w:numPr>
              <w:spacing w:line="312" w:lineRule="auto"/>
              <w:rPr>
                <w:rFonts w:ascii="宋体" w:hAnsi="宋体" w:cs="宋体"/>
                <w:color w:val="auto"/>
                <w:sz w:val="24"/>
                <w:highlight w:val="none"/>
              </w:rPr>
            </w:pPr>
            <w:r>
              <w:rPr>
                <w:rFonts w:hint="eastAsia" w:ascii="宋体" w:hAnsi="宋体" w:cs="宋体"/>
                <w:color w:val="auto"/>
                <w:sz w:val="24"/>
                <w:highlight w:val="none"/>
              </w:rPr>
              <w:t>6.</w:t>
            </w:r>
            <w:r>
              <w:rPr>
                <w:rFonts w:hint="eastAsia" w:ascii="宋体" w:hAnsi="宋体" w:cs="宋体"/>
                <w:color w:val="auto"/>
                <w:sz w:val="24"/>
                <w:highlight w:val="none"/>
              </w:rPr>
              <w:t>本项目是否专门面向中小企业：是</w:t>
            </w:r>
          </w:p>
          <w:p w14:paraId="284E6B97">
            <w:pPr>
              <w:spacing w:line="312" w:lineRule="auto"/>
              <w:rPr>
                <w:rFonts w:ascii="宋体" w:hAnsi="宋体" w:cs="宋体"/>
                <w:color w:val="auto"/>
                <w:sz w:val="24"/>
                <w:highlight w:val="none"/>
              </w:rPr>
            </w:pPr>
            <w:r>
              <w:rPr>
                <w:rFonts w:hint="eastAsia" w:ascii="宋体" w:hAnsi="宋体" w:cs="宋体"/>
                <w:color w:val="auto"/>
                <w:sz w:val="24"/>
                <w:highlight w:val="none"/>
              </w:rPr>
              <w:t>7.本项目标的所属行业：软件和信息技术服务</w:t>
            </w:r>
          </w:p>
          <w:p w14:paraId="63823EB8">
            <w:pPr>
              <w:spacing w:line="312" w:lineRule="auto"/>
              <w:rPr>
                <w:color w:val="auto"/>
                <w:highlight w:val="none"/>
              </w:rPr>
            </w:pPr>
            <w:r>
              <w:rPr>
                <w:rFonts w:hint="eastAsia" w:ascii="宋体" w:hAnsi="宋体" w:cs="宋体"/>
                <w:color w:val="auto"/>
                <w:sz w:val="24"/>
                <w:highlight w:val="none"/>
              </w:rPr>
              <w:t>从业人员100人及以上，且营业收入1000万元及以上的为中型企业；从业人员10人及以上，且营业收入50万元及以上的为小型企业；从业人员10人以下或营业收入50万元以下的为微型企业。</w:t>
            </w:r>
          </w:p>
        </w:tc>
      </w:tr>
      <w:tr w14:paraId="455D2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jc w:val="center"/>
        </w:trPr>
        <w:tc>
          <w:tcPr>
            <w:tcW w:w="826" w:type="dxa"/>
            <w:vAlign w:val="center"/>
          </w:tcPr>
          <w:p w14:paraId="062E7AFF">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4</w:t>
            </w:r>
          </w:p>
        </w:tc>
        <w:tc>
          <w:tcPr>
            <w:tcW w:w="8445" w:type="dxa"/>
            <w:vAlign w:val="center"/>
          </w:tcPr>
          <w:p w14:paraId="40314315">
            <w:pPr>
              <w:widowControl/>
              <w:spacing w:line="312" w:lineRule="auto"/>
              <w:rPr>
                <w:rFonts w:ascii="宋体" w:hAnsi="宋体" w:cs="宋体"/>
                <w:color w:val="auto"/>
                <w:sz w:val="24"/>
                <w:highlight w:val="none"/>
              </w:rPr>
            </w:pPr>
            <w:r>
              <w:rPr>
                <w:rFonts w:hint="eastAsia" w:ascii="宋体" w:hAnsi="宋体" w:cs="宋体"/>
                <w:color w:val="auto"/>
                <w:sz w:val="24"/>
                <w:highlight w:val="none"/>
              </w:rPr>
              <w:t>投标供应商资格条件：</w:t>
            </w:r>
          </w:p>
          <w:p w14:paraId="3CE74A2E">
            <w:pPr>
              <w:spacing w:line="312" w:lineRule="auto"/>
              <w:rPr>
                <w:rFonts w:ascii="宋体" w:hAnsi="宋体" w:cs="宋体"/>
                <w:bCs/>
                <w:color w:val="auto"/>
                <w:sz w:val="24"/>
                <w:highlight w:val="none"/>
              </w:rPr>
            </w:pPr>
            <w:r>
              <w:rPr>
                <w:rFonts w:hint="eastAsia" w:ascii="宋体" w:hAnsi="宋体" w:cs="宋体"/>
                <w:bCs/>
                <w:color w:val="auto"/>
                <w:sz w:val="24"/>
                <w:highlight w:val="none"/>
              </w:rPr>
              <w:t>1.满足《中华人民共和国政府采购法》第二十二条规定；</w:t>
            </w:r>
          </w:p>
          <w:p w14:paraId="1015A07A">
            <w:pPr>
              <w:spacing w:line="312" w:lineRule="auto"/>
              <w:rPr>
                <w:rFonts w:ascii="宋体" w:hAnsi="宋体" w:cs="宋体"/>
                <w:bCs/>
                <w:color w:val="auto"/>
                <w:sz w:val="24"/>
                <w:highlight w:val="none"/>
              </w:rPr>
            </w:pPr>
            <w:r>
              <w:rPr>
                <w:rFonts w:hint="eastAsia" w:ascii="宋体" w:hAnsi="宋体" w:cs="宋体"/>
                <w:bCs/>
                <w:color w:val="auto"/>
                <w:sz w:val="24"/>
                <w:highlight w:val="none"/>
              </w:rPr>
              <w:t>①具有独立承担民事责任的能力；</w:t>
            </w:r>
          </w:p>
          <w:p w14:paraId="28BA3307">
            <w:pPr>
              <w:spacing w:line="312" w:lineRule="auto"/>
              <w:rPr>
                <w:rFonts w:ascii="宋体" w:hAnsi="宋体" w:cs="宋体"/>
                <w:bCs/>
                <w:color w:val="auto"/>
                <w:sz w:val="24"/>
                <w:highlight w:val="none"/>
              </w:rPr>
            </w:pPr>
            <w:r>
              <w:rPr>
                <w:rFonts w:hint="eastAsia" w:ascii="宋体" w:hAnsi="宋体" w:cs="宋体"/>
                <w:bCs/>
                <w:color w:val="auto"/>
                <w:sz w:val="24"/>
                <w:highlight w:val="none"/>
              </w:rPr>
              <w:t>②具有良好的商业信誉和健全的财务会计制度；</w:t>
            </w:r>
          </w:p>
          <w:p w14:paraId="0A444AB2">
            <w:pPr>
              <w:spacing w:line="312" w:lineRule="auto"/>
              <w:rPr>
                <w:rFonts w:ascii="宋体" w:hAnsi="宋体" w:cs="宋体"/>
                <w:bCs/>
                <w:color w:val="auto"/>
                <w:sz w:val="24"/>
                <w:highlight w:val="none"/>
              </w:rPr>
            </w:pPr>
            <w:r>
              <w:rPr>
                <w:rFonts w:hint="eastAsia" w:ascii="宋体" w:hAnsi="宋体" w:cs="宋体"/>
                <w:bCs/>
                <w:color w:val="auto"/>
                <w:sz w:val="24"/>
                <w:highlight w:val="none"/>
              </w:rPr>
              <w:t>③具有履行合同所必需的设备和专业技术能力；</w:t>
            </w:r>
          </w:p>
          <w:p w14:paraId="78F23626">
            <w:pPr>
              <w:spacing w:line="312" w:lineRule="auto"/>
              <w:rPr>
                <w:rFonts w:ascii="宋体" w:hAnsi="宋体" w:cs="宋体"/>
                <w:bCs/>
                <w:color w:val="auto"/>
                <w:sz w:val="24"/>
                <w:highlight w:val="none"/>
              </w:rPr>
            </w:pPr>
            <w:r>
              <w:rPr>
                <w:rFonts w:hint="eastAsia" w:ascii="宋体" w:hAnsi="宋体" w:cs="宋体"/>
                <w:bCs/>
                <w:color w:val="auto"/>
                <w:sz w:val="24"/>
                <w:highlight w:val="none"/>
              </w:rPr>
              <w:t>④有依法缴纳税收和社会保障资金的良好记录；</w:t>
            </w:r>
          </w:p>
          <w:p w14:paraId="7F144570">
            <w:pPr>
              <w:spacing w:line="312" w:lineRule="auto"/>
              <w:rPr>
                <w:rFonts w:ascii="宋体" w:hAnsi="宋体" w:cs="宋体"/>
                <w:bCs/>
                <w:color w:val="auto"/>
                <w:sz w:val="24"/>
                <w:highlight w:val="none"/>
              </w:rPr>
            </w:pPr>
            <w:r>
              <w:rPr>
                <w:rFonts w:hint="eastAsia" w:ascii="宋体" w:hAnsi="宋体" w:cs="宋体"/>
                <w:bCs/>
                <w:color w:val="auto"/>
                <w:sz w:val="24"/>
                <w:highlight w:val="none"/>
              </w:rPr>
              <w:t>⑤参加政府采购活动前三年内，在经营活动中没有重大违法记录；</w:t>
            </w:r>
          </w:p>
          <w:p w14:paraId="47B8E0C8">
            <w:pPr>
              <w:spacing w:line="312" w:lineRule="auto"/>
              <w:rPr>
                <w:rFonts w:ascii="宋体" w:hAnsi="宋体" w:cs="宋体"/>
                <w:bCs/>
                <w:color w:val="auto"/>
                <w:sz w:val="24"/>
                <w:highlight w:val="none"/>
              </w:rPr>
            </w:pPr>
            <w:r>
              <w:rPr>
                <w:rFonts w:hint="eastAsia" w:ascii="宋体" w:hAnsi="宋体" w:cs="宋体"/>
                <w:bCs/>
                <w:color w:val="auto"/>
                <w:sz w:val="24"/>
                <w:highlight w:val="none"/>
              </w:rPr>
              <w:t>⑥法律、行政法规规定的其他条件。</w:t>
            </w:r>
          </w:p>
          <w:p w14:paraId="1A9445AE">
            <w:pPr>
              <w:widowControl/>
              <w:spacing w:line="312" w:lineRule="auto"/>
              <w:rPr>
                <w:rFonts w:ascii="宋体" w:hAnsi="宋体" w:cs="宋体"/>
                <w:bCs/>
                <w:color w:val="auto"/>
                <w:sz w:val="24"/>
                <w:highlight w:val="none"/>
              </w:rPr>
            </w:pPr>
            <w:r>
              <w:rPr>
                <w:rFonts w:hint="eastAsia" w:ascii="宋体" w:hAnsi="宋体" w:cs="宋体"/>
                <w:color w:val="auto"/>
                <w:sz w:val="24"/>
                <w:highlight w:val="none"/>
              </w:rPr>
              <w:t>"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4541E2B3">
            <w:pPr>
              <w:spacing w:line="312" w:lineRule="auto"/>
              <w:rPr>
                <w:rFonts w:ascii="宋体" w:hAnsi="宋体" w:cs="宋体"/>
                <w:bCs/>
                <w:color w:val="auto"/>
                <w:sz w:val="24"/>
                <w:highlight w:val="none"/>
              </w:rPr>
            </w:pPr>
            <w:r>
              <w:rPr>
                <w:rFonts w:hint="eastAsia" w:ascii="宋体" w:hAnsi="宋体" w:cs="宋体"/>
                <w:bCs/>
                <w:color w:val="auto"/>
                <w:sz w:val="24"/>
                <w:highlight w:val="none"/>
              </w:rPr>
              <w:t>2.落实政府采购政策需满足的资格要求：</w:t>
            </w:r>
          </w:p>
          <w:p w14:paraId="0BA2D99A">
            <w:pPr>
              <w:spacing w:line="312" w:lineRule="auto"/>
              <w:rPr>
                <w:rFonts w:ascii="宋体" w:hAnsi="宋体" w:cs="宋体"/>
                <w:color w:val="auto"/>
                <w:sz w:val="24"/>
                <w:highlight w:val="none"/>
              </w:rPr>
            </w:pPr>
            <w:r>
              <w:rPr>
                <w:rFonts w:hint="eastAsia" w:ascii="宋体" w:hAnsi="宋体" w:cs="宋体"/>
                <w:bCs/>
                <w:color w:val="auto"/>
                <w:sz w:val="24"/>
                <w:highlight w:val="none"/>
              </w:rPr>
              <w:t>①</w:t>
            </w:r>
            <w:r>
              <w:rPr>
                <w:rFonts w:hint="eastAsia" w:ascii="宋体" w:hAnsi="宋体" w:cs="宋体"/>
                <w:color w:val="auto"/>
                <w:sz w:val="24"/>
                <w:highlight w:val="none"/>
              </w:rPr>
              <w:t>投标供应商如为中小微企业的，按照《政府采购促进中小企业发展管理办法》（财库〔2020〕46号）规定提供《中小企业声明函》；</w:t>
            </w:r>
          </w:p>
          <w:p w14:paraId="0182A3FE">
            <w:pPr>
              <w:spacing w:line="312" w:lineRule="auto"/>
              <w:rPr>
                <w:rFonts w:ascii="宋体" w:hAnsi="宋体" w:cs="宋体"/>
                <w:color w:val="auto"/>
                <w:sz w:val="24"/>
                <w:highlight w:val="none"/>
              </w:rPr>
            </w:pPr>
            <w:r>
              <w:rPr>
                <w:rFonts w:hint="eastAsia" w:ascii="宋体" w:hAnsi="宋体" w:cs="宋体"/>
                <w:bCs/>
                <w:color w:val="auto"/>
                <w:sz w:val="24"/>
                <w:highlight w:val="none"/>
              </w:rPr>
              <w:t>②</w:t>
            </w:r>
            <w:r>
              <w:rPr>
                <w:rFonts w:hint="eastAsia" w:ascii="宋体" w:hAnsi="宋体" w:cs="宋体"/>
                <w:color w:val="auto"/>
                <w:sz w:val="24"/>
                <w:highlight w:val="none"/>
              </w:rPr>
              <w:t>投标供应商如为监狱和戒毒企业的，按照《财政部、司法部关于政府采购支持监狱企业发展有关问题》（财库〔2014〕68号）的规定提供由省级以上监狱管理局、戒毒管理局（含新疆生产建设兵团）出具的属于监狱企业的证明文件复印件；</w:t>
            </w:r>
          </w:p>
          <w:p w14:paraId="0BD9FFD9">
            <w:pPr>
              <w:spacing w:line="312" w:lineRule="auto"/>
              <w:rPr>
                <w:rFonts w:ascii="宋体" w:hAnsi="宋体" w:cs="宋体"/>
                <w:color w:val="auto"/>
                <w:sz w:val="24"/>
                <w:highlight w:val="none"/>
              </w:rPr>
            </w:pPr>
            <w:r>
              <w:rPr>
                <w:rFonts w:hint="eastAsia" w:ascii="宋体" w:hAnsi="宋体" w:cs="宋体"/>
                <w:bCs/>
                <w:color w:val="auto"/>
                <w:sz w:val="24"/>
                <w:highlight w:val="none"/>
              </w:rPr>
              <w:t>③</w:t>
            </w:r>
            <w:r>
              <w:rPr>
                <w:rFonts w:hint="eastAsia" w:ascii="宋体" w:hAnsi="宋体" w:cs="宋体"/>
                <w:color w:val="auto"/>
                <w:sz w:val="24"/>
                <w:highlight w:val="none"/>
              </w:rPr>
              <w:t>投标供应商如为残疾人福利性单位的提供《残疾人福利性单位声明函》；</w:t>
            </w:r>
          </w:p>
          <w:p w14:paraId="4538E0A1">
            <w:pPr>
              <w:spacing w:line="360" w:lineRule="auto"/>
              <w:rPr>
                <w:rFonts w:ascii="宋体" w:hAnsi="宋体" w:cs="宋体"/>
                <w:color w:val="auto"/>
                <w:sz w:val="24"/>
                <w:highlight w:val="none"/>
              </w:rPr>
            </w:pPr>
            <w:r>
              <w:rPr>
                <w:rFonts w:hint="eastAsia" w:ascii="宋体" w:hAnsi="宋体" w:cs="宋体"/>
                <w:bCs/>
                <w:color w:val="auto"/>
                <w:sz w:val="24"/>
                <w:highlight w:val="none"/>
              </w:rPr>
              <w:t>④</w:t>
            </w:r>
            <w:r>
              <w:rPr>
                <w:rFonts w:hint="eastAsia" w:ascii="宋体" w:hAnsi="宋体" w:cs="宋体"/>
                <w:color w:val="auto"/>
                <w:sz w:val="24"/>
                <w:highlight w:val="none"/>
              </w:rPr>
              <w:t>中小企业划型标准详见《关于印发中小企业划型标准规定的通知》工信部联企业〔2011〕300号）；</w:t>
            </w:r>
          </w:p>
          <w:p w14:paraId="320E59B1">
            <w:pPr>
              <w:widowControl/>
              <w:numPr>
                <w:ilvl w:val="0"/>
                <w:numId w:val="8"/>
              </w:numPr>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本项目的特定资格要求：无</w:t>
            </w:r>
          </w:p>
          <w:p w14:paraId="6B93AB52">
            <w:pPr>
              <w:widowControl/>
              <w:spacing w:line="360" w:lineRule="auto"/>
              <w:jc w:val="left"/>
              <w:rPr>
                <w:rFonts w:ascii="宋体" w:hAnsi="宋体" w:cs="宋体"/>
                <w:bCs/>
                <w:color w:val="auto"/>
                <w:sz w:val="24"/>
                <w:highlight w:val="none"/>
              </w:rPr>
            </w:pPr>
            <w:r>
              <w:rPr>
                <w:rFonts w:hint="eastAsia" w:ascii="宋体" w:hAnsi="宋体" w:cs="宋体"/>
                <w:bCs/>
                <w:color w:val="auto"/>
                <w:sz w:val="24"/>
                <w:highlight w:val="none"/>
              </w:rPr>
              <w:t>4.投标供应商未被列入“信用中国”网站（www.creditchina.gov.cn）记录失信被执行人，同时，不处于中国政府采购网（www.ccgp.gov.cn）“政府采购严重违法失信行为信息记录”中的禁止参加政府采购活动期间的情形；</w:t>
            </w:r>
          </w:p>
          <w:p w14:paraId="1B2068B2">
            <w:pPr>
              <w:widowControl/>
              <w:spacing w:line="312" w:lineRule="auto"/>
              <w:jc w:val="left"/>
              <w:rPr>
                <w:rFonts w:ascii="宋体" w:hAnsi="宋体" w:cs="宋体"/>
                <w:color w:val="auto"/>
                <w:sz w:val="24"/>
                <w:highlight w:val="none"/>
              </w:rPr>
            </w:pPr>
            <w:r>
              <w:rPr>
                <w:rFonts w:hint="eastAsia" w:ascii="宋体" w:hAnsi="宋体" w:cs="宋体"/>
                <w:bCs/>
                <w:color w:val="auto"/>
                <w:sz w:val="24"/>
                <w:highlight w:val="none"/>
              </w:rPr>
              <w:t>5.本项目不接受联合体投标。</w:t>
            </w:r>
          </w:p>
        </w:tc>
      </w:tr>
      <w:tr w14:paraId="1347B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vAlign w:val="center"/>
          </w:tcPr>
          <w:p w14:paraId="2235BA9D">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5</w:t>
            </w:r>
          </w:p>
        </w:tc>
        <w:tc>
          <w:tcPr>
            <w:tcW w:w="8445" w:type="dxa"/>
            <w:vAlign w:val="center"/>
          </w:tcPr>
          <w:p w14:paraId="0244E1A5">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获取采购文件相关事宜：</w:t>
            </w:r>
          </w:p>
          <w:p w14:paraId="27912ACB">
            <w:pPr>
              <w:widowControl/>
              <w:spacing w:line="312" w:lineRule="auto"/>
              <w:rPr>
                <w:rFonts w:ascii="宋体" w:hAnsi="宋体" w:cs="宋体"/>
                <w:color w:val="auto"/>
                <w:sz w:val="24"/>
                <w:highlight w:val="none"/>
                <w:lang w:val="zh-CN"/>
              </w:rPr>
            </w:pPr>
            <w:r>
              <w:rPr>
                <w:rFonts w:hint="eastAsia" w:ascii="宋体" w:hAnsi="宋体" w:cs="宋体"/>
                <w:color w:val="auto"/>
                <w:sz w:val="24"/>
                <w:highlight w:val="none"/>
              </w:rPr>
              <w:t>（1）获取采购文件时间：</w:t>
            </w:r>
            <w:r>
              <w:rPr>
                <w:rFonts w:hint="eastAsia" w:ascii="宋体" w:hAnsi="宋体" w:cs="宋体"/>
                <w:color w:val="auto"/>
                <w:sz w:val="24"/>
                <w:highlight w:val="none"/>
              </w:rPr>
              <w:t>2025年</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30</w:t>
            </w:r>
            <w:r>
              <w:rPr>
                <w:rFonts w:hint="eastAsia" w:ascii="宋体" w:hAnsi="宋体" w:cs="宋体"/>
                <w:color w:val="auto"/>
                <w:sz w:val="24"/>
                <w:highlight w:val="none"/>
              </w:rPr>
              <w:t>日至2025年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w:t>
            </w:r>
            <w:r>
              <w:rPr>
                <w:rFonts w:hint="eastAsia" w:ascii="宋体" w:hAnsi="宋体" w:cs="宋体"/>
                <w:color w:val="auto"/>
                <w:sz w:val="24"/>
                <w:highlight w:val="none"/>
                <w:lang w:val="zh-CN"/>
              </w:rPr>
              <w:t>23:59时止（法定假日除外）。</w:t>
            </w:r>
            <w:r>
              <w:rPr>
                <w:rFonts w:hint="eastAsia" w:ascii="宋体" w:hAnsi="宋体" w:cs="宋体"/>
                <w:b/>
                <w:bCs/>
                <w:color w:val="auto"/>
                <w:sz w:val="24"/>
                <w:highlight w:val="none"/>
                <w:lang w:val="zh-CN"/>
              </w:rPr>
              <w:t>五个工作日后仍可下载招标文件，但不作为供应商权益受到损害的证明材料和依据。</w:t>
            </w:r>
          </w:p>
          <w:p w14:paraId="07237BE7">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（2）售价：0元</w:t>
            </w:r>
          </w:p>
          <w:p w14:paraId="77550257">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（3）采购文件获取方式：</w:t>
            </w:r>
            <w:r>
              <w:rPr>
                <w:rFonts w:hint="eastAsia" w:ascii="宋体" w:hAnsi="宋体" w:cs="宋体"/>
                <w:color w:val="auto"/>
                <w:sz w:val="24"/>
                <w:highlight w:val="none"/>
                <w:lang w:val="zh-CN"/>
              </w:rPr>
              <w:t>网上获取，潜在投标供应商可在项目招标公告附件中查看公开招标文件，如确定投标，必须在苏采云平台（http://jszfcg.jscz.gov.cn/jszc/login）中免费下载公开招标文件</w:t>
            </w:r>
            <w:r>
              <w:rPr>
                <w:rFonts w:hint="eastAsia" w:ascii="宋体" w:hAnsi="宋体" w:cs="宋体"/>
                <w:color w:val="auto"/>
                <w:sz w:val="24"/>
                <w:highlight w:val="none"/>
              </w:rPr>
              <w:t>[</w:t>
            </w:r>
            <w:r>
              <w:rPr>
                <w:rFonts w:hint="eastAsia" w:ascii="宋体" w:hAnsi="宋体" w:cs="宋体"/>
                <w:color w:val="auto"/>
                <w:sz w:val="24"/>
                <w:highlight w:val="none"/>
                <w:lang w:val="zh-CN"/>
              </w:rPr>
              <w:t>“</w:t>
            </w:r>
            <w:r>
              <w:rPr>
                <w:rFonts w:hint="eastAsia" w:ascii="宋体" w:hAnsi="宋体" w:cs="宋体"/>
                <w:color w:val="auto"/>
                <w:sz w:val="24"/>
                <w:highlight w:val="none"/>
              </w:rPr>
              <w:t>江苏</w:t>
            </w:r>
            <w:r>
              <w:rPr>
                <w:rFonts w:hint="eastAsia" w:ascii="宋体" w:hAnsi="宋体" w:cs="宋体"/>
                <w:color w:val="auto"/>
                <w:sz w:val="24"/>
                <w:highlight w:val="none"/>
                <w:lang w:val="zh-CN"/>
              </w:rPr>
              <w:t>政府采购网--江苏省政府采购（苏采云）平台”或“政府采购客户端（苏采云）”中免费下载文件（“项目参与”——找到需要获取招标文件的项目，点击“我要参与”——“参与投标”——“下载文件”）</w:t>
            </w:r>
            <w:r>
              <w:rPr>
                <w:rFonts w:hint="eastAsia" w:ascii="宋体" w:hAnsi="宋体" w:cs="宋体"/>
                <w:color w:val="auto"/>
                <w:sz w:val="24"/>
                <w:highlight w:val="none"/>
              </w:rPr>
              <w:t>]</w:t>
            </w:r>
            <w:r>
              <w:rPr>
                <w:rFonts w:hint="eastAsia" w:ascii="宋体" w:hAnsi="宋体" w:cs="宋体"/>
                <w:color w:val="auto"/>
                <w:sz w:val="24"/>
                <w:highlight w:val="none"/>
                <w:lang w:val="zh-CN"/>
              </w:rPr>
              <w:t>，完成项目</w:t>
            </w:r>
            <w:r>
              <w:rPr>
                <w:rFonts w:hint="eastAsia" w:ascii="宋体" w:hAnsi="宋体" w:cs="宋体"/>
                <w:color w:val="auto"/>
                <w:sz w:val="24"/>
                <w:highlight w:val="none"/>
              </w:rPr>
              <w:t>获取</w:t>
            </w:r>
            <w:r>
              <w:rPr>
                <w:rFonts w:hint="eastAsia" w:ascii="宋体" w:hAnsi="宋体" w:cs="宋体"/>
                <w:color w:val="auto"/>
                <w:sz w:val="24"/>
                <w:highlight w:val="none"/>
                <w:lang w:val="zh-CN"/>
              </w:rPr>
              <w:t>，方可按要求制作、上传投标文件。</w:t>
            </w:r>
            <w:r>
              <w:rPr>
                <w:rFonts w:hint="eastAsia" w:ascii="宋体" w:hAnsi="宋体" w:cs="宋体"/>
                <w:color w:val="auto"/>
                <w:sz w:val="24"/>
                <w:highlight w:val="none"/>
              </w:rPr>
              <w:t>供应商须</w:t>
            </w:r>
            <w:r>
              <w:rPr>
                <w:rFonts w:hint="eastAsia" w:ascii="宋体" w:hAnsi="宋体" w:cs="宋体"/>
                <w:color w:val="auto"/>
                <w:sz w:val="24"/>
                <w:highlight w:val="none"/>
                <w:lang w:val="zh-CN"/>
              </w:rPr>
              <w:t>对采购文件各项内容做出实质性响应，否则其投标文件无效。供应商应承担其编制投标文件以及递交投标文件所涉及的一切费用。无论投标结果如何，采购人对上述费用不负任何责任。</w:t>
            </w:r>
          </w:p>
        </w:tc>
      </w:tr>
      <w:tr w14:paraId="07604A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vAlign w:val="center"/>
          </w:tcPr>
          <w:p w14:paraId="405E2E55">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6</w:t>
            </w:r>
          </w:p>
        </w:tc>
        <w:tc>
          <w:tcPr>
            <w:tcW w:w="8445" w:type="dxa"/>
            <w:vAlign w:val="center"/>
          </w:tcPr>
          <w:p w14:paraId="78244AD7">
            <w:pPr>
              <w:widowControl/>
              <w:topLinePunct/>
              <w:snapToGrid w:val="0"/>
              <w:spacing w:line="400" w:lineRule="atLeast"/>
              <w:rPr>
                <w:rFonts w:ascii="宋体" w:hAnsi="宋体" w:cs="宋体"/>
                <w:color w:val="auto"/>
                <w:sz w:val="24"/>
                <w:highlight w:val="none"/>
              </w:rPr>
            </w:pPr>
            <w:r>
              <w:rPr>
                <w:rFonts w:hint="eastAsia" w:ascii="宋体" w:hAnsi="宋体" w:cs="宋体"/>
                <w:color w:val="auto"/>
                <w:sz w:val="24"/>
                <w:highlight w:val="none"/>
              </w:rPr>
              <w:t>疑问/询问截止时间：</w:t>
            </w:r>
            <w:r>
              <w:rPr>
                <w:rFonts w:hint="eastAsia" w:ascii="宋体" w:hAnsi="宋体" w:cs="宋体"/>
                <w:color w:val="auto"/>
                <w:sz w:val="24"/>
                <w:highlight w:val="none"/>
              </w:rPr>
              <w:t>2025年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日</w:t>
            </w:r>
            <w:r>
              <w:rPr>
                <w:rFonts w:hint="eastAsia" w:ascii="宋体" w:hAnsi="宋体" w:cs="宋体"/>
                <w:color w:val="auto"/>
                <w:sz w:val="24"/>
                <w:highlight w:val="none"/>
              </w:rPr>
              <w:t>9时30分，以书面形式发送给采购代理机构。</w:t>
            </w:r>
          </w:p>
          <w:p w14:paraId="235823C0">
            <w:pPr>
              <w:widowControl/>
              <w:spacing w:line="312" w:lineRule="auto"/>
              <w:rPr>
                <w:rFonts w:ascii="宋体" w:hAnsi="宋体" w:cs="宋体"/>
                <w:color w:val="auto"/>
                <w:sz w:val="24"/>
                <w:highlight w:val="none"/>
              </w:rPr>
            </w:pPr>
            <w:r>
              <w:rPr>
                <w:rFonts w:hint="eastAsia" w:ascii="宋体" w:hAnsi="宋体" w:cs="宋体"/>
                <w:color w:val="auto"/>
                <w:sz w:val="24"/>
                <w:highlight w:val="none"/>
              </w:rPr>
              <w:t>疑问/询问回复时间：</w:t>
            </w:r>
            <w:r>
              <w:rPr>
                <w:rFonts w:hint="eastAsia" w:ascii="宋体" w:hAnsi="宋体" w:cs="宋体"/>
                <w:color w:val="auto"/>
                <w:sz w:val="24"/>
                <w:highlight w:val="none"/>
              </w:rPr>
              <w:t>2025年</w:t>
            </w:r>
            <w:r>
              <w:rPr>
                <w:rFonts w:hint="eastAsia" w:ascii="宋体" w:hAnsi="宋体" w:cs="宋体"/>
                <w:color w:val="auto"/>
                <w:sz w:val="24"/>
                <w:highlight w:val="none"/>
                <w:lang w:val="en-US" w:eastAsia="zh-CN"/>
              </w:rPr>
              <w:t>11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7</w:t>
            </w:r>
            <w:r>
              <w:rPr>
                <w:rFonts w:hint="eastAsia" w:ascii="宋体" w:hAnsi="宋体" w:cs="宋体"/>
                <w:color w:val="auto"/>
                <w:sz w:val="24"/>
                <w:highlight w:val="none"/>
              </w:rPr>
              <w:t>日</w:t>
            </w:r>
            <w:r>
              <w:rPr>
                <w:rFonts w:hint="eastAsia" w:ascii="宋体" w:hAnsi="宋体" w:cs="宋体"/>
                <w:color w:val="auto"/>
                <w:sz w:val="24"/>
                <w:highlight w:val="none"/>
              </w:rPr>
              <w:t>16时00分前，以书面形式或电子邮件形式发送给各已领购招标文件的投标供应商。</w:t>
            </w:r>
          </w:p>
        </w:tc>
      </w:tr>
      <w:tr w14:paraId="0DADE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jc w:val="center"/>
        </w:trPr>
        <w:tc>
          <w:tcPr>
            <w:tcW w:w="826" w:type="dxa"/>
            <w:vAlign w:val="center"/>
          </w:tcPr>
          <w:p w14:paraId="14098600">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7</w:t>
            </w:r>
          </w:p>
        </w:tc>
        <w:tc>
          <w:tcPr>
            <w:tcW w:w="8445" w:type="dxa"/>
            <w:vAlign w:val="center"/>
          </w:tcPr>
          <w:p w14:paraId="4C665A95">
            <w:pPr>
              <w:widowControl/>
              <w:rPr>
                <w:rFonts w:ascii="宋体" w:hAnsi="宋体" w:cs="宋体"/>
                <w:color w:val="auto"/>
                <w:sz w:val="24"/>
                <w:highlight w:val="none"/>
              </w:rPr>
            </w:pPr>
            <w:r>
              <w:rPr>
                <w:rFonts w:hint="eastAsia" w:ascii="宋体" w:hAnsi="宋体" w:cs="宋体"/>
                <w:color w:val="auto"/>
                <w:sz w:val="24"/>
                <w:highlight w:val="none"/>
              </w:rPr>
              <w:t>投标有效期：投标截止时间起90天。</w:t>
            </w:r>
          </w:p>
        </w:tc>
      </w:tr>
      <w:tr w14:paraId="2B949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 w:hRule="atLeast"/>
          <w:jc w:val="center"/>
        </w:trPr>
        <w:tc>
          <w:tcPr>
            <w:tcW w:w="826" w:type="dxa"/>
            <w:vAlign w:val="center"/>
          </w:tcPr>
          <w:p w14:paraId="62E619B8">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8</w:t>
            </w:r>
          </w:p>
        </w:tc>
        <w:tc>
          <w:tcPr>
            <w:tcW w:w="8445" w:type="dxa"/>
            <w:vAlign w:val="center"/>
          </w:tcPr>
          <w:p w14:paraId="3075A054">
            <w:pPr>
              <w:pStyle w:val="47"/>
              <w:ind w:firstLine="0"/>
              <w:rPr>
                <w:color w:val="auto"/>
                <w:highlight w:val="none"/>
              </w:rPr>
            </w:pPr>
            <w:bookmarkStart w:id="0" w:name="OLE_LINK39"/>
            <w:r>
              <w:rPr>
                <w:rFonts w:hint="eastAsia" w:ascii="宋体" w:hAnsi="宋体" w:cs="宋体"/>
                <w:color w:val="auto"/>
                <w:sz w:val="24"/>
                <w:szCs w:val="24"/>
                <w:highlight w:val="none"/>
              </w:rPr>
              <w:t>本项目</w:t>
            </w:r>
            <w:bookmarkEnd w:id="0"/>
            <w:r>
              <w:rPr>
                <w:rFonts w:hint="eastAsia" w:ascii="宋体" w:hAnsi="宋体" w:cs="宋体"/>
                <w:color w:val="auto"/>
                <w:sz w:val="24"/>
                <w:szCs w:val="24"/>
                <w:highlight w:val="none"/>
              </w:rPr>
              <w:t>无需缴纳投标保证金和履约保证金。</w:t>
            </w:r>
          </w:p>
        </w:tc>
      </w:tr>
      <w:tr w14:paraId="4A8C46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vAlign w:val="center"/>
          </w:tcPr>
          <w:p w14:paraId="7DE5BF8E">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9</w:t>
            </w:r>
          </w:p>
        </w:tc>
        <w:tc>
          <w:tcPr>
            <w:tcW w:w="8445" w:type="dxa"/>
            <w:vAlign w:val="center"/>
          </w:tcPr>
          <w:p w14:paraId="71F29EF2">
            <w:pPr>
              <w:widowControl/>
              <w:rPr>
                <w:rFonts w:ascii="宋体" w:hAnsi="宋体" w:cs="宋体"/>
                <w:color w:val="auto"/>
                <w:sz w:val="24"/>
                <w:highlight w:val="none"/>
              </w:rPr>
            </w:pPr>
            <w:r>
              <w:rPr>
                <w:rFonts w:hint="eastAsia" w:ascii="宋体" w:hAnsi="宋体" w:cs="宋体"/>
                <w:color w:val="auto"/>
                <w:sz w:val="24"/>
                <w:highlight w:val="none"/>
                <w:shd w:val="clear" w:color="auto" w:fill="FFFFFF"/>
              </w:rPr>
              <w:t>投标文件接收截止时间：</w:t>
            </w:r>
            <w:r>
              <w:rPr>
                <w:rFonts w:hint="eastAsia" w:ascii="宋体" w:hAnsi="宋体" w:cs="宋体"/>
                <w:color w:val="auto"/>
                <w:sz w:val="24"/>
                <w:highlight w:val="none"/>
              </w:rPr>
              <w:t>2025年</w:t>
            </w:r>
            <w:r>
              <w:rPr>
                <w:rFonts w:hint="eastAsia" w:ascii="宋体" w:hAnsi="宋体" w:cs="宋体"/>
                <w:color w:val="auto"/>
                <w:sz w:val="24"/>
                <w:highlight w:val="none"/>
                <w:lang w:val="en-US" w:eastAsia="zh-CN"/>
              </w:rPr>
              <w:t>11</w:t>
            </w:r>
            <w:r>
              <w:rPr>
                <w:rFonts w:ascii="宋体" w:hAnsi="宋体" w:cs="宋体"/>
                <w:color w:val="auto"/>
                <w:sz w:val="24"/>
                <w:highlight w:val="none"/>
              </w:rPr>
              <w:t>月</w:t>
            </w:r>
            <w:r>
              <w:rPr>
                <w:rFonts w:hint="eastAsia" w:ascii="宋体" w:hAnsi="宋体" w:cs="宋体"/>
                <w:color w:val="auto"/>
                <w:sz w:val="24"/>
                <w:highlight w:val="none"/>
                <w:lang w:val="en-US" w:eastAsia="zh-CN"/>
              </w:rPr>
              <w:t>21</w:t>
            </w:r>
            <w:r>
              <w:rPr>
                <w:rFonts w:hint="eastAsia" w:ascii="宋体" w:hAnsi="宋体" w:cs="宋体"/>
                <w:color w:val="auto"/>
                <w:sz w:val="24"/>
                <w:highlight w:val="none"/>
              </w:rPr>
              <w:t>日</w:t>
            </w:r>
            <w:r>
              <w:rPr>
                <w:rFonts w:hint="eastAsia" w:ascii="宋体" w:hAnsi="宋体" w:cs="宋体"/>
                <w:color w:val="auto"/>
                <w:sz w:val="24"/>
                <w:highlight w:val="none"/>
              </w:rPr>
              <w:t>13:30时。</w:t>
            </w:r>
          </w:p>
          <w:p w14:paraId="03C8AD91">
            <w:pPr>
              <w:widowControl/>
              <w:spacing w:line="312" w:lineRule="auto"/>
              <w:rPr>
                <w:rFonts w:ascii="宋体" w:hAnsi="宋体" w:cs="宋体"/>
                <w:color w:val="auto"/>
                <w:sz w:val="24"/>
                <w:highlight w:val="none"/>
              </w:rPr>
            </w:pPr>
            <w:r>
              <w:rPr>
                <w:rFonts w:hint="eastAsia" w:ascii="宋体" w:hAnsi="宋体" w:cs="宋体"/>
                <w:color w:val="auto"/>
                <w:sz w:val="24"/>
                <w:highlight w:val="none"/>
              </w:rPr>
              <w:t>投标地点：</w:t>
            </w:r>
            <w:r>
              <w:rPr>
                <w:rFonts w:hint="eastAsia" w:ascii="宋体" w:hAnsi="宋体" w:cs="宋体"/>
                <w:color w:val="auto"/>
                <w:sz w:val="24"/>
                <w:highlight w:val="none"/>
                <w:shd w:val="clear" w:color="auto" w:fill="FFFFFF"/>
              </w:rPr>
              <w:t>江苏省政府采购（苏采云）平台投标，线上不见面开标</w:t>
            </w:r>
            <w:r>
              <w:rPr>
                <w:rFonts w:hint="eastAsia" w:ascii="宋体" w:hAnsi="宋体" w:cs="宋体"/>
                <w:color w:val="auto"/>
                <w:sz w:val="24"/>
                <w:highlight w:val="none"/>
              </w:rPr>
              <w:t>。</w:t>
            </w:r>
          </w:p>
          <w:p w14:paraId="44B74CB2">
            <w:pPr>
              <w:widowControl/>
              <w:spacing w:line="312" w:lineRule="auto"/>
              <w:rPr>
                <w:rFonts w:ascii="宋体" w:hAnsi="宋体" w:cs="宋体"/>
                <w:bCs/>
                <w:color w:val="auto"/>
                <w:sz w:val="24"/>
                <w:highlight w:val="none"/>
              </w:rPr>
            </w:pPr>
            <w:r>
              <w:rPr>
                <w:rFonts w:hint="eastAsia" w:ascii="宋体" w:hAnsi="宋体" w:cs="宋体"/>
                <w:bCs/>
                <w:color w:val="auto"/>
                <w:sz w:val="24"/>
                <w:highlight w:val="none"/>
              </w:rPr>
              <w:t>注：</w:t>
            </w:r>
          </w:p>
          <w:p w14:paraId="47062B45">
            <w:pPr>
              <w:widowControl/>
              <w:spacing w:line="312" w:lineRule="auto"/>
              <w:rPr>
                <w:rFonts w:ascii="宋体" w:hAnsi="宋体" w:cs="宋体"/>
                <w:bCs/>
                <w:color w:val="auto"/>
                <w:sz w:val="24"/>
                <w:highlight w:val="none"/>
              </w:rPr>
            </w:pPr>
            <w:r>
              <w:rPr>
                <w:rFonts w:hint="eastAsia" w:ascii="宋体" w:hAnsi="宋体" w:cs="宋体"/>
                <w:bCs/>
                <w:color w:val="auto"/>
                <w:sz w:val="24"/>
                <w:highlight w:val="none"/>
              </w:rPr>
              <w:t>1.投标截止时间后将无法上传或撤回、修改投标文件，请投标供应商谨慎处理。</w:t>
            </w:r>
          </w:p>
          <w:p w14:paraId="52B6D167">
            <w:pPr>
              <w:widowControl/>
              <w:spacing w:line="312" w:lineRule="auto"/>
              <w:rPr>
                <w:rFonts w:ascii="宋体" w:hAnsi="宋体" w:cs="宋体"/>
                <w:color w:val="auto"/>
                <w:sz w:val="24"/>
                <w:highlight w:val="none"/>
              </w:rPr>
            </w:pPr>
            <w:r>
              <w:rPr>
                <w:rFonts w:hint="eastAsia" w:ascii="宋体" w:hAnsi="宋体" w:cs="宋体"/>
                <w:color w:val="auto"/>
                <w:sz w:val="24"/>
                <w:highlight w:val="none"/>
              </w:rPr>
              <w:t>2.请投标供应商关注开标大厅的提示进行解密，解密时间为30分钟，供应商未解密但解密剩余时间为0秒后，视为投标供应商放弃投标。</w:t>
            </w:r>
          </w:p>
        </w:tc>
      </w:tr>
      <w:tr w14:paraId="5C23D1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6" w:hRule="atLeast"/>
          <w:jc w:val="center"/>
        </w:trPr>
        <w:tc>
          <w:tcPr>
            <w:tcW w:w="826" w:type="dxa"/>
            <w:vAlign w:val="center"/>
          </w:tcPr>
          <w:p w14:paraId="027457D9">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10</w:t>
            </w:r>
          </w:p>
        </w:tc>
        <w:tc>
          <w:tcPr>
            <w:tcW w:w="8445" w:type="dxa"/>
            <w:vAlign w:val="center"/>
          </w:tcPr>
          <w:p w14:paraId="445ACF30">
            <w:pPr>
              <w:widowControl/>
              <w:spacing w:line="312" w:lineRule="auto"/>
              <w:rPr>
                <w:rFonts w:ascii="宋体" w:hAnsi="宋体" w:cs="宋体"/>
                <w:color w:val="auto"/>
                <w:sz w:val="24"/>
                <w:highlight w:val="none"/>
              </w:rPr>
            </w:pPr>
            <w:r>
              <w:rPr>
                <w:rFonts w:hint="eastAsia" w:ascii="宋体" w:hAnsi="宋体" w:cs="宋体"/>
                <w:color w:val="auto"/>
                <w:sz w:val="24"/>
                <w:highlight w:val="none"/>
              </w:rPr>
              <w:t>网上解密时间：2</w:t>
            </w:r>
            <w:r>
              <w:rPr>
                <w:rFonts w:hint="eastAsia" w:ascii="宋体" w:hAnsi="宋体" w:cs="宋体"/>
                <w:color w:val="auto"/>
                <w:sz w:val="24"/>
                <w:highlight w:val="none"/>
              </w:rPr>
              <w:t>025年</w:t>
            </w:r>
            <w:r>
              <w:rPr>
                <w:rFonts w:hint="eastAsia" w:ascii="宋体" w:hAnsi="宋体" w:cs="宋体"/>
                <w:color w:val="auto"/>
                <w:sz w:val="24"/>
                <w:highlight w:val="none"/>
                <w:lang w:val="en-US" w:eastAsia="zh-CN"/>
              </w:rPr>
              <w:t>11</w:t>
            </w:r>
            <w:r>
              <w:rPr>
                <w:rFonts w:ascii="宋体" w:hAnsi="宋体" w:cs="宋体"/>
                <w:color w:val="auto"/>
                <w:sz w:val="24"/>
                <w:highlight w:val="none"/>
              </w:rPr>
              <w:t>月</w:t>
            </w:r>
            <w:r>
              <w:rPr>
                <w:rFonts w:hint="eastAsia" w:ascii="宋体" w:hAnsi="宋体" w:cs="宋体"/>
                <w:color w:val="auto"/>
                <w:sz w:val="24"/>
                <w:highlight w:val="none"/>
                <w:lang w:val="en-US" w:eastAsia="zh-CN"/>
              </w:rPr>
              <w:t>21</w:t>
            </w:r>
            <w:r>
              <w:rPr>
                <w:rFonts w:hint="eastAsia" w:ascii="宋体" w:hAnsi="宋体" w:cs="宋体"/>
                <w:color w:val="auto"/>
                <w:sz w:val="24"/>
                <w:highlight w:val="none"/>
              </w:rPr>
              <w:t>日</w:t>
            </w:r>
            <w:r>
              <w:rPr>
                <w:rFonts w:hint="eastAsia" w:ascii="宋体" w:hAnsi="宋体" w:cs="宋体"/>
                <w:color w:val="auto"/>
                <w:sz w:val="24"/>
                <w:highlight w:val="none"/>
              </w:rPr>
              <w:t>13:30</w:t>
            </w:r>
          </w:p>
          <w:p w14:paraId="6ACB367C">
            <w:pPr>
              <w:widowControl/>
              <w:spacing w:line="312" w:lineRule="auto"/>
              <w:rPr>
                <w:rFonts w:ascii="宋体" w:hAnsi="宋体" w:cs="宋体"/>
                <w:color w:val="auto"/>
                <w:sz w:val="24"/>
                <w:highlight w:val="none"/>
              </w:rPr>
            </w:pPr>
            <w:r>
              <w:rPr>
                <w:rFonts w:hint="eastAsia" w:ascii="宋体" w:hAnsi="宋体" w:cs="宋体"/>
                <w:color w:val="auto"/>
                <w:sz w:val="24"/>
                <w:highlight w:val="none"/>
              </w:rPr>
              <w:t>投标地点：江苏省政府采购（苏采云）平台投标，线上不见面开标。</w:t>
            </w:r>
          </w:p>
          <w:p w14:paraId="10F61FEC">
            <w:pPr>
              <w:widowControl/>
              <w:spacing w:line="312" w:lineRule="auto"/>
              <w:rPr>
                <w:rFonts w:ascii="宋体" w:hAnsi="宋体" w:cs="宋体"/>
                <w:color w:val="auto"/>
                <w:sz w:val="24"/>
                <w:highlight w:val="none"/>
              </w:rPr>
            </w:pPr>
            <w:r>
              <w:rPr>
                <w:rFonts w:hint="eastAsia" w:ascii="宋体" w:hAnsi="宋体" w:cs="宋体"/>
                <w:color w:val="auto"/>
                <w:sz w:val="24"/>
                <w:highlight w:val="none"/>
              </w:rPr>
              <w:t>注：</w:t>
            </w:r>
          </w:p>
          <w:p w14:paraId="4D33515D">
            <w:pPr>
              <w:widowControl/>
              <w:spacing w:line="312" w:lineRule="auto"/>
              <w:rPr>
                <w:rFonts w:ascii="宋体" w:hAnsi="宋体" w:cs="宋体"/>
                <w:color w:val="auto"/>
                <w:sz w:val="24"/>
                <w:highlight w:val="none"/>
              </w:rPr>
            </w:pPr>
            <w:r>
              <w:rPr>
                <w:rFonts w:hint="eastAsia" w:ascii="宋体" w:hAnsi="宋体" w:cs="宋体"/>
                <w:color w:val="auto"/>
                <w:sz w:val="24"/>
                <w:highlight w:val="none"/>
              </w:rPr>
              <w:t>1.本项目进行线上不见面采购活动，投标供应商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p>
          <w:p w14:paraId="44C53234">
            <w:pPr>
              <w:widowControl/>
              <w:spacing w:line="312" w:lineRule="auto"/>
              <w:rPr>
                <w:rFonts w:ascii="宋体" w:hAnsi="宋体" w:cs="宋体"/>
                <w:b/>
                <w:bCs/>
                <w:color w:val="auto"/>
                <w:sz w:val="24"/>
                <w:highlight w:val="none"/>
              </w:rPr>
            </w:pPr>
            <w:r>
              <w:rPr>
                <w:rFonts w:hint="eastAsia" w:ascii="宋体" w:hAnsi="宋体" w:cs="宋体"/>
                <w:bCs/>
                <w:color w:val="auto"/>
                <w:sz w:val="24"/>
                <w:highlight w:val="none"/>
              </w:rPr>
              <w:t>2.投标文件的授权委托书中需明确授权委托人的联系方式（手机），否则如由于无法及时联系相关授权委托人而造成的一切后果由各投标供应商自行承担。</w:t>
            </w:r>
          </w:p>
        </w:tc>
      </w:tr>
      <w:tr w14:paraId="6D3B9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vAlign w:val="center"/>
          </w:tcPr>
          <w:p w14:paraId="652628F3">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11</w:t>
            </w:r>
          </w:p>
        </w:tc>
        <w:tc>
          <w:tcPr>
            <w:tcW w:w="8445" w:type="dxa"/>
            <w:vAlign w:val="center"/>
          </w:tcPr>
          <w:p w14:paraId="03FDD0C4">
            <w:pPr>
              <w:widowControl/>
              <w:spacing w:line="312" w:lineRule="auto"/>
              <w:rPr>
                <w:rFonts w:ascii="宋体" w:hAnsi="宋体" w:cs="宋体"/>
                <w:color w:val="auto"/>
                <w:sz w:val="24"/>
                <w:highlight w:val="none"/>
                <w:lang w:val="zh-CN"/>
              </w:rPr>
            </w:pPr>
            <w:r>
              <w:rPr>
                <w:rFonts w:hint="eastAsia" w:ascii="宋体" w:hAnsi="宋体" w:cs="宋体"/>
                <w:color w:val="auto"/>
                <w:sz w:val="24"/>
                <w:highlight w:val="none"/>
              </w:rPr>
              <w:t>确定中标单位时间：</w:t>
            </w:r>
            <w:r>
              <w:rPr>
                <w:rFonts w:hint="eastAsia" w:ascii="宋体" w:hAnsi="宋体" w:cs="宋体"/>
                <w:color w:val="auto"/>
                <w:sz w:val="24"/>
                <w:highlight w:val="none"/>
                <w:lang w:val="zh-CN"/>
              </w:rPr>
              <w:t>20</w:t>
            </w:r>
            <w:r>
              <w:rPr>
                <w:rFonts w:hint="eastAsia" w:ascii="宋体" w:hAnsi="宋体" w:cs="宋体"/>
                <w:color w:val="auto"/>
                <w:sz w:val="24"/>
                <w:highlight w:val="none"/>
              </w:rPr>
              <w:t>25</w:t>
            </w:r>
            <w:r>
              <w:rPr>
                <w:rFonts w:hint="eastAsia" w:ascii="宋体" w:hAnsi="宋体" w:cs="宋体"/>
                <w:color w:val="auto"/>
                <w:sz w:val="24"/>
                <w:highlight w:val="none"/>
                <w:lang w:val="zh-CN"/>
              </w:rPr>
              <w:t>年</w:t>
            </w:r>
            <w:r>
              <w:rPr>
                <w:rFonts w:hint="eastAsia" w:ascii="宋体" w:hAnsi="宋体" w:cs="宋体"/>
                <w:color w:val="auto"/>
                <w:sz w:val="24"/>
                <w:highlight w:val="none"/>
                <w:lang w:val="en-US" w:eastAsia="zh-CN"/>
              </w:rPr>
              <w:t>11</w:t>
            </w:r>
            <w:r>
              <w:rPr>
                <w:rFonts w:ascii="宋体" w:hAnsi="宋体" w:cs="宋体"/>
                <w:color w:val="auto"/>
                <w:sz w:val="24"/>
                <w:highlight w:val="none"/>
              </w:rPr>
              <w:t>月</w:t>
            </w:r>
            <w:r>
              <w:rPr>
                <w:rFonts w:hint="eastAsia" w:ascii="宋体" w:hAnsi="宋体" w:cs="宋体"/>
                <w:color w:val="auto"/>
                <w:sz w:val="24"/>
                <w:highlight w:val="none"/>
                <w:lang w:val="en-US" w:eastAsia="zh-CN"/>
              </w:rPr>
              <w:t>21</w:t>
            </w:r>
            <w:r>
              <w:rPr>
                <w:rFonts w:hint="eastAsia" w:ascii="宋体" w:hAnsi="宋体" w:cs="宋体"/>
                <w:color w:val="auto"/>
                <w:sz w:val="24"/>
                <w:highlight w:val="none"/>
              </w:rPr>
              <w:t>日</w:t>
            </w:r>
            <w:r>
              <w:rPr>
                <w:rFonts w:hint="eastAsia" w:ascii="宋体" w:hAnsi="宋体" w:cs="宋体"/>
                <w:color w:val="auto"/>
                <w:sz w:val="24"/>
                <w:highlight w:val="none"/>
                <w:lang w:val="zh-CN"/>
              </w:rPr>
              <w:t>评审结束后</w:t>
            </w:r>
          </w:p>
          <w:p w14:paraId="3B3EA48D">
            <w:pPr>
              <w:widowControl/>
              <w:spacing w:line="312" w:lineRule="auto"/>
              <w:rPr>
                <w:rFonts w:ascii="宋体" w:hAnsi="宋体" w:cs="宋体"/>
                <w:color w:val="auto"/>
                <w:sz w:val="24"/>
                <w:highlight w:val="none"/>
              </w:rPr>
            </w:pPr>
            <w:r>
              <w:rPr>
                <w:rFonts w:hint="eastAsia" w:ascii="宋体" w:hAnsi="宋体" w:cs="宋体"/>
                <w:color w:val="auto"/>
                <w:sz w:val="24"/>
                <w:highlight w:val="none"/>
              </w:rPr>
              <w:t>确定中标单位地点：江苏省政府采购（苏采云）平台投标，线上不见面开标。</w:t>
            </w:r>
          </w:p>
        </w:tc>
      </w:tr>
      <w:tr w14:paraId="0E273A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vAlign w:val="center"/>
          </w:tcPr>
          <w:p w14:paraId="22CF14C2">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12</w:t>
            </w:r>
          </w:p>
        </w:tc>
        <w:tc>
          <w:tcPr>
            <w:tcW w:w="8445" w:type="dxa"/>
            <w:vAlign w:val="center"/>
          </w:tcPr>
          <w:p w14:paraId="7D5C2E37">
            <w:pPr>
              <w:widowControl/>
              <w:spacing w:line="312" w:lineRule="auto"/>
              <w:rPr>
                <w:rFonts w:ascii="宋体" w:hAnsi="宋体" w:cs="宋体"/>
                <w:b/>
                <w:bCs/>
                <w:color w:val="auto"/>
                <w:sz w:val="24"/>
                <w:highlight w:val="none"/>
                <w:lang w:val="zh-CN"/>
              </w:rPr>
            </w:pPr>
            <w:r>
              <w:rPr>
                <w:rFonts w:hint="eastAsia" w:ascii="宋体" w:hAnsi="宋体" w:cs="宋体"/>
                <w:b/>
                <w:bCs/>
                <w:color w:val="auto"/>
                <w:sz w:val="24"/>
                <w:highlight w:val="none"/>
                <w:lang w:val="zh-CN"/>
              </w:rPr>
              <w:t>投标文件份数：</w:t>
            </w:r>
          </w:p>
          <w:p w14:paraId="5465E8B8">
            <w:pPr>
              <w:widowControl/>
              <w:spacing w:line="312" w:lineRule="auto"/>
              <w:rPr>
                <w:rFonts w:ascii="宋体" w:hAnsi="宋体" w:cs="宋体"/>
                <w:color w:val="auto"/>
                <w:sz w:val="24"/>
                <w:highlight w:val="none"/>
              </w:rPr>
            </w:pPr>
            <w:r>
              <w:rPr>
                <w:rFonts w:hint="eastAsia" w:ascii="宋体" w:hAnsi="宋体" w:cs="宋体"/>
                <w:color w:val="auto"/>
                <w:sz w:val="24"/>
                <w:highlight w:val="none"/>
              </w:rPr>
              <w:t>1.因供应商可能会存在操作不熟练、业务不熟悉等因素，为保证开评标流程顺利，供应商如有问题应及时反馈，供应商在投标截止时间前网上上传电子投标文件。</w:t>
            </w:r>
          </w:p>
          <w:p w14:paraId="649DB4AE">
            <w:pPr>
              <w:widowControl/>
              <w:spacing w:line="312" w:lineRule="auto"/>
              <w:rPr>
                <w:rFonts w:ascii="宋体" w:hAnsi="宋体" w:cs="宋体"/>
                <w:color w:val="auto"/>
                <w:sz w:val="24"/>
                <w:highlight w:val="none"/>
              </w:rPr>
            </w:pPr>
            <w:r>
              <w:rPr>
                <w:rFonts w:hint="eastAsia" w:ascii="宋体" w:hAnsi="宋体" w:cs="宋体"/>
                <w:color w:val="auto"/>
                <w:sz w:val="24"/>
                <w:highlight w:val="none"/>
              </w:rPr>
              <w:t>2.供应商在开标前务必确认电脑浏览器设置、CA证书软件下载等，确保和CA证书匹配可以正常登录苏采云投标客户端。</w:t>
            </w:r>
          </w:p>
          <w:p w14:paraId="11296F40">
            <w:pPr>
              <w:widowControl/>
              <w:spacing w:line="312" w:lineRule="auto"/>
              <w:rPr>
                <w:rFonts w:ascii="宋体" w:hAnsi="宋体" w:cs="宋体"/>
                <w:color w:val="auto"/>
                <w:sz w:val="24"/>
                <w:highlight w:val="none"/>
              </w:rPr>
            </w:pPr>
            <w:r>
              <w:rPr>
                <w:rFonts w:hint="eastAsia" w:ascii="宋体" w:hAnsi="宋体" w:cs="宋体"/>
                <w:color w:val="auto"/>
                <w:sz w:val="24"/>
                <w:highlight w:val="none"/>
              </w:rPr>
              <w:t>3.本项目为不见面开标，投标供应商无需递交纸质投标文件至现场，仅中标供应商在中标公告结束后递交纸质版投标文件一正一副至招标代理机构。若纸质投标文件与电子投标文件不符，则以电子投标文件为准。</w:t>
            </w:r>
          </w:p>
          <w:p w14:paraId="7D9D9D46">
            <w:pPr>
              <w:widowControl/>
              <w:spacing w:line="312" w:lineRule="auto"/>
              <w:rPr>
                <w:rFonts w:ascii="宋体" w:hAnsi="宋体" w:cs="宋体"/>
                <w:color w:val="auto"/>
                <w:sz w:val="24"/>
                <w:highlight w:val="none"/>
              </w:rPr>
            </w:pPr>
            <w:r>
              <w:rPr>
                <w:rFonts w:hint="eastAsia" w:ascii="宋体" w:hAnsi="宋体" w:cs="宋体"/>
                <w:color w:val="auto"/>
                <w:sz w:val="24"/>
                <w:highlight w:val="none"/>
              </w:rPr>
              <w:t>4.供应商请仔细阅读供应商注册流程和招标文件中关于电子开评标等相关事项，如有问题可发送邮件或电话咨询。</w:t>
            </w:r>
          </w:p>
          <w:p w14:paraId="22A77B05">
            <w:pPr>
              <w:widowControl/>
              <w:spacing w:line="312" w:lineRule="auto"/>
              <w:rPr>
                <w:rFonts w:ascii="宋体" w:hAnsi="宋体" w:cs="宋体"/>
                <w:color w:val="auto"/>
                <w:sz w:val="24"/>
                <w:highlight w:val="none"/>
              </w:rPr>
            </w:pPr>
            <w:r>
              <w:rPr>
                <w:rFonts w:hint="eastAsia" w:ascii="宋体" w:hAnsi="宋体" w:cs="宋体"/>
                <w:color w:val="auto"/>
                <w:sz w:val="24"/>
                <w:highlight w:val="none"/>
              </w:rPr>
              <w:t>5.本次采购采用江苏省政府采购（苏采云）平台进行采购活动，采购文件发布、报价、评审和中标结果发布全程电子化。</w:t>
            </w:r>
          </w:p>
        </w:tc>
      </w:tr>
      <w:tr w14:paraId="14090F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26" w:type="dxa"/>
            <w:vAlign w:val="center"/>
          </w:tcPr>
          <w:p w14:paraId="11FEBF05">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13</w:t>
            </w:r>
          </w:p>
        </w:tc>
        <w:tc>
          <w:tcPr>
            <w:tcW w:w="8445" w:type="dxa"/>
            <w:vAlign w:val="center"/>
          </w:tcPr>
          <w:p w14:paraId="74F2DD55">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有关本次采购活动方面的问题，可来信、来函（传真）或电话联系。</w:t>
            </w:r>
          </w:p>
          <w:p w14:paraId="242200C3">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采购人：无锡市精神卫生中心</w:t>
            </w:r>
          </w:p>
          <w:p w14:paraId="47840E7C">
            <w:pPr>
              <w:snapToGrid w:val="0"/>
              <w:spacing w:line="312" w:lineRule="auto"/>
              <w:rPr>
                <w:rFonts w:ascii="宋体" w:hAnsi="宋体" w:cs="宋体"/>
                <w:bCs/>
                <w:color w:val="auto"/>
                <w:sz w:val="24"/>
                <w:highlight w:val="none"/>
              </w:rPr>
            </w:pPr>
            <w:r>
              <w:rPr>
                <w:rFonts w:hint="eastAsia" w:ascii="宋体" w:hAnsi="宋体" w:cs="宋体"/>
                <w:bCs/>
                <w:color w:val="auto"/>
                <w:sz w:val="24"/>
                <w:highlight w:val="none"/>
              </w:rPr>
              <w:t>采购人地址：无锡市钱荣路156号</w:t>
            </w:r>
          </w:p>
          <w:p w14:paraId="302C7620">
            <w:pPr>
              <w:snapToGrid w:val="0"/>
              <w:spacing w:line="312" w:lineRule="auto"/>
              <w:rPr>
                <w:rFonts w:ascii="宋体" w:hAnsi="宋体" w:cs="宋体"/>
                <w:bCs/>
                <w:color w:val="auto"/>
                <w:sz w:val="24"/>
                <w:highlight w:val="none"/>
              </w:rPr>
            </w:pPr>
            <w:r>
              <w:rPr>
                <w:rFonts w:hint="eastAsia" w:ascii="宋体" w:hAnsi="宋体" w:cs="宋体"/>
                <w:bCs/>
                <w:color w:val="auto"/>
                <w:sz w:val="24"/>
                <w:highlight w:val="none"/>
              </w:rPr>
              <w:t>联系人：陈女士</w:t>
            </w:r>
          </w:p>
          <w:p w14:paraId="34BC839D">
            <w:pPr>
              <w:snapToGrid w:val="0"/>
              <w:spacing w:line="312" w:lineRule="auto"/>
              <w:rPr>
                <w:rFonts w:ascii="宋体" w:hAnsi="宋体" w:cs="宋体"/>
                <w:bCs/>
                <w:color w:val="auto"/>
                <w:sz w:val="24"/>
                <w:highlight w:val="none"/>
              </w:rPr>
            </w:pPr>
            <w:r>
              <w:rPr>
                <w:rFonts w:hint="eastAsia" w:ascii="宋体" w:hAnsi="宋体" w:cs="宋体"/>
                <w:bCs/>
                <w:color w:val="auto"/>
                <w:sz w:val="24"/>
                <w:highlight w:val="none"/>
              </w:rPr>
              <w:t>联系电</w:t>
            </w:r>
            <w:r>
              <w:rPr>
                <w:rFonts w:hint="eastAsia" w:ascii="宋体" w:hAnsi="宋体" w:cs="宋体"/>
                <w:color w:val="auto"/>
                <w:sz w:val="24"/>
                <w:highlight w:val="none"/>
              </w:rPr>
              <w:t>话：0510-83200801</w:t>
            </w:r>
          </w:p>
          <w:p w14:paraId="3F11FDA5">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采购代理机构：北京建智达工程管理股份有限公司</w:t>
            </w:r>
          </w:p>
          <w:p w14:paraId="303C7417">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联系人：黎晓明、杨亚丁、王静遐</w:t>
            </w:r>
          </w:p>
          <w:p w14:paraId="1A3E6555">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联系电话：0510-83124001</w:t>
            </w:r>
          </w:p>
          <w:p w14:paraId="66C23296">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联系地址：无锡市滨湖区绣溪道59号交大创意园21号楼3楼</w:t>
            </w:r>
          </w:p>
          <w:p w14:paraId="431B93FC">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电子邮件地址：</w:t>
            </w:r>
            <w:r>
              <w:rPr>
                <w:rStyle w:val="45"/>
                <w:rFonts w:hint="eastAsia" w:ascii="宋体" w:hAnsi="宋体" w:cs="宋体"/>
                <w:color w:val="auto"/>
                <w:sz w:val="24"/>
                <w:highlight w:val="none"/>
                <w:u w:val="none"/>
              </w:rPr>
              <w:t>bjjzdwx@163.com</w:t>
            </w:r>
          </w:p>
        </w:tc>
      </w:tr>
      <w:tr w14:paraId="28432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826" w:type="dxa"/>
            <w:vAlign w:val="center"/>
          </w:tcPr>
          <w:p w14:paraId="3A980904">
            <w:pPr>
              <w:widowControl/>
              <w:spacing w:line="312" w:lineRule="auto"/>
              <w:jc w:val="center"/>
              <w:rPr>
                <w:rFonts w:ascii="宋体" w:hAnsi="宋体" w:cs="宋体"/>
                <w:color w:val="auto"/>
                <w:sz w:val="24"/>
                <w:highlight w:val="none"/>
              </w:rPr>
            </w:pPr>
            <w:r>
              <w:rPr>
                <w:rFonts w:hint="eastAsia" w:ascii="宋体" w:hAnsi="宋体" w:cs="宋体"/>
                <w:color w:val="auto"/>
                <w:sz w:val="24"/>
                <w:highlight w:val="none"/>
              </w:rPr>
              <w:t>14</w:t>
            </w:r>
          </w:p>
        </w:tc>
        <w:tc>
          <w:tcPr>
            <w:tcW w:w="8445" w:type="dxa"/>
            <w:vAlign w:val="center"/>
          </w:tcPr>
          <w:p w14:paraId="759EA5DB">
            <w:pPr>
              <w:widowControl/>
              <w:spacing w:line="312" w:lineRule="auto"/>
              <w:jc w:val="left"/>
              <w:rPr>
                <w:rFonts w:ascii="宋体" w:hAnsi="宋体" w:cs="宋体"/>
                <w:b/>
                <w:bCs/>
                <w:color w:val="auto"/>
                <w:sz w:val="24"/>
                <w:highlight w:val="none"/>
              </w:rPr>
            </w:pPr>
            <w:r>
              <w:rPr>
                <w:rFonts w:hint="eastAsia" w:ascii="宋体" w:hAnsi="宋体" w:cs="宋体"/>
                <w:b/>
                <w:bCs/>
                <w:color w:val="auto"/>
                <w:sz w:val="24"/>
                <w:highlight w:val="none"/>
              </w:rPr>
              <w:t>供应商主体信息库注册：</w:t>
            </w:r>
          </w:p>
          <w:p w14:paraId="624DC6BB">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1.请有意参加本项目采购活动的供应商按以下流程进行操作：</w:t>
            </w:r>
          </w:p>
          <w:p w14:paraId="5CCDDDA8">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（1）访问“江苏政府采购网”点击“江苏省政府采购（苏采云）平台”（以下简称“苏采云”）进行账号注册，注册完成后需在系统中填写资质信息并提交审核。也可以直接通过http://jszfcg.jsczt.cn/进入注册界面。</w:t>
            </w:r>
          </w:p>
          <w:p w14:paraId="60BD5B2F">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（2）办理“意源”CA数字证书和“方正”电子签章（办理地址：无锡市滨湖区观山路199号12号楼二楼9号、10号窗口），办理指南链接：http://jsxcmm.com/help/help.html。</w:t>
            </w:r>
          </w:p>
          <w:p w14:paraId="5B5FFC27">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（3）CA驱动下载：</w:t>
            </w:r>
          </w:p>
          <w:p w14:paraId="0C595B75">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在“江苏省政府采购（苏采云）平台”账号登录页面，点击“驱动下载”链接中的“政务CA、方正签章控件驱动安装包及安装说明”可以直接下载驱动安装包，安装包中附有驱动安装手册。</w:t>
            </w:r>
          </w:p>
          <w:p w14:paraId="5B165192">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技术服务电话：0510-81827781（服务时间：工作日9:00-11:30，13:00-17:00）</w:t>
            </w:r>
          </w:p>
          <w:p w14:paraId="0244457B">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2.完成苏采云注册的供应商方可在苏采云中进行CA绑定。登录“江苏省政府采购（苏采云）平台”，插入CA后，点击【账号设置】——【绑定CA】。</w:t>
            </w:r>
          </w:p>
          <w:p w14:paraId="102A2154">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3.供应商应按上述要求提供相关材料及注册登记信息，所提供的材料应均是真实的、准确的，若有违背，供应商自行承担由此而产生的一切后果。</w:t>
            </w:r>
          </w:p>
          <w:p w14:paraId="3B4D5C59">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4.如供应商未按上述要求操作，由此所产生的损失及风险由供应商自行承担。具体操作步骤详见《“苏采云”系统供应商操作手册》（以下简称《操作手册》）。</w:t>
            </w:r>
          </w:p>
          <w:p w14:paraId="21DCA218">
            <w:pPr>
              <w:widowControl/>
              <w:spacing w:line="312" w:lineRule="auto"/>
              <w:jc w:val="left"/>
              <w:rPr>
                <w:rFonts w:ascii="宋体" w:hAnsi="宋体" w:cs="宋体"/>
                <w:color w:val="auto"/>
                <w:sz w:val="24"/>
                <w:highlight w:val="none"/>
              </w:rPr>
            </w:pPr>
            <w:r>
              <w:rPr>
                <w:rFonts w:hint="eastAsia" w:ascii="宋体" w:hAnsi="宋体" w:cs="宋体"/>
                <w:color w:val="auto"/>
                <w:sz w:val="24"/>
                <w:highlight w:val="none"/>
              </w:rPr>
              <w:t>技术支持QQ：田女士：3071474382；王先生：897651173。</w:t>
            </w:r>
          </w:p>
        </w:tc>
      </w:tr>
    </w:tbl>
    <w:p w14:paraId="33E654C9">
      <w:pPr>
        <w:spacing w:line="360" w:lineRule="auto"/>
        <w:jc w:val="center"/>
        <w:rPr>
          <w:rFonts w:ascii="宋体" w:hAnsi="宋体" w:cs="宋体"/>
          <w:b/>
          <w:color w:val="auto"/>
          <w:sz w:val="44"/>
          <w:szCs w:val="44"/>
          <w:highlight w:val="none"/>
        </w:rPr>
      </w:pPr>
      <w:r>
        <w:rPr>
          <w:rFonts w:hint="eastAsia" w:ascii="宋体" w:hAnsi="宋体" w:cs="宋体"/>
          <w:b/>
          <w:color w:val="auto"/>
          <w:sz w:val="24"/>
          <w:highlight w:val="none"/>
        </w:rPr>
        <w:br w:type="page" w:clear="all"/>
      </w:r>
      <w:r>
        <w:rPr>
          <w:rFonts w:hint="eastAsia" w:ascii="宋体" w:hAnsi="宋体" w:cs="宋体"/>
          <w:b/>
          <w:color w:val="auto"/>
          <w:sz w:val="44"/>
          <w:szCs w:val="44"/>
          <w:highlight w:val="none"/>
        </w:rPr>
        <w:t>第二部分.投标供应商须知</w:t>
      </w:r>
    </w:p>
    <w:p w14:paraId="264F687B">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（一）遵循原则：</w:t>
      </w:r>
    </w:p>
    <w:p w14:paraId="4F67F8C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公开透明原则、公平竞争原则、公正原则和诚实信用原则。</w:t>
      </w:r>
    </w:p>
    <w:p w14:paraId="62BF7F59">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（二）采购文件：</w:t>
      </w:r>
    </w:p>
    <w:p w14:paraId="678554BE">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1.采购文件包括文件目录所列全部内容，投标供应商应仔细阅读，并在投标文件中充分响应采购文件的所有要求。</w:t>
      </w:r>
    </w:p>
    <w:p w14:paraId="0110EDF2">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2.投标供应商应登录苏采云平台http://jszfcg.jscz.gov.cn/jszc/login在线申请获取采购文件及有关资料，按采购文件要求提交全部资料并对采购文件各项内容做出实质性响应，否则该投标供应商的投标无效。</w:t>
      </w:r>
    </w:p>
    <w:p w14:paraId="01850621">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3.投标供应商一旦参加本项目投标，即表明承诺接受了本采购文件中所有条件和规定。</w:t>
      </w:r>
    </w:p>
    <w:p w14:paraId="6748CFB7">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4.采购文件仅作为本次采购投标使用。</w:t>
      </w:r>
    </w:p>
    <w:p w14:paraId="6F559FDD">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（三）采购文件的解释：</w:t>
      </w:r>
    </w:p>
    <w:p w14:paraId="42E2E6F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1.投标供应商如有需要对采购文件要求澄清的问题，请以书面提出，并按“投标邀请”第6项规定的时间将电子邮件或书面传真发送至北京建智达工程管理股份有限公司，联系方式详见“投标邀请”第13项。</w:t>
      </w:r>
    </w:p>
    <w:p w14:paraId="15C320A5">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2.采购人、北京建智达工程管理股份有限公司将按照“投标邀请”第6项规定的时间对投标供应商针对采购文件书面提出的要求澄清的问题进行书面答疑。</w:t>
      </w:r>
    </w:p>
    <w:p w14:paraId="79C81309">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3.本文件的最终解释权归采购人。</w:t>
      </w:r>
    </w:p>
    <w:p w14:paraId="0B8F29D9">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（四）采购文件的补充或修正：</w:t>
      </w:r>
    </w:p>
    <w:p w14:paraId="0E451AC3">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1.采购代理机构可以对已发出的招标文件进行必要的澄清或者修改，但不得改变采购标的和资格条件。澄清或者修改应该在中国政府采购网、江苏政府采购网上发布澄清公告。澄清或者修改的内容为招标文件的组成部分。</w:t>
      </w:r>
    </w:p>
    <w:p w14:paraId="0C2075C6">
      <w:pPr>
        <w:spacing w:line="360" w:lineRule="auto"/>
        <w:ind w:firstLine="480"/>
        <w:rPr>
          <w:rFonts w:ascii="宋体" w:hAnsi="宋体" w:cs="宋体"/>
          <w:color w:val="auto"/>
          <w:sz w:val="24"/>
          <w:highlight w:val="none"/>
        </w:rPr>
      </w:pPr>
      <w:r>
        <w:rPr>
          <w:rFonts w:hint="eastAsia" w:ascii="宋体" w:hAnsi="宋体" w:cs="宋体"/>
          <w:color w:val="auto"/>
          <w:sz w:val="24"/>
          <w:highlight w:val="none"/>
        </w:rPr>
        <w:t>2.澄清或者修改的内容可能影响投标文件的编制的，采购代理机构应当在投标截止时间至少15日前，以书面形式通知所有获取招标文件的潜在投标供应商；不足15日的，采购代理机构应当顺延提交投标文件的截止时间。请招标文件的收受人收到采购代理机构的书面通知后，于投标截止日前书面回函（电子邮件）采购代理机构，邮箱：bjjzdwx@163.com，逾期不回视同收到此书面通知。因投标供应商未尽注意义务，未及时全面地关注澄清或修改内容导致其提交的投标文件不符合招标文件要求，而造成的损失及风险（包括但不限于未中标）由投标供应商自行承担</w:t>
      </w:r>
      <w:r>
        <w:rPr>
          <w:rFonts w:hint="eastAsia" w:ascii="宋体" w:hAnsi="宋体" w:cs="宋体"/>
          <w:bCs/>
          <w:color w:val="auto"/>
          <w:sz w:val="24"/>
          <w:highlight w:val="none"/>
        </w:rPr>
        <w:t>。</w:t>
      </w:r>
    </w:p>
    <w:p w14:paraId="5452D29E">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（五）投标文件的组成：</w:t>
      </w:r>
    </w:p>
    <w:p w14:paraId="0866DF41">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投标文件由商务文件、技术文件组成。（相应内容上传至投标客户端）。</w:t>
      </w:r>
    </w:p>
    <w:p w14:paraId="6D8F6AA5">
      <w:pPr>
        <w:pStyle w:val="429"/>
        <w:tabs>
          <w:tab w:val="left" w:pos="1050"/>
          <w:tab w:val="left" w:pos="1365"/>
        </w:tabs>
        <w:spacing w:line="360" w:lineRule="auto"/>
        <w:ind w:firstLine="482"/>
        <w:jc w:val="left"/>
        <w:rPr>
          <w:b/>
          <w:color w:val="auto"/>
          <w:highlight w:val="none"/>
        </w:rPr>
      </w:pPr>
      <w:r>
        <w:rPr>
          <w:rFonts w:hint="eastAsia"/>
          <w:b/>
          <w:color w:val="auto"/>
          <w:highlight w:val="none"/>
        </w:rPr>
        <w:t>一）商务文件部分包括：</w:t>
      </w:r>
    </w:p>
    <w:p w14:paraId="31FB3853">
      <w:pPr>
        <w:pStyle w:val="429"/>
        <w:tabs>
          <w:tab w:val="left" w:pos="1050"/>
          <w:tab w:val="left" w:pos="1365"/>
        </w:tabs>
        <w:spacing w:line="360" w:lineRule="auto"/>
        <w:ind w:firstLine="480"/>
        <w:jc w:val="left"/>
        <w:rPr>
          <w:b/>
          <w:color w:val="auto"/>
          <w:highlight w:val="none"/>
        </w:rPr>
      </w:pPr>
      <w:r>
        <w:rPr>
          <w:rFonts w:hint="eastAsia"/>
          <w:bCs/>
          <w:color w:val="auto"/>
          <w:szCs w:val="20"/>
          <w:highlight w:val="none"/>
        </w:rPr>
        <w:t>1.投标</w:t>
      </w:r>
      <w:r>
        <w:rPr>
          <w:rFonts w:hint="eastAsia"/>
          <w:bCs/>
          <w:color w:val="auto"/>
          <w:highlight w:val="none"/>
        </w:rPr>
        <w:t>函（格式见附件）</w:t>
      </w:r>
    </w:p>
    <w:p w14:paraId="0DAC8FB6">
      <w:pPr>
        <w:tabs>
          <w:tab w:val="left" w:pos="525"/>
          <w:tab w:val="left" w:pos="1050"/>
        </w:tabs>
        <w:spacing w:line="360" w:lineRule="auto"/>
        <w:ind w:firstLine="480"/>
        <w:rPr>
          <w:rFonts w:hAnsi="宋体" w:cs="宋体"/>
          <w:bCs/>
          <w:color w:val="auto"/>
          <w:sz w:val="24"/>
          <w:highlight w:val="none"/>
        </w:rPr>
      </w:pPr>
      <w:r>
        <w:rPr>
          <w:rFonts w:hint="eastAsia" w:ascii="宋体" w:hAnsi="宋体" w:cs="宋体"/>
          <w:bCs/>
          <w:color w:val="auto"/>
          <w:sz w:val="24"/>
          <w:highlight w:val="none"/>
        </w:rPr>
        <w:t>2.证</w:t>
      </w:r>
      <w:r>
        <w:rPr>
          <w:rFonts w:hint="eastAsia" w:hAnsi="宋体" w:cs="宋体"/>
          <w:bCs/>
          <w:color w:val="auto"/>
          <w:sz w:val="24"/>
          <w:highlight w:val="none"/>
        </w:rPr>
        <w:t>明文件：</w:t>
      </w:r>
    </w:p>
    <w:p w14:paraId="3011FE81">
      <w:pPr>
        <w:tabs>
          <w:tab w:val="left" w:pos="420"/>
          <w:tab w:val="left" w:pos="720"/>
          <w:tab w:val="left" w:pos="1365"/>
        </w:tabs>
        <w:spacing w:line="360" w:lineRule="auto"/>
        <w:ind w:firstLine="480"/>
        <w:rPr>
          <w:rFonts w:hAnsi="宋体" w:cs="宋体"/>
          <w:bCs/>
          <w:color w:val="auto"/>
          <w:sz w:val="24"/>
          <w:highlight w:val="none"/>
        </w:rPr>
      </w:pPr>
      <w:r>
        <w:rPr>
          <w:rFonts w:hint="eastAsia" w:ascii="宋体" w:hAnsi="宋体" w:cs="宋体"/>
          <w:bCs/>
          <w:color w:val="auto"/>
          <w:sz w:val="24"/>
          <w:highlight w:val="none"/>
        </w:rPr>
        <w:t>（1）</w:t>
      </w:r>
      <w:r>
        <w:rPr>
          <w:rFonts w:hint="eastAsia" w:hAnsi="宋体" w:cs="宋体"/>
          <w:bCs/>
          <w:color w:val="auto"/>
          <w:sz w:val="24"/>
          <w:highlight w:val="none"/>
        </w:rPr>
        <w:t>资格、资信证明文件</w:t>
      </w:r>
      <w:r>
        <w:rPr>
          <w:rFonts w:hint="eastAsia" w:hAnsi="宋体" w:cs="宋体"/>
          <w:b/>
          <w:color w:val="auto"/>
          <w:sz w:val="24"/>
          <w:highlight w:val="none"/>
        </w:rPr>
        <w:t>（扫描后上传，身份证应为正、反面）</w:t>
      </w:r>
    </w:p>
    <w:p w14:paraId="3D5D55FB">
      <w:pPr>
        <w:tabs>
          <w:tab w:val="left" w:pos="1276"/>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1.关于资格的声明函；</w:t>
      </w:r>
      <w:r>
        <w:rPr>
          <w:rFonts w:hint="eastAsia" w:ascii="宋体" w:hAnsi="宋体" w:cs="宋体"/>
          <w:b/>
          <w:bCs/>
          <w:color w:val="auto"/>
          <w:sz w:val="24"/>
          <w:highlight w:val="none"/>
        </w:rPr>
        <w:t>（格式见附件）</w:t>
      </w:r>
    </w:p>
    <w:p w14:paraId="40B86416">
      <w:pPr>
        <w:tabs>
          <w:tab w:val="left" w:pos="1276"/>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2.投标供应商有效期内法人注册登记证明材料（如营业执照等）；</w:t>
      </w:r>
    </w:p>
    <w:p w14:paraId="7CE47B07">
      <w:pPr>
        <w:tabs>
          <w:tab w:val="left" w:pos="1276"/>
        </w:tabs>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3.</w:t>
      </w:r>
      <w:r>
        <w:rPr>
          <w:rFonts w:hint="eastAsia" w:ascii="宋体" w:hAnsi="宋体"/>
          <w:bCs/>
          <w:color w:val="auto"/>
          <w:sz w:val="24"/>
          <w:highlight w:val="none"/>
        </w:rPr>
        <w:t>法定代表人身份证明书（格式见附件）</w:t>
      </w:r>
    </w:p>
    <w:p w14:paraId="6450AFFB">
      <w:pPr>
        <w:tabs>
          <w:tab w:val="left" w:pos="1276"/>
        </w:tabs>
        <w:spacing w:line="360" w:lineRule="auto"/>
        <w:ind w:firstLine="480"/>
        <w:rPr>
          <w:rFonts w:ascii="宋体" w:hAnsi="宋体" w:cs="宋体"/>
          <w:color w:val="auto"/>
          <w:sz w:val="24"/>
          <w:highlight w:val="none"/>
        </w:rPr>
      </w:pPr>
      <w:r>
        <w:rPr>
          <w:rFonts w:hint="eastAsia" w:ascii="宋体" w:hAnsi="宋体" w:cs="宋体"/>
          <w:bCs/>
          <w:color w:val="auto"/>
          <w:sz w:val="24"/>
          <w:highlight w:val="none"/>
        </w:rPr>
        <w:t>4.投标供应商法定代表人授权委托书；</w:t>
      </w:r>
      <w:r>
        <w:rPr>
          <w:rFonts w:hint="eastAsia" w:ascii="宋体" w:hAnsi="宋体" w:cs="宋体"/>
          <w:color w:val="auto"/>
          <w:sz w:val="24"/>
          <w:highlight w:val="none"/>
        </w:rPr>
        <w:t>（法定代表人亲自参与投标的除外，格式见附件）；</w:t>
      </w:r>
    </w:p>
    <w:p w14:paraId="067C1484">
      <w:pPr>
        <w:tabs>
          <w:tab w:val="left" w:pos="360"/>
          <w:tab w:val="left" w:pos="600"/>
        </w:tabs>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5.</w:t>
      </w:r>
      <w:r>
        <w:rPr>
          <w:rFonts w:hint="eastAsia" w:ascii="宋体" w:hAnsi="宋体" w:cs="宋体"/>
          <w:bCs/>
          <w:color w:val="auto"/>
          <w:sz w:val="24"/>
          <w:highlight w:val="none"/>
        </w:rPr>
        <w:t>被授权代表人提供法定的社保收缴部门出具的</w:t>
      </w:r>
      <w:r>
        <w:rPr>
          <w:rFonts w:hint="eastAsia" w:ascii="宋体" w:hAnsi="宋体" w:cs="宋体"/>
          <w:color w:val="auto"/>
          <w:sz w:val="24"/>
          <w:highlight w:val="none"/>
        </w:rPr>
        <w:t>三个月（</w:t>
      </w:r>
      <w:r>
        <w:rPr>
          <w:rFonts w:hint="eastAsia" w:ascii="宋体" w:hAnsi="宋体" w:cs="宋体"/>
          <w:color w:val="auto"/>
          <w:sz w:val="24"/>
          <w:highlight w:val="none"/>
        </w:rPr>
        <w:t>2025年8月-2025年10月</w:t>
      </w:r>
      <w:r>
        <w:rPr>
          <w:rFonts w:hint="eastAsia" w:ascii="宋体" w:hAnsi="宋体" w:cs="宋体"/>
          <w:color w:val="auto"/>
          <w:sz w:val="24"/>
          <w:highlight w:val="none"/>
        </w:rPr>
        <w:t>）</w:t>
      </w:r>
      <w:r>
        <w:rPr>
          <w:rFonts w:hint="eastAsia" w:ascii="宋体" w:hAnsi="宋体" w:cs="宋体"/>
          <w:bCs/>
          <w:color w:val="auto"/>
          <w:sz w:val="24"/>
          <w:highlight w:val="none"/>
        </w:rPr>
        <w:t>中任意一个月的投标供应商依法为其缴纳社会保险证明（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bCs/>
          <w:color w:val="auto"/>
          <w:sz w:val="24"/>
          <w:highlight w:val="none"/>
          <w:lang w:val="zh-CN"/>
        </w:rPr>
        <w:t>；</w:t>
      </w:r>
    </w:p>
    <w:p w14:paraId="612BC7BF">
      <w:pPr>
        <w:tabs>
          <w:tab w:val="left" w:pos="1050"/>
          <w:tab w:val="left" w:pos="1200"/>
        </w:tabs>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6.投标供应商近三个月（</w:t>
      </w:r>
      <w:r>
        <w:rPr>
          <w:rFonts w:hint="eastAsia" w:ascii="宋体" w:hAnsi="宋体" w:cs="宋体"/>
          <w:color w:val="auto"/>
          <w:sz w:val="24"/>
          <w:highlight w:val="none"/>
        </w:rPr>
        <w:t>2025年8月-2025年10月</w:t>
      </w:r>
      <w:r>
        <w:rPr>
          <w:rFonts w:hint="eastAsia" w:ascii="宋体" w:hAnsi="宋体" w:cs="宋体"/>
          <w:color w:val="auto"/>
          <w:sz w:val="24"/>
          <w:highlight w:val="none"/>
        </w:rPr>
        <w:t>）中任意一个月份的财务状况报表（资产负债表、利润表）或由会计师事务所出</w:t>
      </w:r>
      <w:r>
        <w:rPr>
          <w:rFonts w:hint="eastAsia" w:ascii="宋体" w:hAnsi="宋体" w:cs="宋体"/>
          <w:bCs/>
          <w:color w:val="auto"/>
          <w:sz w:val="24"/>
          <w:highlight w:val="none"/>
        </w:rPr>
        <w:t>具的2024年度审计报告和所附已审财务报告；</w:t>
      </w:r>
    </w:p>
    <w:p w14:paraId="679AC247">
      <w:pPr>
        <w:tabs>
          <w:tab w:val="left" w:pos="360"/>
          <w:tab w:val="left" w:pos="6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7.投标供应商</w:t>
      </w:r>
      <w:r>
        <w:rPr>
          <w:rFonts w:hint="eastAsia" w:ascii="宋体" w:hAnsi="宋体" w:cs="宋体"/>
          <w:color w:val="auto"/>
          <w:sz w:val="24"/>
          <w:highlight w:val="none"/>
        </w:rPr>
        <w:t>近三个月（</w:t>
      </w:r>
      <w:r>
        <w:rPr>
          <w:rFonts w:hint="eastAsia" w:ascii="宋体" w:hAnsi="宋体" w:cs="宋体"/>
          <w:color w:val="auto"/>
          <w:sz w:val="24"/>
          <w:highlight w:val="none"/>
        </w:rPr>
        <w:t>2025年8月-2025年10月</w:t>
      </w:r>
      <w:r>
        <w:rPr>
          <w:rFonts w:hint="eastAsia" w:ascii="宋体" w:hAnsi="宋体" w:cs="宋体"/>
          <w:color w:val="auto"/>
          <w:sz w:val="24"/>
          <w:highlight w:val="none"/>
        </w:rPr>
        <w:t>）中</w:t>
      </w:r>
      <w:r>
        <w:rPr>
          <w:rFonts w:hint="eastAsia" w:ascii="宋体" w:hAnsi="宋体" w:cs="宋体"/>
          <w:bCs/>
          <w:color w:val="auto"/>
          <w:sz w:val="24"/>
          <w:highlight w:val="none"/>
        </w:rPr>
        <w:t>任意一个月份的依法缴纳税收的相关材料（提供相关主管部门证明或银行代扣证明）；</w:t>
      </w:r>
    </w:p>
    <w:p w14:paraId="371BFA1B">
      <w:pPr>
        <w:tabs>
          <w:tab w:val="left" w:pos="0"/>
        </w:tabs>
        <w:spacing w:line="360" w:lineRule="auto"/>
        <w:ind w:firstLine="480"/>
        <w:rPr>
          <w:rFonts w:ascii="宋体" w:hAnsi="宋体" w:cs="宋体"/>
          <w:bCs/>
          <w:color w:val="auto"/>
          <w:sz w:val="24"/>
          <w:szCs w:val="20"/>
          <w:highlight w:val="none"/>
        </w:rPr>
      </w:pPr>
      <w:r>
        <w:rPr>
          <w:rFonts w:hint="eastAsia" w:ascii="宋体" w:hAnsi="宋体" w:cs="宋体"/>
          <w:bCs/>
          <w:color w:val="auto"/>
          <w:sz w:val="24"/>
          <w:highlight w:val="none"/>
        </w:rPr>
        <w:t>8.投标</w:t>
      </w:r>
      <w:r>
        <w:rPr>
          <w:rFonts w:hint="eastAsia" w:ascii="宋体" w:hAnsi="宋体" w:cs="宋体"/>
          <w:color w:val="auto"/>
          <w:sz w:val="24"/>
          <w:highlight w:val="none"/>
        </w:rPr>
        <w:t>供应商近三个月（</w:t>
      </w:r>
      <w:r>
        <w:rPr>
          <w:rFonts w:hint="eastAsia" w:ascii="宋体" w:hAnsi="宋体" w:cs="宋体"/>
          <w:color w:val="auto"/>
          <w:sz w:val="24"/>
          <w:highlight w:val="none"/>
        </w:rPr>
        <w:t>2025年8月-2025年10月</w:t>
      </w:r>
      <w:r>
        <w:rPr>
          <w:rFonts w:hint="eastAsia" w:ascii="宋体" w:hAnsi="宋体" w:cs="宋体"/>
          <w:color w:val="auto"/>
          <w:sz w:val="24"/>
          <w:highlight w:val="none"/>
        </w:rPr>
        <w:t>）中</w:t>
      </w:r>
      <w:r>
        <w:rPr>
          <w:rFonts w:hint="eastAsia" w:ascii="宋体" w:hAnsi="宋体" w:cs="宋体"/>
          <w:bCs/>
          <w:color w:val="auto"/>
          <w:sz w:val="24"/>
          <w:highlight w:val="none"/>
        </w:rPr>
        <w:t>任意一个月份的依法缴纳社会保障资金的相关材料（提供相关主管部门证明或银行代扣证明）；</w:t>
      </w:r>
    </w:p>
    <w:p w14:paraId="4756AF41">
      <w:pPr>
        <w:tabs>
          <w:tab w:val="left" w:pos="1050"/>
          <w:tab w:val="left" w:pos="1200"/>
          <w:tab w:val="left" w:pos="136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9.承诺书；（格式见附件）</w:t>
      </w:r>
    </w:p>
    <w:p w14:paraId="638E3B76">
      <w:pPr>
        <w:tabs>
          <w:tab w:val="left" w:pos="1050"/>
          <w:tab w:val="left" w:pos="1200"/>
          <w:tab w:val="left" w:pos="136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10.需落实的政府采购政策的证明材料：投标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格式见附件）。</w:t>
      </w:r>
    </w:p>
    <w:p w14:paraId="628BF874">
      <w:pPr>
        <w:pStyle w:val="2"/>
        <w:spacing w:line="360" w:lineRule="auto"/>
        <w:rPr>
          <w:color w:val="auto"/>
          <w:highlight w:val="none"/>
        </w:rPr>
      </w:pPr>
    </w:p>
    <w:p w14:paraId="2EC76B22">
      <w:pPr>
        <w:tabs>
          <w:tab w:val="left" w:pos="0"/>
        </w:tabs>
        <w:spacing w:line="360" w:lineRule="auto"/>
        <w:ind w:firstLine="516"/>
        <w:rPr>
          <w:color w:val="auto"/>
          <w:highlight w:val="none"/>
        </w:rPr>
      </w:pPr>
      <w:r>
        <w:rPr>
          <w:rFonts w:hint="eastAsia" w:ascii="宋体" w:hAnsi="宋体" w:cs="宋体"/>
          <w:b/>
          <w:color w:val="auto"/>
          <w:sz w:val="24"/>
          <w:highlight w:val="none"/>
        </w:rPr>
        <w:t>注：</w:t>
      </w:r>
      <w:r>
        <w:rPr>
          <w:rFonts w:hint="eastAsia" w:ascii="宋体" w:hAnsi="宋体" w:cs="宋体"/>
          <w:b/>
          <w:bCs/>
          <w:color w:val="auto"/>
          <w:sz w:val="24"/>
          <w:highlight w:val="none"/>
        </w:rPr>
        <w:t>投标供应商须提供上述资料原件的扫描件加盖公章上传至投标系统中。</w:t>
      </w:r>
    </w:p>
    <w:p w14:paraId="3365CDE5">
      <w:pPr>
        <w:spacing w:line="360" w:lineRule="auto"/>
        <w:ind w:firstLine="482"/>
        <w:rPr>
          <w:rFonts w:ascii="宋体" w:hAnsi="宋体" w:cs="宋体"/>
          <w:b/>
          <w:color w:val="auto"/>
          <w:sz w:val="24"/>
          <w:highlight w:val="none"/>
        </w:rPr>
      </w:pPr>
      <w:r>
        <w:rPr>
          <w:rFonts w:hint="eastAsia" w:ascii="宋体" w:hAnsi="宋体" w:cs="宋体"/>
          <w:b/>
          <w:color w:val="auto"/>
          <w:sz w:val="24"/>
          <w:highlight w:val="none"/>
        </w:rPr>
        <w:t>上述资格、资信证明文件投标供应商必须按要求全部提供，否则投标文件无效。如上述资格、资信证明文件遇有国家相关政策规定可不具备的，必须提供相关政策规定或相关单位出具的有效证明复印件。投标供应商法定代表人或法定代表人授权代表为外籍、港、澳、台地区人士的，其身份证明须提供有效的护照或港澳同胞来往内地通行证、台湾同胞来往大陆通行证，或其他可在中国大陆有效居留的许可证明。</w:t>
      </w:r>
    </w:p>
    <w:p w14:paraId="63989C29">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3.补充证明文件（投标供应商可按情况自行提供）。</w:t>
      </w:r>
    </w:p>
    <w:p w14:paraId="70ABC628">
      <w:pPr>
        <w:tabs>
          <w:tab w:val="left" w:pos="210"/>
          <w:tab w:val="left" w:pos="1155"/>
          <w:tab w:val="left" w:pos="1575"/>
        </w:tabs>
        <w:spacing w:line="360" w:lineRule="auto"/>
        <w:ind w:firstLine="480"/>
        <w:rPr>
          <w:rFonts w:ascii="宋体" w:hAnsi="宋体"/>
          <w:color w:val="auto"/>
          <w:sz w:val="24"/>
          <w:highlight w:val="none"/>
        </w:rPr>
      </w:pPr>
      <w:r>
        <w:rPr>
          <w:rFonts w:hint="eastAsia" w:ascii="宋体" w:hAnsi="宋体"/>
          <w:bCs/>
          <w:color w:val="auto"/>
          <w:sz w:val="24"/>
          <w:highlight w:val="none"/>
        </w:rPr>
        <w:t>4.</w:t>
      </w:r>
      <w:r>
        <w:rPr>
          <w:rFonts w:hint="eastAsia" w:ascii="宋体" w:hAnsi="宋体"/>
          <w:color w:val="auto"/>
          <w:sz w:val="24"/>
          <w:highlight w:val="none"/>
        </w:rPr>
        <w:t>投标供应商认为有必要提供的其他资料（参照评分标准要求）。</w:t>
      </w:r>
    </w:p>
    <w:p w14:paraId="08DDD0A4">
      <w:pPr>
        <w:tabs>
          <w:tab w:val="left" w:pos="210"/>
          <w:tab w:val="left" w:pos="1155"/>
          <w:tab w:val="left" w:pos="1575"/>
        </w:tabs>
        <w:spacing w:line="360" w:lineRule="auto"/>
        <w:ind w:firstLine="480"/>
        <w:rPr>
          <w:rFonts w:ascii="宋体" w:hAnsi="宋体"/>
          <w:color w:val="auto"/>
          <w:sz w:val="24"/>
          <w:highlight w:val="none"/>
        </w:rPr>
      </w:pPr>
      <w:r>
        <w:rPr>
          <w:rFonts w:hint="eastAsia" w:ascii="宋体" w:hAnsi="宋体"/>
          <w:color w:val="auto"/>
          <w:sz w:val="24"/>
          <w:highlight w:val="none"/>
        </w:rPr>
        <w:t>5.投标偏离表（格式见附件）。</w:t>
      </w:r>
    </w:p>
    <w:p w14:paraId="4099CA77">
      <w:pPr>
        <w:tabs>
          <w:tab w:val="left" w:pos="210"/>
          <w:tab w:val="left" w:pos="1155"/>
          <w:tab w:val="left" w:pos="1575"/>
        </w:tabs>
        <w:spacing w:line="360" w:lineRule="auto"/>
        <w:ind w:firstLine="480"/>
        <w:rPr>
          <w:rFonts w:ascii="宋体" w:hAnsi="宋体"/>
          <w:color w:val="auto"/>
          <w:sz w:val="24"/>
          <w:highlight w:val="none"/>
        </w:rPr>
      </w:pPr>
      <w:r>
        <w:rPr>
          <w:rFonts w:hint="eastAsia" w:ascii="宋体" w:hAnsi="宋体"/>
          <w:color w:val="auto"/>
          <w:sz w:val="24"/>
          <w:highlight w:val="none"/>
        </w:rPr>
        <w:t>6.报价部分</w:t>
      </w:r>
    </w:p>
    <w:p w14:paraId="66F91B7C">
      <w:pPr>
        <w:spacing w:line="360" w:lineRule="auto"/>
        <w:ind w:firstLine="480"/>
        <w:rPr>
          <w:rFonts w:ascii="宋体" w:hAnsi="宋体" w:cs="宋体"/>
          <w:color w:val="auto"/>
          <w:sz w:val="24"/>
          <w:highlight w:val="none"/>
        </w:rPr>
      </w:pPr>
      <w:r>
        <w:rPr>
          <w:rFonts w:hint="eastAsia" w:ascii="宋体" w:hAnsi="宋体"/>
          <w:bCs/>
          <w:color w:val="auto"/>
          <w:sz w:val="24"/>
          <w:highlight w:val="none"/>
        </w:rPr>
        <w:t>（1）</w:t>
      </w:r>
      <w:r>
        <w:rPr>
          <w:rFonts w:hint="eastAsia" w:ascii="宋体" w:hAnsi="宋体" w:cs="宋体"/>
          <w:color w:val="auto"/>
          <w:sz w:val="24"/>
          <w:highlight w:val="none"/>
        </w:rPr>
        <w:t>开标一</w:t>
      </w:r>
      <w:bookmarkStart w:id="10" w:name="_GoBack"/>
      <w:bookmarkEnd w:id="10"/>
      <w:r>
        <w:rPr>
          <w:rFonts w:hint="eastAsia" w:ascii="宋体" w:hAnsi="宋体" w:cs="宋体"/>
          <w:color w:val="auto"/>
          <w:sz w:val="24"/>
          <w:highlight w:val="none"/>
        </w:rPr>
        <w:t>览表</w:t>
      </w:r>
    </w:p>
    <w:p w14:paraId="07A6BCD0">
      <w:pPr>
        <w:spacing w:line="360" w:lineRule="auto"/>
        <w:ind w:firstLine="482"/>
        <w:rPr>
          <w:rFonts w:ascii="宋体" w:hAnsi="宋体" w:cs="宋体"/>
          <w:b/>
          <w:bCs/>
          <w:color w:val="auto"/>
          <w:sz w:val="24"/>
          <w:highlight w:val="none"/>
        </w:rPr>
      </w:pPr>
      <w:r>
        <w:rPr>
          <w:rFonts w:hint="eastAsia" w:ascii="宋体" w:hAnsi="宋体" w:cs="宋体"/>
          <w:b/>
          <w:bCs/>
          <w:color w:val="auto"/>
          <w:sz w:val="24"/>
          <w:highlight w:val="none"/>
        </w:rPr>
        <w:t>二）技术文件部分</w:t>
      </w:r>
    </w:p>
    <w:p w14:paraId="22A62D23">
      <w:pPr>
        <w:pStyle w:val="289"/>
        <w:spacing w:line="360" w:lineRule="auto"/>
        <w:ind w:left="0" w:firstLine="480" w:firstLineChars="200"/>
        <w:rPr>
          <w:rFonts w:ascii="宋体" w:hAnsi="宋体" w:cs="宋体"/>
          <w:bCs/>
          <w:color w:val="auto"/>
          <w:sz w:val="24"/>
          <w:highlight w:val="none"/>
        </w:rPr>
      </w:pPr>
      <w:r>
        <w:rPr>
          <w:rFonts w:hint="eastAsia" w:ascii="宋体" w:hAnsi="宋体" w:eastAsia="宋体" w:cs="宋体"/>
          <w:color w:val="auto"/>
          <w:sz w:val="24"/>
          <w:szCs w:val="24"/>
          <w:highlight w:val="none"/>
        </w:rPr>
        <w:t>技术方案：（</w:t>
      </w:r>
      <w:r>
        <w:rPr>
          <w:rFonts w:hint="eastAsia" w:ascii="宋体" w:hAnsi="宋体" w:eastAsia="宋体" w:cs="宋体"/>
          <w:bCs/>
          <w:color w:val="auto"/>
          <w:sz w:val="24"/>
          <w:szCs w:val="24"/>
          <w:highlight w:val="none"/>
        </w:rPr>
        <w:t>投标供应商应按评分标准中的顺序编制完整的技术方案，以便评审</w:t>
      </w:r>
      <w:r>
        <w:rPr>
          <w:rFonts w:hint="eastAsia" w:ascii="宋体" w:hAnsi="宋体" w:eastAsia="宋体" w:cs="宋体"/>
          <w:color w:val="auto"/>
          <w:sz w:val="24"/>
          <w:szCs w:val="24"/>
          <w:highlight w:val="none"/>
        </w:rPr>
        <w:t>）</w:t>
      </w:r>
    </w:p>
    <w:p w14:paraId="5C1E6CAF">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（六）投标报价说明：</w:t>
      </w:r>
    </w:p>
    <w:p w14:paraId="163C4EAB">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1. 评标委员会认为投标供应商的报价明显低于其他通过符合性审查投标供应商的报价，有可能影响产品质量或者不能诚信履约的，应当要求其在30分钟内提供书面说明，必要时提交相关证明材料；投标供应商不能证明其报价合理性的，评标委员会应当将其作为无效投标处理。</w:t>
      </w:r>
    </w:p>
    <w:p w14:paraId="22A2A87A">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2.评审委员会启动异常低价投标审查的情形和具体要求，包括:</w:t>
      </w:r>
    </w:p>
    <w:p w14:paraId="55260631">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2.1评审过程中出现下列情形之一的，评审委员会应当启动异常低价投标审查程序:</w:t>
      </w:r>
    </w:p>
    <w:p w14:paraId="2EC876A5">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2.1.1 投标(响应)报价低于采购项目预算 50%的，即投标(响应)报价&lt;采购项目预算x50%；</w:t>
      </w:r>
    </w:p>
    <w:p w14:paraId="5B7C608C">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2.1.2 投标(响应)报价低于采购项目最高限价 45%的，即投标(响应)报价&lt;采购项目最高限价x45%；</w:t>
      </w:r>
    </w:p>
    <w:p w14:paraId="4D90B513">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2.1.3评审委员会认定的供应商报价过低、有可能影响产品质量或者不能诚信履约的其他情形。</w:t>
      </w:r>
    </w:p>
    <w:p w14:paraId="437F680D">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2.2启动异常低价投标(响应)审查后，评审委员会应当要求相关供应商在评标现场合理的时间(本项目约定为: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09C7A5E0">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（七）投标文件的要求：</w:t>
      </w:r>
    </w:p>
    <w:p w14:paraId="4B332C1C">
      <w:pPr>
        <w:tabs>
          <w:tab w:val="left" w:pos="0"/>
          <w:tab w:val="left" w:pos="704"/>
        </w:tabs>
        <w:spacing w:line="360" w:lineRule="auto"/>
        <w:ind w:firstLine="360"/>
        <w:rPr>
          <w:rFonts w:ascii="宋体" w:hAnsi="宋体" w:cs="宋体"/>
          <w:color w:val="auto"/>
          <w:sz w:val="24"/>
          <w:highlight w:val="none"/>
        </w:rPr>
      </w:pPr>
      <w:r>
        <w:rPr>
          <w:rFonts w:hint="eastAsia" w:ascii="宋体" w:hAnsi="宋体" w:cs="宋体"/>
          <w:color w:val="auto"/>
          <w:sz w:val="24"/>
          <w:highlight w:val="none"/>
        </w:rPr>
        <w:t>1.所有文件、往来函件均应使用简体中文（规格、型号辅助符号除外）。</w:t>
      </w:r>
    </w:p>
    <w:p w14:paraId="05300EAF">
      <w:pPr>
        <w:tabs>
          <w:tab w:val="left" w:pos="0"/>
          <w:tab w:val="left" w:pos="704"/>
        </w:tabs>
        <w:spacing w:line="360" w:lineRule="auto"/>
        <w:ind w:firstLine="360"/>
        <w:rPr>
          <w:rFonts w:ascii="宋体" w:hAnsi="宋体" w:cs="宋体"/>
          <w:color w:val="auto"/>
          <w:sz w:val="24"/>
          <w:highlight w:val="none"/>
        </w:rPr>
      </w:pPr>
      <w:r>
        <w:rPr>
          <w:rFonts w:hint="eastAsia" w:ascii="宋体" w:hAnsi="宋体" w:cs="宋体"/>
          <w:color w:val="auto"/>
          <w:sz w:val="24"/>
          <w:highlight w:val="none"/>
        </w:rPr>
        <w:t>2.投标文件由投标供应商按给定格式如实填写（编写），须有法人（盖章）、法定代表人或法定代表人授权代表签字或盖章，方为有效，未尽事宜可自行补充。</w:t>
      </w:r>
    </w:p>
    <w:p w14:paraId="1FB00141">
      <w:pPr>
        <w:tabs>
          <w:tab w:val="left" w:pos="0"/>
          <w:tab w:val="left" w:pos="704"/>
        </w:tabs>
        <w:spacing w:line="360" w:lineRule="auto"/>
        <w:ind w:firstLine="360"/>
        <w:rPr>
          <w:rFonts w:ascii="宋体" w:hAnsi="宋体" w:cs="宋体"/>
          <w:color w:val="auto"/>
          <w:sz w:val="24"/>
          <w:highlight w:val="none"/>
        </w:rPr>
      </w:pPr>
      <w:r>
        <w:rPr>
          <w:rFonts w:hint="eastAsia" w:ascii="宋体" w:hAnsi="宋体" w:cs="宋体"/>
          <w:color w:val="auto"/>
          <w:sz w:val="24"/>
          <w:highlight w:val="none"/>
        </w:rPr>
        <w:t>3.投标供应商报价一律以人民币为报价结算货币，结算单位为“元”。</w:t>
      </w:r>
    </w:p>
    <w:p w14:paraId="3E2CDE80">
      <w:pPr>
        <w:tabs>
          <w:tab w:val="left" w:pos="0"/>
          <w:tab w:val="left" w:pos="704"/>
        </w:tabs>
        <w:spacing w:line="360" w:lineRule="auto"/>
        <w:ind w:firstLine="360"/>
        <w:rPr>
          <w:rFonts w:ascii="宋体" w:hAnsi="宋体" w:cs="宋体"/>
          <w:b/>
          <w:bCs/>
          <w:color w:val="auto"/>
          <w:sz w:val="24"/>
          <w:highlight w:val="none"/>
        </w:rPr>
      </w:pPr>
      <w:r>
        <w:rPr>
          <w:rFonts w:hint="eastAsia" w:ascii="宋体" w:hAnsi="宋体" w:cs="宋体"/>
          <w:color w:val="auto"/>
          <w:sz w:val="24"/>
          <w:highlight w:val="none"/>
        </w:rPr>
        <w:t>4.投标文件格式部分，应由投标供应商按给定格式提供，不得更改。</w:t>
      </w:r>
    </w:p>
    <w:p w14:paraId="5A609DB4">
      <w:pPr>
        <w:tabs>
          <w:tab w:val="left" w:pos="0"/>
          <w:tab w:val="left" w:pos="704"/>
        </w:tabs>
        <w:spacing w:line="360" w:lineRule="auto"/>
        <w:ind w:firstLine="360"/>
        <w:rPr>
          <w:rFonts w:ascii="宋体" w:hAnsi="宋体" w:cs="宋体"/>
          <w:color w:val="auto"/>
          <w:sz w:val="24"/>
          <w:highlight w:val="none"/>
        </w:rPr>
      </w:pPr>
      <w:r>
        <w:rPr>
          <w:rFonts w:hint="eastAsia" w:ascii="宋体" w:hAnsi="宋体" w:cs="宋体"/>
          <w:color w:val="auto"/>
          <w:sz w:val="24"/>
          <w:highlight w:val="none"/>
        </w:rPr>
        <w:t>5.中标单位在中标公告结束后递交纸质版投标文件一正一副至招标代理机构，</w:t>
      </w:r>
      <w:r>
        <w:rPr>
          <w:rFonts w:hint="eastAsia" w:ascii="宋体" w:hAnsi="宋体" w:cs="宋体"/>
          <w:color w:val="auto"/>
          <w:sz w:val="24"/>
          <w:highlight w:val="none"/>
          <w:lang w:val="zh-CN"/>
        </w:rPr>
        <w:t>若纸质投标文件与电子投标文件不符，则以电子投标文件为准</w:t>
      </w:r>
      <w:r>
        <w:rPr>
          <w:rFonts w:hint="eastAsia" w:ascii="宋体" w:hAnsi="宋体" w:cs="宋体"/>
          <w:color w:val="auto"/>
          <w:sz w:val="24"/>
          <w:highlight w:val="none"/>
        </w:rPr>
        <w:t>。</w:t>
      </w:r>
    </w:p>
    <w:p w14:paraId="478EEDFD">
      <w:pPr>
        <w:tabs>
          <w:tab w:val="left" w:pos="0"/>
          <w:tab w:val="left" w:pos="704"/>
        </w:tabs>
        <w:spacing w:line="360" w:lineRule="auto"/>
        <w:ind w:firstLine="360"/>
        <w:rPr>
          <w:rFonts w:ascii="宋体" w:hAnsi="宋体" w:cs="宋体"/>
          <w:color w:val="auto"/>
          <w:sz w:val="24"/>
          <w:highlight w:val="none"/>
        </w:rPr>
      </w:pPr>
      <w:r>
        <w:rPr>
          <w:rFonts w:hint="eastAsia" w:ascii="宋体" w:hAnsi="宋体" w:cs="宋体"/>
          <w:color w:val="auto"/>
          <w:sz w:val="24"/>
          <w:highlight w:val="none"/>
        </w:rPr>
        <w:t>6.供应商在开标前务必确认电脑浏览器设置、CA证书软件下载等，确保和CA证书匹配可以正常登录苏采云投标客户端。</w:t>
      </w:r>
    </w:p>
    <w:p w14:paraId="514CD674">
      <w:pPr>
        <w:tabs>
          <w:tab w:val="left" w:pos="0"/>
          <w:tab w:val="left" w:pos="704"/>
        </w:tabs>
        <w:spacing w:line="360" w:lineRule="auto"/>
        <w:ind w:firstLine="360"/>
        <w:rPr>
          <w:rFonts w:ascii="宋体" w:hAnsi="宋体" w:cs="宋体"/>
          <w:color w:val="auto"/>
          <w:sz w:val="24"/>
          <w:highlight w:val="none"/>
        </w:rPr>
      </w:pPr>
      <w:r>
        <w:rPr>
          <w:rFonts w:hint="eastAsia" w:ascii="宋体" w:hAnsi="宋体" w:cs="宋体"/>
          <w:color w:val="auto"/>
          <w:sz w:val="24"/>
          <w:highlight w:val="none"/>
        </w:rPr>
        <w:t>7.供应商请仔细阅读供应商注册流程和招标文件中关于电子开评标等相关事项，如有问题可发送邮件或电话咨询。</w:t>
      </w:r>
    </w:p>
    <w:p w14:paraId="0BCC0E4A">
      <w:pPr>
        <w:tabs>
          <w:tab w:val="left" w:pos="0"/>
          <w:tab w:val="left" w:pos="704"/>
        </w:tabs>
        <w:spacing w:line="360" w:lineRule="auto"/>
        <w:ind w:firstLine="360"/>
        <w:rPr>
          <w:rFonts w:ascii="宋体" w:hAnsi="宋体" w:cs="宋体"/>
          <w:color w:val="auto"/>
          <w:sz w:val="24"/>
          <w:highlight w:val="none"/>
        </w:rPr>
      </w:pPr>
      <w:r>
        <w:rPr>
          <w:rFonts w:hint="eastAsia" w:ascii="宋体" w:hAnsi="宋体" w:cs="宋体"/>
          <w:color w:val="auto"/>
          <w:sz w:val="24"/>
          <w:highlight w:val="none"/>
        </w:rPr>
        <w:t>8.本次采购采用“苏采云”系统进行采购活动，采购文件发布、报价、评审和中标结果发布全程电子化。</w:t>
      </w:r>
    </w:p>
    <w:p w14:paraId="2E4CE0CF">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（八）网上投标</w:t>
      </w:r>
    </w:p>
    <w:p w14:paraId="56593A51">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1.潜在投标供应商可在项目招标公告附件中查看公开招标文件，如确定投标，必须在苏采云平台（http://jszfcg.jscz.gov.cn/jszc/login）中免费下载公开招标文件[“江苏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381F1C74">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2.招标文件（后缀名为“.kedt”）、“苏采云”系统供应商操作手册及政府采购客户端工具也可通过“苏采云”系统--已参与项目--报名详情页面内相应链接进行下载。</w:t>
      </w:r>
    </w:p>
    <w:p w14:paraId="1C935E9E">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3.政府采购客户端工具及“苏采云”系统供应商操作手册可访问江苏政府采购网--办事指南--“资料下载”进行下载《“苏采云”系统供应商操作手册及政府采购客户端工具》。</w:t>
      </w:r>
    </w:p>
    <w:p w14:paraId="5CA18A05">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4.投标供应商应对CA数字证书妥善保管，如被他人盗用投标，后果自负。</w:t>
      </w:r>
    </w:p>
    <w:p w14:paraId="3C38CB9E">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5.投标供应商按招标文件规定的网上解密时间进行解密，如未按时解密后果自负。</w:t>
      </w:r>
    </w:p>
    <w:p w14:paraId="69E83228">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注：①在开标解密阶段，因投标供应商网络与电源不稳定、解密锁发生故障或用错、故意不在要求时限内完成解密等自身原因，导致投标文件在规定时间内未能解密、解密失败或解密超时，由投标供应商自行承担后果，视为放弃其投标。②如所有投标文件均无法正常解密视为系统问题，如任一投标文件正常解密，其他在规定时间内无法正常解密的投标文件视为放弃投标。③在解密时长倒计时结束前，供应商可进行解密操作，当剩余时间为0后，供应商则不可以进行解密操作；当所有供应商都解密或者仍有供应商未解密但剩余时间为0后，系统会自动进入下一节点【唱标】。</w:t>
      </w:r>
    </w:p>
    <w:p w14:paraId="0BD9067F">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6.投标供应商应当对招标文件提出的要求和条件作出实质性响应，并在电子投标系统逐条应答。</w:t>
      </w:r>
    </w:p>
    <w:p w14:paraId="1FDAE113">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7.投标文件不应有涂改、增删和潦草之处，如有必须修改时，修改处必须有法人、法定代表人或法定代表人授权代表的签章。</w:t>
      </w:r>
    </w:p>
    <w:p w14:paraId="2AF94C74">
      <w:pPr>
        <w:tabs>
          <w:tab w:val="left" w:pos="0"/>
          <w:tab w:val="left" w:pos="704"/>
        </w:tabs>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8.投标费用自理。</w:t>
      </w:r>
    </w:p>
    <w:p w14:paraId="38F6BA9C">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（九）无效投标文件的确认：</w:t>
      </w:r>
    </w:p>
    <w:p w14:paraId="6C61BC8C">
      <w:pPr>
        <w:spacing w:line="360" w:lineRule="auto"/>
        <w:ind w:firstLine="360"/>
        <w:rPr>
          <w:rFonts w:ascii="宋体" w:hAnsi="宋体" w:cs="宋体"/>
          <w:color w:val="auto"/>
          <w:sz w:val="24"/>
          <w:highlight w:val="none"/>
        </w:rPr>
      </w:pPr>
      <w:r>
        <w:rPr>
          <w:rFonts w:hint="eastAsia" w:ascii="宋体" w:hAnsi="宋体" w:cs="宋体"/>
          <w:color w:val="auto"/>
          <w:sz w:val="24"/>
          <w:highlight w:val="none"/>
        </w:rPr>
        <w:t>投标供应商有下列情况之一者，其投标文件无效：</w:t>
      </w:r>
    </w:p>
    <w:p w14:paraId="7C8B4ACE">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bCs/>
          <w:color w:val="auto"/>
          <w:sz w:val="24"/>
          <w:highlight w:val="none"/>
        </w:rPr>
        <w:t>未按规定在</w:t>
      </w:r>
      <w:r>
        <w:rPr>
          <w:rFonts w:hint="eastAsia" w:ascii="宋体" w:hAnsi="宋体" w:cs="宋体"/>
          <w:color w:val="auto"/>
          <w:sz w:val="24"/>
          <w:highlight w:val="none"/>
        </w:rPr>
        <w:t>江苏省政府采购（苏采云）平台</w:t>
      </w:r>
      <w:r>
        <w:rPr>
          <w:rFonts w:hint="eastAsia" w:ascii="宋体" w:hAnsi="宋体"/>
          <w:bCs/>
          <w:color w:val="auto"/>
          <w:sz w:val="24"/>
          <w:highlight w:val="none"/>
        </w:rPr>
        <w:t>注册的</w:t>
      </w:r>
      <w:r>
        <w:rPr>
          <w:rFonts w:hint="eastAsia" w:ascii="宋体" w:hAnsi="宋体" w:cs="宋体"/>
          <w:color w:val="auto"/>
          <w:sz w:val="24"/>
          <w:highlight w:val="none"/>
        </w:rPr>
        <w:t>；</w:t>
      </w:r>
    </w:p>
    <w:p w14:paraId="06C1BC19">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电子投标文件未按规定的期限投标的；</w:t>
      </w:r>
    </w:p>
    <w:p w14:paraId="5159B6EA">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电子投标文件未按要求密封、签署、盖章、</w:t>
      </w:r>
      <w:bookmarkStart w:id="1" w:name="_Hlk95937726"/>
      <w:r>
        <w:rPr>
          <w:rFonts w:hint="eastAsia" w:ascii="宋体" w:hAnsi="宋体" w:cs="宋体"/>
          <w:color w:val="auto"/>
          <w:sz w:val="24"/>
          <w:highlight w:val="none"/>
        </w:rPr>
        <w:t>上传至系统</w:t>
      </w:r>
      <w:bookmarkEnd w:id="1"/>
      <w:r>
        <w:rPr>
          <w:rFonts w:hint="eastAsia" w:ascii="宋体" w:hAnsi="宋体" w:cs="宋体"/>
          <w:color w:val="auto"/>
          <w:sz w:val="24"/>
          <w:highlight w:val="none"/>
        </w:rPr>
        <w:t>的；</w:t>
      </w:r>
    </w:p>
    <w:p w14:paraId="79CB12CF">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供应商未按采购文件要求解密投标文件的；</w:t>
      </w:r>
    </w:p>
    <w:p w14:paraId="7E9D8D4D">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投标供应商的法定代表人授权代表，无法定代表人授权委托书的；</w:t>
      </w:r>
    </w:p>
    <w:p w14:paraId="7D42B7C8">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不具备招标文件中规定的资格要求及未按招标文件规定的要求提供资格证明文件的；</w:t>
      </w:r>
    </w:p>
    <w:p w14:paraId="03917AC2">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投标文件含有采购人不能接受的附加条件的；</w:t>
      </w:r>
    </w:p>
    <w:p w14:paraId="7F1F04C4">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投标文件未按招标文件规定的格式、内容和要求填写、制作的；</w:t>
      </w:r>
    </w:p>
    <w:p w14:paraId="6406DE6B">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投标文件书写潦草、字迹模糊不清、无法辨认的；</w:t>
      </w:r>
    </w:p>
    <w:p w14:paraId="768F9B97">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投标文件中有招标文件未允许提供的选择性内容的；</w:t>
      </w:r>
    </w:p>
    <w:p w14:paraId="7E50DF32">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恶意串通其他投标供应商，故意哄抬价格或压价的；</w:t>
      </w:r>
    </w:p>
    <w:p w14:paraId="7F8F7E5E">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提供虚假材料的（包括工商营业执照、财务报表、资格证明文件等）；</w:t>
      </w:r>
    </w:p>
    <w:p w14:paraId="3EEFCA12">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不同投标供应商投标文件相互混装的；</w:t>
      </w:r>
    </w:p>
    <w:p w14:paraId="1027DA00">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不同投标供应商聘请同一人为其报价提供技术或经济咨询服务的；</w:t>
      </w:r>
    </w:p>
    <w:p w14:paraId="63E2F416">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不同投标供应商的单位负责人为同一人或者存在直接控股、管理关系的；</w:t>
      </w:r>
    </w:p>
    <w:p w14:paraId="14BAD1C7">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改变招标文件规定的暂定价格或不可竞争费用的；改变招标文件规定的工期、误期违约金、质量标准及质量违约金的；</w:t>
      </w:r>
    </w:p>
    <w:p w14:paraId="5E0E7457">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投标文件报价出现前后不一致，投标供应商拒不确认修正后的报价的；</w:t>
      </w:r>
    </w:p>
    <w:p w14:paraId="6B921E85">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超过招标文件规定的最高限价的；</w:t>
      </w:r>
    </w:p>
    <w:p w14:paraId="5FA9CA40">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评标委员会认为投标供应商报价明显低于其他通过符合性审查投标供应商的报价，有可能影响产品质量或者不能诚信履约，投标供应商必须在30分钟内提供书面说明及提交相关证明材料；投标供应商不能证明其报价合理性的；</w:t>
      </w:r>
    </w:p>
    <w:p w14:paraId="0FC0F5DC">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未通过初步资格性审查、投标文件资格性检查、投标文件符合性检查的；</w:t>
      </w:r>
    </w:p>
    <w:p w14:paraId="78A4AF04">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列入失信被执行人、重大税收违法案件当事人名单、政府采购严重违法失信行为记录名单及其他不符合《中华人民共和国政府采购法》第二十二条规定的条件的；</w:t>
      </w:r>
    </w:p>
    <w:p w14:paraId="60DB3233">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不同投标供应商投标文件内容存在非正常一致、项目组成员或者联系人员出现同一人、投标文件中错误（或异常）一致或雷同、</w:t>
      </w:r>
      <w:r>
        <w:rPr>
          <w:rStyle w:val="497"/>
          <w:rFonts w:hint="eastAsia" w:ascii="宋体" w:hAnsi="宋体" w:cs="宋体"/>
          <w:color w:val="auto"/>
          <w:sz w:val="24"/>
          <w:highlight w:val="none"/>
        </w:rPr>
        <w:t>上传系统的文档信息一致或雷同的，或者</w:t>
      </w:r>
      <w:r>
        <w:rPr>
          <w:rFonts w:hint="eastAsia" w:ascii="宋体" w:hAnsi="宋体" w:cs="宋体"/>
          <w:color w:val="auto"/>
          <w:sz w:val="24"/>
          <w:highlight w:val="none"/>
        </w:rPr>
        <w:t>投标报价呈规律性差异；</w:t>
      </w:r>
    </w:p>
    <w:p w14:paraId="5421B135">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不同投标供应商的委托代理人、项目负责人以及其他相关人员有在同一个单位缴纳社会保险的；</w:t>
      </w:r>
    </w:p>
    <w:p w14:paraId="2B982090">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同一投标文件中单位名称落款与公章不是同一单位的；</w:t>
      </w:r>
    </w:p>
    <w:p w14:paraId="0625F3C8">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olor w:val="auto"/>
          <w:sz w:val="24"/>
          <w:highlight w:val="none"/>
        </w:rPr>
        <w:t>投标供应商的投标文件上传使用的MAC地址、标书制作工具客户端标识码或IP地址一致的，不同投标文件留有相同标记标识、存在两处以上一致性错误或雷同等情况，视为投标供应商相互围标、串标，其投标无效；</w:t>
      </w:r>
    </w:p>
    <w:p w14:paraId="7905ED5C">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olor w:val="auto"/>
          <w:sz w:val="24"/>
          <w:highlight w:val="none"/>
        </w:rPr>
        <w:t>电子投标文件与招标文件要求格式不一致而无法导入计算机评标系统；</w:t>
      </w:r>
    </w:p>
    <w:p w14:paraId="736FDAFB">
      <w:pPr>
        <w:numPr>
          <w:ilvl w:val="0"/>
          <w:numId w:val="1"/>
        </w:numPr>
        <w:tabs>
          <w:tab w:val="left" w:pos="0"/>
        </w:tabs>
        <w:spacing w:line="360" w:lineRule="auto"/>
        <w:ind w:left="0" w:firstLine="480"/>
        <w:rPr>
          <w:rFonts w:ascii="宋体" w:hAnsi="宋体" w:cs="宋体"/>
          <w:color w:val="auto"/>
          <w:sz w:val="24"/>
          <w:highlight w:val="none"/>
        </w:rPr>
      </w:pPr>
      <w:r>
        <w:rPr>
          <w:rFonts w:hint="eastAsia" w:ascii="宋体" w:hAnsi="宋体" w:cs="宋体"/>
          <w:color w:val="auto"/>
          <w:sz w:val="24"/>
          <w:highlight w:val="none"/>
        </w:rPr>
        <w:t>投标文件内容不全或不符合法律法规和招标文件中规定的其他实质性要求的。</w:t>
      </w:r>
    </w:p>
    <w:p w14:paraId="2530B311">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（十）开标、评标：</w:t>
      </w:r>
    </w:p>
    <w:p w14:paraId="58524B98">
      <w:pPr>
        <w:tabs>
          <w:tab w:val="left" w:pos="525"/>
          <w:tab w:val="left" w:pos="840"/>
          <w:tab w:val="left" w:pos="1050"/>
          <w:tab w:val="left" w:pos="1146"/>
          <w:tab w:val="left" w:pos="1770"/>
        </w:tabs>
        <w:spacing w:line="360" w:lineRule="auto"/>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1.所有投标单位在采购文件规定的时间内解密各自投标文件。</w:t>
      </w:r>
    </w:p>
    <w:p w14:paraId="682AFDCD">
      <w:pPr>
        <w:pStyle w:val="500"/>
        <w:spacing w:line="360" w:lineRule="auto"/>
        <w:ind w:firstLine="480"/>
        <w:rPr>
          <w:rStyle w:val="497"/>
          <w:rFonts w:ascii="宋体" w:hAnsi="宋体" w:cs="宋体"/>
          <w:color w:val="auto"/>
          <w:sz w:val="24"/>
          <w:highlight w:val="none"/>
        </w:rPr>
      </w:pPr>
      <w:r>
        <w:rPr>
          <w:rStyle w:val="497"/>
          <w:rFonts w:ascii="宋体" w:hAnsi="宋体" w:cs="宋体"/>
          <w:color w:val="auto"/>
          <w:sz w:val="24"/>
          <w:highlight w:val="none"/>
        </w:rPr>
        <w:t>解密后，供应商须自行准备设备（包括但不限于笔记本电脑、</w:t>
      </w:r>
      <w:r>
        <w:rPr>
          <w:rStyle w:val="497"/>
          <w:rFonts w:hint="eastAsia" w:ascii="宋体" w:hAnsi="宋体" w:cs="宋体"/>
          <w:color w:val="auto"/>
          <w:sz w:val="24"/>
          <w:highlight w:val="none"/>
        </w:rPr>
        <w:t>CA锁、</w:t>
      </w:r>
      <w:r>
        <w:rPr>
          <w:rStyle w:val="497"/>
          <w:rFonts w:ascii="宋体" w:hAnsi="宋体" w:cs="宋体"/>
          <w:color w:val="auto"/>
          <w:sz w:val="24"/>
          <w:highlight w:val="none"/>
        </w:rPr>
        <w:t>无线网络</w:t>
      </w:r>
      <w:r>
        <w:rPr>
          <w:rStyle w:val="497"/>
          <w:rFonts w:hint="eastAsia" w:ascii="宋体" w:hAnsi="宋体" w:cs="宋体"/>
          <w:color w:val="auto"/>
          <w:sz w:val="24"/>
          <w:highlight w:val="none"/>
        </w:rPr>
        <w:t>热点</w:t>
      </w:r>
      <w:r>
        <w:rPr>
          <w:rStyle w:val="497"/>
          <w:rFonts w:ascii="宋体" w:hAnsi="宋体" w:cs="宋体"/>
          <w:color w:val="auto"/>
          <w:sz w:val="24"/>
          <w:highlight w:val="none"/>
        </w:rPr>
        <w:t>）登录“</w:t>
      </w:r>
      <w:r>
        <w:rPr>
          <w:rStyle w:val="497"/>
          <w:rFonts w:hint="eastAsia" w:ascii="宋体" w:hAnsi="宋体" w:cs="宋体"/>
          <w:color w:val="auto"/>
          <w:sz w:val="24"/>
          <w:highlight w:val="none"/>
        </w:rPr>
        <w:t>江苏省政府采购（苏采云）平台</w:t>
      </w:r>
      <w:r>
        <w:rPr>
          <w:rStyle w:val="497"/>
          <w:rFonts w:ascii="宋体" w:hAnsi="宋体" w:cs="宋体"/>
          <w:color w:val="auto"/>
          <w:sz w:val="24"/>
          <w:highlight w:val="none"/>
        </w:rPr>
        <w:t>”，按采购文件规定时间解密后，在评审过程中保持在线，等待</w:t>
      </w:r>
      <w:r>
        <w:rPr>
          <w:rStyle w:val="497"/>
          <w:rFonts w:hint="eastAsia" w:ascii="宋体" w:hAnsi="宋体" w:cs="宋体"/>
          <w:color w:val="auto"/>
          <w:sz w:val="24"/>
          <w:highlight w:val="none"/>
        </w:rPr>
        <w:t>评审</w:t>
      </w:r>
      <w:r>
        <w:rPr>
          <w:rStyle w:val="497"/>
          <w:rFonts w:ascii="宋体" w:hAnsi="宋体" w:cs="宋体"/>
          <w:color w:val="auto"/>
          <w:sz w:val="24"/>
          <w:highlight w:val="none"/>
        </w:rPr>
        <w:t>小组的</w:t>
      </w:r>
      <w:r>
        <w:rPr>
          <w:rStyle w:val="497"/>
          <w:rFonts w:hint="eastAsia" w:ascii="宋体" w:hAnsi="宋体" w:cs="宋体"/>
          <w:color w:val="auto"/>
          <w:sz w:val="24"/>
          <w:highlight w:val="none"/>
        </w:rPr>
        <w:t>询标（如有）</w:t>
      </w:r>
      <w:r>
        <w:rPr>
          <w:rStyle w:val="497"/>
          <w:rFonts w:ascii="宋体" w:hAnsi="宋体" w:cs="宋体"/>
          <w:color w:val="auto"/>
          <w:sz w:val="24"/>
          <w:highlight w:val="none"/>
        </w:rPr>
        <w:t>、按要求报价，并等待评审结果，中途不得离开。如未按要求应答，由此所产生的损失及风险由供应商自行承担。</w:t>
      </w:r>
    </w:p>
    <w:p w14:paraId="54579DC7">
      <w:pPr>
        <w:tabs>
          <w:tab w:val="left" w:pos="1050"/>
        </w:tabs>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2.投标截止时间后参加投标的供应商或解密投标文件的供应商不足3家的，不进行评审。投标供应商按开评标流程参与本次投标，开评标流程如下：开标等待----〉开标主持----〉供应商解密----〉唱标----〉评审----〉评审结束。说明：整个开评标环节，供应商只需要在【供应商解密】环节进行CA解密、【唱标】环节进行唱标确认、【评审】环节等待询标澄清或最终报价的准备，其余环节均为语音播报，供应商观看开标即可。</w:t>
      </w:r>
    </w:p>
    <w:p w14:paraId="404CC23F">
      <w:pPr>
        <w:tabs>
          <w:tab w:val="left" w:pos="840"/>
          <w:tab w:val="left" w:pos="1050"/>
        </w:tabs>
        <w:spacing w:line="360" w:lineRule="auto"/>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3.资格性审查：</w:t>
      </w:r>
    </w:p>
    <w:p w14:paraId="5BC4B464">
      <w:pPr>
        <w:tabs>
          <w:tab w:val="left" w:pos="525"/>
        </w:tabs>
        <w:spacing w:line="360" w:lineRule="auto"/>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3.1.1</w:t>
      </w:r>
      <w:r>
        <w:rPr>
          <w:rFonts w:hint="eastAsia" w:ascii="宋体" w:hAnsi="宋体"/>
          <w:bCs/>
          <w:color w:val="auto"/>
          <w:sz w:val="24"/>
          <w:highlight w:val="none"/>
        </w:rPr>
        <w:t>投标文件资格性审查</w:t>
      </w:r>
      <w:r>
        <w:rPr>
          <w:rFonts w:hint="eastAsia" w:ascii="宋体" w:hAnsi="宋体"/>
          <w:bCs/>
          <w:color w:val="auto"/>
          <w:sz w:val="24"/>
          <w:highlight w:val="none"/>
        </w:rPr>
        <w:t>由采购人负责</w:t>
      </w:r>
      <w:r>
        <w:rPr>
          <w:rFonts w:hint="eastAsia" w:ascii="宋体" w:hAnsi="宋体" w:cs="宋体"/>
          <w:color w:val="auto"/>
          <w:sz w:val="24"/>
          <w:szCs w:val="20"/>
          <w:highlight w:val="none"/>
        </w:rPr>
        <w:t>。</w:t>
      </w:r>
    </w:p>
    <w:p w14:paraId="24494170">
      <w:pPr>
        <w:tabs>
          <w:tab w:val="left" w:pos="525"/>
        </w:tabs>
        <w:spacing w:line="360" w:lineRule="auto"/>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3.1.2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p>
    <w:p w14:paraId="296028C0">
      <w:pPr>
        <w:tabs>
          <w:tab w:val="left" w:pos="525"/>
        </w:tabs>
        <w:spacing w:line="360" w:lineRule="auto"/>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3.1.3信用信息查询</w:t>
      </w:r>
    </w:p>
    <w:p w14:paraId="69081707">
      <w:pPr>
        <w:tabs>
          <w:tab w:val="left" w:pos="525"/>
        </w:tabs>
        <w:spacing w:line="360" w:lineRule="auto"/>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采购代理机构在开标后通过“信用中国”网站（www.creditchina.gov.cn）、中国政府采购网（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ascii="宋体" w:hAnsi="宋体" w:cs="宋体"/>
          <w:color w:val="auto"/>
          <w:sz w:val="24"/>
          <w:szCs w:val="20"/>
          <w:highlight w:val="none"/>
        </w:rPr>
        <w:t>www.ccgp.gov.cn</w:t>
      </w:r>
      <w:r>
        <w:rPr>
          <w:rFonts w:hint="eastAsia" w:ascii="宋体" w:hAnsi="宋体" w:cs="宋体"/>
          <w:color w:val="auto"/>
          <w:sz w:val="24"/>
          <w:szCs w:val="20"/>
          <w:highlight w:val="none"/>
        </w:rPr>
        <w:fldChar w:fldCharType="end"/>
      </w:r>
      <w:r>
        <w:rPr>
          <w:rFonts w:hint="eastAsia" w:ascii="宋体" w:hAnsi="宋体" w:cs="宋体"/>
          <w:color w:val="auto"/>
          <w:sz w:val="24"/>
          <w:szCs w:val="20"/>
          <w:highlight w:val="none"/>
        </w:rPr>
        <w:t>)、</w:t>
      </w:r>
      <w:r>
        <w:rPr>
          <w:rFonts w:hint="eastAsia" w:ascii="宋体" w:hAnsi="宋体" w:cs="宋体"/>
          <w:color w:val="auto"/>
          <w:sz w:val="24"/>
          <w:highlight w:val="none"/>
        </w:rPr>
        <w:t>“信用江苏”（http://credit.jiangsu.gov.cn/）</w:t>
      </w:r>
      <w:r>
        <w:rPr>
          <w:rFonts w:hint="eastAsia" w:ascii="宋体" w:hAnsi="宋体" w:cs="宋体"/>
          <w:color w:val="auto"/>
          <w:sz w:val="24"/>
          <w:szCs w:val="20"/>
          <w:highlight w:val="none"/>
        </w:rPr>
        <w:t>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p>
    <w:p w14:paraId="76685A1B">
      <w:pPr>
        <w:tabs>
          <w:tab w:val="left" w:pos="0"/>
        </w:tabs>
        <w:spacing w:line="360" w:lineRule="auto"/>
        <w:ind w:firstLine="482" w:firstLineChars="200"/>
        <w:rPr>
          <w:rFonts w:ascii="宋体" w:hAnsi="宋体" w:cs="宋体"/>
          <w:b/>
          <w:color w:val="auto"/>
          <w:sz w:val="24"/>
          <w:szCs w:val="20"/>
          <w:highlight w:val="none"/>
        </w:rPr>
      </w:pPr>
      <w:r>
        <w:rPr>
          <w:rFonts w:hint="eastAsia" w:ascii="宋体" w:hAnsi="宋体" w:cs="宋体"/>
          <w:b/>
          <w:color w:val="auto"/>
          <w:sz w:val="24"/>
          <w:szCs w:val="20"/>
          <w:highlight w:val="none"/>
        </w:rPr>
        <w:t>4.评标工作程序：</w:t>
      </w:r>
    </w:p>
    <w:p w14:paraId="1C55B399">
      <w:pPr>
        <w:tabs>
          <w:tab w:val="left" w:pos="945"/>
        </w:tabs>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4.1采购人依法组建评标委员会，并实行回避制度。开标、评标工作由采购代理机构负责组织。</w:t>
      </w:r>
    </w:p>
    <w:p w14:paraId="1ED7BCBE">
      <w:pPr>
        <w:tabs>
          <w:tab w:val="left" w:pos="1050"/>
        </w:tabs>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具体开标、评审事务由依法组建的评标委员会负责。如有争议最终由评标委员会认定。</w:t>
      </w:r>
    </w:p>
    <w:p w14:paraId="5570756D">
      <w:pPr>
        <w:tabs>
          <w:tab w:val="left" w:pos="0"/>
        </w:tabs>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4.2投标文件报价出现前后不一致的，按照下列规定修正：</w:t>
      </w:r>
    </w:p>
    <w:p w14:paraId="5655BD79">
      <w:pPr>
        <w:tabs>
          <w:tab w:val="left" w:pos="0"/>
        </w:tabs>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（1）投标文件中开标一览表内容与投标文件中相应内容不一致的，以开标一览表为准；</w:t>
      </w:r>
    </w:p>
    <w:p w14:paraId="3252B3DC">
      <w:pPr>
        <w:tabs>
          <w:tab w:val="left" w:pos="0"/>
        </w:tabs>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（2）大写金额和小写金额不一致的，以大写金额为准；</w:t>
      </w:r>
    </w:p>
    <w:p w14:paraId="29CABDCA">
      <w:pPr>
        <w:tabs>
          <w:tab w:val="left" w:pos="0"/>
        </w:tabs>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（3）单价金额小数点或者百分比有明显错位的，以开标一览表的总价为准，并修改单价；</w:t>
      </w:r>
    </w:p>
    <w:p w14:paraId="61DFB111">
      <w:pPr>
        <w:tabs>
          <w:tab w:val="left" w:pos="0"/>
        </w:tabs>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（4）总价金额与按单价汇总金额不一致的，以单价金额计算结果为准。</w:t>
      </w:r>
    </w:p>
    <w:p w14:paraId="5D98CC57">
      <w:pPr>
        <w:tabs>
          <w:tab w:val="left" w:pos="0"/>
        </w:tabs>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5）同时出现两种以上不一致的，按照上述（1）－（4）款规定的顺序修正。修正后的报价经投标供应商书面澄清、说明或者补正，并加盖公章，或者有法定代表人或其授权的代表签字作为确认后产生约束力，投标供应商不确认的，其投标无效。</w:t>
      </w:r>
    </w:p>
    <w:p w14:paraId="49E4066A">
      <w:pPr>
        <w:tabs>
          <w:tab w:val="left" w:pos="1365"/>
        </w:tabs>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4.3投标文件符合性检查。</w:t>
      </w:r>
    </w:p>
    <w:p w14:paraId="4BD6DE0F">
      <w:pPr>
        <w:tabs>
          <w:tab w:val="left" w:pos="525"/>
        </w:tabs>
        <w:spacing w:line="360" w:lineRule="auto"/>
        <w:ind w:firstLine="480" w:firstLineChars="200"/>
        <w:rPr>
          <w:rFonts w:ascii="宋体" w:hAnsi="宋体" w:cs="宋体"/>
          <w:bCs/>
          <w:color w:val="auto"/>
          <w:sz w:val="24"/>
          <w:szCs w:val="20"/>
          <w:highlight w:val="none"/>
        </w:rPr>
      </w:pPr>
      <w:r>
        <w:rPr>
          <w:rFonts w:hint="eastAsia" w:ascii="宋体" w:hAnsi="宋体" w:cs="宋体"/>
          <w:bCs/>
          <w:color w:val="auto"/>
          <w:sz w:val="24"/>
          <w:szCs w:val="20"/>
          <w:highlight w:val="none"/>
        </w:rPr>
        <w:t>4.3.1评标委员会对符合资格要求的投标供应商的投标文件进行符合性审查，以确定其是否满足采购文件的实质性要求。</w:t>
      </w:r>
    </w:p>
    <w:p w14:paraId="0D11BF37">
      <w:pPr>
        <w:tabs>
          <w:tab w:val="left" w:pos="525"/>
        </w:tabs>
        <w:spacing w:line="360" w:lineRule="auto"/>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4.3.2对于投标文件中含义不明确、同类问题表述不一致或者有明显文字和计算错误的内容，评标委员会应当要求投标供应商作出必要的澄清、说明或者补正。</w:t>
      </w:r>
    </w:p>
    <w:p w14:paraId="7CE16BAE">
      <w:pPr>
        <w:tabs>
          <w:tab w:val="left" w:pos="1365"/>
        </w:tabs>
        <w:spacing w:line="360" w:lineRule="auto"/>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对投标文件中含义不明确、同类问题表述不一致或者有明显文字和计算错误的内容，评标委员会可以通过政府采购交易管理一体化系统发起询标，要求投标供应商作出必要的澄清、说明或者纠正。投标供应商的澄清、说明或者补正应当通过政府采购交易管理一体化系统，由其授权的代表应答并加盖电子公章，且不得超出投标文件的范围或者改变投标文件的实质性内容。</w:t>
      </w:r>
      <w:r>
        <w:rPr>
          <w:rFonts w:hint="eastAsia" w:ascii="宋体" w:hAnsi="宋体" w:cs="宋体"/>
          <w:color w:val="auto"/>
          <w:sz w:val="24"/>
          <w:highlight w:val="none"/>
        </w:rPr>
        <w:t>若投标供应商被授权代表未在规定时间内按上述要求作出回复，则视为投标供应商默认资审结果或评审结果。</w:t>
      </w:r>
    </w:p>
    <w:p w14:paraId="6EECF615">
      <w:pPr>
        <w:tabs>
          <w:tab w:val="left" w:pos="1365"/>
        </w:tabs>
        <w:spacing w:line="360" w:lineRule="auto"/>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4.4比较与评价</w:t>
      </w:r>
    </w:p>
    <w:p w14:paraId="13A977D9">
      <w:pPr>
        <w:tabs>
          <w:tab w:val="left" w:pos="1365"/>
        </w:tabs>
        <w:spacing w:line="360" w:lineRule="auto"/>
        <w:ind w:firstLine="480" w:firstLineChars="200"/>
        <w:rPr>
          <w:rFonts w:ascii="宋体" w:hAnsi="宋体" w:cs="宋体"/>
          <w:color w:val="auto"/>
          <w:sz w:val="24"/>
          <w:szCs w:val="22"/>
          <w:highlight w:val="none"/>
        </w:rPr>
      </w:pPr>
      <w:r>
        <w:rPr>
          <w:rFonts w:hint="eastAsia" w:ascii="宋体" w:hAnsi="宋体" w:cs="宋体"/>
          <w:color w:val="auto"/>
          <w:sz w:val="24"/>
          <w:szCs w:val="20"/>
          <w:highlight w:val="none"/>
        </w:rPr>
        <w:t>4.4</w:t>
      </w:r>
      <w:r>
        <w:rPr>
          <w:rFonts w:hint="eastAsia" w:ascii="宋体" w:hAnsi="宋体" w:cs="宋体"/>
          <w:color w:val="auto"/>
          <w:sz w:val="24"/>
          <w:szCs w:val="22"/>
          <w:highlight w:val="none"/>
        </w:rPr>
        <w:t>.1投标文件资格性检查和符合性检查结束后，凡属于“（八）无效投标文件的确认”的投标文件不进入比较与评价程序。</w:t>
      </w:r>
    </w:p>
    <w:p w14:paraId="676768D1">
      <w:pPr>
        <w:tabs>
          <w:tab w:val="left" w:pos="1365"/>
        </w:tabs>
        <w:spacing w:line="360" w:lineRule="auto"/>
        <w:ind w:firstLine="480" w:firstLineChars="200"/>
        <w:rPr>
          <w:rFonts w:ascii="宋体" w:hAnsi="宋体" w:cs="宋体"/>
          <w:color w:val="auto"/>
          <w:sz w:val="24"/>
          <w:szCs w:val="20"/>
          <w:highlight w:val="none"/>
        </w:rPr>
      </w:pPr>
      <w:r>
        <w:rPr>
          <w:rFonts w:hint="eastAsia" w:ascii="宋体" w:hAnsi="宋体" w:cs="宋体"/>
          <w:color w:val="auto"/>
          <w:sz w:val="24"/>
          <w:szCs w:val="20"/>
          <w:highlight w:val="none"/>
        </w:rPr>
        <w:t>4.4</w:t>
      </w:r>
      <w:r>
        <w:rPr>
          <w:rFonts w:hint="eastAsia" w:ascii="宋体" w:hAnsi="宋体" w:cs="宋体"/>
          <w:color w:val="auto"/>
          <w:sz w:val="24"/>
          <w:szCs w:val="22"/>
          <w:highlight w:val="none"/>
        </w:rPr>
        <w:t>.2经评审有效的投标文件按采购文件中规定的评标方法和标准，由评标委员会进行比较与评价。</w:t>
      </w:r>
    </w:p>
    <w:p w14:paraId="052D017B">
      <w:pPr>
        <w:tabs>
          <w:tab w:val="left" w:pos="1365"/>
        </w:tabs>
        <w:spacing w:line="360" w:lineRule="auto"/>
        <w:ind w:firstLine="480" w:firstLineChars="200"/>
        <w:rPr>
          <w:rFonts w:ascii="宋体" w:hAnsi="宋体" w:cs="宋体"/>
          <w:bCs/>
          <w:color w:val="auto"/>
          <w:sz w:val="24"/>
          <w:szCs w:val="20"/>
          <w:highlight w:val="none"/>
        </w:rPr>
      </w:pPr>
      <w:r>
        <w:rPr>
          <w:rFonts w:hint="eastAsia" w:ascii="宋体" w:hAnsi="宋体" w:cs="宋体"/>
          <w:color w:val="auto"/>
          <w:sz w:val="24"/>
          <w:szCs w:val="20"/>
          <w:highlight w:val="none"/>
        </w:rPr>
        <w:t>4.4</w:t>
      </w:r>
      <w:r>
        <w:rPr>
          <w:rFonts w:hint="eastAsia" w:ascii="宋体" w:hAnsi="宋体" w:cs="宋体"/>
          <w:bCs/>
          <w:color w:val="auto"/>
          <w:sz w:val="24"/>
          <w:szCs w:val="20"/>
          <w:highlight w:val="none"/>
        </w:rPr>
        <w:t>.3评审全部结束后，由工作人员在公证或监督下，汇总各投标供应商商务标和技术标得分，确定各投标供应商总分和最终排序。</w:t>
      </w:r>
    </w:p>
    <w:p w14:paraId="2A9E8036">
      <w:pPr>
        <w:tabs>
          <w:tab w:val="left" w:pos="525"/>
          <w:tab w:val="left" w:pos="1050"/>
        </w:tabs>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5.评标方法</w:t>
      </w:r>
    </w:p>
    <w:p w14:paraId="1DA957C2">
      <w:pPr>
        <w:spacing w:line="360" w:lineRule="auto"/>
        <w:ind w:firstLine="480" w:firstLineChars="200"/>
        <w:rPr>
          <w:rFonts w:ascii="宋体" w:hAnsi="宋体" w:cs="宋体"/>
          <w:bCs/>
          <w:color w:val="auto"/>
          <w:sz w:val="24"/>
          <w:highlight w:val="none"/>
        </w:rPr>
      </w:pPr>
      <w:r>
        <w:rPr>
          <w:rFonts w:hint="eastAsia" w:ascii="宋体" w:hAnsi="宋体" w:cs="宋体"/>
          <w:bCs/>
          <w:color w:val="auto"/>
          <w:sz w:val="24"/>
          <w:highlight w:val="none"/>
        </w:rPr>
        <w:t>投标供应商通过资格性与符合性审查的，方可进入比较与评价程序。</w:t>
      </w:r>
    </w:p>
    <w:p w14:paraId="0498738A">
      <w:pPr>
        <w:tabs>
          <w:tab w:val="left" w:pos="1365"/>
        </w:tabs>
        <w:spacing w:line="360" w:lineRule="auto"/>
        <w:ind w:firstLine="480" w:firstLineChars="200"/>
        <w:rPr>
          <w:rFonts w:ascii="宋体" w:hAnsi="宋体" w:cs="宋体"/>
          <w:b/>
          <w:color w:val="auto"/>
          <w:sz w:val="24"/>
          <w:highlight w:val="none"/>
        </w:rPr>
      </w:pPr>
      <w:r>
        <w:rPr>
          <w:rFonts w:hint="eastAsia" w:ascii="宋体" w:hAnsi="宋体" w:cs="宋体"/>
          <w:bCs/>
          <w:color w:val="auto"/>
          <w:sz w:val="24"/>
          <w:highlight w:val="none"/>
        </w:rPr>
        <w:t>比较与评价采用综合评分法（计分均保留2位小数），</w:t>
      </w:r>
      <w:r>
        <w:rPr>
          <w:rFonts w:hint="eastAsia" w:ascii="宋体" w:hAnsi="宋体" w:cs="宋体"/>
          <w:color w:val="auto"/>
          <w:sz w:val="24"/>
          <w:highlight w:val="none"/>
        </w:rPr>
        <w:t>评审委员会遵循公平、公正、择优原则，独立按照评分标准分别评定投标供应商的分值；</w:t>
      </w:r>
      <w:r>
        <w:rPr>
          <w:rFonts w:hint="eastAsia" w:ascii="宋体" w:hAnsi="宋体" w:cs="宋体"/>
          <w:bCs/>
          <w:color w:val="auto"/>
          <w:sz w:val="24"/>
          <w:highlight w:val="none"/>
        </w:rPr>
        <w:t>评标结果按评审后得分由高到低顺序排列。得分相同的，按投标报价由低到高顺序排列。得分且投标报价相同的并列。</w:t>
      </w:r>
      <w:r>
        <w:rPr>
          <w:rFonts w:hint="eastAsia" w:ascii="宋体" w:hAnsi="宋体" w:cs="宋体"/>
          <w:b/>
          <w:color w:val="auto"/>
          <w:sz w:val="24"/>
          <w:highlight w:val="none"/>
        </w:rPr>
        <w:t>投标文件满足采购文件全部实质性要求，且按照评审因素的量化指标评审得分最高的为中标供应商。未列入本评分标准的其他条件不作为评分内容。</w:t>
      </w:r>
    </w:p>
    <w:p w14:paraId="6795223D">
      <w:pPr>
        <w:spacing w:line="360" w:lineRule="auto"/>
        <w:ind w:firstLine="240" w:firstLineChars="100"/>
        <w:rPr>
          <w:color w:val="auto"/>
          <w:highlight w:val="none"/>
        </w:rPr>
      </w:pPr>
      <w:r>
        <w:rPr>
          <w:rFonts w:hint="eastAsia" w:ascii="宋体" w:hAnsi="宋体"/>
          <w:bCs/>
          <w:color w:val="auto"/>
          <w:sz w:val="24"/>
          <w:highlight w:val="none"/>
        </w:rPr>
        <w:t>6.</w:t>
      </w:r>
      <w:r>
        <w:rPr>
          <w:rFonts w:hint="eastAsia" w:ascii="宋体" w:hAnsi="宋体"/>
          <w:color w:val="auto"/>
          <w:sz w:val="24"/>
          <w:highlight w:val="none"/>
        </w:rPr>
        <w:t>评分标准</w:t>
      </w:r>
    </w:p>
    <w:p w14:paraId="5F4F6556">
      <w:pPr>
        <w:pStyle w:val="51"/>
        <w:snapToGrid w:val="0"/>
        <w:spacing w:line="360" w:lineRule="auto"/>
        <w:rPr>
          <w:rStyle w:val="518"/>
          <w:rFonts w:hint="default"/>
          <w:b/>
          <w:bCs/>
          <w:color w:val="auto"/>
          <w:sz w:val="24"/>
          <w:szCs w:val="24"/>
          <w:highlight w:val="none"/>
        </w:rPr>
      </w:pPr>
      <w:r>
        <w:rPr>
          <w:rStyle w:val="518"/>
          <w:b/>
          <w:bCs/>
          <w:color w:val="auto"/>
          <w:sz w:val="24"/>
          <w:szCs w:val="24"/>
          <w:highlight w:val="none"/>
        </w:rPr>
        <w:t>6.1投标报价（25分）</w:t>
      </w:r>
    </w:p>
    <w:p w14:paraId="03EF72A8">
      <w:pPr>
        <w:tabs>
          <w:tab w:val="left" w:pos="945"/>
        </w:tabs>
        <w:spacing w:line="360" w:lineRule="auto"/>
        <w:ind w:firstLine="480" w:firstLineChars="200"/>
        <w:rPr>
          <w:rFonts w:ascii="宋体" w:hAnsi="宋体" w:cs="宋体"/>
          <w:bCs/>
          <w:color w:val="auto"/>
          <w:sz w:val="24"/>
          <w:szCs w:val="20"/>
          <w:highlight w:val="none"/>
          <w:lang w:val="zh-CN"/>
        </w:rPr>
      </w:pPr>
      <w:r>
        <w:rPr>
          <w:rFonts w:hint="eastAsia" w:ascii="宋体" w:hAnsi="宋体" w:cs="宋体"/>
          <w:bCs/>
          <w:color w:val="auto"/>
          <w:sz w:val="24"/>
          <w:szCs w:val="20"/>
          <w:highlight w:val="none"/>
          <w:lang w:val="zh-CN"/>
        </w:rPr>
        <w:t>价格分采用低价优先法计算，即满足采购文件要求且报价最低的投标报价为评标基准价（落实政府采购政策进行价格调整的，以调整后的投标价格计算），满分</w:t>
      </w:r>
      <w:r>
        <w:rPr>
          <w:rFonts w:hint="eastAsia" w:ascii="宋体" w:hAnsi="宋体" w:cs="宋体"/>
          <w:bCs/>
          <w:color w:val="auto"/>
          <w:sz w:val="24"/>
          <w:szCs w:val="20"/>
          <w:highlight w:val="none"/>
        </w:rPr>
        <w:t>25</w:t>
      </w:r>
      <w:r>
        <w:rPr>
          <w:rFonts w:hint="eastAsia" w:ascii="宋体" w:hAnsi="宋体" w:cs="宋体"/>
          <w:bCs/>
          <w:color w:val="auto"/>
          <w:sz w:val="24"/>
          <w:szCs w:val="20"/>
          <w:highlight w:val="none"/>
          <w:lang w:val="zh-CN"/>
        </w:rPr>
        <w:t>分。其他投标供应商的价格分统一按照下列公式计算：</w:t>
      </w:r>
    </w:p>
    <w:p w14:paraId="140E456A">
      <w:pPr>
        <w:tabs>
          <w:tab w:val="left" w:pos="945"/>
        </w:tabs>
        <w:spacing w:line="360" w:lineRule="auto"/>
        <w:ind w:firstLine="480" w:firstLineChars="200"/>
        <w:rPr>
          <w:rFonts w:ascii="宋体" w:hAnsi="宋体" w:cs="宋体"/>
          <w:bCs/>
          <w:color w:val="auto"/>
          <w:sz w:val="24"/>
          <w:szCs w:val="20"/>
          <w:highlight w:val="none"/>
          <w:lang w:val="zh-CN"/>
        </w:rPr>
      </w:pPr>
      <w:r>
        <w:rPr>
          <w:rFonts w:hint="eastAsia" w:ascii="宋体" w:hAnsi="宋体" w:cs="宋体"/>
          <w:bCs/>
          <w:color w:val="auto"/>
          <w:sz w:val="24"/>
          <w:szCs w:val="20"/>
          <w:highlight w:val="none"/>
          <w:lang w:val="zh-CN"/>
        </w:rPr>
        <w:t>投标报价得分=（评标基准价／投标报价）×价格权值×100，结果保留两位小数。</w:t>
      </w:r>
    </w:p>
    <w:p w14:paraId="0289B7B2">
      <w:pPr>
        <w:tabs>
          <w:tab w:val="left" w:pos="945"/>
        </w:tabs>
        <w:spacing w:line="360" w:lineRule="auto"/>
        <w:ind w:firstLine="480" w:firstLineChars="200"/>
        <w:rPr>
          <w:rStyle w:val="518"/>
          <w:rFonts w:hint="default"/>
          <w:color w:val="auto"/>
          <w:sz w:val="24"/>
          <w:szCs w:val="24"/>
          <w:highlight w:val="none"/>
        </w:rPr>
      </w:pPr>
      <w:r>
        <w:rPr>
          <w:rFonts w:hint="eastAsia" w:ascii="宋体" w:hAnsi="宋体" w:cs="宋体"/>
          <w:bCs/>
          <w:color w:val="auto"/>
          <w:sz w:val="24"/>
          <w:szCs w:val="20"/>
          <w:highlight w:val="none"/>
          <w:lang w:val="zh-CN"/>
        </w:rPr>
        <w:t>小微型企业价格扣除：专门面向中小/小微企业的项目不做价格扣除。</w:t>
      </w:r>
    </w:p>
    <w:p w14:paraId="7858E660">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注：评审委员会启动异常低价投标审查的情形和具体要求，包括：</w:t>
      </w:r>
    </w:p>
    <w:p w14:paraId="058AF25B">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6.1.1评审过程中出现下列情形之一的，评审委员会应当启动异常低价投标审查程序：</w:t>
      </w:r>
    </w:p>
    <w:p w14:paraId="3E8052D1">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6.1.1.1 投标(响应)报价低于采购项目预算50%的，即投标(响应)报价&lt;采购项目预算x50%；</w:t>
      </w:r>
    </w:p>
    <w:p w14:paraId="5BF5F9E2">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6.1.1.2 投标(响应)报价低于采购项目最高限价45%的，即投标(响应)报价&lt;采购项目最高限价x45%；</w:t>
      </w:r>
    </w:p>
    <w:p w14:paraId="06804AC4">
      <w:pPr>
        <w:spacing w:line="360" w:lineRule="auto"/>
        <w:ind w:firstLine="480" w:firstLineChars="200"/>
        <w:outlineLvl w:val="0"/>
        <w:rPr>
          <w:rFonts w:ascii="宋体" w:hAnsi="宋体" w:cs="宋体"/>
          <w:color w:val="auto"/>
          <w:sz w:val="24"/>
          <w:highlight w:val="none"/>
        </w:rPr>
      </w:pPr>
      <w:r>
        <w:rPr>
          <w:rFonts w:hint="eastAsia" w:ascii="宋体" w:hAnsi="宋体" w:cs="宋体"/>
          <w:color w:val="auto"/>
          <w:sz w:val="24"/>
          <w:highlight w:val="none"/>
        </w:rPr>
        <w:t>6.1.1.3评审委员会认定的供应商报价过低、有可能影响产品质量或者不能诚信履约的其他情形。</w:t>
      </w:r>
    </w:p>
    <w:p w14:paraId="02C0F7C1">
      <w:pPr>
        <w:pStyle w:val="51"/>
        <w:snapToGrid w:val="0"/>
        <w:spacing w:line="360" w:lineRule="auto"/>
        <w:ind w:firstLine="480" w:firstLineChars="200"/>
        <w:rPr>
          <w:rStyle w:val="518"/>
          <w:rFonts w:hint="default"/>
          <w:color w:val="auto"/>
          <w:sz w:val="24"/>
          <w:szCs w:val="24"/>
          <w:highlight w:val="none"/>
        </w:rPr>
      </w:pPr>
      <w:r>
        <w:rPr>
          <w:rFonts w:hint="eastAsia" w:ascii="宋体" w:hAnsi="宋体" w:cs="宋体"/>
          <w:color w:val="auto"/>
          <w:highlight w:val="none"/>
        </w:rPr>
        <w:t>6.1.2启动异常低价投标(响应)审查后，评审委员会应当要求相关供应商在评标现场合理的时间(本项目约定为：30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FED6395">
      <w:pPr>
        <w:numPr>
          <w:ilvl w:val="4"/>
          <w:numId w:val="0"/>
        </w:numPr>
        <w:tabs>
          <w:tab w:val="left" w:pos="525"/>
          <w:tab w:val="left" w:pos="945"/>
          <w:tab w:val="left" w:pos="1155"/>
          <w:tab w:val="left" w:pos="3823"/>
        </w:tabs>
        <w:spacing w:line="360" w:lineRule="auto"/>
        <w:ind w:firstLine="482"/>
        <w:rPr>
          <w:rFonts w:ascii="宋体" w:hAnsi="宋体"/>
          <w:b/>
          <w:bCs/>
          <w:color w:val="auto"/>
          <w:sz w:val="24"/>
          <w:highlight w:val="none"/>
        </w:rPr>
      </w:pPr>
      <w:r>
        <w:rPr>
          <w:rFonts w:hint="eastAsia" w:ascii="宋体" w:hAnsi="宋体"/>
          <w:b/>
          <w:bCs/>
          <w:color w:val="auto"/>
          <w:sz w:val="24"/>
          <w:highlight w:val="none"/>
        </w:rPr>
        <w:t>6.2.项目人员配置情况（15分）：</w:t>
      </w:r>
    </w:p>
    <w:p w14:paraId="11121504">
      <w:pPr>
        <w:tabs>
          <w:tab w:val="left" w:pos="525"/>
          <w:tab w:val="left" w:pos="945"/>
          <w:tab w:val="left" w:pos="1155"/>
          <w:tab w:val="left" w:pos="3823"/>
        </w:tabs>
        <w:spacing w:line="360" w:lineRule="auto"/>
        <w:ind w:firstLine="480" w:firstLineChars="200"/>
        <w:rPr>
          <w:rFonts w:ascii="宋体" w:hAnsi="宋体"/>
          <w:b/>
          <w:bCs/>
          <w:color w:val="auto"/>
          <w:sz w:val="24"/>
          <w:highlight w:val="none"/>
        </w:rPr>
      </w:pPr>
      <w:r>
        <w:rPr>
          <w:rFonts w:hint="eastAsia" w:ascii="宋体" w:hAnsi="宋体" w:cs="宋体"/>
          <w:bCs/>
          <w:color w:val="auto"/>
          <w:sz w:val="24"/>
          <w:szCs w:val="20"/>
          <w:highlight w:val="none"/>
          <w:lang w:val="zh-CN"/>
        </w:rPr>
        <w:t>投标供应商</w:t>
      </w:r>
      <w:r>
        <w:rPr>
          <w:rFonts w:hint="eastAsia" w:ascii="宋体" w:hAnsi="宋体" w:cs="宋体"/>
          <w:bCs/>
          <w:color w:val="auto"/>
          <w:kern w:val="2"/>
          <w:sz w:val="24"/>
          <w:highlight w:val="none"/>
        </w:rPr>
        <w:t>为本项目配备的人员情况，人员以填列的《项目人员配置清单》为准（格式见附件），并按评分标准要求提供相应证明材料及表格要求提供所填人员近三个月</w:t>
      </w:r>
      <w:r>
        <w:rPr>
          <w:rFonts w:hint="eastAsia" w:ascii="宋体" w:hAnsi="宋体" w:cs="宋体"/>
          <w:bCs/>
          <w:color w:val="auto"/>
          <w:kern w:val="2"/>
          <w:sz w:val="24"/>
          <w:highlight w:val="none"/>
        </w:rPr>
        <w:t>（2025年8月-2025年10月）</w:t>
      </w:r>
      <w:r>
        <w:rPr>
          <w:rFonts w:hint="eastAsia" w:ascii="宋体" w:hAnsi="宋体" w:cs="宋体"/>
          <w:bCs/>
          <w:color w:val="auto"/>
          <w:kern w:val="2"/>
          <w:sz w:val="24"/>
          <w:highlight w:val="none"/>
        </w:rPr>
        <w:t>任一月份社保证明，否则不得分</w:t>
      </w:r>
      <w:r>
        <w:rPr>
          <w:rFonts w:hint="eastAsia" w:ascii="宋体" w:hAnsi="宋体"/>
          <w:bCs/>
          <w:color w:val="auto"/>
          <w:sz w:val="24"/>
          <w:highlight w:val="none"/>
        </w:rPr>
        <w:t>。</w:t>
      </w:r>
    </w:p>
    <w:p w14:paraId="7DBCE250">
      <w:pPr>
        <w:spacing w:line="360" w:lineRule="auto"/>
        <w:ind w:firstLine="480"/>
        <w:rPr>
          <w:rFonts w:ascii="宋体" w:hAnsi="宋体"/>
          <w:color w:val="auto"/>
          <w:sz w:val="24"/>
          <w:highlight w:val="none"/>
        </w:rPr>
      </w:pPr>
      <w:r>
        <w:rPr>
          <w:rFonts w:hint="eastAsia" w:ascii="宋体" w:hAnsi="宋体"/>
          <w:color w:val="auto"/>
          <w:sz w:val="24"/>
          <w:highlight w:val="none"/>
        </w:rPr>
        <w:t>6.2.1 项目经理（5分）：</w:t>
      </w:r>
      <w:r>
        <w:rPr>
          <w:rFonts w:hint="eastAsia" w:ascii="宋体" w:hAnsi="宋体" w:cs="宋体"/>
          <w:color w:val="auto"/>
          <w:kern w:val="2"/>
          <w:sz w:val="24"/>
          <w:highlight w:val="none"/>
        </w:rPr>
        <w:t>投标人为本项目配备一名项目经理，该项目经理具有：</w:t>
      </w:r>
      <w:r>
        <w:rPr>
          <w:rFonts w:hint="eastAsia" w:ascii="宋体" w:hAnsi="宋体" w:cs="宋体"/>
          <w:color w:val="auto"/>
          <w:kern w:val="2"/>
          <w:sz w:val="24"/>
          <w:highlight w:val="none"/>
        </w:rPr>
        <w:t>电子信息工程类高级及以上工程师证书</w:t>
      </w:r>
      <w:r>
        <w:rPr>
          <w:rFonts w:hint="eastAsia" w:ascii="宋体" w:hAnsi="宋体" w:cs="宋体"/>
          <w:color w:val="auto"/>
          <w:kern w:val="2"/>
          <w:sz w:val="24"/>
          <w:highlight w:val="none"/>
        </w:rPr>
        <w:t>的得1分</w:t>
      </w:r>
      <w:r>
        <w:rPr>
          <w:rFonts w:hint="eastAsia" w:ascii="宋体" w:hAnsi="宋体" w:cs="宋体"/>
          <w:color w:val="auto"/>
          <w:kern w:val="2"/>
          <w:sz w:val="24"/>
          <w:highlight w:val="none"/>
        </w:rPr>
        <w:t>、注册信息安全工程师（CISP）证书</w:t>
      </w:r>
      <w:r>
        <w:rPr>
          <w:rFonts w:hint="eastAsia" w:ascii="宋体" w:hAnsi="宋体" w:cs="宋体"/>
          <w:color w:val="auto"/>
          <w:kern w:val="2"/>
          <w:sz w:val="24"/>
          <w:highlight w:val="none"/>
        </w:rPr>
        <w:t>的得1分</w:t>
      </w:r>
      <w:r>
        <w:rPr>
          <w:rFonts w:hint="eastAsia" w:ascii="宋体" w:hAnsi="宋体" w:cs="宋体"/>
          <w:color w:val="auto"/>
          <w:kern w:val="2"/>
          <w:sz w:val="24"/>
          <w:highlight w:val="none"/>
        </w:rPr>
        <w:t>、信息安全保障人员（CISAW应急服务）证书</w:t>
      </w:r>
      <w:r>
        <w:rPr>
          <w:rFonts w:hint="eastAsia" w:ascii="宋体" w:hAnsi="宋体" w:cs="宋体"/>
          <w:color w:val="auto"/>
          <w:kern w:val="2"/>
          <w:sz w:val="24"/>
          <w:highlight w:val="none"/>
        </w:rPr>
        <w:t>的得1分</w:t>
      </w:r>
      <w:r>
        <w:rPr>
          <w:rFonts w:hint="eastAsia" w:ascii="宋体" w:hAnsi="宋体" w:cs="宋体"/>
          <w:color w:val="auto"/>
          <w:kern w:val="2"/>
          <w:sz w:val="24"/>
          <w:highlight w:val="none"/>
        </w:rPr>
        <w:t>、网络工程师（高级）证书</w:t>
      </w:r>
      <w:r>
        <w:rPr>
          <w:rFonts w:hint="eastAsia" w:ascii="宋体" w:hAnsi="宋体" w:cs="宋体"/>
          <w:color w:val="auto"/>
          <w:kern w:val="2"/>
          <w:sz w:val="24"/>
          <w:highlight w:val="none"/>
        </w:rPr>
        <w:t>的得1分、注册信息安全培训讲师(CISI)证书的得1分；须提供相应有效证书证明材料扫描件</w:t>
      </w:r>
      <w:r>
        <w:rPr>
          <w:rFonts w:hint="eastAsia" w:ascii="宋体" w:hAnsi="宋体"/>
          <w:color w:val="auto"/>
          <w:sz w:val="24"/>
          <w:highlight w:val="none"/>
        </w:rPr>
        <w:t>。</w:t>
      </w:r>
    </w:p>
    <w:p w14:paraId="5243092D">
      <w:pPr>
        <w:spacing w:line="360" w:lineRule="auto"/>
        <w:ind w:firstLine="480"/>
        <w:rPr>
          <w:rFonts w:ascii="宋体" w:hAnsi="宋体"/>
          <w:color w:val="auto"/>
          <w:sz w:val="24"/>
          <w:highlight w:val="none"/>
        </w:rPr>
      </w:pPr>
      <w:r>
        <w:rPr>
          <w:rFonts w:hint="eastAsia" w:ascii="宋体" w:hAnsi="宋体"/>
          <w:color w:val="auto"/>
          <w:sz w:val="24"/>
          <w:highlight w:val="none"/>
        </w:rPr>
        <w:t>6.2.2 项目技术负责人（4分）：</w:t>
      </w:r>
      <w:r>
        <w:rPr>
          <w:rFonts w:hint="eastAsia" w:ascii="宋体" w:hAnsi="宋体" w:cs="宋体"/>
          <w:color w:val="auto"/>
          <w:kern w:val="2"/>
          <w:sz w:val="24"/>
          <w:highlight w:val="none"/>
        </w:rPr>
        <w:t>投标人为本项目配备一名技术负责人（与项目经理不得兼任），该项目技术负责人具有：信息安全保障人员（CISAW应急服务）证书的得1分、注册信息安全人员（CISP）证书的得1分、数据安全官（DSO）证书的得1分、IT运维工程师（高级）证书的得1分；须提供相应有效证书证明材料扫描件</w:t>
      </w:r>
      <w:r>
        <w:rPr>
          <w:rFonts w:hint="eastAsia" w:ascii="宋体" w:hAnsi="宋体"/>
          <w:color w:val="auto"/>
          <w:sz w:val="24"/>
          <w:highlight w:val="none"/>
        </w:rPr>
        <w:t>。</w:t>
      </w:r>
    </w:p>
    <w:p w14:paraId="70C3F5C3">
      <w:pPr>
        <w:spacing w:line="360" w:lineRule="auto"/>
        <w:ind w:firstLine="480"/>
        <w:rPr>
          <w:rFonts w:ascii="宋体" w:hAnsi="宋体"/>
          <w:color w:val="auto"/>
          <w:sz w:val="24"/>
          <w:highlight w:val="none"/>
        </w:rPr>
      </w:pPr>
      <w:r>
        <w:rPr>
          <w:rFonts w:hint="eastAsia" w:ascii="宋体" w:hAnsi="宋体"/>
          <w:color w:val="auto"/>
          <w:sz w:val="24"/>
          <w:highlight w:val="none"/>
        </w:rPr>
        <w:t>6.2.3 其他项目成员（6分）：</w:t>
      </w:r>
      <w:r>
        <w:rPr>
          <w:rFonts w:hint="eastAsia" w:ascii="宋体" w:hAnsi="宋体" w:cs="宋体"/>
          <w:color w:val="auto"/>
          <w:kern w:val="2"/>
          <w:sz w:val="24"/>
          <w:highlight w:val="none"/>
        </w:rPr>
        <w:t>除项目经理、项目技术负责人外，项目组其他成员具有：信息安全保障人员（CISAW安全运维）证书的得1分，ITSS IT服务项目经理证书的得1分，高级数据库管理工程师证书的得1分，数据安全评估师证书（DSA）的得1分，IT运维工程师（高级）证书的得1分，</w:t>
      </w:r>
      <w:r>
        <w:rPr>
          <w:rFonts w:hint="eastAsia" w:ascii="宋体" w:hAnsi="宋体" w:cs="宋体"/>
          <w:color w:val="auto"/>
          <w:sz w:val="24"/>
          <w:highlight w:val="none"/>
        </w:rPr>
        <w:t>数据安全官（DSO）证书的得1分</w:t>
      </w:r>
      <w:r>
        <w:rPr>
          <w:rFonts w:hint="eastAsia" w:ascii="宋体" w:hAnsi="宋体" w:cs="宋体"/>
          <w:color w:val="auto"/>
          <w:kern w:val="2"/>
          <w:sz w:val="24"/>
          <w:highlight w:val="none"/>
        </w:rPr>
        <w:t>；须提供相应有效证书证明材料扫描件，同一个人具有多种证书的只计算一次，同一种证书也只计算一次，均不重复得分</w:t>
      </w:r>
      <w:r>
        <w:rPr>
          <w:rFonts w:hint="eastAsia" w:ascii="宋体" w:hAnsi="宋体"/>
          <w:color w:val="auto"/>
          <w:sz w:val="24"/>
          <w:highlight w:val="none"/>
        </w:rPr>
        <w:t>。</w:t>
      </w:r>
    </w:p>
    <w:p w14:paraId="28B821B1">
      <w:pPr>
        <w:numPr>
          <w:ilvl w:val="4"/>
          <w:numId w:val="0"/>
        </w:numPr>
        <w:tabs>
          <w:tab w:val="left" w:pos="525"/>
          <w:tab w:val="left" w:pos="945"/>
          <w:tab w:val="left" w:pos="1155"/>
          <w:tab w:val="left" w:pos="3823"/>
        </w:tabs>
        <w:spacing w:line="360" w:lineRule="auto"/>
        <w:ind w:firstLine="482"/>
        <w:rPr>
          <w:rFonts w:ascii="宋体" w:hAnsi="宋体"/>
          <w:b/>
          <w:bCs/>
          <w:color w:val="auto"/>
          <w:sz w:val="24"/>
          <w:highlight w:val="none"/>
        </w:rPr>
      </w:pPr>
      <w:r>
        <w:rPr>
          <w:rFonts w:hint="eastAsia" w:ascii="宋体" w:hAnsi="宋体"/>
          <w:b/>
          <w:bCs/>
          <w:color w:val="auto"/>
          <w:sz w:val="24"/>
          <w:highlight w:val="none"/>
        </w:rPr>
        <w:t>6.3.投标人综合情况（10分）：</w:t>
      </w:r>
    </w:p>
    <w:p w14:paraId="3AF153D9">
      <w:pPr>
        <w:spacing w:line="360" w:lineRule="auto"/>
        <w:ind w:firstLine="480"/>
        <w:rPr>
          <w:rFonts w:ascii="宋体" w:hAnsi="宋体"/>
          <w:color w:val="auto"/>
          <w:sz w:val="24"/>
          <w:highlight w:val="none"/>
        </w:rPr>
      </w:pPr>
      <w:r>
        <w:rPr>
          <w:rFonts w:hint="eastAsia" w:ascii="宋体" w:hAnsi="宋体"/>
          <w:color w:val="auto"/>
          <w:sz w:val="24"/>
          <w:highlight w:val="none"/>
        </w:rPr>
        <w:t>6.3.1 业绩（3分）：</w:t>
      </w:r>
      <w:r>
        <w:rPr>
          <w:rFonts w:hint="eastAsia" w:ascii="宋体" w:hAnsi="宋体" w:cs="宋体"/>
          <w:color w:val="auto"/>
          <w:kern w:val="2"/>
          <w:sz w:val="24"/>
          <w:highlight w:val="none"/>
        </w:rPr>
        <w:t>投标人自2023年1月1日以来（以合同签订时间为准）具有与本项目类似医疗行业项目成功案例的，每有一个得1分，</w:t>
      </w:r>
      <w:r>
        <w:rPr>
          <w:rFonts w:hint="eastAsia" w:ascii="宋体" w:hAnsi="宋体" w:cs="宋体"/>
          <w:color w:val="auto"/>
          <w:kern w:val="2"/>
          <w:sz w:val="24"/>
          <w:highlight w:val="none"/>
        </w:rPr>
        <w:t>最高3分</w:t>
      </w:r>
      <w:r>
        <w:rPr>
          <w:rFonts w:hint="eastAsia" w:ascii="宋体" w:hAnsi="宋体" w:cs="宋体"/>
          <w:color w:val="auto"/>
          <w:kern w:val="2"/>
          <w:sz w:val="24"/>
          <w:highlight w:val="none"/>
        </w:rPr>
        <w:t>；须提供相应有效合同扫描件加盖电子章</w:t>
      </w:r>
      <w:r>
        <w:rPr>
          <w:rFonts w:hint="eastAsia" w:ascii="宋体" w:hAnsi="宋体"/>
          <w:color w:val="auto"/>
          <w:sz w:val="24"/>
          <w:highlight w:val="none"/>
        </w:rPr>
        <w:t>。</w:t>
      </w:r>
    </w:p>
    <w:p w14:paraId="572A8FC9">
      <w:pPr>
        <w:spacing w:line="360" w:lineRule="auto"/>
        <w:ind w:firstLine="480"/>
        <w:rPr>
          <w:rFonts w:ascii="宋体" w:hAnsi="宋体"/>
          <w:color w:val="auto"/>
          <w:sz w:val="24"/>
          <w:highlight w:val="none"/>
        </w:rPr>
      </w:pPr>
      <w:r>
        <w:rPr>
          <w:rFonts w:hint="eastAsia" w:ascii="宋体" w:hAnsi="宋体"/>
          <w:color w:val="auto"/>
          <w:sz w:val="24"/>
          <w:highlight w:val="none"/>
        </w:rPr>
        <w:t>6.3.2 体系认证（5分）：投标人具有有效的：CCRC</w:t>
      </w:r>
      <w:r>
        <w:rPr>
          <w:rFonts w:hint="eastAsia" w:ascii="宋体" w:hAnsi="宋体"/>
          <w:color w:val="auto"/>
          <w:sz w:val="24"/>
          <w:highlight w:val="none"/>
        </w:rPr>
        <w:t>信息安全应急处理服务认证证书</w:t>
      </w:r>
      <w:r>
        <w:rPr>
          <w:rFonts w:hint="eastAsia" w:ascii="宋体" w:hAnsi="宋体"/>
          <w:color w:val="auto"/>
          <w:sz w:val="24"/>
          <w:highlight w:val="none"/>
        </w:rPr>
        <w:t>的得1分</w:t>
      </w:r>
      <w:r>
        <w:rPr>
          <w:rFonts w:hint="eastAsia" w:ascii="宋体" w:hAnsi="宋体"/>
          <w:color w:val="auto"/>
          <w:sz w:val="24"/>
          <w:highlight w:val="none"/>
        </w:rPr>
        <w:t>、</w:t>
      </w:r>
      <w:r>
        <w:rPr>
          <w:rFonts w:hint="eastAsia" w:ascii="宋体" w:hAnsi="宋体"/>
          <w:color w:val="auto"/>
          <w:sz w:val="24"/>
          <w:highlight w:val="none"/>
        </w:rPr>
        <w:t>CCRC</w:t>
      </w:r>
      <w:r>
        <w:rPr>
          <w:rFonts w:ascii="宋体" w:hAnsi="宋体"/>
          <w:color w:val="auto"/>
          <w:sz w:val="24"/>
          <w:highlight w:val="none"/>
        </w:rPr>
        <w:t>信息系统安全运维服务</w:t>
      </w:r>
      <w:r>
        <w:rPr>
          <w:rFonts w:hint="eastAsia" w:ascii="宋体" w:hAnsi="宋体"/>
          <w:color w:val="auto"/>
          <w:sz w:val="24"/>
          <w:highlight w:val="none"/>
        </w:rPr>
        <w:t>认证证书</w:t>
      </w:r>
      <w:r>
        <w:rPr>
          <w:rFonts w:hint="eastAsia" w:ascii="宋体" w:hAnsi="宋体"/>
          <w:color w:val="auto"/>
          <w:sz w:val="24"/>
          <w:highlight w:val="none"/>
        </w:rPr>
        <w:t>的得1分、信息系统建设和服务能力认证证书（CS3及以上）的得1分、数据治理安全管理体系认证证书的得1分、数据存储安全管理体系认证证书的得1分。</w:t>
      </w:r>
    </w:p>
    <w:p w14:paraId="16DAF7B3">
      <w:pPr>
        <w:spacing w:line="360" w:lineRule="auto"/>
        <w:ind w:firstLine="480"/>
        <w:rPr>
          <w:rFonts w:ascii="宋体" w:hAnsi="宋体"/>
          <w:color w:val="auto"/>
          <w:sz w:val="24"/>
          <w:highlight w:val="none"/>
        </w:rPr>
      </w:pPr>
      <w:r>
        <w:rPr>
          <w:rFonts w:hint="eastAsia" w:ascii="宋体" w:hAnsi="宋体"/>
          <w:color w:val="auto"/>
          <w:sz w:val="24"/>
          <w:highlight w:val="none"/>
        </w:rPr>
        <w:t>6.3.3 运维工具平台自有服务能力（2分）：投标人具有智能监测和预警平台、网络安全管理运维服务平台的软件著作权登记证书的，每有上述一种软件著作权登记证书的得1分，最高2分；</w:t>
      </w:r>
      <w:r>
        <w:rPr>
          <w:rFonts w:hint="eastAsia" w:ascii="宋体" w:hAnsi="宋体" w:cs="宋体"/>
          <w:color w:val="auto"/>
          <w:kern w:val="2"/>
          <w:sz w:val="24"/>
          <w:highlight w:val="none"/>
        </w:rPr>
        <w:t>须提供相应有效软件著作权登记证书扫描件并加盖电子章</w:t>
      </w:r>
      <w:r>
        <w:rPr>
          <w:rFonts w:hint="eastAsia" w:ascii="宋体" w:hAnsi="宋体"/>
          <w:color w:val="auto"/>
          <w:sz w:val="24"/>
          <w:highlight w:val="none"/>
        </w:rPr>
        <w:t>。</w:t>
      </w:r>
    </w:p>
    <w:p w14:paraId="695D5428">
      <w:pPr>
        <w:numPr>
          <w:ilvl w:val="4"/>
          <w:numId w:val="0"/>
        </w:numPr>
        <w:tabs>
          <w:tab w:val="left" w:pos="525"/>
          <w:tab w:val="left" w:pos="945"/>
          <w:tab w:val="left" w:pos="1155"/>
          <w:tab w:val="left" w:pos="3823"/>
        </w:tabs>
        <w:spacing w:line="360" w:lineRule="auto"/>
        <w:ind w:firstLine="482"/>
        <w:rPr>
          <w:rFonts w:ascii="宋体" w:hAnsi="宋体"/>
          <w:b/>
          <w:bCs/>
          <w:color w:val="auto"/>
          <w:sz w:val="24"/>
          <w:highlight w:val="none"/>
        </w:rPr>
      </w:pPr>
      <w:r>
        <w:rPr>
          <w:rFonts w:hint="eastAsia" w:ascii="宋体" w:hAnsi="宋体"/>
          <w:b/>
          <w:bCs/>
          <w:color w:val="auto"/>
          <w:sz w:val="24"/>
          <w:highlight w:val="none"/>
        </w:rPr>
        <w:t>6.4.项目方案（50分）：无方案不得分。</w:t>
      </w:r>
    </w:p>
    <w:p w14:paraId="3C728355">
      <w:pPr>
        <w:spacing w:line="360" w:lineRule="auto"/>
        <w:ind w:firstLine="480"/>
        <w:rPr>
          <w:rFonts w:ascii="宋体" w:hAnsi="宋体"/>
          <w:color w:val="auto"/>
          <w:sz w:val="24"/>
          <w:highlight w:val="none"/>
        </w:rPr>
      </w:pPr>
      <w:r>
        <w:rPr>
          <w:rFonts w:hint="eastAsia" w:ascii="宋体" w:hAnsi="宋体"/>
          <w:color w:val="auto"/>
          <w:sz w:val="24"/>
          <w:highlight w:val="none"/>
        </w:rPr>
        <w:t>6.4.1 对医院现有数据中心机房运维服务背景、整体机房运行情况熟悉与理解（8分）：根据实际情况提供机房机柜及设备详细布置图并进行方案描述，熟悉维护单位和核心医疗集成平台业务系统软件业务流向，提供平台业务系统关联硬件的业务视图并进行方案描述。</w:t>
      </w:r>
    </w:p>
    <w:p w14:paraId="102536F0">
      <w:pPr>
        <w:spacing w:line="360" w:lineRule="auto"/>
        <w:ind w:firstLine="480"/>
        <w:rPr>
          <w:rFonts w:ascii="宋体" w:hAnsi="宋体"/>
          <w:color w:val="auto"/>
          <w:sz w:val="24"/>
          <w:highlight w:val="none"/>
        </w:rPr>
      </w:pPr>
      <w:r>
        <w:rPr>
          <w:rFonts w:hint="eastAsia" w:ascii="宋体" w:hAnsi="宋体"/>
          <w:color w:val="auto"/>
          <w:sz w:val="24"/>
          <w:highlight w:val="none"/>
        </w:rPr>
        <w:t>投标人针对上述内容进行阐述，内容不存在瑕疵的该条得8分；存在1处瑕疵的该条得6分；存在2处瑕疵的该条得4分；未提供方案或不满足项目需求或内容存在3处及以上瑕疵的该条得0分。</w:t>
      </w:r>
    </w:p>
    <w:p w14:paraId="7EB94D9B">
      <w:pPr>
        <w:spacing w:line="360" w:lineRule="auto"/>
        <w:ind w:firstLine="480"/>
        <w:rPr>
          <w:rFonts w:ascii="宋体" w:hAnsi="宋体"/>
          <w:color w:val="auto"/>
          <w:sz w:val="24"/>
          <w:highlight w:val="none"/>
        </w:rPr>
      </w:pPr>
      <w:r>
        <w:rPr>
          <w:rFonts w:hint="eastAsia" w:ascii="宋体" w:hAnsi="宋体"/>
          <w:color w:val="auto"/>
          <w:sz w:val="24"/>
          <w:highlight w:val="none"/>
        </w:rPr>
        <w:t>6.4.2 运维管理及作业指导方案（8分）：结合现有机房内人员、设备、资料台账运维管理服务的要求，能够提供更加科学合理及可操作性的ITSS运维管理流程和制度、数据库管理员作业指导书、网络管理员作业指导书。</w:t>
      </w:r>
    </w:p>
    <w:p w14:paraId="25E32AE5">
      <w:pPr>
        <w:spacing w:line="360" w:lineRule="auto"/>
        <w:ind w:firstLine="480"/>
        <w:rPr>
          <w:rFonts w:ascii="宋体" w:hAnsi="宋体"/>
          <w:color w:val="auto"/>
          <w:sz w:val="24"/>
          <w:highlight w:val="none"/>
        </w:rPr>
      </w:pPr>
      <w:r>
        <w:rPr>
          <w:rFonts w:hint="eastAsia" w:ascii="宋体" w:hAnsi="宋体"/>
          <w:color w:val="auto"/>
          <w:sz w:val="24"/>
          <w:highlight w:val="none"/>
        </w:rPr>
        <w:t>投标人针对上述内容进行阐述，内容不存在瑕疵的该条得8分；存在1处瑕疵的该条得6分；存在2处瑕疵的该条得4分；未提供方案或不满足项目需求或内容存在3处及以上瑕疵的该条得0分。</w:t>
      </w:r>
    </w:p>
    <w:p w14:paraId="16F16923">
      <w:pPr>
        <w:spacing w:line="360" w:lineRule="auto"/>
        <w:ind w:firstLine="480"/>
        <w:rPr>
          <w:rFonts w:ascii="宋体" w:hAnsi="宋体"/>
          <w:color w:val="auto"/>
          <w:sz w:val="24"/>
          <w:highlight w:val="none"/>
        </w:rPr>
      </w:pPr>
      <w:r>
        <w:rPr>
          <w:rFonts w:hint="eastAsia" w:ascii="宋体" w:hAnsi="宋体"/>
          <w:color w:val="auto"/>
          <w:sz w:val="24"/>
          <w:highlight w:val="none"/>
        </w:rPr>
        <w:t>6.4.3 设备管理服务方案（8分）：根据机房基础设备和业务系统设备的用途、功能、属性等信息，梳理清晰、准确的设备信息资源台账和日常巡检单，并提供更加科学合理的设备运维管理服务方案。</w:t>
      </w:r>
    </w:p>
    <w:p w14:paraId="465B244E">
      <w:pPr>
        <w:spacing w:line="360" w:lineRule="auto"/>
        <w:ind w:firstLine="480"/>
        <w:rPr>
          <w:rFonts w:ascii="宋体" w:hAnsi="宋体"/>
          <w:color w:val="auto"/>
          <w:sz w:val="24"/>
          <w:highlight w:val="none"/>
        </w:rPr>
      </w:pPr>
      <w:r>
        <w:rPr>
          <w:rFonts w:hint="eastAsia" w:ascii="宋体" w:hAnsi="宋体"/>
          <w:color w:val="auto"/>
          <w:sz w:val="24"/>
          <w:highlight w:val="none"/>
        </w:rPr>
        <w:t>投标人针对上述内容进行阐述，内容不存在瑕疵的该条得8分；存在1处瑕疵的该条得6分；存在2处瑕疵的该条得4分；未提供方案或不满足项目需求或内容存在3处及以上瑕疵的该条得0分。</w:t>
      </w:r>
    </w:p>
    <w:p w14:paraId="318C8DD8">
      <w:pPr>
        <w:spacing w:line="360" w:lineRule="auto"/>
        <w:ind w:firstLine="480"/>
        <w:rPr>
          <w:rFonts w:ascii="宋体" w:hAnsi="宋体"/>
          <w:color w:val="auto"/>
          <w:sz w:val="24"/>
          <w:highlight w:val="none"/>
        </w:rPr>
      </w:pPr>
      <w:r>
        <w:rPr>
          <w:rFonts w:hint="eastAsia" w:ascii="宋体" w:hAnsi="宋体"/>
          <w:color w:val="auto"/>
          <w:sz w:val="24"/>
          <w:highlight w:val="none"/>
        </w:rPr>
        <w:t>6.4.4 业务核心系统服务内容及运维方案（8分）：包括核心数据库运维服务内容及运维方案、存储双活系统服务内容及运维方案、机房双活网络系统服务内容及运维方案、系统监控服务内容及运维方案、信息系统应急方案。</w:t>
      </w:r>
    </w:p>
    <w:p w14:paraId="782A5236">
      <w:pPr>
        <w:spacing w:line="360" w:lineRule="auto"/>
        <w:ind w:firstLine="480"/>
        <w:rPr>
          <w:rFonts w:ascii="宋体" w:hAnsi="宋体"/>
          <w:color w:val="auto"/>
          <w:sz w:val="24"/>
          <w:highlight w:val="none"/>
        </w:rPr>
      </w:pPr>
      <w:r>
        <w:rPr>
          <w:rFonts w:hint="eastAsia" w:ascii="宋体" w:hAnsi="宋体"/>
          <w:color w:val="auto"/>
          <w:sz w:val="24"/>
          <w:highlight w:val="none"/>
        </w:rPr>
        <w:t>投标人针对上述内容进行阐述，内容不存在瑕疵的该条得8分；存在1处瑕疵的该条得6分；存在2处瑕疵的该条得4分；未提供方案或不满足项目需求或内容存在3处及以上瑕疵的该条得0分。</w:t>
      </w:r>
    </w:p>
    <w:p w14:paraId="0AA0CB0B">
      <w:pPr>
        <w:spacing w:line="360" w:lineRule="auto"/>
        <w:ind w:firstLine="480"/>
        <w:rPr>
          <w:rFonts w:ascii="宋体" w:hAnsi="宋体"/>
          <w:color w:val="auto"/>
          <w:sz w:val="24"/>
          <w:highlight w:val="none"/>
        </w:rPr>
      </w:pPr>
      <w:r>
        <w:rPr>
          <w:rFonts w:hint="eastAsia" w:ascii="宋体" w:hAnsi="宋体"/>
          <w:color w:val="auto"/>
          <w:sz w:val="24"/>
          <w:highlight w:val="none"/>
        </w:rPr>
        <w:t>6.4.5 应急方案（6分）：根据现有机房内部综合布线架构和设备之间物理连接状态，梳理清晰、准确的各系统区域网络及安全设备连接资源台账，并提供更加合理科学的应急处理程序和分类突发事件应急处理措施方案。</w:t>
      </w:r>
    </w:p>
    <w:p w14:paraId="559A2E5A">
      <w:pPr>
        <w:spacing w:line="360" w:lineRule="auto"/>
        <w:ind w:firstLine="480"/>
        <w:rPr>
          <w:rFonts w:ascii="宋体" w:hAnsi="宋体"/>
          <w:color w:val="auto"/>
          <w:sz w:val="24"/>
          <w:highlight w:val="none"/>
        </w:rPr>
      </w:pPr>
      <w:r>
        <w:rPr>
          <w:rFonts w:hint="eastAsia" w:ascii="宋体" w:hAnsi="宋体"/>
          <w:color w:val="auto"/>
          <w:sz w:val="24"/>
          <w:highlight w:val="none"/>
        </w:rPr>
        <w:t>投标人针对上述内容进行阐述，内容不存在瑕疵的该条得6分；存在1处瑕疵的该条得4分；存在2处瑕疵的该条得2分；未提供方案或不满足项目需求或内容存在3处及以上瑕疵的该条得0分。</w:t>
      </w:r>
    </w:p>
    <w:p w14:paraId="16F105DE">
      <w:pPr>
        <w:spacing w:line="360" w:lineRule="auto"/>
        <w:ind w:firstLine="480"/>
        <w:rPr>
          <w:rFonts w:ascii="宋体" w:hAnsi="宋体"/>
          <w:color w:val="auto"/>
          <w:sz w:val="24"/>
          <w:highlight w:val="none"/>
        </w:rPr>
      </w:pPr>
      <w:r>
        <w:rPr>
          <w:rFonts w:hint="eastAsia" w:ascii="宋体" w:hAnsi="宋体"/>
          <w:color w:val="auto"/>
          <w:sz w:val="24"/>
          <w:highlight w:val="none"/>
        </w:rPr>
        <w:t>6.4.6 机房内部主要设备运维方案（6分）：结合UPS不间断电源系统、精密空调系统、环境监控系统等设备运行状态，能够提供详细的设备运行情况分析描述（如照片、设备面板信息或软件界面信息），并根据现状分析描述提供针对性的系统运维服务方案。</w:t>
      </w:r>
    </w:p>
    <w:p w14:paraId="377AE0F4">
      <w:pPr>
        <w:spacing w:line="360" w:lineRule="auto"/>
        <w:ind w:firstLine="480"/>
        <w:rPr>
          <w:rFonts w:ascii="宋体" w:hAnsi="宋体"/>
          <w:color w:val="auto"/>
          <w:sz w:val="24"/>
          <w:highlight w:val="none"/>
        </w:rPr>
      </w:pPr>
      <w:r>
        <w:rPr>
          <w:rFonts w:hint="eastAsia" w:ascii="宋体" w:hAnsi="宋体"/>
          <w:color w:val="auto"/>
          <w:sz w:val="24"/>
          <w:highlight w:val="none"/>
        </w:rPr>
        <w:t>投标人针对上述内容进行阐述，内容不存在瑕疵的该条得6分；存在1处瑕疵的该条得4分；存在2处瑕疵的该条得2分；未提供方案或不满足项目需求或内容存在3处及以上瑕疵的该条得0分。</w:t>
      </w:r>
    </w:p>
    <w:p w14:paraId="0014B92D">
      <w:pPr>
        <w:spacing w:line="360" w:lineRule="auto"/>
        <w:ind w:firstLine="480"/>
        <w:rPr>
          <w:rFonts w:ascii="宋体" w:hAnsi="宋体"/>
          <w:color w:val="auto"/>
          <w:sz w:val="24"/>
          <w:highlight w:val="none"/>
        </w:rPr>
      </w:pPr>
      <w:r>
        <w:rPr>
          <w:rFonts w:hint="eastAsia" w:ascii="宋体" w:hAnsi="宋体"/>
          <w:color w:val="auto"/>
          <w:sz w:val="24"/>
          <w:highlight w:val="none"/>
        </w:rPr>
        <w:t>6.4.7 核心系统应急事件措施及演练方案（6分）：包含服务器应急处理措施、网络系统应急演练方案、数据库应急演练方案、机房基础环境设施演练方案。</w:t>
      </w:r>
    </w:p>
    <w:p w14:paraId="3610A03B">
      <w:pPr>
        <w:spacing w:line="360" w:lineRule="auto"/>
        <w:ind w:firstLine="480"/>
        <w:rPr>
          <w:rFonts w:ascii="宋体" w:hAnsi="宋体"/>
          <w:color w:val="auto"/>
          <w:sz w:val="24"/>
          <w:highlight w:val="none"/>
        </w:rPr>
      </w:pPr>
      <w:r>
        <w:rPr>
          <w:rFonts w:hint="eastAsia" w:ascii="宋体" w:hAnsi="宋体"/>
          <w:color w:val="auto"/>
          <w:sz w:val="24"/>
          <w:highlight w:val="none"/>
        </w:rPr>
        <w:t>投标人针对上述内容进行阐述，内容不存在瑕疵的该条得6分；存在1处瑕疵的该条得4分；存在2处瑕疵的该条得2分；未提供方案或不满足项目需求或内容存在3处及以上瑕疵的该条得0分。</w:t>
      </w:r>
    </w:p>
    <w:p w14:paraId="36DFC9B5">
      <w:pPr>
        <w:spacing w:line="360" w:lineRule="auto"/>
        <w:ind w:firstLine="482"/>
        <w:jc w:val="left"/>
        <w:rPr>
          <w:rFonts w:ascii="宋体" w:hAnsi="宋体" w:cs="宋体"/>
          <w:color w:val="auto"/>
          <w:sz w:val="24"/>
          <w:szCs w:val="20"/>
          <w:highlight w:val="none"/>
        </w:rPr>
      </w:pPr>
      <w:r>
        <w:rPr>
          <w:rFonts w:hint="eastAsia" w:ascii="宋体" w:hAnsi="宋体" w:cs="宋体"/>
          <w:b/>
          <w:bCs/>
          <w:color w:val="auto"/>
          <w:sz w:val="24"/>
          <w:szCs w:val="20"/>
          <w:highlight w:val="none"/>
        </w:rPr>
        <w:t>加分（本项目为服务类，不适用本条）：</w:t>
      </w:r>
      <w:r>
        <w:rPr>
          <w:rFonts w:hint="eastAsia" w:ascii="宋体" w:hAnsi="宋体" w:cs="宋体"/>
          <w:color w:val="auto"/>
          <w:sz w:val="24"/>
          <w:szCs w:val="20"/>
          <w:highlight w:val="none"/>
        </w:rPr>
        <w:t>所选用产品属于节能产品、环境标志产品品目清单范围的，提供由国家确定的认证机构（根据《市场监</w:t>
      </w:r>
      <w:r>
        <w:rPr>
          <w:rFonts w:hint="eastAsia" w:ascii="宋体" w:hAnsi="宋体" w:cs="宋体"/>
          <w:color w:val="auto"/>
          <w:sz w:val="24"/>
          <w:highlight w:val="none"/>
        </w:rPr>
        <w:t>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分别予以加0.5分（同一产品同时具有节能产品、环境标志产品认证证书的不重复加分）。</w:t>
      </w:r>
    </w:p>
    <w:p w14:paraId="4249F6CD">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（十一）确定中标投标供应商：</w:t>
      </w:r>
    </w:p>
    <w:p w14:paraId="2A8DEC58">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1.评标委员会根据招标文件规定的评标方法和评标标准进行评审，按招标文件的要求依法推荐中标供应商。评标结束后，投标供应商可进入江苏省政府采购（苏采云）平台，进行评审结果查询。</w:t>
      </w:r>
    </w:p>
    <w:p w14:paraId="21B0A597">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2.采购代理机构应当自评审结束之日起2个工作日内将评审报告送交采购人。采购人应当自收到评审报告之日起5个工作日内在评审报告推荐的中标供应商候选单位中按顺序确定中标供应商。采购代理机构将在中标供应商确定之日起2个工作日内发出中标通知书，并在财政部门指定的信息发布媒体（中国政府采购网、江苏政府采购网）上发布中标公告。</w:t>
      </w:r>
    </w:p>
    <w:p w14:paraId="10CD5F7C">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3.投标供应商如有质疑，应在中标结果公告发布之日起7个工作日内，以书面形式一次性向采购人提出质疑，并抄送采购代理机构，同时该质疑应由投标供应商法定代表人或参加投标的授权委托人签署和盖公章（原件）。</w:t>
      </w:r>
    </w:p>
    <w:p w14:paraId="31D4D26B">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4.提出质疑的供应商应当是参加所质疑项目采购活动的供应商。潜在供应商已依法获取其可质疑的采购文件的，可以对该文件提出质疑。对采购文件提出质疑的，应当在获取采购文件期限届满之日起7个工作日内提出。</w:t>
      </w:r>
    </w:p>
    <w:p w14:paraId="4C991974">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5.供应商提出质疑应当提交质疑函和必要的证明材料。质疑函应当包括下列内容：</w:t>
      </w:r>
    </w:p>
    <w:p w14:paraId="28725507">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①供应商的姓名或者名称、地址、邮编、联系人及联系电话；</w:t>
      </w:r>
    </w:p>
    <w:p w14:paraId="4534B7DF">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②质疑项目的名称、编号；</w:t>
      </w:r>
    </w:p>
    <w:p w14:paraId="127EC70C">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③具体、明确的质疑事项和与质疑事项相关的请求；</w:t>
      </w:r>
    </w:p>
    <w:p w14:paraId="24A6D374">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④事实依据；</w:t>
      </w:r>
    </w:p>
    <w:p w14:paraId="2F0AD68B">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⑤必要的法律依据；</w:t>
      </w:r>
    </w:p>
    <w:p w14:paraId="4DD55E53">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⑥提出质疑的日期。</w:t>
      </w:r>
    </w:p>
    <w:p w14:paraId="0D90691A">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者盖章，并加盖公章。</w:t>
      </w:r>
    </w:p>
    <w:p w14:paraId="781CC0D7">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5.采购人将在收到质疑后七个工作日内，对质疑内容作出答复。</w:t>
      </w:r>
    </w:p>
    <w:p w14:paraId="021EF35E">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6.采购人将在收到经投标供应商法定代表人或参加投标的授权委托人签署和加盖公章（原件）的书面质疑后七个工作日内，对质疑内容作出答复。如投标供应商在成交结果公告发布之日起七个工作日后向采购人提出质疑或质疑未经投标供应商法定代表人或参加投标的授权委托人签署和加盖公章（原件），采购人有权对该质疑不予答复。投标供应商在法定质疑期限外送达的质疑函或法定质疑期限内送达的质疑函不符合上述要求的均为无效质疑，采购人对无效质疑不予受理。如质疑查无实据或投标供应商捏造事实，提供虚假材料进行恶意举报，不配合或者采用不正当手段干扰政府采购质疑的，将记入投标供应商在江苏省和无锡市的政府采购“供应商诚信记录”，并按相关规定处理。</w:t>
      </w:r>
    </w:p>
    <w:p w14:paraId="786B08FA">
      <w:pPr>
        <w:tabs>
          <w:tab w:val="left" w:pos="525"/>
          <w:tab w:val="left" w:pos="945"/>
        </w:tabs>
        <w:spacing w:line="360" w:lineRule="auto"/>
        <w:ind w:firstLine="480"/>
        <w:rPr>
          <w:rFonts w:ascii="宋体" w:hAnsi="宋体" w:cs="宋体"/>
          <w:color w:val="auto"/>
          <w:sz w:val="24"/>
          <w:highlight w:val="none"/>
        </w:rPr>
      </w:pPr>
      <w:r>
        <w:rPr>
          <w:rFonts w:hint="eastAsia" w:ascii="宋体" w:hAnsi="宋体" w:cs="宋体"/>
          <w:color w:val="auto"/>
          <w:sz w:val="24"/>
          <w:highlight w:val="none"/>
        </w:rPr>
        <w:t>7.在发布中标公告的同时，采购人及代理机构将向中标供应商发出中标通知书。</w:t>
      </w:r>
    </w:p>
    <w:p w14:paraId="3D4468FE">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（十二）废标的确认：</w:t>
      </w:r>
    </w:p>
    <w:p w14:paraId="047CA0BC">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在招标采购中，出现下列情况之一的，应予废标：</w:t>
      </w:r>
    </w:p>
    <w:p w14:paraId="3C2EF236">
      <w:pPr>
        <w:numPr>
          <w:ilvl w:val="0"/>
          <w:numId w:val="9"/>
        </w:numPr>
        <w:tabs>
          <w:tab w:val="left" w:pos="525"/>
          <w:tab w:val="left" w:pos="1155"/>
          <w:tab w:val="left" w:pos="1260"/>
        </w:tabs>
        <w:spacing w:line="360" w:lineRule="auto"/>
        <w:rPr>
          <w:rFonts w:ascii="宋体" w:hAnsi="宋体" w:cs="宋体"/>
          <w:bCs/>
          <w:color w:val="auto"/>
          <w:sz w:val="24"/>
          <w:highlight w:val="none"/>
        </w:rPr>
      </w:pPr>
      <w:r>
        <w:rPr>
          <w:rFonts w:hint="eastAsia" w:ascii="宋体" w:hAnsi="宋体" w:cs="宋体"/>
          <w:bCs/>
          <w:color w:val="auto"/>
          <w:sz w:val="24"/>
          <w:highlight w:val="none"/>
        </w:rPr>
        <w:t>符合专业条件的投标供应商或者对采购文件做实质响应的投标供应商不足三家的；</w:t>
      </w:r>
    </w:p>
    <w:p w14:paraId="700ED802">
      <w:pPr>
        <w:numPr>
          <w:ilvl w:val="0"/>
          <w:numId w:val="9"/>
        </w:numPr>
        <w:tabs>
          <w:tab w:val="left" w:pos="525"/>
          <w:tab w:val="left" w:pos="1155"/>
          <w:tab w:val="left" w:pos="1260"/>
        </w:tabs>
        <w:spacing w:line="360" w:lineRule="auto"/>
        <w:rPr>
          <w:rFonts w:ascii="宋体" w:hAnsi="宋体" w:cs="宋体"/>
          <w:bCs/>
          <w:color w:val="auto"/>
          <w:sz w:val="24"/>
          <w:highlight w:val="none"/>
        </w:rPr>
      </w:pPr>
      <w:r>
        <w:rPr>
          <w:rFonts w:hint="eastAsia" w:ascii="宋体" w:hAnsi="宋体" w:cs="宋体"/>
          <w:bCs/>
          <w:color w:val="auto"/>
          <w:sz w:val="24"/>
          <w:highlight w:val="none"/>
        </w:rPr>
        <w:t>出现影响采购公正的违法、违规行为；</w:t>
      </w:r>
    </w:p>
    <w:p w14:paraId="0481AF21">
      <w:pPr>
        <w:numPr>
          <w:ilvl w:val="0"/>
          <w:numId w:val="9"/>
        </w:numPr>
        <w:tabs>
          <w:tab w:val="left" w:pos="525"/>
          <w:tab w:val="left" w:pos="1155"/>
          <w:tab w:val="left" w:pos="1260"/>
        </w:tabs>
        <w:spacing w:line="360" w:lineRule="auto"/>
        <w:rPr>
          <w:rFonts w:ascii="宋体" w:hAnsi="宋体" w:cs="宋体"/>
          <w:bCs/>
          <w:color w:val="auto"/>
          <w:sz w:val="24"/>
          <w:highlight w:val="none"/>
        </w:rPr>
      </w:pPr>
      <w:r>
        <w:rPr>
          <w:rFonts w:hint="eastAsia" w:ascii="宋体" w:hAnsi="宋体" w:cs="宋体"/>
          <w:bCs/>
          <w:color w:val="auto"/>
          <w:sz w:val="24"/>
          <w:highlight w:val="none"/>
        </w:rPr>
        <w:t>投标供应商的报价均超过采购预算，采购人不能支付的；</w:t>
      </w:r>
    </w:p>
    <w:p w14:paraId="7E2835C3">
      <w:pPr>
        <w:numPr>
          <w:ilvl w:val="0"/>
          <w:numId w:val="9"/>
        </w:numPr>
        <w:tabs>
          <w:tab w:val="right" w:pos="180"/>
          <w:tab w:val="left" w:pos="525"/>
          <w:tab w:val="left" w:pos="1155"/>
          <w:tab w:val="left" w:pos="1260"/>
        </w:tabs>
        <w:spacing w:line="360" w:lineRule="auto"/>
        <w:rPr>
          <w:rFonts w:ascii="宋体" w:hAnsi="宋体" w:cs="宋体"/>
          <w:bCs/>
          <w:color w:val="auto"/>
          <w:sz w:val="24"/>
          <w:highlight w:val="none"/>
        </w:rPr>
      </w:pPr>
      <w:r>
        <w:rPr>
          <w:rFonts w:hint="eastAsia" w:ascii="宋体" w:hAnsi="宋体" w:cs="宋体"/>
          <w:bCs/>
          <w:color w:val="auto"/>
          <w:sz w:val="24"/>
          <w:highlight w:val="none"/>
        </w:rPr>
        <w:t>因重大变故，采购任务取消。</w:t>
      </w:r>
    </w:p>
    <w:p w14:paraId="67A3838E">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（十三）中标无效的确认：</w:t>
      </w:r>
    </w:p>
    <w:p w14:paraId="06FAD966">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（1）提供虚假材料谋取中标的；</w:t>
      </w:r>
    </w:p>
    <w:p w14:paraId="6072C65D">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（2）采取不正当手段诋毁、排挤其他投标供应商的；</w:t>
      </w:r>
    </w:p>
    <w:p w14:paraId="2E30D359">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（3）与招标采购单位、其他投标供应商恶意串通的；</w:t>
      </w:r>
    </w:p>
    <w:p w14:paraId="2228D6F3">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（4）向采购人行贿或者提供其他不正当利益的；</w:t>
      </w:r>
    </w:p>
    <w:p w14:paraId="13CAE50C">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（5）在招标过程中与采购人进行协商谈判、不按照招标文件和中标投标供应商的投标文件订立合同，或者与采购人另行订立背离合同实质性内容的协议的；</w:t>
      </w:r>
    </w:p>
    <w:p w14:paraId="69C1BCBF">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（6）拒绝有关部门监督检查或者提供虚假情况的。</w:t>
      </w:r>
    </w:p>
    <w:p w14:paraId="4872DEDA">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79DC2782">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（十四）签订、履行合同：</w:t>
      </w:r>
    </w:p>
    <w:p w14:paraId="0DE4B006">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采购人应当自中标通知书发出之日起30日内，按照采购文件和中标投标供应商投标文件的约定，与中标投标供应商签订书面合同。所签订的合同不得对采购文件和中标投标供应商投标文件作实质性修改。采购人不得向中标投标供应商提出任何不合理的要求，作为签订合同的条件，不得与中标投标供应商私下订立背离合同实质性内容的协议。采购人因不可抗力原因迟延签订合同的，应当自不可抗力事由消除之日起7日内完成合同签订事宜。</w:t>
      </w:r>
    </w:p>
    <w:p w14:paraId="19418B28">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0284411F">
      <w:pPr>
        <w:tabs>
          <w:tab w:val="left" w:pos="525"/>
          <w:tab w:val="left" w:pos="630"/>
          <w:tab w:val="left" w:pos="735"/>
          <w:tab w:val="left" w:pos="945"/>
          <w:tab w:val="left" w:pos="108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北京建智达工程管理股份有限公司监督合同的履行。中标方非因不可抗力未履行招、投标文件和合同规定的义务，一经查实，招标代理机构将根据具体情况提请政府采购管理部门作出相应处理。</w:t>
      </w:r>
    </w:p>
    <w:p w14:paraId="26C2EF98">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（十五）代理服务费：</w:t>
      </w:r>
    </w:p>
    <w:p w14:paraId="1F6E6FF1">
      <w:pPr>
        <w:tabs>
          <w:tab w:val="left" w:pos="220"/>
          <w:tab w:val="left" w:pos="945"/>
          <w:tab w:val="left" w:pos="1050"/>
        </w:tabs>
        <w:spacing w:line="360" w:lineRule="auto"/>
        <w:ind w:firstLine="480" w:firstLineChars="200"/>
        <w:rPr>
          <w:rFonts w:ascii="宋体" w:hAnsi="宋体" w:cs="宋体"/>
          <w:bCs/>
          <w:color w:val="auto"/>
          <w:sz w:val="24"/>
          <w:highlight w:val="none"/>
        </w:rPr>
      </w:pPr>
      <w:r>
        <w:rPr>
          <w:rFonts w:hint="eastAsia" w:ascii="宋体" w:hAnsi="宋体"/>
          <w:bCs/>
          <w:color w:val="auto"/>
          <w:sz w:val="24"/>
          <w:highlight w:val="none"/>
        </w:rPr>
        <w:t>本项目招标代理费由中标供应商支付，代理服务费按中标金额100万元以内的部分，按照中标价*1.5%*0.6计取。中标供应商在领取中标通知书时一次性结清前述费用。</w:t>
      </w:r>
    </w:p>
    <w:p w14:paraId="6AC9333C">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（十六）政府采购信用担保</w:t>
      </w:r>
    </w:p>
    <w:p w14:paraId="43BF77F6">
      <w:pPr>
        <w:tabs>
          <w:tab w:val="left" w:pos="900"/>
        </w:tabs>
        <w:spacing w:line="360" w:lineRule="auto"/>
        <w:ind w:firstLine="482" w:firstLineChars="200"/>
        <w:rPr>
          <w:rFonts w:ascii="宋体" w:hAnsi="宋体" w:cs="宋体"/>
          <w:b/>
          <w:color w:val="auto"/>
          <w:sz w:val="24"/>
          <w:highlight w:val="none"/>
        </w:rPr>
      </w:pPr>
      <w:r>
        <w:rPr>
          <w:rFonts w:hint="eastAsia" w:ascii="宋体" w:hAnsi="宋体" w:cs="宋体"/>
          <w:b/>
          <w:color w:val="auto"/>
          <w:sz w:val="24"/>
          <w:highlight w:val="none"/>
        </w:rPr>
        <w:t>根据《无锡市财政局关于在全市政府采购领域进一步推行电子履约保函的通知》（锡财购〔2024〕15号）文件内容，提升政府采购便利度，持续优化政府采购营商环境，进一步全面推广政府采购电子履约保函，具体流程中标供应商可通过江苏政府采购网下载“政府采购电子履约保函（保险）操作手册”，具体地址为：http://www.ccgp-jiangsu.gov.cn/jiangsu/zlxz/</w:t>
      </w:r>
    </w:p>
    <w:p w14:paraId="2369F940">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（十七）政府采购合同融资</w:t>
      </w:r>
    </w:p>
    <w:p w14:paraId="338BE0C5">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根据无锡市《关于开展政府采购合同融资工作的通知》（锡财购〔2020〕17号）要求：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83ABB36">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中标、成交供应商可根据自身情况，自行决定是否选择采用合同融资形式，在无锡政府采购网——政采贷专栏提供的银行名录内自主选择合作银行。</w:t>
      </w:r>
    </w:p>
    <w:p w14:paraId="202CD1B3">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政府采购合同融资政策告知：</w:t>
      </w:r>
    </w:p>
    <w:p w14:paraId="727573A6">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中标、成交供应商可依法依规使用本项目合同向金融机构融资，但采购人不为中标、成交供应商的融资行为提供担保。</w:t>
      </w:r>
    </w:p>
    <w:p w14:paraId="1EE2AD47">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无锡市政府采购合同融资政策告知函</w:t>
      </w:r>
    </w:p>
    <w:p w14:paraId="791E4DF0">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各供应商：</w:t>
      </w:r>
    </w:p>
    <w:p w14:paraId="1AA0E587">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欢迎贵公司参与无锡市政府采购活动！</w:t>
      </w:r>
    </w:p>
    <w:p w14:paraId="299230E7">
      <w:pPr>
        <w:tabs>
          <w:tab w:val="left" w:pos="900"/>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686AE4FC">
      <w:pPr>
        <w:tabs>
          <w:tab w:val="left" w:pos="900"/>
        </w:tabs>
        <w:spacing w:line="360" w:lineRule="auto"/>
        <w:ind w:firstLine="480"/>
        <w:rPr>
          <w:rFonts w:ascii="宋体" w:hAnsi="宋体" w:cs="宋体"/>
          <w:b/>
          <w:color w:val="auto"/>
          <w:sz w:val="44"/>
          <w:szCs w:val="44"/>
          <w:highlight w:val="none"/>
        </w:rPr>
      </w:pPr>
      <w:r>
        <w:rPr>
          <w:rFonts w:hint="eastAsia" w:ascii="宋体" w:hAnsi="宋体" w:cs="宋体"/>
          <w:bCs/>
          <w:color w:val="auto"/>
          <w:sz w:val="24"/>
          <w:highlight w:val="none"/>
        </w:rPr>
        <w:t>贷款渠道和提供贷款的金融机构，可在无锡政府采购网无锡市政府采购交易管理一体化系统查询联系。详见无锡市政府采购网“政采贷”专栏</w:t>
      </w:r>
    </w:p>
    <w:p w14:paraId="67DF73EE">
      <w:pPr>
        <w:spacing w:line="360" w:lineRule="auto"/>
        <w:outlineLvl w:val="0"/>
        <w:rPr>
          <w:rFonts w:ascii="宋体" w:hAnsi="宋体" w:cs="宋体"/>
          <w:b/>
          <w:bCs/>
          <w:color w:val="auto"/>
          <w:sz w:val="24"/>
          <w:highlight w:val="none"/>
        </w:rPr>
      </w:pPr>
      <w:r>
        <w:rPr>
          <w:rFonts w:hint="eastAsia" w:ascii="宋体" w:hAnsi="宋体" w:cs="宋体"/>
          <w:b/>
          <w:bCs/>
          <w:color w:val="auto"/>
          <w:sz w:val="24"/>
          <w:highlight w:val="none"/>
        </w:rPr>
        <w:t>（十八）其他：</w:t>
      </w:r>
    </w:p>
    <w:p w14:paraId="026F703E">
      <w:pPr>
        <w:tabs>
          <w:tab w:val="left" w:pos="525"/>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1.采购文件的条款必须认真审阅，投标供应商应自行检查采购文件页数是否齐全。若有遗漏、重复或不清楚，需立刻通知采购人予以更正；凡属对条款的误解所造成的中标价格失误，由供应商负责。</w:t>
      </w:r>
    </w:p>
    <w:p w14:paraId="0831BAE4">
      <w:pPr>
        <w:tabs>
          <w:tab w:val="left" w:pos="525"/>
          <w:tab w:val="left" w:pos="1050"/>
        </w:tabs>
        <w:spacing w:line="360" w:lineRule="auto"/>
        <w:ind w:firstLine="480"/>
        <w:rPr>
          <w:rFonts w:ascii="宋体" w:hAnsi="宋体"/>
          <w:bCs/>
          <w:color w:val="auto"/>
          <w:sz w:val="24"/>
          <w:highlight w:val="none"/>
        </w:rPr>
      </w:pPr>
      <w:r>
        <w:rPr>
          <w:rFonts w:hint="eastAsia" w:ascii="宋体" w:hAnsi="宋体"/>
          <w:bCs/>
          <w:color w:val="auto"/>
          <w:sz w:val="24"/>
          <w:highlight w:val="none"/>
        </w:rPr>
        <w:t>2.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提高防范意识警惕各类诈骗短信，谨慎访问不安全的网站链接或者使用不安全的第三方APP，避免财物受损。</w:t>
      </w:r>
    </w:p>
    <w:p w14:paraId="76DB716D">
      <w:pPr>
        <w:rPr>
          <w:rFonts w:ascii="宋体" w:hAnsi="宋体" w:cs="宋体"/>
          <w:b/>
          <w:bCs/>
          <w:color w:val="auto"/>
          <w:sz w:val="24"/>
          <w:highlight w:val="none"/>
        </w:rPr>
      </w:pPr>
      <w:r>
        <w:rPr>
          <w:rFonts w:hint="eastAsia" w:ascii="宋体" w:hAnsi="宋体" w:cs="宋体"/>
          <w:b/>
          <w:bCs/>
          <w:color w:val="auto"/>
          <w:sz w:val="24"/>
          <w:highlight w:val="none"/>
        </w:rPr>
        <w:br w:type="page"/>
      </w:r>
    </w:p>
    <w:p w14:paraId="5B9B670F">
      <w:pPr>
        <w:numPr>
          <w:ilvl w:val="0"/>
          <w:numId w:val="10"/>
        </w:numPr>
        <w:spacing w:line="540" w:lineRule="exact"/>
        <w:ind w:firstLine="883"/>
        <w:jc w:val="center"/>
        <w:rPr>
          <w:rFonts w:ascii="宋体" w:hAnsi="宋体" w:cs="宋体"/>
          <w:b/>
          <w:color w:val="auto"/>
          <w:sz w:val="44"/>
          <w:szCs w:val="44"/>
          <w:highlight w:val="none"/>
        </w:rPr>
      </w:pPr>
      <w:r>
        <w:rPr>
          <w:rFonts w:hint="eastAsia" w:ascii="宋体" w:hAnsi="宋体" w:cs="宋体"/>
          <w:b/>
          <w:color w:val="auto"/>
          <w:sz w:val="44"/>
          <w:szCs w:val="44"/>
          <w:highlight w:val="none"/>
        </w:rPr>
        <w:t>采购需求</w:t>
      </w:r>
      <w:bookmarkStart w:id="2" w:name="五．合同条款"/>
      <w:bookmarkEnd w:id="2"/>
    </w:p>
    <w:p w14:paraId="73CDA0E8">
      <w:pPr>
        <w:pStyle w:val="2"/>
        <w:snapToGrid w:val="0"/>
        <w:spacing w:line="360" w:lineRule="auto"/>
        <w:jc w:val="left"/>
        <w:rPr>
          <w:rFonts w:ascii="宋体" w:eastAsia="宋体" w:cs="宋体"/>
          <w:bCs/>
          <w:color w:val="auto"/>
          <w:sz w:val="24"/>
          <w:szCs w:val="24"/>
          <w:highlight w:val="none"/>
        </w:rPr>
      </w:pPr>
      <w:r>
        <w:rPr>
          <w:rFonts w:hint="eastAsia" w:ascii="宋体" w:eastAsia="宋体" w:cs="宋体"/>
          <w:b/>
          <w:color w:val="auto"/>
          <w:sz w:val="24"/>
          <w:szCs w:val="24"/>
          <w:highlight w:val="none"/>
        </w:rPr>
        <w:t>一、项目概况：</w:t>
      </w:r>
    </w:p>
    <w:p w14:paraId="32A2EB27">
      <w:pPr>
        <w:pStyle w:val="2"/>
        <w:snapToGrid w:val="0"/>
        <w:spacing w:line="360" w:lineRule="auto"/>
        <w:jc w:val="left"/>
        <w:rPr>
          <w:rFonts w:ascii="宋体" w:eastAsia="宋体" w:cs="宋体"/>
          <w:bCs/>
          <w:color w:val="auto"/>
          <w:sz w:val="24"/>
          <w:szCs w:val="24"/>
          <w:highlight w:val="none"/>
        </w:rPr>
      </w:pPr>
      <w:r>
        <w:rPr>
          <w:rFonts w:hint="eastAsia" w:ascii="宋体" w:eastAsia="宋体" w:cs="宋体"/>
          <w:bCs/>
          <w:color w:val="auto"/>
          <w:sz w:val="24"/>
          <w:szCs w:val="24"/>
          <w:highlight w:val="none"/>
        </w:rPr>
        <w:t>1.项目名称：无锡市精神卫生中心信息基础设施运维服务项目</w:t>
      </w:r>
    </w:p>
    <w:p w14:paraId="2F240F36">
      <w:pPr>
        <w:pStyle w:val="2"/>
        <w:snapToGrid w:val="0"/>
        <w:spacing w:line="360" w:lineRule="auto"/>
        <w:jc w:val="left"/>
        <w:rPr>
          <w:rFonts w:ascii="宋体" w:eastAsia="宋体" w:cs="宋体"/>
          <w:bCs/>
          <w:color w:val="auto"/>
          <w:sz w:val="24"/>
          <w:szCs w:val="24"/>
          <w:highlight w:val="none"/>
        </w:rPr>
      </w:pPr>
      <w:r>
        <w:rPr>
          <w:rFonts w:hint="eastAsia" w:ascii="宋体" w:eastAsia="宋体" w:cs="宋体"/>
          <w:bCs/>
          <w:color w:val="auto"/>
          <w:sz w:val="24"/>
          <w:szCs w:val="24"/>
          <w:highlight w:val="none"/>
        </w:rPr>
        <w:t>2.项目时间：</w:t>
      </w:r>
      <w:r>
        <w:rPr>
          <w:rFonts w:hint="eastAsia" w:ascii="宋体" w:eastAsia="宋体" w:cs="宋体"/>
          <w:bCs/>
          <w:color w:val="auto"/>
          <w:sz w:val="24"/>
          <w:szCs w:val="24"/>
          <w:highlight w:val="none"/>
        </w:rPr>
        <w:t>合同签订之后12个月。</w:t>
      </w:r>
    </w:p>
    <w:p w14:paraId="15684E81">
      <w:pPr>
        <w:spacing w:after="5" w:line="360" w:lineRule="auto"/>
        <w:ind w:firstLine="480" w:firstLineChars="200"/>
        <w:rPr>
          <w:rFonts w:ascii="黑体" w:eastAsia="黑体"/>
          <w:color w:val="auto"/>
          <w:sz w:val="24"/>
          <w:highlight w:val="none"/>
          <w:u w:color="000000"/>
        </w:rPr>
      </w:pPr>
      <w:r>
        <w:rPr>
          <w:rFonts w:hint="eastAsia" w:ascii="黑体" w:eastAsia="黑体"/>
          <w:color w:val="auto"/>
          <w:sz w:val="24"/>
          <w:highlight w:val="none"/>
          <w:u w:color="000000"/>
        </w:rPr>
        <w:t>（一）项目技术要求：</w:t>
      </w:r>
    </w:p>
    <w:p w14:paraId="5D987411">
      <w:pPr>
        <w:spacing w:line="360" w:lineRule="auto"/>
        <w:ind w:firstLine="482" w:firstLineChars="200"/>
        <w:rPr>
          <w:rFonts w:ascii="宋体" w:hAnsi="宋体"/>
          <w:b/>
          <w:bCs/>
          <w:color w:val="auto"/>
          <w:sz w:val="24"/>
          <w:highlight w:val="none"/>
        </w:rPr>
      </w:pPr>
      <w:r>
        <w:rPr>
          <w:rFonts w:hint="eastAsia" w:ascii="宋体" w:hAnsi="宋体"/>
          <w:b/>
          <w:bCs/>
          <w:color w:val="auto"/>
          <w:sz w:val="24"/>
          <w:highlight w:val="none"/>
        </w:rPr>
        <w:t>1.项目概况</w:t>
      </w:r>
    </w:p>
    <w:p w14:paraId="3CA99BC6">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本项目维保清单内的设备是无锡市精神卫生中心在不同时间段内购置的，目前医院信息系统的软、硬件设备主要分布在主机房、容灾机房和弱电间内，本次项目所涉及的设备也在这两个机房和弱电间内，设备类型包括各类网络、服务器、存储、安全、UPS、精密空调、环境监控类等设备，为医院提供网络资源、计算资源池、存储资源池和基础设施运行服务。</w:t>
      </w:r>
    </w:p>
    <w:p w14:paraId="51C9CE79">
      <w:pPr>
        <w:spacing w:line="360" w:lineRule="auto"/>
        <w:ind w:firstLine="482" w:firstLineChars="200"/>
        <w:rPr>
          <w:rFonts w:ascii="宋体" w:hAnsi="宋体"/>
          <w:b/>
          <w:bCs/>
          <w:color w:val="auto"/>
          <w:sz w:val="24"/>
          <w:highlight w:val="none"/>
        </w:rPr>
      </w:pPr>
      <w:r>
        <w:rPr>
          <w:rFonts w:ascii="宋体" w:hAnsi="宋体"/>
          <w:b/>
          <w:bCs/>
          <w:color w:val="auto"/>
          <w:sz w:val="24"/>
          <w:highlight w:val="none"/>
        </w:rPr>
        <w:t>2.</w:t>
      </w:r>
      <w:r>
        <w:rPr>
          <w:rFonts w:hint="eastAsia" w:ascii="宋体" w:hAnsi="宋体"/>
          <w:b/>
          <w:bCs/>
          <w:color w:val="auto"/>
          <w:sz w:val="24"/>
          <w:highlight w:val="none"/>
        </w:rPr>
        <w:t>技术要求</w:t>
      </w:r>
    </w:p>
    <w:p w14:paraId="4602E61A">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中标供应商对采购单位数据中心信息化和基础设施系统提供运行监控和日常维护，使各个硬件设备7*24小时运行正常，确保维保清单中相关硬件系统运行平稳，确保采购单位设备和各项系统7*24小时正常运行，切实保障医疗业务的正常开展，更好地便民服务。</w:t>
      </w:r>
    </w:p>
    <w:p w14:paraId="78424DBB">
      <w:pPr>
        <w:spacing w:line="360" w:lineRule="auto"/>
        <w:ind w:firstLine="482" w:firstLineChars="200"/>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1</w:t>
      </w:r>
      <w:r>
        <w:rPr>
          <w:rFonts w:ascii="宋体" w:hAnsi="宋体"/>
          <w:b/>
          <w:color w:val="auto"/>
          <w:sz w:val="24"/>
          <w:highlight w:val="none"/>
        </w:rPr>
        <w:t xml:space="preserve"> </w:t>
      </w:r>
      <w:r>
        <w:rPr>
          <w:rFonts w:hint="eastAsia" w:ascii="宋体" w:hAnsi="宋体"/>
          <w:b/>
          <w:color w:val="auto"/>
          <w:sz w:val="24"/>
          <w:highlight w:val="none"/>
        </w:rPr>
        <w:t>总体要求如下：</w:t>
      </w:r>
    </w:p>
    <w:p w14:paraId="22ACFA6B">
      <w:pPr>
        <w:numPr>
          <w:ilvl w:val="1"/>
          <w:numId w:val="11"/>
        </w:numPr>
        <w:tabs>
          <w:tab w:val="left" w:pos="1344"/>
        </w:tabs>
        <w:spacing w:line="360" w:lineRule="auto"/>
        <w:rPr>
          <w:rFonts w:ascii="宋体" w:hAnsi="宋体"/>
          <w:color w:val="auto"/>
          <w:sz w:val="24"/>
          <w:highlight w:val="none"/>
        </w:rPr>
      </w:pPr>
      <w:r>
        <w:rPr>
          <w:rFonts w:hint="eastAsia" w:ascii="宋体" w:hAnsi="宋体"/>
          <w:color w:val="auto"/>
          <w:sz w:val="24"/>
          <w:highlight w:val="none"/>
        </w:rPr>
        <w:t>中标供应商需提供专业的运维团队，并设置不同的技术岗位，岗位人员包含驻场和非驻场两类。团队成员至少包含1名项目经理、1名驻场服务工程师和1名非驻场数据库工程师。项目经理负责项目总体协调和质量管控。项目中配备1名系统管理经验丰富驻场维护工程师（费用包含在本项目预算中），常驻采购单位现场办公，作息时间与采购单位保持一致，提供现场技术支持与服务，以便及时处理各项系统运行中的各种日常问题。数据库非驻场工程师，负责采购单位数据库系统的日常维护工作。</w:t>
      </w:r>
    </w:p>
    <w:p w14:paraId="610F9B88">
      <w:pPr>
        <w:numPr>
          <w:ilvl w:val="1"/>
          <w:numId w:val="11"/>
        </w:numPr>
        <w:tabs>
          <w:tab w:val="left" w:pos="1344"/>
        </w:tabs>
        <w:spacing w:line="360" w:lineRule="auto"/>
        <w:rPr>
          <w:rFonts w:ascii="宋体" w:hAnsi="宋体"/>
          <w:color w:val="auto"/>
          <w:sz w:val="24"/>
          <w:highlight w:val="none"/>
        </w:rPr>
      </w:pPr>
      <w:r>
        <w:rPr>
          <w:rFonts w:hint="eastAsia" w:ascii="宋体" w:hAnsi="宋体"/>
          <w:color w:val="auto"/>
          <w:sz w:val="24"/>
          <w:highlight w:val="none"/>
        </w:rPr>
        <w:t>中标供应商提供1年7*24小时热线服务响应和支持，维保人员到场后，1小时内应排查出原因并拿出维修方案。软件及操作系统紧急故障应在到场1小时内进行修复，一般故障8小时内进行修复，硬件故障应在到场后4小时内进行备件（如现场有备件，无备件48小时内提供）更换。现场无法修复的故障，可将故障设备外带修理，但应提供替代设备，保证系统业务的正常工作。带出设备维修后应承担安装及调试的义务，确保维保后系统的正常工作。所有故障修复后，需由院方或者使用方签字确认。对于影响医院业务正常运行的各类故障，能提供条件允许的最快现场响应与技术支持。</w:t>
      </w:r>
    </w:p>
    <w:p w14:paraId="2ECEA73E">
      <w:pPr>
        <w:numPr>
          <w:ilvl w:val="1"/>
          <w:numId w:val="11"/>
        </w:numPr>
        <w:tabs>
          <w:tab w:val="left" w:pos="1344"/>
        </w:tabs>
        <w:spacing w:line="360" w:lineRule="auto"/>
        <w:rPr>
          <w:rFonts w:ascii="宋体" w:hAnsi="宋体"/>
          <w:color w:val="auto"/>
          <w:sz w:val="24"/>
          <w:highlight w:val="none"/>
        </w:rPr>
      </w:pPr>
      <w:r>
        <w:rPr>
          <w:rFonts w:hint="eastAsia" w:ascii="宋体" w:hAnsi="宋体"/>
          <w:color w:val="auto"/>
          <w:sz w:val="24"/>
          <w:highlight w:val="none"/>
        </w:rPr>
        <w:t>中标供应商建立专门的系统维护档案。工程师第一次到现场巡检时，要调研汇总出被维护设备的详细配置清单及配置参数。每次巡检填写巡检表，根据需要记录设备的运行情况、出现过的问题和解决的办法、设备的配置变动等情况。在故障处理过程中，要详细记录故障的现象、处理的过程、更换设备的情况、记录更换设备的原型号和现型号等内容。巡检报告和巡检表，故障处理记录表应双方签字确认。本项目维护周期期满之日，需提供一份年度维护工作报告。</w:t>
      </w:r>
    </w:p>
    <w:p w14:paraId="48F2D282">
      <w:pPr>
        <w:numPr>
          <w:ilvl w:val="1"/>
          <w:numId w:val="11"/>
        </w:numPr>
        <w:tabs>
          <w:tab w:val="left" w:pos="1344"/>
        </w:tabs>
        <w:spacing w:line="360" w:lineRule="auto"/>
        <w:rPr>
          <w:rFonts w:ascii="宋体" w:hAnsi="宋体"/>
          <w:color w:val="auto"/>
          <w:sz w:val="24"/>
          <w:highlight w:val="none"/>
        </w:rPr>
      </w:pPr>
      <w:r>
        <w:rPr>
          <w:rFonts w:hint="eastAsia" w:ascii="宋体" w:hAnsi="宋体"/>
          <w:color w:val="auto"/>
          <w:sz w:val="24"/>
          <w:highlight w:val="none"/>
        </w:rPr>
        <w:t>在现有设备范围内，中标供应商对用户信息系统进行定期的维护管理和配置优化，确保用户整个信息系统运转的高效、稳定和安全，减少和避免系统性能瓶颈，杜绝信息系统安全事故，并且能根据用户需要，提供信息系统运行的合理化建议和方案。针对系统安全防护要求，按照三级等保要求，提出符合实际要求的安全建议。</w:t>
      </w:r>
    </w:p>
    <w:p w14:paraId="2682AF07">
      <w:pPr>
        <w:numPr>
          <w:ilvl w:val="1"/>
          <w:numId w:val="11"/>
        </w:numPr>
        <w:tabs>
          <w:tab w:val="left" w:pos="1344"/>
        </w:tabs>
        <w:spacing w:line="360" w:lineRule="auto"/>
        <w:rPr>
          <w:rFonts w:ascii="宋体" w:hAnsi="宋体"/>
          <w:color w:val="auto"/>
          <w:sz w:val="24"/>
          <w:highlight w:val="none"/>
        </w:rPr>
      </w:pPr>
      <w:r>
        <w:rPr>
          <w:rFonts w:hint="eastAsia" w:ascii="宋体" w:hAnsi="宋体"/>
          <w:color w:val="auto"/>
          <w:sz w:val="24"/>
          <w:highlight w:val="none"/>
        </w:rPr>
        <w:t>中标供应商每工作日应对采购单位核心系统的设备（网络设备、安全设备、服务器设备、存储设备等）设施进行1次常规检查，每季度对机房精密空调、UPS设备设施进行1次实地检查，每季度对数据库系统进行一次全面检查。以上每次巡检需提供巡检记录或巡检报告，及时发现医院信息系统存在的隐患，并配合医院及时解决存在的问题与隐患，确保系统稳定运行。</w:t>
      </w:r>
    </w:p>
    <w:p w14:paraId="7E81654C">
      <w:pPr>
        <w:numPr>
          <w:ilvl w:val="1"/>
          <w:numId w:val="11"/>
        </w:numPr>
        <w:tabs>
          <w:tab w:val="left" w:pos="1344"/>
        </w:tabs>
        <w:spacing w:line="360" w:lineRule="auto"/>
        <w:rPr>
          <w:rFonts w:ascii="宋体" w:hAnsi="宋体"/>
          <w:color w:val="auto"/>
          <w:sz w:val="24"/>
          <w:highlight w:val="none"/>
        </w:rPr>
      </w:pPr>
      <w:r>
        <w:rPr>
          <w:rFonts w:hint="eastAsia" w:ascii="宋体" w:hAnsi="宋体"/>
          <w:color w:val="auto"/>
          <w:sz w:val="24"/>
          <w:highlight w:val="none"/>
        </w:rPr>
        <w:t>在遇到医院进行模拟应急演练测试工作时，中标供应商在模拟演练测试过程中要求做好维保服务涉及系统硬件的各项技术保障与支持工作。</w:t>
      </w:r>
    </w:p>
    <w:p w14:paraId="451818EF">
      <w:pPr>
        <w:numPr>
          <w:ilvl w:val="1"/>
          <w:numId w:val="11"/>
        </w:numPr>
        <w:tabs>
          <w:tab w:val="left" w:pos="1344"/>
        </w:tabs>
        <w:spacing w:line="360" w:lineRule="auto"/>
        <w:rPr>
          <w:rFonts w:ascii="宋体" w:hAnsi="宋体"/>
          <w:color w:val="auto"/>
          <w:sz w:val="24"/>
          <w:highlight w:val="none"/>
        </w:rPr>
      </w:pPr>
      <w:r>
        <w:rPr>
          <w:rFonts w:hint="eastAsia" w:ascii="宋体" w:hAnsi="宋体"/>
          <w:color w:val="auto"/>
          <w:sz w:val="24"/>
          <w:highlight w:val="none"/>
        </w:rPr>
        <w:t>中标供应商至少每季度针对双活存储、核心数据库及虚拟化应用集群平台进行一次系统全面维护和检查，对机房保障设备进行预防性维护，排除系统的隐患，解决系统出现的故障。</w:t>
      </w:r>
    </w:p>
    <w:p w14:paraId="48815A45">
      <w:pPr>
        <w:numPr>
          <w:ilvl w:val="1"/>
          <w:numId w:val="11"/>
        </w:numPr>
        <w:tabs>
          <w:tab w:val="left" w:pos="1344"/>
        </w:tabs>
        <w:spacing w:line="360" w:lineRule="auto"/>
        <w:rPr>
          <w:rFonts w:ascii="宋体" w:hAnsi="宋体"/>
          <w:color w:val="auto"/>
          <w:sz w:val="24"/>
          <w:highlight w:val="none"/>
        </w:rPr>
      </w:pPr>
      <w:r>
        <w:rPr>
          <w:rFonts w:hint="eastAsia" w:ascii="宋体" w:hAnsi="宋体"/>
          <w:color w:val="auto"/>
          <w:sz w:val="24"/>
          <w:highlight w:val="none"/>
        </w:rPr>
        <w:t>中标供应商针对所有维保设备，提供维保范围内设备日常操作类技术培训，协助医院信息技术人员不断提高日常问题处理及应急保障能力。</w:t>
      </w:r>
    </w:p>
    <w:p w14:paraId="2570F3EB">
      <w:pPr>
        <w:numPr>
          <w:ilvl w:val="1"/>
          <w:numId w:val="11"/>
        </w:numPr>
        <w:tabs>
          <w:tab w:val="left" w:pos="1344"/>
        </w:tabs>
        <w:spacing w:line="360" w:lineRule="auto"/>
        <w:rPr>
          <w:rFonts w:ascii="宋体" w:hAnsi="宋体"/>
          <w:color w:val="auto"/>
          <w:sz w:val="24"/>
          <w:highlight w:val="none"/>
        </w:rPr>
      </w:pPr>
      <w:r>
        <w:rPr>
          <w:rFonts w:hint="eastAsia" w:ascii="宋体" w:hAnsi="宋体"/>
          <w:color w:val="auto"/>
          <w:sz w:val="24"/>
          <w:highlight w:val="none"/>
        </w:rPr>
        <w:t>中标供应商必须协助采购单位完成数据中心关联的网络系统、容灾系统、安全系统等整体规划，并在维护期内不断加以补充与完善。</w:t>
      </w:r>
    </w:p>
    <w:p w14:paraId="794A3298">
      <w:pPr>
        <w:numPr>
          <w:ilvl w:val="1"/>
          <w:numId w:val="11"/>
        </w:numPr>
        <w:tabs>
          <w:tab w:val="left" w:pos="1344"/>
        </w:tabs>
        <w:spacing w:line="360" w:lineRule="auto"/>
        <w:rPr>
          <w:rFonts w:ascii="宋体" w:hAnsi="宋体"/>
          <w:color w:val="auto"/>
          <w:sz w:val="24"/>
          <w:highlight w:val="none"/>
        </w:rPr>
      </w:pPr>
      <w:r>
        <w:rPr>
          <w:rFonts w:hint="eastAsia" w:ascii="宋体" w:hAnsi="宋体"/>
          <w:color w:val="auto"/>
          <w:sz w:val="24"/>
          <w:highlight w:val="none"/>
        </w:rPr>
        <w:t>中标供应商需根据维护清单的设备，建立备品备件库，以满足本项目的维修需要。</w:t>
      </w:r>
    </w:p>
    <w:p w14:paraId="2E83E236">
      <w:pPr>
        <w:numPr>
          <w:ilvl w:val="1"/>
          <w:numId w:val="11"/>
        </w:numPr>
        <w:tabs>
          <w:tab w:val="left" w:pos="1344"/>
        </w:tabs>
        <w:spacing w:line="360" w:lineRule="auto"/>
        <w:rPr>
          <w:rFonts w:ascii="宋体" w:hAnsi="宋体"/>
          <w:color w:val="auto"/>
          <w:sz w:val="24"/>
          <w:highlight w:val="none"/>
        </w:rPr>
      </w:pPr>
      <w:r>
        <w:rPr>
          <w:rFonts w:hint="eastAsia" w:ascii="宋体" w:hAnsi="宋体"/>
          <w:color w:val="auto"/>
          <w:sz w:val="24"/>
          <w:highlight w:val="none"/>
        </w:rPr>
        <w:t>中标供应商在项目维护期内的</w:t>
      </w:r>
      <w:r>
        <w:rPr>
          <w:rFonts w:hint="eastAsia" w:ascii="宋体" w:hAnsi="宋体"/>
          <w:color w:val="auto"/>
          <w:sz w:val="24"/>
          <w:highlight w:val="none"/>
        </w:rPr>
        <w:t>网络安全保障期间、</w:t>
      </w:r>
      <w:r>
        <w:rPr>
          <w:rFonts w:hint="eastAsia" w:ascii="宋体" w:hAnsi="宋体"/>
          <w:color w:val="auto"/>
          <w:sz w:val="24"/>
          <w:highlight w:val="none"/>
        </w:rPr>
        <w:t>双休日和法定节假日，应根据医院的要求安排驻场工程师进行现场值班，做好日常巡检及紧急情况处理工作</w:t>
      </w:r>
      <w:r>
        <w:rPr>
          <w:rFonts w:hint="eastAsia" w:ascii="宋体" w:hAnsi="宋体"/>
          <w:color w:val="auto"/>
          <w:sz w:val="24"/>
          <w:highlight w:val="none"/>
        </w:rPr>
        <w:t>。</w:t>
      </w:r>
    </w:p>
    <w:p w14:paraId="148A082A">
      <w:pPr>
        <w:numPr>
          <w:ilvl w:val="1"/>
          <w:numId w:val="11"/>
        </w:numPr>
        <w:tabs>
          <w:tab w:val="left" w:pos="1344"/>
        </w:tabs>
        <w:spacing w:line="360" w:lineRule="auto"/>
        <w:rPr>
          <w:rFonts w:ascii="宋体" w:hAnsi="宋体"/>
          <w:color w:val="auto"/>
          <w:sz w:val="24"/>
          <w:highlight w:val="none"/>
        </w:rPr>
      </w:pPr>
      <w:r>
        <w:rPr>
          <w:rFonts w:hint="eastAsia" w:ascii="宋体" w:hAnsi="宋体"/>
          <w:color w:val="auto"/>
          <w:sz w:val="24"/>
          <w:highlight w:val="none"/>
        </w:rPr>
        <w:t>中标供应商负责医院</w:t>
      </w:r>
      <w:r>
        <w:rPr>
          <w:rFonts w:ascii="宋体" w:hAnsi="宋体"/>
          <w:color w:val="auto"/>
          <w:sz w:val="24"/>
          <w:highlight w:val="none"/>
        </w:rPr>
        <w:t>医保网络技术服务</w:t>
      </w:r>
      <w:r>
        <w:rPr>
          <w:rFonts w:hint="eastAsia" w:ascii="宋体" w:hAnsi="宋体"/>
          <w:color w:val="auto"/>
          <w:sz w:val="24"/>
          <w:highlight w:val="none"/>
        </w:rPr>
        <w:t>。</w:t>
      </w:r>
    </w:p>
    <w:p w14:paraId="0E67DEDF">
      <w:pPr>
        <w:spacing w:line="360" w:lineRule="auto"/>
        <w:ind w:firstLine="482" w:firstLineChars="200"/>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2</w:t>
      </w:r>
      <w:r>
        <w:rPr>
          <w:rFonts w:ascii="宋体" w:hAnsi="宋体"/>
          <w:b/>
          <w:color w:val="auto"/>
          <w:sz w:val="24"/>
          <w:highlight w:val="none"/>
        </w:rPr>
        <w:t xml:space="preserve"> </w:t>
      </w:r>
      <w:r>
        <w:rPr>
          <w:rFonts w:hint="eastAsia" w:ascii="宋体" w:hAnsi="宋体"/>
          <w:b/>
          <w:color w:val="auto"/>
          <w:sz w:val="24"/>
          <w:highlight w:val="none"/>
        </w:rPr>
        <w:t>存储维修要求：</w:t>
      </w:r>
    </w:p>
    <w:p w14:paraId="214F6DCE">
      <w:pPr>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医院1台Dell EMC PowerStore 1000T存储损坏，目前已由专业公司完成故障检测，故障涉及2套控制器、1个电源、BBU电池、2块NVRAN 磁盘、1块1.92T SSD NVME磁盘、1块IO模块、1套笼子背板等。要求中标供应商负责完成维修工作，所有均采用原厂全新配件，并负责完成与另外1台同型号存储、双活网关联调，达到存储容灾的使用要求。</w:t>
      </w:r>
    </w:p>
    <w:p w14:paraId="722413F6">
      <w:pPr>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2.3 维护软硬件清单：</w:t>
      </w:r>
    </w:p>
    <w:tbl>
      <w:tblPr>
        <w:tblStyle w:val="40"/>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561"/>
        <w:gridCol w:w="3157"/>
        <w:gridCol w:w="2405"/>
        <w:gridCol w:w="752"/>
        <w:gridCol w:w="765"/>
      </w:tblGrid>
      <w:tr w14:paraId="54CDD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D1EB7F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b/>
                <w:bCs/>
                <w:color w:val="auto"/>
                <w:sz w:val="24"/>
                <w:highlight w:val="none"/>
              </w:rPr>
            </w:pPr>
            <w:r>
              <w:rPr>
                <w:rFonts w:hint="eastAsia" w:ascii="宋体" w:hAnsi="宋体" w:cs="宋体"/>
                <w:b/>
                <w:bCs/>
                <w:color w:val="auto"/>
                <w:sz w:val="24"/>
                <w:highlight w:val="none"/>
              </w:rPr>
              <w:t>序号</w:t>
            </w:r>
          </w:p>
        </w:tc>
        <w:tc>
          <w:tcPr>
            <w:tcW w:w="830" w:type="pct"/>
            <w:shd w:val="clear" w:color="auto" w:fill="auto"/>
            <w:vAlign w:val="center"/>
          </w:tcPr>
          <w:p w14:paraId="4E84FC8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b/>
                <w:bCs/>
                <w:color w:val="auto"/>
                <w:sz w:val="24"/>
                <w:highlight w:val="none"/>
              </w:rPr>
            </w:pPr>
            <w:r>
              <w:rPr>
                <w:rFonts w:hint="eastAsia" w:ascii="宋体" w:hAnsi="宋体" w:cs="宋体"/>
                <w:b/>
                <w:bCs/>
                <w:color w:val="auto"/>
                <w:sz w:val="24"/>
                <w:highlight w:val="none"/>
              </w:rPr>
              <w:t>设备类别</w:t>
            </w:r>
          </w:p>
        </w:tc>
        <w:tc>
          <w:tcPr>
            <w:tcW w:w="1679" w:type="pct"/>
            <w:shd w:val="clear" w:color="auto" w:fill="auto"/>
            <w:vAlign w:val="center"/>
          </w:tcPr>
          <w:p w14:paraId="5ED80FD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b/>
                <w:bCs/>
                <w:color w:val="auto"/>
                <w:sz w:val="24"/>
                <w:highlight w:val="none"/>
              </w:rPr>
            </w:pPr>
            <w:r>
              <w:rPr>
                <w:rFonts w:hint="eastAsia" w:ascii="宋体" w:hAnsi="宋体" w:cs="宋体"/>
                <w:b/>
                <w:bCs/>
                <w:color w:val="auto"/>
                <w:sz w:val="24"/>
                <w:highlight w:val="none"/>
              </w:rPr>
              <w:t>设备名称</w:t>
            </w:r>
          </w:p>
        </w:tc>
        <w:tc>
          <w:tcPr>
            <w:tcW w:w="1279" w:type="pct"/>
            <w:shd w:val="clear" w:color="auto" w:fill="auto"/>
            <w:vAlign w:val="center"/>
          </w:tcPr>
          <w:p w14:paraId="21E3CA2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s="宋体"/>
                <w:b/>
                <w:bCs/>
                <w:color w:val="auto"/>
                <w:sz w:val="24"/>
                <w:highlight w:val="none"/>
              </w:rPr>
            </w:pPr>
            <w:r>
              <w:rPr>
                <w:rFonts w:hint="eastAsia" w:ascii="宋体" w:hAnsi="宋体" w:cs="宋体"/>
                <w:b/>
                <w:bCs/>
                <w:color w:val="auto"/>
                <w:sz w:val="24"/>
                <w:highlight w:val="none"/>
              </w:rPr>
              <w:t>品牌型号</w:t>
            </w:r>
          </w:p>
        </w:tc>
        <w:tc>
          <w:tcPr>
            <w:tcW w:w="400" w:type="pct"/>
            <w:shd w:val="clear" w:color="auto" w:fill="auto"/>
            <w:vAlign w:val="center"/>
          </w:tcPr>
          <w:p w14:paraId="3ACEEBF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b/>
                <w:bCs/>
                <w:color w:val="auto"/>
                <w:sz w:val="24"/>
                <w:highlight w:val="none"/>
              </w:rPr>
            </w:pPr>
            <w:r>
              <w:rPr>
                <w:rFonts w:hint="eastAsia" w:ascii="宋体" w:hAnsi="宋体" w:cs="宋体"/>
                <w:b/>
                <w:bCs/>
                <w:color w:val="auto"/>
                <w:sz w:val="24"/>
                <w:highlight w:val="none"/>
              </w:rPr>
              <w:t>数量</w:t>
            </w:r>
          </w:p>
        </w:tc>
        <w:tc>
          <w:tcPr>
            <w:tcW w:w="405" w:type="pct"/>
            <w:shd w:val="clear" w:color="auto" w:fill="auto"/>
            <w:vAlign w:val="center"/>
          </w:tcPr>
          <w:p w14:paraId="2F40677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b/>
                <w:bCs/>
                <w:color w:val="auto"/>
                <w:sz w:val="24"/>
                <w:highlight w:val="none"/>
              </w:rPr>
            </w:pPr>
            <w:r>
              <w:rPr>
                <w:rFonts w:hint="eastAsia" w:ascii="宋体" w:hAnsi="宋体" w:cs="宋体"/>
                <w:b/>
                <w:bCs/>
                <w:color w:val="auto"/>
                <w:sz w:val="24"/>
                <w:highlight w:val="none"/>
              </w:rPr>
              <w:t>单位</w:t>
            </w:r>
          </w:p>
        </w:tc>
      </w:tr>
      <w:tr w14:paraId="62D69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850E35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830" w:type="pct"/>
            <w:shd w:val="clear" w:color="auto" w:fill="auto"/>
            <w:vAlign w:val="center"/>
          </w:tcPr>
          <w:p w14:paraId="522F334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77CF62E4">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内网核心交换机1</w:t>
            </w:r>
          </w:p>
        </w:tc>
        <w:tc>
          <w:tcPr>
            <w:tcW w:w="1279" w:type="pct"/>
            <w:shd w:val="clear" w:color="auto" w:fill="auto"/>
            <w:vAlign w:val="center"/>
          </w:tcPr>
          <w:p w14:paraId="6A11A9D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 xml:space="preserve"> H3C S10508-V</w:t>
            </w:r>
          </w:p>
        </w:tc>
        <w:tc>
          <w:tcPr>
            <w:tcW w:w="400" w:type="pct"/>
            <w:shd w:val="clear" w:color="auto" w:fill="auto"/>
            <w:vAlign w:val="center"/>
          </w:tcPr>
          <w:p w14:paraId="42AD2486">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075F01D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5AE47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E0AFF4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w:t>
            </w:r>
          </w:p>
        </w:tc>
        <w:tc>
          <w:tcPr>
            <w:tcW w:w="830" w:type="pct"/>
            <w:shd w:val="clear" w:color="auto" w:fill="auto"/>
            <w:vAlign w:val="center"/>
          </w:tcPr>
          <w:p w14:paraId="66F05E5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2E614DF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内网核心交换机2</w:t>
            </w:r>
          </w:p>
        </w:tc>
        <w:tc>
          <w:tcPr>
            <w:tcW w:w="1279" w:type="pct"/>
            <w:shd w:val="clear" w:color="auto" w:fill="auto"/>
            <w:vAlign w:val="center"/>
          </w:tcPr>
          <w:p w14:paraId="65F89BF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 xml:space="preserve"> H3C S10508-V</w:t>
            </w:r>
          </w:p>
        </w:tc>
        <w:tc>
          <w:tcPr>
            <w:tcW w:w="400" w:type="pct"/>
            <w:shd w:val="clear" w:color="auto" w:fill="auto"/>
            <w:vAlign w:val="center"/>
          </w:tcPr>
          <w:p w14:paraId="0D8495D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275590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6935F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ABE575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3</w:t>
            </w:r>
          </w:p>
        </w:tc>
        <w:tc>
          <w:tcPr>
            <w:tcW w:w="830" w:type="pct"/>
            <w:shd w:val="clear" w:color="auto" w:fill="auto"/>
            <w:vAlign w:val="center"/>
          </w:tcPr>
          <w:p w14:paraId="4329715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27EDA3B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外网主核心交换机</w:t>
            </w:r>
          </w:p>
        </w:tc>
        <w:tc>
          <w:tcPr>
            <w:tcW w:w="1279" w:type="pct"/>
            <w:shd w:val="clear" w:color="auto" w:fill="auto"/>
            <w:vAlign w:val="center"/>
          </w:tcPr>
          <w:p w14:paraId="62AE9B8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LS-S7506E-X</w:t>
            </w:r>
          </w:p>
        </w:tc>
        <w:tc>
          <w:tcPr>
            <w:tcW w:w="400" w:type="pct"/>
            <w:shd w:val="clear" w:color="auto" w:fill="auto"/>
            <w:vAlign w:val="center"/>
          </w:tcPr>
          <w:p w14:paraId="5F90F05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6612E3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33AEA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7A7A65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4</w:t>
            </w:r>
          </w:p>
        </w:tc>
        <w:tc>
          <w:tcPr>
            <w:tcW w:w="830" w:type="pct"/>
            <w:shd w:val="clear" w:color="auto" w:fill="auto"/>
            <w:vAlign w:val="center"/>
          </w:tcPr>
          <w:p w14:paraId="55A5853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49F4638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内网虚拟化接入交换机1</w:t>
            </w:r>
          </w:p>
        </w:tc>
        <w:tc>
          <w:tcPr>
            <w:tcW w:w="1279" w:type="pct"/>
            <w:shd w:val="clear" w:color="auto" w:fill="auto"/>
            <w:vAlign w:val="center"/>
          </w:tcPr>
          <w:p w14:paraId="3F99FB2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LS-5120S-28P-EI</w:t>
            </w:r>
          </w:p>
        </w:tc>
        <w:tc>
          <w:tcPr>
            <w:tcW w:w="400" w:type="pct"/>
            <w:shd w:val="clear" w:color="auto" w:fill="auto"/>
            <w:vAlign w:val="center"/>
          </w:tcPr>
          <w:p w14:paraId="1144858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0CC3194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59992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DFAA91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5</w:t>
            </w:r>
          </w:p>
        </w:tc>
        <w:tc>
          <w:tcPr>
            <w:tcW w:w="830" w:type="pct"/>
            <w:shd w:val="clear" w:color="auto" w:fill="auto"/>
            <w:vAlign w:val="center"/>
          </w:tcPr>
          <w:p w14:paraId="243499C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0FC9F1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内网虚拟化接入交换机2</w:t>
            </w:r>
          </w:p>
        </w:tc>
        <w:tc>
          <w:tcPr>
            <w:tcW w:w="1279" w:type="pct"/>
            <w:shd w:val="clear" w:color="auto" w:fill="auto"/>
            <w:vAlign w:val="center"/>
          </w:tcPr>
          <w:p w14:paraId="467024D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LS-5120S-28P-EI</w:t>
            </w:r>
          </w:p>
        </w:tc>
        <w:tc>
          <w:tcPr>
            <w:tcW w:w="400" w:type="pct"/>
            <w:shd w:val="clear" w:color="auto" w:fill="auto"/>
            <w:vAlign w:val="center"/>
          </w:tcPr>
          <w:p w14:paraId="57427D7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2CD3EF8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23AD7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2C0F62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6</w:t>
            </w:r>
          </w:p>
        </w:tc>
        <w:tc>
          <w:tcPr>
            <w:tcW w:w="830" w:type="pct"/>
            <w:shd w:val="clear" w:color="auto" w:fill="auto"/>
            <w:vAlign w:val="center"/>
          </w:tcPr>
          <w:p w14:paraId="1FB0464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488410C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外网备核心交换机</w:t>
            </w:r>
          </w:p>
        </w:tc>
        <w:tc>
          <w:tcPr>
            <w:tcW w:w="1279" w:type="pct"/>
            <w:shd w:val="clear" w:color="auto" w:fill="auto"/>
            <w:vAlign w:val="center"/>
          </w:tcPr>
          <w:p w14:paraId="0D84114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S7503</w:t>
            </w:r>
          </w:p>
        </w:tc>
        <w:tc>
          <w:tcPr>
            <w:tcW w:w="400" w:type="pct"/>
            <w:shd w:val="clear" w:color="auto" w:fill="auto"/>
            <w:vAlign w:val="center"/>
          </w:tcPr>
          <w:p w14:paraId="1E97EE7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5A3457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4FF8B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0BFA84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7</w:t>
            </w:r>
          </w:p>
        </w:tc>
        <w:tc>
          <w:tcPr>
            <w:tcW w:w="830" w:type="pct"/>
            <w:shd w:val="clear" w:color="auto" w:fill="auto"/>
            <w:vAlign w:val="center"/>
          </w:tcPr>
          <w:p w14:paraId="63A727E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EB26B5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外网虚拟化交换机</w:t>
            </w:r>
          </w:p>
        </w:tc>
        <w:tc>
          <w:tcPr>
            <w:tcW w:w="1279" w:type="pct"/>
            <w:shd w:val="clear" w:color="auto" w:fill="auto"/>
            <w:vAlign w:val="center"/>
          </w:tcPr>
          <w:p w14:paraId="3DCB9DD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LS-S5500-28C-EI</w:t>
            </w:r>
          </w:p>
        </w:tc>
        <w:tc>
          <w:tcPr>
            <w:tcW w:w="400" w:type="pct"/>
            <w:shd w:val="clear" w:color="auto" w:fill="auto"/>
            <w:vAlign w:val="center"/>
          </w:tcPr>
          <w:p w14:paraId="47737A1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420235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7BE6F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285B3D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8</w:t>
            </w:r>
          </w:p>
        </w:tc>
        <w:tc>
          <w:tcPr>
            <w:tcW w:w="830" w:type="pct"/>
            <w:shd w:val="clear" w:color="auto" w:fill="auto"/>
            <w:vAlign w:val="center"/>
          </w:tcPr>
          <w:p w14:paraId="2E511AE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78818A3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外网出口交换机</w:t>
            </w:r>
          </w:p>
        </w:tc>
        <w:tc>
          <w:tcPr>
            <w:tcW w:w="1279" w:type="pct"/>
            <w:shd w:val="clear" w:color="auto" w:fill="auto"/>
            <w:vAlign w:val="center"/>
          </w:tcPr>
          <w:p w14:paraId="1CA08E0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华为 Quidway S2100</w:t>
            </w:r>
          </w:p>
        </w:tc>
        <w:tc>
          <w:tcPr>
            <w:tcW w:w="400" w:type="pct"/>
            <w:shd w:val="clear" w:color="auto" w:fill="auto"/>
            <w:vAlign w:val="center"/>
          </w:tcPr>
          <w:p w14:paraId="5675EDA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052BC9B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653B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724EC1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9</w:t>
            </w:r>
          </w:p>
        </w:tc>
        <w:tc>
          <w:tcPr>
            <w:tcW w:w="830" w:type="pct"/>
            <w:shd w:val="clear" w:color="auto" w:fill="auto"/>
            <w:vAlign w:val="center"/>
          </w:tcPr>
          <w:p w14:paraId="0E824EA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380F3E4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出口交换机</w:t>
            </w:r>
          </w:p>
        </w:tc>
        <w:tc>
          <w:tcPr>
            <w:tcW w:w="1279" w:type="pct"/>
            <w:shd w:val="clear" w:color="auto" w:fill="auto"/>
            <w:vAlign w:val="center"/>
          </w:tcPr>
          <w:p w14:paraId="3BD4B75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S5120-24P-EI</w:t>
            </w:r>
          </w:p>
        </w:tc>
        <w:tc>
          <w:tcPr>
            <w:tcW w:w="400" w:type="pct"/>
            <w:shd w:val="clear" w:color="auto" w:fill="auto"/>
            <w:vAlign w:val="center"/>
          </w:tcPr>
          <w:p w14:paraId="6A8AF32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6F9FEC5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239E1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75A067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w:t>
            </w:r>
          </w:p>
        </w:tc>
        <w:tc>
          <w:tcPr>
            <w:tcW w:w="830" w:type="pct"/>
            <w:shd w:val="clear" w:color="auto" w:fill="auto"/>
            <w:vAlign w:val="center"/>
          </w:tcPr>
          <w:p w14:paraId="63B6FAF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7DC6B99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机房环境监控交换机</w:t>
            </w:r>
          </w:p>
        </w:tc>
        <w:tc>
          <w:tcPr>
            <w:tcW w:w="1279" w:type="pct"/>
            <w:shd w:val="clear" w:color="auto" w:fill="auto"/>
            <w:vAlign w:val="center"/>
          </w:tcPr>
          <w:p w14:paraId="4BCB746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S1026T</w:t>
            </w:r>
          </w:p>
        </w:tc>
        <w:tc>
          <w:tcPr>
            <w:tcW w:w="400" w:type="pct"/>
            <w:shd w:val="clear" w:color="auto" w:fill="auto"/>
            <w:vAlign w:val="center"/>
          </w:tcPr>
          <w:p w14:paraId="573C9DD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B80B49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4B056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3FEBCA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11</w:t>
            </w:r>
          </w:p>
        </w:tc>
        <w:tc>
          <w:tcPr>
            <w:tcW w:w="830" w:type="pct"/>
            <w:shd w:val="clear" w:color="auto" w:fill="auto"/>
            <w:vAlign w:val="center"/>
          </w:tcPr>
          <w:p w14:paraId="5E97623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709F261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环控接入交换机</w:t>
            </w:r>
          </w:p>
        </w:tc>
        <w:tc>
          <w:tcPr>
            <w:tcW w:w="1279" w:type="pct"/>
            <w:shd w:val="clear" w:color="auto" w:fill="auto"/>
            <w:vAlign w:val="center"/>
          </w:tcPr>
          <w:p w14:paraId="2484A82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TPLINK-TL-SG1210PE</w:t>
            </w:r>
          </w:p>
        </w:tc>
        <w:tc>
          <w:tcPr>
            <w:tcW w:w="400" w:type="pct"/>
            <w:shd w:val="clear" w:color="auto" w:fill="auto"/>
            <w:vAlign w:val="center"/>
          </w:tcPr>
          <w:p w14:paraId="1033C6B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2D5C5A6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4DCE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8D4B01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w:t>
            </w:r>
          </w:p>
        </w:tc>
        <w:tc>
          <w:tcPr>
            <w:tcW w:w="830" w:type="pct"/>
            <w:shd w:val="clear" w:color="auto" w:fill="auto"/>
            <w:vAlign w:val="center"/>
          </w:tcPr>
          <w:p w14:paraId="0274FD1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5D1D0EF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楼层交换机</w:t>
            </w:r>
          </w:p>
        </w:tc>
        <w:tc>
          <w:tcPr>
            <w:tcW w:w="1279" w:type="pct"/>
            <w:shd w:val="clear" w:color="auto" w:fill="auto"/>
            <w:vAlign w:val="center"/>
          </w:tcPr>
          <w:p w14:paraId="3ED36CB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Dlink DGS-1024D</w:t>
            </w:r>
          </w:p>
        </w:tc>
        <w:tc>
          <w:tcPr>
            <w:tcW w:w="400" w:type="pct"/>
            <w:shd w:val="clear" w:color="auto" w:fill="auto"/>
            <w:vAlign w:val="center"/>
          </w:tcPr>
          <w:p w14:paraId="4FFDF98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D59819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34A30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737C4F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13</w:t>
            </w:r>
          </w:p>
        </w:tc>
        <w:tc>
          <w:tcPr>
            <w:tcW w:w="830" w:type="pct"/>
            <w:shd w:val="clear" w:color="auto" w:fill="auto"/>
            <w:vAlign w:val="center"/>
          </w:tcPr>
          <w:p w14:paraId="318B81D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500197D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门诊5楼汇聚交换机</w:t>
            </w:r>
          </w:p>
        </w:tc>
        <w:tc>
          <w:tcPr>
            <w:tcW w:w="1279" w:type="pct"/>
            <w:shd w:val="clear" w:color="auto" w:fill="auto"/>
            <w:vAlign w:val="center"/>
          </w:tcPr>
          <w:p w14:paraId="682AA81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LS-5130S-52P-EI</w:t>
            </w:r>
          </w:p>
        </w:tc>
        <w:tc>
          <w:tcPr>
            <w:tcW w:w="400" w:type="pct"/>
            <w:shd w:val="clear" w:color="auto" w:fill="auto"/>
            <w:vAlign w:val="center"/>
          </w:tcPr>
          <w:p w14:paraId="477F287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743F1F5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449B4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C8FFA3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14</w:t>
            </w:r>
          </w:p>
        </w:tc>
        <w:tc>
          <w:tcPr>
            <w:tcW w:w="830" w:type="pct"/>
            <w:shd w:val="clear" w:color="auto" w:fill="auto"/>
            <w:vAlign w:val="center"/>
          </w:tcPr>
          <w:p w14:paraId="6A7FB9E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410B67D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楼层交换机</w:t>
            </w:r>
          </w:p>
        </w:tc>
        <w:tc>
          <w:tcPr>
            <w:tcW w:w="1279" w:type="pct"/>
            <w:shd w:val="clear" w:color="auto" w:fill="auto"/>
            <w:vAlign w:val="center"/>
          </w:tcPr>
          <w:p w14:paraId="6D9AD72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S1026T-CN</w:t>
            </w:r>
          </w:p>
        </w:tc>
        <w:tc>
          <w:tcPr>
            <w:tcW w:w="400" w:type="pct"/>
            <w:shd w:val="clear" w:color="auto" w:fill="auto"/>
            <w:vAlign w:val="center"/>
          </w:tcPr>
          <w:p w14:paraId="683BDFC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C04F0E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50329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4AB549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15</w:t>
            </w:r>
          </w:p>
        </w:tc>
        <w:tc>
          <w:tcPr>
            <w:tcW w:w="830" w:type="pct"/>
            <w:shd w:val="clear" w:color="auto" w:fill="auto"/>
            <w:vAlign w:val="center"/>
          </w:tcPr>
          <w:p w14:paraId="0BD8494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03809D7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5楼AP汇聚交换机</w:t>
            </w:r>
          </w:p>
        </w:tc>
        <w:tc>
          <w:tcPr>
            <w:tcW w:w="1279" w:type="pct"/>
            <w:shd w:val="clear" w:color="auto" w:fill="auto"/>
            <w:vAlign w:val="center"/>
          </w:tcPr>
          <w:p w14:paraId="7824875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S1024</w:t>
            </w:r>
          </w:p>
        </w:tc>
        <w:tc>
          <w:tcPr>
            <w:tcW w:w="400" w:type="pct"/>
            <w:shd w:val="clear" w:color="auto" w:fill="auto"/>
            <w:vAlign w:val="center"/>
          </w:tcPr>
          <w:p w14:paraId="2C68CA2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B211BC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6E22C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077BB9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16</w:t>
            </w:r>
          </w:p>
        </w:tc>
        <w:tc>
          <w:tcPr>
            <w:tcW w:w="830" w:type="pct"/>
            <w:shd w:val="clear" w:color="auto" w:fill="auto"/>
            <w:vAlign w:val="center"/>
          </w:tcPr>
          <w:p w14:paraId="4C63F96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3262C53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门诊5楼接入交换机2</w:t>
            </w:r>
          </w:p>
        </w:tc>
        <w:tc>
          <w:tcPr>
            <w:tcW w:w="1279" w:type="pct"/>
            <w:shd w:val="clear" w:color="auto" w:fill="auto"/>
            <w:vAlign w:val="center"/>
          </w:tcPr>
          <w:p w14:paraId="1233E98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LS-S3600-52P-SI</w:t>
            </w:r>
          </w:p>
        </w:tc>
        <w:tc>
          <w:tcPr>
            <w:tcW w:w="400" w:type="pct"/>
            <w:shd w:val="clear" w:color="auto" w:fill="auto"/>
            <w:vAlign w:val="center"/>
          </w:tcPr>
          <w:p w14:paraId="6C92BC2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44820E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53842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67AD31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17</w:t>
            </w:r>
          </w:p>
        </w:tc>
        <w:tc>
          <w:tcPr>
            <w:tcW w:w="830" w:type="pct"/>
            <w:shd w:val="clear" w:color="auto" w:fill="auto"/>
            <w:vAlign w:val="center"/>
          </w:tcPr>
          <w:p w14:paraId="71013B6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57519A2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小型机管理交换机</w:t>
            </w:r>
          </w:p>
        </w:tc>
        <w:tc>
          <w:tcPr>
            <w:tcW w:w="1279" w:type="pct"/>
            <w:shd w:val="clear" w:color="auto" w:fill="auto"/>
            <w:vAlign w:val="center"/>
          </w:tcPr>
          <w:p w14:paraId="709427E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S1024</w:t>
            </w:r>
          </w:p>
        </w:tc>
        <w:tc>
          <w:tcPr>
            <w:tcW w:w="400" w:type="pct"/>
            <w:shd w:val="clear" w:color="auto" w:fill="auto"/>
            <w:vAlign w:val="center"/>
          </w:tcPr>
          <w:p w14:paraId="7ECACEC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56BCC2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79DCD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F725F6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18</w:t>
            </w:r>
          </w:p>
        </w:tc>
        <w:tc>
          <w:tcPr>
            <w:tcW w:w="830" w:type="pct"/>
            <w:shd w:val="clear" w:color="auto" w:fill="auto"/>
            <w:vAlign w:val="center"/>
          </w:tcPr>
          <w:p w14:paraId="31C3487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2BC0BB3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机房汇聚交换机1</w:t>
            </w:r>
          </w:p>
        </w:tc>
        <w:tc>
          <w:tcPr>
            <w:tcW w:w="1279" w:type="pct"/>
            <w:shd w:val="clear" w:color="auto" w:fill="auto"/>
            <w:vAlign w:val="center"/>
          </w:tcPr>
          <w:p w14:paraId="1BDB756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LS-S5500-28C-SI</w:t>
            </w:r>
          </w:p>
        </w:tc>
        <w:tc>
          <w:tcPr>
            <w:tcW w:w="400" w:type="pct"/>
            <w:shd w:val="clear" w:color="auto" w:fill="auto"/>
            <w:vAlign w:val="center"/>
          </w:tcPr>
          <w:p w14:paraId="4D34391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677E786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2815D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87D1AC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19</w:t>
            </w:r>
          </w:p>
        </w:tc>
        <w:tc>
          <w:tcPr>
            <w:tcW w:w="830" w:type="pct"/>
            <w:shd w:val="clear" w:color="auto" w:fill="auto"/>
            <w:vAlign w:val="center"/>
          </w:tcPr>
          <w:p w14:paraId="62793F6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6082169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10A病区1F宿舍接入交换机</w:t>
            </w:r>
          </w:p>
        </w:tc>
        <w:tc>
          <w:tcPr>
            <w:tcW w:w="1279" w:type="pct"/>
            <w:shd w:val="clear" w:color="auto" w:fill="auto"/>
            <w:vAlign w:val="center"/>
          </w:tcPr>
          <w:p w14:paraId="79A9F70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华为 S3552G</w:t>
            </w:r>
          </w:p>
        </w:tc>
        <w:tc>
          <w:tcPr>
            <w:tcW w:w="400" w:type="pct"/>
            <w:shd w:val="clear" w:color="auto" w:fill="auto"/>
            <w:vAlign w:val="center"/>
          </w:tcPr>
          <w:p w14:paraId="08767C4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48B1E4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69625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9C9DE2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20</w:t>
            </w:r>
          </w:p>
        </w:tc>
        <w:tc>
          <w:tcPr>
            <w:tcW w:w="830" w:type="pct"/>
            <w:shd w:val="clear" w:color="auto" w:fill="auto"/>
            <w:vAlign w:val="center"/>
          </w:tcPr>
          <w:p w14:paraId="005C0E0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6693F60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病案室二楼接入交换机</w:t>
            </w:r>
          </w:p>
        </w:tc>
        <w:tc>
          <w:tcPr>
            <w:tcW w:w="1279" w:type="pct"/>
            <w:shd w:val="clear" w:color="auto" w:fill="auto"/>
            <w:vAlign w:val="center"/>
          </w:tcPr>
          <w:p w14:paraId="5552DE5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华为 S2126-EI</w:t>
            </w:r>
          </w:p>
        </w:tc>
        <w:tc>
          <w:tcPr>
            <w:tcW w:w="400" w:type="pct"/>
            <w:shd w:val="clear" w:color="auto" w:fill="auto"/>
            <w:vAlign w:val="center"/>
          </w:tcPr>
          <w:p w14:paraId="672959E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86A844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3326E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D9E8EE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21</w:t>
            </w:r>
          </w:p>
        </w:tc>
        <w:tc>
          <w:tcPr>
            <w:tcW w:w="830" w:type="pct"/>
            <w:shd w:val="clear" w:color="auto" w:fill="auto"/>
            <w:vAlign w:val="center"/>
          </w:tcPr>
          <w:p w14:paraId="46DDD75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479A015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康复大厅1F弱电间接入交换机</w:t>
            </w:r>
          </w:p>
        </w:tc>
        <w:tc>
          <w:tcPr>
            <w:tcW w:w="1279" w:type="pct"/>
            <w:shd w:val="clear" w:color="auto" w:fill="auto"/>
            <w:vAlign w:val="center"/>
          </w:tcPr>
          <w:p w14:paraId="7A3221F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LS-S5120-24P-EI</w:t>
            </w:r>
          </w:p>
        </w:tc>
        <w:tc>
          <w:tcPr>
            <w:tcW w:w="400" w:type="pct"/>
            <w:shd w:val="clear" w:color="auto" w:fill="auto"/>
            <w:vAlign w:val="center"/>
          </w:tcPr>
          <w:p w14:paraId="704D3BB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DF8F6F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0AD32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71BAC5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22</w:t>
            </w:r>
          </w:p>
        </w:tc>
        <w:tc>
          <w:tcPr>
            <w:tcW w:w="830" w:type="pct"/>
            <w:shd w:val="clear" w:color="auto" w:fill="auto"/>
            <w:vAlign w:val="center"/>
          </w:tcPr>
          <w:p w14:paraId="7BAFB1B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E419C2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中心药房1F接入交换机</w:t>
            </w:r>
          </w:p>
        </w:tc>
        <w:tc>
          <w:tcPr>
            <w:tcW w:w="1279" w:type="pct"/>
            <w:shd w:val="clear" w:color="auto" w:fill="auto"/>
            <w:vAlign w:val="center"/>
          </w:tcPr>
          <w:p w14:paraId="5610B34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LS-S3100-26TP-EI v2</w:t>
            </w:r>
          </w:p>
        </w:tc>
        <w:tc>
          <w:tcPr>
            <w:tcW w:w="400" w:type="pct"/>
            <w:shd w:val="clear" w:color="auto" w:fill="auto"/>
            <w:vAlign w:val="center"/>
          </w:tcPr>
          <w:p w14:paraId="59BA713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60968E0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10971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1C13E3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23</w:t>
            </w:r>
          </w:p>
        </w:tc>
        <w:tc>
          <w:tcPr>
            <w:tcW w:w="830" w:type="pct"/>
            <w:shd w:val="clear" w:color="auto" w:fill="auto"/>
            <w:vAlign w:val="center"/>
          </w:tcPr>
          <w:p w14:paraId="4D7DE06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7116063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心理研究院二楼接入交换机</w:t>
            </w:r>
          </w:p>
        </w:tc>
        <w:tc>
          <w:tcPr>
            <w:tcW w:w="1279" w:type="pct"/>
            <w:shd w:val="clear" w:color="auto" w:fill="auto"/>
            <w:vAlign w:val="center"/>
          </w:tcPr>
          <w:p w14:paraId="74F9340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华为 S2126-EI</w:t>
            </w:r>
          </w:p>
        </w:tc>
        <w:tc>
          <w:tcPr>
            <w:tcW w:w="400" w:type="pct"/>
            <w:shd w:val="clear" w:color="auto" w:fill="auto"/>
            <w:vAlign w:val="center"/>
          </w:tcPr>
          <w:p w14:paraId="174F19C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09C207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1C625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02574F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24</w:t>
            </w:r>
          </w:p>
        </w:tc>
        <w:tc>
          <w:tcPr>
            <w:tcW w:w="830" w:type="pct"/>
            <w:shd w:val="clear" w:color="auto" w:fill="auto"/>
            <w:vAlign w:val="center"/>
          </w:tcPr>
          <w:p w14:paraId="0805DE8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6436F25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精神病供应楼接入交换机</w:t>
            </w:r>
          </w:p>
        </w:tc>
        <w:tc>
          <w:tcPr>
            <w:tcW w:w="1279" w:type="pct"/>
            <w:shd w:val="clear" w:color="auto" w:fill="auto"/>
            <w:vAlign w:val="center"/>
          </w:tcPr>
          <w:p w14:paraId="2AFB621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华为 S2126-EI</w:t>
            </w:r>
          </w:p>
        </w:tc>
        <w:tc>
          <w:tcPr>
            <w:tcW w:w="400" w:type="pct"/>
            <w:shd w:val="clear" w:color="auto" w:fill="auto"/>
            <w:vAlign w:val="center"/>
          </w:tcPr>
          <w:p w14:paraId="08EE396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61D481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0D308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47A570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25</w:t>
            </w:r>
          </w:p>
        </w:tc>
        <w:tc>
          <w:tcPr>
            <w:tcW w:w="830" w:type="pct"/>
            <w:shd w:val="clear" w:color="auto" w:fill="auto"/>
            <w:vAlign w:val="center"/>
          </w:tcPr>
          <w:p w14:paraId="64685A9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2691B0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行政库房接入交换机</w:t>
            </w:r>
          </w:p>
        </w:tc>
        <w:tc>
          <w:tcPr>
            <w:tcW w:w="1279" w:type="pct"/>
            <w:shd w:val="clear" w:color="auto" w:fill="auto"/>
            <w:vAlign w:val="center"/>
          </w:tcPr>
          <w:p w14:paraId="653F3EF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华为 S2126-EI</w:t>
            </w:r>
          </w:p>
        </w:tc>
        <w:tc>
          <w:tcPr>
            <w:tcW w:w="400" w:type="pct"/>
            <w:shd w:val="clear" w:color="auto" w:fill="auto"/>
            <w:vAlign w:val="center"/>
          </w:tcPr>
          <w:p w14:paraId="465ED4D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F17C01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4DFA0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A496B2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26</w:t>
            </w:r>
          </w:p>
        </w:tc>
        <w:tc>
          <w:tcPr>
            <w:tcW w:w="830" w:type="pct"/>
            <w:shd w:val="clear" w:color="auto" w:fill="auto"/>
            <w:vAlign w:val="center"/>
          </w:tcPr>
          <w:p w14:paraId="0DA1B0F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0F0E7A6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门诊大楼1F接入交换机</w:t>
            </w:r>
          </w:p>
        </w:tc>
        <w:tc>
          <w:tcPr>
            <w:tcW w:w="1279" w:type="pct"/>
            <w:shd w:val="clear" w:color="auto" w:fill="auto"/>
            <w:vAlign w:val="center"/>
          </w:tcPr>
          <w:p w14:paraId="397A7B4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LS-S3600-52P-SI</w:t>
            </w:r>
          </w:p>
        </w:tc>
        <w:tc>
          <w:tcPr>
            <w:tcW w:w="400" w:type="pct"/>
            <w:shd w:val="clear" w:color="auto" w:fill="auto"/>
            <w:vAlign w:val="center"/>
          </w:tcPr>
          <w:p w14:paraId="2AD79BD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2C838E6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4BD72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CDD630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27</w:t>
            </w:r>
          </w:p>
        </w:tc>
        <w:tc>
          <w:tcPr>
            <w:tcW w:w="830" w:type="pct"/>
            <w:shd w:val="clear" w:color="auto" w:fill="auto"/>
            <w:vAlign w:val="center"/>
          </w:tcPr>
          <w:p w14:paraId="242C900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5C9F4FB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门诊大楼2F接入交换机</w:t>
            </w:r>
          </w:p>
        </w:tc>
        <w:tc>
          <w:tcPr>
            <w:tcW w:w="1279" w:type="pct"/>
            <w:shd w:val="clear" w:color="auto" w:fill="auto"/>
            <w:vAlign w:val="center"/>
          </w:tcPr>
          <w:p w14:paraId="66C2D9A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LS-S3600-52P-SI</w:t>
            </w:r>
          </w:p>
        </w:tc>
        <w:tc>
          <w:tcPr>
            <w:tcW w:w="400" w:type="pct"/>
            <w:shd w:val="clear" w:color="auto" w:fill="auto"/>
            <w:vAlign w:val="center"/>
          </w:tcPr>
          <w:p w14:paraId="5C24CD4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0AE344E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425EA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857A76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28</w:t>
            </w:r>
          </w:p>
        </w:tc>
        <w:tc>
          <w:tcPr>
            <w:tcW w:w="830" w:type="pct"/>
            <w:shd w:val="clear" w:color="auto" w:fill="auto"/>
            <w:vAlign w:val="center"/>
          </w:tcPr>
          <w:p w14:paraId="75BE7BC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27A04FB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门诊大楼3F接入交换机</w:t>
            </w:r>
          </w:p>
        </w:tc>
        <w:tc>
          <w:tcPr>
            <w:tcW w:w="1279" w:type="pct"/>
            <w:shd w:val="clear" w:color="auto" w:fill="auto"/>
            <w:vAlign w:val="center"/>
          </w:tcPr>
          <w:p w14:paraId="4C1E52F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LS-S3600-52P-SI</w:t>
            </w:r>
          </w:p>
        </w:tc>
        <w:tc>
          <w:tcPr>
            <w:tcW w:w="400" w:type="pct"/>
            <w:shd w:val="clear" w:color="auto" w:fill="auto"/>
            <w:vAlign w:val="center"/>
          </w:tcPr>
          <w:p w14:paraId="42622F9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BC792F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31688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462317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29</w:t>
            </w:r>
          </w:p>
        </w:tc>
        <w:tc>
          <w:tcPr>
            <w:tcW w:w="830" w:type="pct"/>
            <w:shd w:val="clear" w:color="auto" w:fill="auto"/>
            <w:vAlign w:val="center"/>
          </w:tcPr>
          <w:p w14:paraId="0610C9A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4D13AA5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门诊大楼4F接入交换机</w:t>
            </w:r>
          </w:p>
        </w:tc>
        <w:tc>
          <w:tcPr>
            <w:tcW w:w="1279" w:type="pct"/>
            <w:shd w:val="clear" w:color="auto" w:fill="auto"/>
            <w:vAlign w:val="center"/>
          </w:tcPr>
          <w:p w14:paraId="067B5DD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LS-S3600-52P-SI</w:t>
            </w:r>
          </w:p>
        </w:tc>
        <w:tc>
          <w:tcPr>
            <w:tcW w:w="400" w:type="pct"/>
            <w:shd w:val="clear" w:color="auto" w:fill="auto"/>
            <w:vAlign w:val="center"/>
          </w:tcPr>
          <w:p w14:paraId="45CBF9D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D3B924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70916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27CA5D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30</w:t>
            </w:r>
          </w:p>
        </w:tc>
        <w:tc>
          <w:tcPr>
            <w:tcW w:w="830" w:type="pct"/>
            <w:shd w:val="clear" w:color="auto" w:fill="auto"/>
            <w:vAlign w:val="center"/>
          </w:tcPr>
          <w:p w14:paraId="52F4084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76EF0C7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10A病区1F接入交换机</w:t>
            </w:r>
          </w:p>
        </w:tc>
        <w:tc>
          <w:tcPr>
            <w:tcW w:w="1279" w:type="pct"/>
            <w:shd w:val="clear" w:color="auto" w:fill="auto"/>
            <w:vAlign w:val="center"/>
          </w:tcPr>
          <w:p w14:paraId="4BBF498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LS-S5500-28F-EI</w:t>
            </w:r>
          </w:p>
        </w:tc>
        <w:tc>
          <w:tcPr>
            <w:tcW w:w="400" w:type="pct"/>
            <w:shd w:val="clear" w:color="auto" w:fill="auto"/>
            <w:vAlign w:val="center"/>
          </w:tcPr>
          <w:p w14:paraId="04741DA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75A25B3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74925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5B35CE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31</w:t>
            </w:r>
          </w:p>
        </w:tc>
        <w:tc>
          <w:tcPr>
            <w:tcW w:w="830" w:type="pct"/>
            <w:shd w:val="clear" w:color="auto" w:fill="auto"/>
            <w:vAlign w:val="center"/>
          </w:tcPr>
          <w:p w14:paraId="1CFFE45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FE85A1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15病区1F接入交换机</w:t>
            </w:r>
          </w:p>
        </w:tc>
        <w:tc>
          <w:tcPr>
            <w:tcW w:w="1279" w:type="pct"/>
            <w:shd w:val="clear" w:color="auto" w:fill="auto"/>
            <w:vAlign w:val="center"/>
          </w:tcPr>
          <w:p w14:paraId="2FD5E95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LS-5120S-52P-EI</w:t>
            </w:r>
          </w:p>
        </w:tc>
        <w:tc>
          <w:tcPr>
            <w:tcW w:w="400" w:type="pct"/>
            <w:shd w:val="clear" w:color="auto" w:fill="auto"/>
            <w:vAlign w:val="center"/>
          </w:tcPr>
          <w:p w14:paraId="3C64C00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0027090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6C7A7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E4DE76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32</w:t>
            </w:r>
          </w:p>
        </w:tc>
        <w:tc>
          <w:tcPr>
            <w:tcW w:w="830" w:type="pct"/>
            <w:shd w:val="clear" w:color="auto" w:fill="auto"/>
            <w:vAlign w:val="center"/>
          </w:tcPr>
          <w:p w14:paraId="7DB4302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04A8A6D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6病区3F 护士站接入交换机</w:t>
            </w:r>
          </w:p>
        </w:tc>
        <w:tc>
          <w:tcPr>
            <w:tcW w:w="1279" w:type="pct"/>
            <w:shd w:val="clear" w:color="auto" w:fill="auto"/>
            <w:vAlign w:val="center"/>
          </w:tcPr>
          <w:p w14:paraId="5515F31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华为 S3352P-SI</w:t>
            </w:r>
          </w:p>
        </w:tc>
        <w:tc>
          <w:tcPr>
            <w:tcW w:w="400" w:type="pct"/>
            <w:shd w:val="clear" w:color="auto" w:fill="auto"/>
            <w:vAlign w:val="center"/>
          </w:tcPr>
          <w:p w14:paraId="461C1A9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F34ED2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0F1DD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19649F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33</w:t>
            </w:r>
          </w:p>
        </w:tc>
        <w:tc>
          <w:tcPr>
            <w:tcW w:w="830" w:type="pct"/>
            <w:shd w:val="clear" w:color="auto" w:fill="auto"/>
            <w:vAlign w:val="center"/>
          </w:tcPr>
          <w:p w14:paraId="6DA0CC5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4CCD161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门诊大楼2F弱电间接入交换机</w:t>
            </w:r>
          </w:p>
        </w:tc>
        <w:tc>
          <w:tcPr>
            <w:tcW w:w="1279" w:type="pct"/>
            <w:shd w:val="clear" w:color="auto" w:fill="auto"/>
            <w:vAlign w:val="center"/>
          </w:tcPr>
          <w:p w14:paraId="72D5C94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华为 S3352P-SI</w:t>
            </w:r>
          </w:p>
        </w:tc>
        <w:tc>
          <w:tcPr>
            <w:tcW w:w="400" w:type="pct"/>
            <w:shd w:val="clear" w:color="auto" w:fill="auto"/>
            <w:vAlign w:val="center"/>
          </w:tcPr>
          <w:p w14:paraId="0E97568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EDE3ED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1C23A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6AFA51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34</w:t>
            </w:r>
          </w:p>
        </w:tc>
        <w:tc>
          <w:tcPr>
            <w:tcW w:w="830" w:type="pct"/>
            <w:shd w:val="clear" w:color="auto" w:fill="auto"/>
            <w:vAlign w:val="center"/>
          </w:tcPr>
          <w:p w14:paraId="1B5E3F0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09A49BD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门诊大楼2F弱电间接入交换机</w:t>
            </w:r>
          </w:p>
        </w:tc>
        <w:tc>
          <w:tcPr>
            <w:tcW w:w="1279" w:type="pct"/>
            <w:shd w:val="clear" w:color="auto" w:fill="auto"/>
            <w:vAlign w:val="center"/>
          </w:tcPr>
          <w:p w14:paraId="0AFAD4E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LS-S5120S-28P-EI</w:t>
            </w:r>
          </w:p>
        </w:tc>
        <w:tc>
          <w:tcPr>
            <w:tcW w:w="400" w:type="pct"/>
            <w:shd w:val="clear" w:color="auto" w:fill="auto"/>
            <w:vAlign w:val="center"/>
          </w:tcPr>
          <w:p w14:paraId="53C6874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02413F3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29352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E8B759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35</w:t>
            </w:r>
          </w:p>
        </w:tc>
        <w:tc>
          <w:tcPr>
            <w:tcW w:w="830" w:type="pct"/>
            <w:shd w:val="clear" w:color="auto" w:fill="auto"/>
            <w:vAlign w:val="center"/>
          </w:tcPr>
          <w:p w14:paraId="672C0BE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FD1B77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康复住院楼1F接入交换机</w:t>
            </w:r>
          </w:p>
        </w:tc>
        <w:tc>
          <w:tcPr>
            <w:tcW w:w="1279" w:type="pct"/>
            <w:shd w:val="clear" w:color="auto" w:fill="auto"/>
            <w:vAlign w:val="center"/>
          </w:tcPr>
          <w:p w14:paraId="4B79526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S5516</w:t>
            </w:r>
          </w:p>
        </w:tc>
        <w:tc>
          <w:tcPr>
            <w:tcW w:w="400" w:type="pct"/>
            <w:shd w:val="clear" w:color="auto" w:fill="auto"/>
            <w:vAlign w:val="center"/>
          </w:tcPr>
          <w:p w14:paraId="085B66B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580CC9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5E748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87B2DC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36</w:t>
            </w:r>
          </w:p>
        </w:tc>
        <w:tc>
          <w:tcPr>
            <w:tcW w:w="830" w:type="pct"/>
            <w:shd w:val="clear" w:color="auto" w:fill="auto"/>
            <w:vAlign w:val="center"/>
          </w:tcPr>
          <w:p w14:paraId="2897C6A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61AC66F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康复住院楼1F接入交换机</w:t>
            </w:r>
          </w:p>
        </w:tc>
        <w:tc>
          <w:tcPr>
            <w:tcW w:w="1279" w:type="pct"/>
            <w:shd w:val="clear" w:color="auto" w:fill="auto"/>
            <w:vAlign w:val="center"/>
          </w:tcPr>
          <w:p w14:paraId="2DF695A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LS-5120S-52P-EI</w:t>
            </w:r>
          </w:p>
        </w:tc>
        <w:tc>
          <w:tcPr>
            <w:tcW w:w="400" w:type="pct"/>
            <w:shd w:val="clear" w:color="auto" w:fill="auto"/>
            <w:vAlign w:val="center"/>
          </w:tcPr>
          <w:p w14:paraId="67D7060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F0FDBE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3225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84D6AA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37</w:t>
            </w:r>
          </w:p>
        </w:tc>
        <w:tc>
          <w:tcPr>
            <w:tcW w:w="830" w:type="pct"/>
            <w:shd w:val="clear" w:color="auto" w:fill="auto"/>
            <w:vAlign w:val="center"/>
          </w:tcPr>
          <w:p w14:paraId="0D017D7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0D37B85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康复住院楼3F接入交换机</w:t>
            </w:r>
          </w:p>
        </w:tc>
        <w:tc>
          <w:tcPr>
            <w:tcW w:w="1279" w:type="pct"/>
            <w:shd w:val="clear" w:color="auto" w:fill="auto"/>
            <w:vAlign w:val="center"/>
          </w:tcPr>
          <w:p w14:paraId="2DA7C79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LS-S3600-52P-SI</w:t>
            </w:r>
          </w:p>
        </w:tc>
        <w:tc>
          <w:tcPr>
            <w:tcW w:w="400" w:type="pct"/>
            <w:shd w:val="clear" w:color="auto" w:fill="auto"/>
            <w:vAlign w:val="center"/>
          </w:tcPr>
          <w:p w14:paraId="18A0812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6086E5A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68D70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BB77E8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38</w:t>
            </w:r>
          </w:p>
        </w:tc>
        <w:tc>
          <w:tcPr>
            <w:tcW w:w="830" w:type="pct"/>
            <w:shd w:val="clear" w:color="auto" w:fill="auto"/>
            <w:vAlign w:val="center"/>
          </w:tcPr>
          <w:p w14:paraId="797E8C6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06DC8F6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康复住院楼5F接入交换机</w:t>
            </w:r>
          </w:p>
        </w:tc>
        <w:tc>
          <w:tcPr>
            <w:tcW w:w="1279" w:type="pct"/>
            <w:shd w:val="clear" w:color="auto" w:fill="auto"/>
            <w:vAlign w:val="center"/>
          </w:tcPr>
          <w:p w14:paraId="5676296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LS-S3600-52P-SI</w:t>
            </w:r>
          </w:p>
        </w:tc>
        <w:tc>
          <w:tcPr>
            <w:tcW w:w="400" w:type="pct"/>
            <w:shd w:val="clear" w:color="auto" w:fill="auto"/>
            <w:vAlign w:val="center"/>
          </w:tcPr>
          <w:p w14:paraId="0E1E223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5145A3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6CF90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C060D9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39</w:t>
            </w:r>
          </w:p>
        </w:tc>
        <w:tc>
          <w:tcPr>
            <w:tcW w:w="830" w:type="pct"/>
            <w:shd w:val="clear" w:color="auto" w:fill="auto"/>
            <w:vAlign w:val="center"/>
          </w:tcPr>
          <w:p w14:paraId="2F4459A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6C3163C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康复大厅1F弱电间接入交换机</w:t>
            </w:r>
          </w:p>
        </w:tc>
        <w:tc>
          <w:tcPr>
            <w:tcW w:w="1279" w:type="pct"/>
            <w:shd w:val="clear" w:color="auto" w:fill="auto"/>
            <w:vAlign w:val="center"/>
          </w:tcPr>
          <w:p w14:paraId="3DCD443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LS-S5120-52P-EI</w:t>
            </w:r>
          </w:p>
        </w:tc>
        <w:tc>
          <w:tcPr>
            <w:tcW w:w="400" w:type="pct"/>
            <w:shd w:val="clear" w:color="auto" w:fill="auto"/>
            <w:vAlign w:val="center"/>
          </w:tcPr>
          <w:p w14:paraId="06BE24E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799A91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7D296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90F42F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40</w:t>
            </w:r>
          </w:p>
        </w:tc>
        <w:tc>
          <w:tcPr>
            <w:tcW w:w="830" w:type="pct"/>
            <w:shd w:val="clear" w:color="auto" w:fill="auto"/>
            <w:vAlign w:val="center"/>
          </w:tcPr>
          <w:p w14:paraId="4987D10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7A6A92D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1F电子阅览室接入交换机</w:t>
            </w:r>
          </w:p>
        </w:tc>
        <w:tc>
          <w:tcPr>
            <w:tcW w:w="1279" w:type="pct"/>
            <w:shd w:val="clear" w:color="auto" w:fill="auto"/>
            <w:vAlign w:val="center"/>
          </w:tcPr>
          <w:p w14:paraId="6591379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LS-S3100-26TP-SI</w:t>
            </w:r>
          </w:p>
        </w:tc>
        <w:tc>
          <w:tcPr>
            <w:tcW w:w="400" w:type="pct"/>
            <w:shd w:val="clear" w:color="auto" w:fill="auto"/>
            <w:vAlign w:val="center"/>
          </w:tcPr>
          <w:p w14:paraId="0F0FBB0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69870DC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57001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776E87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41</w:t>
            </w:r>
          </w:p>
        </w:tc>
        <w:tc>
          <w:tcPr>
            <w:tcW w:w="830" w:type="pct"/>
            <w:shd w:val="clear" w:color="auto" w:fill="auto"/>
            <w:vAlign w:val="center"/>
          </w:tcPr>
          <w:p w14:paraId="67C1DF5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3A22E4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医学工程部接入交换机</w:t>
            </w:r>
          </w:p>
        </w:tc>
        <w:tc>
          <w:tcPr>
            <w:tcW w:w="1279" w:type="pct"/>
            <w:shd w:val="clear" w:color="auto" w:fill="auto"/>
            <w:vAlign w:val="center"/>
          </w:tcPr>
          <w:p w14:paraId="4FD7191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LS-S3100-26TP-SI</w:t>
            </w:r>
          </w:p>
        </w:tc>
        <w:tc>
          <w:tcPr>
            <w:tcW w:w="400" w:type="pct"/>
            <w:shd w:val="clear" w:color="auto" w:fill="auto"/>
            <w:vAlign w:val="center"/>
          </w:tcPr>
          <w:p w14:paraId="09E9538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7363E4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44DBD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A0AA7D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42</w:t>
            </w:r>
          </w:p>
        </w:tc>
        <w:tc>
          <w:tcPr>
            <w:tcW w:w="830" w:type="pct"/>
            <w:shd w:val="clear" w:color="auto" w:fill="auto"/>
            <w:vAlign w:val="center"/>
          </w:tcPr>
          <w:p w14:paraId="45D4FD8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70E0C0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灾备机房接入交换机</w:t>
            </w:r>
          </w:p>
        </w:tc>
        <w:tc>
          <w:tcPr>
            <w:tcW w:w="1279" w:type="pct"/>
            <w:shd w:val="clear" w:color="auto" w:fill="auto"/>
            <w:vAlign w:val="center"/>
          </w:tcPr>
          <w:p w14:paraId="10EFBA3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LS-S5120-28P-LI</w:t>
            </w:r>
          </w:p>
        </w:tc>
        <w:tc>
          <w:tcPr>
            <w:tcW w:w="400" w:type="pct"/>
            <w:shd w:val="clear" w:color="auto" w:fill="auto"/>
            <w:vAlign w:val="center"/>
          </w:tcPr>
          <w:p w14:paraId="57C8864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2D3727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1AEEE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0D7513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43</w:t>
            </w:r>
          </w:p>
        </w:tc>
        <w:tc>
          <w:tcPr>
            <w:tcW w:w="830" w:type="pct"/>
            <w:shd w:val="clear" w:color="auto" w:fill="auto"/>
            <w:vAlign w:val="center"/>
          </w:tcPr>
          <w:p w14:paraId="1F5480B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07DB4B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灾备机房接入交换机</w:t>
            </w:r>
          </w:p>
        </w:tc>
        <w:tc>
          <w:tcPr>
            <w:tcW w:w="1279" w:type="pct"/>
            <w:shd w:val="clear" w:color="auto" w:fill="auto"/>
            <w:vAlign w:val="center"/>
          </w:tcPr>
          <w:p w14:paraId="02DF84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LS-S3600-52P-SI</w:t>
            </w:r>
          </w:p>
        </w:tc>
        <w:tc>
          <w:tcPr>
            <w:tcW w:w="400" w:type="pct"/>
            <w:shd w:val="clear" w:color="auto" w:fill="auto"/>
            <w:vAlign w:val="center"/>
          </w:tcPr>
          <w:p w14:paraId="53DE2D6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0D80A2B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71C44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9F5A05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44</w:t>
            </w:r>
          </w:p>
        </w:tc>
        <w:tc>
          <w:tcPr>
            <w:tcW w:w="830" w:type="pct"/>
            <w:shd w:val="clear" w:color="auto" w:fill="auto"/>
            <w:vAlign w:val="center"/>
          </w:tcPr>
          <w:p w14:paraId="3F14D48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D2A8F0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中心实验楼1F接入交换机</w:t>
            </w:r>
          </w:p>
        </w:tc>
        <w:tc>
          <w:tcPr>
            <w:tcW w:w="1279" w:type="pct"/>
            <w:shd w:val="clear" w:color="auto" w:fill="auto"/>
            <w:vAlign w:val="center"/>
          </w:tcPr>
          <w:p w14:paraId="04BE7BD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LS-S3100-52TP-SI</w:t>
            </w:r>
          </w:p>
        </w:tc>
        <w:tc>
          <w:tcPr>
            <w:tcW w:w="400" w:type="pct"/>
            <w:shd w:val="clear" w:color="auto" w:fill="auto"/>
            <w:vAlign w:val="center"/>
          </w:tcPr>
          <w:p w14:paraId="1AA13DE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6D057C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6DE22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1291DB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45</w:t>
            </w:r>
          </w:p>
        </w:tc>
        <w:tc>
          <w:tcPr>
            <w:tcW w:w="830" w:type="pct"/>
            <w:shd w:val="clear" w:color="auto" w:fill="auto"/>
            <w:vAlign w:val="center"/>
          </w:tcPr>
          <w:p w14:paraId="7164C9F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42A5118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门诊大楼1F弱电间接入交换机</w:t>
            </w:r>
          </w:p>
        </w:tc>
        <w:tc>
          <w:tcPr>
            <w:tcW w:w="1279" w:type="pct"/>
            <w:shd w:val="clear" w:color="auto" w:fill="auto"/>
            <w:vAlign w:val="center"/>
          </w:tcPr>
          <w:p w14:paraId="519F1BC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LS-S3100-52TP-SI-</w:t>
            </w:r>
          </w:p>
        </w:tc>
        <w:tc>
          <w:tcPr>
            <w:tcW w:w="400" w:type="pct"/>
            <w:shd w:val="clear" w:color="auto" w:fill="auto"/>
            <w:vAlign w:val="center"/>
          </w:tcPr>
          <w:p w14:paraId="5FF954B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7B32FB5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4EF32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7587B3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46</w:t>
            </w:r>
          </w:p>
        </w:tc>
        <w:tc>
          <w:tcPr>
            <w:tcW w:w="830" w:type="pct"/>
            <w:shd w:val="clear" w:color="auto" w:fill="auto"/>
            <w:vAlign w:val="center"/>
          </w:tcPr>
          <w:p w14:paraId="387CEF3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2BF2B85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康复住院楼6F半接入交换机</w:t>
            </w:r>
          </w:p>
        </w:tc>
        <w:tc>
          <w:tcPr>
            <w:tcW w:w="1279" w:type="pct"/>
            <w:shd w:val="clear" w:color="auto" w:fill="auto"/>
            <w:vAlign w:val="center"/>
          </w:tcPr>
          <w:p w14:paraId="1997093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LS-S5120-28P-EI</w:t>
            </w:r>
          </w:p>
        </w:tc>
        <w:tc>
          <w:tcPr>
            <w:tcW w:w="400" w:type="pct"/>
            <w:shd w:val="clear" w:color="auto" w:fill="auto"/>
            <w:vAlign w:val="center"/>
          </w:tcPr>
          <w:p w14:paraId="52498FD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6B203DE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216F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13775E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47</w:t>
            </w:r>
          </w:p>
        </w:tc>
        <w:tc>
          <w:tcPr>
            <w:tcW w:w="830" w:type="pct"/>
            <w:shd w:val="clear" w:color="auto" w:fill="auto"/>
            <w:vAlign w:val="center"/>
          </w:tcPr>
          <w:p w14:paraId="27B43E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48C1EA7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120培训中心接入交换机</w:t>
            </w:r>
          </w:p>
        </w:tc>
        <w:tc>
          <w:tcPr>
            <w:tcW w:w="1279" w:type="pct"/>
            <w:shd w:val="clear" w:color="auto" w:fill="auto"/>
            <w:vAlign w:val="center"/>
          </w:tcPr>
          <w:p w14:paraId="524D825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LS-S5120-28P-EI</w:t>
            </w:r>
          </w:p>
        </w:tc>
        <w:tc>
          <w:tcPr>
            <w:tcW w:w="400" w:type="pct"/>
            <w:shd w:val="clear" w:color="auto" w:fill="auto"/>
            <w:vAlign w:val="center"/>
          </w:tcPr>
          <w:p w14:paraId="028E480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276D26A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33F48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83CE90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48</w:t>
            </w:r>
          </w:p>
        </w:tc>
        <w:tc>
          <w:tcPr>
            <w:tcW w:w="830" w:type="pct"/>
            <w:shd w:val="clear" w:color="auto" w:fill="auto"/>
            <w:vAlign w:val="center"/>
          </w:tcPr>
          <w:p w14:paraId="33C388A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6F5E5ED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120培训中心3F医生办接入交换机</w:t>
            </w:r>
          </w:p>
        </w:tc>
        <w:tc>
          <w:tcPr>
            <w:tcW w:w="1279" w:type="pct"/>
            <w:shd w:val="clear" w:color="auto" w:fill="auto"/>
            <w:vAlign w:val="center"/>
          </w:tcPr>
          <w:p w14:paraId="12690E5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LS-5120S-28P-EI</w:t>
            </w:r>
          </w:p>
        </w:tc>
        <w:tc>
          <w:tcPr>
            <w:tcW w:w="400" w:type="pct"/>
            <w:shd w:val="clear" w:color="auto" w:fill="auto"/>
            <w:vAlign w:val="center"/>
          </w:tcPr>
          <w:p w14:paraId="6358B85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DA5929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0343F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64A6F7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49</w:t>
            </w:r>
          </w:p>
        </w:tc>
        <w:tc>
          <w:tcPr>
            <w:tcW w:w="830" w:type="pct"/>
            <w:shd w:val="clear" w:color="auto" w:fill="auto"/>
            <w:vAlign w:val="center"/>
          </w:tcPr>
          <w:p w14:paraId="30A36AF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084B892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新大楼四楼内网汇聚交换机</w:t>
            </w:r>
          </w:p>
        </w:tc>
        <w:tc>
          <w:tcPr>
            <w:tcW w:w="1279" w:type="pct"/>
            <w:shd w:val="clear" w:color="auto" w:fill="auto"/>
            <w:vAlign w:val="center"/>
          </w:tcPr>
          <w:p w14:paraId="54D98DE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LS-S5560-30F-EI</w:t>
            </w:r>
          </w:p>
        </w:tc>
        <w:tc>
          <w:tcPr>
            <w:tcW w:w="400" w:type="pct"/>
            <w:shd w:val="clear" w:color="auto" w:fill="auto"/>
            <w:vAlign w:val="center"/>
          </w:tcPr>
          <w:p w14:paraId="3926F1D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261809F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7B3EA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241B43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50</w:t>
            </w:r>
          </w:p>
        </w:tc>
        <w:tc>
          <w:tcPr>
            <w:tcW w:w="830" w:type="pct"/>
            <w:shd w:val="clear" w:color="auto" w:fill="auto"/>
            <w:vAlign w:val="center"/>
          </w:tcPr>
          <w:p w14:paraId="0DAC933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30990DB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新大楼四楼内网汇聚交换机</w:t>
            </w:r>
          </w:p>
        </w:tc>
        <w:tc>
          <w:tcPr>
            <w:tcW w:w="1279" w:type="pct"/>
            <w:shd w:val="clear" w:color="auto" w:fill="auto"/>
            <w:vAlign w:val="center"/>
          </w:tcPr>
          <w:p w14:paraId="7AAFB95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LS-S5560-30F-EI</w:t>
            </w:r>
          </w:p>
        </w:tc>
        <w:tc>
          <w:tcPr>
            <w:tcW w:w="400" w:type="pct"/>
            <w:shd w:val="clear" w:color="auto" w:fill="auto"/>
            <w:vAlign w:val="center"/>
          </w:tcPr>
          <w:p w14:paraId="4265F74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CCB386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37ED6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E2BFC0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51</w:t>
            </w:r>
          </w:p>
        </w:tc>
        <w:tc>
          <w:tcPr>
            <w:tcW w:w="830" w:type="pct"/>
            <w:shd w:val="clear" w:color="auto" w:fill="auto"/>
            <w:vAlign w:val="center"/>
          </w:tcPr>
          <w:p w14:paraId="686F716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65D66D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新大楼二楼内网接入交换机</w:t>
            </w:r>
          </w:p>
        </w:tc>
        <w:tc>
          <w:tcPr>
            <w:tcW w:w="1279" w:type="pct"/>
            <w:shd w:val="clear" w:color="auto" w:fill="auto"/>
            <w:vAlign w:val="center"/>
          </w:tcPr>
          <w:p w14:paraId="183FF0D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LS-5120S-52P-EI</w:t>
            </w:r>
          </w:p>
        </w:tc>
        <w:tc>
          <w:tcPr>
            <w:tcW w:w="400" w:type="pct"/>
            <w:shd w:val="clear" w:color="auto" w:fill="auto"/>
            <w:vAlign w:val="center"/>
          </w:tcPr>
          <w:p w14:paraId="6807700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0061830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67719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8A1420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52</w:t>
            </w:r>
          </w:p>
        </w:tc>
        <w:tc>
          <w:tcPr>
            <w:tcW w:w="830" w:type="pct"/>
            <w:shd w:val="clear" w:color="auto" w:fill="auto"/>
            <w:vAlign w:val="center"/>
          </w:tcPr>
          <w:p w14:paraId="4D6EF59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34D05CA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新大楼四楼外网接入交换机</w:t>
            </w:r>
          </w:p>
        </w:tc>
        <w:tc>
          <w:tcPr>
            <w:tcW w:w="1279" w:type="pct"/>
            <w:shd w:val="clear" w:color="auto" w:fill="auto"/>
            <w:vAlign w:val="center"/>
          </w:tcPr>
          <w:p w14:paraId="388022E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LS-5120S-52P-EI</w:t>
            </w:r>
          </w:p>
        </w:tc>
        <w:tc>
          <w:tcPr>
            <w:tcW w:w="400" w:type="pct"/>
            <w:shd w:val="clear" w:color="auto" w:fill="auto"/>
            <w:vAlign w:val="center"/>
          </w:tcPr>
          <w:p w14:paraId="26C6D6E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52F022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40C93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CD0FD8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53</w:t>
            </w:r>
          </w:p>
        </w:tc>
        <w:tc>
          <w:tcPr>
            <w:tcW w:w="830" w:type="pct"/>
            <w:shd w:val="clear" w:color="auto" w:fill="auto"/>
            <w:vAlign w:val="center"/>
          </w:tcPr>
          <w:p w14:paraId="489AFCA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7CDC9AD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新大楼六楼内网接入交换机</w:t>
            </w:r>
          </w:p>
        </w:tc>
        <w:tc>
          <w:tcPr>
            <w:tcW w:w="1279" w:type="pct"/>
            <w:shd w:val="clear" w:color="auto" w:fill="auto"/>
            <w:vAlign w:val="center"/>
          </w:tcPr>
          <w:p w14:paraId="362D1F1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LS-5120S-52P-EI</w:t>
            </w:r>
          </w:p>
        </w:tc>
        <w:tc>
          <w:tcPr>
            <w:tcW w:w="400" w:type="pct"/>
            <w:shd w:val="clear" w:color="auto" w:fill="auto"/>
            <w:vAlign w:val="center"/>
          </w:tcPr>
          <w:p w14:paraId="7C0DBDD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638EC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29659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1A7C10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54</w:t>
            </w:r>
          </w:p>
        </w:tc>
        <w:tc>
          <w:tcPr>
            <w:tcW w:w="830" w:type="pct"/>
            <w:shd w:val="clear" w:color="auto" w:fill="auto"/>
            <w:vAlign w:val="center"/>
          </w:tcPr>
          <w:p w14:paraId="1BA5C78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41E505B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新大楼四楼外网汇聚交换机</w:t>
            </w:r>
          </w:p>
        </w:tc>
        <w:tc>
          <w:tcPr>
            <w:tcW w:w="1279" w:type="pct"/>
            <w:shd w:val="clear" w:color="auto" w:fill="auto"/>
            <w:vAlign w:val="center"/>
          </w:tcPr>
          <w:p w14:paraId="0A18801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LS-S5560-30F-EI</w:t>
            </w:r>
          </w:p>
        </w:tc>
        <w:tc>
          <w:tcPr>
            <w:tcW w:w="400" w:type="pct"/>
            <w:shd w:val="clear" w:color="auto" w:fill="auto"/>
            <w:vAlign w:val="center"/>
          </w:tcPr>
          <w:p w14:paraId="68F64B8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BBCE9E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079D9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8E65C6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55</w:t>
            </w:r>
          </w:p>
        </w:tc>
        <w:tc>
          <w:tcPr>
            <w:tcW w:w="830" w:type="pct"/>
            <w:shd w:val="clear" w:color="auto" w:fill="auto"/>
            <w:vAlign w:val="center"/>
          </w:tcPr>
          <w:p w14:paraId="7874A4F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2DE8F8F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新大楼二楼外网接入交换机</w:t>
            </w:r>
          </w:p>
        </w:tc>
        <w:tc>
          <w:tcPr>
            <w:tcW w:w="1279" w:type="pct"/>
            <w:shd w:val="clear" w:color="auto" w:fill="auto"/>
            <w:vAlign w:val="center"/>
          </w:tcPr>
          <w:p w14:paraId="5DA2D00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LS-5120S-28P-EI</w:t>
            </w:r>
          </w:p>
        </w:tc>
        <w:tc>
          <w:tcPr>
            <w:tcW w:w="400" w:type="pct"/>
            <w:shd w:val="clear" w:color="auto" w:fill="auto"/>
            <w:vAlign w:val="center"/>
          </w:tcPr>
          <w:p w14:paraId="4A126E6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02286E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1FD0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49D612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56</w:t>
            </w:r>
          </w:p>
        </w:tc>
        <w:tc>
          <w:tcPr>
            <w:tcW w:w="830" w:type="pct"/>
            <w:shd w:val="clear" w:color="auto" w:fill="auto"/>
            <w:vAlign w:val="center"/>
          </w:tcPr>
          <w:p w14:paraId="64A589B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3DA1C65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新大楼四楼内网接入交换机</w:t>
            </w:r>
          </w:p>
        </w:tc>
        <w:tc>
          <w:tcPr>
            <w:tcW w:w="1279" w:type="pct"/>
            <w:shd w:val="clear" w:color="auto" w:fill="auto"/>
            <w:vAlign w:val="center"/>
          </w:tcPr>
          <w:p w14:paraId="0242D7A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LS-5120S-28P-EI</w:t>
            </w:r>
          </w:p>
        </w:tc>
        <w:tc>
          <w:tcPr>
            <w:tcW w:w="400" w:type="pct"/>
            <w:shd w:val="clear" w:color="auto" w:fill="auto"/>
            <w:vAlign w:val="center"/>
          </w:tcPr>
          <w:p w14:paraId="5958695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2FCE7E4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49FF8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BFE76B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57</w:t>
            </w:r>
          </w:p>
        </w:tc>
        <w:tc>
          <w:tcPr>
            <w:tcW w:w="830" w:type="pct"/>
            <w:shd w:val="clear" w:color="auto" w:fill="auto"/>
            <w:vAlign w:val="center"/>
          </w:tcPr>
          <w:p w14:paraId="0C1C413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32FE977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新大楼六楼外网接入交换机</w:t>
            </w:r>
          </w:p>
        </w:tc>
        <w:tc>
          <w:tcPr>
            <w:tcW w:w="1279" w:type="pct"/>
            <w:shd w:val="clear" w:color="auto" w:fill="auto"/>
            <w:vAlign w:val="center"/>
          </w:tcPr>
          <w:p w14:paraId="6C04E0A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LS-S5110-52P</w:t>
            </w:r>
          </w:p>
        </w:tc>
        <w:tc>
          <w:tcPr>
            <w:tcW w:w="400" w:type="pct"/>
            <w:shd w:val="clear" w:color="auto" w:fill="auto"/>
            <w:vAlign w:val="center"/>
          </w:tcPr>
          <w:p w14:paraId="122B6A9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26A6044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28D01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A5F89F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58</w:t>
            </w:r>
          </w:p>
        </w:tc>
        <w:tc>
          <w:tcPr>
            <w:tcW w:w="830" w:type="pct"/>
            <w:shd w:val="clear" w:color="auto" w:fill="auto"/>
            <w:vAlign w:val="center"/>
          </w:tcPr>
          <w:p w14:paraId="6E3D646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4441DE2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槐树巷门诊接入交换机</w:t>
            </w:r>
          </w:p>
        </w:tc>
        <w:tc>
          <w:tcPr>
            <w:tcW w:w="1279" w:type="pct"/>
            <w:shd w:val="clear" w:color="auto" w:fill="auto"/>
            <w:vAlign w:val="center"/>
          </w:tcPr>
          <w:p w14:paraId="2DF40EB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LS-S3100 V2-52TP</w:t>
            </w:r>
          </w:p>
        </w:tc>
        <w:tc>
          <w:tcPr>
            <w:tcW w:w="400" w:type="pct"/>
            <w:shd w:val="clear" w:color="auto" w:fill="auto"/>
            <w:vAlign w:val="center"/>
          </w:tcPr>
          <w:p w14:paraId="06E5D4E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A24976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126B4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3022F7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59</w:t>
            </w:r>
          </w:p>
        </w:tc>
        <w:tc>
          <w:tcPr>
            <w:tcW w:w="830" w:type="pct"/>
            <w:shd w:val="clear" w:color="auto" w:fill="auto"/>
            <w:vAlign w:val="center"/>
          </w:tcPr>
          <w:p w14:paraId="15E34C5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4BF5296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勤学路门诊接入交换机</w:t>
            </w:r>
          </w:p>
        </w:tc>
        <w:tc>
          <w:tcPr>
            <w:tcW w:w="1279" w:type="pct"/>
            <w:shd w:val="clear" w:color="auto" w:fill="auto"/>
            <w:vAlign w:val="center"/>
          </w:tcPr>
          <w:p w14:paraId="174164C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LS-S3100-52TP-SI</w:t>
            </w:r>
          </w:p>
        </w:tc>
        <w:tc>
          <w:tcPr>
            <w:tcW w:w="400" w:type="pct"/>
            <w:shd w:val="clear" w:color="auto" w:fill="auto"/>
            <w:vAlign w:val="center"/>
          </w:tcPr>
          <w:p w14:paraId="42C3E76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709154B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169EA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7C2696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60</w:t>
            </w:r>
          </w:p>
        </w:tc>
        <w:tc>
          <w:tcPr>
            <w:tcW w:w="830" w:type="pct"/>
            <w:shd w:val="clear" w:color="auto" w:fill="auto"/>
            <w:vAlign w:val="center"/>
          </w:tcPr>
          <w:p w14:paraId="3853588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7079373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勤学路门诊接入交换机</w:t>
            </w:r>
          </w:p>
        </w:tc>
        <w:tc>
          <w:tcPr>
            <w:tcW w:w="1279" w:type="pct"/>
            <w:shd w:val="clear" w:color="auto" w:fill="auto"/>
            <w:vAlign w:val="center"/>
          </w:tcPr>
          <w:p w14:paraId="754948C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MSR 20-10</w:t>
            </w:r>
          </w:p>
        </w:tc>
        <w:tc>
          <w:tcPr>
            <w:tcW w:w="400" w:type="pct"/>
            <w:shd w:val="clear" w:color="auto" w:fill="auto"/>
            <w:vAlign w:val="center"/>
          </w:tcPr>
          <w:p w14:paraId="177A9CF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5E3938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4432E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E7CF99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61</w:t>
            </w:r>
          </w:p>
        </w:tc>
        <w:tc>
          <w:tcPr>
            <w:tcW w:w="830" w:type="pct"/>
            <w:shd w:val="clear" w:color="auto" w:fill="auto"/>
            <w:vAlign w:val="center"/>
          </w:tcPr>
          <w:p w14:paraId="7B7F219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5737951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槐树巷门诊接入交换机</w:t>
            </w:r>
          </w:p>
        </w:tc>
        <w:tc>
          <w:tcPr>
            <w:tcW w:w="1279" w:type="pct"/>
            <w:shd w:val="clear" w:color="auto" w:fill="auto"/>
            <w:vAlign w:val="center"/>
          </w:tcPr>
          <w:p w14:paraId="0A60407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MSR 20-10</w:t>
            </w:r>
          </w:p>
        </w:tc>
        <w:tc>
          <w:tcPr>
            <w:tcW w:w="400" w:type="pct"/>
            <w:shd w:val="clear" w:color="auto" w:fill="auto"/>
            <w:vAlign w:val="center"/>
          </w:tcPr>
          <w:p w14:paraId="2996FC2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2053A6C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284BF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02FFF1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62</w:t>
            </w:r>
          </w:p>
        </w:tc>
        <w:tc>
          <w:tcPr>
            <w:tcW w:w="830" w:type="pct"/>
            <w:shd w:val="clear" w:color="auto" w:fill="auto"/>
            <w:vAlign w:val="center"/>
          </w:tcPr>
          <w:p w14:paraId="7C59C87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B6C05D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外网虚拟化光纤交换机</w:t>
            </w:r>
          </w:p>
        </w:tc>
        <w:tc>
          <w:tcPr>
            <w:tcW w:w="1279" w:type="pct"/>
            <w:shd w:val="clear" w:color="auto" w:fill="auto"/>
            <w:vAlign w:val="center"/>
          </w:tcPr>
          <w:p w14:paraId="1A292B7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Brocade 300E</w:t>
            </w:r>
          </w:p>
        </w:tc>
        <w:tc>
          <w:tcPr>
            <w:tcW w:w="400" w:type="pct"/>
            <w:shd w:val="clear" w:color="auto" w:fill="auto"/>
            <w:vAlign w:val="center"/>
          </w:tcPr>
          <w:p w14:paraId="3875B26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1649CD0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5EACA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673517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63</w:t>
            </w:r>
          </w:p>
        </w:tc>
        <w:tc>
          <w:tcPr>
            <w:tcW w:w="830" w:type="pct"/>
            <w:shd w:val="clear" w:color="auto" w:fill="auto"/>
            <w:vAlign w:val="center"/>
          </w:tcPr>
          <w:p w14:paraId="1108C47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866676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外网虚拟化光纤交换机</w:t>
            </w:r>
          </w:p>
        </w:tc>
        <w:tc>
          <w:tcPr>
            <w:tcW w:w="1279" w:type="pct"/>
            <w:shd w:val="clear" w:color="auto" w:fill="auto"/>
            <w:vAlign w:val="center"/>
          </w:tcPr>
          <w:p w14:paraId="2B9956D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Brocade 300E</w:t>
            </w:r>
          </w:p>
        </w:tc>
        <w:tc>
          <w:tcPr>
            <w:tcW w:w="400" w:type="pct"/>
            <w:shd w:val="clear" w:color="auto" w:fill="auto"/>
            <w:vAlign w:val="center"/>
          </w:tcPr>
          <w:p w14:paraId="34A49AE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29D8010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66DA5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01DF17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64</w:t>
            </w:r>
          </w:p>
        </w:tc>
        <w:tc>
          <w:tcPr>
            <w:tcW w:w="830" w:type="pct"/>
            <w:shd w:val="clear" w:color="auto" w:fill="auto"/>
            <w:vAlign w:val="center"/>
          </w:tcPr>
          <w:p w14:paraId="37C465C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0481421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内网虚拟化光纤交换机1</w:t>
            </w:r>
          </w:p>
        </w:tc>
        <w:tc>
          <w:tcPr>
            <w:tcW w:w="1279" w:type="pct"/>
            <w:shd w:val="clear" w:color="auto" w:fill="auto"/>
            <w:vAlign w:val="center"/>
          </w:tcPr>
          <w:p w14:paraId="6DD101B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Brocade 300</w:t>
            </w:r>
          </w:p>
        </w:tc>
        <w:tc>
          <w:tcPr>
            <w:tcW w:w="400" w:type="pct"/>
            <w:shd w:val="clear" w:color="auto" w:fill="auto"/>
            <w:vAlign w:val="center"/>
          </w:tcPr>
          <w:p w14:paraId="063B740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31DF841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0376C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06BCC4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65</w:t>
            </w:r>
          </w:p>
        </w:tc>
        <w:tc>
          <w:tcPr>
            <w:tcW w:w="830" w:type="pct"/>
            <w:shd w:val="clear" w:color="auto" w:fill="auto"/>
            <w:vAlign w:val="center"/>
          </w:tcPr>
          <w:p w14:paraId="2287C8C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4E2F75F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内网虚拟化光纤交换机2</w:t>
            </w:r>
          </w:p>
        </w:tc>
        <w:tc>
          <w:tcPr>
            <w:tcW w:w="1279" w:type="pct"/>
            <w:shd w:val="clear" w:color="auto" w:fill="auto"/>
            <w:vAlign w:val="center"/>
          </w:tcPr>
          <w:p w14:paraId="0DCCF9C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Brocade 300</w:t>
            </w:r>
          </w:p>
        </w:tc>
        <w:tc>
          <w:tcPr>
            <w:tcW w:w="400" w:type="pct"/>
            <w:shd w:val="clear" w:color="auto" w:fill="auto"/>
            <w:vAlign w:val="center"/>
          </w:tcPr>
          <w:p w14:paraId="0B97A6A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3E1409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107A3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E3FBA9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66</w:t>
            </w:r>
          </w:p>
        </w:tc>
        <w:tc>
          <w:tcPr>
            <w:tcW w:w="830" w:type="pct"/>
            <w:shd w:val="clear" w:color="auto" w:fill="auto"/>
            <w:vAlign w:val="center"/>
          </w:tcPr>
          <w:p w14:paraId="6DE6350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338C54D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内网虚拟化光纤交换机3</w:t>
            </w:r>
          </w:p>
        </w:tc>
        <w:tc>
          <w:tcPr>
            <w:tcW w:w="1279" w:type="pct"/>
            <w:shd w:val="clear" w:color="auto" w:fill="auto"/>
            <w:vAlign w:val="center"/>
          </w:tcPr>
          <w:p w14:paraId="299F57C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Brocade 300</w:t>
            </w:r>
          </w:p>
        </w:tc>
        <w:tc>
          <w:tcPr>
            <w:tcW w:w="400" w:type="pct"/>
            <w:shd w:val="clear" w:color="auto" w:fill="auto"/>
            <w:vAlign w:val="center"/>
          </w:tcPr>
          <w:p w14:paraId="60F661E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6717A0A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57A1E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AB7D30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67</w:t>
            </w:r>
          </w:p>
        </w:tc>
        <w:tc>
          <w:tcPr>
            <w:tcW w:w="830" w:type="pct"/>
            <w:shd w:val="clear" w:color="auto" w:fill="auto"/>
            <w:vAlign w:val="center"/>
          </w:tcPr>
          <w:p w14:paraId="392691B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7B04CA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内网虚拟化光纤交换机4</w:t>
            </w:r>
          </w:p>
        </w:tc>
        <w:tc>
          <w:tcPr>
            <w:tcW w:w="1279" w:type="pct"/>
            <w:shd w:val="clear" w:color="auto" w:fill="auto"/>
            <w:vAlign w:val="center"/>
          </w:tcPr>
          <w:p w14:paraId="617A821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Brocade 300</w:t>
            </w:r>
          </w:p>
        </w:tc>
        <w:tc>
          <w:tcPr>
            <w:tcW w:w="400" w:type="pct"/>
            <w:shd w:val="clear" w:color="auto" w:fill="auto"/>
            <w:vAlign w:val="center"/>
          </w:tcPr>
          <w:p w14:paraId="33DD356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857494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1BAE6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A342FF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68</w:t>
            </w:r>
          </w:p>
        </w:tc>
        <w:tc>
          <w:tcPr>
            <w:tcW w:w="830" w:type="pct"/>
            <w:shd w:val="clear" w:color="auto" w:fill="auto"/>
            <w:vAlign w:val="center"/>
          </w:tcPr>
          <w:p w14:paraId="3F2213B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95C2C3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外网虚拟化光纤交换机3</w:t>
            </w:r>
          </w:p>
        </w:tc>
        <w:tc>
          <w:tcPr>
            <w:tcW w:w="1279" w:type="pct"/>
            <w:shd w:val="clear" w:color="auto" w:fill="auto"/>
            <w:vAlign w:val="center"/>
          </w:tcPr>
          <w:p w14:paraId="00197C8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Brocade 300</w:t>
            </w:r>
          </w:p>
        </w:tc>
        <w:tc>
          <w:tcPr>
            <w:tcW w:w="400" w:type="pct"/>
            <w:shd w:val="clear" w:color="auto" w:fill="auto"/>
            <w:vAlign w:val="center"/>
          </w:tcPr>
          <w:p w14:paraId="6CC9DC4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1715000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3456B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CCF29D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69</w:t>
            </w:r>
          </w:p>
        </w:tc>
        <w:tc>
          <w:tcPr>
            <w:tcW w:w="830" w:type="pct"/>
            <w:shd w:val="clear" w:color="auto" w:fill="auto"/>
            <w:vAlign w:val="center"/>
          </w:tcPr>
          <w:p w14:paraId="0284BE9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3990D4D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外网虚拟化光纤交换机4</w:t>
            </w:r>
          </w:p>
        </w:tc>
        <w:tc>
          <w:tcPr>
            <w:tcW w:w="1279" w:type="pct"/>
            <w:shd w:val="clear" w:color="auto" w:fill="auto"/>
            <w:vAlign w:val="center"/>
          </w:tcPr>
          <w:p w14:paraId="04420D1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Brocade 300</w:t>
            </w:r>
          </w:p>
        </w:tc>
        <w:tc>
          <w:tcPr>
            <w:tcW w:w="400" w:type="pct"/>
            <w:shd w:val="clear" w:color="auto" w:fill="auto"/>
            <w:vAlign w:val="center"/>
          </w:tcPr>
          <w:p w14:paraId="74FD9CD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0771B1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67EE6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EC33FB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70</w:t>
            </w:r>
          </w:p>
        </w:tc>
        <w:tc>
          <w:tcPr>
            <w:tcW w:w="830" w:type="pct"/>
            <w:shd w:val="clear" w:color="auto" w:fill="auto"/>
            <w:vAlign w:val="center"/>
          </w:tcPr>
          <w:p w14:paraId="2370412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2480176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楼层交换机</w:t>
            </w:r>
          </w:p>
        </w:tc>
        <w:tc>
          <w:tcPr>
            <w:tcW w:w="1279" w:type="pct"/>
            <w:shd w:val="clear" w:color="auto" w:fill="auto"/>
            <w:vAlign w:val="center"/>
          </w:tcPr>
          <w:p w14:paraId="610EF15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LS-5130S-52S-EI</w:t>
            </w:r>
          </w:p>
        </w:tc>
        <w:tc>
          <w:tcPr>
            <w:tcW w:w="400" w:type="pct"/>
            <w:shd w:val="clear" w:color="auto" w:fill="auto"/>
            <w:vAlign w:val="center"/>
          </w:tcPr>
          <w:p w14:paraId="154E249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71DDE02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5338D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F20A55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71</w:t>
            </w:r>
          </w:p>
        </w:tc>
        <w:tc>
          <w:tcPr>
            <w:tcW w:w="830" w:type="pct"/>
            <w:shd w:val="clear" w:color="auto" w:fill="auto"/>
            <w:vAlign w:val="center"/>
          </w:tcPr>
          <w:p w14:paraId="62744CB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22AF7B8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楼层交换机</w:t>
            </w:r>
          </w:p>
        </w:tc>
        <w:tc>
          <w:tcPr>
            <w:tcW w:w="1279" w:type="pct"/>
            <w:shd w:val="clear" w:color="auto" w:fill="auto"/>
            <w:vAlign w:val="center"/>
          </w:tcPr>
          <w:p w14:paraId="412266E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LS-5130S-52S-EI</w:t>
            </w:r>
          </w:p>
        </w:tc>
        <w:tc>
          <w:tcPr>
            <w:tcW w:w="400" w:type="pct"/>
            <w:shd w:val="clear" w:color="auto" w:fill="auto"/>
            <w:vAlign w:val="center"/>
          </w:tcPr>
          <w:p w14:paraId="5FD2474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2104E10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56611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6121F4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72</w:t>
            </w:r>
          </w:p>
        </w:tc>
        <w:tc>
          <w:tcPr>
            <w:tcW w:w="830" w:type="pct"/>
            <w:shd w:val="clear" w:color="auto" w:fill="auto"/>
            <w:vAlign w:val="center"/>
          </w:tcPr>
          <w:p w14:paraId="4046EE5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7C3249A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门诊1楼交换机</w:t>
            </w:r>
          </w:p>
        </w:tc>
        <w:tc>
          <w:tcPr>
            <w:tcW w:w="1279" w:type="pct"/>
            <w:shd w:val="clear" w:color="auto" w:fill="auto"/>
            <w:vAlign w:val="center"/>
          </w:tcPr>
          <w:p w14:paraId="303FB76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LS-3100V2-26TP</w:t>
            </w:r>
          </w:p>
        </w:tc>
        <w:tc>
          <w:tcPr>
            <w:tcW w:w="400" w:type="pct"/>
            <w:shd w:val="clear" w:color="auto" w:fill="auto"/>
            <w:vAlign w:val="center"/>
          </w:tcPr>
          <w:p w14:paraId="176AAA8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721CCFE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3B63DD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627A68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73</w:t>
            </w:r>
          </w:p>
        </w:tc>
        <w:tc>
          <w:tcPr>
            <w:tcW w:w="830" w:type="pct"/>
            <w:shd w:val="clear" w:color="auto" w:fill="auto"/>
            <w:vAlign w:val="center"/>
          </w:tcPr>
          <w:p w14:paraId="1A2DBB0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676CD7C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门诊2楼交换机</w:t>
            </w:r>
          </w:p>
        </w:tc>
        <w:tc>
          <w:tcPr>
            <w:tcW w:w="1279" w:type="pct"/>
            <w:shd w:val="clear" w:color="auto" w:fill="auto"/>
            <w:vAlign w:val="center"/>
          </w:tcPr>
          <w:p w14:paraId="559EDE2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LS-5130S-52S-EI</w:t>
            </w:r>
          </w:p>
        </w:tc>
        <w:tc>
          <w:tcPr>
            <w:tcW w:w="400" w:type="pct"/>
            <w:shd w:val="clear" w:color="auto" w:fill="auto"/>
            <w:vAlign w:val="center"/>
          </w:tcPr>
          <w:p w14:paraId="4ABCAD5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351FD0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78CCA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135D5B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74</w:t>
            </w:r>
          </w:p>
        </w:tc>
        <w:tc>
          <w:tcPr>
            <w:tcW w:w="830" w:type="pct"/>
            <w:shd w:val="clear" w:color="auto" w:fill="auto"/>
            <w:vAlign w:val="center"/>
          </w:tcPr>
          <w:p w14:paraId="095583C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30AC89F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门诊2楼交换机</w:t>
            </w:r>
          </w:p>
        </w:tc>
        <w:tc>
          <w:tcPr>
            <w:tcW w:w="1279" w:type="pct"/>
            <w:shd w:val="clear" w:color="auto" w:fill="auto"/>
            <w:vAlign w:val="center"/>
          </w:tcPr>
          <w:p w14:paraId="66366C1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LS-5130S-52S-EI</w:t>
            </w:r>
          </w:p>
        </w:tc>
        <w:tc>
          <w:tcPr>
            <w:tcW w:w="400" w:type="pct"/>
            <w:shd w:val="clear" w:color="auto" w:fill="auto"/>
            <w:vAlign w:val="center"/>
          </w:tcPr>
          <w:p w14:paraId="50DD80E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CA6746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6068B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D6A33D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75</w:t>
            </w:r>
          </w:p>
        </w:tc>
        <w:tc>
          <w:tcPr>
            <w:tcW w:w="830" w:type="pct"/>
            <w:shd w:val="clear" w:color="auto" w:fill="auto"/>
            <w:vAlign w:val="center"/>
          </w:tcPr>
          <w:p w14:paraId="4E546EF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1830DC3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门诊4楼交换机</w:t>
            </w:r>
          </w:p>
        </w:tc>
        <w:tc>
          <w:tcPr>
            <w:tcW w:w="1279" w:type="pct"/>
            <w:shd w:val="clear" w:color="auto" w:fill="auto"/>
            <w:vAlign w:val="center"/>
          </w:tcPr>
          <w:p w14:paraId="257DA49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HUAWEI S3300</w:t>
            </w:r>
          </w:p>
        </w:tc>
        <w:tc>
          <w:tcPr>
            <w:tcW w:w="400" w:type="pct"/>
            <w:shd w:val="clear" w:color="auto" w:fill="auto"/>
            <w:vAlign w:val="center"/>
          </w:tcPr>
          <w:p w14:paraId="60210B6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6EC0401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5CD3D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B7B512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76</w:t>
            </w:r>
          </w:p>
        </w:tc>
        <w:tc>
          <w:tcPr>
            <w:tcW w:w="830" w:type="pct"/>
            <w:shd w:val="clear" w:color="auto" w:fill="auto"/>
            <w:vAlign w:val="center"/>
          </w:tcPr>
          <w:p w14:paraId="34E5536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5CBCA70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120培训中心楼层交换机</w:t>
            </w:r>
          </w:p>
        </w:tc>
        <w:tc>
          <w:tcPr>
            <w:tcW w:w="1279" w:type="pct"/>
            <w:shd w:val="clear" w:color="auto" w:fill="auto"/>
            <w:vAlign w:val="center"/>
          </w:tcPr>
          <w:p w14:paraId="4C5F810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S1626-PWR</w:t>
            </w:r>
          </w:p>
        </w:tc>
        <w:tc>
          <w:tcPr>
            <w:tcW w:w="400" w:type="pct"/>
            <w:shd w:val="clear" w:color="auto" w:fill="auto"/>
            <w:vAlign w:val="center"/>
          </w:tcPr>
          <w:p w14:paraId="06E5646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29487C4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1C562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5175B6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77</w:t>
            </w:r>
          </w:p>
        </w:tc>
        <w:tc>
          <w:tcPr>
            <w:tcW w:w="830" w:type="pct"/>
            <w:shd w:val="clear" w:color="auto" w:fill="auto"/>
            <w:vAlign w:val="center"/>
          </w:tcPr>
          <w:p w14:paraId="2C1A7FD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0FA6695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120培训中心楼层交换机</w:t>
            </w:r>
          </w:p>
        </w:tc>
        <w:tc>
          <w:tcPr>
            <w:tcW w:w="1279" w:type="pct"/>
            <w:shd w:val="clear" w:color="auto" w:fill="auto"/>
            <w:vAlign w:val="center"/>
          </w:tcPr>
          <w:p w14:paraId="7E24F8F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S1626-PWR</w:t>
            </w:r>
          </w:p>
        </w:tc>
        <w:tc>
          <w:tcPr>
            <w:tcW w:w="400" w:type="pct"/>
            <w:shd w:val="clear" w:color="auto" w:fill="auto"/>
            <w:vAlign w:val="center"/>
          </w:tcPr>
          <w:p w14:paraId="6B6FEFF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0551D6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2408B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F34781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78</w:t>
            </w:r>
          </w:p>
        </w:tc>
        <w:tc>
          <w:tcPr>
            <w:tcW w:w="830" w:type="pct"/>
            <w:shd w:val="clear" w:color="auto" w:fill="auto"/>
            <w:vAlign w:val="center"/>
          </w:tcPr>
          <w:p w14:paraId="0AF0DA1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54EC3B6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120培训中心楼层交换机</w:t>
            </w:r>
          </w:p>
        </w:tc>
        <w:tc>
          <w:tcPr>
            <w:tcW w:w="1279" w:type="pct"/>
            <w:shd w:val="clear" w:color="auto" w:fill="auto"/>
            <w:vAlign w:val="center"/>
          </w:tcPr>
          <w:p w14:paraId="05AF2F4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S1626-PWR</w:t>
            </w:r>
          </w:p>
        </w:tc>
        <w:tc>
          <w:tcPr>
            <w:tcW w:w="400" w:type="pct"/>
            <w:shd w:val="clear" w:color="auto" w:fill="auto"/>
            <w:vAlign w:val="center"/>
          </w:tcPr>
          <w:p w14:paraId="2CB5FA0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5C46D28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11F37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CAA6C0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79</w:t>
            </w:r>
          </w:p>
        </w:tc>
        <w:tc>
          <w:tcPr>
            <w:tcW w:w="830" w:type="pct"/>
            <w:shd w:val="clear" w:color="auto" w:fill="auto"/>
            <w:vAlign w:val="center"/>
          </w:tcPr>
          <w:p w14:paraId="3100412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71CF8C7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120培训中心楼层交换机</w:t>
            </w:r>
          </w:p>
        </w:tc>
        <w:tc>
          <w:tcPr>
            <w:tcW w:w="1279" w:type="pct"/>
            <w:shd w:val="clear" w:color="auto" w:fill="auto"/>
            <w:vAlign w:val="center"/>
          </w:tcPr>
          <w:p w14:paraId="424DA12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S1626-PWR</w:t>
            </w:r>
          </w:p>
        </w:tc>
        <w:tc>
          <w:tcPr>
            <w:tcW w:w="400" w:type="pct"/>
            <w:shd w:val="clear" w:color="auto" w:fill="auto"/>
            <w:vAlign w:val="center"/>
          </w:tcPr>
          <w:p w14:paraId="372B436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11C6C80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2FC94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430B92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80</w:t>
            </w:r>
          </w:p>
        </w:tc>
        <w:tc>
          <w:tcPr>
            <w:tcW w:w="830" w:type="pct"/>
            <w:shd w:val="clear" w:color="auto" w:fill="auto"/>
            <w:vAlign w:val="center"/>
          </w:tcPr>
          <w:p w14:paraId="1C3B7D3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网络设备</w:t>
            </w:r>
          </w:p>
        </w:tc>
        <w:tc>
          <w:tcPr>
            <w:tcW w:w="1679" w:type="pct"/>
            <w:shd w:val="clear" w:color="auto" w:fill="auto"/>
            <w:vAlign w:val="center"/>
          </w:tcPr>
          <w:p w14:paraId="313F400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120培训中心楼层交换机</w:t>
            </w:r>
          </w:p>
        </w:tc>
        <w:tc>
          <w:tcPr>
            <w:tcW w:w="1279" w:type="pct"/>
            <w:shd w:val="clear" w:color="auto" w:fill="auto"/>
            <w:vAlign w:val="center"/>
          </w:tcPr>
          <w:p w14:paraId="628759D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H3C LS3600-52P-SI</w:t>
            </w:r>
          </w:p>
        </w:tc>
        <w:tc>
          <w:tcPr>
            <w:tcW w:w="400" w:type="pct"/>
            <w:shd w:val="clear" w:color="auto" w:fill="auto"/>
            <w:vAlign w:val="center"/>
          </w:tcPr>
          <w:p w14:paraId="7D8DF05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w:t>
            </w:r>
          </w:p>
        </w:tc>
        <w:tc>
          <w:tcPr>
            <w:tcW w:w="405" w:type="pct"/>
            <w:shd w:val="clear" w:color="auto" w:fill="auto"/>
            <w:vAlign w:val="center"/>
          </w:tcPr>
          <w:p w14:paraId="4949D04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台</w:t>
            </w:r>
          </w:p>
        </w:tc>
      </w:tr>
      <w:tr w14:paraId="0ADCF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6F73D3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olor w:val="auto"/>
                <w:sz w:val="24"/>
                <w:highlight w:val="none"/>
              </w:rPr>
              <w:t>81</w:t>
            </w:r>
          </w:p>
        </w:tc>
        <w:tc>
          <w:tcPr>
            <w:tcW w:w="830" w:type="pct"/>
            <w:shd w:val="clear" w:color="auto" w:fill="auto"/>
            <w:vAlign w:val="center"/>
          </w:tcPr>
          <w:p w14:paraId="65F4610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6B3B925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内网WEB服务器</w:t>
            </w:r>
          </w:p>
        </w:tc>
        <w:tc>
          <w:tcPr>
            <w:tcW w:w="1279" w:type="pct"/>
            <w:shd w:val="clear" w:color="auto" w:fill="auto"/>
            <w:vAlign w:val="center"/>
          </w:tcPr>
          <w:p w14:paraId="676A58B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750</w:t>
            </w:r>
          </w:p>
        </w:tc>
        <w:tc>
          <w:tcPr>
            <w:tcW w:w="400" w:type="pct"/>
            <w:shd w:val="clear" w:color="auto" w:fill="auto"/>
            <w:noWrap/>
            <w:vAlign w:val="center"/>
          </w:tcPr>
          <w:p w14:paraId="75DB46F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783E58A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49758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A9ECF30">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82</w:t>
            </w:r>
          </w:p>
        </w:tc>
        <w:tc>
          <w:tcPr>
            <w:tcW w:w="830" w:type="pct"/>
            <w:shd w:val="clear" w:color="auto" w:fill="auto"/>
            <w:vAlign w:val="center"/>
          </w:tcPr>
          <w:p w14:paraId="197F4C9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43AA02C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H3C IMC平台服务器</w:t>
            </w:r>
          </w:p>
        </w:tc>
        <w:tc>
          <w:tcPr>
            <w:tcW w:w="1279" w:type="pct"/>
            <w:shd w:val="clear" w:color="auto" w:fill="auto"/>
            <w:vAlign w:val="center"/>
          </w:tcPr>
          <w:p w14:paraId="6C38DEB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R420</w:t>
            </w:r>
          </w:p>
        </w:tc>
        <w:tc>
          <w:tcPr>
            <w:tcW w:w="400" w:type="pct"/>
            <w:shd w:val="clear" w:color="auto" w:fill="auto"/>
            <w:noWrap/>
            <w:vAlign w:val="center"/>
          </w:tcPr>
          <w:p w14:paraId="5CC5C1B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29A5673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133C1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D7E9492">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83</w:t>
            </w:r>
          </w:p>
        </w:tc>
        <w:tc>
          <w:tcPr>
            <w:tcW w:w="830" w:type="pct"/>
            <w:shd w:val="clear" w:color="auto" w:fill="auto"/>
            <w:vAlign w:val="center"/>
          </w:tcPr>
          <w:p w14:paraId="3C1686B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473C21D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备份服务器</w:t>
            </w:r>
          </w:p>
        </w:tc>
        <w:tc>
          <w:tcPr>
            <w:tcW w:w="1279" w:type="pct"/>
            <w:shd w:val="clear" w:color="auto" w:fill="auto"/>
            <w:vAlign w:val="center"/>
          </w:tcPr>
          <w:p w14:paraId="68EAB70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R420</w:t>
            </w:r>
          </w:p>
        </w:tc>
        <w:tc>
          <w:tcPr>
            <w:tcW w:w="400" w:type="pct"/>
            <w:shd w:val="clear" w:color="auto" w:fill="auto"/>
            <w:noWrap/>
            <w:vAlign w:val="center"/>
          </w:tcPr>
          <w:p w14:paraId="0F7D634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5856C12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43A54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3840C7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84</w:t>
            </w:r>
          </w:p>
        </w:tc>
        <w:tc>
          <w:tcPr>
            <w:tcW w:w="830" w:type="pct"/>
            <w:shd w:val="clear" w:color="auto" w:fill="auto"/>
            <w:vAlign w:val="center"/>
          </w:tcPr>
          <w:p w14:paraId="7BDDF1C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0C91A8B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内网前置虚拟化服务器1</w:t>
            </w:r>
          </w:p>
        </w:tc>
        <w:tc>
          <w:tcPr>
            <w:tcW w:w="1279" w:type="pct"/>
            <w:shd w:val="clear" w:color="auto" w:fill="auto"/>
            <w:vAlign w:val="center"/>
          </w:tcPr>
          <w:p w14:paraId="4B01BE7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R720</w:t>
            </w:r>
          </w:p>
        </w:tc>
        <w:tc>
          <w:tcPr>
            <w:tcW w:w="400" w:type="pct"/>
            <w:shd w:val="clear" w:color="auto" w:fill="auto"/>
            <w:noWrap/>
            <w:vAlign w:val="center"/>
          </w:tcPr>
          <w:p w14:paraId="1CF469C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678A672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6E81B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7A9F92C">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85</w:t>
            </w:r>
          </w:p>
        </w:tc>
        <w:tc>
          <w:tcPr>
            <w:tcW w:w="830" w:type="pct"/>
            <w:shd w:val="clear" w:color="auto" w:fill="auto"/>
            <w:vAlign w:val="center"/>
          </w:tcPr>
          <w:p w14:paraId="0EC8E28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4BA825B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用友服务器</w:t>
            </w:r>
          </w:p>
        </w:tc>
        <w:tc>
          <w:tcPr>
            <w:tcW w:w="1279" w:type="pct"/>
            <w:shd w:val="clear" w:color="auto" w:fill="auto"/>
            <w:vAlign w:val="center"/>
          </w:tcPr>
          <w:p w14:paraId="0CBAFBC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R730</w:t>
            </w:r>
          </w:p>
        </w:tc>
        <w:tc>
          <w:tcPr>
            <w:tcW w:w="400" w:type="pct"/>
            <w:shd w:val="clear" w:color="auto" w:fill="auto"/>
            <w:noWrap/>
            <w:vAlign w:val="center"/>
          </w:tcPr>
          <w:p w14:paraId="7C59BA2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1947B1E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13D0E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102F9CB">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86</w:t>
            </w:r>
          </w:p>
        </w:tc>
        <w:tc>
          <w:tcPr>
            <w:tcW w:w="830" w:type="pct"/>
            <w:shd w:val="clear" w:color="auto" w:fill="auto"/>
            <w:vAlign w:val="center"/>
          </w:tcPr>
          <w:p w14:paraId="6A358D0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23702CC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内网前置虚拟化服务器2</w:t>
            </w:r>
          </w:p>
        </w:tc>
        <w:tc>
          <w:tcPr>
            <w:tcW w:w="1279" w:type="pct"/>
            <w:shd w:val="clear" w:color="auto" w:fill="auto"/>
            <w:vAlign w:val="center"/>
          </w:tcPr>
          <w:p w14:paraId="2173589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R910</w:t>
            </w:r>
          </w:p>
        </w:tc>
        <w:tc>
          <w:tcPr>
            <w:tcW w:w="400" w:type="pct"/>
            <w:shd w:val="clear" w:color="auto" w:fill="auto"/>
            <w:noWrap/>
            <w:vAlign w:val="center"/>
          </w:tcPr>
          <w:p w14:paraId="611A617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4C19C61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29D40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F727A7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87</w:t>
            </w:r>
          </w:p>
        </w:tc>
        <w:tc>
          <w:tcPr>
            <w:tcW w:w="830" w:type="pct"/>
            <w:shd w:val="clear" w:color="auto" w:fill="auto"/>
            <w:vAlign w:val="center"/>
          </w:tcPr>
          <w:p w14:paraId="75D0112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4A2EBF5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内网前置虚拟化服务器3</w:t>
            </w:r>
          </w:p>
        </w:tc>
        <w:tc>
          <w:tcPr>
            <w:tcW w:w="1279" w:type="pct"/>
            <w:shd w:val="clear" w:color="auto" w:fill="auto"/>
            <w:vAlign w:val="center"/>
          </w:tcPr>
          <w:p w14:paraId="7E6E381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R910</w:t>
            </w:r>
          </w:p>
        </w:tc>
        <w:tc>
          <w:tcPr>
            <w:tcW w:w="400" w:type="pct"/>
            <w:shd w:val="clear" w:color="auto" w:fill="auto"/>
            <w:noWrap/>
            <w:vAlign w:val="center"/>
          </w:tcPr>
          <w:p w14:paraId="656B27B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5ADEA10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5EE0C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776283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88</w:t>
            </w:r>
          </w:p>
        </w:tc>
        <w:tc>
          <w:tcPr>
            <w:tcW w:w="830" w:type="pct"/>
            <w:shd w:val="clear" w:color="auto" w:fill="auto"/>
            <w:vAlign w:val="center"/>
          </w:tcPr>
          <w:p w14:paraId="1AF18E8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3FF50AD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内网前置虚拟化服务器4</w:t>
            </w:r>
          </w:p>
        </w:tc>
        <w:tc>
          <w:tcPr>
            <w:tcW w:w="1279" w:type="pct"/>
            <w:shd w:val="clear" w:color="auto" w:fill="auto"/>
            <w:vAlign w:val="center"/>
          </w:tcPr>
          <w:p w14:paraId="36AD860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R920</w:t>
            </w:r>
          </w:p>
        </w:tc>
        <w:tc>
          <w:tcPr>
            <w:tcW w:w="400" w:type="pct"/>
            <w:shd w:val="clear" w:color="auto" w:fill="auto"/>
            <w:noWrap/>
            <w:vAlign w:val="center"/>
          </w:tcPr>
          <w:p w14:paraId="39FB0BD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6F02F0E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2F152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FA6E02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89</w:t>
            </w:r>
          </w:p>
        </w:tc>
        <w:tc>
          <w:tcPr>
            <w:tcW w:w="830" w:type="pct"/>
            <w:shd w:val="clear" w:color="auto" w:fill="auto"/>
            <w:vAlign w:val="center"/>
          </w:tcPr>
          <w:p w14:paraId="6FF1EE4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2F4E863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外网虚拟化服务器1</w:t>
            </w:r>
          </w:p>
        </w:tc>
        <w:tc>
          <w:tcPr>
            <w:tcW w:w="1279" w:type="pct"/>
            <w:shd w:val="clear" w:color="auto" w:fill="auto"/>
            <w:vAlign w:val="center"/>
          </w:tcPr>
          <w:p w14:paraId="72809C6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R920</w:t>
            </w:r>
          </w:p>
        </w:tc>
        <w:tc>
          <w:tcPr>
            <w:tcW w:w="400" w:type="pct"/>
            <w:shd w:val="clear" w:color="auto" w:fill="auto"/>
            <w:noWrap/>
            <w:vAlign w:val="center"/>
          </w:tcPr>
          <w:p w14:paraId="4AFD689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76A18FC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67252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A7291E0">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90</w:t>
            </w:r>
          </w:p>
        </w:tc>
        <w:tc>
          <w:tcPr>
            <w:tcW w:w="830" w:type="pct"/>
            <w:shd w:val="clear" w:color="auto" w:fill="auto"/>
            <w:vAlign w:val="center"/>
          </w:tcPr>
          <w:p w14:paraId="7853349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2B1636A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北塔运维授权服务器</w:t>
            </w:r>
          </w:p>
        </w:tc>
        <w:tc>
          <w:tcPr>
            <w:tcW w:w="1279" w:type="pct"/>
            <w:shd w:val="clear" w:color="auto" w:fill="auto"/>
            <w:vAlign w:val="center"/>
          </w:tcPr>
          <w:p w14:paraId="0E3AEFB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R410</w:t>
            </w:r>
          </w:p>
        </w:tc>
        <w:tc>
          <w:tcPr>
            <w:tcW w:w="400" w:type="pct"/>
            <w:shd w:val="clear" w:color="auto" w:fill="auto"/>
            <w:noWrap/>
            <w:vAlign w:val="center"/>
          </w:tcPr>
          <w:p w14:paraId="060A496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53AE775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5B02E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689678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91</w:t>
            </w:r>
          </w:p>
        </w:tc>
        <w:tc>
          <w:tcPr>
            <w:tcW w:w="830" w:type="pct"/>
            <w:shd w:val="clear" w:color="auto" w:fill="auto"/>
            <w:vAlign w:val="center"/>
          </w:tcPr>
          <w:p w14:paraId="305567A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57775C8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外网虚拟化服务器2</w:t>
            </w:r>
          </w:p>
        </w:tc>
        <w:tc>
          <w:tcPr>
            <w:tcW w:w="1279" w:type="pct"/>
            <w:shd w:val="clear" w:color="auto" w:fill="auto"/>
            <w:vAlign w:val="center"/>
          </w:tcPr>
          <w:p w14:paraId="192634A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R920</w:t>
            </w:r>
          </w:p>
        </w:tc>
        <w:tc>
          <w:tcPr>
            <w:tcW w:w="400" w:type="pct"/>
            <w:shd w:val="clear" w:color="auto" w:fill="auto"/>
            <w:noWrap/>
            <w:vAlign w:val="center"/>
          </w:tcPr>
          <w:p w14:paraId="69BE198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3CE5E80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34BAC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94FB36E">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92</w:t>
            </w:r>
          </w:p>
        </w:tc>
        <w:tc>
          <w:tcPr>
            <w:tcW w:w="830" w:type="pct"/>
            <w:shd w:val="clear" w:color="auto" w:fill="auto"/>
            <w:vAlign w:val="center"/>
          </w:tcPr>
          <w:p w14:paraId="21A33AC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0E12F0D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内网虚拟化服务器1</w:t>
            </w:r>
          </w:p>
        </w:tc>
        <w:tc>
          <w:tcPr>
            <w:tcW w:w="1279" w:type="pct"/>
            <w:shd w:val="clear" w:color="auto" w:fill="auto"/>
            <w:vAlign w:val="center"/>
          </w:tcPr>
          <w:p w14:paraId="07AEF87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R910</w:t>
            </w:r>
          </w:p>
        </w:tc>
        <w:tc>
          <w:tcPr>
            <w:tcW w:w="400" w:type="pct"/>
            <w:shd w:val="clear" w:color="auto" w:fill="auto"/>
            <w:noWrap/>
            <w:vAlign w:val="center"/>
          </w:tcPr>
          <w:p w14:paraId="5E7EF78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47EB9B8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2341A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BE1E223">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93</w:t>
            </w:r>
          </w:p>
        </w:tc>
        <w:tc>
          <w:tcPr>
            <w:tcW w:w="830" w:type="pct"/>
            <w:shd w:val="clear" w:color="auto" w:fill="auto"/>
            <w:vAlign w:val="center"/>
          </w:tcPr>
          <w:p w14:paraId="23AD622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4D9A914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内网虚拟化服务器2</w:t>
            </w:r>
          </w:p>
        </w:tc>
        <w:tc>
          <w:tcPr>
            <w:tcW w:w="1279" w:type="pct"/>
            <w:shd w:val="clear" w:color="auto" w:fill="auto"/>
            <w:vAlign w:val="center"/>
          </w:tcPr>
          <w:p w14:paraId="3DC47CA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R910</w:t>
            </w:r>
          </w:p>
        </w:tc>
        <w:tc>
          <w:tcPr>
            <w:tcW w:w="400" w:type="pct"/>
            <w:shd w:val="clear" w:color="auto" w:fill="auto"/>
            <w:noWrap/>
            <w:vAlign w:val="center"/>
          </w:tcPr>
          <w:p w14:paraId="35EFECE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50608E5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31624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9DB8002">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94</w:t>
            </w:r>
          </w:p>
        </w:tc>
        <w:tc>
          <w:tcPr>
            <w:tcW w:w="830" w:type="pct"/>
            <w:shd w:val="clear" w:color="auto" w:fill="auto"/>
            <w:vAlign w:val="center"/>
          </w:tcPr>
          <w:p w14:paraId="64CA938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4A8ABB3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内网虚拟化服务器3</w:t>
            </w:r>
          </w:p>
        </w:tc>
        <w:tc>
          <w:tcPr>
            <w:tcW w:w="1279" w:type="pct"/>
            <w:shd w:val="clear" w:color="auto" w:fill="auto"/>
            <w:vAlign w:val="center"/>
          </w:tcPr>
          <w:p w14:paraId="473C517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R930</w:t>
            </w:r>
          </w:p>
        </w:tc>
        <w:tc>
          <w:tcPr>
            <w:tcW w:w="400" w:type="pct"/>
            <w:shd w:val="clear" w:color="auto" w:fill="auto"/>
            <w:noWrap/>
            <w:vAlign w:val="center"/>
          </w:tcPr>
          <w:p w14:paraId="700F30E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11D4F25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667EB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1B4550C">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95</w:t>
            </w:r>
          </w:p>
        </w:tc>
        <w:tc>
          <w:tcPr>
            <w:tcW w:w="830" w:type="pct"/>
            <w:shd w:val="clear" w:color="auto" w:fill="auto"/>
            <w:vAlign w:val="center"/>
          </w:tcPr>
          <w:p w14:paraId="1E2F6DB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1C912D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内网虚拟化服务器4</w:t>
            </w:r>
          </w:p>
        </w:tc>
        <w:tc>
          <w:tcPr>
            <w:tcW w:w="1279" w:type="pct"/>
            <w:shd w:val="clear" w:color="auto" w:fill="auto"/>
            <w:vAlign w:val="center"/>
          </w:tcPr>
          <w:p w14:paraId="087EB81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R930</w:t>
            </w:r>
          </w:p>
        </w:tc>
        <w:tc>
          <w:tcPr>
            <w:tcW w:w="400" w:type="pct"/>
            <w:shd w:val="clear" w:color="auto" w:fill="auto"/>
            <w:noWrap/>
            <w:vAlign w:val="center"/>
          </w:tcPr>
          <w:p w14:paraId="006932A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5EC92AE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7CDDF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640861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96</w:t>
            </w:r>
          </w:p>
        </w:tc>
        <w:tc>
          <w:tcPr>
            <w:tcW w:w="830" w:type="pct"/>
            <w:shd w:val="clear" w:color="auto" w:fill="auto"/>
            <w:vAlign w:val="center"/>
          </w:tcPr>
          <w:p w14:paraId="14653EE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0B2B0B3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内网虚拟化服务器5</w:t>
            </w:r>
          </w:p>
        </w:tc>
        <w:tc>
          <w:tcPr>
            <w:tcW w:w="1279" w:type="pct"/>
            <w:shd w:val="clear" w:color="auto" w:fill="auto"/>
            <w:vAlign w:val="center"/>
          </w:tcPr>
          <w:p w14:paraId="0D5B35E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R930</w:t>
            </w:r>
          </w:p>
        </w:tc>
        <w:tc>
          <w:tcPr>
            <w:tcW w:w="400" w:type="pct"/>
            <w:shd w:val="clear" w:color="auto" w:fill="auto"/>
            <w:noWrap/>
            <w:vAlign w:val="center"/>
          </w:tcPr>
          <w:p w14:paraId="7F2E788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34D224E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37257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A4664C3">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97</w:t>
            </w:r>
          </w:p>
        </w:tc>
        <w:tc>
          <w:tcPr>
            <w:tcW w:w="830" w:type="pct"/>
            <w:shd w:val="clear" w:color="auto" w:fill="auto"/>
            <w:vAlign w:val="center"/>
          </w:tcPr>
          <w:p w14:paraId="29948C2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42D1323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内网虚拟化服务器6</w:t>
            </w:r>
          </w:p>
        </w:tc>
        <w:tc>
          <w:tcPr>
            <w:tcW w:w="1279" w:type="pct"/>
            <w:shd w:val="clear" w:color="auto" w:fill="auto"/>
            <w:vAlign w:val="center"/>
          </w:tcPr>
          <w:p w14:paraId="6E8072D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R930</w:t>
            </w:r>
          </w:p>
        </w:tc>
        <w:tc>
          <w:tcPr>
            <w:tcW w:w="400" w:type="pct"/>
            <w:shd w:val="clear" w:color="auto" w:fill="auto"/>
            <w:noWrap/>
            <w:vAlign w:val="center"/>
          </w:tcPr>
          <w:p w14:paraId="50C1D26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36B0C94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45960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3ABBC78">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98</w:t>
            </w:r>
          </w:p>
        </w:tc>
        <w:tc>
          <w:tcPr>
            <w:tcW w:w="830" w:type="pct"/>
            <w:shd w:val="clear" w:color="auto" w:fill="auto"/>
            <w:vAlign w:val="center"/>
          </w:tcPr>
          <w:p w14:paraId="5E6A093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24F0FAC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服务器内存</w:t>
            </w:r>
          </w:p>
        </w:tc>
        <w:tc>
          <w:tcPr>
            <w:tcW w:w="1279" w:type="pct"/>
            <w:shd w:val="clear" w:color="auto" w:fill="auto"/>
            <w:noWrap/>
            <w:vAlign w:val="center"/>
          </w:tcPr>
          <w:p w14:paraId="4BD1255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 xml:space="preserve"> DELL 8Gb内存</w:t>
            </w:r>
          </w:p>
        </w:tc>
        <w:tc>
          <w:tcPr>
            <w:tcW w:w="400" w:type="pct"/>
            <w:shd w:val="clear" w:color="auto" w:fill="auto"/>
            <w:noWrap/>
            <w:vAlign w:val="center"/>
          </w:tcPr>
          <w:p w14:paraId="3192694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8</w:t>
            </w:r>
          </w:p>
        </w:tc>
        <w:tc>
          <w:tcPr>
            <w:tcW w:w="405" w:type="pct"/>
            <w:shd w:val="clear" w:color="auto" w:fill="auto"/>
            <w:noWrap/>
            <w:vAlign w:val="center"/>
          </w:tcPr>
          <w:p w14:paraId="58DD872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0DCB4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6D70A33">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99</w:t>
            </w:r>
          </w:p>
        </w:tc>
        <w:tc>
          <w:tcPr>
            <w:tcW w:w="830" w:type="pct"/>
            <w:shd w:val="clear" w:color="auto" w:fill="auto"/>
            <w:vAlign w:val="center"/>
          </w:tcPr>
          <w:p w14:paraId="22AEFE5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2E60828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服务器网卡</w:t>
            </w:r>
          </w:p>
        </w:tc>
        <w:tc>
          <w:tcPr>
            <w:tcW w:w="1279" w:type="pct"/>
            <w:shd w:val="clear" w:color="auto" w:fill="auto"/>
            <w:noWrap/>
            <w:vAlign w:val="center"/>
          </w:tcPr>
          <w:p w14:paraId="477C925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 xml:space="preserve"> DELL 1G网卡</w:t>
            </w:r>
          </w:p>
        </w:tc>
        <w:tc>
          <w:tcPr>
            <w:tcW w:w="400" w:type="pct"/>
            <w:shd w:val="clear" w:color="auto" w:fill="auto"/>
            <w:noWrap/>
            <w:vAlign w:val="center"/>
          </w:tcPr>
          <w:p w14:paraId="1106116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30D59BE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只</w:t>
            </w:r>
          </w:p>
        </w:tc>
      </w:tr>
      <w:tr w14:paraId="62351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B42CB4D">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100</w:t>
            </w:r>
          </w:p>
        </w:tc>
        <w:tc>
          <w:tcPr>
            <w:tcW w:w="830" w:type="pct"/>
            <w:shd w:val="clear" w:color="auto" w:fill="auto"/>
            <w:vAlign w:val="center"/>
          </w:tcPr>
          <w:p w14:paraId="5C7E2C0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6F6BE75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服务器硬盘</w:t>
            </w:r>
          </w:p>
        </w:tc>
        <w:tc>
          <w:tcPr>
            <w:tcW w:w="1279" w:type="pct"/>
            <w:shd w:val="clear" w:color="auto" w:fill="auto"/>
            <w:noWrap/>
            <w:vAlign w:val="center"/>
          </w:tcPr>
          <w:p w14:paraId="199652B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 xml:space="preserve"> DELL 900G硬盘</w:t>
            </w:r>
          </w:p>
        </w:tc>
        <w:tc>
          <w:tcPr>
            <w:tcW w:w="400" w:type="pct"/>
            <w:shd w:val="clear" w:color="auto" w:fill="auto"/>
            <w:noWrap/>
            <w:vAlign w:val="center"/>
          </w:tcPr>
          <w:p w14:paraId="36F0F29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8</w:t>
            </w:r>
          </w:p>
        </w:tc>
        <w:tc>
          <w:tcPr>
            <w:tcW w:w="405" w:type="pct"/>
            <w:shd w:val="clear" w:color="auto" w:fill="auto"/>
            <w:noWrap/>
            <w:vAlign w:val="center"/>
          </w:tcPr>
          <w:p w14:paraId="5497E4E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42FD2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975C18F">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101</w:t>
            </w:r>
          </w:p>
        </w:tc>
        <w:tc>
          <w:tcPr>
            <w:tcW w:w="830" w:type="pct"/>
            <w:shd w:val="clear" w:color="auto" w:fill="auto"/>
            <w:vAlign w:val="center"/>
          </w:tcPr>
          <w:p w14:paraId="258F4E0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05B0926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服务器硬盘背板</w:t>
            </w:r>
          </w:p>
        </w:tc>
        <w:tc>
          <w:tcPr>
            <w:tcW w:w="1279" w:type="pct"/>
            <w:shd w:val="clear" w:color="auto" w:fill="auto"/>
            <w:noWrap/>
            <w:vAlign w:val="center"/>
          </w:tcPr>
          <w:p w14:paraId="61EC12B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 xml:space="preserve"> DELL 16背板</w:t>
            </w:r>
          </w:p>
        </w:tc>
        <w:tc>
          <w:tcPr>
            <w:tcW w:w="400" w:type="pct"/>
            <w:shd w:val="clear" w:color="auto" w:fill="auto"/>
            <w:noWrap/>
            <w:vAlign w:val="center"/>
          </w:tcPr>
          <w:p w14:paraId="3896C5E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0B331D7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只</w:t>
            </w:r>
          </w:p>
        </w:tc>
      </w:tr>
      <w:tr w14:paraId="56239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505D10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102</w:t>
            </w:r>
          </w:p>
        </w:tc>
        <w:tc>
          <w:tcPr>
            <w:tcW w:w="830" w:type="pct"/>
            <w:shd w:val="clear" w:color="auto" w:fill="auto"/>
            <w:vAlign w:val="center"/>
          </w:tcPr>
          <w:p w14:paraId="4B306F5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1C2CB4E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PDF签章服务器</w:t>
            </w:r>
          </w:p>
        </w:tc>
        <w:tc>
          <w:tcPr>
            <w:tcW w:w="1279" w:type="pct"/>
            <w:shd w:val="clear" w:color="auto" w:fill="auto"/>
            <w:noWrap/>
            <w:vAlign w:val="center"/>
          </w:tcPr>
          <w:p w14:paraId="7A25AAC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 xml:space="preserve"> ESS4000-PDF</w:t>
            </w:r>
          </w:p>
        </w:tc>
        <w:tc>
          <w:tcPr>
            <w:tcW w:w="400" w:type="pct"/>
            <w:shd w:val="clear" w:color="auto" w:fill="auto"/>
            <w:noWrap/>
            <w:vAlign w:val="center"/>
          </w:tcPr>
          <w:p w14:paraId="1215ADD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64BA322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4B191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E51A882">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103</w:t>
            </w:r>
          </w:p>
        </w:tc>
        <w:tc>
          <w:tcPr>
            <w:tcW w:w="830" w:type="pct"/>
            <w:shd w:val="clear" w:color="auto" w:fill="auto"/>
            <w:vAlign w:val="center"/>
          </w:tcPr>
          <w:p w14:paraId="0DBA4E4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3F5AE05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外网虚拟化服务器内存升级</w:t>
            </w:r>
          </w:p>
        </w:tc>
        <w:tc>
          <w:tcPr>
            <w:tcW w:w="1279" w:type="pct"/>
            <w:shd w:val="clear" w:color="auto" w:fill="auto"/>
            <w:noWrap/>
            <w:vAlign w:val="center"/>
          </w:tcPr>
          <w:p w14:paraId="1C5CAFC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DELL PowerEdge R920 配件</w:t>
            </w:r>
          </w:p>
        </w:tc>
        <w:tc>
          <w:tcPr>
            <w:tcW w:w="400" w:type="pct"/>
            <w:shd w:val="clear" w:color="auto" w:fill="auto"/>
            <w:noWrap/>
            <w:vAlign w:val="center"/>
          </w:tcPr>
          <w:p w14:paraId="2ACF9CF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79C664E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批</w:t>
            </w:r>
          </w:p>
        </w:tc>
      </w:tr>
      <w:tr w14:paraId="3DA3F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D81108E">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104</w:t>
            </w:r>
          </w:p>
        </w:tc>
        <w:tc>
          <w:tcPr>
            <w:tcW w:w="830" w:type="pct"/>
            <w:shd w:val="clear" w:color="auto" w:fill="auto"/>
            <w:vAlign w:val="center"/>
          </w:tcPr>
          <w:p w14:paraId="7B64DCD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677837D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生产及容灾小型机</w:t>
            </w:r>
          </w:p>
        </w:tc>
        <w:tc>
          <w:tcPr>
            <w:tcW w:w="1279" w:type="pct"/>
            <w:shd w:val="clear" w:color="auto" w:fill="auto"/>
            <w:vAlign w:val="center"/>
          </w:tcPr>
          <w:p w14:paraId="0A02D49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浪商 S822</w:t>
            </w:r>
          </w:p>
        </w:tc>
        <w:tc>
          <w:tcPr>
            <w:tcW w:w="400" w:type="pct"/>
            <w:shd w:val="clear" w:color="auto" w:fill="auto"/>
            <w:noWrap/>
            <w:vAlign w:val="center"/>
          </w:tcPr>
          <w:p w14:paraId="29A2D2D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noWrap/>
            <w:vAlign w:val="center"/>
          </w:tcPr>
          <w:p w14:paraId="667F531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67542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5CE98C8">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105</w:t>
            </w:r>
          </w:p>
        </w:tc>
        <w:tc>
          <w:tcPr>
            <w:tcW w:w="830" w:type="pct"/>
            <w:shd w:val="clear" w:color="auto" w:fill="auto"/>
            <w:vAlign w:val="center"/>
          </w:tcPr>
          <w:p w14:paraId="71C81F6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256977B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复制库小型机</w:t>
            </w:r>
          </w:p>
        </w:tc>
        <w:tc>
          <w:tcPr>
            <w:tcW w:w="1279" w:type="pct"/>
            <w:shd w:val="clear" w:color="auto" w:fill="auto"/>
            <w:noWrap/>
            <w:vAlign w:val="center"/>
          </w:tcPr>
          <w:p w14:paraId="5A22F52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 xml:space="preserve"> IBM POWER6 P550</w:t>
            </w:r>
          </w:p>
        </w:tc>
        <w:tc>
          <w:tcPr>
            <w:tcW w:w="400" w:type="pct"/>
            <w:shd w:val="clear" w:color="auto" w:fill="auto"/>
            <w:noWrap/>
            <w:vAlign w:val="center"/>
          </w:tcPr>
          <w:p w14:paraId="0A23F08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noWrap/>
            <w:vAlign w:val="center"/>
          </w:tcPr>
          <w:p w14:paraId="1FCF1B3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38558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31C811D">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106</w:t>
            </w:r>
          </w:p>
        </w:tc>
        <w:tc>
          <w:tcPr>
            <w:tcW w:w="830" w:type="pct"/>
            <w:shd w:val="clear" w:color="auto" w:fill="auto"/>
            <w:vAlign w:val="center"/>
          </w:tcPr>
          <w:p w14:paraId="1791F34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服务器设备</w:t>
            </w:r>
          </w:p>
        </w:tc>
        <w:tc>
          <w:tcPr>
            <w:tcW w:w="1679" w:type="pct"/>
            <w:shd w:val="clear" w:color="auto" w:fill="auto"/>
            <w:vAlign w:val="center"/>
          </w:tcPr>
          <w:p w14:paraId="552EB80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内存扩容</w:t>
            </w:r>
          </w:p>
        </w:tc>
        <w:tc>
          <w:tcPr>
            <w:tcW w:w="1279" w:type="pct"/>
            <w:shd w:val="clear" w:color="auto" w:fill="auto"/>
            <w:noWrap/>
            <w:vAlign w:val="center"/>
          </w:tcPr>
          <w:p w14:paraId="7C57623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 xml:space="preserve"> IBM P550小型机配件</w:t>
            </w:r>
          </w:p>
        </w:tc>
        <w:tc>
          <w:tcPr>
            <w:tcW w:w="400" w:type="pct"/>
            <w:shd w:val="clear" w:color="auto" w:fill="auto"/>
            <w:noWrap/>
            <w:vAlign w:val="center"/>
          </w:tcPr>
          <w:p w14:paraId="3F610C7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noWrap/>
            <w:vAlign w:val="center"/>
          </w:tcPr>
          <w:p w14:paraId="092700C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批</w:t>
            </w:r>
          </w:p>
        </w:tc>
      </w:tr>
      <w:tr w14:paraId="4A70F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555789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107</w:t>
            </w:r>
          </w:p>
        </w:tc>
        <w:tc>
          <w:tcPr>
            <w:tcW w:w="830" w:type="pct"/>
            <w:shd w:val="clear" w:color="auto" w:fill="auto"/>
            <w:vAlign w:val="center"/>
          </w:tcPr>
          <w:p w14:paraId="7B00125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存储设备</w:t>
            </w:r>
          </w:p>
        </w:tc>
        <w:tc>
          <w:tcPr>
            <w:tcW w:w="1679" w:type="pct"/>
            <w:shd w:val="clear" w:color="auto" w:fill="auto"/>
            <w:vAlign w:val="center"/>
          </w:tcPr>
          <w:p w14:paraId="4CCBA8F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备份EMC存储</w:t>
            </w:r>
          </w:p>
        </w:tc>
        <w:tc>
          <w:tcPr>
            <w:tcW w:w="1279" w:type="pct"/>
            <w:shd w:val="clear" w:color="auto" w:fill="auto"/>
            <w:vAlign w:val="center"/>
          </w:tcPr>
          <w:p w14:paraId="3C1E934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EMC CX300</w:t>
            </w:r>
          </w:p>
        </w:tc>
        <w:tc>
          <w:tcPr>
            <w:tcW w:w="400" w:type="pct"/>
            <w:shd w:val="clear" w:color="auto" w:fill="auto"/>
            <w:noWrap/>
            <w:vAlign w:val="center"/>
          </w:tcPr>
          <w:p w14:paraId="7C03F7E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3F4B651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57207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BBB7218">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108</w:t>
            </w:r>
          </w:p>
        </w:tc>
        <w:tc>
          <w:tcPr>
            <w:tcW w:w="830" w:type="pct"/>
            <w:shd w:val="clear" w:color="auto" w:fill="auto"/>
            <w:vAlign w:val="center"/>
          </w:tcPr>
          <w:p w14:paraId="1114F03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存储设备</w:t>
            </w:r>
          </w:p>
        </w:tc>
        <w:tc>
          <w:tcPr>
            <w:tcW w:w="1679" w:type="pct"/>
            <w:shd w:val="clear" w:color="auto" w:fill="auto"/>
            <w:vAlign w:val="center"/>
          </w:tcPr>
          <w:p w14:paraId="6B4F49C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仲裁存储</w:t>
            </w:r>
          </w:p>
        </w:tc>
        <w:tc>
          <w:tcPr>
            <w:tcW w:w="1279" w:type="pct"/>
            <w:shd w:val="clear" w:color="auto" w:fill="auto"/>
            <w:vAlign w:val="center"/>
          </w:tcPr>
          <w:p w14:paraId="5BCF8B6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HDS AMS2300</w:t>
            </w:r>
          </w:p>
        </w:tc>
        <w:tc>
          <w:tcPr>
            <w:tcW w:w="400" w:type="pct"/>
            <w:shd w:val="clear" w:color="auto" w:fill="auto"/>
            <w:noWrap/>
            <w:vAlign w:val="center"/>
          </w:tcPr>
          <w:p w14:paraId="4422C16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0462A35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3F2FA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3FEAD96">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109</w:t>
            </w:r>
          </w:p>
        </w:tc>
        <w:tc>
          <w:tcPr>
            <w:tcW w:w="830" w:type="pct"/>
            <w:shd w:val="clear" w:color="auto" w:fill="auto"/>
            <w:vAlign w:val="center"/>
          </w:tcPr>
          <w:p w14:paraId="2C56202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存储设备</w:t>
            </w:r>
          </w:p>
        </w:tc>
        <w:tc>
          <w:tcPr>
            <w:tcW w:w="1679" w:type="pct"/>
            <w:shd w:val="clear" w:color="auto" w:fill="auto"/>
            <w:vAlign w:val="center"/>
          </w:tcPr>
          <w:p w14:paraId="7F1BFE4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备份存储</w:t>
            </w:r>
          </w:p>
        </w:tc>
        <w:tc>
          <w:tcPr>
            <w:tcW w:w="1279" w:type="pct"/>
            <w:shd w:val="clear" w:color="auto" w:fill="auto"/>
            <w:vAlign w:val="center"/>
          </w:tcPr>
          <w:p w14:paraId="6FF818D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HDS AMS2300</w:t>
            </w:r>
          </w:p>
        </w:tc>
        <w:tc>
          <w:tcPr>
            <w:tcW w:w="400" w:type="pct"/>
            <w:shd w:val="clear" w:color="auto" w:fill="auto"/>
            <w:noWrap/>
            <w:vAlign w:val="center"/>
          </w:tcPr>
          <w:p w14:paraId="1BDE62A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3D7B531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0E65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18A247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110</w:t>
            </w:r>
          </w:p>
        </w:tc>
        <w:tc>
          <w:tcPr>
            <w:tcW w:w="830" w:type="pct"/>
            <w:shd w:val="clear" w:color="auto" w:fill="auto"/>
            <w:vAlign w:val="center"/>
          </w:tcPr>
          <w:p w14:paraId="4BA5657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存储设备</w:t>
            </w:r>
          </w:p>
        </w:tc>
        <w:tc>
          <w:tcPr>
            <w:tcW w:w="1679" w:type="pct"/>
            <w:shd w:val="clear" w:color="auto" w:fill="auto"/>
            <w:vAlign w:val="center"/>
          </w:tcPr>
          <w:p w14:paraId="23331CB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内网虚拟化存储</w:t>
            </w:r>
          </w:p>
        </w:tc>
        <w:tc>
          <w:tcPr>
            <w:tcW w:w="1279" w:type="pct"/>
            <w:shd w:val="clear" w:color="auto" w:fill="auto"/>
            <w:vAlign w:val="center"/>
          </w:tcPr>
          <w:p w14:paraId="7AE25E9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HDS HUS 110</w:t>
            </w:r>
          </w:p>
        </w:tc>
        <w:tc>
          <w:tcPr>
            <w:tcW w:w="400" w:type="pct"/>
            <w:shd w:val="clear" w:color="auto" w:fill="auto"/>
            <w:noWrap/>
            <w:vAlign w:val="center"/>
          </w:tcPr>
          <w:p w14:paraId="5952CDB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58AA0A9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2C63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BE49DFA">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111</w:t>
            </w:r>
          </w:p>
        </w:tc>
        <w:tc>
          <w:tcPr>
            <w:tcW w:w="830" w:type="pct"/>
            <w:shd w:val="clear" w:color="auto" w:fill="auto"/>
            <w:vAlign w:val="center"/>
          </w:tcPr>
          <w:p w14:paraId="6C8D5F2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存储设备</w:t>
            </w:r>
          </w:p>
        </w:tc>
        <w:tc>
          <w:tcPr>
            <w:tcW w:w="1679" w:type="pct"/>
            <w:shd w:val="clear" w:color="auto" w:fill="auto"/>
            <w:vAlign w:val="center"/>
          </w:tcPr>
          <w:p w14:paraId="068750A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内网PACS存储</w:t>
            </w:r>
          </w:p>
        </w:tc>
        <w:tc>
          <w:tcPr>
            <w:tcW w:w="1279" w:type="pct"/>
            <w:shd w:val="clear" w:color="auto" w:fill="auto"/>
            <w:vAlign w:val="center"/>
          </w:tcPr>
          <w:p w14:paraId="102CE9A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HDS HUS 130</w:t>
            </w:r>
          </w:p>
        </w:tc>
        <w:tc>
          <w:tcPr>
            <w:tcW w:w="400" w:type="pct"/>
            <w:shd w:val="clear" w:color="auto" w:fill="auto"/>
            <w:noWrap/>
            <w:vAlign w:val="center"/>
          </w:tcPr>
          <w:p w14:paraId="260CC29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5291547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3AE4A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ED2BC64">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112</w:t>
            </w:r>
          </w:p>
        </w:tc>
        <w:tc>
          <w:tcPr>
            <w:tcW w:w="830" w:type="pct"/>
            <w:shd w:val="clear" w:color="auto" w:fill="auto"/>
            <w:vAlign w:val="center"/>
          </w:tcPr>
          <w:p w14:paraId="7592418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存储设备</w:t>
            </w:r>
          </w:p>
        </w:tc>
        <w:tc>
          <w:tcPr>
            <w:tcW w:w="1679" w:type="pct"/>
            <w:shd w:val="clear" w:color="auto" w:fill="auto"/>
            <w:vAlign w:val="center"/>
          </w:tcPr>
          <w:p w14:paraId="06EA074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内网PACS NAS控制器</w:t>
            </w:r>
          </w:p>
        </w:tc>
        <w:tc>
          <w:tcPr>
            <w:tcW w:w="1279" w:type="pct"/>
            <w:shd w:val="clear" w:color="auto" w:fill="auto"/>
            <w:vAlign w:val="center"/>
          </w:tcPr>
          <w:p w14:paraId="5B252FA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HDS HNAS 4040</w:t>
            </w:r>
          </w:p>
        </w:tc>
        <w:tc>
          <w:tcPr>
            <w:tcW w:w="400" w:type="pct"/>
            <w:shd w:val="clear" w:color="auto" w:fill="auto"/>
            <w:noWrap/>
            <w:vAlign w:val="center"/>
          </w:tcPr>
          <w:p w14:paraId="3CA1770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19610AB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60016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1962C5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113</w:t>
            </w:r>
          </w:p>
        </w:tc>
        <w:tc>
          <w:tcPr>
            <w:tcW w:w="830" w:type="pct"/>
            <w:shd w:val="clear" w:color="auto" w:fill="auto"/>
            <w:vAlign w:val="center"/>
          </w:tcPr>
          <w:p w14:paraId="293009E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存储设备</w:t>
            </w:r>
          </w:p>
        </w:tc>
        <w:tc>
          <w:tcPr>
            <w:tcW w:w="1679" w:type="pct"/>
            <w:shd w:val="clear" w:color="auto" w:fill="auto"/>
            <w:vAlign w:val="center"/>
          </w:tcPr>
          <w:p w14:paraId="32F9C0E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外网虚拟化存储</w:t>
            </w:r>
          </w:p>
        </w:tc>
        <w:tc>
          <w:tcPr>
            <w:tcW w:w="1279" w:type="pct"/>
            <w:shd w:val="clear" w:color="auto" w:fill="auto"/>
            <w:vAlign w:val="center"/>
          </w:tcPr>
          <w:p w14:paraId="326A6F2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HDS HUS 110</w:t>
            </w:r>
          </w:p>
        </w:tc>
        <w:tc>
          <w:tcPr>
            <w:tcW w:w="400" w:type="pct"/>
            <w:shd w:val="clear" w:color="auto" w:fill="auto"/>
            <w:noWrap/>
            <w:vAlign w:val="center"/>
          </w:tcPr>
          <w:p w14:paraId="38361F9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0F663B6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4F8B3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10897C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114</w:t>
            </w:r>
          </w:p>
        </w:tc>
        <w:tc>
          <w:tcPr>
            <w:tcW w:w="830" w:type="pct"/>
            <w:shd w:val="clear" w:color="auto" w:fill="auto"/>
            <w:vAlign w:val="center"/>
          </w:tcPr>
          <w:p w14:paraId="31B32F7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存储设备</w:t>
            </w:r>
          </w:p>
        </w:tc>
        <w:tc>
          <w:tcPr>
            <w:tcW w:w="1679" w:type="pct"/>
            <w:shd w:val="clear" w:color="auto" w:fill="auto"/>
            <w:vAlign w:val="center"/>
          </w:tcPr>
          <w:p w14:paraId="4230CC5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存储硬盘</w:t>
            </w:r>
          </w:p>
        </w:tc>
        <w:tc>
          <w:tcPr>
            <w:tcW w:w="1279" w:type="pct"/>
            <w:shd w:val="clear" w:color="auto" w:fill="auto"/>
            <w:noWrap/>
            <w:vAlign w:val="center"/>
          </w:tcPr>
          <w:p w14:paraId="651BCC7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 xml:space="preserve"> DELL 146G硬盘</w:t>
            </w:r>
          </w:p>
        </w:tc>
        <w:tc>
          <w:tcPr>
            <w:tcW w:w="400" w:type="pct"/>
            <w:shd w:val="clear" w:color="auto" w:fill="auto"/>
            <w:noWrap/>
            <w:vAlign w:val="center"/>
          </w:tcPr>
          <w:p w14:paraId="7680E20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7</w:t>
            </w:r>
          </w:p>
        </w:tc>
        <w:tc>
          <w:tcPr>
            <w:tcW w:w="405" w:type="pct"/>
            <w:shd w:val="clear" w:color="auto" w:fill="auto"/>
            <w:noWrap/>
            <w:vAlign w:val="center"/>
          </w:tcPr>
          <w:p w14:paraId="496C01B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只</w:t>
            </w:r>
          </w:p>
        </w:tc>
      </w:tr>
      <w:tr w14:paraId="2B39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BFD85B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115</w:t>
            </w:r>
          </w:p>
        </w:tc>
        <w:tc>
          <w:tcPr>
            <w:tcW w:w="830" w:type="pct"/>
            <w:shd w:val="clear" w:color="auto" w:fill="auto"/>
            <w:vAlign w:val="center"/>
          </w:tcPr>
          <w:p w14:paraId="37FFDB0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存储设备</w:t>
            </w:r>
          </w:p>
        </w:tc>
        <w:tc>
          <w:tcPr>
            <w:tcW w:w="1679" w:type="pct"/>
            <w:shd w:val="clear" w:color="auto" w:fill="auto"/>
            <w:vAlign w:val="center"/>
          </w:tcPr>
          <w:p w14:paraId="6D83818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存储硬盘扩容</w:t>
            </w:r>
          </w:p>
        </w:tc>
        <w:tc>
          <w:tcPr>
            <w:tcW w:w="1279" w:type="pct"/>
            <w:shd w:val="clear" w:color="auto" w:fill="auto"/>
            <w:noWrap/>
            <w:vAlign w:val="center"/>
          </w:tcPr>
          <w:p w14:paraId="690DD36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HDS AMS2300配件</w:t>
            </w:r>
          </w:p>
        </w:tc>
        <w:tc>
          <w:tcPr>
            <w:tcW w:w="400" w:type="pct"/>
            <w:shd w:val="clear" w:color="auto" w:fill="auto"/>
            <w:noWrap/>
            <w:vAlign w:val="center"/>
          </w:tcPr>
          <w:p w14:paraId="5274779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noWrap/>
            <w:vAlign w:val="center"/>
          </w:tcPr>
          <w:p w14:paraId="591C3C1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批</w:t>
            </w:r>
          </w:p>
        </w:tc>
      </w:tr>
      <w:tr w14:paraId="76545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8E84B1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116</w:t>
            </w:r>
          </w:p>
        </w:tc>
        <w:tc>
          <w:tcPr>
            <w:tcW w:w="830" w:type="pct"/>
            <w:shd w:val="clear" w:color="auto" w:fill="auto"/>
            <w:vAlign w:val="center"/>
          </w:tcPr>
          <w:p w14:paraId="32955EF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存储设备</w:t>
            </w:r>
          </w:p>
        </w:tc>
        <w:tc>
          <w:tcPr>
            <w:tcW w:w="1679" w:type="pct"/>
            <w:shd w:val="clear" w:color="auto" w:fill="auto"/>
            <w:vAlign w:val="center"/>
          </w:tcPr>
          <w:p w14:paraId="2769DB2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存储主机硬盘扩容</w:t>
            </w:r>
          </w:p>
        </w:tc>
        <w:tc>
          <w:tcPr>
            <w:tcW w:w="1279" w:type="pct"/>
            <w:shd w:val="clear" w:color="auto" w:fill="auto"/>
            <w:noWrap/>
            <w:vAlign w:val="center"/>
          </w:tcPr>
          <w:p w14:paraId="2308B5A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HDS HUS110配件</w:t>
            </w:r>
          </w:p>
        </w:tc>
        <w:tc>
          <w:tcPr>
            <w:tcW w:w="400" w:type="pct"/>
            <w:shd w:val="clear" w:color="auto" w:fill="auto"/>
            <w:noWrap/>
            <w:vAlign w:val="center"/>
          </w:tcPr>
          <w:p w14:paraId="202D2BF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7FFBB4C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02A76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CAD6500">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117</w:t>
            </w:r>
          </w:p>
        </w:tc>
        <w:tc>
          <w:tcPr>
            <w:tcW w:w="830" w:type="pct"/>
            <w:shd w:val="clear" w:color="auto" w:fill="auto"/>
            <w:vAlign w:val="center"/>
          </w:tcPr>
          <w:p w14:paraId="43087DF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存储设备</w:t>
            </w:r>
          </w:p>
        </w:tc>
        <w:tc>
          <w:tcPr>
            <w:tcW w:w="1679" w:type="pct"/>
            <w:shd w:val="clear" w:color="auto" w:fill="auto"/>
            <w:vAlign w:val="center"/>
          </w:tcPr>
          <w:p w14:paraId="37D4C20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虚拟化存储</w:t>
            </w:r>
          </w:p>
        </w:tc>
        <w:tc>
          <w:tcPr>
            <w:tcW w:w="1279" w:type="pct"/>
            <w:shd w:val="clear" w:color="auto" w:fill="auto"/>
            <w:vAlign w:val="center"/>
          </w:tcPr>
          <w:p w14:paraId="7824257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HDS VSPG400</w:t>
            </w:r>
          </w:p>
        </w:tc>
        <w:tc>
          <w:tcPr>
            <w:tcW w:w="400" w:type="pct"/>
            <w:shd w:val="clear" w:color="auto" w:fill="auto"/>
            <w:noWrap/>
            <w:vAlign w:val="center"/>
          </w:tcPr>
          <w:p w14:paraId="1DBF06E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noWrap/>
            <w:vAlign w:val="center"/>
          </w:tcPr>
          <w:p w14:paraId="447975C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1117A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C392CAC">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118</w:t>
            </w:r>
          </w:p>
        </w:tc>
        <w:tc>
          <w:tcPr>
            <w:tcW w:w="830" w:type="pct"/>
            <w:shd w:val="clear" w:color="auto" w:fill="auto"/>
            <w:vAlign w:val="center"/>
          </w:tcPr>
          <w:p w14:paraId="6873BB4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通用应用软件</w:t>
            </w:r>
          </w:p>
        </w:tc>
        <w:tc>
          <w:tcPr>
            <w:tcW w:w="1679" w:type="pct"/>
            <w:shd w:val="clear" w:color="auto" w:fill="auto"/>
            <w:vAlign w:val="center"/>
          </w:tcPr>
          <w:p w14:paraId="3AE42F7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数据库实时复制软件</w:t>
            </w:r>
          </w:p>
        </w:tc>
        <w:tc>
          <w:tcPr>
            <w:tcW w:w="1279" w:type="pct"/>
            <w:shd w:val="clear" w:color="auto" w:fill="auto"/>
            <w:vAlign w:val="center"/>
          </w:tcPr>
          <w:p w14:paraId="5EFEBE0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DSG SuperSync V3.2</w:t>
            </w:r>
          </w:p>
        </w:tc>
        <w:tc>
          <w:tcPr>
            <w:tcW w:w="400" w:type="pct"/>
            <w:shd w:val="clear" w:color="auto" w:fill="auto"/>
            <w:noWrap/>
            <w:vAlign w:val="center"/>
          </w:tcPr>
          <w:p w14:paraId="6DCDEB4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0FC8454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422EF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05" w:type="pct"/>
            <w:shd w:val="clear" w:color="auto" w:fill="auto"/>
            <w:vAlign w:val="center"/>
          </w:tcPr>
          <w:p w14:paraId="54C23B53">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119</w:t>
            </w:r>
          </w:p>
        </w:tc>
        <w:tc>
          <w:tcPr>
            <w:tcW w:w="830" w:type="pct"/>
            <w:shd w:val="clear" w:color="auto" w:fill="auto"/>
            <w:vAlign w:val="center"/>
          </w:tcPr>
          <w:p w14:paraId="3A6AC60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2D3BE37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内网虚拟化防火墙1</w:t>
            </w:r>
          </w:p>
        </w:tc>
        <w:tc>
          <w:tcPr>
            <w:tcW w:w="1279" w:type="pct"/>
            <w:shd w:val="clear" w:color="auto" w:fill="auto"/>
            <w:vAlign w:val="center"/>
          </w:tcPr>
          <w:p w14:paraId="6D914B4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启明星辰 天清汉马USG-FW-4200E</w:t>
            </w:r>
          </w:p>
        </w:tc>
        <w:tc>
          <w:tcPr>
            <w:tcW w:w="400" w:type="pct"/>
            <w:shd w:val="clear" w:color="auto" w:fill="auto"/>
            <w:noWrap/>
            <w:vAlign w:val="center"/>
          </w:tcPr>
          <w:p w14:paraId="7A01CBD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31F5EA6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5A823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F2DC79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120</w:t>
            </w:r>
          </w:p>
        </w:tc>
        <w:tc>
          <w:tcPr>
            <w:tcW w:w="830" w:type="pct"/>
            <w:shd w:val="clear" w:color="auto" w:fill="auto"/>
            <w:vAlign w:val="center"/>
          </w:tcPr>
          <w:p w14:paraId="3A4E4F2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693F9BE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内网虚拟化防火墙2</w:t>
            </w:r>
          </w:p>
        </w:tc>
        <w:tc>
          <w:tcPr>
            <w:tcW w:w="1279" w:type="pct"/>
            <w:shd w:val="clear" w:color="auto" w:fill="auto"/>
            <w:vAlign w:val="center"/>
          </w:tcPr>
          <w:p w14:paraId="484DD09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启明星辰 天清汉马USG-FW-4200E</w:t>
            </w:r>
          </w:p>
        </w:tc>
        <w:tc>
          <w:tcPr>
            <w:tcW w:w="400" w:type="pct"/>
            <w:shd w:val="clear" w:color="auto" w:fill="auto"/>
            <w:noWrap/>
            <w:vAlign w:val="center"/>
          </w:tcPr>
          <w:p w14:paraId="6C48874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357B694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2CB03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1666226">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121</w:t>
            </w:r>
          </w:p>
        </w:tc>
        <w:tc>
          <w:tcPr>
            <w:tcW w:w="830" w:type="pct"/>
            <w:shd w:val="clear" w:color="auto" w:fill="auto"/>
            <w:vAlign w:val="center"/>
          </w:tcPr>
          <w:p w14:paraId="5FD0208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4E7D856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培训中心外网防火墙</w:t>
            </w:r>
          </w:p>
        </w:tc>
        <w:tc>
          <w:tcPr>
            <w:tcW w:w="1279" w:type="pct"/>
            <w:shd w:val="clear" w:color="auto" w:fill="auto"/>
            <w:vAlign w:val="center"/>
          </w:tcPr>
          <w:p w14:paraId="4073CBD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深信服 AC1200</w:t>
            </w:r>
          </w:p>
        </w:tc>
        <w:tc>
          <w:tcPr>
            <w:tcW w:w="400" w:type="pct"/>
            <w:shd w:val="clear" w:color="auto" w:fill="auto"/>
            <w:noWrap/>
            <w:vAlign w:val="center"/>
          </w:tcPr>
          <w:p w14:paraId="3560920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54CF385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2B725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EF2BADA">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122</w:t>
            </w:r>
          </w:p>
        </w:tc>
        <w:tc>
          <w:tcPr>
            <w:tcW w:w="830" w:type="pct"/>
            <w:shd w:val="clear" w:color="auto" w:fill="auto"/>
            <w:vAlign w:val="center"/>
          </w:tcPr>
          <w:p w14:paraId="40F740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68659EF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外网SSL VPN</w:t>
            </w:r>
          </w:p>
        </w:tc>
        <w:tc>
          <w:tcPr>
            <w:tcW w:w="1279" w:type="pct"/>
            <w:shd w:val="clear" w:color="auto" w:fill="auto"/>
            <w:vAlign w:val="center"/>
          </w:tcPr>
          <w:p w14:paraId="1D8F5DE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深信服 SSLVPN SJJ1517</w:t>
            </w:r>
          </w:p>
        </w:tc>
        <w:tc>
          <w:tcPr>
            <w:tcW w:w="400" w:type="pct"/>
            <w:shd w:val="clear" w:color="auto" w:fill="auto"/>
            <w:noWrap/>
            <w:vAlign w:val="center"/>
          </w:tcPr>
          <w:p w14:paraId="2012B61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08E099A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13DDF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DD8ACEB">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123</w:t>
            </w:r>
          </w:p>
        </w:tc>
        <w:tc>
          <w:tcPr>
            <w:tcW w:w="830" w:type="pct"/>
            <w:shd w:val="clear" w:color="auto" w:fill="auto"/>
            <w:vAlign w:val="center"/>
          </w:tcPr>
          <w:p w14:paraId="5C6EAEE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1D39A81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无线外网防火墙</w:t>
            </w:r>
          </w:p>
        </w:tc>
        <w:tc>
          <w:tcPr>
            <w:tcW w:w="1279" w:type="pct"/>
            <w:shd w:val="clear" w:color="auto" w:fill="auto"/>
            <w:vAlign w:val="center"/>
          </w:tcPr>
          <w:p w14:paraId="47F26D1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深信服 AF1220</w:t>
            </w:r>
          </w:p>
        </w:tc>
        <w:tc>
          <w:tcPr>
            <w:tcW w:w="400" w:type="pct"/>
            <w:shd w:val="clear" w:color="auto" w:fill="auto"/>
            <w:noWrap/>
            <w:vAlign w:val="center"/>
          </w:tcPr>
          <w:p w14:paraId="3A4F28E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09E0E5D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10E07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4E27806">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124</w:t>
            </w:r>
          </w:p>
        </w:tc>
        <w:tc>
          <w:tcPr>
            <w:tcW w:w="830" w:type="pct"/>
            <w:shd w:val="clear" w:color="auto" w:fill="auto"/>
            <w:vAlign w:val="center"/>
          </w:tcPr>
          <w:p w14:paraId="3F23643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4BC9146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网络运维管理系统</w:t>
            </w:r>
          </w:p>
        </w:tc>
        <w:tc>
          <w:tcPr>
            <w:tcW w:w="1279" w:type="pct"/>
            <w:shd w:val="clear" w:color="auto" w:fill="auto"/>
            <w:vAlign w:val="center"/>
          </w:tcPr>
          <w:p w14:paraId="7C20C5F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 xml:space="preserve"> BTSO 北塔 </w:t>
            </w:r>
          </w:p>
          <w:p w14:paraId="1057ECC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智慧运维平台 V2.5</w:t>
            </w:r>
          </w:p>
        </w:tc>
        <w:tc>
          <w:tcPr>
            <w:tcW w:w="400" w:type="pct"/>
            <w:shd w:val="clear" w:color="auto" w:fill="auto"/>
            <w:noWrap/>
            <w:vAlign w:val="center"/>
          </w:tcPr>
          <w:p w14:paraId="18224F0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773D974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6C671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DC75B90">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125</w:t>
            </w:r>
          </w:p>
        </w:tc>
        <w:tc>
          <w:tcPr>
            <w:tcW w:w="830" w:type="pct"/>
            <w:shd w:val="clear" w:color="auto" w:fill="auto"/>
            <w:vAlign w:val="center"/>
          </w:tcPr>
          <w:p w14:paraId="34105FD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733A256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外网上网行为管理</w:t>
            </w:r>
          </w:p>
        </w:tc>
        <w:tc>
          <w:tcPr>
            <w:tcW w:w="1279" w:type="pct"/>
            <w:shd w:val="clear" w:color="auto" w:fill="auto"/>
            <w:noWrap/>
            <w:vAlign w:val="center"/>
          </w:tcPr>
          <w:p w14:paraId="18B9E04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深信服 AC 1400</w:t>
            </w:r>
          </w:p>
        </w:tc>
        <w:tc>
          <w:tcPr>
            <w:tcW w:w="400" w:type="pct"/>
            <w:shd w:val="clear" w:color="auto" w:fill="auto"/>
            <w:noWrap/>
            <w:vAlign w:val="center"/>
          </w:tcPr>
          <w:p w14:paraId="2DDCA63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04E1FB0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02CEE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A49151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126</w:t>
            </w:r>
          </w:p>
        </w:tc>
        <w:tc>
          <w:tcPr>
            <w:tcW w:w="830" w:type="pct"/>
            <w:shd w:val="clear" w:color="auto" w:fill="auto"/>
            <w:vAlign w:val="center"/>
          </w:tcPr>
          <w:p w14:paraId="70BA0C6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2C7AECD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WEB 防火墙</w:t>
            </w:r>
          </w:p>
        </w:tc>
        <w:tc>
          <w:tcPr>
            <w:tcW w:w="1279" w:type="pct"/>
            <w:shd w:val="clear" w:color="auto" w:fill="auto"/>
            <w:noWrap/>
            <w:vAlign w:val="center"/>
          </w:tcPr>
          <w:p w14:paraId="02DBCB4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绿盟 WEB NX3</w:t>
            </w:r>
          </w:p>
        </w:tc>
        <w:tc>
          <w:tcPr>
            <w:tcW w:w="400" w:type="pct"/>
            <w:shd w:val="clear" w:color="auto" w:fill="auto"/>
            <w:noWrap/>
            <w:vAlign w:val="center"/>
          </w:tcPr>
          <w:p w14:paraId="4512CD0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7D500B5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3FBFA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74F29DE">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127</w:t>
            </w:r>
          </w:p>
        </w:tc>
        <w:tc>
          <w:tcPr>
            <w:tcW w:w="830" w:type="pct"/>
            <w:shd w:val="clear" w:color="auto" w:fill="auto"/>
            <w:vAlign w:val="center"/>
          </w:tcPr>
          <w:p w14:paraId="1306015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686D5ED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安全审计设备</w:t>
            </w:r>
          </w:p>
        </w:tc>
        <w:tc>
          <w:tcPr>
            <w:tcW w:w="1279" w:type="pct"/>
            <w:shd w:val="clear" w:color="auto" w:fill="auto"/>
            <w:noWrap/>
            <w:vAlign w:val="center"/>
          </w:tcPr>
          <w:p w14:paraId="46DC0C7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齐治 SHPERM-CJ5-JS</w:t>
            </w:r>
          </w:p>
        </w:tc>
        <w:tc>
          <w:tcPr>
            <w:tcW w:w="400" w:type="pct"/>
            <w:shd w:val="clear" w:color="auto" w:fill="auto"/>
            <w:noWrap/>
            <w:vAlign w:val="center"/>
          </w:tcPr>
          <w:p w14:paraId="02D7DB9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2E103B4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754DB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7787E4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128</w:t>
            </w:r>
          </w:p>
        </w:tc>
        <w:tc>
          <w:tcPr>
            <w:tcW w:w="830" w:type="pct"/>
            <w:shd w:val="clear" w:color="auto" w:fill="auto"/>
            <w:vAlign w:val="center"/>
          </w:tcPr>
          <w:p w14:paraId="24905A9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50F0C1B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外网边界防火墙</w:t>
            </w:r>
          </w:p>
        </w:tc>
        <w:tc>
          <w:tcPr>
            <w:tcW w:w="1279" w:type="pct"/>
            <w:shd w:val="clear" w:color="auto" w:fill="auto"/>
            <w:noWrap/>
            <w:vAlign w:val="center"/>
          </w:tcPr>
          <w:p w14:paraId="3F44D91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网域星云Power V6000-F2630P</w:t>
            </w:r>
          </w:p>
        </w:tc>
        <w:tc>
          <w:tcPr>
            <w:tcW w:w="400" w:type="pct"/>
            <w:shd w:val="clear" w:color="auto" w:fill="auto"/>
            <w:noWrap/>
            <w:vAlign w:val="center"/>
          </w:tcPr>
          <w:p w14:paraId="4F49C72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5C6A4E6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505BA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209E2B4">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129</w:t>
            </w:r>
          </w:p>
        </w:tc>
        <w:tc>
          <w:tcPr>
            <w:tcW w:w="830" w:type="pct"/>
            <w:shd w:val="clear" w:color="auto" w:fill="auto"/>
            <w:vAlign w:val="center"/>
          </w:tcPr>
          <w:p w14:paraId="104AF8E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273C2DE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内外网隔离网闸</w:t>
            </w:r>
          </w:p>
        </w:tc>
        <w:tc>
          <w:tcPr>
            <w:tcW w:w="1279" w:type="pct"/>
            <w:shd w:val="clear" w:color="auto" w:fill="auto"/>
            <w:noWrap/>
            <w:vAlign w:val="center"/>
          </w:tcPr>
          <w:p w14:paraId="4ABAE62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网御星云SIS4000</w:t>
            </w:r>
          </w:p>
        </w:tc>
        <w:tc>
          <w:tcPr>
            <w:tcW w:w="400" w:type="pct"/>
            <w:shd w:val="clear" w:color="auto" w:fill="auto"/>
            <w:noWrap/>
            <w:vAlign w:val="center"/>
          </w:tcPr>
          <w:p w14:paraId="7F1BD56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noWrap/>
            <w:vAlign w:val="center"/>
          </w:tcPr>
          <w:p w14:paraId="69D5F66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30CAD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405" w:type="pct"/>
            <w:shd w:val="clear" w:color="auto" w:fill="auto"/>
            <w:vAlign w:val="center"/>
          </w:tcPr>
          <w:p w14:paraId="68331AF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130</w:t>
            </w:r>
          </w:p>
        </w:tc>
        <w:tc>
          <w:tcPr>
            <w:tcW w:w="830" w:type="pct"/>
            <w:shd w:val="clear" w:color="auto" w:fill="auto"/>
            <w:vAlign w:val="center"/>
          </w:tcPr>
          <w:p w14:paraId="0B9EA22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5FBF173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安全网关</w:t>
            </w:r>
          </w:p>
        </w:tc>
        <w:tc>
          <w:tcPr>
            <w:tcW w:w="1279" w:type="pct"/>
            <w:shd w:val="clear" w:color="auto" w:fill="auto"/>
            <w:noWrap/>
            <w:vAlign w:val="center"/>
          </w:tcPr>
          <w:p w14:paraId="40E9A40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安恒明御 DAS-NGFW860</w:t>
            </w:r>
          </w:p>
        </w:tc>
        <w:tc>
          <w:tcPr>
            <w:tcW w:w="400" w:type="pct"/>
            <w:shd w:val="clear" w:color="auto" w:fill="auto"/>
            <w:noWrap/>
            <w:vAlign w:val="center"/>
          </w:tcPr>
          <w:p w14:paraId="5E4618E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noWrap/>
            <w:vAlign w:val="center"/>
          </w:tcPr>
          <w:p w14:paraId="42361B8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41701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11C97B6">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131</w:t>
            </w:r>
          </w:p>
        </w:tc>
        <w:tc>
          <w:tcPr>
            <w:tcW w:w="830" w:type="pct"/>
            <w:shd w:val="clear" w:color="auto" w:fill="auto"/>
            <w:vAlign w:val="center"/>
          </w:tcPr>
          <w:p w14:paraId="70F523A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安全系统</w:t>
            </w:r>
          </w:p>
        </w:tc>
        <w:tc>
          <w:tcPr>
            <w:tcW w:w="1679" w:type="pct"/>
            <w:shd w:val="clear" w:color="auto" w:fill="auto"/>
            <w:vAlign w:val="center"/>
          </w:tcPr>
          <w:p w14:paraId="0765349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互联网防火墙</w:t>
            </w:r>
          </w:p>
        </w:tc>
        <w:tc>
          <w:tcPr>
            <w:tcW w:w="1279" w:type="pct"/>
            <w:shd w:val="clear" w:color="auto" w:fill="auto"/>
            <w:noWrap/>
            <w:vAlign w:val="center"/>
          </w:tcPr>
          <w:p w14:paraId="509FD2A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山石SG-6000-E5260、山石SG-6000-E1700</w:t>
            </w:r>
          </w:p>
        </w:tc>
        <w:tc>
          <w:tcPr>
            <w:tcW w:w="400" w:type="pct"/>
            <w:shd w:val="clear" w:color="auto" w:fill="auto"/>
            <w:noWrap/>
            <w:vAlign w:val="center"/>
          </w:tcPr>
          <w:p w14:paraId="1E625C2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1+1</w:t>
            </w:r>
          </w:p>
        </w:tc>
        <w:tc>
          <w:tcPr>
            <w:tcW w:w="405" w:type="pct"/>
            <w:shd w:val="clear" w:color="auto" w:fill="auto"/>
            <w:noWrap/>
            <w:vAlign w:val="center"/>
          </w:tcPr>
          <w:p w14:paraId="3E759F6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37124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5608B3A">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132</w:t>
            </w:r>
          </w:p>
        </w:tc>
        <w:tc>
          <w:tcPr>
            <w:tcW w:w="830" w:type="pct"/>
            <w:shd w:val="clear" w:color="auto" w:fill="auto"/>
            <w:vAlign w:val="center"/>
          </w:tcPr>
          <w:p w14:paraId="63C9EAF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447D6B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UPS间总输入柜</w:t>
            </w:r>
          </w:p>
        </w:tc>
        <w:tc>
          <w:tcPr>
            <w:tcW w:w="1279" w:type="pct"/>
            <w:shd w:val="clear" w:color="auto" w:fill="auto"/>
            <w:vAlign w:val="center"/>
          </w:tcPr>
          <w:p w14:paraId="630584F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MOERLI MEL-160</w:t>
            </w:r>
          </w:p>
        </w:tc>
        <w:tc>
          <w:tcPr>
            <w:tcW w:w="400" w:type="pct"/>
            <w:shd w:val="clear" w:color="auto" w:fill="auto"/>
            <w:vAlign w:val="center"/>
          </w:tcPr>
          <w:p w14:paraId="65CB116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A67B18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56DFD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42E503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133</w:t>
            </w:r>
          </w:p>
        </w:tc>
        <w:tc>
          <w:tcPr>
            <w:tcW w:w="830" w:type="pct"/>
            <w:shd w:val="clear" w:color="auto" w:fill="auto"/>
            <w:vAlign w:val="center"/>
          </w:tcPr>
          <w:p w14:paraId="0FC7EB4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0399DD7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中心机房动力配电柜</w:t>
            </w:r>
          </w:p>
        </w:tc>
        <w:tc>
          <w:tcPr>
            <w:tcW w:w="1279" w:type="pct"/>
            <w:shd w:val="clear" w:color="auto" w:fill="auto"/>
            <w:vAlign w:val="center"/>
          </w:tcPr>
          <w:p w14:paraId="40D1A31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MOERLI MEL-80</w:t>
            </w:r>
          </w:p>
        </w:tc>
        <w:tc>
          <w:tcPr>
            <w:tcW w:w="400" w:type="pct"/>
            <w:shd w:val="clear" w:color="auto" w:fill="auto"/>
            <w:vAlign w:val="center"/>
          </w:tcPr>
          <w:p w14:paraId="456AEED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25A8CF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节</w:t>
            </w:r>
          </w:p>
        </w:tc>
      </w:tr>
      <w:tr w14:paraId="4476D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5550EF3">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134</w:t>
            </w:r>
          </w:p>
        </w:tc>
        <w:tc>
          <w:tcPr>
            <w:tcW w:w="830" w:type="pct"/>
            <w:shd w:val="clear" w:color="auto" w:fill="auto"/>
            <w:vAlign w:val="center"/>
          </w:tcPr>
          <w:p w14:paraId="0B2B75C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D51B2D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行间空调主机</w:t>
            </w:r>
          </w:p>
        </w:tc>
        <w:tc>
          <w:tcPr>
            <w:tcW w:w="1279" w:type="pct"/>
            <w:shd w:val="clear" w:color="auto" w:fill="auto"/>
            <w:vAlign w:val="center"/>
          </w:tcPr>
          <w:p w14:paraId="6247161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维谛CRV025RA</w:t>
            </w:r>
          </w:p>
        </w:tc>
        <w:tc>
          <w:tcPr>
            <w:tcW w:w="400" w:type="pct"/>
            <w:shd w:val="clear" w:color="auto" w:fill="auto"/>
            <w:vAlign w:val="center"/>
          </w:tcPr>
          <w:p w14:paraId="5C27090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vAlign w:val="center"/>
          </w:tcPr>
          <w:p w14:paraId="6091625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1C085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EC62E2C">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135</w:t>
            </w:r>
          </w:p>
        </w:tc>
        <w:tc>
          <w:tcPr>
            <w:tcW w:w="830" w:type="pct"/>
            <w:shd w:val="clear" w:color="auto" w:fill="auto"/>
            <w:vAlign w:val="center"/>
          </w:tcPr>
          <w:p w14:paraId="33E6147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CACFCB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室外机</w:t>
            </w:r>
          </w:p>
        </w:tc>
        <w:tc>
          <w:tcPr>
            <w:tcW w:w="1279" w:type="pct"/>
            <w:shd w:val="clear" w:color="auto" w:fill="auto"/>
            <w:vAlign w:val="center"/>
          </w:tcPr>
          <w:p w14:paraId="3366E0C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维谛LSF42-R3</w:t>
            </w:r>
          </w:p>
        </w:tc>
        <w:tc>
          <w:tcPr>
            <w:tcW w:w="400" w:type="pct"/>
            <w:shd w:val="clear" w:color="auto" w:fill="auto"/>
            <w:vAlign w:val="center"/>
          </w:tcPr>
          <w:p w14:paraId="0CC9066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vAlign w:val="center"/>
          </w:tcPr>
          <w:p w14:paraId="1707A9C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4EE3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75DB40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136</w:t>
            </w:r>
          </w:p>
        </w:tc>
        <w:tc>
          <w:tcPr>
            <w:tcW w:w="830" w:type="pct"/>
            <w:shd w:val="clear" w:color="auto" w:fill="auto"/>
            <w:vAlign w:val="center"/>
          </w:tcPr>
          <w:p w14:paraId="30CF488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B1F404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监控选件</w:t>
            </w:r>
          </w:p>
        </w:tc>
        <w:tc>
          <w:tcPr>
            <w:tcW w:w="1279" w:type="pct"/>
            <w:shd w:val="clear" w:color="auto" w:fill="auto"/>
            <w:vAlign w:val="center"/>
          </w:tcPr>
          <w:p w14:paraId="18F1FC0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维谛</w:t>
            </w:r>
          </w:p>
        </w:tc>
        <w:tc>
          <w:tcPr>
            <w:tcW w:w="400" w:type="pct"/>
            <w:shd w:val="clear" w:color="auto" w:fill="auto"/>
            <w:vAlign w:val="center"/>
          </w:tcPr>
          <w:p w14:paraId="165F35C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vAlign w:val="center"/>
          </w:tcPr>
          <w:p w14:paraId="5D9F99F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张</w:t>
            </w:r>
          </w:p>
        </w:tc>
      </w:tr>
      <w:tr w14:paraId="030F8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799185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137</w:t>
            </w:r>
          </w:p>
        </w:tc>
        <w:tc>
          <w:tcPr>
            <w:tcW w:w="830" w:type="pct"/>
            <w:shd w:val="clear" w:color="auto" w:fill="auto"/>
            <w:vAlign w:val="center"/>
          </w:tcPr>
          <w:p w14:paraId="1747310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1316DB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制冷剂</w:t>
            </w:r>
          </w:p>
        </w:tc>
        <w:tc>
          <w:tcPr>
            <w:tcW w:w="1279" w:type="pct"/>
            <w:shd w:val="clear" w:color="auto" w:fill="auto"/>
            <w:vAlign w:val="center"/>
          </w:tcPr>
          <w:p w14:paraId="004B66A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R410A</w:t>
            </w:r>
          </w:p>
        </w:tc>
        <w:tc>
          <w:tcPr>
            <w:tcW w:w="400" w:type="pct"/>
            <w:shd w:val="clear" w:color="auto" w:fill="auto"/>
            <w:vAlign w:val="center"/>
          </w:tcPr>
          <w:p w14:paraId="67AD74E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4</w:t>
            </w:r>
          </w:p>
        </w:tc>
        <w:tc>
          <w:tcPr>
            <w:tcW w:w="405" w:type="pct"/>
            <w:shd w:val="clear" w:color="auto" w:fill="auto"/>
            <w:vAlign w:val="center"/>
          </w:tcPr>
          <w:p w14:paraId="046A74C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瓶</w:t>
            </w:r>
          </w:p>
        </w:tc>
      </w:tr>
      <w:tr w14:paraId="7E7C7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565E23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138</w:t>
            </w:r>
          </w:p>
        </w:tc>
        <w:tc>
          <w:tcPr>
            <w:tcW w:w="830" w:type="pct"/>
            <w:shd w:val="clear" w:color="auto" w:fill="auto"/>
            <w:vAlign w:val="center"/>
          </w:tcPr>
          <w:p w14:paraId="30A457F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BCF4C2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KVM管理设备</w:t>
            </w:r>
          </w:p>
        </w:tc>
        <w:tc>
          <w:tcPr>
            <w:tcW w:w="1279" w:type="pct"/>
            <w:shd w:val="clear" w:color="auto" w:fill="auto"/>
            <w:vAlign w:val="center"/>
          </w:tcPr>
          <w:p w14:paraId="4AA85B6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蓝宝AR1016-S</w:t>
            </w:r>
          </w:p>
        </w:tc>
        <w:tc>
          <w:tcPr>
            <w:tcW w:w="400" w:type="pct"/>
            <w:shd w:val="clear" w:color="auto" w:fill="auto"/>
            <w:vAlign w:val="center"/>
          </w:tcPr>
          <w:p w14:paraId="37C8471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195C217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6CA58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83F5828">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139</w:t>
            </w:r>
          </w:p>
        </w:tc>
        <w:tc>
          <w:tcPr>
            <w:tcW w:w="830" w:type="pct"/>
            <w:shd w:val="clear" w:color="auto" w:fill="auto"/>
            <w:vAlign w:val="center"/>
          </w:tcPr>
          <w:p w14:paraId="0125AB8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D315DD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电力电量仪</w:t>
            </w:r>
          </w:p>
        </w:tc>
        <w:tc>
          <w:tcPr>
            <w:tcW w:w="1279" w:type="pct"/>
            <w:shd w:val="clear" w:color="auto" w:fill="auto"/>
            <w:vAlign w:val="center"/>
          </w:tcPr>
          <w:p w14:paraId="09E8C84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计通MCP400S</w:t>
            </w:r>
          </w:p>
        </w:tc>
        <w:tc>
          <w:tcPr>
            <w:tcW w:w="400" w:type="pct"/>
            <w:shd w:val="clear" w:color="auto" w:fill="auto"/>
            <w:vAlign w:val="center"/>
          </w:tcPr>
          <w:p w14:paraId="42576D3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4</w:t>
            </w:r>
          </w:p>
        </w:tc>
        <w:tc>
          <w:tcPr>
            <w:tcW w:w="405" w:type="pct"/>
            <w:shd w:val="clear" w:color="auto" w:fill="auto"/>
            <w:vAlign w:val="center"/>
          </w:tcPr>
          <w:p w14:paraId="2F04F7D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7D93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58ECC98">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140</w:t>
            </w:r>
          </w:p>
        </w:tc>
        <w:tc>
          <w:tcPr>
            <w:tcW w:w="830" w:type="pct"/>
            <w:shd w:val="clear" w:color="auto" w:fill="auto"/>
            <w:vAlign w:val="center"/>
          </w:tcPr>
          <w:p w14:paraId="724B983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91A79C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电流互感器</w:t>
            </w:r>
          </w:p>
        </w:tc>
        <w:tc>
          <w:tcPr>
            <w:tcW w:w="1279" w:type="pct"/>
            <w:shd w:val="clear" w:color="auto" w:fill="auto"/>
            <w:vAlign w:val="center"/>
          </w:tcPr>
          <w:p w14:paraId="67BD8E9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计通BH-0.66</w:t>
            </w:r>
          </w:p>
        </w:tc>
        <w:tc>
          <w:tcPr>
            <w:tcW w:w="400" w:type="pct"/>
            <w:shd w:val="clear" w:color="auto" w:fill="auto"/>
            <w:vAlign w:val="center"/>
          </w:tcPr>
          <w:p w14:paraId="6E1440D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12</w:t>
            </w:r>
          </w:p>
        </w:tc>
        <w:tc>
          <w:tcPr>
            <w:tcW w:w="405" w:type="pct"/>
            <w:shd w:val="clear" w:color="auto" w:fill="auto"/>
            <w:vAlign w:val="center"/>
          </w:tcPr>
          <w:p w14:paraId="1A099B2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131C6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D02F154">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141</w:t>
            </w:r>
          </w:p>
        </w:tc>
        <w:tc>
          <w:tcPr>
            <w:tcW w:w="830" w:type="pct"/>
            <w:shd w:val="clear" w:color="auto" w:fill="auto"/>
            <w:vAlign w:val="center"/>
          </w:tcPr>
          <w:p w14:paraId="44F0EA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69547ED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开关量采集模块</w:t>
            </w:r>
          </w:p>
        </w:tc>
        <w:tc>
          <w:tcPr>
            <w:tcW w:w="1279" w:type="pct"/>
            <w:shd w:val="clear" w:color="auto" w:fill="auto"/>
            <w:vAlign w:val="center"/>
          </w:tcPr>
          <w:p w14:paraId="6992C45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计通OAO-886</w:t>
            </w:r>
          </w:p>
        </w:tc>
        <w:tc>
          <w:tcPr>
            <w:tcW w:w="400" w:type="pct"/>
            <w:shd w:val="clear" w:color="auto" w:fill="auto"/>
            <w:vAlign w:val="center"/>
          </w:tcPr>
          <w:p w14:paraId="3E82127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6</w:t>
            </w:r>
          </w:p>
        </w:tc>
        <w:tc>
          <w:tcPr>
            <w:tcW w:w="405" w:type="pct"/>
            <w:shd w:val="clear" w:color="auto" w:fill="auto"/>
            <w:vAlign w:val="center"/>
          </w:tcPr>
          <w:p w14:paraId="1F0B648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23FB7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4BC8E9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142</w:t>
            </w:r>
          </w:p>
        </w:tc>
        <w:tc>
          <w:tcPr>
            <w:tcW w:w="830" w:type="pct"/>
            <w:shd w:val="clear" w:color="auto" w:fill="auto"/>
            <w:vAlign w:val="center"/>
          </w:tcPr>
          <w:p w14:paraId="10B71E8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C1C166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配电软件模块</w:t>
            </w:r>
          </w:p>
        </w:tc>
        <w:tc>
          <w:tcPr>
            <w:tcW w:w="1279" w:type="pct"/>
            <w:shd w:val="clear" w:color="auto" w:fill="auto"/>
            <w:vAlign w:val="center"/>
          </w:tcPr>
          <w:p w14:paraId="3C94986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2BA7949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56FC314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3D05E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1BD263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143</w:t>
            </w:r>
          </w:p>
        </w:tc>
        <w:tc>
          <w:tcPr>
            <w:tcW w:w="830" w:type="pct"/>
            <w:shd w:val="clear" w:color="auto" w:fill="auto"/>
            <w:vAlign w:val="center"/>
          </w:tcPr>
          <w:p w14:paraId="506F70C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E4684F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通讯转换模块</w:t>
            </w:r>
          </w:p>
        </w:tc>
        <w:tc>
          <w:tcPr>
            <w:tcW w:w="1279" w:type="pct"/>
            <w:shd w:val="clear" w:color="auto" w:fill="auto"/>
            <w:vAlign w:val="center"/>
          </w:tcPr>
          <w:p w14:paraId="5268068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计通OAO-820C</w:t>
            </w:r>
          </w:p>
        </w:tc>
        <w:tc>
          <w:tcPr>
            <w:tcW w:w="400" w:type="pct"/>
            <w:shd w:val="clear" w:color="auto" w:fill="auto"/>
            <w:vAlign w:val="center"/>
          </w:tcPr>
          <w:p w14:paraId="7BCFE44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7175533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3FB96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5DAEEDA">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144</w:t>
            </w:r>
          </w:p>
        </w:tc>
        <w:tc>
          <w:tcPr>
            <w:tcW w:w="830" w:type="pct"/>
            <w:shd w:val="clear" w:color="auto" w:fill="auto"/>
            <w:vAlign w:val="center"/>
          </w:tcPr>
          <w:p w14:paraId="5B09D7E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3AC369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UPS监测软件模块</w:t>
            </w:r>
          </w:p>
        </w:tc>
        <w:tc>
          <w:tcPr>
            <w:tcW w:w="1279" w:type="pct"/>
            <w:shd w:val="clear" w:color="auto" w:fill="auto"/>
            <w:vAlign w:val="center"/>
          </w:tcPr>
          <w:p w14:paraId="20B74D3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331A3BA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10704FF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53781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66CD3AF">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145</w:t>
            </w:r>
          </w:p>
        </w:tc>
        <w:tc>
          <w:tcPr>
            <w:tcW w:w="830" w:type="pct"/>
            <w:shd w:val="clear" w:color="auto" w:fill="auto"/>
            <w:vAlign w:val="center"/>
          </w:tcPr>
          <w:p w14:paraId="5801BF3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6113DE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通讯转换模块</w:t>
            </w:r>
          </w:p>
        </w:tc>
        <w:tc>
          <w:tcPr>
            <w:tcW w:w="1279" w:type="pct"/>
            <w:shd w:val="clear" w:color="auto" w:fill="auto"/>
            <w:vAlign w:val="center"/>
          </w:tcPr>
          <w:p w14:paraId="6E80A51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计通OAO-820C</w:t>
            </w:r>
          </w:p>
        </w:tc>
        <w:tc>
          <w:tcPr>
            <w:tcW w:w="400" w:type="pct"/>
            <w:shd w:val="clear" w:color="auto" w:fill="auto"/>
            <w:vAlign w:val="center"/>
          </w:tcPr>
          <w:p w14:paraId="584ABCA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4633FCD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275C5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1B6667C">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146</w:t>
            </w:r>
          </w:p>
        </w:tc>
        <w:tc>
          <w:tcPr>
            <w:tcW w:w="830" w:type="pct"/>
            <w:shd w:val="clear" w:color="auto" w:fill="auto"/>
            <w:vAlign w:val="center"/>
          </w:tcPr>
          <w:p w14:paraId="0D86692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87DE42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空调软件模块</w:t>
            </w:r>
          </w:p>
        </w:tc>
        <w:tc>
          <w:tcPr>
            <w:tcW w:w="1279" w:type="pct"/>
            <w:shd w:val="clear" w:color="auto" w:fill="auto"/>
            <w:vAlign w:val="center"/>
          </w:tcPr>
          <w:p w14:paraId="10A668D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5B119ED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4E0816B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78058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DA3E233">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147</w:t>
            </w:r>
          </w:p>
        </w:tc>
        <w:tc>
          <w:tcPr>
            <w:tcW w:w="830" w:type="pct"/>
            <w:shd w:val="clear" w:color="auto" w:fill="auto"/>
            <w:vAlign w:val="center"/>
          </w:tcPr>
          <w:p w14:paraId="332980F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A46482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温湿度传感器</w:t>
            </w:r>
          </w:p>
        </w:tc>
        <w:tc>
          <w:tcPr>
            <w:tcW w:w="1279" w:type="pct"/>
            <w:shd w:val="clear" w:color="auto" w:fill="auto"/>
            <w:vAlign w:val="center"/>
          </w:tcPr>
          <w:p w14:paraId="554B86C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计通OAO-210</w:t>
            </w:r>
          </w:p>
        </w:tc>
        <w:tc>
          <w:tcPr>
            <w:tcW w:w="400" w:type="pct"/>
            <w:shd w:val="clear" w:color="auto" w:fill="auto"/>
            <w:vAlign w:val="center"/>
          </w:tcPr>
          <w:p w14:paraId="4D7EE6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6</w:t>
            </w:r>
          </w:p>
        </w:tc>
        <w:tc>
          <w:tcPr>
            <w:tcW w:w="405" w:type="pct"/>
            <w:shd w:val="clear" w:color="auto" w:fill="auto"/>
            <w:vAlign w:val="center"/>
          </w:tcPr>
          <w:p w14:paraId="18510A5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29649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63B193D">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148</w:t>
            </w:r>
          </w:p>
        </w:tc>
        <w:tc>
          <w:tcPr>
            <w:tcW w:w="830" w:type="pct"/>
            <w:shd w:val="clear" w:color="auto" w:fill="auto"/>
            <w:vAlign w:val="center"/>
          </w:tcPr>
          <w:p w14:paraId="2443EF2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D3BB67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温湿度监测软件模块</w:t>
            </w:r>
          </w:p>
        </w:tc>
        <w:tc>
          <w:tcPr>
            <w:tcW w:w="1279" w:type="pct"/>
            <w:shd w:val="clear" w:color="auto" w:fill="auto"/>
            <w:vAlign w:val="center"/>
          </w:tcPr>
          <w:p w14:paraId="56D4C02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3ADBD9A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1F3AAF5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64893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42A196B">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149</w:t>
            </w:r>
          </w:p>
        </w:tc>
        <w:tc>
          <w:tcPr>
            <w:tcW w:w="830" w:type="pct"/>
            <w:shd w:val="clear" w:color="auto" w:fill="auto"/>
            <w:vAlign w:val="center"/>
          </w:tcPr>
          <w:p w14:paraId="2E1DDB2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4A6DA41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烟感探测器</w:t>
            </w:r>
          </w:p>
        </w:tc>
        <w:tc>
          <w:tcPr>
            <w:tcW w:w="1279" w:type="pct"/>
            <w:shd w:val="clear" w:color="auto" w:fill="auto"/>
            <w:vAlign w:val="center"/>
          </w:tcPr>
          <w:p w14:paraId="6B3BD06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计通YH-1068</w:t>
            </w:r>
          </w:p>
        </w:tc>
        <w:tc>
          <w:tcPr>
            <w:tcW w:w="400" w:type="pct"/>
            <w:shd w:val="clear" w:color="auto" w:fill="auto"/>
            <w:vAlign w:val="center"/>
          </w:tcPr>
          <w:p w14:paraId="70B7E4E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6</w:t>
            </w:r>
          </w:p>
        </w:tc>
        <w:tc>
          <w:tcPr>
            <w:tcW w:w="405" w:type="pct"/>
            <w:shd w:val="clear" w:color="auto" w:fill="auto"/>
            <w:vAlign w:val="center"/>
          </w:tcPr>
          <w:p w14:paraId="59D53CC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02AA1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FF967EE">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150</w:t>
            </w:r>
          </w:p>
        </w:tc>
        <w:tc>
          <w:tcPr>
            <w:tcW w:w="830" w:type="pct"/>
            <w:shd w:val="clear" w:color="auto" w:fill="auto"/>
            <w:vAlign w:val="center"/>
          </w:tcPr>
          <w:p w14:paraId="1E1507B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7D6449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开关量采集模块</w:t>
            </w:r>
          </w:p>
        </w:tc>
        <w:tc>
          <w:tcPr>
            <w:tcW w:w="1279" w:type="pct"/>
            <w:shd w:val="clear" w:color="auto" w:fill="auto"/>
            <w:vAlign w:val="center"/>
          </w:tcPr>
          <w:p w14:paraId="6211018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计通OAO-816D</w:t>
            </w:r>
          </w:p>
        </w:tc>
        <w:tc>
          <w:tcPr>
            <w:tcW w:w="400" w:type="pct"/>
            <w:shd w:val="clear" w:color="auto" w:fill="auto"/>
            <w:vAlign w:val="center"/>
          </w:tcPr>
          <w:p w14:paraId="41759C1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57F23A0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57E23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220EC06">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151</w:t>
            </w:r>
          </w:p>
        </w:tc>
        <w:tc>
          <w:tcPr>
            <w:tcW w:w="830" w:type="pct"/>
            <w:shd w:val="clear" w:color="auto" w:fill="auto"/>
            <w:vAlign w:val="center"/>
          </w:tcPr>
          <w:p w14:paraId="540B86C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93FA1D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消防监控软件模块</w:t>
            </w:r>
          </w:p>
        </w:tc>
        <w:tc>
          <w:tcPr>
            <w:tcW w:w="1279" w:type="pct"/>
            <w:shd w:val="clear" w:color="auto" w:fill="auto"/>
            <w:vAlign w:val="center"/>
          </w:tcPr>
          <w:p w14:paraId="7931A65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00C7A95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06B7E53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16AEB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CE3FCA6">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152</w:t>
            </w:r>
          </w:p>
        </w:tc>
        <w:tc>
          <w:tcPr>
            <w:tcW w:w="830" w:type="pct"/>
            <w:shd w:val="clear" w:color="auto" w:fill="auto"/>
            <w:vAlign w:val="center"/>
          </w:tcPr>
          <w:p w14:paraId="7160258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08D636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红外吸顶探测器</w:t>
            </w:r>
          </w:p>
        </w:tc>
        <w:tc>
          <w:tcPr>
            <w:tcW w:w="1279" w:type="pct"/>
            <w:shd w:val="clear" w:color="auto" w:fill="auto"/>
            <w:vAlign w:val="center"/>
          </w:tcPr>
          <w:p w14:paraId="1B2A029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计通DT-7380</w:t>
            </w:r>
          </w:p>
        </w:tc>
        <w:tc>
          <w:tcPr>
            <w:tcW w:w="400" w:type="pct"/>
            <w:shd w:val="clear" w:color="auto" w:fill="auto"/>
            <w:vAlign w:val="center"/>
          </w:tcPr>
          <w:p w14:paraId="35B119F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vAlign w:val="center"/>
          </w:tcPr>
          <w:p w14:paraId="663EEA4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只</w:t>
            </w:r>
          </w:p>
        </w:tc>
      </w:tr>
      <w:tr w14:paraId="22200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6CF460A">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153</w:t>
            </w:r>
          </w:p>
        </w:tc>
        <w:tc>
          <w:tcPr>
            <w:tcW w:w="830" w:type="pct"/>
            <w:shd w:val="clear" w:color="auto" w:fill="auto"/>
            <w:vAlign w:val="center"/>
          </w:tcPr>
          <w:p w14:paraId="18BEC6C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69DD5FC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开关量采集模块</w:t>
            </w:r>
          </w:p>
        </w:tc>
        <w:tc>
          <w:tcPr>
            <w:tcW w:w="1279" w:type="pct"/>
            <w:shd w:val="clear" w:color="auto" w:fill="auto"/>
            <w:vAlign w:val="center"/>
          </w:tcPr>
          <w:p w14:paraId="6CB0C6D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计通OAO-816D</w:t>
            </w:r>
          </w:p>
        </w:tc>
        <w:tc>
          <w:tcPr>
            <w:tcW w:w="400" w:type="pct"/>
            <w:shd w:val="clear" w:color="auto" w:fill="auto"/>
            <w:vAlign w:val="center"/>
          </w:tcPr>
          <w:p w14:paraId="54C9D72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5E4F453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255BD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0EF7B90">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154</w:t>
            </w:r>
          </w:p>
        </w:tc>
        <w:tc>
          <w:tcPr>
            <w:tcW w:w="830" w:type="pct"/>
            <w:shd w:val="clear" w:color="auto" w:fill="auto"/>
            <w:vAlign w:val="center"/>
          </w:tcPr>
          <w:p w14:paraId="3E641D3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1C212B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红外报警系统软件模块</w:t>
            </w:r>
          </w:p>
        </w:tc>
        <w:tc>
          <w:tcPr>
            <w:tcW w:w="1279" w:type="pct"/>
            <w:shd w:val="clear" w:color="auto" w:fill="auto"/>
            <w:vAlign w:val="center"/>
          </w:tcPr>
          <w:p w14:paraId="2D54A56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2359959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ECBA3E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06EC5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FA1513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155</w:t>
            </w:r>
          </w:p>
        </w:tc>
        <w:tc>
          <w:tcPr>
            <w:tcW w:w="830" w:type="pct"/>
            <w:shd w:val="clear" w:color="auto" w:fill="auto"/>
            <w:vAlign w:val="center"/>
          </w:tcPr>
          <w:p w14:paraId="7AB5478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785E7C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漏水控制器</w:t>
            </w:r>
          </w:p>
        </w:tc>
        <w:tc>
          <w:tcPr>
            <w:tcW w:w="1279" w:type="pct"/>
            <w:shd w:val="clear" w:color="auto" w:fill="auto"/>
            <w:vAlign w:val="center"/>
          </w:tcPr>
          <w:p w14:paraId="0718853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计通XW-DC-04</w:t>
            </w:r>
          </w:p>
        </w:tc>
        <w:tc>
          <w:tcPr>
            <w:tcW w:w="400" w:type="pct"/>
            <w:shd w:val="clear" w:color="auto" w:fill="auto"/>
            <w:vAlign w:val="center"/>
          </w:tcPr>
          <w:p w14:paraId="52BA9DD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vAlign w:val="center"/>
          </w:tcPr>
          <w:p w14:paraId="5C46104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45786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443A26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156</w:t>
            </w:r>
          </w:p>
        </w:tc>
        <w:tc>
          <w:tcPr>
            <w:tcW w:w="830" w:type="pct"/>
            <w:shd w:val="clear" w:color="auto" w:fill="auto"/>
            <w:vAlign w:val="center"/>
          </w:tcPr>
          <w:p w14:paraId="21BA558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047035E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漏水引出线</w:t>
            </w:r>
          </w:p>
        </w:tc>
        <w:tc>
          <w:tcPr>
            <w:tcW w:w="1279" w:type="pct"/>
            <w:shd w:val="clear" w:color="auto" w:fill="auto"/>
            <w:vAlign w:val="center"/>
          </w:tcPr>
          <w:p w14:paraId="5FCF825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计通XW-MLC-4M/P</w:t>
            </w:r>
          </w:p>
        </w:tc>
        <w:tc>
          <w:tcPr>
            <w:tcW w:w="400" w:type="pct"/>
            <w:shd w:val="clear" w:color="auto" w:fill="auto"/>
            <w:vAlign w:val="center"/>
          </w:tcPr>
          <w:p w14:paraId="36C7B3F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vAlign w:val="center"/>
          </w:tcPr>
          <w:p w14:paraId="264F262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根</w:t>
            </w:r>
          </w:p>
        </w:tc>
      </w:tr>
      <w:tr w14:paraId="76A13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853C15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157</w:t>
            </w:r>
          </w:p>
        </w:tc>
        <w:tc>
          <w:tcPr>
            <w:tcW w:w="830" w:type="pct"/>
            <w:shd w:val="clear" w:color="auto" w:fill="auto"/>
            <w:vAlign w:val="center"/>
          </w:tcPr>
          <w:p w14:paraId="002CAF3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4D4AF34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漏水感应线</w:t>
            </w:r>
          </w:p>
        </w:tc>
        <w:tc>
          <w:tcPr>
            <w:tcW w:w="1279" w:type="pct"/>
            <w:shd w:val="clear" w:color="auto" w:fill="auto"/>
            <w:vAlign w:val="center"/>
          </w:tcPr>
          <w:p w14:paraId="4F63AEE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计通XW1100-10M</w:t>
            </w:r>
          </w:p>
        </w:tc>
        <w:tc>
          <w:tcPr>
            <w:tcW w:w="400" w:type="pct"/>
            <w:shd w:val="clear" w:color="auto" w:fill="auto"/>
            <w:vAlign w:val="center"/>
          </w:tcPr>
          <w:p w14:paraId="3E39C06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vAlign w:val="center"/>
          </w:tcPr>
          <w:p w14:paraId="48977CF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根</w:t>
            </w:r>
          </w:p>
        </w:tc>
      </w:tr>
      <w:tr w14:paraId="73798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12D32E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158</w:t>
            </w:r>
          </w:p>
        </w:tc>
        <w:tc>
          <w:tcPr>
            <w:tcW w:w="830" w:type="pct"/>
            <w:shd w:val="clear" w:color="auto" w:fill="auto"/>
            <w:vAlign w:val="center"/>
          </w:tcPr>
          <w:p w14:paraId="5E05B30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BB23D2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漏水终止端</w:t>
            </w:r>
          </w:p>
        </w:tc>
        <w:tc>
          <w:tcPr>
            <w:tcW w:w="1279" w:type="pct"/>
            <w:shd w:val="clear" w:color="auto" w:fill="auto"/>
            <w:vAlign w:val="center"/>
          </w:tcPr>
          <w:p w14:paraId="1FE1F08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计通XW-MET</w:t>
            </w:r>
          </w:p>
        </w:tc>
        <w:tc>
          <w:tcPr>
            <w:tcW w:w="400" w:type="pct"/>
            <w:shd w:val="clear" w:color="auto" w:fill="auto"/>
            <w:vAlign w:val="center"/>
          </w:tcPr>
          <w:p w14:paraId="39D5CE6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5A5B167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4E461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7710818">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159</w:t>
            </w:r>
          </w:p>
        </w:tc>
        <w:tc>
          <w:tcPr>
            <w:tcW w:w="830" w:type="pct"/>
            <w:shd w:val="clear" w:color="auto" w:fill="auto"/>
            <w:vAlign w:val="center"/>
          </w:tcPr>
          <w:p w14:paraId="66503B6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F03276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电源</w:t>
            </w:r>
          </w:p>
        </w:tc>
        <w:tc>
          <w:tcPr>
            <w:tcW w:w="1279" w:type="pct"/>
            <w:shd w:val="clear" w:color="auto" w:fill="auto"/>
            <w:vAlign w:val="center"/>
          </w:tcPr>
          <w:p w14:paraId="270C27A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计通12V/DC</w:t>
            </w:r>
          </w:p>
        </w:tc>
        <w:tc>
          <w:tcPr>
            <w:tcW w:w="400" w:type="pct"/>
            <w:shd w:val="clear" w:color="auto" w:fill="auto"/>
            <w:vAlign w:val="center"/>
          </w:tcPr>
          <w:p w14:paraId="1859640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85FCCF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0B0EF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1D2CFF4">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160</w:t>
            </w:r>
          </w:p>
        </w:tc>
        <w:tc>
          <w:tcPr>
            <w:tcW w:w="830" w:type="pct"/>
            <w:shd w:val="clear" w:color="auto" w:fill="auto"/>
            <w:vAlign w:val="center"/>
          </w:tcPr>
          <w:p w14:paraId="3F80BC2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48BDF47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定位漏水监测软件模块</w:t>
            </w:r>
          </w:p>
        </w:tc>
        <w:tc>
          <w:tcPr>
            <w:tcW w:w="1279" w:type="pct"/>
            <w:shd w:val="clear" w:color="auto" w:fill="auto"/>
            <w:vAlign w:val="center"/>
          </w:tcPr>
          <w:p w14:paraId="3A582EB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640589E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4389730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7C663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864586E">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161</w:t>
            </w:r>
          </w:p>
        </w:tc>
        <w:tc>
          <w:tcPr>
            <w:tcW w:w="830" w:type="pct"/>
            <w:shd w:val="clear" w:color="auto" w:fill="auto"/>
            <w:vAlign w:val="center"/>
          </w:tcPr>
          <w:p w14:paraId="1CA1530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3FBBA1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200万红外半球高清彩色网络摄像机</w:t>
            </w:r>
          </w:p>
        </w:tc>
        <w:tc>
          <w:tcPr>
            <w:tcW w:w="1279" w:type="pct"/>
            <w:shd w:val="clear" w:color="auto" w:fill="auto"/>
            <w:vAlign w:val="center"/>
          </w:tcPr>
          <w:p w14:paraId="1B1EF02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海康DS-2CD2325-I</w:t>
            </w:r>
          </w:p>
        </w:tc>
        <w:tc>
          <w:tcPr>
            <w:tcW w:w="400" w:type="pct"/>
            <w:shd w:val="clear" w:color="auto" w:fill="auto"/>
            <w:vAlign w:val="center"/>
          </w:tcPr>
          <w:p w14:paraId="0CF0D6E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6</w:t>
            </w:r>
          </w:p>
        </w:tc>
        <w:tc>
          <w:tcPr>
            <w:tcW w:w="405" w:type="pct"/>
            <w:shd w:val="clear" w:color="auto" w:fill="auto"/>
            <w:vAlign w:val="center"/>
          </w:tcPr>
          <w:p w14:paraId="0E7011C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5F85F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9440C4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162</w:t>
            </w:r>
          </w:p>
        </w:tc>
        <w:tc>
          <w:tcPr>
            <w:tcW w:w="830" w:type="pct"/>
            <w:shd w:val="clear" w:color="auto" w:fill="auto"/>
            <w:vAlign w:val="center"/>
          </w:tcPr>
          <w:p w14:paraId="4297F23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A33C32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16路NVR网络硬                                              盘录像机</w:t>
            </w:r>
          </w:p>
        </w:tc>
        <w:tc>
          <w:tcPr>
            <w:tcW w:w="1279" w:type="pct"/>
            <w:shd w:val="clear" w:color="auto" w:fill="auto"/>
            <w:vAlign w:val="center"/>
          </w:tcPr>
          <w:p w14:paraId="0ED3931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海康DS-7716N-K4</w:t>
            </w:r>
          </w:p>
        </w:tc>
        <w:tc>
          <w:tcPr>
            <w:tcW w:w="400" w:type="pct"/>
            <w:shd w:val="clear" w:color="auto" w:fill="auto"/>
            <w:vAlign w:val="center"/>
          </w:tcPr>
          <w:p w14:paraId="65BE382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4D7D6B3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5179F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1A15EA3">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163</w:t>
            </w:r>
          </w:p>
        </w:tc>
        <w:tc>
          <w:tcPr>
            <w:tcW w:w="830" w:type="pct"/>
            <w:shd w:val="clear" w:color="auto" w:fill="auto"/>
            <w:vAlign w:val="center"/>
          </w:tcPr>
          <w:p w14:paraId="16B854A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8936DE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硬盘</w:t>
            </w:r>
          </w:p>
        </w:tc>
        <w:tc>
          <w:tcPr>
            <w:tcW w:w="1279" w:type="pct"/>
            <w:shd w:val="clear" w:color="auto" w:fill="auto"/>
            <w:vAlign w:val="center"/>
          </w:tcPr>
          <w:p w14:paraId="0AECAA8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希捷（监控级）2TB</w:t>
            </w:r>
          </w:p>
        </w:tc>
        <w:tc>
          <w:tcPr>
            <w:tcW w:w="400" w:type="pct"/>
            <w:shd w:val="clear" w:color="auto" w:fill="auto"/>
            <w:vAlign w:val="center"/>
          </w:tcPr>
          <w:p w14:paraId="34562AC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4</w:t>
            </w:r>
          </w:p>
        </w:tc>
        <w:tc>
          <w:tcPr>
            <w:tcW w:w="405" w:type="pct"/>
            <w:shd w:val="clear" w:color="auto" w:fill="auto"/>
            <w:vAlign w:val="center"/>
          </w:tcPr>
          <w:p w14:paraId="68B3B6D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块</w:t>
            </w:r>
          </w:p>
        </w:tc>
      </w:tr>
      <w:tr w14:paraId="4423C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04A5C42">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164</w:t>
            </w:r>
          </w:p>
        </w:tc>
        <w:tc>
          <w:tcPr>
            <w:tcW w:w="830" w:type="pct"/>
            <w:shd w:val="clear" w:color="auto" w:fill="auto"/>
            <w:vAlign w:val="center"/>
          </w:tcPr>
          <w:p w14:paraId="4FC23C9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699C882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摄像机专用电源箱</w:t>
            </w:r>
          </w:p>
        </w:tc>
        <w:tc>
          <w:tcPr>
            <w:tcW w:w="1279" w:type="pct"/>
            <w:shd w:val="clear" w:color="auto" w:fill="auto"/>
            <w:vAlign w:val="center"/>
          </w:tcPr>
          <w:p w14:paraId="351F818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计通CP1218-20A</w:t>
            </w:r>
          </w:p>
        </w:tc>
        <w:tc>
          <w:tcPr>
            <w:tcW w:w="400" w:type="pct"/>
            <w:shd w:val="clear" w:color="auto" w:fill="auto"/>
            <w:vAlign w:val="center"/>
          </w:tcPr>
          <w:p w14:paraId="14B8F79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16FEB2F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61815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AB0546D">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165</w:t>
            </w:r>
          </w:p>
        </w:tc>
        <w:tc>
          <w:tcPr>
            <w:tcW w:w="830" w:type="pct"/>
            <w:shd w:val="clear" w:color="auto" w:fill="auto"/>
            <w:vAlign w:val="center"/>
          </w:tcPr>
          <w:p w14:paraId="49A3A64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62DB81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视频监控软件模块</w:t>
            </w:r>
          </w:p>
        </w:tc>
        <w:tc>
          <w:tcPr>
            <w:tcW w:w="1279" w:type="pct"/>
            <w:shd w:val="clear" w:color="auto" w:fill="auto"/>
            <w:vAlign w:val="center"/>
          </w:tcPr>
          <w:p w14:paraId="42FD530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0B68191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397CC3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5C213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9867300">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166</w:t>
            </w:r>
          </w:p>
        </w:tc>
        <w:tc>
          <w:tcPr>
            <w:tcW w:w="830" w:type="pct"/>
            <w:shd w:val="clear" w:color="auto" w:fill="auto"/>
            <w:vAlign w:val="center"/>
          </w:tcPr>
          <w:p w14:paraId="75F6932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0F77217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联网型双门双向控制器</w:t>
            </w:r>
          </w:p>
        </w:tc>
        <w:tc>
          <w:tcPr>
            <w:tcW w:w="1279" w:type="pct"/>
            <w:shd w:val="clear" w:color="auto" w:fill="auto"/>
            <w:vAlign w:val="center"/>
          </w:tcPr>
          <w:p w14:paraId="684ADEC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计通OAO-MJ202</w:t>
            </w:r>
          </w:p>
        </w:tc>
        <w:tc>
          <w:tcPr>
            <w:tcW w:w="400" w:type="pct"/>
            <w:shd w:val="clear" w:color="auto" w:fill="auto"/>
            <w:vAlign w:val="center"/>
          </w:tcPr>
          <w:p w14:paraId="1B50E29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0910949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63A17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215E85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167</w:t>
            </w:r>
          </w:p>
        </w:tc>
        <w:tc>
          <w:tcPr>
            <w:tcW w:w="830" w:type="pct"/>
            <w:shd w:val="clear" w:color="auto" w:fill="auto"/>
            <w:vAlign w:val="center"/>
          </w:tcPr>
          <w:p w14:paraId="1D7F5E0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A46CEC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ID读卡器</w:t>
            </w:r>
          </w:p>
        </w:tc>
        <w:tc>
          <w:tcPr>
            <w:tcW w:w="1279" w:type="pct"/>
            <w:shd w:val="clear" w:color="auto" w:fill="auto"/>
            <w:vAlign w:val="center"/>
          </w:tcPr>
          <w:p w14:paraId="49781E9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计通OAO-ID</w:t>
            </w:r>
          </w:p>
        </w:tc>
        <w:tc>
          <w:tcPr>
            <w:tcW w:w="400" w:type="pct"/>
            <w:shd w:val="clear" w:color="auto" w:fill="auto"/>
            <w:vAlign w:val="center"/>
          </w:tcPr>
          <w:p w14:paraId="203A15F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6F6A7F4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3C2EC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55DD4EB">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168</w:t>
            </w:r>
          </w:p>
        </w:tc>
        <w:tc>
          <w:tcPr>
            <w:tcW w:w="830" w:type="pct"/>
            <w:shd w:val="clear" w:color="auto" w:fill="auto"/>
            <w:vAlign w:val="center"/>
          </w:tcPr>
          <w:p w14:paraId="3BBE1B2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0723A01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ID感应卡</w:t>
            </w:r>
          </w:p>
        </w:tc>
        <w:tc>
          <w:tcPr>
            <w:tcW w:w="1279" w:type="pct"/>
            <w:shd w:val="clear" w:color="auto" w:fill="auto"/>
            <w:vAlign w:val="center"/>
          </w:tcPr>
          <w:p w14:paraId="7CC0BFA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计通ID</w:t>
            </w:r>
          </w:p>
        </w:tc>
        <w:tc>
          <w:tcPr>
            <w:tcW w:w="400" w:type="pct"/>
            <w:shd w:val="clear" w:color="auto" w:fill="auto"/>
            <w:vAlign w:val="center"/>
          </w:tcPr>
          <w:p w14:paraId="098495A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10</w:t>
            </w:r>
          </w:p>
        </w:tc>
        <w:tc>
          <w:tcPr>
            <w:tcW w:w="405" w:type="pct"/>
            <w:shd w:val="clear" w:color="auto" w:fill="auto"/>
            <w:vAlign w:val="center"/>
          </w:tcPr>
          <w:p w14:paraId="3E6ED00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0ECB5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95AB09C">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169</w:t>
            </w:r>
          </w:p>
        </w:tc>
        <w:tc>
          <w:tcPr>
            <w:tcW w:w="830" w:type="pct"/>
            <w:shd w:val="clear" w:color="auto" w:fill="auto"/>
            <w:vAlign w:val="center"/>
          </w:tcPr>
          <w:p w14:paraId="573641F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78D6CC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双门磁力锁</w:t>
            </w:r>
          </w:p>
        </w:tc>
        <w:tc>
          <w:tcPr>
            <w:tcW w:w="1279" w:type="pct"/>
            <w:shd w:val="clear" w:color="auto" w:fill="auto"/>
            <w:vAlign w:val="center"/>
          </w:tcPr>
          <w:p w14:paraId="67931C8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计通VI-280BS</w:t>
            </w:r>
          </w:p>
        </w:tc>
        <w:tc>
          <w:tcPr>
            <w:tcW w:w="400" w:type="pct"/>
            <w:shd w:val="clear" w:color="auto" w:fill="auto"/>
            <w:vAlign w:val="center"/>
          </w:tcPr>
          <w:p w14:paraId="11B977A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132F0B2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把</w:t>
            </w:r>
          </w:p>
        </w:tc>
      </w:tr>
      <w:tr w14:paraId="75A0C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9158F63">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170</w:t>
            </w:r>
          </w:p>
        </w:tc>
        <w:tc>
          <w:tcPr>
            <w:tcW w:w="830" w:type="pct"/>
            <w:shd w:val="clear" w:color="auto" w:fill="auto"/>
            <w:vAlign w:val="center"/>
          </w:tcPr>
          <w:p w14:paraId="3B2A841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6919FF8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出门按钮</w:t>
            </w:r>
          </w:p>
        </w:tc>
        <w:tc>
          <w:tcPr>
            <w:tcW w:w="1279" w:type="pct"/>
            <w:shd w:val="clear" w:color="auto" w:fill="auto"/>
            <w:vAlign w:val="center"/>
          </w:tcPr>
          <w:p w14:paraId="256CDF7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 TCL</w:t>
            </w:r>
          </w:p>
        </w:tc>
        <w:tc>
          <w:tcPr>
            <w:tcW w:w="400" w:type="pct"/>
            <w:shd w:val="clear" w:color="auto" w:fill="auto"/>
            <w:vAlign w:val="center"/>
          </w:tcPr>
          <w:p w14:paraId="5CC4E67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08CB2D9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只</w:t>
            </w:r>
          </w:p>
        </w:tc>
      </w:tr>
      <w:tr w14:paraId="4744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50E8F0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171</w:t>
            </w:r>
          </w:p>
        </w:tc>
        <w:tc>
          <w:tcPr>
            <w:tcW w:w="830" w:type="pct"/>
            <w:shd w:val="clear" w:color="auto" w:fill="auto"/>
            <w:vAlign w:val="center"/>
          </w:tcPr>
          <w:p w14:paraId="0A9227E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411CEB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门禁监测系统软件模块</w:t>
            </w:r>
          </w:p>
        </w:tc>
        <w:tc>
          <w:tcPr>
            <w:tcW w:w="1279" w:type="pct"/>
            <w:shd w:val="clear" w:color="auto" w:fill="auto"/>
            <w:vAlign w:val="center"/>
          </w:tcPr>
          <w:p w14:paraId="5A35123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41095F0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1F8EE06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51E2B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98D84B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172</w:t>
            </w:r>
          </w:p>
        </w:tc>
        <w:tc>
          <w:tcPr>
            <w:tcW w:w="830" w:type="pct"/>
            <w:shd w:val="clear" w:color="auto" w:fill="auto"/>
            <w:vAlign w:val="center"/>
          </w:tcPr>
          <w:p w14:paraId="652827D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08DE72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嵌入式管理机(1U)</w:t>
            </w:r>
          </w:p>
        </w:tc>
        <w:tc>
          <w:tcPr>
            <w:tcW w:w="1279" w:type="pct"/>
            <w:shd w:val="clear" w:color="auto" w:fill="auto"/>
            <w:vAlign w:val="center"/>
          </w:tcPr>
          <w:p w14:paraId="6EEABBC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计通OAO-8000E</w:t>
            </w:r>
          </w:p>
        </w:tc>
        <w:tc>
          <w:tcPr>
            <w:tcW w:w="400" w:type="pct"/>
            <w:shd w:val="clear" w:color="auto" w:fill="auto"/>
            <w:vAlign w:val="center"/>
          </w:tcPr>
          <w:p w14:paraId="3E31D87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194A491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500B5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1334E5F">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173</w:t>
            </w:r>
          </w:p>
        </w:tc>
        <w:tc>
          <w:tcPr>
            <w:tcW w:w="830" w:type="pct"/>
            <w:shd w:val="clear" w:color="auto" w:fill="auto"/>
            <w:vAlign w:val="center"/>
          </w:tcPr>
          <w:p w14:paraId="28524B0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81463E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显示器</w:t>
            </w:r>
          </w:p>
        </w:tc>
        <w:tc>
          <w:tcPr>
            <w:tcW w:w="1279" w:type="pct"/>
            <w:shd w:val="clear" w:color="auto" w:fill="auto"/>
            <w:vAlign w:val="center"/>
          </w:tcPr>
          <w:p w14:paraId="414A0BB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 飞利浦</w:t>
            </w:r>
          </w:p>
        </w:tc>
        <w:tc>
          <w:tcPr>
            <w:tcW w:w="400" w:type="pct"/>
            <w:shd w:val="clear" w:color="auto" w:fill="auto"/>
            <w:vAlign w:val="center"/>
          </w:tcPr>
          <w:p w14:paraId="50AF7B5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771A891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2C41E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EB0039E">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174</w:t>
            </w:r>
          </w:p>
        </w:tc>
        <w:tc>
          <w:tcPr>
            <w:tcW w:w="830" w:type="pct"/>
            <w:shd w:val="clear" w:color="auto" w:fill="auto"/>
            <w:vAlign w:val="center"/>
          </w:tcPr>
          <w:p w14:paraId="2187A9B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6C86280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8串口服务器</w:t>
            </w:r>
          </w:p>
        </w:tc>
        <w:tc>
          <w:tcPr>
            <w:tcW w:w="1279" w:type="pct"/>
            <w:shd w:val="clear" w:color="auto" w:fill="auto"/>
            <w:vAlign w:val="center"/>
          </w:tcPr>
          <w:p w14:paraId="71BB1D0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计通OAO-608</w:t>
            </w:r>
          </w:p>
        </w:tc>
        <w:tc>
          <w:tcPr>
            <w:tcW w:w="400" w:type="pct"/>
            <w:shd w:val="clear" w:color="auto" w:fill="auto"/>
            <w:vAlign w:val="center"/>
          </w:tcPr>
          <w:p w14:paraId="3255E9F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24FD80C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3E3E5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899EE2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175</w:t>
            </w:r>
          </w:p>
        </w:tc>
        <w:tc>
          <w:tcPr>
            <w:tcW w:w="830" w:type="pct"/>
            <w:shd w:val="clear" w:color="auto" w:fill="auto"/>
            <w:vAlign w:val="center"/>
          </w:tcPr>
          <w:p w14:paraId="4451539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F00750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USB接口电话语音报警设备</w:t>
            </w:r>
          </w:p>
        </w:tc>
        <w:tc>
          <w:tcPr>
            <w:tcW w:w="1279" w:type="pct"/>
            <w:shd w:val="clear" w:color="auto" w:fill="auto"/>
            <w:vAlign w:val="center"/>
          </w:tcPr>
          <w:p w14:paraId="4F96C86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计通OAO-DH01</w:t>
            </w:r>
          </w:p>
        </w:tc>
        <w:tc>
          <w:tcPr>
            <w:tcW w:w="400" w:type="pct"/>
            <w:shd w:val="clear" w:color="auto" w:fill="auto"/>
            <w:vAlign w:val="center"/>
          </w:tcPr>
          <w:p w14:paraId="669364F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F947AF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5409B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9313AF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176</w:t>
            </w:r>
          </w:p>
        </w:tc>
        <w:tc>
          <w:tcPr>
            <w:tcW w:w="830" w:type="pct"/>
            <w:shd w:val="clear" w:color="auto" w:fill="auto"/>
            <w:vAlign w:val="center"/>
          </w:tcPr>
          <w:p w14:paraId="70AFC54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2314EB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短信报警设备</w:t>
            </w:r>
          </w:p>
        </w:tc>
        <w:tc>
          <w:tcPr>
            <w:tcW w:w="1279" w:type="pct"/>
            <w:shd w:val="clear" w:color="auto" w:fill="auto"/>
            <w:vAlign w:val="center"/>
          </w:tcPr>
          <w:p w14:paraId="58A6061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计通OAO-DX01</w:t>
            </w:r>
          </w:p>
        </w:tc>
        <w:tc>
          <w:tcPr>
            <w:tcW w:w="400" w:type="pct"/>
            <w:shd w:val="clear" w:color="auto" w:fill="auto"/>
            <w:vAlign w:val="center"/>
          </w:tcPr>
          <w:p w14:paraId="744590D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2BD2E0E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5CE8D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3D4B08A">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177</w:t>
            </w:r>
          </w:p>
        </w:tc>
        <w:tc>
          <w:tcPr>
            <w:tcW w:w="830" w:type="pct"/>
            <w:shd w:val="clear" w:color="auto" w:fill="auto"/>
            <w:vAlign w:val="center"/>
          </w:tcPr>
          <w:p w14:paraId="618556B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35C168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安卓APP</w:t>
            </w:r>
          </w:p>
        </w:tc>
        <w:tc>
          <w:tcPr>
            <w:tcW w:w="1279" w:type="pct"/>
            <w:shd w:val="clear" w:color="auto" w:fill="auto"/>
            <w:vAlign w:val="center"/>
          </w:tcPr>
          <w:p w14:paraId="0ED9ECE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5963016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463AE82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3B060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BB5CAFB">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178</w:t>
            </w:r>
          </w:p>
        </w:tc>
        <w:tc>
          <w:tcPr>
            <w:tcW w:w="830" w:type="pct"/>
            <w:shd w:val="clear" w:color="auto" w:fill="auto"/>
            <w:vAlign w:val="center"/>
          </w:tcPr>
          <w:p w14:paraId="3838F1F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BA7C1C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苹果APP</w:t>
            </w:r>
          </w:p>
        </w:tc>
        <w:tc>
          <w:tcPr>
            <w:tcW w:w="1279" w:type="pct"/>
            <w:shd w:val="clear" w:color="auto" w:fill="auto"/>
            <w:vAlign w:val="center"/>
          </w:tcPr>
          <w:p w14:paraId="6DC21E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4B0C7C6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90CCC4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39F62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0B0178F">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179</w:t>
            </w:r>
          </w:p>
        </w:tc>
        <w:tc>
          <w:tcPr>
            <w:tcW w:w="830" w:type="pct"/>
            <w:shd w:val="clear" w:color="auto" w:fill="auto"/>
            <w:vAlign w:val="center"/>
          </w:tcPr>
          <w:p w14:paraId="2E84C33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642990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集中监控软件平台</w:t>
            </w:r>
          </w:p>
        </w:tc>
        <w:tc>
          <w:tcPr>
            <w:tcW w:w="1279" w:type="pct"/>
            <w:shd w:val="clear" w:color="auto" w:fill="auto"/>
            <w:vAlign w:val="center"/>
          </w:tcPr>
          <w:p w14:paraId="33F69A2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 JITON-AMS V5.01</w:t>
            </w:r>
          </w:p>
        </w:tc>
        <w:tc>
          <w:tcPr>
            <w:tcW w:w="400" w:type="pct"/>
            <w:shd w:val="clear" w:color="auto" w:fill="auto"/>
            <w:vAlign w:val="center"/>
          </w:tcPr>
          <w:p w14:paraId="1683E15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5C68C26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7CCF2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41610DA">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180</w:t>
            </w:r>
          </w:p>
        </w:tc>
        <w:tc>
          <w:tcPr>
            <w:tcW w:w="830" w:type="pct"/>
            <w:shd w:val="clear" w:color="auto" w:fill="auto"/>
            <w:vAlign w:val="center"/>
          </w:tcPr>
          <w:p w14:paraId="4D9159A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C2A43E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访问控制节点</w:t>
            </w:r>
          </w:p>
        </w:tc>
        <w:tc>
          <w:tcPr>
            <w:tcW w:w="1279" w:type="pct"/>
            <w:shd w:val="clear" w:color="auto" w:fill="auto"/>
            <w:vAlign w:val="center"/>
          </w:tcPr>
          <w:p w14:paraId="5C7C9B2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网御星云Power</w:t>
            </w:r>
          </w:p>
          <w:p w14:paraId="3359595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 xml:space="preserve"> V6000-F2630P</w:t>
            </w:r>
          </w:p>
        </w:tc>
        <w:tc>
          <w:tcPr>
            <w:tcW w:w="400" w:type="pct"/>
            <w:shd w:val="clear" w:color="auto" w:fill="auto"/>
            <w:vAlign w:val="center"/>
          </w:tcPr>
          <w:p w14:paraId="05C582E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053C7E8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77D77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365CF6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181</w:t>
            </w:r>
          </w:p>
        </w:tc>
        <w:tc>
          <w:tcPr>
            <w:tcW w:w="830" w:type="pct"/>
            <w:shd w:val="clear" w:color="auto" w:fill="auto"/>
            <w:vAlign w:val="center"/>
          </w:tcPr>
          <w:p w14:paraId="63D17EB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6F6774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IE远程浏览</w:t>
            </w:r>
          </w:p>
        </w:tc>
        <w:tc>
          <w:tcPr>
            <w:tcW w:w="1279" w:type="pct"/>
            <w:shd w:val="clear" w:color="auto" w:fill="auto"/>
            <w:vAlign w:val="center"/>
          </w:tcPr>
          <w:p w14:paraId="684B18B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23FF0AC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0A4E45C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6A9F0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FA1103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182</w:t>
            </w:r>
          </w:p>
        </w:tc>
        <w:tc>
          <w:tcPr>
            <w:tcW w:w="830" w:type="pct"/>
            <w:shd w:val="clear" w:color="auto" w:fill="auto"/>
            <w:vAlign w:val="center"/>
          </w:tcPr>
          <w:p w14:paraId="00F7C09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BA2F8B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POE交换机</w:t>
            </w:r>
          </w:p>
        </w:tc>
        <w:tc>
          <w:tcPr>
            <w:tcW w:w="1279" w:type="pct"/>
            <w:shd w:val="clear" w:color="auto" w:fill="auto"/>
            <w:vAlign w:val="center"/>
          </w:tcPr>
          <w:p w14:paraId="762CDC0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TP-LINK TL-SG1210PE</w:t>
            </w:r>
          </w:p>
        </w:tc>
        <w:tc>
          <w:tcPr>
            <w:tcW w:w="400" w:type="pct"/>
            <w:shd w:val="clear" w:color="auto" w:fill="auto"/>
            <w:vAlign w:val="center"/>
          </w:tcPr>
          <w:p w14:paraId="3202B3E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2CBD061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179B0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0E653BB">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183</w:t>
            </w:r>
          </w:p>
        </w:tc>
        <w:tc>
          <w:tcPr>
            <w:tcW w:w="830" w:type="pct"/>
            <w:shd w:val="clear" w:color="auto" w:fill="auto"/>
            <w:vAlign w:val="center"/>
          </w:tcPr>
          <w:p w14:paraId="4F27139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92735A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新风机</w:t>
            </w:r>
          </w:p>
        </w:tc>
        <w:tc>
          <w:tcPr>
            <w:tcW w:w="1279" w:type="pct"/>
            <w:shd w:val="clear" w:color="auto" w:fill="auto"/>
            <w:vAlign w:val="center"/>
          </w:tcPr>
          <w:p w14:paraId="6041876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天方PY2.5</w:t>
            </w:r>
          </w:p>
        </w:tc>
        <w:tc>
          <w:tcPr>
            <w:tcW w:w="400" w:type="pct"/>
            <w:shd w:val="clear" w:color="auto" w:fill="auto"/>
            <w:vAlign w:val="center"/>
          </w:tcPr>
          <w:p w14:paraId="4CF373E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2B2FCD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752B4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0AA71CF">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184</w:t>
            </w:r>
          </w:p>
        </w:tc>
        <w:tc>
          <w:tcPr>
            <w:tcW w:w="830" w:type="pct"/>
            <w:shd w:val="clear" w:color="auto" w:fill="auto"/>
            <w:vAlign w:val="center"/>
          </w:tcPr>
          <w:p w14:paraId="15DCD7C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44FF03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排烟风机</w:t>
            </w:r>
          </w:p>
        </w:tc>
        <w:tc>
          <w:tcPr>
            <w:tcW w:w="1279" w:type="pct"/>
            <w:shd w:val="clear" w:color="auto" w:fill="auto"/>
            <w:vAlign w:val="center"/>
          </w:tcPr>
          <w:p w14:paraId="19BF944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国产优质</w:t>
            </w:r>
          </w:p>
        </w:tc>
        <w:tc>
          <w:tcPr>
            <w:tcW w:w="400" w:type="pct"/>
            <w:shd w:val="clear" w:color="auto" w:fill="auto"/>
            <w:vAlign w:val="center"/>
          </w:tcPr>
          <w:p w14:paraId="65A7110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5545E33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38F0F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77D8B86">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185</w:t>
            </w:r>
          </w:p>
        </w:tc>
        <w:tc>
          <w:tcPr>
            <w:tcW w:w="830" w:type="pct"/>
            <w:shd w:val="clear" w:color="auto" w:fill="auto"/>
            <w:vAlign w:val="center"/>
          </w:tcPr>
          <w:p w14:paraId="465E3F1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8A629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控制箱</w:t>
            </w:r>
          </w:p>
        </w:tc>
        <w:tc>
          <w:tcPr>
            <w:tcW w:w="1279" w:type="pct"/>
            <w:shd w:val="clear" w:color="auto" w:fill="auto"/>
            <w:vAlign w:val="center"/>
          </w:tcPr>
          <w:p w14:paraId="0986471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国产优质</w:t>
            </w:r>
          </w:p>
        </w:tc>
        <w:tc>
          <w:tcPr>
            <w:tcW w:w="400" w:type="pct"/>
            <w:shd w:val="clear" w:color="auto" w:fill="auto"/>
            <w:vAlign w:val="center"/>
          </w:tcPr>
          <w:p w14:paraId="7F62097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6F12A28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3B075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FE24A6B">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186</w:t>
            </w:r>
          </w:p>
        </w:tc>
        <w:tc>
          <w:tcPr>
            <w:tcW w:w="830" w:type="pct"/>
            <w:shd w:val="clear" w:color="auto" w:fill="auto"/>
            <w:vAlign w:val="center"/>
          </w:tcPr>
          <w:p w14:paraId="774DB1C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AA90C8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七氟丙烷气体灭火系统</w:t>
            </w:r>
          </w:p>
        </w:tc>
        <w:tc>
          <w:tcPr>
            <w:tcW w:w="1279" w:type="pct"/>
            <w:shd w:val="clear" w:color="auto" w:fill="auto"/>
            <w:vAlign w:val="center"/>
          </w:tcPr>
          <w:p w14:paraId="4251B78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GQQ90/2.5-GT</w:t>
            </w:r>
          </w:p>
        </w:tc>
        <w:tc>
          <w:tcPr>
            <w:tcW w:w="400" w:type="pct"/>
            <w:shd w:val="clear" w:color="auto" w:fill="auto"/>
            <w:noWrap/>
            <w:vAlign w:val="center"/>
          </w:tcPr>
          <w:p w14:paraId="53F9DFC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noWrap/>
            <w:vAlign w:val="center"/>
          </w:tcPr>
          <w:p w14:paraId="340B92B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33718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3385E84">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187</w:t>
            </w:r>
          </w:p>
        </w:tc>
        <w:tc>
          <w:tcPr>
            <w:tcW w:w="830" w:type="pct"/>
            <w:shd w:val="clear" w:color="auto" w:fill="auto"/>
            <w:vAlign w:val="center"/>
          </w:tcPr>
          <w:p w14:paraId="448EAF1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0DEF31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气体灭火系统控制器</w:t>
            </w:r>
          </w:p>
        </w:tc>
        <w:tc>
          <w:tcPr>
            <w:tcW w:w="1279" w:type="pct"/>
            <w:shd w:val="clear" w:color="auto" w:fill="auto"/>
            <w:vAlign w:val="center"/>
          </w:tcPr>
          <w:p w14:paraId="7420CA5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EI JB-QB-EIN70</w:t>
            </w:r>
          </w:p>
        </w:tc>
        <w:tc>
          <w:tcPr>
            <w:tcW w:w="400" w:type="pct"/>
            <w:shd w:val="clear" w:color="auto" w:fill="auto"/>
            <w:noWrap/>
            <w:vAlign w:val="center"/>
          </w:tcPr>
          <w:p w14:paraId="28FF57A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66D278C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71C1D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45D9BE2">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188</w:t>
            </w:r>
          </w:p>
        </w:tc>
        <w:tc>
          <w:tcPr>
            <w:tcW w:w="830" w:type="pct"/>
            <w:shd w:val="clear" w:color="auto" w:fill="auto"/>
            <w:vAlign w:val="center"/>
          </w:tcPr>
          <w:p w14:paraId="3631EDD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47E288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声光报警器</w:t>
            </w:r>
          </w:p>
        </w:tc>
        <w:tc>
          <w:tcPr>
            <w:tcW w:w="1279" w:type="pct"/>
            <w:shd w:val="clear" w:color="auto" w:fill="auto"/>
            <w:vAlign w:val="center"/>
          </w:tcPr>
          <w:p w14:paraId="66E65BB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本系统配套</w:t>
            </w:r>
          </w:p>
        </w:tc>
        <w:tc>
          <w:tcPr>
            <w:tcW w:w="400" w:type="pct"/>
            <w:shd w:val="clear" w:color="auto" w:fill="auto"/>
            <w:noWrap/>
            <w:vAlign w:val="center"/>
          </w:tcPr>
          <w:p w14:paraId="2E59B26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3</w:t>
            </w:r>
          </w:p>
        </w:tc>
        <w:tc>
          <w:tcPr>
            <w:tcW w:w="405" w:type="pct"/>
            <w:shd w:val="clear" w:color="auto" w:fill="auto"/>
            <w:noWrap/>
            <w:vAlign w:val="center"/>
          </w:tcPr>
          <w:p w14:paraId="421D1BD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3BDF8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367120A">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189</w:t>
            </w:r>
          </w:p>
        </w:tc>
        <w:tc>
          <w:tcPr>
            <w:tcW w:w="830" w:type="pct"/>
            <w:shd w:val="clear" w:color="auto" w:fill="auto"/>
            <w:vAlign w:val="center"/>
          </w:tcPr>
          <w:p w14:paraId="142BD51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09A837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灭火指示门灯</w:t>
            </w:r>
          </w:p>
        </w:tc>
        <w:tc>
          <w:tcPr>
            <w:tcW w:w="1279" w:type="pct"/>
            <w:shd w:val="clear" w:color="auto" w:fill="auto"/>
            <w:vAlign w:val="center"/>
          </w:tcPr>
          <w:p w14:paraId="72B210D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EI J-EI6067</w:t>
            </w:r>
          </w:p>
        </w:tc>
        <w:tc>
          <w:tcPr>
            <w:tcW w:w="400" w:type="pct"/>
            <w:shd w:val="clear" w:color="auto" w:fill="auto"/>
            <w:noWrap/>
            <w:vAlign w:val="center"/>
          </w:tcPr>
          <w:p w14:paraId="343E0E1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4BB00C9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1CC4F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8CE2B8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190</w:t>
            </w:r>
          </w:p>
        </w:tc>
        <w:tc>
          <w:tcPr>
            <w:tcW w:w="830" w:type="pct"/>
            <w:shd w:val="clear" w:color="auto" w:fill="auto"/>
            <w:vAlign w:val="center"/>
          </w:tcPr>
          <w:p w14:paraId="6867A3A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6AFEAC9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紧急启停按钮</w:t>
            </w:r>
          </w:p>
        </w:tc>
        <w:tc>
          <w:tcPr>
            <w:tcW w:w="1279" w:type="pct"/>
            <w:shd w:val="clear" w:color="auto" w:fill="auto"/>
            <w:vAlign w:val="center"/>
          </w:tcPr>
          <w:p w14:paraId="4730E68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EI J-EI6066</w:t>
            </w:r>
          </w:p>
        </w:tc>
        <w:tc>
          <w:tcPr>
            <w:tcW w:w="400" w:type="pct"/>
            <w:shd w:val="clear" w:color="auto" w:fill="auto"/>
            <w:noWrap/>
            <w:vAlign w:val="center"/>
          </w:tcPr>
          <w:p w14:paraId="3A091E5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0ADEB4A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77365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B23482C">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191</w:t>
            </w:r>
          </w:p>
        </w:tc>
        <w:tc>
          <w:tcPr>
            <w:tcW w:w="830" w:type="pct"/>
            <w:shd w:val="clear" w:color="auto" w:fill="auto"/>
            <w:vAlign w:val="center"/>
          </w:tcPr>
          <w:p w14:paraId="2394A75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8E36E0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烟感探测器</w:t>
            </w:r>
          </w:p>
        </w:tc>
        <w:tc>
          <w:tcPr>
            <w:tcW w:w="1279" w:type="pct"/>
            <w:shd w:val="clear" w:color="auto" w:fill="auto"/>
            <w:vAlign w:val="center"/>
          </w:tcPr>
          <w:p w14:paraId="68018ED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EI JTY-GD-EI6012</w:t>
            </w:r>
          </w:p>
        </w:tc>
        <w:tc>
          <w:tcPr>
            <w:tcW w:w="400" w:type="pct"/>
            <w:shd w:val="clear" w:color="auto" w:fill="auto"/>
            <w:noWrap/>
            <w:vAlign w:val="center"/>
          </w:tcPr>
          <w:p w14:paraId="1ED2793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noWrap/>
            <w:vAlign w:val="center"/>
          </w:tcPr>
          <w:p w14:paraId="0B81376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4D2BF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B8799A6">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192</w:t>
            </w:r>
          </w:p>
        </w:tc>
        <w:tc>
          <w:tcPr>
            <w:tcW w:w="830" w:type="pct"/>
            <w:shd w:val="clear" w:color="auto" w:fill="auto"/>
            <w:vAlign w:val="center"/>
          </w:tcPr>
          <w:p w14:paraId="1C1E7EF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8F8FDA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温感探测器</w:t>
            </w:r>
          </w:p>
        </w:tc>
        <w:tc>
          <w:tcPr>
            <w:tcW w:w="1279" w:type="pct"/>
            <w:shd w:val="clear" w:color="auto" w:fill="auto"/>
            <w:vAlign w:val="center"/>
          </w:tcPr>
          <w:p w14:paraId="6328C80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EI JTW-A2R-EI6013</w:t>
            </w:r>
          </w:p>
        </w:tc>
        <w:tc>
          <w:tcPr>
            <w:tcW w:w="400" w:type="pct"/>
            <w:shd w:val="clear" w:color="auto" w:fill="auto"/>
            <w:noWrap/>
            <w:vAlign w:val="center"/>
          </w:tcPr>
          <w:p w14:paraId="2E8EFA9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3</w:t>
            </w:r>
          </w:p>
        </w:tc>
        <w:tc>
          <w:tcPr>
            <w:tcW w:w="405" w:type="pct"/>
            <w:shd w:val="clear" w:color="auto" w:fill="auto"/>
            <w:noWrap/>
            <w:vAlign w:val="center"/>
          </w:tcPr>
          <w:p w14:paraId="3E2FDC8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0BC76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B6CF84F">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193</w:t>
            </w:r>
          </w:p>
        </w:tc>
        <w:tc>
          <w:tcPr>
            <w:tcW w:w="830" w:type="pct"/>
            <w:shd w:val="clear" w:color="auto" w:fill="auto"/>
            <w:vAlign w:val="center"/>
          </w:tcPr>
          <w:p w14:paraId="0E7ECB8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15322A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泄压阀</w:t>
            </w:r>
          </w:p>
        </w:tc>
        <w:tc>
          <w:tcPr>
            <w:tcW w:w="1279" w:type="pct"/>
            <w:shd w:val="clear" w:color="auto" w:fill="auto"/>
            <w:vAlign w:val="center"/>
          </w:tcPr>
          <w:p w14:paraId="5D646ED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三安402 * 400</w:t>
            </w:r>
          </w:p>
        </w:tc>
        <w:tc>
          <w:tcPr>
            <w:tcW w:w="400" w:type="pct"/>
            <w:shd w:val="clear" w:color="auto" w:fill="auto"/>
            <w:noWrap/>
            <w:vAlign w:val="center"/>
          </w:tcPr>
          <w:p w14:paraId="70FD7E6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47E7341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0B673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C17A3C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194</w:t>
            </w:r>
          </w:p>
        </w:tc>
        <w:tc>
          <w:tcPr>
            <w:tcW w:w="830" w:type="pct"/>
            <w:shd w:val="clear" w:color="auto" w:fill="auto"/>
            <w:vAlign w:val="center"/>
          </w:tcPr>
          <w:p w14:paraId="31F2A58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44C58B6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总配电柜</w:t>
            </w:r>
          </w:p>
        </w:tc>
        <w:tc>
          <w:tcPr>
            <w:tcW w:w="1279" w:type="pct"/>
            <w:shd w:val="clear" w:color="auto" w:fill="auto"/>
            <w:vAlign w:val="center"/>
          </w:tcPr>
          <w:p w14:paraId="6981DA5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MOERLI/MEL-60</w:t>
            </w:r>
          </w:p>
        </w:tc>
        <w:tc>
          <w:tcPr>
            <w:tcW w:w="400" w:type="pct"/>
            <w:shd w:val="clear" w:color="auto" w:fill="auto"/>
            <w:vAlign w:val="center"/>
          </w:tcPr>
          <w:p w14:paraId="35A11E7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011B325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54B3A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1861A83">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195</w:t>
            </w:r>
          </w:p>
        </w:tc>
        <w:tc>
          <w:tcPr>
            <w:tcW w:w="830" w:type="pct"/>
            <w:shd w:val="clear" w:color="auto" w:fill="auto"/>
            <w:vAlign w:val="center"/>
          </w:tcPr>
          <w:p w14:paraId="60B3DA0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6EC1581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UPS维修旁路柜</w:t>
            </w:r>
          </w:p>
        </w:tc>
        <w:tc>
          <w:tcPr>
            <w:tcW w:w="1279" w:type="pct"/>
            <w:shd w:val="clear" w:color="auto" w:fill="auto"/>
            <w:vAlign w:val="center"/>
          </w:tcPr>
          <w:p w14:paraId="0A5C417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MOERLI/MEL-40</w:t>
            </w:r>
          </w:p>
        </w:tc>
        <w:tc>
          <w:tcPr>
            <w:tcW w:w="400" w:type="pct"/>
            <w:shd w:val="clear" w:color="auto" w:fill="auto"/>
            <w:vAlign w:val="center"/>
          </w:tcPr>
          <w:p w14:paraId="1048628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43F9796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26E0C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B48C4C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196</w:t>
            </w:r>
          </w:p>
        </w:tc>
        <w:tc>
          <w:tcPr>
            <w:tcW w:w="830" w:type="pct"/>
            <w:shd w:val="clear" w:color="auto" w:fill="auto"/>
            <w:vAlign w:val="center"/>
          </w:tcPr>
          <w:p w14:paraId="01B20A1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63A019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UPS不间断电源主机</w:t>
            </w:r>
          </w:p>
        </w:tc>
        <w:tc>
          <w:tcPr>
            <w:tcW w:w="1279" w:type="pct"/>
            <w:shd w:val="clear" w:color="auto" w:fill="auto"/>
            <w:vAlign w:val="center"/>
          </w:tcPr>
          <w:p w14:paraId="1A5C445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维谛NX-30KVA</w:t>
            </w:r>
          </w:p>
        </w:tc>
        <w:tc>
          <w:tcPr>
            <w:tcW w:w="400" w:type="pct"/>
            <w:shd w:val="clear" w:color="auto" w:fill="auto"/>
            <w:vAlign w:val="center"/>
          </w:tcPr>
          <w:p w14:paraId="60B6B4D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5C438F6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33291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7E01050">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197</w:t>
            </w:r>
          </w:p>
        </w:tc>
        <w:tc>
          <w:tcPr>
            <w:tcW w:w="830" w:type="pct"/>
            <w:shd w:val="clear" w:color="auto" w:fill="auto"/>
            <w:vAlign w:val="center"/>
          </w:tcPr>
          <w:p w14:paraId="09DE996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BB054D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UPS不间断电源主机</w:t>
            </w:r>
          </w:p>
        </w:tc>
        <w:tc>
          <w:tcPr>
            <w:tcW w:w="1279" w:type="pct"/>
            <w:shd w:val="clear" w:color="auto" w:fill="auto"/>
            <w:vAlign w:val="center"/>
          </w:tcPr>
          <w:p w14:paraId="76B4AEE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艾默生UL33-0300L</w:t>
            </w:r>
          </w:p>
        </w:tc>
        <w:tc>
          <w:tcPr>
            <w:tcW w:w="400" w:type="pct"/>
            <w:shd w:val="clear" w:color="auto" w:fill="auto"/>
            <w:vAlign w:val="center"/>
          </w:tcPr>
          <w:p w14:paraId="0CA7919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138A13D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437A4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998E900">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198</w:t>
            </w:r>
          </w:p>
        </w:tc>
        <w:tc>
          <w:tcPr>
            <w:tcW w:w="830" w:type="pct"/>
            <w:shd w:val="clear" w:color="auto" w:fill="auto"/>
            <w:vAlign w:val="center"/>
          </w:tcPr>
          <w:p w14:paraId="0A2F913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DE2101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网络管理卡</w:t>
            </w:r>
          </w:p>
        </w:tc>
        <w:tc>
          <w:tcPr>
            <w:tcW w:w="1279" w:type="pct"/>
            <w:shd w:val="clear" w:color="auto" w:fill="auto"/>
            <w:vAlign w:val="center"/>
          </w:tcPr>
          <w:p w14:paraId="449035E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配套</w:t>
            </w:r>
          </w:p>
        </w:tc>
        <w:tc>
          <w:tcPr>
            <w:tcW w:w="400" w:type="pct"/>
            <w:shd w:val="clear" w:color="auto" w:fill="auto"/>
            <w:vAlign w:val="center"/>
          </w:tcPr>
          <w:p w14:paraId="6B706F7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53717AA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47FE9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614011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199</w:t>
            </w:r>
          </w:p>
        </w:tc>
        <w:tc>
          <w:tcPr>
            <w:tcW w:w="830" w:type="pct"/>
            <w:shd w:val="clear" w:color="auto" w:fill="auto"/>
            <w:vAlign w:val="center"/>
          </w:tcPr>
          <w:p w14:paraId="087A6C3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B95DE1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蓄电池</w:t>
            </w:r>
          </w:p>
        </w:tc>
        <w:tc>
          <w:tcPr>
            <w:tcW w:w="1279" w:type="pct"/>
            <w:shd w:val="clear" w:color="auto" w:fill="auto"/>
            <w:vAlign w:val="center"/>
          </w:tcPr>
          <w:p w14:paraId="1F769C2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MOERLI/12V120AH</w:t>
            </w:r>
          </w:p>
        </w:tc>
        <w:tc>
          <w:tcPr>
            <w:tcW w:w="400" w:type="pct"/>
            <w:shd w:val="clear" w:color="auto" w:fill="auto"/>
            <w:vAlign w:val="center"/>
          </w:tcPr>
          <w:p w14:paraId="2450948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32</w:t>
            </w:r>
          </w:p>
        </w:tc>
        <w:tc>
          <w:tcPr>
            <w:tcW w:w="405" w:type="pct"/>
            <w:shd w:val="clear" w:color="auto" w:fill="auto"/>
            <w:vAlign w:val="center"/>
          </w:tcPr>
          <w:p w14:paraId="425EC02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节</w:t>
            </w:r>
          </w:p>
        </w:tc>
      </w:tr>
      <w:tr w14:paraId="0F848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C45306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200</w:t>
            </w:r>
          </w:p>
        </w:tc>
        <w:tc>
          <w:tcPr>
            <w:tcW w:w="830" w:type="pct"/>
            <w:shd w:val="clear" w:color="auto" w:fill="auto"/>
            <w:vAlign w:val="center"/>
          </w:tcPr>
          <w:p w14:paraId="555EA51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AF0AD7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室内机</w:t>
            </w:r>
          </w:p>
        </w:tc>
        <w:tc>
          <w:tcPr>
            <w:tcW w:w="1279" w:type="pct"/>
            <w:shd w:val="clear" w:color="auto" w:fill="auto"/>
            <w:vAlign w:val="center"/>
          </w:tcPr>
          <w:p w14:paraId="6E3A771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维谛PEX-E1030DA</w:t>
            </w:r>
          </w:p>
        </w:tc>
        <w:tc>
          <w:tcPr>
            <w:tcW w:w="400" w:type="pct"/>
            <w:shd w:val="clear" w:color="auto" w:fill="auto"/>
            <w:vAlign w:val="center"/>
          </w:tcPr>
          <w:p w14:paraId="53F8235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7170CD6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78064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95B402E">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201</w:t>
            </w:r>
          </w:p>
        </w:tc>
        <w:tc>
          <w:tcPr>
            <w:tcW w:w="830" w:type="pct"/>
            <w:shd w:val="clear" w:color="auto" w:fill="auto"/>
            <w:vAlign w:val="center"/>
          </w:tcPr>
          <w:p w14:paraId="6CBA197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A6F2A7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室外机</w:t>
            </w:r>
          </w:p>
        </w:tc>
        <w:tc>
          <w:tcPr>
            <w:tcW w:w="1279" w:type="pct"/>
            <w:shd w:val="clear" w:color="auto" w:fill="auto"/>
            <w:vAlign w:val="center"/>
          </w:tcPr>
          <w:p w14:paraId="55BD016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维谛LSF52</w:t>
            </w:r>
          </w:p>
        </w:tc>
        <w:tc>
          <w:tcPr>
            <w:tcW w:w="400" w:type="pct"/>
            <w:shd w:val="clear" w:color="auto" w:fill="auto"/>
            <w:vAlign w:val="center"/>
          </w:tcPr>
          <w:p w14:paraId="4EEBB50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438C4A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790F9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4CAC2D6">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202</w:t>
            </w:r>
          </w:p>
        </w:tc>
        <w:tc>
          <w:tcPr>
            <w:tcW w:w="830" w:type="pct"/>
            <w:shd w:val="clear" w:color="auto" w:fill="auto"/>
            <w:vAlign w:val="center"/>
          </w:tcPr>
          <w:p w14:paraId="11A1545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52DB48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监控选件</w:t>
            </w:r>
          </w:p>
        </w:tc>
        <w:tc>
          <w:tcPr>
            <w:tcW w:w="1279" w:type="pct"/>
            <w:shd w:val="clear" w:color="auto" w:fill="auto"/>
            <w:vAlign w:val="center"/>
          </w:tcPr>
          <w:p w14:paraId="75742D0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维谛</w:t>
            </w:r>
          </w:p>
        </w:tc>
        <w:tc>
          <w:tcPr>
            <w:tcW w:w="400" w:type="pct"/>
            <w:shd w:val="clear" w:color="auto" w:fill="auto"/>
            <w:vAlign w:val="center"/>
          </w:tcPr>
          <w:p w14:paraId="04EF90F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7598916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张</w:t>
            </w:r>
          </w:p>
        </w:tc>
      </w:tr>
      <w:tr w14:paraId="11E6A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6761A83">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203</w:t>
            </w:r>
          </w:p>
        </w:tc>
        <w:tc>
          <w:tcPr>
            <w:tcW w:w="830" w:type="pct"/>
            <w:shd w:val="clear" w:color="auto" w:fill="auto"/>
            <w:vAlign w:val="center"/>
          </w:tcPr>
          <w:p w14:paraId="5BE408B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62EB78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KVM管理系统</w:t>
            </w:r>
          </w:p>
        </w:tc>
        <w:tc>
          <w:tcPr>
            <w:tcW w:w="1279" w:type="pct"/>
            <w:shd w:val="clear" w:color="auto" w:fill="auto"/>
            <w:vAlign w:val="center"/>
          </w:tcPr>
          <w:p w14:paraId="5944BE7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蓝宝LB-K8232A</w:t>
            </w:r>
          </w:p>
        </w:tc>
        <w:tc>
          <w:tcPr>
            <w:tcW w:w="400" w:type="pct"/>
            <w:shd w:val="clear" w:color="auto" w:fill="auto"/>
            <w:vAlign w:val="center"/>
          </w:tcPr>
          <w:p w14:paraId="3D4AD88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7B62A1D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61344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9A5D05C">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204</w:t>
            </w:r>
          </w:p>
        </w:tc>
        <w:tc>
          <w:tcPr>
            <w:tcW w:w="830" w:type="pct"/>
            <w:shd w:val="clear" w:color="auto" w:fill="auto"/>
            <w:vAlign w:val="center"/>
          </w:tcPr>
          <w:p w14:paraId="4937392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669978C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电力电量仪</w:t>
            </w:r>
          </w:p>
        </w:tc>
        <w:tc>
          <w:tcPr>
            <w:tcW w:w="1279" w:type="pct"/>
            <w:shd w:val="clear" w:color="auto" w:fill="auto"/>
            <w:vAlign w:val="center"/>
          </w:tcPr>
          <w:p w14:paraId="28BBF0D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计通MCP400S</w:t>
            </w:r>
          </w:p>
        </w:tc>
        <w:tc>
          <w:tcPr>
            <w:tcW w:w="400" w:type="pct"/>
            <w:shd w:val="clear" w:color="auto" w:fill="auto"/>
            <w:vAlign w:val="center"/>
          </w:tcPr>
          <w:p w14:paraId="4D1353E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7987938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62447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D13C61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205</w:t>
            </w:r>
          </w:p>
        </w:tc>
        <w:tc>
          <w:tcPr>
            <w:tcW w:w="830" w:type="pct"/>
            <w:shd w:val="clear" w:color="auto" w:fill="auto"/>
            <w:vAlign w:val="center"/>
          </w:tcPr>
          <w:p w14:paraId="6AA24BB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6F3EDD7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电流互感器</w:t>
            </w:r>
          </w:p>
        </w:tc>
        <w:tc>
          <w:tcPr>
            <w:tcW w:w="1279" w:type="pct"/>
            <w:shd w:val="clear" w:color="auto" w:fill="auto"/>
            <w:vAlign w:val="center"/>
          </w:tcPr>
          <w:p w14:paraId="59C38E2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计通BH-0.66</w:t>
            </w:r>
          </w:p>
        </w:tc>
        <w:tc>
          <w:tcPr>
            <w:tcW w:w="400" w:type="pct"/>
            <w:shd w:val="clear" w:color="auto" w:fill="auto"/>
            <w:vAlign w:val="center"/>
          </w:tcPr>
          <w:p w14:paraId="3E31395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3</w:t>
            </w:r>
          </w:p>
        </w:tc>
        <w:tc>
          <w:tcPr>
            <w:tcW w:w="405" w:type="pct"/>
            <w:shd w:val="clear" w:color="auto" w:fill="auto"/>
            <w:vAlign w:val="center"/>
          </w:tcPr>
          <w:p w14:paraId="0170DFC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2B5DF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89DCBE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206</w:t>
            </w:r>
          </w:p>
        </w:tc>
        <w:tc>
          <w:tcPr>
            <w:tcW w:w="830" w:type="pct"/>
            <w:shd w:val="clear" w:color="auto" w:fill="auto"/>
            <w:vAlign w:val="center"/>
          </w:tcPr>
          <w:p w14:paraId="58A40D7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8A5A96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开关量采集模块</w:t>
            </w:r>
          </w:p>
        </w:tc>
        <w:tc>
          <w:tcPr>
            <w:tcW w:w="1279" w:type="pct"/>
            <w:shd w:val="clear" w:color="auto" w:fill="auto"/>
            <w:vAlign w:val="center"/>
          </w:tcPr>
          <w:p w14:paraId="7660DB7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计通OAO-886</w:t>
            </w:r>
          </w:p>
        </w:tc>
        <w:tc>
          <w:tcPr>
            <w:tcW w:w="400" w:type="pct"/>
            <w:shd w:val="clear" w:color="auto" w:fill="auto"/>
            <w:vAlign w:val="center"/>
          </w:tcPr>
          <w:p w14:paraId="7CCF3DA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vAlign w:val="center"/>
          </w:tcPr>
          <w:p w14:paraId="357D84D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0E42A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FC3B5D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207</w:t>
            </w:r>
          </w:p>
        </w:tc>
        <w:tc>
          <w:tcPr>
            <w:tcW w:w="830" w:type="pct"/>
            <w:shd w:val="clear" w:color="auto" w:fill="auto"/>
            <w:vAlign w:val="center"/>
          </w:tcPr>
          <w:p w14:paraId="222412C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CF1716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配电软件模块</w:t>
            </w:r>
          </w:p>
        </w:tc>
        <w:tc>
          <w:tcPr>
            <w:tcW w:w="1279" w:type="pct"/>
            <w:shd w:val="clear" w:color="auto" w:fill="auto"/>
            <w:vAlign w:val="center"/>
          </w:tcPr>
          <w:p w14:paraId="359841B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2D1E571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7FFFAAA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58638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D80C5A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208</w:t>
            </w:r>
          </w:p>
        </w:tc>
        <w:tc>
          <w:tcPr>
            <w:tcW w:w="830" w:type="pct"/>
            <w:shd w:val="clear" w:color="auto" w:fill="auto"/>
            <w:vAlign w:val="center"/>
          </w:tcPr>
          <w:p w14:paraId="402A6B7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66A3E2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通讯转换模块</w:t>
            </w:r>
          </w:p>
        </w:tc>
        <w:tc>
          <w:tcPr>
            <w:tcW w:w="1279" w:type="pct"/>
            <w:shd w:val="clear" w:color="auto" w:fill="auto"/>
            <w:vAlign w:val="center"/>
          </w:tcPr>
          <w:p w14:paraId="24DF2A4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计通OAO-820C</w:t>
            </w:r>
          </w:p>
        </w:tc>
        <w:tc>
          <w:tcPr>
            <w:tcW w:w="400" w:type="pct"/>
            <w:shd w:val="clear" w:color="auto" w:fill="auto"/>
            <w:vAlign w:val="center"/>
          </w:tcPr>
          <w:p w14:paraId="20666E1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14994E7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0E7A4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E5FE1CD">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209</w:t>
            </w:r>
          </w:p>
        </w:tc>
        <w:tc>
          <w:tcPr>
            <w:tcW w:w="830" w:type="pct"/>
            <w:shd w:val="clear" w:color="auto" w:fill="auto"/>
            <w:vAlign w:val="center"/>
          </w:tcPr>
          <w:p w14:paraId="3F6672F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855C44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转换软件模块</w:t>
            </w:r>
          </w:p>
        </w:tc>
        <w:tc>
          <w:tcPr>
            <w:tcW w:w="1279" w:type="pct"/>
            <w:shd w:val="clear" w:color="auto" w:fill="auto"/>
            <w:vAlign w:val="center"/>
          </w:tcPr>
          <w:p w14:paraId="6D56A68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303ED29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752102E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61F3C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313BD6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210</w:t>
            </w:r>
          </w:p>
        </w:tc>
        <w:tc>
          <w:tcPr>
            <w:tcW w:w="830" w:type="pct"/>
            <w:shd w:val="clear" w:color="auto" w:fill="auto"/>
            <w:vAlign w:val="center"/>
          </w:tcPr>
          <w:p w14:paraId="2754F6B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0189F1C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通讯转换模块</w:t>
            </w:r>
          </w:p>
        </w:tc>
        <w:tc>
          <w:tcPr>
            <w:tcW w:w="1279" w:type="pct"/>
            <w:shd w:val="clear" w:color="auto" w:fill="auto"/>
            <w:vAlign w:val="center"/>
          </w:tcPr>
          <w:p w14:paraId="240E00B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计通OAO-820C</w:t>
            </w:r>
          </w:p>
        </w:tc>
        <w:tc>
          <w:tcPr>
            <w:tcW w:w="400" w:type="pct"/>
            <w:shd w:val="clear" w:color="auto" w:fill="auto"/>
            <w:vAlign w:val="center"/>
          </w:tcPr>
          <w:p w14:paraId="483F468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E807AC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5D0F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F57BE9C">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211</w:t>
            </w:r>
          </w:p>
        </w:tc>
        <w:tc>
          <w:tcPr>
            <w:tcW w:w="830" w:type="pct"/>
            <w:shd w:val="clear" w:color="auto" w:fill="auto"/>
            <w:vAlign w:val="center"/>
          </w:tcPr>
          <w:p w14:paraId="44385C4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413A234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空调软件模块</w:t>
            </w:r>
          </w:p>
        </w:tc>
        <w:tc>
          <w:tcPr>
            <w:tcW w:w="1279" w:type="pct"/>
            <w:shd w:val="clear" w:color="auto" w:fill="auto"/>
            <w:vAlign w:val="center"/>
          </w:tcPr>
          <w:p w14:paraId="6E68602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353E116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292DCC9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09FC4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F23A83C">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212</w:t>
            </w:r>
          </w:p>
        </w:tc>
        <w:tc>
          <w:tcPr>
            <w:tcW w:w="830" w:type="pct"/>
            <w:shd w:val="clear" w:color="auto" w:fill="auto"/>
            <w:vAlign w:val="center"/>
          </w:tcPr>
          <w:p w14:paraId="55F9CFD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6BA6BD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温湿度传感器</w:t>
            </w:r>
          </w:p>
        </w:tc>
        <w:tc>
          <w:tcPr>
            <w:tcW w:w="1279" w:type="pct"/>
            <w:shd w:val="clear" w:color="auto" w:fill="auto"/>
            <w:vAlign w:val="center"/>
          </w:tcPr>
          <w:p w14:paraId="76B433E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计通OAO-210</w:t>
            </w:r>
          </w:p>
        </w:tc>
        <w:tc>
          <w:tcPr>
            <w:tcW w:w="400" w:type="pct"/>
            <w:shd w:val="clear" w:color="auto" w:fill="auto"/>
            <w:vAlign w:val="center"/>
          </w:tcPr>
          <w:p w14:paraId="7A38D72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3</w:t>
            </w:r>
          </w:p>
        </w:tc>
        <w:tc>
          <w:tcPr>
            <w:tcW w:w="405" w:type="pct"/>
            <w:shd w:val="clear" w:color="auto" w:fill="auto"/>
            <w:vAlign w:val="center"/>
          </w:tcPr>
          <w:p w14:paraId="71A2B4B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36AA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D64D8D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213</w:t>
            </w:r>
          </w:p>
        </w:tc>
        <w:tc>
          <w:tcPr>
            <w:tcW w:w="830" w:type="pct"/>
            <w:shd w:val="clear" w:color="auto" w:fill="auto"/>
            <w:vAlign w:val="center"/>
          </w:tcPr>
          <w:p w14:paraId="10DE94B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45FBA1D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温湿度软件模块</w:t>
            </w:r>
          </w:p>
        </w:tc>
        <w:tc>
          <w:tcPr>
            <w:tcW w:w="1279" w:type="pct"/>
            <w:shd w:val="clear" w:color="auto" w:fill="auto"/>
            <w:vAlign w:val="center"/>
          </w:tcPr>
          <w:p w14:paraId="617DB1B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2E1895A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0032C48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76829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829675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214</w:t>
            </w:r>
          </w:p>
        </w:tc>
        <w:tc>
          <w:tcPr>
            <w:tcW w:w="830" w:type="pct"/>
            <w:shd w:val="clear" w:color="auto" w:fill="auto"/>
            <w:vAlign w:val="center"/>
          </w:tcPr>
          <w:p w14:paraId="476E615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0989C7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烟感探测器</w:t>
            </w:r>
          </w:p>
        </w:tc>
        <w:tc>
          <w:tcPr>
            <w:tcW w:w="1279" w:type="pct"/>
            <w:shd w:val="clear" w:color="auto" w:fill="auto"/>
            <w:vAlign w:val="center"/>
          </w:tcPr>
          <w:p w14:paraId="29B88AD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计通YH-1068</w:t>
            </w:r>
          </w:p>
        </w:tc>
        <w:tc>
          <w:tcPr>
            <w:tcW w:w="400" w:type="pct"/>
            <w:shd w:val="clear" w:color="auto" w:fill="auto"/>
            <w:vAlign w:val="center"/>
          </w:tcPr>
          <w:p w14:paraId="27B2C70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vAlign w:val="center"/>
          </w:tcPr>
          <w:p w14:paraId="108918A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70C58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A48C882">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215</w:t>
            </w:r>
          </w:p>
        </w:tc>
        <w:tc>
          <w:tcPr>
            <w:tcW w:w="830" w:type="pct"/>
            <w:shd w:val="clear" w:color="auto" w:fill="auto"/>
            <w:vAlign w:val="center"/>
          </w:tcPr>
          <w:p w14:paraId="2540DAE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441A81D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开关量采集模块</w:t>
            </w:r>
          </w:p>
        </w:tc>
        <w:tc>
          <w:tcPr>
            <w:tcW w:w="1279" w:type="pct"/>
            <w:shd w:val="clear" w:color="auto" w:fill="auto"/>
            <w:vAlign w:val="center"/>
          </w:tcPr>
          <w:p w14:paraId="47F32E1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计通OAO-816D</w:t>
            </w:r>
          </w:p>
        </w:tc>
        <w:tc>
          <w:tcPr>
            <w:tcW w:w="400" w:type="pct"/>
            <w:shd w:val="clear" w:color="auto" w:fill="auto"/>
            <w:vAlign w:val="center"/>
          </w:tcPr>
          <w:p w14:paraId="573B987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2455205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6B531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5A8487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216</w:t>
            </w:r>
          </w:p>
        </w:tc>
        <w:tc>
          <w:tcPr>
            <w:tcW w:w="830" w:type="pct"/>
            <w:shd w:val="clear" w:color="auto" w:fill="auto"/>
            <w:vAlign w:val="center"/>
          </w:tcPr>
          <w:p w14:paraId="03F129F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5E2D02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消防软件模块</w:t>
            </w:r>
          </w:p>
        </w:tc>
        <w:tc>
          <w:tcPr>
            <w:tcW w:w="1279" w:type="pct"/>
            <w:shd w:val="clear" w:color="auto" w:fill="auto"/>
            <w:vAlign w:val="center"/>
          </w:tcPr>
          <w:p w14:paraId="79592F1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6D6FFF3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7C9E98A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4C33A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DA6878F">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217</w:t>
            </w:r>
          </w:p>
        </w:tc>
        <w:tc>
          <w:tcPr>
            <w:tcW w:w="830" w:type="pct"/>
            <w:shd w:val="clear" w:color="auto" w:fill="auto"/>
            <w:vAlign w:val="center"/>
          </w:tcPr>
          <w:p w14:paraId="28AB5F1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16B4BE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红外吸顶探测器</w:t>
            </w:r>
          </w:p>
        </w:tc>
        <w:tc>
          <w:tcPr>
            <w:tcW w:w="1279" w:type="pct"/>
            <w:shd w:val="clear" w:color="auto" w:fill="auto"/>
            <w:vAlign w:val="center"/>
          </w:tcPr>
          <w:p w14:paraId="1C4C656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计通DT-7380</w:t>
            </w:r>
          </w:p>
        </w:tc>
        <w:tc>
          <w:tcPr>
            <w:tcW w:w="400" w:type="pct"/>
            <w:shd w:val="clear" w:color="auto" w:fill="auto"/>
            <w:vAlign w:val="center"/>
          </w:tcPr>
          <w:p w14:paraId="39DB74B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318745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只</w:t>
            </w:r>
          </w:p>
        </w:tc>
      </w:tr>
      <w:tr w14:paraId="7E8A8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4759A3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218</w:t>
            </w:r>
          </w:p>
        </w:tc>
        <w:tc>
          <w:tcPr>
            <w:tcW w:w="830" w:type="pct"/>
            <w:shd w:val="clear" w:color="auto" w:fill="auto"/>
            <w:vAlign w:val="center"/>
          </w:tcPr>
          <w:p w14:paraId="5EA9D58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471294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开关量采集模块</w:t>
            </w:r>
          </w:p>
        </w:tc>
        <w:tc>
          <w:tcPr>
            <w:tcW w:w="1279" w:type="pct"/>
            <w:shd w:val="clear" w:color="auto" w:fill="auto"/>
            <w:vAlign w:val="center"/>
          </w:tcPr>
          <w:p w14:paraId="744A74F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计通OAO-816D</w:t>
            </w:r>
          </w:p>
        </w:tc>
        <w:tc>
          <w:tcPr>
            <w:tcW w:w="400" w:type="pct"/>
            <w:shd w:val="clear" w:color="auto" w:fill="auto"/>
            <w:vAlign w:val="center"/>
          </w:tcPr>
          <w:p w14:paraId="6775390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171AE9D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0FA54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49B5EBE">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219</w:t>
            </w:r>
          </w:p>
        </w:tc>
        <w:tc>
          <w:tcPr>
            <w:tcW w:w="830" w:type="pct"/>
            <w:shd w:val="clear" w:color="auto" w:fill="auto"/>
            <w:vAlign w:val="center"/>
          </w:tcPr>
          <w:p w14:paraId="778E5DB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BAEF6C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红外报警软件模块</w:t>
            </w:r>
          </w:p>
        </w:tc>
        <w:tc>
          <w:tcPr>
            <w:tcW w:w="1279" w:type="pct"/>
            <w:shd w:val="clear" w:color="auto" w:fill="auto"/>
            <w:vAlign w:val="center"/>
          </w:tcPr>
          <w:p w14:paraId="723DDEF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4A9FD68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70F55AB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613E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2F681D8">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220</w:t>
            </w:r>
          </w:p>
        </w:tc>
        <w:tc>
          <w:tcPr>
            <w:tcW w:w="830" w:type="pct"/>
            <w:shd w:val="clear" w:color="auto" w:fill="auto"/>
            <w:vAlign w:val="center"/>
          </w:tcPr>
          <w:p w14:paraId="55E0248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2E5CF1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漏水控制器</w:t>
            </w:r>
          </w:p>
        </w:tc>
        <w:tc>
          <w:tcPr>
            <w:tcW w:w="1279" w:type="pct"/>
            <w:shd w:val="clear" w:color="auto" w:fill="auto"/>
            <w:vAlign w:val="center"/>
          </w:tcPr>
          <w:p w14:paraId="154792B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计通XW-DC-04</w:t>
            </w:r>
          </w:p>
        </w:tc>
        <w:tc>
          <w:tcPr>
            <w:tcW w:w="400" w:type="pct"/>
            <w:shd w:val="clear" w:color="auto" w:fill="auto"/>
            <w:vAlign w:val="center"/>
          </w:tcPr>
          <w:p w14:paraId="75D3F74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5FC3451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679EB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F8A6C0F">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221</w:t>
            </w:r>
          </w:p>
        </w:tc>
        <w:tc>
          <w:tcPr>
            <w:tcW w:w="830" w:type="pct"/>
            <w:shd w:val="clear" w:color="auto" w:fill="auto"/>
            <w:vAlign w:val="center"/>
          </w:tcPr>
          <w:p w14:paraId="3C60410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3ACAC7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漏水引出线</w:t>
            </w:r>
          </w:p>
        </w:tc>
        <w:tc>
          <w:tcPr>
            <w:tcW w:w="1279" w:type="pct"/>
            <w:shd w:val="clear" w:color="auto" w:fill="auto"/>
            <w:vAlign w:val="center"/>
          </w:tcPr>
          <w:p w14:paraId="2261778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计通XW-MLC-4M/P</w:t>
            </w:r>
          </w:p>
        </w:tc>
        <w:tc>
          <w:tcPr>
            <w:tcW w:w="400" w:type="pct"/>
            <w:shd w:val="clear" w:color="auto" w:fill="auto"/>
            <w:vAlign w:val="center"/>
          </w:tcPr>
          <w:p w14:paraId="10321F4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6DE7907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根</w:t>
            </w:r>
          </w:p>
        </w:tc>
      </w:tr>
      <w:tr w14:paraId="53A6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E16D2C5">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222</w:t>
            </w:r>
          </w:p>
        </w:tc>
        <w:tc>
          <w:tcPr>
            <w:tcW w:w="830" w:type="pct"/>
            <w:shd w:val="clear" w:color="auto" w:fill="auto"/>
            <w:vAlign w:val="center"/>
          </w:tcPr>
          <w:p w14:paraId="5CA0A13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9567A8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漏水感应线</w:t>
            </w:r>
          </w:p>
        </w:tc>
        <w:tc>
          <w:tcPr>
            <w:tcW w:w="1279" w:type="pct"/>
            <w:shd w:val="clear" w:color="auto" w:fill="auto"/>
            <w:vAlign w:val="center"/>
          </w:tcPr>
          <w:p w14:paraId="25A8417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计通XW1100-10M</w:t>
            </w:r>
          </w:p>
        </w:tc>
        <w:tc>
          <w:tcPr>
            <w:tcW w:w="400" w:type="pct"/>
            <w:shd w:val="clear" w:color="auto" w:fill="auto"/>
            <w:vAlign w:val="center"/>
          </w:tcPr>
          <w:p w14:paraId="42E3A48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22BC16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根</w:t>
            </w:r>
          </w:p>
        </w:tc>
      </w:tr>
      <w:tr w14:paraId="0BD2D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C5A429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223</w:t>
            </w:r>
          </w:p>
        </w:tc>
        <w:tc>
          <w:tcPr>
            <w:tcW w:w="830" w:type="pct"/>
            <w:shd w:val="clear" w:color="auto" w:fill="auto"/>
            <w:vAlign w:val="center"/>
          </w:tcPr>
          <w:p w14:paraId="6DB88A5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B9F36D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漏水终止端</w:t>
            </w:r>
          </w:p>
        </w:tc>
        <w:tc>
          <w:tcPr>
            <w:tcW w:w="1279" w:type="pct"/>
            <w:shd w:val="clear" w:color="auto" w:fill="auto"/>
            <w:vAlign w:val="center"/>
          </w:tcPr>
          <w:p w14:paraId="0608BCC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计通XW-MET</w:t>
            </w:r>
          </w:p>
        </w:tc>
        <w:tc>
          <w:tcPr>
            <w:tcW w:w="400" w:type="pct"/>
            <w:shd w:val="clear" w:color="auto" w:fill="auto"/>
            <w:vAlign w:val="center"/>
          </w:tcPr>
          <w:p w14:paraId="183F589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51357B9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032B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1EFD93A">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224</w:t>
            </w:r>
          </w:p>
        </w:tc>
        <w:tc>
          <w:tcPr>
            <w:tcW w:w="830" w:type="pct"/>
            <w:shd w:val="clear" w:color="auto" w:fill="auto"/>
            <w:vAlign w:val="center"/>
          </w:tcPr>
          <w:p w14:paraId="596D4C5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117011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电源</w:t>
            </w:r>
          </w:p>
        </w:tc>
        <w:tc>
          <w:tcPr>
            <w:tcW w:w="1279" w:type="pct"/>
            <w:shd w:val="clear" w:color="auto" w:fill="auto"/>
            <w:vAlign w:val="center"/>
          </w:tcPr>
          <w:p w14:paraId="7A90EA5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计通12V/DC</w:t>
            </w:r>
          </w:p>
        </w:tc>
        <w:tc>
          <w:tcPr>
            <w:tcW w:w="400" w:type="pct"/>
            <w:shd w:val="clear" w:color="auto" w:fill="auto"/>
            <w:vAlign w:val="center"/>
          </w:tcPr>
          <w:p w14:paraId="247B5E3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2BDAC7B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210C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79A3794">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225</w:t>
            </w:r>
          </w:p>
        </w:tc>
        <w:tc>
          <w:tcPr>
            <w:tcW w:w="830" w:type="pct"/>
            <w:shd w:val="clear" w:color="auto" w:fill="auto"/>
            <w:vAlign w:val="center"/>
          </w:tcPr>
          <w:p w14:paraId="3252F5C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3AC531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漏水软件模块</w:t>
            </w:r>
          </w:p>
        </w:tc>
        <w:tc>
          <w:tcPr>
            <w:tcW w:w="1279" w:type="pct"/>
            <w:shd w:val="clear" w:color="auto" w:fill="auto"/>
            <w:vAlign w:val="center"/>
          </w:tcPr>
          <w:p w14:paraId="74FCC49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200DCA6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4C1A1E6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5D8EC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2591B40">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226</w:t>
            </w:r>
          </w:p>
        </w:tc>
        <w:tc>
          <w:tcPr>
            <w:tcW w:w="830" w:type="pct"/>
            <w:shd w:val="clear" w:color="auto" w:fill="auto"/>
            <w:vAlign w:val="center"/>
          </w:tcPr>
          <w:p w14:paraId="2F7726B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09140FE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摄像机专用电源箱</w:t>
            </w:r>
          </w:p>
        </w:tc>
        <w:tc>
          <w:tcPr>
            <w:tcW w:w="1279" w:type="pct"/>
            <w:shd w:val="clear" w:color="auto" w:fill="auto"/>
            <w:vAlign w:val="center"/>
          </w:tcPr>
          <w:p w14:paraId="61B1B80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计通CP1218-20A</w:t>
            </w:r>
          </w:p>
        </w:tc>
        <w:tc>
          <w:tcPr>
            <w:tcW w:w="400" w:type="pct"/>
            <w:shd w:val="clear" w:color="auto" w:fill="auto"/>
            <w:vAlign w:val="center"/>
          </w:tcPr>
          <w:p w14:paraId="79ECB79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094CACD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38F20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48E8AC48">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227</w:t>
            </w:r>
          </w:p>
        </w:tc>
        <w:tc>
          <w:tcPr>
            <w:tcW w:w="830" w:type="pct"/>
            <w:shd w:val="clear" w:color="auto" w:fill="auto"/>
            <w:vAlign w:val="center"/>
          </w:tcPr>
          <w:p w14:paraId="2126318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5146ED0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监控软件模块</w:t>
            </w:r>
          </w:p>
        </w:tc>
        <w:tc>
          <w:tcPr>
            <w:tcW w:w="1279" w:type="pct"/>
            <w:shd w:val="clear" w:color="auto" w:fill="auto"/>
            <w:vAlign w:val="center"/>
          </w:tcPr>
          <w:p w14:paraId="2900B98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1BD9630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7DB8E33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3B7B9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36FDFC4B">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228</w:t>
            </w:r>
          </w:p>
        </w:tc>
        <w:tc>
          <w:tcPr>
            <w:tcW w:w="830" w:type="pct"/>
            <w:shd w:val="clear" w:color="auto" w:fill="auto"/>
            <w:vAlign w:val="center"/>
          </w:tcPr>
          <w:p w14:paraId="48C48E5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795187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联网型双门双向控制器</w:t>
            </w:r>
          </w:p>
        </w:tc>
        <w:tc>
          <w:tcPr>
            <w:tcW w:w="1279" w:type="pct"/>
            <w:shd w:val="clear" w:color="auto" w:fill="auto"/>
            <w:vAlign w:val="center"/>
          </w:tcPr>
          <w:p w14:paraId="6DD9436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计通OAO-MJ202</w:t>
            </w:r>
          </w:p>
        </w:tc>
        <w:tc>
          <w:tcPr>
            <w:tcW w:w="400" w:type="pct"/>
            <w:shd w:val="clear" w:color="auto" w:fill="auto"/>
            <w:vAlign w:val="center"/>
          </w:tcPr>
          <w:p w14:paraId="42FCD2D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7832448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4C579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EC954A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229</w:t>
            </w:r>
          </w:p>
        </w:tc>
        <w:tc>
          <w:tcPr>
            <w:tcW w:w="830" w:type="pct"/>
            <w:shd w:val="clear" w:color="auto" w:fill="auto"/>
            <w:vAlign w:val="center"/>
          </w:tcPr>
          <w:p w14:paraId="5CC14C7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E9EEA6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ID读卡器</w:t>
            </w:r>
          </w:p>
        </w:tc>
        <w:tc>
          <w:tcPr>
            <w:tcW w:w="1279" w:type="pct"/>
            <w:shd w:val="clear" w:color="auto" w:fill="auto"/>
            <w:vAlign w:val="center"/>
          </w:tcPr>
          <w:p w14:paraId="3193AA0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计通OAO-ID</w:t>
            </w:r>
          </w:p>
        </w:tc>
        <w:tc>
          <w:tcPr>
            <w:tcW w:w="400" w:type="pct"/>
            <w:shd w:val="clear" w:color="auto" w:fill="auto"/>
            <w:vAlign w:val="center"/>
          </w:tcPr>
          <w:p w14:paraId="08EF310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5B399D6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14679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6E4875C">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230</w:t>
            </w:r>
          </w:p>
        </w:tc>
        <w:tc>
          <w:tcPr>
            <w:tcW w:w="830" w:type="pct"/>
            <w:shd w:val="clear" w:color="auto" w:fill="auto"/>
            <w:vAlign w:val="center"/>
          </w:tcPr>
          <w:p w14:paraId="1829B5C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32E851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双门磁力锁</w:t>
            </w:r>
          </w:p>
        </w:tc>
        <w:tc>
          <w:tcPr>
            <w:tcW w:w="1279" w:type="pct"/>
            <w:shd w:val="clear" w:color="auto" w:fill="auto"/>
            <w:vAlign w:val="center"/>
          </w:tcPr>
          <w:p w14:paraId="7AB4338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计通VI-280BS</w:t>
            </w:r>
          </w:p>
        </w:tc>
        <w:tc>
          <w:tcPr>
            <w:tcW w:w="400" w:type="pct"/>
            <w:shd w:val="clear" w:color="auto" w:fill="auto"/>
            <w:vAlign w:val="center"/>
          </w:tcPr>
          <w:p w14:paraId="6E2A4F2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682CA94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把</w:t>
            </w:r>
          </w:p>
        </w:tc>
      </w:tr>
      <w:tr w14:paraId="17DDA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6686C1A">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231</w:t>
            </w:r>
          </w:p>
        </w:tc>
        <w:tc>
          <w:tcPr>
            <w:tcW w:w="830" w:type="pct"/>
            <w:shd w:val="clear" w:color="auto" w:fill="auto"/>
            <w:vAlign w:val="center"/>
          </w:tcPr>
          <w:p w14:paraId="4F081C1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052AF88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出门按钮</w:t>
            </w:r>
          </w:p>
        </w:tc>
        <w:tc>
          <w:tcPr>
            <w:tcW w:w="1279" w:type="pct"/>
            <w:shd w:val="clear" w:color="auto" w:fill="auto"/>
            <w:vAlign w:val="center"/>
          </w:tcPr>
          <w:p w14:paraId="5C8DEA4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 TCL</w:t>
            </w:r>
          </w:p>
        </w:tc>
        <w:tc>
          <w:tcPr>
            <w:tcW w:w="400" w:type="pct"/>
            <w:shd w:val="clear" w:color="auto" w:fill="auto"/>
            <w:vAlign w:val="center"/>
          </w:tcPr>
          <w:p w14:paraId="4B6264D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18C34FE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只</w:t>
            </w:r>
          </w:p>
        </w:tc>
      </w:tr>
      <w:tr w14:paraId="23642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E33A60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232</w:t>
            </w:r>
          </w:p>
        </w:tc>
        <w:tc>
          <w:tcPr>
            <w:tcW w:w="830" w:type="pct"/>
            <w:shd w:val="clear" w:color="auto" w:fill="auto"/>
            <w:vAlign w:val="center"/>
          </w:tcPr>
          <w:p w14:paraId="0E752DB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406790C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门禁软件模块</w:t>
            </w:r>
          </w:p>
        </w:tc>
        <w:tc>
          <w:tcPr>
            <w:tcW w:w="1279" w:type="pct"/>
            <w:shd w:val="clear" w:color="auto" w:fill="auto"/>
            <w:vAlign w:val="center"/>
          </w:tcPr>
          <w:p w14:paraId="602A378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计通V5.01</w:t>
            </w:r>
          </w:p>
        </w:tc>
        <w:tc>
          <w:tcPr>
            <w:tcW w:w="400" w:type="pct"/>
            <w:shd w:val="clear" w:color="auto" w:fill="auto"/>
            <w:vAlign w:val="center"/>
          </w:tcPr>
          <w:p w14:paraId="4EA1EF7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56CA0D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1F075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5487F81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233</w:t>
            </w:r>
          </w:p>
        </w:tc>
        <w:tc>
          <w:tcPr>
            <w:tcW w:w="830" w:type="pct"/>
            <w:shd w:val="clear" w:color="auto" w:fill="auto"/>
            <w:vAlign w:val="center"/>
          </w:tcPr>
          <w:p w14:paraId="7F44994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05B9820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8串口服务器</w:t>
            </w:r>
          </w:p>
        </w:tc>
        <w:tc>
          <w:tcPr>
            <w:tcW w:w="1279" w:type="pct"/>
            <w:shd w:val="clear" w:color="auto" w:fill="auto"/>
            <w:vAlign w:val="center"/>
          </w:tcPr>
          <w:p w14:paraId="38BF025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计通OAO-608</w:t>
            </w:r>
          </w:p>
        </w:tc>
        <w:tc>
          <w:tcPr>
            <w:tcW w:w="400" w:type="pct"/>
            <w:shd w:val="clear" w:color="auto" w:fill="auto"/>
            <w:vAlign w:val="center"/>
          </w:tcPr>
          <w:p w14:paraId="12CA9B3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01B1DA1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11BF4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405" w:type="pct"/>
            <w:shd w:val="clear" w:color="auto" w:fill="auto"/>
            <w:vAlign w:val="center"/>
          </w:tcPr>
          <w:p w14:paraId="76BD7D99">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234</w:t>
            </w:r>
          </w:p>
        </w:tc>
        <w:tc>
          <w:tcPr>
            <w:tcW w:w="830" w:type="pct"/>
            <w:shd w:val="clear" w:color="auto" w:fill="auto"/>
            <w:vAlign w:val="center"/>
          </w:tcPr>
          <w:p w14:paraId="5E883C8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B881C0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POE交换机</w:t>
            </w:r>
          </w:p>
        </w:tc>
        <w:tc>
          <w:tcPr>
            <w:tcW w:w="1279" w:type="pct"/>
            <w:shd w:val="clear" w:color="auto" w:fill="auto"/>
            <w:vAlign w:val="center"/>
          </w:tcPr>
          <w:p w14:paraId="1FA82FD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TP-LINK TL-SG1210PE</w:t>
            </w:r>
          </w:p>
        </w:tc>
        <w:tc>
          <w:tcPr>
            <w:tcW w:w="400" w:type="pct"/>
            <w:shd w:val="clear" w:color="auto" w:fill="auto"/>
            <w:vAlign w:val="center"/>
          </w:tcPr>
          <w:p w14:paraId="123FB87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3193E4D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0EAD3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21B5EB8">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kern w:val="2"/>
                <w:sz w:val="24"/>
                <w:highlight w:val="none"/>
              </w:rPr>
            </w:pPr>
            <w:r>
              <w:rPr>
                <w:rFonts w:hint="eastAsia" w:ascii="宋体" w:hAnsi="宋体"/>
                <w:color w:val="auto"/>
                <w:sz w:val="24"/>
                <w:highlight w:val="none"/>
              </w:rPr>
              <w:t>235</w:t>
            </w:r>
          </w:p>
        </w:tc>
        <w:tc>
          <w:tcPr>
            <w:tcW w:w="830" w:type="pct"/>
            <w:shd w:val="clear" w:color="auto" w:fill="auto"/>
            <w:vAlign w:val="center"/>
          </w:tcPr>
          <w:p w14:paraId="1F0DA7F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69F1709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200万红外半球高清彩色网络摄像机</w:t>
            </w:r>
          </w:p>
        </w:tc>
        <w:tc>
          <w:tcPr>
            <w:tcW w:w="1279" w:type="pct"/>
            <w:shd w:val="clear" w:color="auto" w:fill="auto"/>
            <w:vAlign w:val="center"/>
          </w:tcPr>
          <w:p w14:paraId="6E79441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海康DS-2CD2325-I</w:t>
            </w:r>
          </w:p>
        </w:tc>
        <w:tc>
          <w:tcPr>
            <w:tcW w:w="400" w:type="pct"/>
            <w:shd w:val="clear" w:color="auto" w:fill="auto"/>
            <w:vAlign w:val="center"/>
          </w:tcPr>
          <w:p w14:paraId="3D36347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4</w:t>
            </w:r>
          </w:p>
        </w:tc>
        <w:tc>
          <w:tcPr>
            <w:tcW w:w="405" w:type="pct"/>
            <w:shd w:val="clear" w:color="auto" w:fill="auto"/>
            <w:vAlign w:val="center"/>
          </w:tcPr>
          <w:p w14:paraId="6388B5A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个</w:t>
            </w:r>
          </w:p>
        </w:tc>
      </w:tr>
      <w:tr w14:paraId="48E88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5F16400">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236</w:t>
            </w:r>
          </w:p>
        </w:tc>
        <w:tc>
          <w:tcPr>
            <w:tcW w:w="830" w:type="pct"/>
            <w:shd w:val="clear" w:color="auto" w:fill="auto"/>
            <w:vAlign w:val="center"/>
          </w:tcPr>
          <w:p w14:paraId="38961D4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1EE1F5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 xml:space="preserve">七氟丙烷气体灭火系统 </w:t>
            </w:r>
          </w:p>
        </w:tc>
        <w:tc>
          <w:tcPr>
            <w:tcW w:w="1279" w:type="pct"/>
            <w:shd w:val="clear" w:color="auto" w:fill="auto"/>
            <w:vAlign w:val="center"/>
          </w:tcPr>
          <w:p w14:paraId="5735DBD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GQQ120/2.5-GT</w:t>
            </w:r>
          </w:p>
        </w:tc>
        <w:tc>
          <w:tcPr>
            <w:tcW w:w="400" w:type="pct"/>
            <w:shd w:val="clear" w:color="auto" w:fill="auto"/>
            <w:noWrap/>
            <w:vAlign w:val="center"/>
          </w:tcPr>
          <w:p w14:paraId="483FDBF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54E74FA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1F37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B85501C">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237</w:t>
            </w:r>
          </w:p>
        </w:tc>
        <w:tc>
          <w:tcPr>
            <w:tcW w:w="830" w:type="pct"/>
            <w:shd w:val="clear" w:color="auto" w:fill="auto"/>
            <w:vAlign w:val="center"/>
          </w:tcPr>
          <w:p w14:paraId="645F010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BB79F5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气体灭火系统控制器</w:t>
            </w:r>
          </w:p>
        </w:tc>
        <w:tc>
          <w:tcPr>
            <w:tcW w:w="1279" w:type="pct"/>
            <w:shd w:val="clear" w:color="auto" w:fill="auto"/>
            <w:vAlign w:val="center"/>
          </w:tcPr>
          <w:p w14:paraId="3E67D99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EI JB-QB-EIN70</w:t>
            </w:r>
          </w:p>
        </w:tc>
        <w:tc>
          <w:tcPr>
            <w:tcW w:w="400" w:type="pct"/>
            <w:shd w:val="clear" w:color="auto" w:fill="auto"/>
            <w:noWrap/>
            <w:vAlign w:val="center"/>
          </w:tcPr>
          <w:p w14:paraId="311356A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4DF0854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76DD3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C3FFCF0">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238</w:t>
            </w:r>
          </w:p>
        </w:tc>
        <w:tc>
          <w:tcPr>
            <w:tcW w:w="830" w:type="pct"/>
            <w:shd w:val="clear" w:color="auto" w:fill="auto"/>
            <w:vAlign w:val="center"/>
          </w:tcPr>
          <w:p w14:paraId="5DD73A5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4E5C31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集中控制电源</w:t>
            </w:r>
          </w:p>
        </w:tc>
        <w:tc>
          <w:tcPr>
            <w:tcW w:w="1279" w:type="pct"/>
            <w:shd w:val="clear" w:color="auto" w:fill="auto"/>
            <w:vAlign w:val="center"/>
          </w:tcPr>
          <w:p w14:paraId="1D7A3EF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10A</w:t>
            </w:r>
          </w:p>
        </w:tc>
        <w:tc>
          <w:tcPr>
            <w:tcW w:w="400" w:type="pct"/>
            <w:shd w:val="clear" w:color="auto" w:fill="auto"/>
            <w:noWrap/>
            <w:vAlign w:val="center"/>
          </w:tcPr>
          <w:p w14:paraId="75CF76D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330F8E9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只</w:t>
            </w:r>
          </w:p>
        </w:tc>
      </w:tr>
      <w:tr w14:paraId="670AB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F8C466B">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239</w:t>
            </w:r>
          </w:p>
        </w:tc>
        <w:tc>
          <w:tcPr>
            <w:tcW w:w="830" w:type="pct"/>
            <w:shd w:val="clear" w:color="auto" w:fill="auto"/>
            <w:vAlign w:val="center"/>
          </w:tcPr>
          <w:p w14:paraId="637638B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496B512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声光报警器</w:t>
            </w:r>
          </w:p>
        </w:tc>
        <w:tc>
          <w:tcPr>
            <w:tcW w:w="1279" w:type="pct"/>
            <w:shd w:val="clear" w:color="auto" w:fill="auto"/>
            <w:vAlign w:val="center"/>
          </w:tcPr>
          <w:p w14:paraId="3515ECC3">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本系统配套</w:t>
            </w:r>
          </w:p>
        </w:tc>
        <w:tc>
          <w:tcPr>
            <w:tcW w:w="400" w:type="pct"/>
            <w:shd w:val="clear" w:color="auto" w:fill="auto"/>
            <w:noWrap/>
            <w:vAlign w:val="center"/>
          </w:tcPr>
          <w:p w14:paraId="2528BE4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3</w:t>
            </w:r>
          </w:p>
        </w:tc>
        <w:tc>
          <w:tcPr>
            <w:tcW w:w="405" w:type="pct"/>
            <w:shd w:val="clear" w:color="auto" w:fill="auto"/>
            <w:noWrap/>
            <w:vAlign w:val="center"/>
          </w:tcPr>
          <w:p w14:paraId="2718373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5F41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20929898">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240</w:t>
            </w:r>
          </w:p>
        </w:tc>
        <w:tc>
          <w:tcPr>
            <w:tcW w:w="830" w:type="pct"/>
            <w:shd w:val="clear" w:color="auto" w:fill="auto"/>
            <w:vAlign w:val="center"/>
          </w:tcPr>
          <w:p w14:paraId="32F4CEF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74B3D79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灭火指示门灯</w:t>
            </w:r>
          </w:p>
        </w:tc>
        <w:tc>
          <w:tcPr>
            <w:tcW w:w="1279" w:type="pct"/>
            <w:shd w:val="clear" w:color="auto" w:fill="auto"/>
            <w:vAlign w:val="center"/>
          </w:tcPr>
          <w:p w14:paraId="3262356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EI J-EI6067</w:t>
            </w:r>
          </w:p>
        </w:tc>
        <w:tc>
          <w:tcPr>
            <w:tcW w:w="400" w:type="pct"/>
            <w:shd w:val="clear" w:color="auto" w:fill="auto"/>
            <w:noWrap/>
            <w:vAlign w:val="center"/>
          </w:tcPr>
          <w:p w14:paraId="7CA7E5AB">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5022B9D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5A94B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6D90760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241</w:t>
            </w:r>
          </w:p>
        </w:tc>
        <w:tc>
          <w:tcPr>
            <w:tcW w:w="830" w:type="pct"/>
            <w:shd w:val="clear" w:color="auto" w:fill="auto"/>
            <w:vAlign w:val="center"/>
          </w:tcPr>
          <w:p w14:paraId="5A0BEE8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6CAE67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紧急启停按钮</w:t>
            </w:r>
          </w:p>
        </w:tc>
        <w:tc>
          <w:tcPr>
            <w:tcW w:w="1279" w:type="pct"/>
            <w:shd w:val="clear" w:color="auto" w:fill="auto"/>
            <w:vAlign w:val="center"/>
          </w:tcPr>
          <w:p w14:paraId="00F773B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EI J-EI6066</w:t>
            </w:r>
          </w:p>
        </w:tc>
        <w:tc>
          <w:tcPr>
            <w:tcW w:w="400" w:type="pct"/>
            <w:shd w:val="clear" w:color="auto" w:fill="auto"/>
            <w:noWrap/>
            <w:vAlign w:val="center"/>
          </w:tcPr>
          <w:p w14:paraId="301FE8B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532F59CC">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1099C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6551C1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242</w:t>
            </w:r>
          </w:p>
        </w:tc>
        <w:tc>
          <w:tcPr>
            <w:tcW w:w="830" w:type="pct"/>
            <w:shd w:val="clear" w:color="auto" w:fill="auto"/>
            <w:vAlign w:val="center"/>
          </w:tcPr>
          <w:p w14:paraId="5A236337">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1AA20C0D">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烟感探测器</w:t>
            </w:r>
          </w:p>
        </w:tc>
        <w:tc>
          <w:tcPr>
            <w:tcW w:w="1279" w:type="pct"/>
            <w:shd w:val="clear" w:color="auto" w:fill="auto"/>
            <w:vAlign w:val="center"/>
          </w:tcPr>
          <w:p w14:paraId="55B504BF">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EI JTY-GD-EI6012</w:t>
            </w:r>
          </w:p>
        </w:tc>
        <w:tc>
          <w:tcPr>
            <w:tcW w:w="400" w:type="pct"/>
            <w:shd w:val="clear" w:color="auto" w:fill="auto"/>
            <w:noWrap/>
            <w:vAlign w:val="center"/>
          </w:tcPr>
          <w:p w14:paraId="1C83EBC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0BF9FE3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4D144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763A39E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243</w:t>
            </w:r>
          </w:p>
        </w:tc>
        <w:tc>
          <w:tcPr>
            <w:tcW w:w="830" w:type="pct"/>
            <w:shd w:val="clear" w:color="auto" w:fill="auto"/>
            <w:vAlign w:val="center"/>
          </w:tcPr>
          <w:p w14:paraId="32CB550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D8A347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温感探测器</w:t>
            </w:r>
          </w:p>
        </w:tc>
        <w:tc>
          <w:tcPr>
            <w:tcW w:w="1279" w:type="pct"/>
            <w:shd w:val="clear" w:color="auto" w:fill="auto"/>
            <w:vAlign w:val="center"/>
          </w:tcPr>
          <w:p w14:paraId="7A0C0FF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EI JTW-A2R-EI6013</w:t>
            </w:r>
          </w:p>
        </w:tc>
        <w:tc>
          <w:tcPr>
            <w:tcW w:w="400" w:type="pct"/>
            <w:shd w:val="clear" w:color="auto" w:fill="auto"/>
            <w:noWrap/>
            <w:vAlign w:val="center"/>
          </w:tcPr>
          <w:p w14:paraId="3BCDB3A0">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2</w:t>
            </w:r>
          </w:p>
        </w:tc>
        <w:tc>
          <w:tcPr>
            <w:tcW w:w="405" w:type="pct"/>
            <w:shd w:val="clear" w:color="auto" w:fill="auto"/>
            <w:noWrap/>
            <w:vAlign w:val="center"/>
          </w:tcPr>
          <w:p w14:paraId="5D70D7D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74662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1ED47467">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244</w:t>
            </w:r>
          </w:p>
        </w:tc>
        <w:tc>
          <w:tcPr>
            <w:tcW w:w="830" w:type="pct"/>
            <w:shd w:val="clear" w:color="auto" w:fill="auto"/>
            <w:vAlign w:val="center"/>
          </w:tcPr>
          <w:p w14:paraId="578251E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3D8D1DD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泄压阀</w:t>
            </w:r>
          </w:p>
        </w:tc>
        <w:tc>
          <w:tcPr>
            <w:tcW w:w="1279" w:type="pct"/>
            <w:shd w:val="clear" w:color="auto" w:fill="auto"/>
            <w:vAlign w:val="center"/>
          </w:tcPr>
          <w:p w14:paraId="69BF159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三安402 * 400</w:t>
            </w:r>
          </w:p>
        </w:tc>
        <w:tc>
          <w:tcPr>
            <w:tcW w:w="400" w:type="pct"/>
            <w:shd w:val="clear" w:color="auto" w:fill="auto"/>
            <w:noWrap/>
            <w:vAlign w:val="center"/>
          </w:tcPr>
          <w:p w14:paraId="62AC93E1">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noWrap/>
            <w:vAlign w:val="center"/>
          </w:tcPr>
          <w:p w14:paraId="11B1FDE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套</w:t>
            </w:r>
          </w:p>
        </w:tc>
      </w:tr>
      <w:tr w14:paraId="58855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F095B51">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245</w:t>
            </w:r>
          </w:p>
        </w:tc>
        <w:tc>
          <w:tcPr>
            <w:tcW w:w="830" w:type="pct"/>
            <w:shd w:val="clear" w:color="auto" w:fill="auto"/>
            <w:vAlign w:val="center"/>
          </w:tcPr>
          <w:p w14:paraId="7500F4E2">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40BF86BA">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UPS主机</w:t>
            </w:r>
          </w:p>
        </w:tc>
        <w:tc>
          <w:tcPr>
            <w:tcW w:w="1279" w:type="pct"/>
            <w:shd w:val="clear" w:color="auto" w:fill="auto"/>
            <w:vAlign w:val="center"/>
          </w:tcPr>
          <w:p w14:paraId="0EA0548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维谛UHA1R-0100L</w:t>
            </w:r>
          </w:p>
        </w:tc>
        <w:tc>
          <w:tcPr>
            <w:tcW w:w="400" w:type="pct"/>
            <w:shd w:val="clear" w:color="auto" w:fill="auto"/>
            <w:vAlign w:val="center"/>
          </w:tcPr>
          <w:p w14:paraId="37D79968">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1</w:t>
            </w:r>
          </w:p>
        </w:tc>
        <w:tc>
          <w:tcPr>
            <w:tcW w:w="405" w:type="pct"/>
            <w:shd w:val="clear" w:color="auto" w:fill="auto"/>
            <w:vAlign w:val="center"/>
          </w:tcPr>
          <w:p w14:paraId="652506DE">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台</w:t>
            </w:r>
          </w:p>
        </w:tc>
      </w:tr>
      <w:tr w14:paraId="7D62C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405" w:type="pct"/>
            <w:shd w:val="clear" w:color="auto" w:fill="auto"/>
            <w:vAlign w:val="center"/>
          </w:tcPr>
          <w:p w14:paraId="0E2FF970">
            <w:pPr>
              <w:keepNext w:val="0"/>
              <w:keepLines w:val="0"/>
              <w:pageBreakBefore w:val="0"/>
              <w:kinsoku/>
              <w:wordWrap/>
              <w:overflowPunct/>
              <w:topLinePunct w:val="0"/>
              <w:autoSpaceDE/>
              <w:autoSpaceDN/>
              <w:bidi w:val="0"/>
              <w:adjustRightInd/>
              <w:snapToGrid/>
              <w:spacing w:line="312" w:lineRule="auto"/>
              <w:jc w:val="center"/>
              <w:textAlignment w:val="auto"/>
              <w:rPr>
                <w:rFonts w:ascii="宋体" w:hAnsi="宋体"/>
                <w:color w:val="auto"/>
                <w:sz w:val="24"/>
                <w:highlight w:val="none"/>
              </w:rPr>
            </w:pPr>
            <w:r>
              <w:rPr>
                <w:rFonts w:hint="eastAsia" w:ascii="宋体" w:hAnsi="宋体"/>
                <w:color w:val="auto"/>
                <w:sz w:val="24"/>
                <w:highlight w:val="none"/>
              </w:rPr>
              <w:t>246</w:t>
            </w:r>
          </w:p>
        </w:tc>
        <w:tc>
          <w:tcPr>
            <w:tcW w:w="830" w:type="pct"/>
            <w:shd w:val="clear" w:color="auto" w:fill="auto"/>
            <w:vAlign w:val="center"/>
          </w:tcPr>
          <w:p w14:paraId="6180F0C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机房环境</w:t>
            </w:r>
          </w:p>
        </w:tc>
        <w:tc>
          <w:tcPr>
            <w:tcW w:w="1679" w:type="pct"/>
            <w:shd w:val="clear" w:color="auto" w:fill="auto"/>
            <w:vAlign w:val="center"/>
          </w:tcPr>
          <w:p w14:paraId="2AA24A94">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蓄电池</w:t>
            </w:r>
          </w:p>
        </w:tc>
        <w:tc>
          <w:tcPr>
            <w:tcW w:w="1279" w:type="pct"/>
            <w:shd w:val="clear" w:color="auto" w:fill="auto"/>
            <w:vAlign w:val="center"/>
          </w:tcPr>
          <w:p w14:paraId="2F13D766">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MOERLI/12V100AH</w:t>
            </w:r>
          </w:p>
        </w:tc>
        <w:tc>
          <w:tcPr>
            <w:tcW w:w="400" w:type="pct"/>
            <w:shd w:val="clear" w:color="auto" w:fill="auto"/>
            <w:vAlign w:val="center"/>
          </w:tcPr>
          <w:p w14:paraId="273B3069">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3</w:t>
            </w:r>
          </w:p>
        </w:tc>
        <w:tc>
          <w:tcPr>
            <w:tcW w:w="405" w:type="pct"/>
            <w:shd w:val="clear" w:color="auto" w:fill="auto"/>
            <w:vAlign w:val="center"/>
          </w:tcPr>
          <w:p w14:paraId="24BCE325">
            <w:pPr>
              <w:keepNext w:val="0"/>
              <w:keepLines w:val="0"/>
              <w:pageBreakBefore w:val="0"/>
              <w:widowControl/>
              <w:kinsoku/>
              <w:wordWrap/>
              <w:overflowPunct/>
              <w:topLinePunct w:val="0"/>
              <w:autoSpaceDE/>
              <w:autoSpaceDN/>
              <w:bidi w:val="0"/>
              <w:adjustRightInd/>
              <w:snapToGrid/>
              <w:spacing w:line="312" w:lineRule="auto"/>
              <w:jc w:val="center"/>
              <w:textAlignment w:val="auto"/>
              <w:rPr>
                <w:rFonts w:ascii="宋体" w:hAnsi="宋体" w:cs="宋体"/>
                <w:color w:val="auto"/>
                <w:sz w:val="24"/>
                <w:highlight w:val="none"/>
              </w:rPr>
            </w:pPr>
            <w:r>
              <w:rPr>
                <w:rFonts w:hint="eastAsia" w:ascii="宋体" w:hAnsi="宋体" w:cs="宋体"/>
                <w:color w:val="auto"/>
                <w:sz w:val="24"/>
                <w:highlight w:val="none"/>
              </w:rPr>
              <w:t>节</w:t>
            </w:r>
          </w:p>
        </w:tc>
      </w:tr>
      <w:tr w14:paraId="7BA18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5000" w:type="pct"/>
            <w:gridSpan w:val="6"/>
            <w:shd w:val="clear" w:color="auto" w:fill="auto"/>
            <w:vAlign w:val="center"/>
          </w:tcPr>
          <w:p w14:paraId="50C6F493">
            <w:pPr>
              <w:keepNext w:val="0"/>
              <w:keepLines w:val="0"/>
              <w:pageBreakBefore w:val="0"/>
              <w:widowControl/>
              <w:kinsoku/>
              <w:wordWrap/>
              <w:overflowPunct/>
              <w:topLinePunct w:val="0"/>
              <w:autoSpaceDE/>
              <w:autoSpaceDN/>
              <w:bidi w:val="0"/>
              <w:adjustRightInd/>
              <w:snapToGrid/>
              <w:spacing w:line="312" w:lineRule="auto"/>
              <w:jc w:val="left"/>
              <w:textAlignment w:val="auto"/>
              <w:rPr>
                <w:rFonts w:ascii="宋体" w:hAnsi="宋体" w:cs="宋体"/>
                <w:color w:val="auto"/>
                <w:sz w:val="24"/>
                <w:highlight w:val="none"/>
              </w:rPr>
            </w:pPr>
            <w:r>
              <w:rPr>
                <w:rFonts w:hint="eastAsia" w:ascii="宋体" w:hAnsi="宋体" w:cs="宋体"/>
                <w:color w:val="auto"/>
                <w:sz w:val="24"/>
                <w:highlight w:val="none"/>
              </w:rPr>
              <w:t>备注：以上软硬件设备提供集成商全保服务，设备正常使用损坏后，院方不再单独支付维修费。其中：三级等保测评必要的安全设备特征库提供原厂升级服务（包含安恒明御安全网关、山石互联防火墙）；DSG因集成平台ODS部署需要，提供原厂服务。上述原厂服务要求在签订合同前提供质保函原件，否则采购单位有权拒签合同。</w:t>
            </w:r>
          </w:p>
        </w:tc>
      </w:tr>
    </w:tbl>
    <w:p w14:paraId="7F6762D8">
      <w:pPr>
        <w:spacing w:line="360" w:lineRule="auto"/>
        <w:ind w:firstLine="482" w:firstLineChars="200"/>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4</w:t>
      </w:r>
      <w:r>
        <w:rPr>
          <w:rFonts w:ascii="宋体" w:hAnsi="宋体"/>
          <w:b/>
          <w:color w:val="auto"/>
          <w:sz w:val="24"/>
          <w:highlight w:val="none"/>
        </w:rPr>
        <w:t xml:space="preserve"> 详细服务内容</w:t>
      </w:r>
      <w:r>
        <w:rPr>
          <w:rFonts w:hint="eastAsia" w:ascii="宋体" w:hAnsi="宋体"/>
          <w:b/>
          <w:color w:val="auto"/>
          <w:sz w:val="24"/>
          <w:highlight w:val="none"/>
        </w:rPr>
        <w:t>：</w:t>
      </w:r>
    </w:p>
    <w:p w14:paraId="3C4807F5">
      <w:pPr>
        <w:spacing w:line="360" w:lineRule="auto"/>
        <w:ind w:firstLine="482" w:firstLineChars="200"/>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4.1</w:t>
      </w:r>
      <w:r>
        <w:rPr>
          <w:rFonts w:ascii="宋体" w:hAnsi="宋体"/>
          <w:b/>
          <w:color w:val="auto"/>
          <w:sz w:val="24"/>
          <w:highlight w:val="none"/>
        </w:rPr>
        <w:t xml:space="preserve"> 信息资产建档</w:t>
      </w:r>
    </w:p>
    <w:p w14:paraId="326615DA">
      <w:pPr>
        <w:spacing w:after="5" w:line="360" w:lineRule="auto"/>
        <w:ind w:firstLine="480" w:firstLineChars="200"/>
        <w:rPr>
          <w:rFonts w:ascii="宋体" w:hAnsi="宋体"/>
          <w:color w:val="auto"/>
          <w:sz w:val="24"/>
          <w:highlight w:val="none"/>
        </w:rPr>
      </w:pPr>
      <w:r>
        <w:rPr>
          <w:rFonts w:ascii="宋体" w:hAnsi="宋体"/>
          <w:color w:val="auto"/>
          <w:sz w:val="24"/>
          <w:highlight w:val="none"/>
        </w:rPr>
        <w:t>对采购单位有关信息资产情况不定期进行全面梳理，生成相应的资产统计表、机柜图和系统档案。根据采购单位资产变动情况及时更新、重新统计，确保系统运行维护服务的全面、准确。</w:t>
      </w:r>
    </w:p>
    <w:p w14:paraId="1161097D">
      <w:pPr>
        <w:spacing w:after="5" w:line="360" w:lineRule="auto"/>
        <w:ind w:firstLine="480" w:firstLineChars="200"/>
        <w:rPr>
          <w:rFonts w:ascii="宋体" w:hAnsi="宋体"/>
          <w:color w:val="auto"/>
          <w:sz w:val="24"/>
          <w:highlight w:val="none"/>
        </w:rPr>
      </w:pPr>
      <w:r>
        <w:rPr>
          <w:rFonts w:ascii="宋体" w:hAnsi="宋体"/>
          <w:color w:val="auto"/>
          <w:sz w:val="24"/>
          <w:highlight w:val="none"/>
        </w:rPr>
        <w:t>建档内容包括：</w:t>
      </w:r>
    </w:p>
    <w:p w14:paraId="52B5CA37">
      <w:pPr>
        <w:spacing w:after="5" w:line="360" w:lineRule="auto"/>
        <w:ind w:firstLine="480" w:firstLineChars="200"/>
        <w:rPr>
          <w:rFonts w:ascii="宋体" w:hAnsi="宋体"/>
          <w:color w:val="auto"/>
          <w:sz w:val="24"/>
          <w:highlight w:val="none"/>
        </w:rPr>
      </w:pPr>
      <w:r>
        <w:rPr>
          <w:rFonts w:ascii="宋体" w:hAnsi="宋体"/>
          <w:color w:val="auto"/>
          <w:sz w:val="24"/>
          <w:highlight w:val="none"/>
        </w:rPr>
        <w:t>（1）硬件设备品牌、型号、数量、序列号、服务编号、保修日期，BIOS版本，</w:t>
      </w:r>
      <w:r>
        <w:rPr>
          <w:rFonts w:hint="eastAsia" w:ascii="宋体" w:hAnsi="宋体"/>
          <w:color w:val="auto"/>
          <w:sz w:val="24"/>
          <w:highlight w:val="none"/>
        </w:rPr>
        <w:t>以及其他</w:t>
      </w:r>
      <w:r>
        <w:rPr>
          <w:rFonts w:ascii="宋体" w:hAnsi="宋体"/>
          <w:color w:val="auto"/>
          <w:sz w:val="24"/>
          <w:highlight w:val="none"/>
        </w:rPr>
        <w:t>配置信息等。</w:t>
      </w:r>
    </w:p>
    <w:p w14:paraId="231B769A">
      <w:pPr>
        <w:spacing w:after="5" w:line="360" w:lineRule="auto"/>
        <w:ind w:firstLine="480" w:firstLineChars="200"/>
        <w:rPr>
          <w:rFonts w:ascii="宋体" w:hAnsi="宋体"/>
          <w:color w:val="auto"/>
          <w:sz w:val="24"/>
          <w:highlight w:val="none"/>
        </w:rPr>
      </w:pPr>
      <w:r>
        <w:rPr>
          <w:rFonts w:ascii="宋体" w:hAnsi="宋体"/>
          <w:color w:val="auto"/>
          <w:sz w:val="24"/>
          <w:highlight w:val="none"/>
        </w:rPr>
        <w:t>（2）软件产品型号、OS版本和SERVICE PACKAGE情况，数据库版本，应用软件版本，数据及日志大小，存放情况，备份情况。</w:t>
      </w:r>
    </w:p>
    <w:p w14:paraId="6FA1A485">
      <w:pPr>
        <w:spacing w:after="5" w:line="360" w:lineRule="auto"/>
        <w:ind w:firstLine="480" w:firstLineChars="200"/>
        <w:rPr>
          <w:rFonts w:ascii="宋体" w:hAnsi="宋体"/>
          <w:color w:val="auto"/>
          <w:sz w:val="24"/>
          <w:highlight w:val="none"/>
        </w:rPr>
      </w:pPr>
      <w:r>
        <w:rPr>
          <w:rFonts w:ascii="宋体" w:hAnsi="宋体"/>
          <w:color w:val="auto"/>
          <w:sz w:val="24"/>
          <w:highlight w:val="none"/>
        </w:rPr>
        <w:t>（3）网络结构拓扑图、路由信息、IP地址、网络设备配置等信息。</w:t>
      </w:r>
    </w:p>
    <w:p w14:paraId="27317376">
      <w:pPr>
        <w:spacing w:after="5" w:line="360" w:lineRule="auto"/>
        <w:ind w:firstLine="480" w:firstLineChars="200"/>
        <w:rPr>
          <w:rFonts w:ascii="宋体" w:hAnsi="宋体"/>
          <w:color w:val="auto"/>
          <w:sz w:val="24"/>
          <w:highlight w:val="none"/>
        </w:rPr>
      </w:pPr>
      <w:r>
        <w:rPr>
          <w:rFonts w:ascii="宋体" w:hAnsi="宋体"/>
          <w:color w:val="auto"/>
          <w:sz w:val="24"/>
          <w:highlight w:val="none"/>
        </w:rPr>
        <w:t>（4）综合布线系统结构图、机柜图。</w:t>
      </w:r>
    </w:p>
    <w:p w14:paraId="2F273422">
      <w:pPr>
        <w:spacing w:after="5" w:line="360" w:lineRule="auto"/>
        <w:ind w:firstLine="480" w:firstLineChars="200"/>
        <w:rPr>
          <w:rFonts w:ascii="宋体" w:hAnsi="宋体"/>
          <w:color w:val="auto"/>
          <w:sz w:val="24"/>
          <w:highlight w:val="none"/>
        </w:rPr>
      </w:pPr>
      <w:r>
        <w:rPr>
          <w:rFonts w:ascii="宋体" w:hAnsi="宋体"/>
          <w:color w:val="auto"/>
          <w:sz w:val="24"/>
          <w:highlight w:val="none"/>
        </w:rPr>
        <w:t>（5）机房环境设备（如专用空调、UPS等）信息。</w:t>
      </w:r>
    </w:p>
    <w:p w14:paraId="0E07D405">
      <w:pPr>
        <w:spacing w:after="5" w:line="360" w:lineRule="auto"/>
        <w:ind w:firstLine="480" w:firstLineChars="200"/>
        <w:rPr>
          <w:rFonts w:ascii="宋体" w:hAnsi="宋体"/>
          <w:color w:val="auto"/>
          <w:sz w:val="24"/>
          <w:highlight w:val="none"/>
        </w:rPr>
      </w:pPr>
      <w:r>
        <w:rPr>
          <w:rFonts w:ascii="宋体" w:hAnsi="宋体"/>
          <w:color w:val="auto"/>
          <w:sz w:val="24"/>
          <w:highlight w:val="none"/>
        </w:rPr>
        <w:t>（6）数据备份策略和实施计划。</w:t>
      </w:r>
    </w:p>
    <w:p w14:paraId="5D5D8B39">
      <w:pPr>
        <w:spacing w:after="5" w:line="360" w:lineRule="auto"/>
        <w:ind w:firstLine="480" w:firstLineChars="200"/>
        <w:rPr>
          <w:rFonts w:ascii="宋体" w:hAnsi="宋体"/>
          <w:color w:val="auto"/>
          <w:sz w:val="24"/>
          <w:highlight w:val="none"/>
        </w:rPr>
      </w:pPr>
      <w:r>
        <w:rPr>
          <w:rFonts w:ascii="宋体" w:hAnsi="宋体"/>
          <w:color w:val="auto"/>
          <w:sz w:val="24"/>
          <w:highlight w:val="none"/>
        </w:rPr>
        <w:t>（7）硬件设备维修记录。</w:t>
      </w:r>
    </w:p>
    <w:p w14:paraId="68B2E784">
      <w:pPr>
        <w:spacing w:line="360" w:lineRule="auto"/>
        <w:ind w:firstLine="482" w:firstLineChars="200"/>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4.2</w:t>
      </w:r>
      <w:r>
        <w:rPr>
          <w:rFonts w:ascii="宋体" w:hAnsi="宋体"/>
          <w:b/>
          <w:color w:val="auto"/>
          <w:sz w:val="24"/>
          <w:highlight w:val="none"/>
        </w:rPr>
        <w:t xml:space="preserve"> 机房设备维护服务</w:t>
      </w:r>
    </w:p>
    <w:p w14:paraId="32689CAE">
      <w:pPr>
        <w:numPr>
          <w:ilvl w:val="1"/>
          <w:numId w:val="11"/>
        </w:numPr>
        <w:tabs>
          <w:tab w:val="left" w:pos="1344"/>
        </w:tabs>
        <w:spacing w:line="360" w:lineRule="auto"/>
        <w:rPr>
          <w:rFonts w:ascii="宋体" w:hAnsi="宋体"/>
          <w:bCs/>
          <w:color w:val="auto"/>
          <w:sz w:val="24"/>
          <w:highlight w:val="none"/>
        </w:rPr>
      </w:pPr>
      <w:r>
        <w:rPr>
          <w:rFonts w:ascii="宋体" w:hAnsi="宋体"/>
          <w:bCs/>
          <w:color w:val="auto"/>
          <w:sz w:val="24"/>
          <w:highlight w:val="none"/>
        </w:rPr>
        <w:t>服务器</w:t>
      </w:r>
      <w:r>
        <w:rPr>
          <w:rFonts w:hint="eastAsia" w:ascii="宋体" w:hAnsi="宋体"/>
          <w:bCs/>
          <w:color w:val="auto"/>
          <w:sz w:val="24"/>
          <w:highlight w:val="none"/>
        </w:rPr>
        <w:t>设备维护</w:t>
      </w:r>
    </w:p>
    <w:p w14:paraId="724F7E00">
      <w:pPr>
        <w:spacing w:after="5" w:line="360" w:lineRule="auto"/>
        <w:ind w:firstLine="480" w:firstLineChars="200"/>
        <w:rPr>
          <w:rFonts w:ascii="宋体" w:hAnsi="宋体"/>
          <w:color w:val="auto"/>
          <w:sz w:val="24"/>
          <w:highlight w:val="none"/>
        </w:rPr>
      </w:pPr>
      <w:r>
        <w:rPr>
          <w:rFonts w:ascii="宋体" w:hAnsi="宋体"/>
          <w:color w:val="auto"/>
          <w:sz w:val="24"/>
          <w:highlight w:val="none"/>
        </w:rPr>
        <w:t>中标供应商</w:t>
      </w:r>
      <w:r>
        <w:rPr>
          <w:rFonts w:hint="eastAsia" w:ascii="宋体" w:hAnsi="宋体"/>
          <w:color w:val="auto"/>
          <w:sz w:val="24"/>
          <w:highlight w:val="none"/>
        </w:rPr>
        <w:t>在维护期内需提供的系统故障硬件免费更换、系统固件、操作系统、操作系统等的日常维护、故障响应等服务，需确保该些服务器的7*24小时正常运行，以此来确保服务器上运行的相关软件业务系统和数据库的正常运行。主要维护内容包括：</w:t>
      </w:r>
    </w:p>
    <w:p w14:paraId="6EA1A814">
      <w:pPr>
        <w:spacing w:after="5" w:line="360" w:lineRule="auto"/>
        <w:ind w:firstLine="480" w:firstLineChars="200"/>
        <w:rPr>
          <w:rFonts w:ascii="宋体" w:hAnsi="宋体"/>
          <w:color w:val="auto"/>
          <w:sz w:val="24"/>
          <w:highlight w:val="none"/>
        </w:rPr>
      </w:pPr>
      <w:bookmarkStart w:id="3" w:name="OLE_LINK129"/>
      <w:bookmarkStart w:id="4" w:name="OLE_LINK130"/>
      <w:bookmarkStart w:id="5" w:name="OLE_LINK131"/>
      <w:r>
        <w:rPr>
          <w:rFonts w:hint="eastAsia" w:ascii="宋体" w:hAnsi="宋体"/>
          <w:color w:val="auto"/>
          <w:sz w:val="24"/>
          <w:highlight w:val="none"/>
        </w:rPr>
        <w:t>（1）检查服务器是否正常运行，是否有硬件故障报警，</w:t>
      </w:r>
      <w:bookmarkEnd w:id="3"/>
      <w:bookmarkEnd w:id="4"/>
      <w:bookmarkEnd w:id="5"/>
      <w:r>
        <w:rPr>
          <w:rFonts w:hint="eastAsia" w:ascii="宋体" w:hAnsi="宋体"/>
          <w:color w:val="auto"/>
          <w:sz w:val="24"/>
          <w:highlight w:val="none"/>
        </w:rPr>
        <w:t>记录、</w:t>
      </w:r>
      <w:r>
        <w:rPr>
          <w:rFonts w:ascii="宋体" w:hAnsi="宋体"/>
          <w:color w:val="auto"/>
          <w:sz w:val="24"/>
          <w:highlight w:val="none"/>
        </w:rPr>
        <w:t>分析</w:t>
      </w:r>
      <w:r>
        <w:rPr>
          <w:rFonts w:hint="eastAsia" w:ascii="宋体" w:hAnsi="宋体"/>
          <w:color w:val="auto"/>
          <w:sz w:val="24"/>
          <w:highlight w:val="none"/>
        </w:rPr>
        <w:t>异常信息；</w:t>
      </w:r>
    </w:p>
    <w:p w14:paraId="4AB9FEA0">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（2）对服务器的硬件进行检测、更换、升级；</w:t>
      </w:r>
    </w:p>
    <w:p w14:paraId="5C6A2799">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（3）查看服务器的状态，查看是否有CPU和内存占用过高等异常情况；</w:t>
      </w:r>
    </w:p>
    <w:p w14:paraId="6F7E12DD">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（4）检查操作系统，分析系统日志等判断系统的运行状况；</w:t>
      </w:r>
    </w:p>
    <w:p w14:paraId="52A692E8">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（5）检查系统账号，检查本地用户和组选项，查看管理员组是否添加有新账号，检查是否有克隆账号；</w:t>
      </w:r>
    </w:p>
    <w:p w14:paraId="5B5EBA67">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（6）检查光纤交换机工作是否正常；</w:t>
      </w:r>
    </w:p>
    <w:p w14:paraId="5C21DF60">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（7）定期对主机操作</w:t>
      </w:r>
      <w:r>
        <w:rPr>
          <w:rFonts w:ascii="宋体" w:hAnsi="宋体"/>
          <w:color w:val="auto"/>
          <w:sz w:val="24"/>
          <w:highlight w:val="none"/>
        </w:rPr>
        <w:t>系统</w:t>
      </w:r>
      <w:r>
        <w:rPr>
          <w:rFonts w:hint="eastAsia" w:ascii="宋体" w:hAnsi="宋体"/>
          <w:color w:val="auto"/>
          <w:sz w:val="24"/>
          <w:highlight w:val="none"/>
        </w:rPr>
        <w:t>进行系统加固；</w:t>
      </w:r>
    </w:p>
    <w:p w14:paraId="1A835D8A">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（8）现场完成性能优化工作；</w:t>
      </w:r>
    </w:p>
    <w:p w14:paraId="3CA82DAE">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（9）系统板卡、设备的微代码（Firmware）升级；</w:t>
      </w:r>
    </w:p>
    <w:p w14:paraId="1AED4F0B">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（10）清理磁盘的系统垃圾文件；</w:t>
      </w:r>
    </w:p>
    <w:p w14:paraId="1CFE22E1">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（11）分析判断可能存在的故障隐患及原因，提出修复、改善建议；</w:t>
      </w:r>
    </w:p>
    <w:p w14:paraId="5C8CC8F6">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（12）其他系统管理，安全保障，性能优化，应用安装调整，系统部署测试，系统资源规划等维护操作；</w:t>
      </w:r>
    </w:p>
    <w:p w14:paraId="20065A30">
      <w:pPr>
        <w:numPr>
          <w:ilvl w:val="1"/>
          <w:numId w:val="11"/>
        </w:numPr>
        <w:tabs>
          <w:tab w:val="left" w:pos="1344"/>
        </w:tabs>
        <w:spacing w:line="360" w:lineRule="auto"/>
        <w:rPr>
          <w:rFonts w:ascii="宋体" w:hAnsi="宋体"/>
          <w:bCs/>
          <w:color w:val="auto"/>
          <w:sz w:val="24"/>
          <w:highlight w:val="none"/>
        </w:rPr>
      </w:pPr>
      <w:r>
        <w:rPr>
          <w:rFonts w:hint="eastAsia" w:ascii="宋体" w:hAnsi="宋体"/>
          <w:bCs/>
          <w:color w:val="auto"/>
          <w:sz w:val="24"/>
          <w:highlight w:val="none"/>
        </w:rPr>
        <w:t>存储设备维护</w:t>
      </w:r>
    </w:p>
    <w:p w14:paraId="2EBEAE98">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目前清单中的存储设备都运行在医院的主生产机房和容灾机房中，为H</w:t>
      </w:r>
      <w:r>
        <w:rPr>
          <w:rFonts w:ascii="宋体" w:hAnsi="宋体"/>
          <w:color w:val="auto"/>
          <w:sz w:val="24"/>
          <w:highlight w:val="none"/>
        </w:rPr>
        <w:t>IS</w:t>
      </w:r>
      <w:r>
        <w:rPr>
          <w:rFonts w:hint="eastAsia" w:ascii="宋体" w:hAnsi="宋体"/>
          <w:color w:val="auto"/>
          <w:sz w:val="24"/>
          <w:highlight w:val="none"/>
        </w:rPr>
        <w:t>系统、P</w:t>
      </w:r>
      <w:r>
        <w:rPr>
          <w:rFonts w:ascii="宋体" w:hAnsi="宋体"/>
          <w:color w:val="auto"/>
          <w:sz w:val="24"/>
          <w:highlight w:val="none"/>
        </w:rPr>
        <w:t>ACS</w:t>
      </w:r>
      <w:r>
        <w:rPr>
          <w:rFonts w:hint="eastAsia" w:ascii="宋体" w:hAnsi="宋体"/>
          <w:color w:val="auto"/>
          <w:sz w:val="24"/>
          <w:highlight w:val="none"/>
        </w:rPr>
        <w:t>系统、虚拟化平台等相关业务系统提供数据存储空间。服务商需要对存储设备进行相关维护服务，以确保设备7*24小时正常运行，具体包括：</w:t>
      </w:r>
    </w:p>
    <w:p w14:paraId="643CB7D0">
      <w:pPr>
        <w:spacing w:after="5" w:line="360" w:lineRule="auto"/>
        <w:ind w:firstLine="480" w:firstLineChars="200"/>
        <w:rPr>
          <w:rFonts w:ascii="宋体" w:hAnsi="宋体"/>
          <w:color w:val="auto"/>
          <w:sz w:val="24"/>
          <w:highlight w:val="none"/>
        </w:rPr>
      </w:pPr>
      <w:bookmarkStart w:id="6" w:name="OLE_LINK128"/>
      <w:bookmarkStart w:id="7" w:name="OLE_LINK127"/>
      <w:bookmarkStart w:id="8" w:name="OLE_LINK126"/>
      <w:r>
        <w:rPr>
          <w:rFonts w:hint="eastAsia" w:ascii="宋体" w:hAnsi="宋体"/>
          <w:color w:val="auto"/>
          <w:sz w:val="24"/>
          <w:highlight w:val="none"/>
        </w:rPr>
        <w:t>（1）检查设备是否正常运行，是否有指示硬件故障报警</w:t>
      </w:r>
      <w:bookmarkEnd w:id="6"/>
      <w:bookmarkEnd w:id="7"/>
      <w:bookmarkEnd w:id="8"/>
      <w:r>
        <w:rPr>
          <w:rFonts w:hint="eastAsia" w:ascii="宋体" w:hAnsi="宋体"/>
          <w:color w:val="auto"/>
          <w:sz w:val="24"/>
          <w:highlight w:val="none"/>
        </w:rPr>
        <w:t>；</w:t>
      </w:r>
    </w:p>
    <w:p w14:paraId="0864820E">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（2）检查存储系统是否有故障预警；</w:t>
      </w:r>
    </w:p>
    <w:p w14:paraId="12DDFE3F">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（3）检查磁盘及磁带库的剩余空间；</w:t>
      </w:r>
    </w:p>
    <w:p w14:paraId="696F8256">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（4）分析判断存储系统可能存在的故障隐患及原因，提出修复、改善建议并根据采购人的决定实施；</w:t>
      </w:r>
    </w:p>
    <w:p w14:paraId="75E81A12">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（5）其他系统管理，安全保障，性能优化等的维护操作；</w:t>
      </w:r>
    </w:p>
    <w:p w14:paraId="643D15E7">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（6）定期收集日志，查看存储运行状态，发现问题立即处理；</w:t>
      </w:r>
    </w:p>
    <w:p w14:paraId="167E3861">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（7）收到挂载存储的主机日志，查看日志中是否有存储相关的报警日志，确保主机运行无警报，运行正常；</w:t>
      </w:r>
    </w:p>
    <w:p w14:paraId="0345A594">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（8）配合医院或软件开发商，对新主机的加入，在存储上配置相应的存储空间，并划分给新主机使用，在主机上安装多路径管理软件等，确保主机与存储之间连接正常；</w:t>
      </w:r>
    </w:p>
    <w:p w14:paraId="21EDC50E">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（9）对存储进行关机重启操作时，需要与医院商量，涉及不能停机的系统，需要完成迁移工作才能进行；</w:t>
      </w:r>
    </w:p>
    <w:p w14:paraId="39AD7CF6">
      <w:pPr>
        <w:numPr>
          <w:ilvl w:val="1"/>
          <w:numId w:val="11"/>
        </w:numPr>
        <w:tabs>
          <w:tab w:val="left" w:pos="1344"/>
        </w:tabs>
        <w:spacing w:line="360" w:lineRule="auto"/>
        <w:rPr>
          <w:rFonts w:ascii="宋体" w:hAnsi="宋体"/>
          <w:bCs/>
          <w:color w:val="auto"/>
          <w:sz w:val="24"/>
          <w:highlight w:val="none"/>
        </w:rPr>
      </w:pPr>
      <w:r>
        <w:rPr>
          <w:rFonts w:ascii="宋体" w:hAnsi="宋体"/>
          <w:bCs/>
          <w:color w:val="auto"/>
          <w:sz w:val="24"/>
          <w:highlight w:val="none"/>
        </w:rPr>
        <w:t>安全设备</w:t>
      </w:r>
    </w:p>
    <w:p w14:paraId="4F9FAFCD">
      <w:pPr>
        <w:spacing w:after="5" w:line="360" w:lineRule="auto"/>
        <w:ind w:firstLine="480" w:firstLineChars="200"/>
        <w:rPr>
          <w:rFonts w:ascii="宋体" w:hAnsi="宋体"/>
          <w:color w:val="auto"/>
          <w:sz w:val="24"/>
          <w:highlight w:val="none"/>
        </w:rPr>
      </w:pPr>
      <w:r>
        <w:rPr>
          <w:rFonts w:ascii="宋体" w:hAnsi="宋体"/>
          <w:color w:val="auto"/>
          <w:sz w:val="24"/>
          <w:highlight w:val="none"/>
        </w:rPr>
        <w:t>安全设备包括</w:t>
      </w:r>
      <w:r>
        <w:rPr>
          <w:rFonts w:hint="eastAsia" w:ascii="宋体" w:hAnsi="宋体"/>
          <w:color w:val="auto"/>
          <w:sz w:val="24"/>
          <w:highlight w:val="none"/>
        </w:rPr>
        <w:t>上网行为管理设备、防火墙、网闸、安全审计设备、VPN接入设备、网络运维管理系统</w:t>
      </w:r>
      <w:r>
        <w:rPr>
          <w:rFonts w:ascii="宋体" w:hAnsi="宋体"/>
          <w:color w:val="auto"/>
          <w:sz w:val="24"/>
          <w:highlight w:val="none"/>
        </w:rPr>
        <w:t>等</w:t>
      </w:r>
      <w:r>
        <w:rPr>
          <w:rFonts w:hint="eastAsia" w:ascii="宋体" w:hAnsi="宋体"/>
          <w:color w:val="auto"/>
          <w:sz w:val="24"/>
          <w:highlight w:val="none"/>
        </w:rPr>
        <w:t>，需</w:t>
      </w:r>
      <w:r>
        <w:rPr>
          <w:rFonts w:ascii="宋体" w:hAnsi="宋体"/>
          <w:color w:val="auto"/>
          <w:sz w:val="24"/>
          <w:highlight w:val="none"/>
        </w:rPr>
        <w:t>确保安全设备能正常稳定运行</w:t>
      </w:r>
      <w:r>
        <w:rPr>
          <w:rFonts w:hint="eastAsia" w:ascii="宋体" w:hAnsi="宋体"/>
          <w:color w:val="auto"/>
          <w:sz w:val="24"/>
          <w:highlight w:val="none"/>
        </w:rPr>
        <w:t>。</w:t>
      </w:r>
    </w:p>
    <w:p w14:paraId="3C281B6C">
      <w:pPr>
        <w:spacing w:after="5" w:line="360" w:lineRule="auto"/>
        <w:ind w:firstLine="480" w:firstLineChars="200"/>
        <w:rPr>
          <w:rFonts w:ascii="宋体" w:hAnsi="宋体"/>
          <w:color w:val="auto"/>
          <w:sz w:val="24"/>
          <w:highlight w:val="none"/>
        </w:rPr>
      </w:pPr>
      <w:r>
        <w:rPr>
          <w:rFonts w:ascii="宋体" w:hAnsi="宋体"/>
          <w:color w:val="auto"/>
          <w:sz w:val="24"/>
          <w:highlight w:val="none"/>
        </w:rPr>
        <w:t>检查的主要内容包括：</w:t>
      </w:r>
    </w:p>
    <w:p w14:paraId="69B0D0CE">
      <w:pPr>
        <w:spacing w:after="5" w:line="360" w:lineRule="auto"/>
        <w:ind w:firstLine="480" w:firstLineChars="200"/>
        <w:rPr>
          <w:rFonts w:ascii="宋体" w:hAnsi="宋体"/>
          <w:color w:val="auto"/>
          <w:sz w:val="24"/>
          <w:highlight w:val="none"/>
        </w:rPr>
      </w:pPr>
      <w:r>
        <w:rPr>
          <w:rFonts w:ascii="宋体" w:hAnsi="宋体"/>
          <w:color w:val="auto"/>
          <w:sz w:val="24"/>
          <w:highlight w:val="none"/>
        </w:rPr>
        <w:t>（1）对设备进行全面检测，包括安全设备的运行状态的监控，对各种安全设备的日志检查，对重点事件进行记录等。</w:t>
      </w:r>
    </w:p>
    <w:p w14:paraId="3F474F1F">
      <w:pPr>
        <w:spacing w:after="5" w:line="360" w:lineRule="auto"/>
        <w:ind w:firstLine="480" w:firstLineChars="200"/>
        <w:rPr>
          <w:rFonts w:ascii="宋体" w:hAnsi="宋体"/>
          <w:color w:val="auto"/>
          <w:sz w:val="24"/>
          <w:highlight w:val="none"/>
        </w:rPr>
      </w:pPr>
      <w:r>
        <w:rPr>
          <w:rFonts w:ascii="宋体" w:hAnsi="宋体"/>
          <w:color w:val="auto"/>
          <w:sz w:val="24"/>
          <w:highlight w:val="none"/>
        </w:rPr>
        <w:t>（2）定期对安全事件的产生原因进行判断，及时发现问题并提出解决方案，加强系统防护，防患于未然。</w:t>
      </w:r>
    </w:p>
    <w:p w14:paraId="2DB31B66">
      <w:pPr>
        <w:spacing w:after="5" w:line="360" w:lineRule="auto"/>
        <w:ind w:firstLine="480" w:firstLineChars="200"/>
        <w:rPr>
          <w:rFonts w:ascii="宋体" w:hAnsi="宋体"/>
          <w:color w:val="auto"/>
          <w:sz w:val="24"/>
          <w:highlight w:val="none"/>
        </w:rPr>
      </w:pPr>
      <w:r>
        <w:rPr>
          <w:rFonts w:ascii="宋体" w:hAnsi="宋体"/>
          <w:color w:val="auto"/>
          <w:sz w:val="24"/>
          <w:highlight w:val="none"/>
        </w:rPr>
        <w:t>（3）对设备的运行数据（配置、性能、故障等）进行记录，形成报表进行统计分析，便于进行系统的分析和故障的提前预知。</w:t>
      </w:r>
    </w:p>
    <w:p w14:paraId="4B2EE84D">
      <w:pPr>
        <w:spacing w:after="5" w:line="360" w:lineRule="auto"/>
        <w:ind w:firstLine="480" w:firstLineChars="200"/>
        <w:rPr>
          <w:rFonts w:ascii="宋体" w:hAnsi="宋体"/>
          <w:color w:val="auto"/>
          <w:sz w:val="24"/>
          <w:highlight w:val="none"/>
        </w:rPr>
      </w:pPr>
      <w:r>
        <w:rPr>
          <w:rFonts w:ascii="宋体" w:hAnsi="宋体"/>
          <w:color w:val="auto"/>
          <w:sz w:val="24"/>
          <w:highlight w:val="none"/>
        </w:rPr>
        <w:t>（4）提供定期上门巡检报告。</w:t>
      </w:r>
    </w:p>
    <w:p w14:paraId="6192C06A">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中标供应商需根据维护清单的具有有效特征库升级授权许可的安全设备进行及时升级，以满足网络安全的防护需要。</w:t>
      </w:r>
    </w:p>
    <w:p w14:paraId="55EC98AB">
      <w:pPr>
        <w:numPr>
          <w:ilvl w:val="1"/>
          <w:numId w:val="11"/>
        </w:numPr>
        <w:tabs>
          <w:tab w:val="left" w:pos="1344"/>
        </w:tabs>
        <w:spacing w:line="360" w:lineRule="auto"/>
        <w:rPr>
          <w:rFonts w:ascii="宋体" w:hAnsi="宋体"/>
          <w:color w:val="auto"/>
          <w:sz w:val="24"/>
          <w:highlight w:val="none"/>
        </w:rPr>
      </w:pPr>
      <w:r>
        <w:rPr>
          <w:rFonts w:ascii="宋体" w:hAnsi="宋体"/>
          <w:color w:val="auto"/>
          <w:sz w:val="24"/>
          <w:highlight w:val="none"/>
        </w:rPr>
        <w:t>网络设备（含网络）</w:t>
      </w:r>
    </w:p>
    <w:p w14:paraId="70A9C31E">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网络</w:t>
      </w:r>
      <w:r>
        <w:rPr>
          <w:rFonts w:ascii="宋体" w:hAnsi="宋体"/>
          <w:color w:val="auto"/>
          <w:sz w:val="24"/>
          <w:highlight w:val="none"/>
        </w:rPr>
        <w:t>设备包括</w:t>
      </w:r>
      <w:r>
        <w:rPr>
          <w:rFonts w:hint="eastAsia" w:ascii="宋体" w:hAnsi="宋体"/>
          <w:color w:val="auto"/>
          <w:sz w:val="24"/>
          <w:highlight w:val="none"/>
        </w:rPr>
        <w:t>内外网的核心交换机、汇聚交换机及各楼层接入交换机</w:t>
      </w:r>
      <w:r>
        <w:rPr>
          <w:rFonts w:ascii="宋体" w:hAnsi="宋体"/>
          <w:color w:val="auto"/>
          <w:sz w:val="24"/>
          <w:highlight w:val="none"/>
        </w:rPr>
        <w:t>等</w:t>
      </w:r>
      <w:r>
        <w:rPr>
          <w:rFonts w:hint="eastAsia" w:ascii="宋体" w:hAnsi="宋体"/>
          <w:color w:val="auto"/>
          <w:sz w:val="24"/>
          <w:highlight w:val="none"/>
        </w:rPr>
        <w:t>，需</w:t>
      </w:r>
      <w:r>
        <w:rPr>
          <w:rFonts w:ascii="宋体" w:hAnsi="宋体"/>
          <w:color w:val="auto"/>
          <w:sz w:val="24"/>
          <w:highlight w:val="none"/>
        </w:rPr>
        <w:t>保障交换机、路由器等网络设备的正常运转，保证网络的实时连通和可用。</w:t>
      </w:r>
    </w:p>
    <w:p w14:paraId="3BAF3E6D">
      <w:pPr>
        <w:spacing w:after="5" w:line="360" w:lineRule="auto"/>
        <w:ind w:firstLine="480" w:firstLineChars="200"/>
        <w:rPr>
          <w:rFonts w:ascii="宋体" w:hAnsi="宋体"/>
          <w:color w:val="auto"/>
          <w:sz w:val="24"/>
          <w:highlight w:val="none"/>
        </w:rPr>
      </w:pPr>
      <w:r>
        <w:rPr>
          <w:rFonts w:ascii="宋体" w:hAnsi="宋体"/>
          <w:color w:val="auto"/>
          <w:sz w:val="24"/>
          <w:highlight w:val="none"/>
        </w:rPr>
        <w:t>检查的主要内容包括：</w:t>
      </w:r>
    </w:p>
    <w:p w14:paraId="4CFA9E0F">
      <w:pPr>
        <w:spacing w:after="5" w:line="360" w:lineRule="auto"/>
        <w:ind w:firstLine="480" w:firstLineChars="200"/>
        <w:rPr>
          <w:rFonts w:ascii="宋体" w:hAnsi="宋体"/>
          <w:color w:val="auto"/>
          <w:sz w:val="24"/>
          <w:highlight w:val="none"/>
        </w:rPr>
      </w:pPr>
      <w:r>
        <w:rPr>
          <w:rFonts w:ascii="宋体" w:hAnsi="宋体"/>
          <w:color w:val="auto"/>
          <w:sz w:val="24"/>
          <w:highlight w:val="none"/>
        </w:rPr>
        <w:t>（1）对设备进行全面检测，包括硬件运行状态（如电源、风扇、模块等）、系统运行状态（如交换机的端口是否可以正常使用，网络的转发和路由是否正常进行、交换机的性能检测等）、日志检查等。</w:t>
      </w:r>
    </w:p>
    <w:p w14:paraId="458E83B6">
      <w:pPr>
        <w:spacing w:after="5" w:line="360" w:lineRule="auto"/>
        <w:ind w:firstLine="480" w:firstLineChars="200"/>
        <w:rPr>
          <w:rFonts w:ascii="宋体" w:hAnsi="宋体"/>
          <w:color w:val="auto"/>
          <w:sz w:val="24"/>
          <w:highlight w:val="none"/>
        </w:rPr>
      </w:pPr>
      <w:r>
        <w:rPr>
          <w:rFonts w:ascii="宋体" w:hAnsi="宋体"/>
          <w:color w:val="auto"/>
          <w:sz w:val="24"/>
          <w:highlight w:val="none"/>
        </w:rPr>
        <w:t>（2）提供机房和办公环境的网络布局、网络接入和故障排除服务。包括：网络环境布局的设计，网络接入服务及相关设备的安装调试服务，提供IP地址的分配、配置服务等。</w:t>
      </w:r>
    </w:p>
    <w:p w14:paraId="075FA3EE">
      <w:pPr>
        <w:spacing w:after="5" w:line="360" w:lineRule="auto"/>
        <w:ind w:firstLine="480" w:firstLineChars="200"/>
        <w:rPr>
          <w:rFonts w:ascii="宋体" w:hAnsi="宋体"/>
          <w:color w:val="auto"/>
          <w:sz w:val="24"/>
          <w:highlight w:val="none"/>
        </w:rPr>
      </w:pPr>
      <w:r>
        <w:rPr>
          <w:rFonts w:ascii="宋体" w:hAnsi="宋体"/>
          <w:color w:val="auto"/>
          <w:sz w:val="24"/>
          <w:highlight w:val="none"/>
        </w:rPr>
        <w:t>（3）对网络进行整体性能评估，对网络的利用率进行优化并提出网络扩容和优化的建议；</w:t>
      </w:r>
    </w:p>
    <w:p w14:paraId="7B208785">
      <w:pPr>
        <w:spacing w:after="5" w:line="360" w:lineRule="auto"/>
        <w:ind w:firstLine="480" w:firstLineChars="200"/>
        <w:rPr>
          <w:rFonts w:ascii="宋体" w:hAnsi="宋体"/>
          <w:color w:val="auto"/>
          <w:sz w:val="24"/>
          <w:highlight w:val="none"/>
        </w:rPr>
      </w:pPr>
      <w:r>
        <w:rPr>
          <w:rFonts w:ascii="宋体" w:hAnsi="宋体"/>
          <w:color w:val="auto"/>
          <w:sz w:val="24"/>
          <w:highlight w:val="none"/>
        </w:rPr>
        <w:t>（3）对设备的运行数据（配置、性能、故障等）进行记录，形成报表进行统计分析，便于进行网络系统的分析和故障的提前预知；</w:t>
      </w:r>
    </w:p>
    <w:p w14:paraId="29FC0403">
      <w:pPr>
        <w:spacing w:after="5" w:line="360" w:lineRule="auto"/>
        <w:ind w:firstLine="480" w:firstLineChars="200"/>
        <w:rPr>
          <w:rFonts w:ascii="宋体" w:hAnsi="宋体"/>
          <w:color w:val="auto"/>
          <w:sz w:val="24"/>
          <w:highlight w:val="none"/>
        </w:rPr>
      </w:pPr>
      <w:r>
        <w:rPr>
          <w:rFonts w:ascii="宋体" w:hAnsi="宋体"/>
          <w:color w:val="auto"/>
          <w:sz w:val="24"/>
          <w:highlight w:val="none"/>
        </w:rPr>
        <w:t>（4）提供定期上门巡检报告。</w:t>
      </w:r>
    </w:p>
    <w:p w14:paraId="4432A2F5">
      <w:pPr>
        <w:numPr>
          <w:ilvl w:val="1"/>
          <w:numId w:val="11"/>
        </w:numPr>
        <w:tabs>
          <w:tab w:val="left" w:pos="1344"/>
        </w:tabs>
        <w:spacing w:line="360" w:lineRule="auto"/>
        <w:rPr>
          <w:rFonts w:ascii="宋体" w:hAnsi="宋体"/>
          <w:color w:val="auto"/>
          <w:sz w:val="24"/>
          <w:highlight w:val="none"/>
        </w:rPr>
      </w:pPr>
      <w:r>
        <w:rPr>
          <w:rFonts w:ascii="宋体" w:hAnsi="宋体"/>
          <w:color w:val="auto"/>
          <w:sz w:val="24"/>
          <w:highlight w:val="none"/>
        </w:rPr>
        <w:t>其他机房设备</w:t>
      </w:r>
    </w:p>
    <w:p w14:paraId="65A26FDC">
      <w:pPr>
        <w:spacing w:after="5" w:line="360" w:lineRule="auto"/>
        <w:ind w:firstLine="480" w:firstLineChars="200"/>
        <w:rPr>
          <w:rFonts w:ascii="宋体" w:hAnsi="宋体"/>
          <w:color w:val="auto"/>
          <w:sz w:val="24"/>
          <w:highlight w:val="none"/>
        </w:rPr>
      </w:pPr>
      <w:r>
        <w:rPr>
          <w:rFonts w:ascii="宋体" w:hAnsi="宋体"/>
          <w:color w:val="auto"/>
          <w:sz w:val="24"/>
          <w:highlight w:val="none"/>
        </w:rPr>
        <w:t>中标供应商</w:t>
      </w:r>
      <w:r>
        <w:rPr>
          <w:rFonts w:hint="eastAsia" w:ascii="宋体" w:hAnsi="宋体"/>
          <w:color w:val="auto"/>
          <w:sz w:val="24"/>
          <w:highlight w:val="none"/>
        </w:rPr>
        <w:t>维护工程师定期进行UPS不间断电源系统、精密空调系统、环境监控系统等现场巡检</w:t>
      </w:r>
      <w:r>
        <w:rPr>
          <w:rFonts w:ascii="宋体" w:hAnsi="宋体"/>
          <w:color w:val="auto"/>
          <w:sz w:val="24"/>
          <w:highlight w:val="none"/>
        </w:rPr>
        <w:t>，确认设备运行状态，检查系统错误记录，排除潜在隐患，以确保安全设备能正常稳定运行。</w:t>
      </w:r>
      <w:r>
        <w:rPr>
          <w:rFonts w:hint="eastAsia" w:ascii="宋体" w:hAnsi="宋体"/>
          <w:color w:val="auto"/>
          <w:sz w:val="24"/>
          <w:highlight w:val="none"/>
        </w:rPr>
        <w:t>巡检</w:t>
      </w:r>
      <w:r>
        <w:rPr>
          <w:rFonts w:ascii="宋体" w:hAnsi="宋体"/>
          <w:color w:val="auto"/>
          <w:sz w:val="24"/>
          <w:highlight w:val="none"/>
        </w:rPr>
        <w:t>检查的主要内容包括：</w:t>
      </w:r>
    </w:p>
    <w:p w14:paraId="23AA497A">
      <w:pPr>
        <w:spacing w:after="5" w:line="360" w:lineRule="auto"/>
        <w:ind w:firstLine="480" w:firstLineChars="200"/>
        <w:rPr>
          <w:rFonts w:ascii="宋体" w:hAnsi="宋体"/>
          <w:color w:val="auto"/>
          <w:sz w:val="24"/>
          <w:highlight w:val="none"/>
        </w:rPr>
      </w:pPr>
      <w:r>
        <w:rPr>
          <w:rFonts w:ascii="宋体" w:hAnsi="宋体"/>
          <w:color w:val="auto"/>
          <w:sz w:val="24"/>
          <w:highlight w:val="none"/>
        </w:rPr>
        <w:t>（1）对设备进行全面检测，包括设备硬件各部分的检查，运行状态的监控等</w:t>
      </w:r>
      <w:r>
        <w:rPr>
          <w:rFonts w:hint="eastAsia" w:ascii="宋体" w:hAnsi="宋体"/>
          <w:color w:val="auto"/>
          <w:sz w:val="24"/>
          <w:highlight w:val="none"/>
        </w:rPr>
        <w:t>，其中精密空调含滤网更换</w:t>
      </w:r>
      <w:r>
        <w:rPr>
          <w:rFonts w:ascii="宋体" w:hAnsi="宋体"/>
          <w:color w:val="auto"/>
          <w:sz w:val="24"/>
          <w:highlight w:val="none"/>
        </w:rPr>
        <w:t>；</w:t>
      </w:r>
    </w:p>
    <w:p w14:paraId="56D19F24">
      <w:pPr>
        <w:spacing w:after="5" w:line="360" w:lineRule="auto"/>
        <w:ind w:firstLine="480" w:firstLineChars="200"/>
        <w:rPr>
          <w:rFonts w:ascii="宋体" w:hAnsi="宋体"/>
          <w:color w:val="auto"/>
          <w:sz w:val="24"/>
          <w:highlight w:val="none"/>
        </w:rPr>
      </w:pPr>
      <w:r>
        <w:rPr>
          <w:rFonts w:ascii="宋体" w:hAnsi="宋体"/>
          <w:color w:val="auto"/>
          <w:sz w:val="24"/>
          <w:highlight w:val="none"/>
        </w:rPr>
        <w:t>（2）设备运行性能检查及优化；</w:t>
      </w:r>
    </w:p>
    <w:p w14:paraId="42D30F68">
      <w:pPr>
        <w:spacing w:after="5" w:line="360" w:lineRule="auto"/>
        <w:ind w:firstLine="480" w:firstLineChars="200"/>
        <w:rPr>
          <w:rFonts w:ascii="宋体" w:hAnsi="宋体"/>
          <w:color w:val="auto"/>
          <w:sz w:val="24"/>
          <w:highlight w:val="none"/>
        </w:rPr>
      </w:pPr>
      <w:r>
        <w:rPr>
          <w:rFonts w:ascii="宋体" w:hAnsi="宋体"/>
          <w:color w:val="auto"/>
          <w:sz w:val="24"/>
          <w:highlight w:val="none"/>
        </w:rPr>
        <w:t>（3）提供定期上门巡检报告。</w:t>
      </w:r>
    </w:p>
    <w:p w14:paraId="3602CEC4">
      <w:pPr>
        <w:spacing w:line="360" w:lineRule="auto"/>
        <w:ind w:firstLine="482" w:firstLineChars="200"/>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4.</w:t>
      </w:r>
      <w:r>
        <w:rPr>
          <w:rFonts w:ascii="宋体" w:hAnsi="宋体"/>
          <w:b/>
          <w:color w:val="auto"/>
          <w:sz w:val="24"/>
          <w:highlight w:val="none"/>
        </w:rPr>
        <w:t>3 软件维护服务</w:t>
      </w:r>
    </w:p>
    <w:p w14:paraId="24C301B5">
      <w:pPr>
        <w:spacing w:line="360" w:lineRule="auto"/>
        <w:ind w:firstLine="482" w:firstLineChars="200"/>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4</w:t>
      </w:r>
      <w:r>
        <w:rPr>
          <w:rFonts w:ascii="宋体" w:hAnsi="宋体"/>
          <w:b/>
          <w:color w:val="auto"/>
          <w:sz w:val="24"/>
          <w:highlight w:val="none"/>
        </w:rPr>
        <w:t>.3</w:t>
      </w:r>
      <w:r>
        <w:rPr>
          <w:rFonts w:hint="eastAsia" w:ascii="宋体" w:hAnsi="宋体"/>
          <w:b/>
          <w:color w:val="auto"/>
          <w:sz w:val="24"/>
          <w:highlight w:val="none"/>
        </w:rPr>
        <w:t>.1</w:t>
      </w:r>
      <w:r>
        <w:rPr>
          <w:rFonts w:ascii="宋体" w:hAnsi="宋体"/>
          <w:b/>
          <w:color w:val="auto"/>
          <w:sz w:val="24"/>
          <w:highlight w:val="none"/>
        </w:rPr>
        <w:t xml:space="preserve"> 服务范围</w:t>
      </w:r>
    </w:p>
    <w:p w14:paraId="682541B0">
      <w:pPr>
        <w:spacing w:after="5" w:line="360" w:lineRule="auto"/>
        <w:ind w:firstLine="480" w:firstLineChars="200"/>
        <w:rPr>
          <w:rFonts w:ascii="宋体" w:hAnsi="宋体"/>
          <w:color w:val="auto"/>
          <w:sz w:val="24"/>
          <w:highlight w:val="none"/>
        </w:rPr>
      </w:pPr>
      <w:r>
        <w:rPr>
          <w:rFonts w:ascii="宋体" w:hAnsi="宋体"/>
          <w:color w:val="auto"/>
          <w:sz w:val="24"/>
          <w:highlight w:val="none"/>
        </w:rPr>
        <w:t>提供设备上运行的各类软件的维护，如操作系统</w:t>
      </w:r>
      <w:r>
        <w:rPr>
          <w:rFonts w:hint="eastAsia" w:ascii="宋体" w:hAnsi="宋体"/>
          <w:color w:val="auto"/>
          <w:sz w:val="24"/>
          <w:highlight w:val="none"/>
        </w:rPr>
        <w:t>、</w:t>
      </w:r>
      <w:r>
        <w:rPr>
          <w:rFonts w:ascii="宋体" w:hAnsi="宋体"/>
          <w:color w:val="auto"/>
          <w:sz w:val="24"/>
          <w:highlight w:val="none"/>
        </w:rPr>
        <w:t>数据库、</w:t>
      </w:r>
      <w:r>
        <w:rPr>
          <w:rFonts w:hint="eastAsia" w:ascii="宋体" w:hAnsi="宋体"/>
          <w:color w:val="auto"/>
          <w:sz w:val="24"/>
          <w:highlight w:val="none"/>
        </w:rPr>
        <w:t>安全</w:t>
      </w:r>
      <w:r>
        <w:rPr>
          <w:rFonts w:ascii="宋体" w:hAnsi="宋体"/>
          <w:color w:val="auto"/>
          <w:sz w:val="24"/>
          <w:highlight w:val="none"/>
        </w:rPr>
        <w:t>应用软件</w:t>
      </w:r>
      <w:r>
        <w:rPr>
          <w:rFonts w:hint="eastAsia" w:ascii="宋体" w:hAnsi="宋体"/>
          <w:color w:val="auto"/>
          <w:sz w:val="24"/>
          <w:highlight w:val="none"/>
        </w:rPr>
        <w:t>、DSG数据实时复制软件</w:t>
      </w:r>
      <w:r>
        <w:rPr>
          <w:rFonts w:ascii="宋体" w:hAnsi="宋体"/>
          <w:color w:val="auto"/>
          <w:sz w:val="24"/>
          <w:highlight w:val="none"/>
        </w:rPr>
        <w:t>等。服务范围</w:t>
      </w:r>
      <w:r>
        <w:rPr>
          <w:rFonts w:hint="eastAsia" w:ascii="宋体" w:hAnsi="宋体"/>
          <w:color w:val="auto"/>
          <w:sz w:val="24"/>
          <w:highlight w:val="none"/>
        </w:rPr>
        <w:t>如下：</w:t>
      </w:r>
    </w:p>
    <w:p w14:paraId="7855DAF8">
      <w:pPr>
        <w:spacing w:line="360" w:lineRule="auto"/>
        <w:ind w:firstLine="482" w:firstLineChars="200"/>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4</w:t>
      </w:r>
      <w:r>
        <w:rPr>
          <w:rFonts w:ascii="宋体" w:hAnsi="宋体"/>
          <w:b/>
          <w:color w:val="auto"/>
          <w:sz w:val="24"/>
          <w:highlight w:val="none"/>
        </w:rPr>
        <w:t>.3</w:t>
      </w:r>
      <w:r>
        <w:rPr>
          <w:rFonts w:hint="eastAsia" w:ascii="宋体" w:hAnsi="宋体"/>
          <w:b/>
          <w:color w:val="auto"/>
          <w:sz w:val="24"/>
          <w:highlight w:val="none"/>
        </w:rPr>
        <w:t>.</w:t>
      </w:r>
      <w:r>
        <w:rPr>
          <w:rFonts w:ascii="宋体" w:hAnsi="宋体"/>
          <w:b/>
          <w:color w:val="auto"/>
          <w:sz w:val="24"/>
          <w:highlight w:val="none"/>
        </w:rPr>
        <w:t>2 服务</w:t>
      </w:r>
      <w:r>
        <w:rPr>
          <w:rFonts w:hint="eastAsia" w:ascii="宋体" w:hAnsi="宋体"/>
          <w:b/>
          <w:color w:val="auto"/>
          <w:sz w:val="24"/>
          <w:highlight w:val="none"/>
        </w:rPr>
        <w:t>要求</w:t>
      </w:r>
    </w:p>
    <w:p w14:paraId="10BE5ABA">
      <w:pPr>
        <w:numPr>
          <w:ilvl w:val="1"/>
          <w:numId w:val="11"/>
        </w:numPr>
        <w:tabs>
          <w:tab w:val="left" w:pos="1344"/>
        </w:tabs>
        <w:spacing w:line="360" w:lineRule="auto"/>
        <w:rPr>
          <w:rFonts w:ascii="宋体" w:hAnsi="宋体"/>
          <w:color w:val="auto"/>
          <w:sz w:val="24"/>
          <w:highlight w:val="none"/>
        </w:rPr>
      </w:pPr>
      <w:r>
        <w:rPr>
          <w:rFonts w:ascii="宋体" w:hAnsi="宋体"/>
          <w:color w:val="auto"/>
          <w:sz w:val="24"/>
          <w:highlight w:val="none"/>
        </w:rPr>
        <w:t>操作系统</w:t>
      </w:r>
    </w:p>
    <w:p w14:paraId="71AB4425">
      <w:pPr>
        <w:spacing w:after="5" w:line="360" w:lineRule="auto"/>
        <w:ind w:firstLine="480" w:firstLineChars="200"/>
        <w:rPr>
          <w:rFonts w:ascii="宋体" w:hAnsi="宋体"/>
          <w:color w:val="auto"/>
          <w:sz w:val="24"/>
          <w:highlight w:val="none"/>
        </w:rPr>
      </w:pPr>
      <w:r>
        <w:rPr>
          <w:rFonts w:ascii="宋体" w:hAnsi="宋体"/>
          <w:color w:val="auto"/>
          <w:sz w:val="24"/>
          <w:highlight w:val="none"/>
        </w:rPr>
        <w:t>中标供应商根据采购单位工作人员要求安装相应版本操作系统，定期检查操作系统环境，分析操作系统日志，查看各类关键JOB执行结果，避免故障隐患；</w:t>
      </w:r>
      <w:r>
        <w:rPr>
          <w:rFonts w:hint="eastAsia" w:ascii="宋体" w:hAnsi="宋体"/>
          <w:color w:val="auto"/>
          <w:sz w:val="24"/>
          <w:highlight w:val="none"/>
        </w:rPr>
        <w:t>由</w:t>
      </w:r>
      <w:r>
        <w:rPr>
          <w:rFonts w:ascii="宋体" w:hAnsi="宋体"/>
          <w:color w:val="auto"/>
          <w:sz w:val="24"/>
          <w:highlight w:val="none"/>
        </w:rPr>
        <w:t>中标供应商</w:t>
      </w:r>
      <w:r>
        <w:rPr>
          <w:rFonts w:hint="eastAsia" w:ascii="宋体" w:hAnsi="宋体"/>
          <w:color w:val="auto"/>
          <w:sz w:val="24"/>
          <w:highlight w:val="none"/>
        </w:rPr>
        <w:t>根据实施情况提出升级建议，采购单位同意后</w:t>
      </w:r>
      <w:r>
        <w:rPr>
          <w:rFonts w:ascii="宋体" w:hAnsi="宋体"/>
          <w:color w:val="auto"/>
          <w:sz w:val="24"/>
          <w:highlight w:val="none"/>
        </w:rPr>
        <w:t>完成操作系统小版本升级，提供现场支持服务；定期检查各文件系统的利用率情况，根据数据增长量预估决定是否要增加其容量。</w:t>
      </w:r>
    </w:p>
    <w:p w14:paraId="52623095">
      <w:pPr>
        <w:spacing w:after="5" w:line="360" w:lineRule="auto"/>
        <w:ind w:firstLine="480" w:firstLineChars="200"/>
        <w:rPr>
          <w:rFonts w:ascii="宋体" w:hAnsi="宋体"/>
          <w:color w:val="auto"/>
          <w:sz w:val="24"/>
          <w:highlight w:val="none"/>
        </w:rPr>
      </w:pPr>
      <w:r>
        <w:rPr>
          <w:rFonts w:ascii="宋体" w:hAnsi="宋体"/>
          <w:color w:val="auto"/>
          <w:sz w:val="24"/>
          <w:highlight w:val="none"/>
        </w:rPr>
        <w:t>如果系统运行出现异常，中标供应商对操作系统进行系统性能调整</w:t>
      </w:r>
      <w:r>
        <w:rPr>
          <w:rFonts w:hint="eastAsia" w:ascii="宋体" w:hAnsi="宋体"/>
          <w:color w:val="auto"/>
          <w:sz w:val="24"/>
          <w:highlight w:val="none"/>
        </w:rPr>
        <w:t>、补丁升级</w:t>
      </w:r>
      <w:r>
        <w:rPr>
          <w:rFonts w:ascii="宋体" w:hAnsi="宋体"/>
          <w:color w:val="auto"/>
          <w:sz w:val="24"/>
          <w:highlight w:val="none"/>
        </w:rPr>
        <w:t>和系统优化，提高系统效率和安全性。</w:t>
      </w:r>
    </w:p>
    <w:p w14:paraId="1BEEA8C3">
      <w:pPr>
        <w:numPr>
          <w:ilvl w:val="1"/>
          <w:numId w:val="11"/>
        </w:numPr>
        <w:tabs>
          <w:tab w:val="left" w:pos="1344"/>
        </w:tabs>
        <w:spacing w:line="360" w:lineRule="auto"/>
        <w:rPr>
          <w:rFonts w:ascii="宋体" w:hAnsi="宋体"/>
          <w:color w:val="auto"/>
          <w:sz w:val="24"/>
          <w:highlight w:val="none"/>
        </w:rPr>
      </w:pPr>
      <w:r>
        <w:rPr>
          <w:rFonts w:ascii="宋体" w:hAnsi="宋体"/>
          <w:color w:val="auto"/>
          <w:sz w:val="24"/>
          <w:highlight w:val="none"/>
        </w:rPr>
        <w:t>数据库</w:t>
      </w:r>
    </w:p>
    <w:p w14:paraId="2DCCF225">
      <w:pPr>
        <w:spacing w:after="5" w:line="360" w:lineRule="auto"/>
        <w:ind w:firstLine="480" w:firstLineChars="200"/>
        <w:rPr>
          <w:rFonts w:ascii="宋体" w:hAnsi="宋体"/>
          <w:color w:val="auto"/>
          <w:sz w:val="24"/>
          <w:highlight w:val="none"/>
          <w:lang w:val="zh-TW"/>
        </w:rPr>
      </w:pPr>
      <w:r>
        <w:rPr>
          <w:rFonts w:ascii="宋体" w:hAnsi="宋体"/>
          <w:color w:val="auto"/>
          <w:sz w:val="24"/>
          <w:highlight w:val="none"/>
        </w:rPr>
        <w:t>中标供应商</w:t>
      </w:r>
      <w:r>
        <w:rPr>
          <w:rFonts w:hint="eastAsia" w:ascii="宋体" w:hAnsi="宋体"/>
          <w:color w:val="auto"/>
          <w:sz w:val="24"/>
          <w:highlight w:val="none"/>
          <w:lang w:val="zh-TW" w:eastAsia="zh-TW"/>
        </w:rPr>
        <w:t>需提供一名资深数据库维护工程师</w:t>
      </w:r>
      <w:r>
        <w:rPr>
          <w:rFonts w:hint="eastAsia" w:ascii="宋体" w:hAnsi="宋体"/>
          <w:color w:val="auto"/>
          <w:sz w:val="24"/>
          <w:highlight w:val="none"/>
        </w:rPr>
        <w:t>对医院数据库进行维护</w:t>
      </w:r>
      <w:r>
        <w:rPr>
          <w:rFonts w:hint="eastAsia" w:ascii="宋体" w:hAnsi="宋体"/>
          <w:color w:val="auto"/>
          <w:sz w:val="24"/>
          <w:highlight w:val="none"/>
          <w:lang w:val="zh-TW" w:eastAsia="zh-TW"/>
        </w:rPr>
        <w:t>，负责</w:t>
      </w:r>
      <w:r>
        <w:rPr>
          <w:rFonts w:hint="eastAsia" w:ascii="宋体" w:hAnsi="宋体"/>
          <w:color w:val="auto"/>
          <w:sz w:val="24"/>
          <w:highlight w:val="none"/>
        </w:rPr>
        <w:t>医院</w:t>
      </w:r>
      <w:r>
        <w:rPr>
          <w:rFonts w:hint="eastAsia" w:ascii="宋体" w:hAnsi="宋体"/>
          <w:color w:val="auto"/>
          <w:sz w:val="24"/>
          <w:highlight w:val="none"/>
          <w:lang w:val="zh-TW" w:eastAsia="zh-TW"/>
        </w:rPr>
        <w:t>所有业务数据库的日常维护工作，包含全年</w:t>
      </w:r>
      <w:r>
        <w:rPr>
          <w:rFonts w:hint="eastAsia" w:ascii="宋体" w:hAnsi="宋体"/>
          <w:color w:val="auto"/>
          <w:sz w:val="24"/>
          <w:highlight w:val="none"/>
        </w:rPr>
        <w:t>日常</w:t>
      </w:r>
      <w:r>
        <w:rPr>
          <w:rFonts w:hint="eastAsia" w:ascii="宋体" w:hAnsi="宋体"/>
          <w:color w:val="auto"/>
          <w:sz w:val="24"/>
          <w:highlight w:val="none"/>
          <w:lang w:val="zh-TW" w:eastAsia="zh-TW"/>
        </w:rPr>
        <w:t>现场巡检、健康检查及优化、协助升级、问题响应等服务</w:t>
      </w:r>
      <w:r>
        <w:rPr>
          <w:rFonts w:hint="eastAsia" w:ascii="宋体" w:hAnsi="宋体"/>
          <w:color w:val="auto"/>
          <w:sz w:val="24"/>
          <w:highlight w:val="none"/>
          <w:lang w:val="zh-TW"/>
        </w:rPr>
        <w:t>。</w:t>
      </w:r>
    </w:p>
    <w:p w14:paraId="2A723CDA">
      <w:pPr>
        <w:spacing w:after="5" w:line="360" w:lineRule="auto"/>
        <w:ind w:firstLine="482" w:firstLineChars="200"/>
        <w:rPr>
          <w:rFonts w:ascii="宋体" w:hAnsi="宋体"/>
          <w:color w:val="auto"/>
          <w:sz w:val="24"/>
          <w:highlight w:val="none"/>
        </w:rPr>
      </w:pPr>
      <w:r>
        <w:rPr>
          <w:rFonts w:hint="eastAsia" w:ascii="宋体" w:hAnsi="宋体"/>
          <w:b/>
          <w:bCs/>
          <w:color w:val="auto"/>
          <w:sz w:val="24"/>
          <w:highlight w:val="none"/>
        </w:rPr>
        <w:t>要求对东软软件数据结构熟悉，能够对数据库进行业务优化建议。费用明细、药品明细等比较大的表能够按照业务逻辑进行优化处理。</w:t>
      </w:r>
      <w:r>
        <w:rPr>
          <w:rFonts w:hint="eastAsia" w:ascii="宋体" w:hAnsi="宋体"/>
          <w:color w:val="auto"/>
          <w:sz w:val="24"/>
          <w:highlight w:val="none"/>
        </w:rPr>
        <w:t>具体维护要求如下：</w:t>
      </w:r>
    </w:p>
    <w:p w14:paraId="7B952EA4">
      <w:pPr>
        <w:spacing w:line="360" w:lineRule="auto"/>
        <w:ind w:left="420" w:leftChars="200"/>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医院核心H</w:t>
      </w:r>
      <w:r>
        <w:rPr>
          <w:rFonts w:ascii="宋体" w:hAnsi="宋体"/>
          <w:color w:val="auto"/>
          <w:sz w:val="24"/>
          <w:highlight w:val="none"/>
        </w:rPr>
        <w:t>IS一体化新</w:t>
      </w:r>
      <w:r>
        <w:rPr>
          <w:rFonts w:hint="eastAsia" w:ascii="宋体" w:hAnsi="宋体"/>
          <w:color w:val="auto"/>
          <w:sz w:val="24"/>
          <w:highlight w:val="none"/>
        </w:rPr>
        <w:t>、</w:t>
      </w:r>
      <w:r>
        <w:rPr>
          <w:rFonts w:ascii="宋体" w:hAnsi="宋体"/>
          <w:color w:val="auto"/>
          <w:sz w:val="24"/>
          <w:highlight w:val="none"/>
        </w:rPr>
        <w:t>老</w:t>
      </w:r>
      <w:r>
        <w:rPr>
          <w:rFonts w:hint="eastAsia" w:ascii="宋体" w:hAnsi="宋体"/>
          <w:color w:val="auto"/>
          <w:sz w:val="24"/>
          <w:highlight w:val="none"/>
        </w:rPr>
        <w:t>系统数据库维护；</w:t>
      </w:r>
    </w:p>
    <w:p w14:paraId="252B334E">
      <w:pPr>
        <w:spacing w:line="360" w:lineRule="auto"/>
        <w:ind w:left="420" w:left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提供</w:t>
      </w:r>
      <w:r>
        <w:rPr>
          <w:rFonts w:ascii="宋体" w:hAnsi="宋体"/>
          <w:color w:val="auto"/>
          <w:sz w:val="24"/>
          <w:highlight w:val="none"/>
        </w:rPr>
        <w:t>OCM</w:t>
      </w:r>
      <w:r>
        <w:rPr>
          <w:rFonts w:hint="eastAsia" w:ascii="宋体" w:hAnsi="宋体"/>
          <w:color w:val="auto"/>
          <w:sz w:val="24"/>
          <w:highlight w:val="none"/>
        </w:rPr>
        <w:t>工程师（主备角色）进行日常维护，为对系统的充分了解，日常处</w:t>
      </w:r>
    </w:p>
    <w:p w14:paraId="055BF634">
      <w:pPr>
        <w:spacing w:line="360" w:lineRule="auto"/>
        <w:rPr>
          <w:rFonts w:ascii="宋体" w:hAnsi="宋体"/>
          <w:color w:val="auto"/>
          <w:sz w:val="24"/>
          <w:highlight w:val="none"/>
        </w:rPr>
      </w:pPr>
      <w:r>
        <w:rPr>
          <w:rFonts w:hint="eastAsia" w:ascii="宋体" w:hAnsi="宋体"/>
          <w:color w:val="auto"/>
          <w:sz w:val="24"/>
          <w:highlight w:val="none"/>
        </w:rPr>
        <w:t>理问题的OCM工程师在一个周期内不得调换；</w:t>
      </w:r>
    </w:p>
    <w:p w14:paraId="3400EB94">
      <w:pPr>
        <w:numPr>
          <w:ilvl w:val="0"/>
          <w:numId w:val="0"/>
        </w:numPr>
        <w:spacing w:line="360" w:lineRule="auto"/>
        <w:ind w:left="420" w:leftChars="200"/>
        <w:rPr>
          <w:rFonts w:ascii="宋体" w:hAnsi="宋体"/>
          <w:color w:val="auto"/>
          <w:sz w:val="24"/>
          <w:highlight w:val="none"/>
        </w:rPr>
      </w:pPr>
      <w:r>
        <w:rPr>
          <w:rFonts w:ascii="宋体" w:hAnsi="宋体" w:eastAsia="宋体" w:cs="Times New Roman"/>
          <w:color w:val="auto"/>
          <w:sz w:val="24"/>
          <w:szCs w:val="24"/>
          <w:highlight w:val="none"/>
          <w:lang w:val="en-US" w:eastAsia="zh-CN" w:bidi="ar-SA"/>
        </w:rPr>
        <w:t>（3）</w:t>
      </w:r>
      <w:r>
        <w:rPr>
          <w:rFonts w:hint="eastAsia" w:ascii="宋体" w:hAnsi="宋体"/>
          <w:color w:val="auto"/>
          <w:sz w:val="24"/>
          <w:highlight w:val="none"/>
        </w:rPr>
        <w:t>数据库必须做好备份，并制定模拟恢复计划（将数据恢复到备用机器上），</w:t>
      </w:r>
    </w:p>
    <w:p w14:paraId="225A5992">
      <w:pPr>
        <w:spacing w:line="360" w:lineRule="auto"/>
        <w:rPr>
          <w:rFonts w:ascii="宋体" w:hAnsi="宋体"/>
          <w:color w:val="auto"/>
          <w:sz w:val="24"/>
          <w:highlight w:val="none"/>
        </w:rPr>
      </w:pPr>
      <w:r>
        <w:rPr>
          <w:rFonts w:hint="eastAsia" w:ascii="宋体" w:hAnsi="宋体"/>
          <w:color w:val="auto"/>
          <w:sz w:val="24"/>
          <w:highlight w:val="none"/>
        </w:rPr>
        <w:t>保证发生故障时能够快速恢复；</w:t>
      </w:r>
    </w:p>
    <w:p w14:paraId="7F2AF07B">
      <w:pPr>
        <w:spacing w:line="360" w:lineRule="auto"/>
        <w:ind w:left="420" w:leftChars="20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w:t>
      </w:r>
      <w:r>
        <w:rPr>
          <w:rFonts w:hint="eastAsia" w:ascii="宋体" w:hAnsi="宋体"/>
          <w:color w:val="auto"/>
          <w:sz w:val="24"/>
          <w:highlight w:val="none"/>
        </w:rPr>
        <w:t>数据库服务时间为7*24小时全天候服务；</w:t>
      </w:r>
    </w:p>
    <w:p w14:paraId="2D589299">
      <w:pPr>
        <w:spacing w:line="360" w:lineRule="auto"/>
        <w:ind w:left="420" w:leftChars="20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5</w:t>
      </w:r>
      <w:r>
        <w:rPr>
          <w:rFonts w:ascii="宋体" w:hAnsi="宋体"/>
          <w:color w:val="auto"/>
          <w:sz w:val="24"/>
          <w:highlight w:val="none"/>
        </w:rPr>
        <w:t>）</w:t>
      </w:r>
      <w:r>
        <w:rPr>
          <w:rFonts w:hint="eastAsia" w:ascii="宋体" w:hAnsi="宋体"/>
          <w:color w:val="auto"/>
          <w:sz w:val="24"/>
          <w:highlight w:val="none"/>
        </w:rPr>
        <w:t>数据库性能调优，根据应用系统实际情况，对Oracle数据库进行调优，保证</w:t>
      </w:r>
    </w:p>
    <w:p w14:paraId="39FCD16C">
      <w:pPr>
        <w:spacing w:line="360" w:lineRule="auto"/>
        <w:rPr>
          <w:rFonts w:ascii="宋体" w:hAnsi="宋体"/>
          <w:color w:val="auto"/>
          <w:sz w:val="24"/>
          <w:highlight w:val="none"/>
        </w:rPr>
      </w:pPr>
      <w:r>
        <w:rPr>
          <w:rFonts w:hint="eastAsia" w:ascii="宋体" w:hAnsi="宋体"/>
          <w:color w:val="auto"/>
          <w:sz w:val="24"/>
          <w:highlight w:val="none"/>
        </w:rPr>
        <w:t>应用稳定运行；</w:t>
      </w:r>
    </w:p>
    <w:p w14:paraId="32FAEDE8">
      <w:pPr>
        <w:numPr>
          <w:ilvl w:val="0"/>
          <w:numId w:val="0"/>
        </w:numPr>
        <w:spacing w:line="360" w:lineRule="auto"/>
        <w:ind w:left="420" w:leftChars="200"/>
        <w:rPr>
          <w:rFonts w:ascii="宋体" w:hAnsi="宋体"/>
          <w:color w:val="auto"/>
          <w:sz w:val="24"/>
          <w:highlight w:val="none"/>
        </w:rPr>
      </w:pPr>
      <w:r>
        <w:rPr>
          <w:rFonts w:ascii="宋体" w:hAnsi="宋体" w:eastAsia="宋体" w:cs="Times New Roman"/>
          <w:color w:val="auto"/>
          <w:sz w:val="24"/>
          <w:szCs w:val="24"/>
          <w:highlight w:val="none"/>
          <w:lang w:val="en-US" w:eastAsia="zh-CN" w:bidi="ar-SA"/>
        </w:rPr>
        <w:t>（6）</w:t>
      </w:r>
      <w:r>
        <w:rPr>
          <w:rFonts w:hint="eastAsia" w:ascii="宋体" w:hAnsi="宋体"/>
          <w:color w:val="auto"/>
          <w:sz w:val="24"/>
          <w:highlight w:val="none"/>
        </w:rPr>
        <w:t>HIS系统无条件进行数据库读写分离操作，将常用的数据库（三年内）和历史</w:t>
      </w:r>
    </w:p>
    <w:p w14:paraId="5F85B6AB">
      <w:pPr>
        <w:spacing w:line="360" w:lineRule="auto"/>
        <w:rPr>
          <w:rFonts w:ascii="宋体" w:hAnsi="宋体"/>
          <w:color w:val="auto"/>
          <w:sz w:val="24"/>
          <w:highlight w:val="none"/>
        </w:rPr>
      </w:pPr>
      <w:r>
        <w:rPr>
          <w:rFonts w:hint="eastAsia" w:ascii="宋体" w:hAnsi="宋体"/>
          <w:color w:val="auto"/>
          <w:sz w:val="24"/>
          <w:highlight w:val="none"/>
        </w:rPr>
        <w:t>数据(三年外)进行库分离操作，可以设定生产数据保留时间，保证生产库的性能。投标时提供读写分离方案，利用现有设备（历史库服务器）搭建读写分离库，必须定义各查询模块从生产库分离出来；</w:t>
      </w:r>
    </w:p>
    <w:p w14:paraId="27BDB2B6">
      <w:pPr>
        <w:numPr>
          <w:ilvl w:val="0"/>
          <w:numId w:val="0"/>
        </w:numPr>
        <w:spacing w:line="360" w:lineRule="auto"/>
        <w:ind w:left="420" w:leftChars="200"/>
        <w:rPr>
          <w:rFonts w:ascii="宋体" w:hAnsi="宋体"/>
          <w:color w:val="auto"/>
          <w:sz w:val="24"/>
          <w:highlight w:val="none"/>
        </w:rPr>
      </w:pPr>
      <w:r>
        <w:rPr>
          <w:rFonts w:ascii="宋体" w:hAnsi="宋体" w:eastAsia="宋体" w:cs="Times New Roman"/>
          <w:color w:val="auto"/>
          <w:sz w:val="24"/>
          <w:szCs w:val="24"/>
          <w:highlight w:val="none"/>
          <w:lang w:val="en-US" w:eastAsia="zh-CN" w:bidi="ar-SA"/>
        </w:rPr>
        <w:t>（7）</w:t>
      </w:r>
      <w:r>
        <w:rPr>
          <w:rFonts w:hint="eastAsia" w:ascii="宋体" w:hAnsi="宋体"/>
          <w:color w:val="auto"/>
          <w:sz w:val="24"/>
          <w:highlight w:val="none"/>
        </w:rPr>
        <w:t>对现有系统中费用明细，药品明细等表按照年度时间等条件进行优化处理，</w:t>
      </w:r>
    </w:p>
    <w:p w14:paraId="337DBBDF">
      <w:pPr>
        <w:spacing w:line="360" w:lineRule="auto"/>
        <w:rPr>
          <w:rFonts w:ascii="宋体" w:hAnsi="宋体"/>
          <w:color w:val="auto"/>
          <w:sz w:val="24"/>
          <w:highlight w:val="none"/>
        </w:rPr>
      </w:pPr>
      <w:r>
        <w:rPr>
          <w:rFonts w:hint="eastAsia" w:ascii="宋体" w:hAnsi="宋体"/>
          <w:color w:val="auto"/>
          <w:sz w:val="24"/>
          <w:highlight w:val="none"/>
        </w:rPr>
        <w:t>确保生产库的使用效率；</w:t>
      </w:r>
    </w:p>
    <w:p w14:paraId="799D25FC">
      <w:pPr>
        <w:spacing w:line="360" w:lineRule="auto"/>
        <w:ind w:left="420" w:leftChars="20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8</w:t>
      </w:r>
      <w:r>
        <w:rPr>
          <w:rFonts w:ascii="宋体" w:hAnsi="宋体"/>
          <w:color w:val="auto"/>
          <w:sz w:val="24"/>
          <w:highlight w:val="none"/>
        </w:rPr>
        <w:t>）</w:t>
      </w:r>
      <w:r>
        <w:rPr>
          <w:rFonts w:hint="eastAsia" w:ascii="宋体" w:hAnsi="宋体"/>
          <w:color w:val="auto"/>
          <w:sz w:val="24"/>
          <w:highlight w:val="none"/>
        </w:rPr>
        <w:t>当数据库使用空间不足时，对数据文件进行迁移或调整；</w:t>
      </w:r>
    </w:p>
    <w:p w14:paraId="1CC73BCB">
      <w:pPr>
        <w:spacing w:line="360" w:lineRule="auto"/>
        <w:ind w:left="420" w:leftChars="20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9</w:t>
      </w:r>
      <w:r>
        <w:rPr>
          <w:rFonts w:ascii="宋体" w:hAnsi="宋体"/>
          <w:color w:val="auto"/>
          <w:sz w:val="24"/>
          <w:highlight w:val="none"/>
        </w:rPr>
        <w:t>）</w:t>
      </w:r>
      <w:r>
        <w:rPr>
          <w:rFonts w:hint="eastAsia" w:ascii="宋体" w:hAnsi="宋体"/>
          <w:color w:val="auto"/>
          <w:sz w:val="24"/>
          <w:highlight w:val="none"/>
        </w:rPr>
        <w:t>数据库的定期巡检，提供季度巡检报告，要求工程师每星期现场至少一次优</w:t>
      </w:r>
    </w:p>
    <w:p w14:paraId="224DAF58">
      <w:pPr>
        <w:spacing w:line="360" w:lineRule="auto"/>
        <w:rPr>
          <w:rFonts w:ascii="宋体" w:hAnsi="宋体"/>
          <w:color w:val="auto"/>
          <w:sz w:val="24"/>
          <w:highlight w:val="none"/>
        </w:rPr>
      </w:pPr>
      <w:r>
        <w:rPr>
          <w:rFonts w:hint="eastAsia" w:ascii="宋体" w:hAnsi="宋体"/>
          <w:color w:val="auto"/>
          <w:sz w:val="24"/>
          <w:highlight w:val="none"/>
        </w:rPr>
        <w:t>化一条SQL语句；</w:t>
      </w:r>
    </w:p>
    <w:p w14:paraId="194C7938">
      <w:pPr>
        <w:numPr>
          <w:ilvl w:val="0"/>
          <w:numId w:val="0"/>
        </w:numPr>
        <w:spacing w:line="360" w:lineRule="auto"/>
        <w:ind w:left="420" w:leftChars="200"/>
        <w:rPr>
          <w:rFonts w:ascii="宋体" w:hAnsi="宋体"/>
          <w:color w:val="auto"/>
          <w:sz w:val="24"/>
          <w:highlight w:val="none"/>
        </w:rPr>
      </w:pPr>
      <w:r>
        <w:rPr>
          <w:rFonts w:ascii="宋体" w:hAnsi="宋体" w:eastAsia="宋体" w:cs="Times New Roman"/>
          <w:color w:val="auto"/>
          <w:sz w:val="24"/>
          <w:szCs w:val="24"/>
          <w:highlight w:val="none"/>
          <w:lang w:val="en-US" w:eastAsia="zh-CN" w:bidi="ar-SA"/>
        </w:rPr>
        <w:t>（10）</w:t>
      </w:r>
      <w:r>
        <w:rPr>
          <w:rFonts w:hint="eastAsia" w:ascii="宋体" w:hAnsi="宋体"/>
          <w:color w:val="auto"/>
          <w:sz w:val="24"/>
          <w:highlight w:val="none"/>
        </w:rPr>
        <w:t>数据库的突发事件处理，可以先远程处理，无法处理必须2小时之内赶到现</w:t>
      </w:r>
    </w:p>
    <w:p w14:paraId="25D3204E">
      <w:pPr>
        <w:spacing w:line="360" w:lineRule="auto"/>
        <w:rPr>
          <w:rFonts w:ascii="宋体" w:hAnsi="宋体"/>
          <w:color w:val="auto"/>
          <w:sz w:val="24"/>
          <w:highlight w:val="none"/>
        </w:rPr>
      </w:pPr>
      <w:r>
        <w:rPr>
          <w:rFonts w:hint="eastAsia" w:ascii="宋体" w:hAnsi="宋体"/>
          <w:color w:val="auto"/>
          <w:sz w:val="24"/>
          <w:highlight w:val="none"/>
        </w:rPr>
        <w:t>场处理至处理完成；</w:t>
      </w:r>
    </w:p>
    <w:p w14:paraId="2F8B0456">
      <w:pPr>
        <w:numPr>
          <w:ilvl w:val="0"/>
          <w:numId w:val="0"/>
        </w:numPr>
        <w:spacing w:line="360" w:lineRule="auto"/>
        <w:ind w:left="420" w:leftChars="200"/>
        <w:rPr>
          <w:rFonts w:ascii="宋体" w:hAnsi="宋体"/>
          <w:color w:val="auto"/>
          <w:sz w:val="24"/>
          <w:highlight w:val="none"/>
        </w:rPr>
      </w:pPr>
      <w:r>
        <w:rPr>
          <w:rFonts w:ascii="宋体" w:hAnsi="宋体" w:eastAsia="宋体" w:cs="Times New Roman"/>
          <w:color w:val="auto"/>
          <w:sz w:val="24"/>
          <w:szCs w:val="24"/>
          <w:highlight w:val="none"/>
          <w:lang w:val="en-US" w:eastAsia="zh-CN" w:bidi="ar-SA"/>
        </w:rPr>
        <w:t>（11）</w:t>
      </w:r>
      <w:r>
        <w:rPr>
          <w:rFonts w:hint="eastAsia" w:ascii="宋体" w:hAnsi="宋体"/>
          <w:color w:val="auto"/>
          <w:sz w:val="24"/>
          <w:highlight w:val="none"/>
        </w:rPr>
        <w:t>数据库软件升级，要求根据应用系统要求对数据库版本进行升级，或者根据</w:t>
      </w:r>
    </w:p>
    <w:p w14:paraId="03323355">
      <w:pPr>
        <w:spacing w:line="360" w:lineRule="auto"/>
        <w:rPr>
          <w:rFonts w:ascii="宋体" w:hAnsi="宋体"/>
          <w:color w:val="auto"/>
          <w:sz w:val="24"/>
          <w:highlight w:val="none"/>
        </w:rPr>
      </w:pPr>
      <w:r>
        <w:rPr>
          <w:rFonts w:hint="eastAsia" w:ascii="宋体" w:hAnsi="宋体"/>
          <w:color w:val="auto"/>
          <w:sz w:val="24"/>
          <w:highlight w:val="none"/>
        </w:rPr>
        <w:t>实际情况对数据库进行更新补丁；</w:t>
      </w:r>
    </w:p>
    <w:p w14:paraId="37E8006C">
      <w:pPr>
        <w:numPr>
          <w:ilvl w:val="0"/>
          <w:numId w:val="0"/>
        </w:numPr>
        <w:spacing w:line="360" w:lineRule="auto"/>
        <w:ind w:left="420" w:leftChars="200"/>
        <w:rPr>
          <w:rFonts w:ascii="宋体" w:hAnsi="宋体"/>
          <w:color w:val="auto"/>
          <w:sz w:val="24"/>
          <w:highlight w:val="none"/>
        </w:rPr>
      </w:pPr>
      <w:r>
        <w:rPr>
          <w:rFonts w:ascii="宋体" w:hAnsi="宋体" w:eastAsia="宋体" w:cs="Times New Roman"/>
          <w:color w:val="auto"/>
          <w:sz w:val="24"/>
          <w:szCs w:val="24"/>
          <w:highlight w:val="none"/>
          <w:lang w:val="en-US" w:eastAsia="zh-CN" w:bidi="ar-SA"/>
        </w:rPr>
        <w:t>（12）</w:t>
      </w:r>
      <w:r>
        <w:rPr>
          <w:rFonts w:hint="eastAsia" w:ascii="宋体" w:hAnsi="宋体"/>
          <w:color w:val="auto"/>
          <w:sz w:val="24"/>
          <w:highlight w:val="none"/>
        </w:rPr>
        <w:t>文档支持服务，要求对Oracle数据库每季度服务和巡检都要形成服务报告，</w:t>
      </w:r>
    </w:p>
    <w:p w14:paraId="5A650015">
      <w:pPr>
        <w:spacing w:line="360" w:lineRule="auto"/>
        <w:rPr>
          <w:rFonts w:ascii="宋体" w:hAnsi="宋体"/>
          <w:color w:val="auto"/>
          <w:sz w:val="24"/>
          <w:highlight w:val="none"/>
        </w:rPr>
      </w:pPr>
      <w:r>
        <w:rPr>
          <w:rFonts w:hint="eastAsia" w:ascii="宋体" w:hAnsi="宋体"/>
          <w:color w:val="auto"/>
          <w:sz w:val="24"/>
          <w:highlight w:val="none"/>
        </w:rPr>
        <w:t>并建立文档。</w:t>
      </w:r>
    </w:p>
    <w:p w14:paraId="6FC11618">
      <w:pPr>
        <w:pStyle w:val="47"/>
        <w:numPr>
          <w:ilvl w:val="0"/>
          <w:numId w:val="12"/>
        </w:numPr>
        <w:spacing w:line="360" w:lineRule="auto"/>
        <w:rPr>
          <w:rFonts w:ascii="宋体" w:hAnsi="宋体"/>
          <w:color w:val="auto"/>
          <w:sz w:val="24"/>
          <w:szCs w:val="24"/>
          <w:highlight w:val="none"/>
        </w:rPr>
      </w:pPr>
      <w:r>
        <w:rPr>
          <w:rFonts w:ascii="宋体" w:hAnsi="宋体"/>
          <w:color w:val="auto"/>
          <w:sz w:val="24"/>
          <w:szCs w:val="24"/>
          <w:highlight w:val="none"/>
        </w:rPr>
        <w:t>防病毒软件</w:t>
      </w:r>
    </w:p>
    <w:p w14:paraId="5D798935">
      <w:pPr>
        <w:spacing w:after="5" w:line="360" w:lineRule="auto"/>
        <w:ind w:firstLine="480" w:firstLineChars="200"/>
        <w:rPr>
          <w:rFonts w:ascii="宋体" w:hAnsi="宋体"/>
          <w:color w:val="auto"/>
          <w:sz w:val="24"/>
          <w:highlight w:val="none"/>
        </w:rPr>
      </w:pPr>
      <w:r>
        <w:rPr>
          <w:rFonts w:ascii="宋体" w:hAnsi="宋体"/>
          <w:color w:val="auto"/>
          <w:sz w:val="24"/>
          <w:highlight w:val="none"/>
        </w:rPr>
        <w:t>中标供应商</w:t>
      </w:r>
      <w:r>
        <w:rPr>
          <w:rFonts w:hint="eastAsia" w:ascii="宋体" w:hAnsi="宋体"/>
          <w:color w:val="auto"/>
          <w:sz w:val="24"/>
          <w:highlight w:val="none"/>
        </w:rPr>
        <w:t>维护工程师</w:t>
      </w:r>
      <w:r>
        <w:rPr>
          <w:rFonts w:ascii="宋体" w:hAnsi="宋体"/>
          <w:color w:val="auto"/>
          <w:sz w:val="24"/>
          <w:highlight w:val="none"/>
        </w:rPr>
        <w:t>提供杀毒软件服务器端的安装和维护服务。主要包括：</w:t>
      </w:r>
    </w:p>
    <w:p w14:paraId="1A91A513">
      <w:pPr>
        <w:spacing w:line="360" w:lineRule="auto"/>
        <w:ind w:firstLine="480" w:firstLineChars="200"/>
        <w:rPr>
          <w:rFonts w:ascii="宋体" w:hAnsi="宋体"/>
          <w:color w:val="auto"/>
          <w:sz w:val="24"/>
          <w:highlight w:val="none"/>
        </w:rPr>
      </w:pPr>
      <w:r>
        <w:rPr>
          <w:rFonts w:ascii="宋体" w:hAnsi="宋体"/>
          <w:color w:val="auto"/>
          <w:sz w:val="24"/>
          <w:highlight w:val="none"/>
        </w:rPr>
        <w:t>（1）杀毒软件服务器端的升级、管理、日志等服务</w:t>
      </w:r>
      <w:r>
        <w:rPr>
          <w:rFonts w:hint="eastAsia" w:ascii="宋体" w:hAnsi="宋体"/>
          <w:color w:val="auto"/>
          <w:sz w:val="24"/>
          <w:highlight w:val="none"/>
        </w:rPr>
        <w:t>；</w:t>
      </w:r>
    </w:p>
    <w:p w14:paraId="6076962D">
      <w:pPr>
        <w:spacing w:line="360" w:lineRule="auto"/>
        <w:ind w:firstLine="480" w:firstLineChars="200"/>
        <w:rPr>
          <w:rFonts w:ascii="宋体" w:hAnsi="宋体"/>
          <w:color w:val="auto"/>
          <w:sz w:val="24"/>
          <w:highlight w:val="none"/>
        </w:rPr>
      </w:pPr>
      <w:r>
        <w:rPr>
          <w:rFonts w:ascii="宋体" w:hAnsi="宋体"/>
          <w:color w:val="auto"/>
          <w:sz w:val="24"/>
          <w:highlight w:val="none"/>
        </w:rPr>
        <w:t>（2）杀毒软件用户端的部署、策略管理服务</w:t>
      </w:r>
      <w:r>
        <w:rPr>
          <w:rFonts w:hint="eastAsia" w:ascii="宋体" w:hAnsi="宋体"/>
          <w:color w:val="auto"/>
          <w:sz w:val="24"/>
          <w:highlight w:val="none"/>
        </w:rPr>
        <w:t>；</w:t>
      </w:r>
    </w:p>
    <w:p w14:paraId="406C391B">
      <w:pPr>
        <w:spacing w:after="5" w:line="360" w:lineRule="auto"/>
        <w:ind w:firstLine="480" w:firstLineChars="200"/>
        <w:rPr>
          <w:rFonts w:ascii="宋体" w:hAnsi="宋体"/>
          <w:color w:val="auto"/>
          <w:sz w:val="24"/>
          <w:highlight w:val="none"/>
        </w:rPr>
      </w:pPr>
      <w:r>
        <w:rPr>
          <w:rFonts w:ascii="宋体" w:hAnsi="宋体"/>
          <w:color w:val="auto"/>
          <w:sz w:val="24"/>
          <w:highlight w:val="none"/>
        </w:rPr>
        <w:t>（3）响应杀毒软件用户端的上门服务请求</w:t>
      </w:r>
      <w:r>
        <w:rPr>
          <w:rFonts w:hint="eastAsia" w:ascii="宋体" w:hAnsi="宋体"/>
          <w:color w:val="auto"/>
          <w:sz w:val="24"/>
          <w:highlight w:val="none"/>
        </w:rPr>
        <w:t>；</w:t>
      </w:r>
    </w:p>
    <w:p w14:paraId="12D784D9">
      <w:pPr>
        <w:spacing w:line="360" w:lineRule="auto"/>
        <w:ind w:firstLine="480" w:firstLineChars="20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）服务器及系统等应急现场杀毒技术支持。</w:t>
      </w:r>
    </w:p>
    <w:p w14:paraId="7110299C">
      <w:pPr>
        <w:pStyle w:val="47"/>
        <w:numPr>
          <w:ilvl w:val="0"/>
          <w:numId w:val="12"/>
        </w:numPr>
        <w:spacing w:line="360" w:lineRule="auto"/>
        <w:rPr>
          <w:rFonts w:ascii="宋体" w:hAnsi="宋体"/>
          <w:color w:val="auto"/>
          <w:sz w:val="24"/>
          <w:szCs w:val="24"/>
          <w:highlight w:val="none"/>
        </w:rPr>
      </w:pPr>
      <w:r>
        <w:rPr>
          <w:rFonts w:ascii="宋体" w:hAnsi="宋体"/>
          <w:color w:val="auto"/>
          <w:sz w:val="24"/>
          <w:szCs w:val="24"/>
          <w:highlight w:val="none"/>
        </w:rPr>
        <w:t>容灾备份系统</w:t>
      </w:r>
    </w:p>
    <w:p w14:paraId="14192908">
      <w:pPr>
        <w:spacing w:line="360" w:lineRule="auto"/>
        <w:ind w:firstLine="480" w:firstLineChars="200"/>
        <w:rPr>
          <w:rFonts w:ascii="宋体" w:hAnsi="宋体"/>
          <w:color w:val="auto"/>
          <w:sz w:val="24"/>
          <w:highlight w:val="none"/>
        </w:rPr>
      </w:pPr>
      <w:r>
        <w:rPr>
          <w:rFonts w:ascii="宋体" w:hAnsi="宋体"/>
          <w:color w:val="auto"/>
          <w:sz w:val="24"/>
          <w:highlight w:val="none"/>
        </w:rPr>
        <w:t>中标供应商</w:t>
      </w:r>
      <w:r>
        <w:rPr>
          <w:rFonts w:hint="eastAsia" w:ascii="宋体" w:hAnsi="宋体"/>
          <w:color w:val="auto"/>
          <w:sz w:val="24"/>
          <w:highlight w:val="none"/>
        </w:rPr>
        <w:t>维护工程师定期</w:t>
      </w:r>
      <w:r>
        <w:rPr>
          <w:rFonts w:ascii="宋体" w:hAnsi="宋体"/>
          <w:color w:val="auto"/>
          <w:sz w:val="24"/>
          <w:highlight w:val="none"/>
        </w:rPr>
        <w:t>对采购单位</w:t>
      </w:r>
      <w:r>
        <w:rPr>
          <w:rFonts w:hint="eastAsia" w:ascii="宋体" w:hAnsi="宋体"/>
          <w:color w:val="auto"/>
          <w:sz w:val="24"/>
          <w:highlight w:val="none"/>
        </w:rPr>
        <w:t>的数据</w:t>
      </w:r>
      <w:r>
        <w:rPr>
          <w:rFonts w:ascii="宋体" w:hAnsi="宋体"/>
          <w:color w:val="auto"/>
          <w:sz w:val="24"/>
          <w:highlight w:val="none"/>
        </w:rPr>
        <w:t>备份系统进行</w:t>
      </w:r>
      <w:r>
        <w:rPr>
          <w:rFonts w:hint="eastAsia" w:ascii="宋体" w:hAnsi="宋体"/>
          <w:color w:val="auto"/>
          <w:sz w:val="24"/>
          <w:highlight w:val="none"/>
        </w:rPr>
        <w:t>现场</w:t>
      </w:r>
      <w:r>
        <w:rPr>
          <w:rFonts w:ascii="宋体" w:hAnsi="宋体"/>
          <w:color w:val="auto"/>
          <w:sz w:val="24"/>
          <w:highlight w:val="none"/>
        </w:rPr>
        <w:t>例行巡检，以确保在故障发生时，灾备系统能正常</w:t>
      </w:r>
      <w:r>
        <w:rPr>
          <w:rFonts w:hint="eastAsia" w:ascii="宋体" w:hAnsi="宋体"/>
          <w:color w:val="auto"/>
          <w:sz w:val="24"/>
          <w:highlight w:val="none"/>
        </w:rPr>
        <w:t>进行数据恢复</w:t>
      </w:r>
      <w:r>
        <w:rPr>
          <w:rFonts w:ascii="宋体" w:hAnsi="宋体"/>
          <w:color w:val="auto"/>
          <w:sz w:val="24"/>
          <w:highlight w:val="none"/>
        </w:rPr>
        <w:t>。</w:t>
      </w:r>
    </w:p>
    <w:p w14:paraId="2447C5FD">
      <w:pPr>
        <w:spacing w:line="360" w:lineRule="auto"/>
        <w:ind w:firstLine="480" w:firstLineChars="200"/>
        <w:rPr>
          <w:rFonts w:ascii="宋体" w:hAnsi="宋体"/>
          <w:color w:val="auto"/>
          <w:sz w:val="24"/>
          <w:highlight w:val="none"/>
        </w:rPr>
      </w:pPr>
      <w:r>
        <w:rPr>
          <w:rFonts w:ascii="宋体" w:hAnsi="宋体"/>
          <w:color w:val="auto"/>
          <w:sz w:val="24"/>
          <w:highlight w:val="none"/>
        </w:rPr>
        <w:t>（1）检查和分析系统日志，特别是</w:t>
      </w:r>
      <w:r>
        <w:rPr>
          <w:rFonts w:hint="eastAsia" w:ascii="宋体" w:hAnsi="宋体"/>
          <w:color w:val="auto"/>
          <w:sz w:val="24"/>
          <w:highlight w:val="none"/>
        </w:rPr>
        <w:t>备份</w:t>
      </w:r>
      <w:r>
        <w:rPr>
          <w:rFonts w:ascii="宋体" w:hAnsi="宋体"/>
          <w:color w:val="auto"/>
          <w:sz w:val="24"/>
          <w:highlight w:val="none"/>
        </w:rPr>
        <w:t>资源运行状态的日志，</w:t>
      </w:r>
      <w:r>
        <w:rPr>
          <w:rFonts w:hint="eastAsia" w:ascii="宋体" w:hAnsi="宋体"/>
          <w:color w:val="auto"/>
          <w:sz w:val="24"/>
          <w:highlight w:val="none"/>
        </w:rPr>
        <w:t>备份</w:t>
      </w:r>
      <w:r>
        <w:rPr>
          <w:rFonts w:ascii="宋体" w:hAnsi="宋体"/>
          <w:color w:val="auto"/>
          <w:sz w:val="24"/>
          <w:highlight w:val="none"/>
        </w:rPr>
        <w:t>涉及的文件系统情况，根据数据增长量预估决定是否要增加其容量</w:t>
      </w:r>
      <w:r>
        <w:rPr>
          <w:rFonts w:hint="eastAsia" w:ascii="宋体" w:hAnsi="宋体"/>
          <w:color w:val="auto"/>
          <w:sz w:val="24"/>
          <w:highlight w:val="none"/>
        </w:rPr>
        <w:t>；</w:t>
      </w:r>
    </w:p>
    <w:p w14:paraId="70834995">
      <w:pPr>
        <w:spacing w:line="360" w:lineRule="auto"/>
        <w:ind w:firstLine="480" w:firstLineChars="200"/>
        <w:rPr>
          <w:rFonts w:ascii="宋体" w:hAnsi="宋体"/>
          <w:color w:val="auto"/>
          <w:sz w:val="24"/>
          <w:highlight w:val="none"/>
        </w:rPr>
      </w:pPr>
      <w:r>
        <w:rPr>
          <w:rFonts w:ascii="宋体" w:hAnsi="宋体"/>
          <w:color w:val="auto"/>
          <w:sz w:val="24"/>
          <w:highlight w:val="none"/>
        </w:rPr>
        <w:t>（2）定期检查数据备份计划和执行情况，进行数据备份恢复测试，并根据实际情况协助采购单位优化备份策略</w:t>
      </w:r>
      <w:r>
        <w:rPr>
          <w:rFonts w:hint="eastAsia" w:ascii="宋体" w:hAnsi="宋体"/>
          <w:color w:val="auto"/>
          <w:sz w:val="24"/>
          <w:highlight w:val="none"/>
        </w:rPr>
        <w:t>；</w:t>
      </w:r>
    </w:p>
    <w:p w14:paraId="77AACEB0">
      <w:pPr>
        <w:spacing w:line="360" w:lineRule="auto"/>
        <w:ind w:firstLine="480" w:firstLineChars="200"/>
        <w:rPr>
          <w:rFonts w:ascii="宋体" w:hAnsi="宋体"/>
          <w:color w:val="auto"/>
          <w:sz w:val="24"/>
          <w:highlight w:val="none"/>
        </w:rPr>
      </w:pPr>
      <w:r>
        <w:rPr>
          <w:rFonts w:ascii="宋体" w:hAnsi="宋体"/>
          <w:color w:val="auto"/>
          <w:sz w:val="24"/>
          <w:highlight w:val="none"/>
        </w:rPr>
        <w:t>（3）配合采购单位做好</w:t>
      </w:r>
      <w:r>
        <w:rPr>
          <w:rFonts w:hint="eastAsia" w:ascii="宋体" w:hAnsi="宋体"/>
          <w:color w:val="auto"/>
          <w:sz w:val="24"/>
          <w:highlight w:val="none"/>
        </w:rPr>
        <w:t>每年一次的</w:t>
      </w:r>
      <w:r>
        <w:rPr>
          <w:rFonts w:ascii="宋体" w:hAnsi="宋体"/>
          <w:color w:val="auto"/>
          <w:sz w:val="24"/>
          <w:highlight w:val="none"/>
        </w:rPr>
        <w:t>容灾备份演练工作</w:t>
      </w:r>
      <w:r>
        <w:rPr>
          <w:rFonts w:hint="eastAsia" w:ascii="宋体" w:hAnsi="宋体"/>
          <w:color w:val="auto"/>
          <w:sz w:val="24"/>
          <w:highlight w:val="none"/>
        </w:rPr>
        <w:t>；</w:t>
      </w:r>
    </w:p>
    <w:p w14:paraId="6EC835FD">
      <w:pPr>
        <w:spacing w:line="360" w:lineRule="auto"/>
        <w:ind w:firstLine="480" w:firstLineChars="200"/>
        <w:rPr>
          <w:rFonts w:ascii="宋体" w:hAnsi="宋体"/>
          <w:color w:val="auto"/>
          <w:sz w:val="24"/>
          <w:highlight w:val="none"/>
        </w:rPr>
      </w:pPr>
      <w:r>
        <w:rPr>
          <w:rFonts w:ascii="宋体" w:hAnsi="宋体"/>
          <w:color w:val="auto"/>
          <w:sz w:val="24"/>
          <w:highlight w:val="none"/>
        </w:rPr>
        <w:t>（4）对检查中发现的问题进行分析和诊断，并及时解决问题</w:t>
      </w:r>
      <w:r>
        <w:rPr>
          <w:rFonts w:hint="eastAsia" w:ascii="宋体" w:hAnsi="宋体"/>
          <w:color w:val="auto"/>
          <w:sz w:val="24"/>
          <w:highlight w:val="none"/>
        </w:rPr>
        <w:t>；</w:t>
      </w:r>
    </w:p>
    <w:p w14:paraId="11CC1516">
      <w:pPr>
        <w:spacing w:line="360" w:lineRule="auto"/>
        <w:ind w:firstLine="480" w:firstLineChars="200"/>
        <w:rPr>
          <w:rFonts w:ascii="宋体" w:hAnsi="宋体"/>
          <w:color w:val="auto"/>
          <w:sz w:val="24"/>
          <w:highlight w:val="none"/>
        </w:rPr>
      </w:pPr>
      <w:r>
        <w:rPr>
          <w:rFonts w:ascii="宋体" w:hAnsi="宋体"/>
          <w:color w:val="auto"/>
          <w:sz w:val="24"/>
          <w:highlight w:val="none"/>
        </w:rPr>
        <w:t>（5）提供系统巡检服务报告。</w:t>
      </w:r>
    </w:p>
    <w:p w14:paraId="5D51AF4D">
      <w:pPr>
        <w:spacing w:after="5" w:line="360" w:lineRule="auto"/>
        <w:ind w:firstLine="482" w:firstLineChars="200"/>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4</w:t>
      </w:r>
      <w:r>
        <w:rPr>
          <w:rFonts w:ascii="宋体" w:hAnsi="宋体"/>
          <w:b/>
          <w:color w:val="auto"/>
          <w:sz w:val="24"/>
          <w:highlight w:val="none"/>
        </w:rPr>
        <w:t>.4</w:t>
      </w:r>
      <w:r>
        <w:rPr>
          <w:rFonts w:hint="eastAsia" w:ascii="宋体" w:hAnsi="宋体"/>
          <w:b/>
          <w:color w:val="auto"/>
          <w:sz w:val="24"/>
          <w:highlight w:val="none"/>
        </w:rPr>
        <w:t>智能监测与预警服务</w:t>
      </w:r>
    </w:p>
    <w:p w14:paraId="21BF13A9">
      <w:pPr>
        <w:spacing w:after="5" w:line="360" w:lineRule="auto"/>
        <w:ind w:firstLine="482" w:firstLineChars="200"/>
        <w:rPr>
          <w:rFonts w:ascii="宋体" w:hAnsi="宋体"/>
          <w:b/>
          <w:color w:val="auto"/>
          <w:sz w:val="24"/>
          <w:highlight w:val="none"/>
        </w:rPr>
      </w:pPr>
      <w:r>
        <w:rPr>
          <w:rFonts w:ascii="宋体" w:hAnsi="宋体"/>
          <w:b/>
          <w:color w:val="auto"/>
          <w:sz w:val="24"/>
          <w:highlight w:val="none"/>
        </w:rPr>
        <w:t>（1）</w:t>
      </w:r>
      <w:r>
        <w:rPr>
          <w:rFonts w:hint="eastAsia" w:ascii="宋体" w:hAnsi="宋体"/>
          <w:b/>
          <w:color w:val="auto"/>
          <w:sz w:val="24"/>
          <w:highlight w:val="none"/>
        </w:rPr>
        <w:t>服务目标</w:t>
      </w:r>
    </w:p>
    <w:p w14:paraId="3A620972">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通过对采购单位的软硬件系统进行监测与预警，及时发现问题并处理，确保系统运行稳定。</w:t>
      </w:r>
    </w:p>
    <w:p w14:paraId="5E112617">
      <w:pPr>
        <w:spacing w:after="5" w:line="360" w:lineRule="auto"/>
        <w:ind w:firstLine="482" w:firstLineChars="200"/>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服务内容</w:t>
      </w:r>
    </w:p>
    <w:p w14:paraId="52EF2BBA">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项目现场根据采购人实际需求，要求根据投标人自有配套工具产生的基础数据以及安全管理平台进行辅助分析，协助现场日常运维。</w:t>
      </w:r>
    </w:p>
    <w:p w14:paraId="3C6D6393">
      <w:pPr>
        <w:spacing w:after="5" w:line="360" w:lineRule="auto"/>
        <w:ind w:firstLine="482" w:firstLineChars="200"/>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.5</w:t>
      </w:r>
      <w:r>
        <w:rPr>
          <w:rFonts w:ascii="宋体" w:hAnsi="宋体"/>
          <w:b/>
          <w:color w:val="auto"/>
          <w:sz w:val="24"/>
          <w:highlight w:val="none"/>
        </w:rPr>
        <w:t xml:space="preserve"> </w:t>
      </w:r>
      <w:r>
        <w:rPr>
          <w:rFonts w:hint="eastAsia" w:ascii="宋体" w:hAnsi="宋体"/>
          <w:b/>
          <w:color w:val="auto"/>
          <w:sz w:val="24"/>
          <w:highlight w:val="none"/>
        </w:rPr>
        <w:t>服务质量要求：</w:t>
      </w:r>
    </w:p>
    <w:p w14:paraId="4B91D28C">
      <w:pPr>
        <w:spacing w:after="5" w:line="360" w:lineRule="auto"/>
        <w:ind w:firstLine="480" w:firstLineChars="200"/>
        <w:rPr>
          <w:rFonts w:ascii="宋体" w:hAnsi="宋体"/>
          <w:color w:val="auto"/>
          <w:sz w:val="24"/>
          <w:highlight w:val="none"/>
        </w:rPr>
      </w:pPr>
      <w:r>
        <w:rPr>
          <w:rFonts w:ascii="宋体" w:hAnsi="宋体"/>
          <w:color w:val="auto"/>
          <w:sz w:val="24"/>
          <w:highlight w:val="none"/>
        </w:rPr>
        <w:t>（1）保证采购单位设备365</w:t>
      </w:r>
      <w:r>
        <w:rPr>
          <w:rFonts w:hint="eastAsia" w:ascii="宋体" w:hAnsi="宋体"/>
          <w:color w:val="auto"/>
          <w:sz w:val="24"/>
          <w:highlight w:val="none"/>
        </w:rPr>
        <w:t>天</w:t>
      </w:r>
      <w:r>
        <w:rPr>
          <w:rFonts w:ascii="宋体" w:hAnsi="宋体"/>
          <w:color w:val="auto"/>
          <w:sz w:val="24"/>
          <w:highlight w:val="none"/>
        </w:rPr>
        <w:t>*24小时安全、稳定、高效运行。对于采购单位系统出现的任何软、硬件故障，中标供应商必须在规定的时间内加以解决，否则承担采购单位由此造成的损失。</w:t>
      </w:r>
    </w:p>
    <w:p w14:paraId="34471E06">
      <w:pPr>
        <w:spacing w:after="5" w:line="360" w:lineRule="auto"/>
        <w:ind w:firstLine="480" w:firstLineChars="200"/>
        <w:rPr>
          <w:rFonts w:ascii="宋体" w:hAnsi="宋体"/>
          <w:color w:val="auto"/>
          <w:sz w:val="24"/>
          <w:highlight w:val="none"/>
        </w:rPr>
      </w:pPr>
      <w:r>
        <w:rPr>
          <w:rFonts w:ascii="宋体" w:hAnsi="宋体"/>
          <w:color w:val="auto"/>
          <w:sz w:val="24"/>
          <w:highlight w:val="none"/>
        </w:rPr>
        <w:t>（2）为保证维护服务质量，中标供应商必须为本项目作出独立的针对性投资，必须做出备件投资、人力投资、技术培训投资，投资成本必须体现并已经包含在维护报价中，拒绝不顾质量的恶意竞标行为。</w:t>
      </w:r>
    </w:p>
    <w:p w14:paraId="2757ABDD">
      <w:pPr>
        <w:spacing w:after="5" w:line="360" w:lineRule="auto"/>
        <w:ind w:firstLine="480" w:firstLineChars="200"/>
        <w:rPr>
          <w:rFonts w:ascii="宋体" w:hAnsi="宋体"/>
          <w:color w:val="auto"/>
          <w:sz w:val="24"/>
          <w:highlight w:val="none"/>
        </w:rPr>
      </w:pPr>
      <w:r>
        <w:rPr>
          <w:rFonts w:ascii="宋体" w:hAnsi="宋体"/>
          <w:color w:val="auto"/>
          <w:sz w:val="24"/>
          <w:highlight w:val="none"/>
        </w:rPr>
        <w:t>（3）故障处理速度和质量要求：对于维护范围内的故障，中标供应商应在故障发生后立即响应，并尽快加以解决；对于非维护范围内的故障，中标供应商应在故障发生后积极配合其他服务商尽快加以解决。维保期间，采购单位在进行硬件设备更新、升级、系统迁移等操作时，中标供应商须积极提供现场技术支持服务；如遇重大保障任务时，中标供应商需派驻专人进行现场保障服务。</w:t>
      </w:r>
    </w:p>
    <w:p w14:paraId="69691566">
      <w:pPr>
        <w:spacing w:after="5" w:line="360" w:lineRule="auto"/>
        <w:ind w:firstLine="480" w:firstLineChars="200"/>
        <w:rPr>
          <w:rFonts w:ascii="宋体" w:hAnsi="宋体"/>
          <w:color w:val="auto"/>
          <w:sz w:val="24"/>
          <w:highlight w:val="none"/>
        </w:rPr>
      </w:pPr>
      <w:r>
        <w:rPr>
          <w:rFonts w:ascii="宋体" w:hAnsi="宋体"/>
          <w:color w:val="auto"/>
          <w:sz w:val="24"/>
          <w:highlight w:val="none"/>
        </w:rPr>
        <w:t>（4）针对所有维保设备，中标供应商须建立详细档案并在日常巡检维护中同步更新。同时，应制定、整理、完善应急预案及典型案例，培训、协助采购单位技术人员不断提高应急保障能力。</w:t>
      </w:r>
    </w:p>
    <w:p w14:paraId="7F66DB45">
      <w:pPr>
        <w:spacing w:after="5" w:line="360" w:lineRule="auto"/>
        <w:ind w:firstLine="480" w:firstLineChars="200"/>
        <w:rPr>
          <w:rFonts w:ascii="宋体" w:hAnsi="宋体"/>
          <w:color w:val="auto"/>
          <w:sz w:val="24"/>
          <w:highlight w:val="none"/>
        </w:rPr>
      </w:pPr>
      <w:r>
        <w:rPr>
          <w:rFonts w:ascii="宋体" w:hAnsi="宋体"/>
          <w:color w:val="auto"/>
          <w:sz w:val="24"/>
          <w:highlight w:val="none"/>
        </w:rPr>
        <w:t>（5）中标供应商提供的软件及其他服务不得侵害第三方的知识产权。</w:t>
      </w:r>
    </w:p>
    <w:p w14:paraId="27F6D184">
      <w:pPr>
        <w:spacing w:after="5" w:line="360" w:lineRule="auto"/>
        <w:ind w:firstLine="480" w:firstLineChars="20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6</w:t>
      </w:r>
      <w:r>
        <w:rPr>
          <w:rFonts w:ascii="宋体" w:hAnsi="宋体"/>
          <w:color w:val="auto"/>
          <w:sz w:val="24"/>
          <w:highlight w:val="none"/>
        </w:rPr>
        <w:t>）</w:t>
      </w:r>
      <w:r>
        <w:rPr>
          <w:rFonts w:hint="eastAsia" w:ascii="宋体" w:hAnsi="宋体"/>
          <w:color w:val="auto"/>
          <w:sz w:val="24"/>
          <w:highlight w:val="none"/>
        </w:rPr>
        <w:t>为保证系统维护质量和维护效率，</w:t>
      </w:r>
      <w:r>
        <w:rPr>
          <w:rFonts w:ascii="宋体" w:hAnsi="宋体"/>
          <w:color w:val="auto"/>
          <w:sz w:val="24"/>
          <w:highlight w:val="none"/>
        </w:rPr>
        <w:t>中标供应商提供上门维护服务的有相关工作经验的工程师应相对固定</w:t>
      </w:r>
      <w:r>
        <w:rPr>
          <w:rFonts w:hint="eastAsia" w:ascii="宋体" w:hAnsi="宋体"/>
          <w:color w:val="auto"/>
          <w:sz w:val="24"/>
          <w:highlight w:val="none"/>
        </w:rPr>
        <w:t>，入场维护三日内需提供项目组人员清单，并提供项目组人员</w:t>
      </w:r>
      <w:r>
        <w:rPr>
          <w:rFonts w:ascii="宋体" w:hAnsi="宋体"/>
          <w:color w:val="auto"/>
          <w:sz w:val="24"/>
          <w:highlight w:val="none"/>
        </w:rPr>
        <w:t>资质证书</w:t>
      </w:r>
      <w:r>
        <w:rPr>
          <w:rFonts w:hint="eastAsia" w:ascii="宋体" w:hAnsi="宋体"/>
          <w:color w:val="auto"/>
          <w:sz w:val="24"/>
          <w:highlight w:val="none"/>
        </w:rPr>
        <w:t>进行备案，每次故障响应时，采购单位有权核实人员信息</w:t>
      </w:r>
      <w:r>
        <w:rPr>
          <w:rFonts w:ascii="宋体" w:hAnsi="宋体"/>
          <w:color w:val="auto"/>
          <w:sz w:val="24"/>
          <w:highlight w:val="none"/>
        </w:rPr>
        <w:t>。中标供应商需要更换</w:t>
      </w:r>
      <w:r>
        <w:rPr>
          <w:rFonts w:hint="eastAsia" w:ascii="宋体" w:hAnsi="宋体"/>
          <w:color w:val="auto"/>
          <w:sz w:val="24"/>
          <w:highlight w:val="none"/>
        </w:rPr>
        <w:t>维护</w:t>
      </w:r>
      <w:r>
        <w:rPr>
          <w:rFonts w:ascii="宋体" w:hAnsi="宋体"/>
          <w:color w:val="auto"/>
          <w:sz w:val="24"/>
          <w:highlight w:val="none"/>
        </w:rPr>
        <w:t>人员，应提前一个月以书面形式向采购单位提出人员变更申请，说明人员的离职原因、离职人员的安全保密措施、变更人员资质及身份证明材料等。采购单位有特殊需要时，中标供应商应加派服务人员。</w:t>
      </w:r>
      <w:r>
        <w:rPr>
          <w:rFonts w:hint="eastAsia" w:ascii="宋体" w:hAnsi="宋体"/>
          <w:color w:val="auto"/>
          <w:sz w:val="24"/>
          <w:highlight w:val="none"/>
        </w:rPr>
        <w:t>服务</w:t>
      </w:r>
      <w:r>
        <w:rPr>
          <w:rFonts w:ascii="宋体" w:hAnsi="宋体"/>
          <w:color w:val="auto"/>
          <w:sz w:val="24"/>
          <w:highlight w:val="none"/>
        </w:rPr>
        <w:t>人员</w:t>
      </w:r>
      <w:r>
        <w:rPr>
          <w:rFonts w:hint="eastAsia" w:ascii="宋体" w:hAnsi="宋体"/>
          <w:color w:val="auto"/>
          <w:sz w:val="24"/>
          <w:highlight w:val="none"/>
        </w:rPr>
        <w:t>需遵守采购单位的各项管理规范及管理制度，如有违反将影响服务评定结果。</w:t>
      </w:r>
    </w:p>
    <w:p w14:paraId="42D07AB6">
      <w:pPr>
        <w:spacing w:after="5" w:line="360" w:lineRule="auto"/>
        <w:ind w:firstLine="480" w:firstLineChars="200"/>
        <w:rPr>
          <w:rFonts w:ascii="宋体" w:hAnsi="宋体"/>
          <w:color w:val="auto"/>
          <w:sz w:val="24"/>
          <w:highlight w:val="none"/>
        </w:rPr>
      </w:pPr>
      <w:r>
        <w:rPr>
          <w:rFonts w:hint="eastAsia" w:ascii="宋体" w:hAnsi="宋体"/>
          <w:color w:val="auto"/>
          <w:sz w:val="24"/>
          <w:highlight w:val="none"/>
        </w:rPr>
        <w:t>（7）</w:t>
      </w:r>
      <w:r>
        <w:rPr>
          <w:rFonts w:ascii="宋体" w:hAnsi="宋体"/>
          <w:color w:val="auto"/>
          <w:sz w:val="24"/>
          <w:highlight w:val="none"/>
        </w:rPr>
        <w:t>中标供应商</w:t>
      </w:r>
      <w:r>
        <w:rPr>
          <w:rFonts w:hint="eastAsia" w:ascii="宋体" w:hAnsi="宋体"/>
          <w:color w:val="auto"/>
          <w:sz w:val="24"/>
          <w:highlight w:val="none"/>
        </w:rPr>
        <w:t>不得向第三方透露在运维期间获得和知晓</w:t>
      </w:r>
      <w:r>
        <w:rPr>
          <w:rFonts w:ascii="宋体" w:hAnsi="宋体"/>
          <w:color w:val="auto"/>
          <w:sz w:val="24"/>
          <w:highlight w:val="none"/>
        </w:rPr>
        <w:t>采购单位</w:t>
      </w:r>
      <w:r>
        <w:rPr>
          <w:rFonts w:hint="eastAsia" w:ascii="宋体" w:hAnsi="宋体"/>
          <w:color w:val="auto"/>
          <w:sz w:val="24"/>
          <w:highlight w:val="none"/>
        </w:rPr>
        <w:t>的系统数据、技术资料信息以及属于第三方但</w:t>
      </w:r>
      <w:r>
        <w:rPr>
          <w:rFonts w:ascii="宋体" w:hAnsi="宋体"/>
          <w:color w:val="auto"/>
          <w:sz w:val="24"/>
          <w:highlight w:val="none"/>
        </w:rPr>
        <w:t>中标供应商</w:t>
      </w:r>
      <w:r>
        <w:rPr>
          <w:rFonts w:hint="eastAsia" w:ascii="宋体" w:hAnsi="宋体"/>
          <w:color w:val="auto"/>
          <w:sz w:val="24"/>
          <w:highlight w:val="none"/>
        </w:rPr>
        <w:t>负有保密义务的信息，</w:t>
      </w:r>
      <w:r>
        <w:rPr>
          <w:rFonts w:ascii="宋体" w:hAnsi="宋体"/>
          <w:color w:val="auto"/>
          <w:sz w:val="24"/>
          <w:highlight w:val="none"/>
        </w:rPr>
        <w:t>中标供应商</w:t>
      </w:r>
      <w:r>
        <w:rPr>
          <w:rFonts w:hint="eastAsia" w:ascii="宋体" w:hAnsi="宋体"/>
          <w:color w:val="auto"/>
          <w:sz w:val="24"/>
          <w:highlight w:val="none"/>
        </w:rPr>
        <w:t>人员泄密行为视为公司行为。须签订一份保密协议作为项目合同的补充。</w:t>
      </w:r>
    </w:p>
    <w:p w14:paraId="53007614">
      <w:pPr>
        <w:spacing w:line="400" w:lineRule="exact"/>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14:paraId="53BEAE90">
      <w:pPr>
        <w:jc w:val="center"/>
        <w:rPr>
          <w:rFonts w:ascii="宋体" w:hAnsi="宋体" w:cs="宋体"/>
          <w:b/>
          <w:color w:val="auto"/>
          <w:sz w:val="32"/>
          <w:szCs w:val="20"/>
          <w:highlight w:val="none"/>
        </w:rPr>
      </w:pPr>
      <w:r>
        <w:rPr>
          <w:rFonts w:hint="eastAsia" w:ascii="宋体" w:hAnsi="宋体" w:cs="宋体"/>
          <w:b/>
          <w:color w:val="auto"/>
          <w:sz w:val="44"/>
          <w:szCs w:val="44"/>
          <w:highlight w:val="none"/>
        </w:rPr>
        <w:t>第四部分．合同（格式）</w:t>
      </w:r>
    </w:p>
    <w:p w14:paraId="553BA739">
      <w:pPr>
        <w:keepNext w:val="0"/>
        <w:keepLines w:val="0"/>
        <w:pageBreakBefore w:val="0"/>
        <w:widowControl w:val="0"/>
        <w:kinsoku/>
        <w:wordWrap/>
        <w:overflowPunct/>
        <w:topLinePunct w:val="0"/>
        <w:autoSpaceDE/>
        <w:autoSpaceDN/>
        <w:bidi w:val="0"/>
        <w:adjustRightInd/>
        <w:snapToGrid/>
        <w:spacing w:after="100" w:line="360" w:lineRule="auto"/>
        <w:ind w:firstLine="5386"/>
        <w:textAlignment w:val="auto"/>
        <w:rPr>
          <w:rFonts w:ascii="宋体" w:hAnsi="宋体"/>
          <w:color w:val="auto"/>
          <w:sz w:val="24"/>
          <w:highlight w:val="none"/>
          <w:u w:val="single"/>
        </w:rPr>
      </w:pPr>
      <w:r>
        <w:rPr>
          <w:rFonts w:hint="eastAsia" w:ascii="宋体" w:hAnsi="宋体"/>
          <w:color w:val="auto"/>
          <w:sz w:val="24"/>
          <w:highlight w:val="none"/>
        </w:rPr>
        <w:t>合同编号：</w:t>
      </w:r>
    </w:p>
    <w:p w14:paraId="6C8B1889">
      <w:pPr>
        <w:keepNext w:val="0"/>
        <w:keepLines w:val="0"/>
        <w:pageBreakBefore w:val="0"/>
        <w:widowControl w:val="0"/>
        <w:kinsoku/>
        <w:wordWrap/>
        <w:overflowPunct/>
        <w:topLinePunct w:val="0"/>
        <w:autoSpaceDE/>
        <w:autoSpaceDN/>
        <w:bidi w:val="0"/>
        <w:adjustRightInd/>
        <w:snapToGrid/>
        <w:spacing w:after="100" w:line="360" w:lineRule="auto"/>
        <w:ind w:firstLine="5386"/>
        <w:textAlignment w:val="auto"/>
        <w:rPr>
          <w:rFonts w:ascii="宋体" w:hAnsi="宋体"/>
          <w:color w:val="auto"/>
          <w:sz w:val="24"/>
          <w:highlight w:val="none"/>
        </w:rPr>
      </w:pPr>
      <w:r>
        <w:rPr>
          <w:rFonts w:hint="eastAsia" w:ascii="宋体" w:hAnsi="宋体"/>
          <w:color w:val="auto"/>
          <w:sz w:val="24"/>
          <w:highlight w:val="none"/>
        </w:rPr>
        <w:t>签订地点：无锡市</w:t>
      </w:r>
    </w:p>
    <w:p w14:paraId="2F393003">
      <w:pPr>
        <w:keepNext w:val="0"/>
        <w:keepLines w:val="0"/>
        <w:pageBreakBefore w:val="0"/>
        <w:widowControl w:val="0"/>
        <w:kinsoku/>
        <w:wordWrap/>
        <w:overflowPunct/>
        <w:topLinePunct w:val="0"/>
        <w:autoSpaceDE/>
        <w:autoSpaceDN/>
        <w:bidi w:val="0"/>
        <w:adjustRightInd/>
        <w:snapToGrid/>
        <w:spacing w:after="100" w:line="360" w:lineRule="auto"/>
        <w:ind w:firstLine="5386"/>
        <w:textAlignment w:val="auto"/>
        <w:rPr>
          <w:rFonts w:ascii="宋体" w:hAnsi="宋体"/>
          <w:color w:val="auto"/>
          <w:sz w:val="24"/>
          <w:highlight w:val="none"/>
        </w:rPr>
      </w:pPr>
      <w:r>
        <w:rPr>
          <w:rFonts w:hint="eastAsia" w:ascii="宋体" w:hAnsi="宋体"/>
          <w:color w:val="auto"/>
          <w:sz w:val="24"/>
          <w:highlight w:val="none"/>
        </w:rPr>
        <w:t>签约时间：</w:t>
      </w:r>
    </w:p>
    <w:p w14:paraId="3FF3C0D3">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s="楷体"/>
          <w:color w:val="auto"/>
          <w:sz w:val="24"/>
          <w:highlight w:val="none"/>
        </w:rPr>
      </w:pPr>
      <w:r>
        <w:rPr>
          <w:rFonts w:hint="eastAsia" w:ascii="宋体" w:hAnsi="宋体" w:cs="楷体"/>
          <w:color w:val="auto"/>
          <w:sz w:val="24"/>
          <w:highlight w:val="none"/>
        </w:rPr>
        <w:t>甲方（委托方）：无锡市精神卫生中心</w:t>
      </w:r>
    </w:p>
    <w:p w14:paraId="05394169">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s="楷体"/>
          <w:color w:val="auto"/>
          <w:sz w:val="24"/>
          <w:highlight w:val="none"/>
        </w:rPr>
      </w:pPr>
      <w:r>
        <w:rPr>
          <w:rFonts w:hint="eastAsia" w:ascii="宋体" w:hAnsi="宋体" w:cs="楷体"/>
          <w:color w:val="auto"/>
          <w:sz w:val="24"/>
          <w:highlight w:val="none"/>
        </w:rPr>
        <w:t>乙方（服务方）：</w:t>
      </w:r>
    </w:p>
    <w:p w14:paraId="008F1C0F">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s="楷体"/>
          <w:color w:val="auto"/>
          <w:sz w:val="24"/>
          <w:highlight w:val="none"/>
        </w:rPr>
      </w:pPr>
      <w:r>
        <w:rPr>
          <w:rFonts w:hint="eastAsia" w:ascii="宋体" w:hAnsi="宋体" w:cs="楷体"/>
          <w:color w:val="auto"/>
          <w:sz w:val="24"/>
          <w:highlight w:val="none"/>
        </w:rPr>
        <w:t>采购代理机构：北京建智达工程管理股份有限公司</w:t>
      </w:r>
    </w:p>
    <w:p w14:paraId="0D3426CC">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s="楷体"/>
          <w:color w:val="auto"/>
          <w:sz w:val="24"/>
          <w:highlight w:val="none"/>
        </w:rPr>
      </w:pPr>
      <w:r>
        <w:rPr>
          <w:rFonts w:hint="eastAsia" w:hAnsi="宋体"/>
          <w:color w:val="auto"/>
          <w:sz w:val="24"/>
          <w:highlight w:val="none"/>
        </w:rPr>
        <w:t>甲方经过招标采购，确定</w:t>
      </w:r>
      <w:r>
        <w:rPr>
          <w:rFonts w:hint="eastAsia" w:hAnsi="宋体"/>
          <w:color w:val="auto"/>
          <w:sz w:val="24"/>
          <w:highlight w:val="none"/>
          <w:u w:val="single"/>
        </w:rPr>
        <w:t xml:space="preserve">     </w:t>
      </w:r>
      <w:r>
        <w:rPr>
          <w:rFonts w:hAnsi="宋体"/>
          <w:color w:val="auto"/>
          <w:sz w:val="24"/>
          <w:highlight w:val="none"/>
          <w:u w:val="single"/>
        </w:rPr>
        <w:t xml:space="preserve">   </w:t>
      </w:r>
      <w:r>
        <w:rPr>
          <w:rFonts w:hint="eastAsia" w:hAnsi="宋体"/>
          <w:color w:val="auto"/>
          <w:sz w:val="24"/>
          <w:highlight w:val="none"/>
          <w:u w:val="single"/>
        </w:rPr>
        <w:t xml:space="preserve">    </w:t>
      </w:r>
      <w:r>
        <w:rPr>
          <w:rFonts w:hint="eastAsia" w:hAnsi="宋体"/>
          <w:color w:val="auto"/>
          <w:sz w:val="24"/>
          <w:highlight w:val="none"/>
        </w:rPr>
        <w:t>公司为本次</w:t>
      </w:r>
      <w:r>
        <w:rPr>
          <w:rFonts w:hint="eastAsia" w:hAnsi="宋体"/>
          <w:color w:val="auto"/>
          <w:sz w:val="24"/>
          <w:highlight w:val="none"/>
          <w:u w:val="single"/>
        </w:rPr>
        <w:t xml:space="preserve">             （采购项目）</w:t>
      </w:r>
      <w:r>
        <w:rPr>
          <w:rFonts w:hint="eastAsia" w:hAnsi="宋体"/>
          <w:color w:val="auto"/>
          <w:sz w:val="24"/>
          <w:highlight w:val="none"/>
        </w:rPr>
        <w:t>中标人，甲乙双方经协商，就</w:t>
      </w:r>
      <w:r>
        <w:rPr>
          <w:rFonts w:hint="eastAsia" w:ascii="宋体" w:hAnsi="宋体" w:cs="楷体"/>
          <w:color w:val="auto"/>
          <w:sz w:val="24"/>
          <w:highlight w:val="none"/>
        </w:rPr>
        <w:t>乙方向甲方提供本公司服务事宜达成以下条款：</w:t>
      </w:r>
    </w:p>
    <w:p w14:paraId="24C10E32">
      <w:pPr>
        <w:keepNext w:val="0"/>
        <w:keepLines w:val="0"/>
        <w:pageBreakBefore w:val="0"/>
        <w:widowControl w:val="0"/>
        <w:numPr>
          <w:ilvl w:val="0"/>
          <w:numId w:val="13"/>
        </w:numPr>
        <w:kinsoku/>
        <w:wordWrap/>
        <w:overflowPunct/>
        <w:topLinePunct w:val="0"/>
        <w:autoSpaceDE/>
        <w:autoSpaceDN/>
        <w:bidi w:val="0"/>
        <w:adjustRightInd/>
        <w:snapToGrid/>
        <w:spacing w:after="100" w:line="360" w:lineRule="auto"/>
        <w:ind w:firstLine="482"/>
        <w:textAlignment w:val="auto"/>
        <w:rPr>
          <w:rFonts w:ascii="宋体" w:hAnsi="宋体" w:cs="楷体"/>
          <w:b/>
          <w:bCs/>
          <w:color w:val="auto"/>
          <w:sz w:val="24"/>
          <w:highlight w:val="none"/>
        </w:rPr>
      </w:pPr>
      <w:r>
        <w:rPr>
          <w:rFonts w:hint="eastAsia" w:ascii="宋体" w:hAnsi="宋体" w:cs="楷体"/>
          <w:b/>
          <w:bCs/>
          <w:color w:val="auto"/>
          <w:sz w:val="24"/>
          <w:highlight w:val="none"/>
        </w:rPr>
        <w:t>合同价格：</w:t>
      </w:r>
    </w:p>
    <w:p w14:paraId="1D4A47FB">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hAnsi="宋体" w:cs="宋体"/>
          <w:color w:val="auto"/>
          <w:sz w:val="24"/>
          <w:highlight w:val="none"/>
        </w:rPr>
      </w:pPr>
      <w:r>
        <w:rPr>
          <w:rFonts w:hAnsi="宋体" w:cs="宋体"/>
          <w:color w:val="auto"/>
          <w:sz w:val="24"/>
          <w:highlight w:val="none"/>
        </w:rPr>
        <w:t>本合同金额为大写：</w:t>
      </w:r>
      <w:r>
        <w:rPr>
          <w:rFonts w:hAnsi="宋体" w:cs="宋体"/>
          <w:color w:val="auto"/>
          <w:sz w:val="24"/>
          <w:highlight w:val="none"/>
          <w:u w:val="single"/>
        </w:rPr>
        <w:t xml:space="preserve">           </w:t>
      </w:r>
      <w:r>
        <w:rPr>
          <w:rFonts w:hAnsi="宋体" w:cs="宋体"/>
          <w:color w:val="auto"/>
          <w:sz w:val="24"/>
          <w:highlight w:val="none"/>
        </w:rPr>
        <w:t>（￥</w:t>
      </w:r>
      <w:r>
        <w:rPr>
          <w:rFonts w:hAnsi="宋体" w:cs="宋体"/>
          <w:color w:val="auto"/>
          <w:sz w:val="24"/>
          <w:highlight w:val="none"/>
          <w:u w:val="single"/>
        </w:rPr>
        <w:t xml:space="preserve">    </w:t>
      </w:r>
      <w:r>
        <w:rPr>
          <w:rFonts w:hint="eastAsia" w:hAnsi="宋体" w:cs="宋体"/>
          <w:color w:val="auto"/>
          <w:sz w:val="24"/>
          <w:highlight w:val="none"/>
          <w:u w:val="single"/>
        </w:rPr>
        <w:t xml:space="preserve">   </w:t>
      </w:r>
      <w:r>
        <w:rPr>
          <w:rFonts w:hAnsi="宋体" w:cs="宋体"/>
          <w:color w:val="auto"/>
          <w:sz w:val="24"/>
          <w:highlight w:val="none"/>
          <w:u w:val="single"/>
        </w:rPr>
        <w:t xml:space="preserve">   </w:t>
      </w:r>
      <w:r>
        <w:rPr>
          <w:rFonts w:hAnsi="宋体" w:cs="宋体"/>
          <w:color w:val="auto"/>
          <w:sz w:val="24"/>
          <w:highlight w:val="none"/>
        </w:rPr>
        <w:t>元）人民币</w:t>
      </w:r>
      <w:r>
        <w:rPr>
          <w:rFonts w:hint="eastAsia" w:hAnsi="宋体" w:cs="宋体"/>
          <w:color w:val="auto"/>
          <w:sz w:val="24"/>
          <w:highlight w:val="none"/>
        </w:rPr>
        <w:t>；</w:t>
      </w:r>
    </w:p>
    <w:p w14:paraId="45B81FAB">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s="楷体"/>
          <w:color w:val="auto"/>
          <w:sz w:val="24"/>
          <w:highlight w:val="none"/>
        </w:rPr>
      </w:pPr>
      <w:r>
        <w:rPr>
          <w:rFonts w:hint="eastAsia" w:ascii="宋体" w:hAnsi="宋体" w:cs="楷体"/>
          <w:color w:val="auto"/>
          <w:sz w:val="24"/>
          <w:highlight w:val="none"/>
        </w:rPr>
        <w:t>本合同总金额包含乙方完成合同项下义务的全部费用，非经甲方书面确认，合同总金额不再予以调整。</w:t>
      </w:r>
    </w:p>
    <w:p w14:paraId="43A3BD26">
      <w:pPr>
        <w:keepNext w:val="0"/>
        <w:keepLines w:val="0"/>
        <w:pageBreakBefore w:val="0"/>
        <w:widowControl w:val="0"/>
        <w:kinsoku/>
        <w:wordWrap/>
        <w:overflowPunct/>
        <w:topLinePunct w:val="0"/>
        <w:autoSpaceDE/>
        <w:autoSpaceDN/>
        <w:bidi w:val="0"/>
        <w:adjustRightInd/>
        <w:snapToGrid/>
        <w:spacing w:after="100" w:line="360" w:lineRule="auto"/>
        <w:ind w:firstLine="482"/>
        <w:textAlignment w:val="auto"/>
        <w:rPr>
          <w:rFonts w:ascii="宋体" w:hAnsi="宋体" w:cs="楷体"/>
          <w:b/>
          <w:bCs/>
          <w:color w:val="auto"/>
          <w:sz w:val="24"/>
          <w:highlight w:val="none"/>
        </w:rPr>
      </w:pPr>
      <w:r>
        <w:rPr>
          <w:rFonts w:hint="eastAsia" w:ascii="宋体" w:hAnsi="宋体" w:cs="楷体"/>
          <w:b/>
          <w:bCs/>
          <w:color w:val="auto"/>
          <w:sz w:val="24"/>
          <w:highlight w:val="none"/>
        </w:rPr>
        <w:t>二、服务内容：</w:t>
      </w:r>
    </w:p>
    <w:p w14:paraId="7B9C2AAD">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s="楷体"/>
          <w:color w:val="auto"/>
          <w:sz w:val="24"/>
          <w:highlight w:val="none"/>
        </w:rPr>
      </w:pPr>
      <w:r>
        <w:rPr>
          <w:rFonts w:hint="eastAsia" w:ascii="宋体" w:hAnsi="宋体" w:cs="楷体"/>
          <w:color w:val="auto"/>
          <w:sz w:val="24"/>
          <w:highlight w:val="none"/>
        </w:rPr>
        <w:t>无锡市精神卫生中心信息基础设施运维服务项目包含：设备维护、技术支持、驻场等服务内容，保证数据中心正常、安全、稳定运行。</w:t>
      </w:r>
    </w:p>
    <w:p w14:paraId="311E20D1">
      <w:pPr>
        <w:keepNext w:val="0"/>
        <w:keepLines w:val="0"/>
        <w:pageBreakBefore w:val="0"/>
        <w:widowControl w:val="0"/>
        <w:kinsoku/>
        <w:wordWrap/>
        <w:overflowPunct/>
        <w:topLinePunct w:val="0"/>
        <w:autoSpaceDE/>
        <w:autoSpaceDN/>
        <w:bidi w:val="0"/>
        <w:adjustRightInd/>
        <w:snapToGrid/>
        <w:spacing w:after="100" w:line="360" w:lineRule="auto"/>
        <w:ind w:firstLine="482"/>
        <w:textAlignment w:val="auto"/>
        <w:rPr>
          <w:rFonts w:ascii="宋体" w:hAnsi="宋体"/>
          <w:color w:val="auto"/>
          <w:sz w:val="24"/>
          <w:highlight w:val="none"/>
        </w:rPr>
      </w:pPr>
      <w:r>
        <w:rPr>
          <w:rFonts w:hint="eastAsia" w:ascii="宋体" w:hAnsi="宋体"/>
          <w:b/>
          <w:bCs/>
          <w:color w:val="auto"/>
          <w:sz w:val="24"/>
          <w:highlight w:val="none"/>
        </w:rPr>
        <w:t>三、合同履行期限：</w:t>
      </w:r>
      <w:r>
        <w:rPr>
          <w:rFonts w:hint="eastAsia" w:ascii="宋体" w:hAnsi="宋体" w:cs="宋体"/>
          <w:b/>
          <w:bCs/>
          <w:color w:val="auto"/>
          <w:sz w:val="24"/>
          <w:highlight w:val="none"/>
        </w:rPr>
        <w:t>一年。</w:t>
      </w:r>
    </w:p>
    <w:p w14:paraId="6BDDB00A">
      <w:pPr>
        <w:keepNext w:val="0"/>
        <w:keepLines w:val="0"/>
        <w:pageBreakBefore w:val="0"/>
        <w:widowControl w:val="0"/>
        <w:kinsoku/>
        <w:wordWrap/>
        <w:overflowPunct/>
        <w:topLinePunct w:val="0"/>
        <w:autoSpaceDE/>
        <w:autoSpaceDN/>
        <w:bidi w:val="0"/>
        <w:adjustRightInd/>
        <w:snapToGrid/>
        <w:spacing w:after="100" w:line="360" w:lineRule="auto"/>
        <w:ind w:firstLine="482"/>
        <w:textAlignment w:val="auto"/>
        <w:rPr>
          <w:rFonts w:ascii="宋体" w:hAnsi="宋体"/>
          <w:b/>
          <w:color w:val="auto"/>
          <w:sz w:val="24"/>
          <w:highlight w:val="none"/>
        </w:rPr>
      </w:pPr>
      <w:r>
        <w:rPr>
          <w:rFonts w:hint="eastAsia" w:ascii="宋体" w:hAnsi="宋体"/>
          <w:b/>
          <w:color w:val="auto"/>
          <w:sz w:val="24"/>
          <w:highlight w:val="none"/>
        </w:rPr>
        <w:t>四、付款方式</w:t>
      </w:r>
      <w:r>
        <w:rPr>
          <w:rFonts w:hint="eastAsia" w:ascii="宋体" w:hAnsi="宋体"/>
          <w:b/>
          <w:color w:val="auto"/>
          <w:sz w:val="24"/>
          <w:highlight w:val="none"/>
        </w:rPr>
        <w:t>：</w:t>
      </w:r>
      <w:r>
        <w:rPr>
          <w:rFonts w:hint="eastAsia" w:ascii="宋体" w:hAnsi="宋体" w:cs="宋体"/>
          <w:b/>
          <w:color w:val="auto"/>
          <w:sz w:val="24"/>
          <w:highlight w:val="none"/>
          <w:lang w:val="zh-CN"/>
        </w:rPr>
        <w:t>合同签订</w:t>
      </w:r>
      <w:r>
        <w:rPr>
          <w:rFonts w:hint="eastAsia" w:ascii="宋体" w:hAnsi="宋体" w:cs="宋体"/>
          <w:b/>
          <w:color w:val="auto"/>
          <w:sz w:val="24"/>
          <w:highlight w:val="none"/>
        </w:rPr>
        <w:t>生效</w:t>
      </w:r>
      <w:r>
        <w:rPr>
          <w:rFonts w:hint="eastAsia" w:ascii="宋体" w:hAnsi="宋体" w:cs="宋体"/>
          <w:b/>
          <w:color w:val="auto"/>
          <w:sz w:val="24"/>
          <w:highlight w:val="none"/>
          <w:lang w:val="zh-CN"/>
        </w:rPr>
        <w:t>后30日内，预付合同金额的30%，</w:t>
      </w:r>
      <w:r>
        <w:rPr>
          <w:rFonts w:hint="eastAsia" w:ascii="宋体" w:hAnsi="宋体" w:cs="宋体"/>
          <w:b/>
          <w:color w:val="auto"/>
          <w:sz w:val="24"/>
          <w:highlight w:val="none"/>
        </w:rPr>
        <w:t>项目</w:t>
      </w:r>
      <w:r>
        <w:rPr>
          <w:rFonts w:hint="eastAsia" w:ascii="宋体" w:hAnsi="宋体" w:cs="宋体"/>
          <w:b/>
          <w:color w:val="auto"/>
          <w:sz w:val="24"/>
          <w:highlight w:val="none"/>
          <w:lang w:val="zh-CN"/>
        </w:rPr>
        <w:t>验收合格后60日内支付合同金额的 70%。</w:t>
      </w:r>
    </w:p>
    <w:p w14:paraId="32B75FBA">
      <w:pPr>
        <w:keepNext w:val="0"/>
        <w:keepLines w:val="0"/>
        <w:pageBreakBefore w:val="0"/>
        <w:widowControl w:val="0"/>
        <w:kinsoku/>
        <w:wordWrap/>
        <w:overflowPunct/>
        <w:topLinePunct w:val="0"/>
        <w:autoSpaceDE/>
        <w:autoSpaceDN/>
        <w:bidi w:val="0"/>
        <w:adjustRightInd/>
        <w:snapToGrid/>
        <w:spacing w:after="100" w:line="360" w:lineRule="auto"/>
        <w:ind w:firstLine="482"/>
        <w:textAlignment w:val="auto"/>
        <w:rPr>
          <w:rFonts w:ascii="宋体" w:hAnsi="宋体"/>
          <w:b/>
          <w:bCs/>
          <w:color w:val="auto"/>
          <w:sz w:val="24"/>
          <w:highlight w:val="none"/>
        </w:rPr>
      </w:pPr>
      <w:r>
        <w:rPr>
          <w:rFonts w:hint="eastAsia" w:ascii="宋体" w:hAnsi="宋体"/>
          <w:b/>
          <w:bCs/>
          <w:color w:val="auto"/>
          <w:sz w:val="24"/>
          <w:highlight w:val="none"/>
        </w:rPr>
        <w:t>五、双方权利义务</w:t>
      </w:r>
    </w:p>
    <w:p w14:paraId="3FE03238">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olor w:val="auto"/>
          <w:sz w:val="24"/>
          <w:highlight w:val="none"/>
        </w:rPr>
      </w:pPr>
      <w:r>
        <w:rPr>
          <w:rFonts w:hint="eastAsia" w:ascii="宋体" w:hAnsi="宋体"/>
          <w:color w:val="auto"/>
          <w:sz w:val="24"/>
          <w:highlight w:val="none"/>
        </w:rPr>
        <w:t>1.甲方协助乙方做好项目的相关工作。</w:t>
      </w:r>
    </w:p>
    <w:p w14:paraId="16F36B68">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olor w:val="auto"/>
          <w:sz w:val="24"/>
          <w:highlight w:val="none"/>
        </w:rPr>
      </w:pPr>
      <w:r>
        <w:rPr>
          <w:rFonts w:hint="eastAsia" w:ascii="宋体" w:hAnsi="宋体"/>
          <w:color w:val="auto"/>
          <w:sz w:val="24"/>
          <w:highlight w:val="none"/>
        </w:rPr>
        <w:t>2.乙方接受委托后根据相关法律法规规定和甲方项目具体要求，完成本项目。</w:t>
      </w:r>
    </w:p>
    <w:p w14:paraId="136C3F30">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olor w:val="auto"/>
          <w:sz w:val="24"/>
          <w:highlight w:val="none"/>
        </w:rPr>
      </w:pPr>
      <w:r>
        <w:rPr>
          <w:rFonts w:hint="eastAsia" w:ascii="宋体" w:hAnsi="宋体"/>
          <w:color w:val="auto"/>
          <w:sz w:val="24"/>
          <w:highlight w:val="none"/>
        </w:rPr>
        <w:t>3.乙方承担项目实施过程中发生的一切费用。</w:t>
      </w:r>
    </w:p>
    <w:p w14:paraId="3AC0D613">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olor w:val="auto"/>
          <w:sz w:val="24"/>
          <w:highlight w:val="none"/>
        </w:rPr>
      </w:pPr>
      <w:r>
        <w:rPr>
          <w:rFonts w:hint="eastAsia" w:ascii="宋体" w:hAnsi="宋体"/>
          <w:color w:val="auto"/>
          <w:sz w:val="24"/>
          <w:highlight w:val="none"/>
        </w:rPr>
        <w:t>4.甲乙双方应诚信合作，尽职履约，相互负有及时告知、协助、保密等义务。</w:t>
      </w:r>
    </w:p>
    <w:p w14:paraId="12E1753D">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olor w:val="auto"/>
          <w:sz w:val="24"/>
          <w:highlight w:val="none"/>
        </w:rPr>
      </w:pPr>
      <w:r>
        <w:rPr>
          <w:rFonts w:hint="eastAsia" w:ascii="宋体" w:hAnsi="宋体"/>
          <w:color w:val="auto"/>
          <w:sz w:val="24"/>
          <w:highlight w:val="none"/>
        </w:rPr>
        <w:t>5.本合同一经生效，合同任何一方不得随意变更或撤销合同内容，否则视为违约。违约方应赔偿因违约行为给对方造成的</w:t>
      </w:r>
      <w:r>
        <w:rPr>
          <w:rFonts w:hint="eastAsia" w:ascii="宋体" w:hAnsi="宋体"/>
          <w:color w:val="auto"/>
          <w:sz w:val="24"/>
          <w:highlight w:val="none"/>
          <w:lang w:eastAsia="zh-Hans"/>
        </w:rPr>
        <w:t>所有</w:t>
      </w:r>
      <w:r>
        <w:rPr>
          <w:rFonts w:hint="eastAsia" w:ascii="宋体" w:hAnsi="宋体"/>
          <w:color w:val="auto"/>
          <w:sz w:val="24"/>
          <w:highlight w:val="none"/>
        </w:rPr>
        <w:t>经济损失。</w:t>
      </w:r>
    </w:p>
    <w:p w14:paraId="6E5B72EF">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olor w:val="auto"/>
          <w:sz w:val="24"/>
          <w:highlight w:val="none"/>
        </w:rPr>
      </w:pPr>
      <w:r>
        <w:rPr>
          <w:rFonts w:hint="eastAsia" w:ascii="宋体" w:hAnsi="宋体"/>
          <w:color w:val="auto"/>
          <w:sz w:val="24"/>
          <w:highlight w:val="none"/>
        </w:rPr>
        <w:t>6.在本合同执行过程中乙方为甲方交付的项目成果的所有权归甲方所有，包括但不限于知识产权等，甲方利用乙方提交的工作成果所完成的新的成果，归甲方所有。</w:t>
      </w:r>
    </w:p>
    <w:p w14:paraId="4555297E">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olor w:val="auto"/>
          <w:sz w:val="24"/>
          <w:highlight w:val="none"/>
        </w:rPr>
      </w:pPr>
      <w:r>
        <w:rPr>
          <w:rFonts w:hint="eastAsia" w:ascii="宋体" w:hAnsi="宋体"/>
          <w:color w:val="auto"/>
          <w:sz w:val="24"/>
          <w:highlight w:val="none"/>
        </w:rPr>
        <w:t>7.本项目乙方代表乙方向甲方提交和接收相关的资料、信息及指示，并处理与之有关的一切事务，负责合同实施阶段的主办、组织和协调工作。</w:t>
      </w:r>
    </w:p>
    <w:p w14:paraId="6F25AB8D">
      <w:pPr>
        <w:keepNext w:val="0"/>
        <w:keepLines w:val="0"/>
        <w:pageBreakBefore w:val="0"/>
        <w:widowControl w:val="0"/>
        <w:kinsoku/>
        <w:wordWrap/>
        <w:overflowPunct/>
        <w:topLinePunct w:val="0"/>
        <w:autoSpaceDE/>
        <w:autoSpaceDN/>
        <w:bidi w:val="0"/>
        <w:adjustRightInd/>
        <w:snapToGrid/>
        <w:spacing w:after="100" w:line="360" w:lineRule="auto"/>
        <w:ind w:firstLine="482"/>
        <w:textAlignment w:val="auto"/>
        <w:rPr>
          <w:rFonts w:ascii="宋体" w:hAnsi="宋体"/>
          <w:b/>
          <w:bCs/>
          <w:color w:val="auto"/>
          <w:sz w:val="24"/>
          <w:highlight w:val="none"/>
        </w:rPr>
      </w:pPr>
      <w:r>
        <w:rPr>
          <w:rFonts w:hint="eastAsia" w:ascii="宋体" w:hAnsi="宋体"/>
          <w:b/>
          <w:bCs/>
          <w:color w:val="auto"/>
          <w:sz w:val="24"/>
          <w:highlight w:val="none"/>
        </w:rPr>
        <w:t>六、项目组人员</w:t>
      </w:r>
    </w:p>
    <w:p w14:paraId="133325D4">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olor w:val="auto"/>
          <w:sz w:val="24"/>
          <w:highlight w:val="none"/>
        </w:rPr>
      </w:pPr>
      <w:r>
        <w:rPr>
          <w:rFonts w:hint="eastAsia" w:ascii="宋体" w:hAnsi="宋体"/>
          <w:color w:val="auto"/>
          <w:sz w:val="24"/>
          <w:highlight w:val="none"/>
        </w:rPr>
        <w:t>乙方必须指定1名项目负责人全权负责本项目的服务工作，同时明确项目组其他人员的岗位职责、任职资格及管理权限，以确保项目顺利实施，项目组所有人员姓名、岗位、职称、联系方式详见合同附件《项目组人员名单》。在项目组实施过程中，未经甲方同意，乙方不得撤换投标时乙方列明的项目组人员。如果甲方认为委派的项目负责人及其他项目组人员的工作能力、业务水平不称职，乙方在接到通知后，应在3日内撤回上述人员，同时应委派经甲方同意的、新的项目负责人或项目人员，否则视为违约，甲方有权按照合同总价5%要求乙方支付违约金。</w:t>
      </w:r>
    </w:p>
    <w:p w14:paraId="2C3EF52F">
      <w:pPr>
        <w:keepNext w:val="0"/>
        <w:keepLines w:val="0"/>
        <w:pageBreakBefore w:val="0"/>
        <w:widowControl w:val="0"/>
        <w:kinsoku/>
        <w:wordWrap/>
        <w:overflowPunct/>
        <w:topLinePunct w:val="0"/>
        <w:autoSpaceDE/>
        <w:autoSpaceDN/>
        <w:bidi w:val="0"/>
        <w:adjustRightInd/>
        <w:snapToGrid/>
        <w:spacing w:after="100" w:line="360" w:lineRule="auto"/>
        <w:ind w:firstLine="480"/>
        <w:textAlignment w:val="auto"/>
        <w:rPr>
          <w:rFonts w:ascii="宋体" w:hAnsi="宋体"/>
          <w:color w:val="auto"/>
          <w:sz w:val="24"/>
          <w:highlight w:val="none"/>
        </w:rPr>
      </w:pPr>
      <w:r>
        <w:rPr>
          <w:rFonts w:hint="eastAsia" w:ascii="宋体" w:hAnsi="宋体"/>
          <w:color w:val="auto"/>
          <w:sz w:val="24"/>
          <w:highlight w:val="none"/>
        </w:rPr>
        <w:t>乙方擅自更换项目负责人</w:t>
      </w:r>
      <w:r>
        <w:rPr>
          <w:rFonts w:ascii="宋体" w:hAnsi="宋体"/>
          <w:color w:val="auto"/>
          <w:sz w:val="24"/>
          <w:highlight w:val="none"/>
        </w:rPr>
        <w:t>，</w:t>
      </w:r>
      <w:r>
        <w:rPr>
          <w:rFonts w:hint="eastAsia" w:ascii="宋体" w:hAnsi="宋体"/>
          <w:color w:val="auto"/>
          <w:sz w:val="24"/>
          <w:highlight w:val="none"/>
          <w:lang w:eastAsia="zh-Hans"/>
        </w:rPr>
        <w:t>每发生一次</w:t>
      </w:r>
      <w:r>
        <w:rPr>
          <w:rFonts w:ascii="宋体" w:hAnsi="宋体"/>
          <w:color w:val="auto"/>
          <w:sz w:val="24"/>
          <w:highlight w:val="none"/>
          <w:lang w:eastAsia="zh-Hans"/>
        </w:rPr>
        <w:t>，</w:t>
      </w:r>
      <w:r>
        <w:rPr>
          <w:rFonts w:hint="eastAsia" w:ascii="宋体" w:hAnsi="宋体"/>
          <w:color w:val="auto"/>
          <w:sz w:val="24"/>
          <w:highlight w:val="none"/>
        </w:rPr>
        <w:t>应向甲方支付5万元的违约金，同时，甲方有权终止服务合同并有权要求其承担因此给甲方造成的损失。乙方擅自更换项目组其他人员，每更换一次向甲方支付2万元</w:t>
      </w:r>
      <w:r>
        <w:rPr>
          <w:rFonts w:ascii="宋体" w:hAnsi="宋体"/>
          <w:color w:val="auto"/>
          <w:sz w:val="24"/>
          <w:highlight w:val="none"/>
        </w:rPr>
        <w:t>/</w:t>
      </w:r>
      <w:r>
        <w:rPr>
          <w:rFonts w:hint="eastAsia" w:ascii="宋体" w:hAnsi="宋体"/>
          <w:color w:val="auto"/>
          <w:sz w:val="24"/>
          <w:highlight w:val="none"/>
        </w:rPr>
        <w:t>人的违约金。</w:t>
      </w:r>
    </w:p>
    <w:p w14:paraId="0650C446">
      <w:pPr>
        <w:keepNext w:val="0"/>
        <w:keepLines w:val="0"/>
        <w:pageBreakBefore w:val="0"/>
        <w:widowControl w:val="0"/>
        <w:tabs>
          <w:tab w:val="left" w:pos="0"/>
          <w:tab w:val="left" w:pos="210"/>
          <w:tab w:val="left" w:pos="840"/>
          <w:tab w:val="left" w:pos="1260"/>
        </w:tabs>
        <w:kinsoku/>
        <w:wordWrap/>
        <w:overflowPunct/>
        <w:topLinePunct w:val="0"/>
        <w:autoSpaceDE/>
        <w:autoSpaceDN/>
        <w:bidi w:val="0"/>
        <w:adjustRightInd/>
        <w:snapToGrid/>
        <w:spacing w:after="100" w:line="360" w:lineRule="auto"/>
        <w:ind w:firstLine="482"/>
        <w:textAlignment w:val="auto"/>
        <w:rPr>
          <w:rFonts w:ascii="宋体" w:hAnsi="宋体"/>
          <w:b/>
          <w:bCs/>
          <w:color w:val="auto"/>
          <w:sz w:val="24"/>
          <w:highlight w:val="none"/>
        </w:rPr>
      </w:pPr>
      <w:r>
        <w:rPr>
          <w:rFonts w:hint="eastAsia" w:ascii="宋体" w:hAnsi="宋体"/>
          <w:b/>
          <w:bCs/>
          <w:color w:val="auto"/>
          <w:sz w:val="24"/>
          <w:highlight w:val="none"/>
        </w:rPr>
        <w:t>七、合同验收</w:t>
      </w:r>
    </w:p>
    <w:p w14:paraId="63866DBF">
      <w:pPr>
        <w:keepNext w:val="0"/>
        <w:keepLines w:val="0"/>
        <w:pageBreakBefore w:val="0"/>
        <w:widowControl w:val="0"/>
        <w:numPr>
          <w:ilvl w:val="255"/>
          <w:numId w:val="0"/>
        </w:numPr>
        <w:tabs>
          <w:tab w:val="left" w:pos="210"/>
          <w:tab w:val="left" w:pos="840"/>
          <w:tab w:val="left" w:pos="1260"/>
        </w:tabs>
        <w:kinsoku/>
        <w:wordWrap/>
        <w:overflowPunct/>
        <w:topLinePunct w:val="0"/>
        <w:autoSpaceDE/>
        <w:autoSpaceDN/>
        <w:bidi w:val="0"/>
        <w:adjustRightInd/>
        <w:snapToGrid/>
        <w:spacing w:after="100" w:line="360"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（1）验收组织方式：</w:t>
      </w:r>
      <w:r>
        <w:rPr>
          <w:rFonts w:hint="eastAsia" w:ascii="宋体" w:hAnsi="宋体" w:cs="宋体"/>
          <w:color w:val="auto"/>
          <w:sz w:val="24"/>
          <w:highlight w:val="none"/>
        </w:rPr>
        <w:sym w:font="Wingdings" w:char="00A8"/>
      </w:r>
      <w:r>
        <w:rPr>
          <w:rFonts w:hint="eastAsia" w:ascii="宋体" w:hAnsi="宋体" w:cs="宋体"/>
          <w:bCs/>
          <w:color w:val="auto"/>
          <w:sz w:val="24"/>
          <w:highlight w:val="none"/>
        </w:rPr>
        <w:t>自行组织</w:t>
      </w:r>
      <w:r>
        <w:rPr>
          <w:rFonts w:hint="eastAsia" w:ascii="宋体" w:hAnsi="宋体" w:cs="宋体"/>
          <w:color w:val="auto"/>
          <w:sz w:val="24"/>
          <w:highlight w:val="none"/>
        </w:rPr>
        <w:sym w:font="Wingdings" w:char="00A8"/>
      </w:r>
      <w:r>
        <w:rPr>
          <w:rFonts w:hint="eastAsia" w:ascii="宋体" w:hAnsi="宋体" w:cs="宋体"/>
          <w:bCs/>
          <w:color w:val="auto"/>
          <w:sz w:val="24"/>
          <w:highlight w:val="none"/>
        </w:rPr>
        <w:t>委托第三方组织</w:t>
      </w:r>
    </w:p>
    <w:p w14:paraId="372D1AB2">
      <w:pPr>
        <w:keepNext w:val="0"/>
        <w:keepLines w:val="0"/>
        <w:pageBreakBefore w:val="0"/>
        <w:widowControl w:val="0"/>
        <w:numPr>
          <w:ilvl w:val="255"/>
          <w:numId w:val="0"/>
        </w:numPr>
        <w:tabs>
          <w:tab w:val="left" w:pos="210"/>
          <w:tab w:val="left" w:pos="840"/>
          <w:tab w:val="left" w:pos="1260"/>
        </w:tabs>
        <w:kinsoku/>
        <w:wordWrap/>
        <w:overflowPunct/>
        <w:topLinePunct w:val="0"/>
        <w:autoSpaceDE/>
        <w:autoSpaceDN/>
        <w:bidi w:val="0"/>
        <w:adjustRightInd/>
        <w:snapToGrid/>
        <w:spacing w:after="100" w:line="360"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验收主体：</w:t>
      </w:r>
    </w:p>
    <w:p w14:paraId="5865DE21">
      <w:pPr>
        <w:keepNext w:val="0"/>
        <w:keepLines w:val="0"/>
        <w:pageBreakBefore w:val="0"/>
        <w:widowControl w:val="0"/>
        <w:numPr>
          <w:ilvl w:val="255"/>
          <w:numId w:val="0"/>
        </w:numPr>
        <w:tabs>
          <w:tab w:val="left" w:pos="210"/>
          <w:tab w:val="left" w:pos="840"/>
          <w:tab w:val="left" w:pos="1260"/>
        </w:tabs>
        <w:kinsoku/>
        <w:wordWrap/>
        <w:overflowPunct/>
        <w:topLinePunct w:val="0"/>
        <w:autoSpaceDE/>
        <w:autoSpaceDN/>
        <w:bidi w:val="0"/>
        <w:adjustRightInd/>
        <w:snapToGrid/>
        <w:spacing w:after="100" w:line="360"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是否邀请本项目的其他供应商参加验收：</w:t>
      </w:r>
      <w:r>
        <w:rPr>
          <w:rFonts w:hint="eastAsia" w:ascii="宋体" w:hAnsi="宋体" w:cs="宋体"/>
          <w:color w:val="auto"/>
          <w:sz w:val="24"/>
          <w:highlight w:val="none"/>
        </w:rPr>
        <w:sym w:font="Wingdings" w:char="00A8"/>
      </w:r>
      <w:r>
        <w:rPr>
          <w:rFonts w:hint="eastAsia" w:ascii="宋体" w:hAnsi="宋体" w:cs="宋体"/>
          <w:bCs/>
          <w:color w:val="auto"/>
          <w:sz w:val="24"/>
          <w:highlight w:val="none"/>
        </w:rPr>
        <w:t>是</w:t>
      </w:r>
      <w:r>
        <w:rPr>
          <w:rFonts w:hint="eastAsia" w:ascii="宋体" w:hAnsi="宋体" w:cs="宋体"/>
          <w:color w:val="auto"/>
          <w:sz w:val="24"/>
          <w:highlight w:val="none"/>
        </w:rPr>
        <w:sym w:font="Wingdings" w:char="00A8"/>
      </w:r>
      <w:r>
        <w:rPr>
          <w:rFonts w:hint="eastAsia" w:ascii="宋体" w:hAnsi="宋体" w:cs="宋体"/>
          <w:bCs/>
          <w:color w:val="auto"/>
          <w:sz w:val="24"/>
          <w:highlight w:val="none"/>
        </w:rPr>
        <w:t>否</w:t>
      </w:r>
    </w:p>
    <w:p w14:paraId="57076C0F">
      <w:pPr>
        <w:keepNext w:val="0"/>
        <w:keepLines w:val="0"/>
        <w:pageBreakBefore w:val="0"/>
        <w:widowControl w:val="0"/>
        <w:numPr>
          <w:ilvl w:val="255"/>
          <w:numId w:val="0"/>
        </w:numPr>
        <w:tabs>
          <w:tab w:val="left" w:pos="210"/>
          <w:tab w:val="left" w:pos="840"/>
          <w:tab w:val="left" w:pos="1260"/>
        </w:tabs>
        <w:kinsoku/>
        <w:wordWrap/>
        <w:overflowPunct/>
        <w:topLinePunct w:val="0"/>
        <w:autoSpaceDE/>
        <w:autoSpaceDN/>
        <w:bidi w:val="0"/>
        <w:adjustRightInd/>
        <w:snapToGrid/>
        <w:spacing w:after="100" w:line="360"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是否邀请专家参加验收：</w:t>
      </w:r>
      <w:r>
        <w:rPr>
          <w:rFonts w:hint="eastAsia" w:ascii="宋体" w:hAnsi="宋体" w:cs="宋体"/>
          <w:color w:val="auto"/>
          <w:sz w:val="24"/>
          <w:highlight w:val="none"/>
        </w:rPr>
        <w:sym w:font="Wingdings" w:char="00A8"/>
      </w:r>
      <w:r>
        <w:rPr>
          <w:rFonts w:hint="eastAsia" w:ascii="宋体" w:hAnsi="宋体" w:cs="宋体"/>
          <w:bCs/>
          <w:color w:val="auto"/>
          <w:sz w:val="24"/>
          <w:highlight w:val="none"/>
        </w:rPr>
        <w:t>是</w:t>
      </w:r>
      <w:r>
        <w:rPr>
          <w:rFonts w:hint="eastAsia" w:ascii="宋体" w:hAnsi="宋体" w:cs="宋体"/>
          <w:color w:val="auto"/>
          <w:sz w:val="24"/>
          <w:highlight w:val="none"/>
        </w:rPr>
        <w:sym w:font="Wingdings" w:char="00A8"/>
      </w:r>
      <w:r>
        <w:rPr>
          <w:rFonts w:hint="eastAsia" w:ascii="宋体" w:hAnsi="宋体" w:cs="宋体"/>
          <w:bCs/>
          <w:color w:val="auto"/>
          <w:sz w:val="24"/>
          <w:highlight w:val="none"/>
        </w:rPr>
        <w:t>否</w:t>
      </w:r>
    </w:p>
    <w:p w14:paraId="52C94DA5">
      <w:pPr>
        <w:keepNext w:val="0"/>
        <w:keepLines w:val="0"/>
        <w:pageBreakBefore w:val="0"/>
        <w:widowControl w:val="0"/>
        <w:numPr>
          <w:ilvl w:val="255"/>
          <w:numId w:val="0"/>
        </w:numPr>
        <w:tabs>
          <w:tab w:val="left" w:pos="210"/>
          <w:tab w:val="left" w:pos="840"/>
          <w:tab w:val="left" w:pos="1260"/>
        </w:tabs>
        <w:kinsoku/>
        <w:wordWrap/>
        <w:overflowPunct/>
        <w:topLinePunct w:val="0"/>
        <w:autoSpaceDE/>
        <w:autoSpaceDN/>
        <w:bidi w:val="0"/>
        <w:adjustRightInd/>
        <w:snapToGrid/>
        <w:spacing w:after="100" w:line="360"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是否邀请服务对象参加验收：</w:t>
      </w:r>
      <w:r>
        <w:rPr>
          <w:rFonts w:hint="eastAsia" w:ascii="宋体" w:hAnsi="宋体" w:cs="宋体"/>
          <w:color w:val="auto"/>
          <w:sz w:val="24"/>
          <w:highlight w:val="none"/>
        </w:rPr>
        <w:sym w:font="Wingdings" w:char="00A8"/>
      </w:r>
      <w:r>
        <w:rPr>
          <w:rFonts w:hint="eastAsia" w:ascii="宋体" w:hAnsi="宋体" w:cs="宋体"/>
          <w:bCs/>
          <w:color w:val="auto"/>
          <w:sz w:val="24"/>
          <w:highlight w:val="none"/>
        </w:rPr>
        <w:t>是</w:t>
      </w:r>
      <w:r>
        <w:rPr>
          <w:rFonts w:hint="eastAsia" w:ascii="宋体" w:hAnsi="宋体" w:cs="宋体"/>
          <w:color w:val="auto"/>
          <w:sz w:val="24"/>
          <w:highlight w:val="none"/>
        </w:rPr>
        <w:sym w:font="Wingdings" w:char="00A8"/>
      </w:r>
      <w:r>
        <w:rPr>
          <w:rFonts w:hint="eastAsia" w:ascii="宋体" w:hAnsi="宋体" w:cs="宋体"/>
          <w:bCs/>
          <w:color w:val="auto"/>
          <w:sz w:val="24"/>
          <w:highlight w:val="none"/>
        </w:rPr>
        <w:t>否</w:t>
      </w:r>
    </w:p>
    <w:p w14:paraId="0FB496C0">
      <w:pPr>
        <w:keepNext w:val="0"/>
        <w:keepLines w:val="0"/>
        <w:pageBreakBefore w:val="0"/>
        <w:widowControl w:val="0"/>
        <w:numPr>
          <w:ilvl w:val="255"/>
          <w:numId w:val="0"/>
        </w:numPr>
        <w:tabs>
          <w:tab w:val="left" w:pos="210"/>
          <w:tab w:val="left" w:pos="840"/>
          <w:tab w:val="left" w:pos="1260"/>
        </w:tabs>
        <w:kinsoku/>
        <w:wordWrap/>
        <w:overflowPunct/>
        <w:topLinePunct w:val="0"/>
        <w:autoSpaceDE/>
        <w:autoSpaceDN/>
        <w:bidi w:val="0"/>
        <w:adjustRightInd/>
        <w:snapToGrid/>
        <w:spacing w:after="100" w:line="360"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是否邀请第三方检测机构参加验收：</w:t>
      </w:r>
      <w:r>
        <w:rPr>
          <w:rFonts w:hint="eastAsia" w:ascii="宋体" w:hAnsi="宋体" w:cs="宋体"/>
          <w:color w:val="auto"/>
          <w:sz w:val="24"/>
          <w:highlight w:val="none"/>
        </w:rPr>
        <w:sym w:font="Wingdings" w:char="00A8"/>
      </w:r>
      <w:r>
        <w:rPr>
          <w:rFonts w:hint="eastAsia" w:ascii="宋体" w:hAnsi="宋体" w:cs="宋体"/>
          <w:bCs/>
          <w:color w:val="auto"/>
          <w:sz w:val="24"/>
          <w:highlight w:val="none"/>
        </w:rPr>
        <w:t>是</w:t>
      </w:r>
      <w:r>
        <w:rPr>
          <w:rFonts w:hint="eastAsia" w:ascii="宋体" w:hAnsi="宋体" w:cs="宋体"/>
          <w:color w:val="auto"/>
          <w:sz w:val="24"/>
          <w:highlight w:val="none"/>
        </w:rPr>
        <w:sym w:font="Wingdings" w:char="00A8"/>
      </w:r>
      <w:r>
        <w:rPr>
          <w:rFonts w:hint="eastAsia" w:ascii="宋体" w:hAnsi="宋体" w:cs="宋体"/>
          <w:bCs/>
          <w:color w:val="auto"/>
          <w:sz w:val="24"/>
          <w:highlight w:val="none"/>
        </w:rPr>
        <w:t>否</w:t>
      </w:r>
    </w:p>
    <w:p w14:paraId="1E07F521">
      <w:pPr>
        <w:keepNext w:val="0"/>
        <w:keepLines w:val="0"/>
        <w:pageBreakBefore w:val="0"/>
        <w:widowControl w:val="0"/>
        <w:numPr>
          <w:ilvl w:val="255"/>
          <w:numId w:val="0"/>
        </w:numPr>
        <w:tabs>
          <w:tab w:val="left" w:pos="210"/>
          <w:tab w:val="left" w:pos="840"/>
          <w:tab w:val="left" w:pos="1260"/>
        </w:tabs>
        <w:kinsoku/>
        <w:wordWrap/>
        <w:overflowPunct/>
        <w:topLinePunct w:val="0"/>
        <w:autoSpaceDE/>
        <w:autoSpaceDN/>
        <w:bidi w:val="0"/>
        <w:adjustRightInd/>
        <w:snapToGrid/>
        <w:spacing w:after="100" w:line="360"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验收组织的其他事项：</w:t>
      </w:r>
    </w:p>
    <w:p w14:paraId="3253C15D">
      <w:pPr>
        <w:keepNext w:val="0"/>
        <w:keepLines w:val="0"/>
        <w:pageBreakBefore w:val="0"/>
        <w:widowControl w:val="0"/>
        <w:numPr>
          <w:ilvl w:val="255"/>
          <w:numId w:val="0"/>
        </w:numPr>
        <w:tabs>
          <w:tab w:val="left" w:pos="210"/>
          <w:tab w:val="left" w:pos="840"/>
          <w:tab w:val="left" w:pos="1260"/>
        </w:tabs>
        <w:kinsoku/>
        <w:wordWrap/>
        <w:overflowPunct/>
        <w:topLinePunct w:val="0"/>
        <w:autoSpaceDE/>
        <w:autoSpaceDN/>
        <w:bidi w:val="0"/>
        <w:adjustRightInd/>
        <w:snapToGrid/>
        <w:spacing w:after="100" w:line="360"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（2）履约验收时间：</w:t>
      </w:r>
    </w:p>
    <w:p w14:paraId="522DE679">
      <w:pPr>
        <w:keepNext w:val="0"/>
        <w:keepLines w:val="0"/>
        <w:pageBreakBefore w:val="0"/>
        <w:widowControl w:val="0"/>
        <w:numPr>
          <w:ilvl w:val="255"/>
          <w:numId w:val="0"/>
        </w:numPr>
        <w:tabs>
          <w:tab w:val="left" w:pos="210"/>
          <w:tab w:val="left" w:pos="840"/>
          <w:tab w:val="left" w:pos="1260"/>
        </w:tabs>
        <w:kinsoku/>
        <w:wordWrap/>
        <w:overflowPunct/>
        <w:topLinePunct w:val="0"/>
        <w:autoSpaceDE/>
        <w:autoSpaceDN/>
        <w:bidi w:val="0"/>
        <w:adjustRightInd/>
        <w:snapToGrid/>
        <w:spacing w:after="100" w:line="360"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（3）履约验收方式：</w:t>
      </w:r>
      <w:r>
        <w:rPr>
          <w:rFonts w:hint="eastAsia" w:ascii="宋体" w:hAnsi="宋体" w:cs="宋体"/>
          <w:color w:val="auto"/>
          <w:sz w:val="24"/>
          <w:highlight w:val="none"/>
        </w:rPr>
        <w:sym w:font="Wingdings" w:char="00A8"/>
      </w:r>
      <w:r>
        <w:rPr>
          <w:rFonts w:hint="eastAsia" w:ascii="宋体" w:hAnsi="宋体" w:cs="宋体"/>
          <w:bCs/>
          <w:color w:val="auto"/>
          <w:sz w:val="24"/>
          <w:highlight w:val="none"/>
        </w:rPr>
        <w:t>一次性验收</w:t>
      </w:r>
      <w:r>
        <w:rPr>
          <w:rFonts w:hint="eastAsia" w:ascii="宋体" w:hAnsi="宋体" w:cs="宋体"/>
          <w:color w:val="auto"/>
          <w:sz w:val="24"/>
          <w:highlight w:val="none"/>
        </w:rPr>
        <w:sym w:font="Wingdings" w:char="00A8"/>
      </w:r>
      <w:r>
        <w:rPr>
          <w:rFonts w:hint="eastAsia" w:ascii="宋体" w:hAnsi="宋体" w:cs="宋体"/>
          <w:bCs/>
          <w:color w:val="auto"/>
          <w:sz w:val="24"/>
          <w:highlight w:val="none"/>
        </w:rPr>
        <w:t>分期/分项验收：</w:t>
      </w:r>
    </w:p>
    <w:p w14:paraId="45EF9A0E">
      <w:pPr>
        <w:keepNext w:val="0"/>
        <w:keepLines w:val="0"/>
        <w:pageBreakBefore w:val="0"/>
        <w:widowControl w:val="0"/>
        <w:numPr>
          <w:ilvl w:val="255"/>
          <w:numId w:val="0"/>
        </w:numPr>
        <w:tabs>
          <w:tab w:val="left" w:pos="210"/>
          <w:tab w:val="left" w:pos="840"/>
          <w:tab w:val="left" w:pos="1260"/>
        </w:tabs>
        <w:kinsoku/>
        <w:wordWrap/>
        <w:overflowPunct/>
        <w:topLinePunct w:val="0"/>
        <w:autoSpaceDE/>
        <w:autoSpaceDN/>
        <w:bidi w:val="0"/>
        <w:adjustRightInd/>
        <w:snapToGrid/>
        <w:spacing w:after="100" w:line="360"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（4）履约验收程序：依照《江苏省政府采购履约验收管理办法》（苏财规﹝2024﹞7号）相关规定执行。</w:t>
      </w:r>
    </w:p>
    <w:p w14:paraId="13F5ECB8">
      <w:pPr>
        <w:keepNext w:val="0"/>
        <w:keepLines w:val="0"/>
        <w:pageBreakBefore w:val="0"/>
        <w:widowControl w:val="0"/>
        <w:numPr>
          <w:ilvl w:val="255"/>
          <w:numId w:val="0"/>
        </w:numPr>
        <w:tabs>
          <w:tab w:val="left" w:pos="210"/>
          <w:tab w:val="left" w:pos="840"/>
          <w:tab w:val="left" w:pos="1260"/>
        </w:tabs>
        <w:kinsoku/>
        <w:wordWrap/>
        <w:overflowPunct/>
        <w:topLinePunct w:val="0"/>
        <w:autoSpaceDE/>
        <w:autoSpaceDN/>
        <w:bidi w:val="0"/>
        <w:adjustRightInd/>
        <w:snapToGrid/>
        <w:spacing w:after="100" w:line="360"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（5）履约验收的内容：按招标文件执行</w:t>
      </w:r>
    </w:p>
    <w:p w14:paraId="5C871C51">
      <w:pPr>
        <w:keepNext w:val="0"/>
        <w:keepLines w:val="0"/>
        <w:pageBreakBefore w:val="0"/>
        <w:widowControl w:val="0"/>
        <w:numPr>
          <w:ilvl w:val="255"/>
          <w:numId w:val="0"/>
        </w:numPr>
        <w:tabs>
          <w:tab w:val="left" w:pos="210"/>
          <w:tab w:val="left" w:pos="840"/>
          <w:tab w:val="left" w:pos="1260"/>
        </w:tabs>
        <w:kinsoku/>
        <w:wordWrap/>
        <w:overflowPunct/>
        <w:topLinePunct w:val="0"/>
        <w:autoSpaceDE/>
        <w:autoSpaceDN/>
        <w:bidi w:val="0"/>
        <w:adjustRightInd/>
        <w:snapToGrid/>
        <w:spacing w:after="100" w:line="360" w:lineRule="auto"/>
        <w:ind w:left="458" w:leftChars="218"/>
        <w:textAlignment w:val="auto"/>
        <w:rPr>
          <w:rFonts w:ascii="宋体" w:hAnsi="宋体" w:cs="宋体"/>
          <w:bCs/>
          <w:color w:val="auto"/>
          <w:sz w:val="24"/>
          <w:highlight w:val="none"/>
        </w:rPr>
      </w:pPr>
      <w:r>
        <w:rPr>
          <w:rFonts w:hint="eastAsia" w:ascii="宋体" w:hAnsi="宋体" w:cs="宋体"/>
          <w:bCs/>
          <w:color w:val="auto"/>
          <w:sz w:val="24"/>
          <w:highlight w:val="none"/>
        </w:rPr>
        <w:t>（6）履约验收标准：合格，符合采购人需求。</w:t>
      </w:r>
    </w:p>
    <w:p w14:paraId="46564896">
      <w:pPr>
        <w:keepNext w:val="0"/>
        <w:keepLines w:val="0"/>
        <w:pageBreakBefore w:val="0"/>
        <w:widowControl w:val="0"/>
        <w:tabs>
          <w:tab w:val="left" w:pos="0"/>
          <w:tab w:val="left" w:pos="210"/>
          <w:tab w:val="left" w:pos="840"/>
          <w:tab w:val="left" w:pos="1260"/>
        </w:tabs>
        <w:kinsoku/>
        <w:wordWrap/>
        <w:overflowPunct/>
        <w:topLinePunct w:val="0"/>
        <w:autoSpaceDE/>
        <w:autoSpaceDN/>
        <w:bidi w:val="0"/>
        <w:adjustRightInd/>
        <w:snapToGrid/>
        <w:spacing w:after="100" w:line="360" w:lineRule="auto"/>
        <w:ind w:firstLine="482"/>
        <w:textAlignment w:val="auto"/>
        <w:rPr>
          <w:rFonts w:ascii="宋体" w:hAnsi="宋体" w:cs="宋体"/>
          <w:b/>
          <w:bCs/>
          <w:color w:val="auto"/>
          <w:sz w:val="24"/>
          <w:highlight w:val="none"/>
        </w:rPr>
      </w:pPr>
      <w:r>
        <w:rPr>
          <w:rFonts w:hint="eastAsia" w:ascii="宋体" w:hAnsi="宋体" w:cs="宋体"/>
          <w:bCs/>
          <w:color w:val="auto"/>
          <w:sz w:val="24"/>
          <w:highlight w:val="none"/>
        </w:rPr>
        <w:t>（7）履约验收其他事项：</w:t>
      </w:r>
    </w:p>
    <w:p w14:paraId="772B7150">
      <w:pPr>
        <w:keepNext w:val="0"/>
        <w:keepLines w:val="0"/>
        <w:pageBreakBefore w:val="0"/>
        <w:widowControl w:val="0"/>
        <w:tabs>
          <w:tab w:val="left" w:pos="0"/>
          <w:tab w:val="left" w:pos="210"/>
          <w:tab w:val="left" w:pos="840"/>
          <w:tab w:val="left" w:pos="1260"/>
        </w:tabs>
        <w:kinsoku/>
        <w:wordWrap/>
        <w:overflowPunct/>
        <w:topLinePunct w:val="0"/>
        <w:autoSpaceDE/>
        <w:autoSpaceDN/>
        <w:bidi w:val="0"/>
        <w:adjustRightInd/>
        <w:snapToGrid/>
        <w:spacing w:after="100" w:line="360" w:lineRule="auto"/>
        <w:ind w:firstLine="482"/>
        <w:textAlignment w:val="auto"/>
        <w:rPr>
          <w:rFonts w:ascii="宋体" w:hAnsi="宋体"/>
          <w:b/>
          <w:bCs/>
          <w:color w:val="auto"/>
          <w:sz w:val="24"/>
          <w:highlight w:val="none"/>
        </w:rPr>
      </w:pPr>
      <w:r>
        <w:rPr>
          <w:rFonts w:hint="eastAsia" w:ascii="宋体" w:hAnsi="宋体"/>
          <w:b/>
          <w:bCs/>
          <w:color w:val="auto"/>
          <w:sz w:val="24"/>
          <w:highlight w:val="none"/>
        </w:rPr>
        <w:t>八、违约责任与赔偿</w:t>
      </w:r>
    </w:p>
    <w:p w14:paraId="58A70D8F">
      <w:pPr>
        <w:keepNext w:val="0"/>
        <w:keepLines w:val="0"/>
        <w:pageBreakBefore w:val="0"/>
        <w:widowControl w:val="0"/>
        <w:tabs>
          <w:tab w:val="left" w:pos="0"/>
          <w:tab w:val="left" w:pos="210"/>
          <w:tab w:val="left" w:pos="840"/>
          <w:tab w:val="left" w:pos="1260"/>
        </w:tabs>
        <w:kinsoku/>
        <w:wordWrap/>
        <w:overflowPunct/>
        <w:topLinePunct w:val="0"/>
        <w:autoSpaceDE/>
        <w:autoSpaceDN/>
        <w:bidi w:val="0"/>
        <w:adjustRightInd/>
        <w:snapToGrid/>
        <w:spacing w:after="100" w:line="360" w:lineRule="auto"/>
        <w:ind w:firstLine="480"/>
        <w:textAlignment w:val="auto"/>
        <w:rPr>
          <w:rFonts w:ascii="宋体" w:hAnsi="宋体"/>
          <w:bCs/>
          <w:color w:val="auto"/>
          <w:sz w:val="24"/>
          <w:highlight w:val="none"/>
        </w:rPr>
      </w:pPr>
      <w:r>
        <w:rPr>
          <w:rFonts w:hint="eastAsia" w:ascii="宋体" w:hAnsi="宋体"/>
          <w:color w:val="auto"/>
          <w:sz w:val="24"/>
          <w:highlight w:val="none"/>
        </w:rPr>
        <w:t>1.</w:t>
      </w:r>
      <w:r>
        <w:rPr>
          <w:rFonts w:hint="eastAsia" w:ascii="宋体" w:hAnsi="宋体"/>
          <w:bCs/>
          <w:color w:val="auto"/>
          <w:sz w:val="24"/>
          <w:highlight w:val="none"/>
        </w:rPr>
        <w:t>乙方应保证甲方在使用其交付服务及其任何部分时不受到第三方关于侵犯专利权、商标权或软件著作权等知识产权的指控。任何第三方如果提出侵权指控，乙方应承担可能发生的一切法律责任和费用，</w:t>
      </w:r>
      <w:r>
        <w:rPr>
          <w:rFonts w:hint="eastAsia" w:ascii="宋体" w:hAnsi="宋体"/>
          <w:bCs/>
          <w:color w:val="auto"/>
          <w:sz w:val="24"/>
          <w:highlight w:val="none"/>
          <w:lang w:eastAsia="zh-Hans"/>
        </w:rPr>
        <w:t>造成甲方损失的，</w:t>
      </w:r>
      <w:r>
        <w:rPr>
          <w:rFonts w:hint="eastAsia" w:ascii="宋体" w:hAnsi="宋体"/>
          <w:bCs/>
          <w:color w:val="auto"/>
          <w:sz w:val="24"/>
          <w:highlight w:val="none"/>
        </w:rPr>
        <w:t>乙方</w:t>
      </w:r>
      <w:r>
        <w:rPr>
          <w:rFonts w:hint="eastAsia" w:ascii="宋体" w:hAnsi="宋体"/>
          <w:bCs/>
          <w:color w:val="auto"/>
          <w:sz w:val="24"/>
          <w:highlight w:val="none"/>
          <w:lang w:eastAsia="zh-Hans"/>
        </w:rPr>
        <w:t>应全额赔偿，包括但不限于律师费、诉讼费、诉讼保全担保费、公证费等</w:t>
      </w:r>
      <w:r>
        <w:rPr>
          <w:rFonts w:hint="eastAsia" w:ascii="宋体" w:hAnsi="宋体"/>
          <w:bCs/>
          <w:color w:val="auto"/>
          <w:sz w:val="24"/>
          <w:highlight w:val="none"/>
        </w:rPr>
        <w:t>。</w:t>
      </w:r>
    </w:p>
    <w:p w14:paraId="1BC01EC3">
      <w:pPr>
        <w:keepNext w:val="0"/>
        <w:keepLines w:val="0"/>
        <w:pageBreakBefore w:val="0"/>
        <w:widowControl w:val="0"/>
        <w:tabs>
          <w:tab w:val="left" w:pos="0"/>
          <w:tab w:val="left" w:pos="210"/>
          <w:tab w:val="left" w:pos="840"/>
          <w:tab w:val="left" w:pos="1260"/>
        </w:tabs>
        <w:kinsoku/>
        <w:wordWrap/>
        <w:overflowPunct/>
        <w:topLinePunct w:val="0"/>
        <w:autoSpaceDE/>
        <w:autoSpaceDN/>
        <w:bidi w:val="0"/>
        <w:adjustRightInd/>
        <w:snapToGrid/>
        <w:spacing w:after="100" w:line="360" w:lineRule="auto"/>
        <w:ind w:firstLine="480"/>
        <w:textAlignment w:val="auto"/>
        <w:rPr>
          <w:rFonts w:ascii="宋体" w:hAnsi="宋体"/>
          <w:bCs/>
          <w:color w:val="auto"/>
          <w:sz w:val="24"/>
          <w:highlight w:val="none"/>
        </w:rPr>
      </w:pPr>
      <w:r>
        <w:rPr>
          <w:rFonts w:hint="eastAsia" w:ascii="宋体" w:hAnsi="宋体"/>
          <w:color w:val="auto"/>
          <w:sz w:val="24"/>
          <w:highlight w:val="none"/>
        </w:rPr>
        <w:t>2.</w:t>
      </w:r>
      <w:r>
        <w:rPr>
          <w:rFonts w:hint="eastAsia" w:ascii="宋体" w:hAnsi="宋体"/>
          <w:bCs/>
          <w:color w:val="auto"/>
          <w:sz w:val="24"/>
          <w:highlight w:val="none"/>
        </w:rPr>
        <w:t>服务经验收不合格的，乙方应当按照甲方要求在指定的合理期限内进行整改和完善，直至符合项目合同要求的相关标准。逾期不予整改或经整改仍不能符合相关要求，或者导致合同目的无法实现，甲方有权依照法律程序解除合同，乙方应按照合同总价的30%向甲方支付违约金</w:t>
      </w:r>
      <w:r>
        <w:rPr>
          <w:rFonts w:hint="eastAsia" w:ascii="宋体" w:hAnsi="宋体"/>
          <w:bCs/>
          <w:color w:val="auto"/>
          <w:sz w:val="24"/>
          <w:highlight w:val="none"/>
          <w:lang w:eastAsia="zh-Hans"/>
        </w:rPr>
        <w:t>，造成甲方损失的，乙</w:t>
      </w:r>
      <w:r>
        <w:rPr>
          <w:rFonts w:hint="eastAsia" w:ascii="宋体" w:hAnsi="宋体"/>
          <w:bCs/>
          <w:color w:val="auto"/>
          <w:sz w:val="24"/>
          <w:highlight w:val="none"/>
        </w:rPr>
        <w:t>方</w:t>
      </w:r>
      <w:r>
        <w:rPr>
          <w:rFonts w:hint="eastAsia" w:ascii="宋体" w:hAnsi="宋体"/>
          <w:bCs/>
          <w:color w:val="auto"/>
          <w:sz w:val="24"/>
          <w:highlight w:val="none"/>
          <w:lang w:eastAsia="zh-Hans"/>
        </w:rPr>
        <w:t>还应全额赔偿，包括但不限于律师费、诉讼费、诉讼保全担保费、公证费等</w:t>
      </w:r>
      <w:r>
        <w:rPr>
          <w:rFonts w:hint="eastAsia" w:ascii="宋体" w:hAnsi="宋体"/>
          <w:bCs/>
          <w:color w:val="auto"/>
          <w:sz w:val="24"/>
          <w:highlight w:val="none"/>
        </w:rPr>
        <w:t>。</w:t>
      </w:r>
    </w:p>
    <w:p w14:paraId="3468E353">
      <w:pPr>
        <w:keepNext w:val="0"/>
        <w:keepLines w:val="0"/>
        <w:pageBreakBefore w:val="0"/>
        <w:widowControl w:val="0"/>
        <w:tabs>
          <w:tab w:val="left" w:pos="0"/>
          <w:tab w:val="left" w:pos="210"/>
          <w:tab w:val="left" w:pos="840"/>
          <w:tab w:val="left" w:pos="1260"/>
        </w:tabs>
        <w:kinsoku/>
        <w:wordWrap/>
        <w:overflowPunct/>
        <w:topLinePunct w:val="0"/>
        <w:autoSpaceDE/>
        <w:autoSpaceDN/>
        <w:bidi w:val="0"/>
        <w:adjustRightInd/>
        <w:snapToGrid/>
        <w:spacing w:after="100" w:line="360" w:lineRule="auto"/>
        <w:ind w:firstLine="480"/>
        <w:textAlignment w:val="auto"/>
        <w:rPr>
          <w:rFonts w:ascii="宋体" w:hAnsi="宋体"/>
          <w:bCs/>
          <w:color w:val="auto"/>
          <w:sz w:val="24"/>
          <w:highlight w:val="none"/>
        </w:rPr>
      </w:pPr>
      <w:r>
        <w:rPr>
          <w:rFonts w:hint="eastAsia" w:ascii="宋体" w:hAnsi="宋体"/>
          <w:color w:val="auto"/>
          <w:sz w:val="24"/>
          <w:highlight w:val="none"/>
        </w:rPr>
        <w:t>3.</w:t>
      </w:r>
      <w:r>
        <w:rPr>
          <w:rFonts w:hint="eastAsia" w:ascii="宋体" w:hAnsi="宋体"/>
          <w:bCs/>
          <w:color w:val="auto"/>
          <w:sz w:val="24"/>
          <w:highlight w:val="none"/>
        </w:rPr>
        <w:t>在履行合同的过程中，如果</w:t>
      </w:r>
      <w:r>
        <w:rPr>
          <w:rFonts w:hint="eastAsia" w:ascii="宋体" w:hAnsi="宋体"/>
          <w:color w:val="auto"/>
          <w:sz w:val="24"/>
          <w:highlight w:val="none"/>
        </w:rPr>
        <w:t>乙方</w:t>
      </w:r>
      <w:r>
        <w:rPr>
          <w:rFonts w:hint="eastAsia" w:ascii="宋体" w:hAnsi="宋体"/>
          <w:bCs/>
          <w:color w:val="auto"/>
          <w:sz w:val="24"/>
          <w:highlight w:val="none"/>
        </w:rPr>
        <w:t>遇到妨碍按时提供服务的情况时，应及时以书面形式将拖延的事实、可能拖延的时间和原因通知甲方。甲方在收到乙方通知后，应尽快对情况进行核实，并有权根据情况确定是否酌情延长服务交付时间以及是否收取逾期交付服务的违约金及损害赔偿金（如有），或依照法律程序解除部分或全部合同。延期应通过签订补充合同的方式由双方认可并履行。</w:t>
      </w:r>
    </w:p>
    <w:p w14:paraId="36E5C1BE">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after="100" w:line="360" w:lineRule="auto"/>
        <w:ind w:firstLine="480"/>
        <w:textAlignment w:val="auto"/>
        <w:rPr>
          <w:rFonts w:ascii="宋体" w:hAnsi="宋体"/>
          <w:bCs/>
          <w:color w:val="auto"/>
          <w:sz w:val="24"/>
          <w:highlight w:val="none"/>
        </w:rPr>
      </w:pPr>
      <w:r>
        <w:rPr>
          <w:rFonts w:hint="eastAsia" w:ascii="宋体" w:hAnsi="宋体"/>
          <w:color w:val="auto"/>
          <w:sz w:val="24"/>
          <w:highlight w:val="none"/>
        </w:rPr>
        <w:t>4.</w:t>
      </w:r>
      <w:r>
        <w:rPr>
          <w:rFonts w:hint="eastAsia" w:ascii="宋体" w:hAnsi="宋体"/>
          <w:bCs/>
          <w:color w:val="auto"/>
          <w:sz w:val="24"/>
          <w:highlight w:val="none"/>
        </w:rPr>
        <w:t>如</w:t>
      </w:r>
      <w:r>
        <w:rPr>
          <w:rFonts w:hint="eastAsia" w:ascii="宋体" w:hAnsi="宋体"/>
          <w:color w:val="auto"/>
          <w:sz w:val="24"/>
          <w:highlight w:val="none"/>
        </w:rPr>
        <w:t>乙方</w:t>
      </w:r>
      <w:r>
        <w:rPr>
          <w:rFonts w:hint="eastAsia" w:ascii="宋体" w:hAnsi="宋体"/>
          <w:bCs/>
          <w:color w:val="auto"/>
          <w:sz w:val="24"/>
          <w:highlight w:val="none"/>
        </w:rPr>
        <w:t>逾期交付服务且未经甲方同意延长服务交付时间，除不可抗力外，每逾期一日，乙方应按照逾期交付服务金额的万分之五的标准累计计算向甲方支付违约金。逾期超过20个工作日的，甲方有权依照法律程序解除合同，甲方如已支付费用的，乙方全部返还，且乙方应按照合同总价的30%向甲方支付违约金，如给甲方造成损失的，</w:t>
      </w:r>
      <w:r>
        <w:rPr>
          <w:rFonts w:hint="eastAsia" w:ascii="宋体" w:hAnsi="宋体"/>
          <w:bCs/>
          <w:color w:val="auto"/>
          <w:sz w:val="24"/>
          <w:highlight w:val="none"/>
          <w:lang w:eastAsia="zh-Hans"/>
        </w:rPr>
        <w:t>还应全额赔偿</w:t>
      </w:r>
      <w:r>
        <w:rPr>
          <w:rFonts w:ascii="宋体" w:hAnsi="宋体"/>
          <w:bCs/>
          <w:color w:val="auto"/>
          <w:sz w:val="24"/>
          <w:highlight w:val="none"/>
          <w:lang w:eastAsia="zh-Hans"/>
        </w:rPr>
        <w:t>，</w:t>
      </w:r>
      <w:r>
        <w:rPr>
          <w:rFonts w:hint="eastAsia" w:ascii="宋体" w:hAnsi="宋体"/>
          <w:bCs/>
          <w:color w:val="auto"/>
          <w:sz w:val="24"/>
          <w:highlight w:val="none"/>
          <w:lang w:eastAsia="zh-Hans"/>
        </w:rPr>
        <w:t>包括但不限于律师费</w:t>
      </w:r>
      <w:r>
        <w:rPr>
          <w:rFonts w:ascii="宋体" w:hAnsi="宋体"/>
          <w:bCs/>
          <w:color w:val="auto"/>
          <w:sz w:val="24"/>
          <w:highlight w:val="none"/>
          <w:lang w:eastAsia="zh-Hans"/>
        </w:rPr>
        <w:t>、</w:t>
      </w:r>
      <w:r>
        <w:rPr>
          <w:rFonts w:hint="eastAsia" w:ascii="宋体" w:hAnsi="宋体"/>
          <w:bCs/>
          <w:color w:val="auto"/>
          <w:sz w:val="24"/>
          <w:highlight w:val="none"/>
          <w:lang w:eastAsia="zh-Hans"/>
        </w:rPr>
        <w:t>诉讼费</w:t>
      </w:r>
      <w:r>
        <w:rPr>
          <w:rFonts w:ascii="宋体" w:hAnsi="宋体"/>
          <w:bCs/>
          <w:color w:val="auto"/>
          <w:sz w:val="24"/>
          <w:highlight w:val="none"/>
          <w:lang w:eastAsia="zh-Hans"/>
        </w:rPr>
        <w:t>、</w:t>
      </w:r>
      <w:r>
        <w:rPr>
          <w:rFonts w:hint="eastAsia" w:ascii="宋体" w:hAnsi="宋体"/>
          <w:bCs/>
          <w:color w:val="auto"/>
          <w:sz w:val="24"/>
          <w:highlight w:val="none"/>
          <w:lang w:eastAsia="zh-Hans"/>
        </w:rPr>
        <w:t>诉讼保全担保费</w:t>
      </w:r>
      <w:r>
        <w:rPr>
          <w:rFonts w:ascii="宋体" w:hAnsi="宋体"/>
          <w:bCs/>
          <w:color w:val="auto"/>
          <w:sz w:val="24"/>
          <w:highlight w:val="none"/>
          <w:lang w:eastAsia="zh-Hans"/>
        </w:rPr>
        <w:t>、</w:t>
      </w:r>
      <w:r>
        <w:rPr>
          <w:rFonts w:hint="eastAsia" w:ascii="宋体" w:hAnsi="宋体"/>
          <w:bCs/>
          <w:color w:val="auto"/>
          <w:sz w:val="24"/>
          <w:highlight w:val="none"/>
          <w:lang w:eastAsia="zh-Hans"/>
        </w:rPr>
        <w:t>公证费等</w:t>
      </w:r>
      <w:r>
        <w:rPr>
          <w:rFonts w:hint="eastAsia" w:ascii="宋体" w:hAnsi="宋体"/>
          <w:bCs/>
          <w:color w:val="auto"/>
          <w:sz w:val="24"/>
          <w:highlight w:val="none"/>
        </w:rPr>
        <w:t>。</w:t>
      </w:r>
    </w:p>
    <w:p w14:paraId="274660A7">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after="100" w:line="360" w:lineRule="auto"/>
        <w:ind w:firstLine="480"/>
        <w:textAlignment w:val="auto"/>
        <w:rPr>
          <w:rFonts w:ascii="宋体" w:hAnsi="宋体"/>
          <w:bCs/>
          <w:color w:val="auto"/>
          <w:sz w:val="24"/>
          <w:highlight w:val="none"/>
        </w:rPr>
      </w:pPr>
      <w:r>
        <w:rPr>
          <w:rFonts w:hint="eastAsia" w:ascii="宋体" w:hAnsi="宋体"/>
          <w:color w:val="auto"/>
          <w:sz w:val="24"/>
          <w:highlight w:val="none"/>
        </w:rPr>
        <w:t>5.乙方</w:t>
      </w:r>
      <w:r>
        <w:rPr>
          <w:rFonts w:hint="eastAsia" w:ascii="宋体" w:hAnsi="宋体"/>
          <w:bCs/>
          <w:color w:val="auto"/>
          <w:sz w:val="24"/>
          <w:highlight w:val="none"/>
        </w:rPr>
        <w:t>如无不可抗力，又未履行招标文件、投标文件和项目合同条款的，一经查实，由乙方共同赔偿由此给甲方造成的损失，并按照合同总价的30%向甲方支付违约金，因招、投标产生的其他责任及后果按招标文件的相关要求及处理方式执行。</w:t>
      </w:r>
    </w:p>
    <w:p w14:paraId="51F6BD36">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after="100" w:line="360" w:lineRule="auto"/>
        <w:ind w:firstLine="480"/>
        <w:textAlignment w:val="auto"/>
        <w:rPr>
          <w:rFonts w:ascii="宋体" w:hAnsi="宋体"/>
          <w:bCs/>
          <w:color w:val="auto"/>
          <w:sz w:val="24"/>
          <w:highlight w:val="none"/>
        </w:rPr>
      </w:pPr>
      <w:r>
        <w:rPr>
          <w:rFonts w:hint="eastAsia" w:ascii="宋体" w:hAnsi="宋体"/>
          <w:color w:val="auto"/>
          <w:sz w:val="24"/>
          <w:highlight w:val="none"/>
        </w:rPr>
        <w:t>6.</w:t>
      </w:r>
      <w:r>
        <w:rPr>
          <w:rFonts w:hint="eastAsia" w:ascii="宋体" w:hAnsi="宋体"/>
          <w:bCs/>
          <w:color w:val="auto"/>
          <w:sz w:val="24"/>
          <w:highlight w:val="none"/>
        </w:rPr>
        <w:t>如遭遇不可抗力事件，遭遇不可抗力的一方应尽快以书面形式将不可抗力的情况和原因通知另一方，并积极采取措施防止损失扩大。因不可抗力造成的损失，供、需双方按照法律规定处理。</w:t>
      </w:r>
    </w:p>
    <w:p w14:paraId="01C59298">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after="100" w:line="360" w:lineRule="auto"/>
        <w:ind w:firstLine="480"/>
        <w:textAlignment w:val="auto"/>
        <w:rPr>
          <w:color w:val="auto"/>
          <w:highlight w:val="none"/>
        </w:rPr>
      </w:pPr>
      <w:r>
        <w:rPr>
          <w:rFonts w:hint="eastAsia" w:ascii="宋体" w:hAnsi="宋体"/>
          <w:color w:val="auto"/>
          <w:sz w:val="24"/>
          <w:highlight w:val="none"/>
        </w:rPr>
        <w:t>7.</w:t>
      </w:r>
      <w:r>
        <w:rPr>
          <w:rFonts w:hint="eastAsia" w:ascii="宋体" w:hAnsi="宋体"/>
          <w:bCs/>
          <w:color w:val="auto"/>
          <w:sz w:val="24"/>
          <w:highlight w:val="none"/>
        </w:rPr>
        <w:t>本项目乙方共同为甲方提供服务并承担连带责任，如乙方有一方不能为甲方提供服务或不能承担由甲方提出的索偿要求，甲方有权向另外一方提出索偿要求且另外一方不得拒绝。</w:t>
      </w:r>
    </w:p>
    <w:p w14:paraId="139579C2">
      <w:pPr>
        <w:keepNext w:val="0"/>
        <w:keepLines w:val="0"/>
        <w:pageBreakBefore w:val="0"/>
        <w:widowControl w:val="0"/>
        <w:kinsoku/>
        <w:wordWrap/>
        <w:overflowPunct/>
        <w:topLinePunct w:val="0"/>
        <w:autoSpaceDE/>
        <w:autoSpaceDN/>
        <w:bidi w:val="0"/>
        <w:adjustRightInd/>
        <w:snapToGrid/>
        <w:spacing w:after="100" w:line="360" w:lineRule="auto"/>
        <w:ind w:firstLine="482"/>
        <w:textAlignment w:val="auto"/>
        <w:rPr>
          <w:rFonts w:ascii="宋体" w:hAnsi="宋体"/>
          <w:b/>
          <w:bCs/>
          <w:color w:val="auto"/>
          <w:sz w:val="24"/>
          <w:highlight w:val="none"/>
        </w:rPr>
      </w:pPr>
      <w:r>
        <w:rPr>
          <w:rFonts w:hint="eastAsia" w:ascii="宋体" w:hAnsi="宋体"/>
          <w:b/>
          <w:bCs/>
          <w:color w:val="auto"/>
          <w:sz w:val="24"/>
          <w:highlight w:val="none"/>
        </w:rPr>
        <w:t>九、保密</w:t>
      </w:r>
    </w:p>
    <w:p w14:paraId="686CC538">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after="100" w:line="360" w:lineRule="auto"/>
        <w:ind w:firstLine="480"/>
        <w:textAlignment w:val="auto"/>
        <w:rPr>
          <w:rFonts w:ascii="宋体" w:hAnsi="宋体"/>
          <w:bCs/>
          <w:color w:val="auto"/>
          <w:sz w:val="24"/>
          <w:highlight w:val="none"/>
        </w:rPr>
      </w:pPr>
      <w:r>
        <w:rPr>
          <w:rFonts w:hint="eastAsia" w:ascii="宋体" w:hAnsi="宋体"/>
          <w:bCs/>
          <w:color w:val="auto"/>
          <w:sz w:val="24"/>
          <w:highlight w:val="none"/>
        </w:rPr>
        <w:t>为执行本协议甲方向乙方提供的任何技术资料和公司信息，除非乙方明确说明其为公知技术和信息的外，均构成甲方的商业秘密，乙方不得以任何理由向第三者泄露，</w:t>
      </w:r>
      <w:r>
        <w:rPr>
          <w:rFonts w:hint="eastAsia" w:ascii="宋体" w:hAnsi="宋体"/>
          <w:bCs/>
          <w:color w:val="auto"/>
          <w:sz w:val="24"/>
          <w:highlight w:val="none"/>
          <w:lang w:eastAsia="zh-Hans"/>
        </w:rPr>
        <w:t>若违反前述规定，</w:t>
      </w:r>
      <w:r>
        <w:rPr>
          <w:rFonts w:hint="eastAsia" w:ascii="宋体" w:hAnsi="宋体"/>
          <w:bCs/>
          <w:color w:val="auto"/>
          <w:sz w:val="24"/>
          <w:highlight w:val="none"/>
        </w:rPr>
        <w:t>乙方应按照合同总价的30%向甲方支付违约金，如给甲方造成损失的，</w:t>
      </w:r>
      <w:r>
        <w:rPr>
          <w:rFonts w:hint="eastAsia" w:ascii="宋体" w:hAnsi="宋体"/>
          <w:bCs/>
          <w:color w:val="auto"/>
          <w:sz w:val="24"/>
          <w:highlight w:val="none"/>
          <w:lang w:eastAsia="zh-Hans"/>
        </w:rPr>
        <w:t>还应全额赔偿</w:t>
      </w:r>
      <w:r>
        <w:rPr>
          <w:rFonts w:hint="eastAsia" w:ascii="宋体" w:hAnsi="宋体"/>
          <w:bCs/>
          <w:color w:val="auto"/>
          <w:sz w:val="24"/>
          <w:highlight w:val="none"/>
        </w:rPr>
        <w:t>。</w:t>
      </w:r>
    </w:p>
    <w:p w14:paraId="2FD6D999">
      <w:pPr>
        <w:keepNext w:val="0"/>
        <w:keepLines w:val="0"/>
        <w:pageBreakBefore w:val="0"/>
        <w:widowControl w:val="0"/>
        <w:kinsoku/>
        <w:wordWrap/>
        <w:overflowPunct/>
        <w:topLinePunct w:val="0"/>
        <w:autoSpaceDE/>
        <w:autoSpaceDN/>
        <w:bidi w:val="0"/>
        <w:adjustRightInd/>
        <w:snapToGrid/>
        <w:spacing w:after="100" w:line="360" w:lineRule="auto"/>
        <w:ind w:firstLine="482"/>
        <w:textAlignment w:val="auto"/>
        <w:rPr>
          <w:rFonts w:ascii="宋体" w:hAnsi="宋体"/>
          <w:b/>
          <w:bCs/>
          <w:color w:val="auto"/>
          <w:sz w:val="24"/>
          <w:highlight w:val="none"/>
        </w:rPr>
      </w:pPr>
      <w:r>
        <w:rPr>
          <w:rFonts w:hint="eastAsia" w:ascii="宋体" w:hAnsi="宋体"/>
          <w:b/>
          <w:bCs/>
          <w:color w:val="auto"/>
          <w:sz w:val="24"/>
          <w:highlight w:val="none"/>
        </w:rPr>
        <w:t>十、关于争议的解决</w:t>
      </w:r>
    </w:p>
    <w:p w14:paraId="60669DC5">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after="100" w:line="360" w:lineRule="auto"/>
        <w:ind w:firstLine="480"/>
        <w:textAlignment w:val="auto"/>
        <w:rPr>
          <w:rFonts w:ascii="宋体" w:hAnsi="宋体"/>
          <w:bCs/>
          <w:color w:val="auto"/>
          <w:sz w:val="24"/>
          <w:highlight w:val="none"/>
        </w:rPr>
      </w:pPr>
      <w:r>
        <w:rPr>
          <w:rFonts w:hint="eastAsia" w:ascii="宋体" w:hAnsi="宋体"/>
          <w:bCs/>
          <w:color w:val="auto"/>
          <w:sz w:val="24"/>
          <w:highlight w:val="none"/>
        </w:rPr>
        <w:t>甲乙双方对本合同内容产生的争议可予以协商，协商不成的，双方可以向</w:t>
      </w:r>
      <w:r>
        <w:rPr>
          <w:rFonts w:hint="eastAsia" w:ascii="宋体" w:hAnsi="宋体"/>
          <w:bCs/>
          <w:color w:val="auto"/>
          <w:sz w:val="24"/>
          <w:highlight w:val="none"/>
          <w:lang w:eastAsia="zh-Hans"/>
        </w:rPr>
        <w:t>甲方所在地法院提起诉讼</w:t>
      </w:r>
      <w:r>
        <w:rPr>
          <w:rFonts w:hint="eastAsia" w:ascii="宋体" w:hAnsi="宋体"/>
          <w:bCs/>
          <w:color w:val="auto"/>
          <w:sz w:val="24"/>
          <w:highlight w:val="none"/>
        </w:rPr>
        <w:t>。</w:t>
      </w:r>
    </w:p>
    <w:p w14:paraId="5BBF6A94">
      <w:pPr>
        <w:keepNext w:val="0"/>
        <w:keepLines w:val="0"/>
        <w:pageBreakBefore w:val="0"/>
        <w:widowControl w:val="0"/>
        <w:kinsoku/>
        <w:wordWrap/>
        <w:overflowPunct/>
        <w:topLinePunct w:val="0"/>
        <w:autoSpaceDE/>
        <w:autoSpaceDN/>
        <w:bidi w:val="0"/>
        <w:adjustRightInd/>
        <w:snapToGrid/>
        <w:spacing w:after="100" w:line="360" w:lineRule="auto"/>
        <w:ind w:firstLine="482"/>
        <w:textAlignment w:val="auto"/>
        <w:rPr>
          <w:rFonts w:ascii="宋体" w:hAnsi="宋体"/>
          <w:b/>
          <w:bCs/>
          <w:color w:val="auto"/>
          <w:sz w:val="24"/>
          <w:highlight w:val="none"/>
        </w:rPr>
      </w:pPr>
      <w:r>
        <w:rPr>
          <w:rFonts w:hint="eastAsia" w:ascii="宋体" w:hAnsi="宋体"/>
          <w:b/>
          <w:bCs/>
          <w:color w:val="auto"/>
          <w:sz w:val="24"/>
          <w:highlight w:val="none"/>
        </w:rPr>
        <w:t>十一、本合同的终止</w:t>
      </w:r>
    </w:p>
    <w:p w14:paraId="59688BB4">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after="100" w:line="360" w:lineRule="auto"/>
        <w:ind w:firstLine="480"/>
        <w:textAlignment w:val="auto"/>
        <w:rPr>
          <w:rFonts w:ascii="宋体" w:hAnsi="宋体"/>
          <w:bCs/>
          <w:color w:val="auto"/>
          <w:sz w:val="24"/>
          <w:highlight w:val="none"/>
        </w:rPr>
      </w:pPr>
      <w:r>
        <w:rPr>
          <w:rFonts w:hint="eastAsia" w:ascii="宋体" w:hAnsi="宋体"/>
          <w:bCs/>
          <w:color w:val="auto"/>
          <w:sz w:val="24"/>
          <w:highlight w:val="none"/>
        </w:rPr>
        <w:t>1.本合同在乙方完成甲方委托的全部委托业务，并收取全部服务费用后终止。</w:t>
      </w:r>
    </w:p>
    <w:p w14:paraId="1AC44D5D">
      <w:pPr>
        <w:keepNext w:val="0"/>
        <w:keepLines w:val="0"/>
        <w:pageBreakBefore w:val="0"/>
        <w:widowControl w:val="0"/>
        <w:tabs>
          <w:tab w:val="left" w:pos="210"/>
          <w:tab w:val="left" w:pos="840"/>
          <w:tab w:val="left" w:pos="1260"/>
        </w:tabs>
        <w:kinsoku/>
        <w:wordWrap/>
        <w:overflowPunct/>
        <w:topLinePunct w:val="0"/>
        <w:autoSpaceDE/>
        <w:autoSpaceDN/>
        <w:bidi w:val="0"/>
        <w:adjustRightInd/>
        <w:snapToGrid/>
        <w:spacing w:after="100" w:line="360" w:lineRule="auto"/>
        <w:ind w:firstLine="480"/>
        <w:textAlignment w:val="auto"/>
        <w:rPr>
          <w:rFonts w:ascii="宋体" w:hAnsi="宋体"/>
          <w:bCs/>
          <w:color w:val="auto"/>
          <w:sz w:val="24"/>
          <w:highlight w:val="none"/>
        </w:rPr>
      </w:pPr>
      <w:r>
        <w:rPr>
          <w:rFonts w:hint="eastAsia" w:ascii="宋体" w:hAnsi="宋体"/>
          <w:bCs/>
          <w:color w:val="auto"/>
          <w:sz w:val="24"/>
          <w:highlight w:val="none"/>
        </w:rPr>
        <w:t>2.本合同的权利义务终止后，甲乙双方应当遵循诚实信用原则，履行通知、协助、保密等义务。</w:t>
      </w:r>
    </w:p>
    <w:p w14:paraId="77D89B82">
      <w:pPr>
        <w:keepNext w:val="0"/>
        <w:keepLines w:val="0"/>
        <w:pageBreakBefore w:val="0"/>
        <w:widowControl w:val="0"/>
        <w:kinsoku/>
        <w:wordWrap/>
        <w:overflowPunct/>
        <w:topLinePunct w:val="0"/>
        <w:autoSpaceDE/>
        <w:autoSpaceDN/>
        <w:bidi w:val="0"/>
        <w:adjustRightInd/>
        <w:snapToGrid/>
        <w:spacing w:after="100" w:line="360" w:lineRule="auto"/>
        <w:ind w:firstLine="482"/>
        <w:textAlignment w:val="auto"/>
        <w:rPr>
          <w:rFonts w:ascii="宋体" w:hAnsi="宋体"/>
          <w:color w:val="auto"/>
          <w:sz w:val="24"/>
          <w:highlight w:val="none"/>
        </w:rPr>
      </w:pPr>
      <w:r>
        <w:rPr>
          <w:rFonts w:hint="eastAsia" w:ascii="宋体" w:hAnsi="宋体"/>
          <w:b/>
          <w:bCs/>
          <w:color w:val="auto"/>
          <w:sz w:val="24"/>
          <w:highlight w:val="none"/>
        </w:rPr>
        <w:t>十二、</w:t>
      </w:r>
      <w:r>
        <w:rPr>
          <w:rFonts w:hint="eastAsia" w:ascii="宋体" w:hAnsi="宋体"/>
          <w:color w:val="auto"/>
          <w:sz w:val="24"/>
          <w:highlight w:val="none"/>
        </w:rPr>
        <w:t>本合同未尽事宜由甲乙双方友好协商确定。经协商确定的内容形成补充合同，作为本合同的附件，与本合同具有同等法律效力。本合同一式四份，甲乙双方各执贰份。</w:t>
      </w:r>
    </w:p>
    <w:p w14:paraId="4BD2C94E">
      <w:pPr>
        <w:keepNext w:val="0"/>
        <w:keepLines w:val="0"/>
        <w:pageBreakBefore w:val="0"/>
        <w:widowControl w:val="0"/>
        <w:kinsoku/>
        <w:wordWrap/>
        <w:overflowPunct/>
        <w:topLinePunct w:val="0"/>
        <w:autoSpaceDE/>
        <w:autoSpaceDN/>
        <w:bidi w:val="0"/>
        <w:adjustRightInd/>
        <w:snapToGrid/>
        <w:spacing w:after="100" w:line="360" w:lineRule="auto"/>
        <w:ind w:firstLine="482"/>
        <w:textAlignment w:val="auto"/>
        <w:rPr>
          <w:rFonts w:ascii="宋体" w:hAnsi="宋体"/>
          <w:color w:val="auto"/>
          <w:sz w:val="24"/>
          <w:highlight w:val="none"/>
        </w:rPr>
      </w:pPr>
      <w:r>
        <w:rPr>
          <w:rFonts w:hint="eastAsia" w:ascii="宋体" w:hAnsi="宋体"/>
          <w:b/>
          <w:bCs/>
          <w:color w:val="auto"/>
          <w:sz w:val="24"/>
          <w:highlight w:val="none"/>
        </w:rPr>
        <w:t>十三、</w:t>
      </w:r>
      <w:r>
        <w:rPr>
          <w:rFonts w:hint="eastAsia" w:ascii="宋体" w:hAnsi="宋体"/>
          <w:color w:val="auto"/>
          <w:sz w:val="24"/>
          <w:highlight w:val="none"/>
        </w:rPr>
        <w:t>本合同自双方法定代表人（负责人）或授权代表签署并加盖</w:t>
      </w:r>
      <w:r>
        <w:rPr>
          <w:rFonts w:hint="eastAsia" w:ascii="宋体" w:hAnsi="宋体"/>
          <w:color w:val="auto"/>
          <w:sz w:val="24"/>
          <w:highlight w:val="none"/>
          <w:lang w:eastAsia="zh-Hans"/>
        </w:rPr>
        <w:t>公</w:t>
      </w:r>
      <w:r>
        <w:rPr>
          <w:rFonts w:hint="eastAsia" w:ascii="宋体" w:hAnsi="宋体"/>
          <w:color w:val="auto"/>
          <w:sz w:val="24"/>
          <w:highlight w:val="none"/>
        </w:rPr>
        <w:t>章</w:t>
      </w:r>
      <w:r>
        <w:rPr>
          <w:rFonts w:hint="eastAsia" w:ascii="宋体" w:hAnsi="宋体"/>
          <w:color w:val="auto"/>
          <w:sz w:val="24"/>
          <w:highlight w:val="none"/>
          <w:lang w:eastAsia="zh-Hans"/>
        </w:rPr>
        <w:t>或合同专用章</w:t>
      </w:r>
      <w:r>
        <w:rPr>
          <w:rFonts w:hint="eastAsia" w:ascii="宋体" w:hAnsi="宋体"/>
          <w:color w:val="auto"/>
          <w:sz w:val="24"/>
          <w:highlight w:val="none"/>
        </w:rPr>
        <w:t>之日起生效，直至本合同规定的各项事宜全部履行完毕为止。</w:t>
      </w:r>
    </w:p>
    <w:p w14:paraId="70819192">
      <w:pPr>
        <w:keepNext w:val="0"/>
        <w:keepLines w:val="0"/>
        <w:pageBreakBefore w:val="0"/>
        <w:widowControl w:val="0"/>
        <w:kinsoku/>
        <w:wordWrap/>
        <w:overflowPunct/>
        <w:topLinePunct w:val="0"/>
        <w:autoSpaceDE/>
        <w:autoSpaceDN/>
        <w:bidi w:val="0"/>
        <w:adjustRightInd/>
        <w:snapToGrid/>
        <w:spacing w:after="100" w:line="360" w:lineRule="auto"/>
        <w:ind w:firstLine="482"/>
        <w:textAlignment w:val="auto"/>
        <w:rPr>
          <w:rFonts w:ascii="宋体" w:hAnsi="宋体"/>
          <w:color w:val="auto"/>
          <w:sz w:val="24"/>
          <w:highlight w:val="none"/>
        </w:rPr>
      </w:pPr>
      <w:r>
        <w:rPr>
          <w:rFonts w:hint="eastAsia" w:ascii="宋体" w:hAnsi="宋体"/>
          <w:b/>
          <w:bCs/>
          <w:color w:val="auto"/>
          <w:sz w:val="24"/>
          <w:highlight w:val="none"/>
        </w:rPr>
        <w:t>十四、</w:t>
      </w:r>
      <w:r>
        <w:rPr>
          <w:rFonts w:hint="eastAsia" w:ascii="宋体" w:hAnsi="宋体"/>
          <w:color w:val="auto"/>
          <w:sz w:val="24"/>
          <w:highlight w:val="none"/>
        </w:rPr>
        <w:t>本合同所需或所确定的所有通知、要求或其他通讯应以书面形式，通过亲自派送、特快专递、电子邮箱等签署盖章信息中所列（或此后重新书面指定）的信息传送，签署栏的信息也是法院送达邮寄法律文书的法定送达地址。一方若需变更通讯地址，应当及时通知对方。因接受方或其签收人原因导致接受方没有收到送达文件的，视为已送达。任何通知、要求或通讯若以传真方式或电子邮件传送，将视为立即送达，若以邮寄方式传送，在寄出的七日后视为送达。</w:t>
      </w:r>
    </w:p>
    <w:p w14:paraId="35BA7EE2">
      <w:pPr>
        <w:pStyle w:val="22"/>
        <w:keepNext w:val="0"/>
        <w:keepLines w:val="0"/>
        <w:pageBreakBefore w:val="0"/>
        <w:widowControl w:val="0"/>
        <w:kinsoku/>
        <w:wordWrap/>
        <w:overflowPunct/>
        <w:topLinePunct w:val="0"/>
        <w:autoSpaceDE/>
        <w:autoSpaceDN/>
        <w:bidi w:val="0"/>
        <w:adjustRightInd/>
        <w:snapToGrid/>
        <w:spacing w:after="100" w:line="360" w:lineRule="auto"/>
        <w:ind w:firstLine="472"/>
        <w:textAlignment w:val="auto"/>
        <w:rPr>
          <w:rFonts w:hAnsi="宋体"/>
          <w:b/>
          <w:color w:val="auto"/>
          <w:sz w:val="24"/>
          <w:szCs w:val="24"/>
          <w:highlight w:val="none"/>
        </w:rPr>
      </w:pPr>
      <w:r>
        <w:rPr>
          <w:rFonts w:hint="eastAsia" w:hAnsi="宋体"/>
          <w:b/>
          <w:color w:val="auto"/>
          <w:sz w:val="24"/>
          <w:szCs w:val="24"/>
          <w:highlight w:val="none"/>
        </w:rPr>
        <w:t>十五、合同附件</w:t>
      </w:r>
    </w:p>
    <w:p w14:paraId="4EA26CDB">
      <w:pPr>
        <w:keepNext w:val="0"/>
        <w:keepLines w:val="0"/>
        <w:pageBreakBefore w:val="0"/>
        <w:widowControl w:val="0"/>
        <w:kinsoku/>
        <w:wordWrap/>
        <w:overflowPunct/>
        <w:topLinePunct w:val="0"/>
        <w:autoSpaceDE/>
        <w:autoSpaceDN/>
        <w:bidi w:val="0"/>
        <w:adjustRightInd/>
        <w:snapToGrid/>
        <w:spacing w:after="100" w:line="360" w:lineRule="auto"/>
        <w:ind w:firstLine="950"/>
        <w:textAlignment w:val="auto"/>
        <w:rPr>
          <w:rFonts w:ascii="宋体" w:hAnsi="宋体"/>
          <w:color w:val="auto"/>
          <w:sz w:val="24"/>
          <w:highlight w:val="none"/>
        </w:rPr>
      </w:pPr>
      <w:r>
        <w:rPr>
          <w:rFonts w:hint="eastAsia" w:ascii="宋体" w:hAnsi="宋体"/>
          <w:color w:val="auto"/>
          <w:sz w:val="24"/>
          <w:highlight w:val="none"/>
        </w:rPr>
        <w:t>下列文件与本合同具有同等法律效力：</w:t>
      </w:r>
    </w:p>
    <w:p w14:paraId="4836F5B5">
      <w:pPr>
        <w:keepNext w:val="0"/>
        <w:keepLines w:val="0"/>
        <w:pageBreakBefore w:val="0"/>
        <w:widowControl w:val="0"/>
        <w:kinsoku/>
        <w:wordWrap/>
        <w:overflowPunct/>
        <w:topLinePunct w:val="0"/>
        <w:autoSpaceDE/>
        <w:autoSpaceDN/>
        <w:bidi w:val="0"/>
        <w:adjustRightInd/>
        <w:snapToGrid/>
        <w:spacing w:after="100" w:line="360" w:lineRule="auto"/>
        <w:ind w:firstLine="950"/>
        <w:textAlignment w:val="auto"/>
        <w:rPr>
          <w:rFonts w:ascii="宋体" w:hAnsi="宋体"/>
          <w:color w:val="auto"/>
          <w:sz w:val="24"/>
          <w:highlight w:val="none"/>
        </w:rPr>
      </w:pPr>
      <w:r>
        <w:rPr>
          <w:rFonts w:hint="eastAsia" w:ascii="宋体" w:hAnsi="宋体"/>
          <w:color w:val="auto"/>
          <w:sz w:val="24"/>
          <w:highlight w:val="none"/>
        </w:rPr>
        <w:t>1.甲方招标文件与招标补充文件；</w:t>
      </w:r>
    </w:p>
    <w:p w14:paraId="7F7D0D06">
      <w:pPr>
        <w:keepNext w:val="0"/>
        <w:keepLines w:val="0"/>
        <w:pageBreakBefore w:val="0"/>
        <w:widowControl w:val="0"/>
        <w:kinsoku/>
        <w:wordWrap/>
        <w:overflowPunct/>
        <w:topLinePunct w:val="0"/>
        <w:autoSpaceDE/>
        <w:autoSpaceDN/>
        <w:bidi w:val="0"/>
        <w:adjustRightInd/>
        <w:snapToGrid/>
        <w:spacing w:after="100" w:line="360" w:lineRule="auto"/>
        <w:ind w:firstLine="950"/>
        <w:textAlignment w:val="auto"/>
        <w:rPr>
          <w:rFonts w:ascii="宋体" w:hAnsi="宋体"/>
          <w:color w:val="auto"/>
          <w:sz w:val="24"/>
          <w:highlight w:val="none"/>
        </w:rPr>
      </w:pPr>
      <w:r>
        <w:rPr>
          <w:rFonts w:hint="eastAsia" w:ascii="宋体" w:hAnsi="宋体"/>
          <w:color w:val="auto"/>
          <w:sz w:val="24"/>
          <w:highlight w:val="none"/>
        </w:rPr>
        <w:t>2.投标文件；</w:t>
      </w:r>
    </w:p>
    <w:p w14:paraId="7B698B13">
      <w:pPr>
        <w:keepNext w:val="0"/>
        <w:keepLines w:val="0"/>
        <w:pageBreakBefore w:val="0"/>
        <w:widowControl w:val="0"/>
        <w:kinsoku/>
        <w:wordWrap/>
        <w:overflowPunct/>
        <w:topLinePunct w:val="0"/>
        <w:autoSpaceDE/>
        <w:autoSpaceDN/>
        <w:bidi w:val="0"/>
        <w:adjustRightInd/>
        <w:snapToGrid/>
        <w:spacing w:after="100" w:line="360" w:lineRule="auto"/>
        <w:ind w:firstLine="950"/>
        <w:textAlignment w:val="auto"/>
        <w:rPr>
          <w:rFonts w:ascii="宋体" w:hAnsi="宋体"/>
          <w:color w:val="auto"/>
          <w:sz w:val="24"/>
          <w:highlight w:val="none"/>
        </w:rPr>
      </w:pPr>
      <w:r>
        <w:rPr>
          <w:rFonts w:hint="eastAsia" w:ascii="宋体" w:hAnsi="宋体"/>
          <w:color w:val="auto"/>
          <w:sz w:val="24"/>
          <w:highlight w:val="none"/>
        </w:rPr>
        <w:t>3.询标纪要（或承诺书）；</w:t>
      </w:r>
    </w:p>
    <w:p w14:paraId="1B094753">
      <w:pPr>
        <w:keepNext w:val="0"/>
        <w:keepLines w:val="0"/>
        <w:pageBreakBefore w:val="0"/>
        <w:widowControl w:val="0"/>
        <w:kinsoku/>
        <w:wordWrap/>
        <w:overflowPunct/>
        <w:topLinePunct w:val="0"/>
        <w:autoSpaceDE/>
        <w:autoSpaceDN/>
        <w:bidi w:val="0"/>
        <w:adjustRightInd/>
        <w:snapToGrid/>
        <w:spacing w:after="100" w:line="360" w:lineRule="auto"/>
        <w:ind w:firstLine="950"/>
        <w:textAlignment w:val="auto"/>
        <w:rPr>
          <w:rFonts w:ascii="宋体" w:hAnsi="宋体"/>
          <w:color w:val="auto"/>
          <w:sz w:val="24"/>
          <w:highlight w:val="none"/>
        </w:rPr>
      </w:pPr>
      <w:r>
        <w:rPr>
          <w:rFonts w:hint="eastAsia" w:ascii="宋体" w:hAnsi="宋体"/>
          <w:color w:val="auto"/>
          <w:sz w:val="24"/>
          <w:highlight w:val="none"/>
        </w:rPr>
        <w:t>4.中标通知书；</w:t>
      </w:r>
    </w:p>
    <w:p w14:paraId="4E01F286">
      <w:pPr>
        <w:keepNext w:val="0"/>
        <w:keepLines w:val="0"/>
        <w:pageBreakBefore w:val="0"/>
        <w:widowControl w:val="0"/>
        <w:kinsoku/>
        <w:wordWrap/>
        <w:overflowPunct/>
        <w:topLinePunct w:val="0"/>
        <w:autoSpaceDE/>
        <w:autoSpaceDN/>
        <w:bidi w:val="0"/>
        <w:adjustRightInd/>
        <w:snapToGrid/>
        <w:spacing w:after="100" w:line="360" w:lineRule="auto"/>
        <w:ind w:firstLine="950"/>
        <w:textAlignment w:val="auto"/>
        <w:rPr>
          <w:rFonts w:ascii="宋体" w:hAnsi="宋体"/>
          <w:color w:val="auto"/>
          <w:sz w:val="24"/>
          <w:highlight w:val="none"/>
        </w:rPr>
      </w:pPr>
      <w:r>
        <w:rPr>
          <w:rFonts w:hint="eastAsia" w:ascii="宋体" w:hAnsi="宋体"/>
          <w:color w:val="auto"/>
          <w:sz w:val="24"/>
          <w:highlight w:val="none"/>
        </w:rPr>
        <w:t>5.项目组人员名单。</w:t>
      </w:r>
    </w:p>
    <w:p w14:paraId="32F140B7">
      <w:pPr>
        <w:keepNext w:val="0"/>
        <w:keepLines w:val="0"/>
        <w:pageBreakBefore w:val="0"/>
        <w:widowControl w:val="0"/>
        <w:kinsoku/>
        <w:wordWrap/>
        <w:overflowPunct/>
        <w:topLinePunct w:val="0"/>
        <w:autoSpaceDE/>
        <w:autoSpaceDN/>
        <w:bidi w:val="0"/>
        <w:adjustRightInd/>
        <w:snapToGrid/>
        <w:spacing w:after="100" w:line="360" w:lineRule="auto"/>
        <w:ind w:firstLine="420"/>
        <w:textAlignment w:val="auto"/>
        <w:rPr>
          <w:rFonts w:hint="eastAsia" w:ascii="宋体" w:hAnsi="宋体"/>
          <w:color w:val="auto"/>
          <w:sz w:val="24"/>
          <w:highlight w:val="none"/>
        </w:rPr>
      </w:pPr>
    </w:p>
    <w:p w14:paraId="17F2489A">
      <w:pPr>
        <w:keepNext w:val="0"/>
        <w:keepLines w:val="0"/>
        <w:pageBreakBefore w:val="0"/>
        <w:widowControl w:val="0"/>
        <w:kinsoku/>
        <w:wordWrap/>
        <w:overflowPunct/>
        <w:topLinePunct w:val="0"/>
        <w:autoSpaceDE/>
        <w:autoSpaceDN/>
        <w:bidi w:val="0"/>
        <w:adjustRightInd/>
        <w:snapToGrid/>
        <w:spacing w:after="100" w:line="360" w:lineRule="auto"/>
        <w:ind w:firstLine="420"/>
        <w:textAlignment w:val="auto"/>
        <w:rPr>
          <w:rFonts w:ascii="宋体" w:hAnsi="宋体"/>
          <w:color w:val="auto"/>
          <w:sz w:val="24"/>
          <w:highlight w:val="none"/>
        </w:rPr>
      </w:pPr>
      <w:r>
        <w:rPr>
          <w:rFonts w:hint="eastAsia" w:ascii="宋体" w:hAnsi="宋体"/>
          <w:color w:val="auto"/>
          <w:sz w:val="24"/>
          <w:highlight w:val="none"/>
        </w:rPr>
        <w:t>甲方（委托方）：（盖章）</w:t>
      </w:r>
    </w:p>
    <w:p w14:paraId="44D7F74A">
      <w:pPr>
        <w:keepNext w:val="0"/>
        <w:keepLines w:val="0"/>
        <w:pageBreakBefore w:val="0"/>
        <w:widowControl w:val="0"/>
        <w:kinsoku/>
        <w:wordWrap/>
        <w:overflowPunct/>
        <w:topLinePunct w:val="0"/>
        <w:autoSpaceDE/>
        <w:autoSpaceDN/>
        <w:bidi w:val="0"/>
        <w:adjustRightInd/>
        <w:snapToGrid/>
        <w:spacing w:after="100" w:line="360" w:lineRule="auto"/>
        <w:ind w:firstLine="420"/>
        <w:textAlignment w:val="auto"/>
        <w:rPr>
          <w:rFonts w:ascii="宋体" w:hAnsi="宋体"/>
          <w:color w:val="auto"/>
          <w:sz w:val="24"/>
          <w:highlight w:val="none"/>
        </w:rPr>
      </w:pPr>
      <w:r>
        <w:rPr>
          <w:rFonts w:hint="eastAsia" w:ascii="宋体" w:hAnsi="宋体"/>
          <w:color w:val="auto"/>
          <w:sz w:val="24"/>
          <w:highlight w:val="none"/>
        </w:rPr>
        <w:t>法定（授权）代表人：</w:t>
      </w:r>
    </w:p>
    <w:p w14:paraId="2C36A654">
      <w:pPr>
        <w:keepNext w:val="0"/>
        <w:keepLines w:val="0"/>
        <w:pageBreakBefore w:val="0"/>
        <w:widowControl w:val="0"/>
        <w:kinsoku/>
        <w:wordWrap/>
        <w:overflowPunct/>
        <w:topLinePunct w:val="0"/>
        <w:autoSpaceDE/>
        <w:autoSpaceDN/>
        <w:bidi w:val="0"/>
        <w:adjustRightInd/>
        <w:snapToGrid/>
        <w:spacing w:after="100" w:line="360" w:lineRule="auto"/>
        <w:ind w:firstLine="420"/>
        <w:textAlignment w:val="auto"/>
        <w:rPr>
          <w:rFonts w:ascii="宋体" w:hAnsi="宋体"/>
          <w:color w:val="auto"/>
          <w:sz w:val="24"/>
          <w:highlight w:val="none"/>
        </w:rPr>
      </w:pPr>
      <w:r>
        <w:rPr>
          <w:rFonts w:hint="eastAsia" w:ascii="宋体" w:hAnsi="宋体"/>
          <w:color w:val="auto"/>
          <w:sz w:val="24"/>
          <w:highlight w:val="none"/>
        </w:rPr>
        <w:t xml:space="preserve">    年    月    日</w:t>
      </w:r>
    </w:p>
    <w:p w14:paraId="4797B331">
      <w:pPr>
        <w:keepNext w:val="0"/>
        <w:keepLines w:val="0"/>
        <w:pageBreakBefore w:val="0"/>
        <w:widowControl w:val="0"/>
        <w:kinsoku/>
        <w:wordWrap/>
        <w:overflowPunct/>
        <w:topLinePunct w:val="0"/>
        <w:autoSpaceDE/>
        <w:autoSpaceDN/>
        <w:bidi w:val="0"/>
        <w:adjustRightInd/>
        <w:snapToGrid/>
        <w:spacing w:after="100" w:line="360" w:lineRule="auto"/>
        <w:ind w:firstLine="420"/>
        <w:textAlignment w:val="auto"/>
        <w:rPr>
          <w:rFonts w:ascii="宋体" w:hAnsi="宋体"/>
          <w:color w:val="auto"/>
          <w:sz w:val="24"/>
          <w:highlight w:val="none"/>
        </w:rPr>
      </w:pPr>
    </w:p>
    <w:p w14:paraId="21C22E01">
      <w:pPr>
        <w:keepNext w:val="0"/>
        <w:keepLines w:val="0"/>
        <w:pageBreakBefore w:val="0"/>
        <w:widowControl w:val="0"/>
        <w:kinsoku/>
        <w:wordWrap/>
        <w:overflowPunct/>
        <w:topLinePunct w:val="0"/>
        <w:autoSpaceDE/>
        <w:autoSpaceDN/>
        <w:bidi w:val="0"/>
        <w:adjustRightInd/>
        <w:snapToGrid/>
        <w:spacing w:after="100" w:line="360" w:lineRule="auto"/>
        <w:ind w:firstLine="420"/>
        <w:textAlignment w:val="auto"/>
        <w:rPr>
          <w:rFonts w:ascii="宋体" w:hAnsi="宋体"/>
          <w:color w:val="auto"/>
          <w:sz w:val="24"/>
          <w:highlight w:val="none"/>
        </w:rPr>
      </w:pPr>
      <w:r>
        <w:rPr>
          <w:rFonts w:hint="eastAsia" w:ascii="宋体" w:hAnsi="宋体"/>
          <w:color w:val="auto"/>
          <w:sz w:val="24"/>
          <w:highlight w:val="none"/>
        </w:rPr>
        <w:t>乙方（服务方）：（盖章）</w:t>
      </w:r>
    </w:p>
    <w:p w14:paraId="316B8F9E">
      <w:pPr>
        <w:keepNext w:val="0"/>
        <w:keepLines w:val="0"/>
        <w:pageBreakBefore w:val="0"/>
        <w:widowControl w:val="0"/>
        <w:kinsoku/>
        <w:wordWrap/>
        <w:overflowPunct/>
        <w:topLinePunct w:val="0"/>
        <w:autoSpaceDE/>
        <w:autoSpaceDN/>
        <w:bidi w:val="0"/>
        <w:adjustRightInd/>
        <w:snapToGrid/>
        <w:spacing w:after="100" w:line="360" w:lineRule="auto"/>
        <w:ind w:firstLine="420"/>
        <w:textAlignment w:val="auto"/>
        <w:rPr>
          <w:rFonts w:ascii="宋体" w:hAnsi="宋体"/>
          <w:color w:val="auto"/>
          <w:sz w:val="24"/>
          <w:highlight w:val="none"/>
        </w:rPr>
      </w:pPr>
      <w:r>
        <w:rPr>
          <w:rFonts w:hint="eastAsia" w:ascii="宋体" w:hAnsi="宋体"/>
          <w:color w:val="auto"/>
          <w:sz w:val="24"/>
          <w:highlight w:val="none"/>
        </w:rPr>
        <w:t>法定（授权）代表人：</w:t>
      </w:r>
    </w:p>
    <w:p w14:paraId="06715D2B">
      <w:pPr>
        <w:keepNext w:val="0"/>
        <w:keepLines w:val="0"/>
        <w:pageBreakBefore w:val="0"/>
        <w:widowControl w:val="0"/>
        <w:kinsoku/>
        <w:wordWrap/>
        <w:overflowPunct/>
        <w:topLinePunct w:val="0"/>
        <w:autoSpaceDE/>
        <w:autoSpaceDN/>
        <w:bidi w:val="0"/>
        <w:adjustRightInd/>
        <w:snapToGrid/>
        <w:spacing w:after="100" w:line="360" w:lineRule="auto"/>
        <w:ind w:firstLine="420"/>
        <w:textAlignment w:val="auto"/>
        <w:rPr>
          <w:rFonts w:ascii="宋体" w:hAnsi="宋体"/>
          <w:color w:val="auto"/>
          <w:sz w:val="24"/>
          <w:highlight w:val="none"/>
        </w:rPr>
      </w:pPr>
      <w:r>
        <w:rPr>
          <w:rFonts w:hint="eastAsia" w:ascii="宋体" w:hAnsi="宋体"/>
          <w:color w:val="auto"/>
          <w:sz w:val="24"/>
          <w:highlight w:val="none"/>
        </w:rPr>
        <w:t>乙方户名：</w:t>
      </w:r>
    </w:p>
    <w:p w14:paraId="460FFA03">
      <w:pPr>
        <w:keepNext w:val="0"/>
        <w:keepLines w:val="0"/>
        <w:pageBreakBefore w:val="0"/>
        <w:widowControl w:val="0"/>
        <w:kinsoku/>
        <w:wordWrap/>
        <w:overflowPunct/>
        <w:topLinePunct w:val="0"/>
        <w:autoSpaceDE/>
        <w:autoSpaceDN/>
        <w:bidi w:val="0"/>
        <w:adjustRightInd/>
        <w:snapToGrid/>
        <w:spacing w:after="100" w:line="360" w:lineRule="auto"/>
        <w:ind w:firstLine="420"/>
        <w:textAlignment w:val="auto"/>
        <w:rPr>
          <w:rFonts w:ascii="宋体" w:hAnsi="宋体"/>
          <w:color w:val="auto"/>
          <w:sz w:val="24"/>
          <w:highlight w:val="none"/>
        </w:rPr>
      </w:pPr>
      <w:r>
        <w:rPr>
          <w:rFonts w:hint="eastAsia" w:ascii="宋体" w:hAnsi="宋体"/>
          <w:color w:val="auto"/>
          <w:sz w:val="24"/>
          <w:highlight w:val="none"/>
        </w:rPr>
        <w:t>乙方开户银行：</w:t>
      </w:r>
    </w:p>
    <w:p w14:paraId="6DF71230">
      <w:pPr>
        <w:keepNext w:val="0"/>
        <w:keepLines w:val="0"/>
        <w:pageBreakBefore w:val="0"/>
        <w:widowControl w:val="0"/>
        <w:kinsoku/>
        <w:wordWrap/>
        <w:overflowPunct/>
        <w:topLinePunct w:val="0"/>
        <w:autoSpaceDE/>
        <w:autoSpaceDN/>
        <w:bidi w:val="0"/>
        <w:adjustRightInd/>
        <w:snapToGrid/>
        <w:spacing w:after="100" w:line="360" w:lineRule="auto"/>
        <w:ind w:firstLine="420"/>
        <w:textAlignment w:val="auto"/>
        <w:rPr>
          <w:rFonts w:ascii="宋体" w:hAnsi="宋体"/>
          <w:color w:val="auto"/>
          <w:sz w:val="24"/>
          <w:highlight w:val="none"/>
        </w:rPr>
      </w:pPr>
      <w:r>
        <w:rPr>
          <w:rFonts w:hint="eastAsia" w:ascii="宋体" w:hAnsi="宋体"/>
          <w:color w:val="auto"/>
          <w:sz w:val="24"/>
          <w:highlight w:val="none"/>
        </w:rPr>
        <w:t>乙方账号：</w:t>
      </w:r>
    </w:p>
    <w:p w14:paraId="3A81B81E">
      <w:pPr>
        <w:keepNext w:val="0"/>
        <w:keepLines w:val="0"/>
        <w:pageBreakBefore w:val="0"/>
        <w:widowControl w:val="0"/>
        <w:kinsoku/>
        <w:wordWrap/>
        <w:overflowPunct/>
        <w:topLinePunct w:val="0"/>
        <w:autoSpaceDE/>
        <w:autoSpaceDN/>
        <w:bidi w:val="0"/>
        <w:adjustRightInd/>
        <w:snapToGrid/>
        <w:spacing w:after="100" w:line="360" w:lineRule="auto"/>
        <w:ind w:firstLine="420"/>
        <w:textAlignment w:val="auto"/>
        <w:rPr>
          <w:rFonts w:ascii="宋体" w:hAnsi="宋体"/>
          <w:color w:val="auto"/>
          <w:sz w:val="24"/>
          <w:highlight w:val="none"/>
        </w:rPr>
      </w:pPr>
      <w:r>
        <w:rPr>
          <w:rFonts w:hint="eastAsia" w:ascii="宋体" w:hAnsi="宋体"/>
          <w:color w:val="auto"/>
          <w:sz w:val="24"/>
          <w:highlight w:val="none"/>
        </w:rPr>
        <w:t xml:space="preserve">    年    月    日</w:t>
      </w:r>
    </w:p>
    <w:p w14:paraId="1D813A55">
      <w:pPr>
        <w:rPr>
          <w:rFonts w:ascii="宋体" w:hAnsi="宋体" w:cs="宋体"/>
          <w:b/>
          <w:color w:val="auto"/>
          <w:sz w:val="44"/>
          <w:szCs w:val="44"/>
          <w:highlight w:val="none"/>
        </w:rPr>
      </w:pPr>
      <w:r>
        <w:rPr>
          <w:rFonts w:hint="eastAsia" w:ascii="宋体" w:hAnsi="宋体" w:cs="宋体"/>
          <w:b/>
          <w:color w:val="auto"/>
          <w:sz w:val="44"/>
          <w:szCs w:val="44"/>
          <w:highlight w:val="none"/>
        </w:rPr>
        <w:br w:type="page"/>
      </w:r>
    </w:p>
    <w:p w14:paraId="01A783C8">
      <w:pPr>
        <w:spacing w:line="360" w:lineRule="auto"/>
        <w:jc w:val="center"/>
        <w:outlineLvl w:val="0"/>
        <w:rPr>
          <w:rFonts w:ascii="宋体" w:hAnsi="宋体" w:cs="宋体"/>
          <w:b/>
          <w:color w:val="auto"/>
          <w:sz w:val="44"/>
          <w:szCs w:val="44"/>
          <w:highlight w:val="none"/>
        </w:rPr>
      </w:pPr>
      <w:r>
        <w:rPr>
          <w:rFonts w:hint="eastAsia" w:ascii="宋体" w:hAnsi="宋体" w:cs="宋体"/>
          <w:b/>
          <w:color w:val="auto"/>
          <w:sz w:val="44"/>
          <w:szCs w:val="44"/>
          <w:highlight w:val="none"/>
        </w:rPr>
        <w:t>第五部分．附件（投标文件部分格式）</w:t>
      </w:r>
    </w:p>
    <w:p w14:paraId="12774C47">
      <w:pPr>
        <w:outlineLvl w:val="0"/>
        <w:rPr>
          <w:rFonts w:ascii="黑体" w:hAnsi="宋体" w:eastAsia="黑体"/>
          <w:bCs/>
          <w:color w:val="auto"/>
          <w:sz w:val="32"/>
          <w:szCs w:val="32"/>
          <w:highlight w:val="none"/>
        </w:rPr>
      </w:pPr>
      <w:r>
        <w:rPr>
          <w:rFonts w:hint="eastAsia" w:ascii="黑体" w:hAnsi="宋体" w:eastAsia="黑体"/>
          <w:bCs/>
          <w:color w:val="auto"/>
          <w:sz w:val="24"/>
          <w:highlight w:val="none"/>
        </w:rPr>
        <w:t>（一）投标函（格式）</w:t>
      </w:r>
    </w:p>
    <w:p w14:paraId="05B5F140">
      <w:pPr>
        <w:jc w:val="center"/>
        <w:outlineLvl w:val="0"/>
        <w:rPr>
          <w:rFonts w:hAnsi="宋体"/>
          <w:color w:val="auto"/>
          <w:sz w:val="24"/>
          <w:highlight w:val="none"/>
        </w:rPr>
      </w:pPr>
      <w:r>
        <w:rPr>
          <w:rFonts w:hint="eastAsia" w:ascii="黑体" w:hAnsi="宋体" w:eastAsia="黑体"/>
          <w:bCs/>
          <w:color w:val="auto"/>
          <w:sz w:val="32"/>
          <w:szCs w:val="32"/>
          <w:highlight w:val="none"/>
        </w:rPr>
        <w:t>投标函</w:t>
      </w:r>
    </w:p>
    <w:p w14:paraId="2FF4DEBC">
      <w:pPr>
        <w:widowControl/>
        <w:spacing w:before="4" w:line="460" w:lineRule="exact"/>
        <w:rPr>
          <w:rFonts w:hAnsi="宋体"/>
          <w:color w:val="auto"/>
          <w:sz w:val="24"/>
          <w:highlight w:val="none"/>
        </w:rPr>
      </w:pPr>
    </w:p>
    <w:p w14:paraId="60119026">
      <w:pPr>
        <w:widowControl/>
        <w:spacing w:before="4" w:line="460" w:lineRule="exact"/>
        <w:rPr>
          <w:rFonts w:ascii="宋体" w:hAnsi="宋体" w:cs="宋体"/>
          <w:color w:val="auto"/>
          <w:sz w:val="24"/>
          <w:szCs w:val="22"/>
          <w:highlight w:val="none"/>
        </w:rPr>
      </w:pPr>
      <w:r>
        <w:rPr>
          <w:rFonts w:hint="eastAsia" w:ascii="宋体" w:hAnsi="宋体" w:cs="宋体"/>
          <w:color w:val="auto"/>
          <w:sz w:val="24"/>
          <w:szCs w:val="22"/>
          <w:highlight w:val="none"/>
        </w:rPr>
        <w:t>致：北京建智达工程管理股份有限公司</w:t>
      </w:r>
    </w:p>
    <w:p w14:paraId="1CD3ECB1">
      <w:pPr>
        <w:widowControl/>
        <w:spacing w:before="4" w:line="460" w:lineRule="exact"/>
        <w:ind w:firstLine="480"/>
        <w:rPr>
          <w:rFonts w:ascii="宋体" w:hAnsi="宋体" w:cs="宋体"/>
          <w:color w:val="auto"/>
          <w:sz w:val="24"/>
          <w:szCs w:val="22"/>
          <w:highlight w:val="none"/>
        </w:rPr>
      </w:pPr>
      <w:r>
        <w:rPr>
          <w:rFonts w:hint="eastAsia" w:ascii="宋体" w:hAnsi="宋体" w:cs="宋体"/>
          <w:color w:val="auto"/>
          <w:sz w:val="24"/>
          <w:szCs w:val="22"/>
          <w:highlight w:val="none"/>
        </w:rPr>
        <w:t>一、我们收到贵方采购编号</w:t>
      </w:r>
      <w:r>
        <w:rPr>
          <w:rFonts w:hint="eastAsia" w:ascii="宋体" w:hAnsi="宋体" w:cs="宋体"/>
          <w:color w:val="auto"/>
          <w:sz w:val="24"/>
          <w:szCs w:val="22"/>
          <w:highlight w:val="none"/>
          <w:u w:val="single"/>
        </w:rPr>
        <w:t xml:space="preserve">         </w:t>
      </w:r>
      <w:r>
        <w:rPr>
          <w:rFonts w:hint="eastAsia" w:ascii="宋体" w:hAnsi="宋体" w:cs="宋体"/>
          <w:color w:val="auto"/>
          <w:sz w:val="24"/>
          <w:szCs w:val="22"/>
          <w:highlight w:val="none"/>
        </w:rPr>
        <w:t>采购文件，经仔细阅读和研究，我们决定参加此次</w:t>
      </w:r>
      <w:r>
        <w:rPr>
          <w:rFonts w:hint="eastAsia" w:ascii="宋体" w:hAnsi="宋体" w:cs="宋体"/>
          <w:color w:val="auto"/>
          <w:sz w:val="24"/>
          <w:szCs w:val="22"/>
          <w:highlight w:val="none"/>
          <w:u w:val="single"/>
        </w:rPr>
        <w:t xml:space="preserve">              （项目名称）              </w:t>
      </w:r>
      <w:r>
        <w:rPr>
          <w:rFonts w:hint="eastAsia" w:ascii="宋体" w:hAnsi="宋体" w:cs="宋体"/>
          <w:color w:val="auto"/>
          <w:sz w:val="24"/>
          <w:szCs w:val="22"/>
          <w:highlight w:val="none"/>
        </w:rPr>
        <w:t>的投标。</w:t>
      </w:r>
    </w:p>
    <w:p w14:paraId="092C0D3C">
      <w:pPr>
        <w:pStyle w:val="289"/>
        <w:spacing w:after="0" w:line="360" w:lineRule="auto"/>
        <w:ind w:left="0" w:firstLine="720"/>
        <w:rPr>
          <w:rFonts w:ascii="宋体" w:hAnsi="宋体" w:eastAsia="宋体" w:cs="宋体"/>
          <w:bCs/>
          <w:color w:val="auto"/>
          <w:sz w:val="24"/>
          <w:szCs w:val="24"/>
          <w:highlight w:val="none"/>
        </w:rPr>
      </w:pPr>
      <w:r>
        <w:rPr>
          <w:rFonts w:hint="eastAsia" w:ascii="宋体" w:hAnsi="宋体" w:eastAsia="宋体" w:cs="宋体"/>
          <w:color w:val="auto"/>
          <w:sz w:val="24"/>
          <w:szCs w:val="22"/>
          <w:highlight w:val="none"/>
        </w:rPr>
        <w:t>二、我方愿意提供北京建智达工程管理股份有限公司在采购文件中要求的文件、资料。</w:t>
      </w:r>
    </w:p>
    <w:p w14:paraId="7A045C7C">
      <w:pPr>
        <w:tabs>
          <w:tab w:val="left" w:pos="525"/>
          <w:tab w:val="left" w:pos="552"/>
          <w:tab w:val="left" w:pos="63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三、我们同意按照采购文件中的规定，本投标文件报价的有效期限为投标截止之日起90天。</w:t>
      </w:r>
    </w:p>
    <w:p w14:paraId="145CE8E7">
      <w:pPr>
        <w:tabs>
          <w:tab w:val="left" w:pos="525"/>
          <w:tab w:val="left" w:pos="552"/>
          <w:tab w:val="left" w:pos="630"/>
          <w:tab w:val="left" w:pos="945"/>
        </w:tabs>
        <w:spacing w:line="360" w:lineRule="auto"/>
        <w:ind w:firstLine="480"/>
        <w:rPr>
          <w:rFonts w:ascii="宋体" w:hAnsi="宋体" w:cs="宋体"/>
          <w:bCs/>
          <w:color w:val="auto"/>
          <w:sz w:val="24"/>
          <w:highlight w:val="none"/>
        </w:rPr>
      </w:pPr>
      <w:r>
        <w:rPr>
          <w:rFonts w:hint="eastAsia" w:ascii="宋体" w:hAnsi="宋体" w:cs="宋体"/>
          <w:color w:val="auto"/>
          <w:sz w:val="24"/>
          <w:highlight w:val="none"/>
        </w:rPr>
        <w:t>四、我方同意按照采购文件中的规定期限内完成全部工作。</w:t>
      </w:r>
    </w:p>
    <w:p w14:paraId="4B5F901A">
      <w:pPr>
        <w:tabs>
          <w:tab w:val="left" w:pos="525"/>
          <w:tab w:val="left" w:pos="552"/>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五、如果我们的投标文件被接受，我们将履行采购文件中规定的每一项要求，按期、按质、按量，完成任务。</w:t>
      </w:r>
    </w:p>
    <w:p w14:paraId="2C281967">
      <w:pPr>
        <w:tabs>
          <w:tab w:val="left" w:pos="525"/>
          <w:tab w:val="left" w:pos="552"/>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六、我方认为贵单位有权决定中标者。</w:t>
      </w:r>
    </w:p>
    <w:p w14:paraId="196343BC">
      <w:pPr>
        <w:tabs>
          <w:tab w:val="left" w:pos="525"/>
          <w:tab w:val="left" w:pos="630"/>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七、我方愿意遵守《中华人民共和国政府采购法》，并按照《中华人民共和国民法典》和合同条款履行自己的全部责任。在合同履行过程中，双方如有争议，按相关法规和有关文件规定处理。</w:t>
      </w:r>
    </w:p>
    <w:p w14:paraId="102A496F">
      <w:pPr>
        <w:tabs>
          <w:tab w:val="left" w:pos="525"/>
          <w:tab w:val="left" w:pos="552"/>
          <w:tab w:val="left" w:pos="945"/>
        </w:tabs>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八、如果我方被确定为中标供应商，我方如无不可抗力，又未履行采购文件、投标文件和合同条款的，一经查实，我方愿意赔偿由此而造成的一切损失，并同意接受按采购文件的相关要求对我方进行的处理。</w:t>
      </w:r>
    </w:p>
    <w:p w14:paraId="414FDB66">
      <w:pPr>
        <w:spacing w:line="400" w:lineRule="exact"/>
        <w:ind w:firstLine="480"/>
        <w:rPr>
          <w:rFonts w:ascii="宋体" w:hAnsi="宋体" w:cs="宋体"/>
          <w:bCs/>
          <w:color w:val="auto"/>
          <w:sz w:val="24"/>
          <w:highlight w:val="none"/>
        </w:rPr>
      </w:pPr>
    </w:p>
    <w:p w14:paraId="2FA0BB1C">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投标供应商（盖章）：     </w:t>
      </w:r>
    </w:p>
    <w:p w14:paraId="4436FFF5">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法定代表人或法定代表人授权代表签字或盖章：</w:t>
      </w:r>
    </w:p>
    <w:p w14:paraId="0D062B3B">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电话：                              传真：</w:t>
      </w:r>
    </w:p>
    <w:p w14:paraId="40B52603">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地址：                              邮编：                             </w:t>
      </w:r>
    </w:p>
    <w:p w14:paraId="0080280C">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开户名称：</w:t>
      </w:r>
    </w:p>
    <w:p w14:paraId="4F8CF780">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 xml:space="preserve">开户银行：                   </w:t>
      </w:r>
    </w:p>
    <w:p w14:paraId="6DFFCA9B">
      <w:pPr>
        <w:spacing w:line="400" w:lineRule="exact"/>
        <w:ind w:firstLine="480"/>
        <w:rPr>
          <w:rFonts w:ascii="宋体" w:hAnsi="宋体" w:cs="宋体"/>
          <w:bCs/>
          <w:color w:val="auto"/>
          <w:sz w:val="24"/>
          <w:szCs w:val="22"/>
          <w:highlight w:val="none"/>
        </w:rPr>
      </w:pPr>
      <w:r>
        <w:rPr>
          <w:rFonts w:hint="eastAsia" w:ascii="宋体" w:hAnsi="宋体" w:cs="宋体"/>
          <w:bCs/>
          <w:color w:val="auto"/>
          <w:sz w:val="24"/>
          <w:szCs w:val="22"/>
          <w:highlight w:val="none"/>
        </w:rPr>
        <w:t>开户账号：</w:t>
      </w:r>
    </w:p>
    <w:p w14:paraId="090C9133">
      <w:pPr>
        <w:spacing w:line="400" w:lineRule="exact"/>
        <w:ind w:left="840"/>
        <w:jc w:val="center"/>
        <w:rPr>
          <w:rFonts w:ascii="宋体" w:hAnsi="宋体" w:cs="宋体"/>
          <w:b/>
          <w:color w:val="auto"/>
          <w:sz w:val="28"/>
          <w:szCs w:val="28"/>
          <w:highlight w:val="none"/>
        </w:rPr>
      </w:pPr>
    </w:p>
    <w:p w14:paraId="422B12CA">
      <w:pPr>
        <w:rPr>
          <w:rFonts w:ascii="黑体" w:hAnsi="宋体" w:eastAsia="黑体"/>
          <w:bCs/>
          <w:color w:val="auto"/>
          <w:sz w:val="24"/>
          <w:highlight w:val="none"/>
        </w:rPr>
      </w:pPr>
      <w:r>
        <w:rPr>
          <w:rFonts w:hint="eastAsia" w:ascii="黑体" w:hAnsi="宋体" w:eastAsia="黑体"/>
          <w:bCs/>
          <w:color w:val="auto"/>
          <w:sz w:val="24"/>
          <w:highlight w:val="none"/>
        </w:rPr>
        <w:br w:type="page" w:clear="all"/>
      </w:r>
    </w:p>
    <w:p w14:paraId="097CB13E">
      <w:pPr>
        <w:jc w:val="left"/>
        <w:outlineLvl w:val="0"/>
        <w:rPr>
          <w:rFonts w:ascii="黑体" w:hAnsi="宋体" w:eastAsia="黑体"/>
          <w:bCs/>
          <w:color w:val="auto"/>
          <w:sz w:val="24"/>
          <w:szCs w:val="22"/>
          <w:highlight w:val="none"/>
        </w:rPr>
      </w:pPr>
      <w:r>
        <w:rPr>
          <w:rFonts w:hint="eastAsia" w:ascii="黑体" w:hAnsi="宋体" w:eastAsia="黑体"/>
          <w:bCs/>
          <w:color w:val="auto"/>
          <w:sz w:val="24"/>
          <w:highlight w:val="none"/>
        </w:rPr>
        <w:t xml:space="preserve">（二） </w:t>
      </w:r>
      <w:r>
        <w:rPr>
          <w:rFonts w:hint="eastAsia" w:ascii="黑体" w:hAnsi="宋体" w:eastAsia="黑体"/>
          <w:bCs/>
          <w:color w:val="auto"/>
          <w:sz w:val="24"/>
          <w:szCs w:val="22"/>
          <w:highlight w:val="none"/>
        </w:rPr>
        <w:t>关于资格的声明函（格式）</w:t>
      </w:r>
    </w:p>
    <w:p w14:paraId="0FA8538B">
      <w:pPr>
        <w:spacing w:line="360" w:lineRule="auto"/>
        <w:jc w:val="center"/>
        <w:rPr>
          <w:rFonts w:hAnsi="宋体"/>
          <w:color w:val="auto"/>
          <w:sz w:val="24"/>
          <w:highlight w:val="none"/>
        </w:rPr>
      </w:pPr>
    </w:p>
    <w:p w14:paraId="4799C1EE">
      <w:pPr>
        <w:jc w:val="center"/>
        <w:outlineLvl w:val="0"/>
        <w:rPr>
          <w:rFonts w:hAnsi="宋体" w:cs="宋体"/>
          <w:b/>
          <w:bCs/>
          <w:color w:val="auto"/>
          <w:sz w:val="30"/>
          <w:szCs w:val="30"/>
          <w:highlight w:val="none"/>
        </w:rPr>
      </w:pPr>
      <w:r>
        <w:rPr>
          <w:rFonts w:hint="eastAsia" w:hAnsi="宋体" w:cs="宋体"/>
          <w:b/>
          <w:bCs/>
          <w:color w:val="auto"/>
          <w:sz w:val="30"/>
          <w:szCs w:val="30"/>
          <w:highlight w:val="none"/>
        </w:rPr>
        <w:t>关于资格的声明函</w:t>
      </w:r>
    </w:p>
    <w:p w14:paraId="70B19768">
      <w:pPr>
        <w:spacing w:line="360" w:lineRule="auto"/>
        <w:jc w:val="center"/>
        <w:rPr>
          <w:rFonts w:hAnsi="宋体"/>
          <w:color w:val="auto"/>
          <w:sz w:val="24"/>
          <w:highlight w:val="none"/>
        </w:rPr>
      </w:pPr>
    </w:p>
    <w:p w14:paraId="680A69B7">
      <w:pPr>
        <w:spacing w:line="360" w:lineRule="auto"/>
        <w:jc w:val="center"/>
        <w:rPr>
          <w:rFonts w:hAnsi="宋体"/>
          <w:color w:val="auto"/>
          <w:sz w:val="24"/>
          <w:highlight w:val="none"/>
        </w:rPr>
      </w:pPr>
      <w:r>
        <w:rPr>
          <w:rFonts w:hint="eastAsia" w:hAnsi="宋体"/>
          <w:color w:val="auto"/>
          <w:sz w:val="24"/>
          <w:highlight w:val="none"/>
        </w:rPr>
        <w:t>采购编号：</w:t>
      </w:r>
    </w:p>
    <w:p w14:paraId="728671E9">
      <w:pPr>
        <w:spacing w:line="360" w:lineRule="auto"/>
        <w:jc w:val="center"/>
        <w:rPr>
          <w:rFonts w:hAnsi="宋体"/>
          <w:color w:val="auto"/>
          <w:sz w:val="24"/>
          <w:highlight w:val="none"/>
        </w:rPr>
      </w:pPr>
      <w:r>
        <w:rPr>
          <w:rFonts w:hint="eastAsia" w:hAnsi="宋体"/>
          <w:color w:val="auto"/>
          <w:sz w:val="24"/>
          <w:highlight w:val="none"/>
        </w:rPr>
        <w:t xml:space="preserve">    日期：</w:t>
      </w:r>
    </w:p>
    <w:p w14:paraId="2ACCEF15">
      <w:pPr>
        <w:spacing w:line="360" w:lineRule="auto"/>
        <w:jc w:val="center"/>
        <w:rPr>
          <w:rFonts w:hAnsi="宋体"/>
          <w:color w:val="auto"/>
          <w:sz w:val="24"/>
          <w:highlight w:val="none"/>
        </w:rPr>
      </w:pPr>
    </w:p>
    <w:p w14:paraId="12FCC0CA">
      <w:pPr>
        <w:jc w:val="center"/>
        <w:rPr>
          <w:rFonts w:hAnsi="宋体"/>
          <w:color w:val="auto"/>
          <w:highlight w:val="none"/>
        </w:rPr>
      </w:pPr>
    </w:p>
    <w:p w14:paraId="057CB5CA">
      <w:pPr>
        <w:spacing w:line="360" w:lineRule="auto"/>
        <w:rPr>
          <w:rFonts w:hAnsi="宋体"/>
          <w:color w:val="auto"/>
          <w:sz w:val="24"/>
          <w:highlight w:val="none"/>
          <w:u w:val="single"/>
        </w:rPr>
      </w:pPr>
      <w:r>
        <w:rPr>
          <w:rFonts w:hint="eastAsia" w:hAnsi="宋体"/>
          <w:color w:val="auto"/>
          <w:sz w:val="24"/>
          <w:highlight w:val="none"/>
          <w:u w:val="single"/>
        </w:rPr>
        <w:t>北京建智达工程管理股份有限公司：</w:t>
      </w:r>
    </w:p>
    <w:p w14:paraId="1C56C6E6">
      <w:pPr>
        <w:pStyle w:val="242"/>
        <w:spacing w:line="360" w:lineRule="auto"/>
        <w:ind w:left="0" w:right="34" w:firstLine="403"/>
        <w:rPr>
          <w:rFonts w:hAnsi="宋体"/>
          <w:color w:val="auto"/>
          <w:szCs w:val="24"/>
          <w:highlight w:val="none"/>
        </w:rPr>
      </w:pPr>
      <w:r>
        <w:rPr>
          <w:rFonts w:hint="eastAsia" w:hAnsi="宋体"/>
          <w:color w:val="auto"/>
          <w:szCs w:val="24"/>
          <w:highlight w:val="none"/>
        </w:rPr>
        <w:t>我公司（单位）</w:t>
      </w:r>
      <w:r>
        <w:rPr>
          <w:rFonts w:hAnsi="宋体"/>
          <w:color w:val="auto"/>
          <w:szCs w:val="24"/>
          <w:highlight w:val="none"/>
        </w:rPr>
        <w:t>在参加本次政府采购活动前三年内，在经营活动中没有重大违法记录。</w:t>
      </w:r>
    </w:p>
    <w:p w14:paraId="48192817">
      <w:pPr>
        <w:pStyle w:val="242"/>
        <w:spacing w:line="360" w:lineRule="auto"/>
        <w:ind w:left="0" w:right="34" w:firstLine="403"/>
        <w:rPr>
          <w:rFonts w:hAnsi="宋体"/>
          <w:color w:val="auto"/>
          <w:szCs w:val="24"/>
          <w:highlight w:val="none"/>
        </w:rPr>
      </w:pPr>
      <w:r>
        <w:rPr>
          <w:rFonts w:hint="eastAsia" w:hAnsi="宋体"/>
          <w:color w:val="auto"/>
          <w:szCs w:val="24"/>
          <w:highlight w:val="none"/>
        </w:rPr>
        <w:t>我公司愿针对本项目（采购编号：　　　　）进行报价，响应文件中所有关于报价资格的文件、证明、陈述均是真实的、准确的。若有违背，我公司（单位）        愿意承担由此而产生的一切后果。</w:t>
      </w:r>
    </w:p>
    <w:p w14:paraId="0823DF96">
      <w:pPr>
        <w:pStyle w:val="242"/>
        <w:ind w:left="0" w:right="34" w:firstLine="403"/>
        <w:rPr>
          <w:rFonts w:hAnsi="宋体"/>
          <w:color w:val="auto"/>
          <w:szCs w:val="24"/>
          <w:highlight w:val="none"/>
        </w:rPr>
      </w:pPr>
    </w:p>
    <w:p w14:paraId="6345402D">
      <w:pPr>
        <w:pStyle w:val="242"/>
        <w:ind w:left="0" w:right="34" w:firstLine="403"/>
        <w:rPr>
          <w:rFonts w:hAnsi="宋体"/>
          <w:color w:val="auto"/>
          <w:sz w:val="21"/>
          <w:highlight w:val="none"/>
        </w:rPr>
      </w:pPr>
    </w:p>
    <w:p w14:paraId="72BBF182">
      <w:pPr>
        <w:pStyle w:val="242"/>
        <w:ind w:left="0" w:right="34" w:firstLine="403"/>
        <w:rPr>
          <w:rFonts w:hAnsi="宋体"/>
          <w:color w:val="auto"/>
          <w:sz w:val="21"/>
          <w:highlight w:val="none"/>
        </w:rPr>
      </w:pPr>
    </w:p>
    <w:p w14:paraId="2F2D0F66">
      <w:pPr>
        <w:spacing w:line="360" w:lineRule="auto"/>
        <w:outlineLvl w:val="0"/>
        <w:rPr>
          <w:b/>
          <w:bCs/>
          <w:color w:val="auto"/>
          <w:sz w:val="24"/>
          <w:highlight w:val="none"/>
        </w:rPr>
      </w:pPr>
    </w:p>
    <w:p w14:paraId="6EB4899A">
      <w:pPr>
        <w:spacing w:line="360" w:lineRule="auto"/>
        <w:jc w:val="left"/>
        <w:outlineLvl w:val="0"/>
        <w:rPr>
          <w:b/>
          <w:bCs/>
          <w:color w:val="auto"/>
          <w:sz w:val="24"/>
          <w:highlight w:val="none"/>
        </w:rPr>
      </w:pPr>
      <w:r>
        <w:rPr>
          <w:rFonts w:hint="eastAsia"/>
          <w:b/>
          <w:bCs/>
          <w:color w:val="auto"/>
          <w:sz w:val="24"/>
          <w:highlight w:val="none"/>
        </w:rPr>
        <w:t xml:space="preserve">                                  投标供应商（盖章）：</w:t>
      </w:r>
    </w:p>
    <w:p w14:paraId="1F0FD913">
      <w:pPr>
        <w:spacing w:line="360" w:lineRule="auto"/>
        <w:outlineLvl w:val="0"/>
        <w:rPr>
          <w:b/>
          <w:bCs/>
          <w:color w:val="auto"/>
          <w:sz w:val="24"/>
          <w:highlight w:val="none"/>
        </w:rPr>
      </w:pPr>
      <w:r>
        <w:rPr>
          <w:rFonts w:hint="eastAsia"/>
          <w:b/>
          <w:bCs/>
          <w:color w:val="auto"/>
          <w:sz w:val="24"/>
          <w:highlight w:val="none"/>
        </w:rPr>
        <w:t>　　　　　　　　　　　法定代表人或法定代表人授权代表签字或盖章：</w:t>
      </w:r>
    </w:p>
    <w:p w14:paraId="3E0778C2">
      <w:pPr>
        <w:spacing w:line="360" w:lineRule="auto"/>
        <w:outlineLvl w:val="0"/>
        <w:rPr>
          <w:b/>
          <w:bCs/>
          <w:color w:val="auto"/>
          <w:sz w:val="24"/>
          <w:highlight w:val="none"/>
        </w:rPr>
      </w:pPr>
      <w:r>
        <w:rPr>
          <w:rFonts w:hint="eastAsia"/>
          <w:b/>
          <w:bCs/>
          <w:color w:val="auto"/>
          <w:sz w:val="24"/>
          <w:highlight w:val="none"/>
        </w:rPr>
        <w:t xml:space="preserve">                                   年     月     日</w:t>
      </w:r>
    </w:p>
    <w:p w14:paraId="3FB06F90">
      <w:pPr>
        <w:jc w:val="left"/>
        <w:outlineLvl w:val="0"/>
        <w:rPr>
          <w:rFonts w:ascii="黑体" w:hAnsi="宋体" w:eastAsia="黑体"/>
          <w:bCs/>
          <w:color w:val="auto"/>
          <w:sz w:val="24"/>
          <w:highlight w:val="none"/>
        </w:rPr>
      </w:pPr>
    </w:p>
    <w:p w14:paraId="6EB4ACEB">
      <w:pPr>
        <w:jc w:val="left"/>
        <w:outlineLvl w:val="0"/>
        <w:rPr>
          <w:rFonts w:ascii="黑体" w:hAnsi="宋体" w:eastAsia="黑体"/>
          <w:bCs/>
          <w:color w:val="auto"/>
          <w:sz w:val="24"/>
          <w:highlight w:val="none"/>
        </w:rPr>
      </w:pPr>
    </w:p>
    <w:p w14:paraId="245AA9C3">
      <w:pPr>
        <w:jc w:val="left"/>
        <w:outlineLvl w:val="0"/>
        <w:rPr>
          <w:rFonts w:ascii="黑体" w:hAnsi="宋体" w:eastAsia="黑体"/>
          <w:bCs/>
          <w:color w:val="auto"/>
          <w:sz w:val="24"/>
          <w:highlight w:val="none"/>
        </w:rPr>
      </w:pPr>
    </w:p>
    <w:p w14:paraId="452F5104">
      <w:pPr>
        <w:jc w:val="left"/>
        <w:outlineLvl w:val="0"/>
        <w:rPr>
          <w:rFonts w:ascii="黑体" w:hAnsi="宋体" w:eastAsia="黑体"/>
          <w:bCs/>
          <w:color w:val="auto"/>
          <w:sz w:val="24"/>
          <w:highlight w:val="none"/>
        </w:rPr>
      </w:pPr>
    </w:p>
    <w:p w14:paraId="4343E29D">
      <w:pPr>
        <w:tabs>
          <w:tab w:val="left" w:pos="6300"/>
        </w:tabs>
        <w:spacing w:line="480" w:lineRule="auto"/>
        <w:ind w:firstLine="480"/>
        <w:jc w:val="left"/>
        <w:rPr>
          <w:color w:val="auto"/>
          <w:sz w:val="28"/>
          <w:szCs w:val="28"/>
          <w:highlight w:val="none"/>
        </w:rPr>
      </w:pPr>
      <w:r>
        <w:rPr>
          <w:rFonts w:hint="eastAsia" w:ascii="宋体" w:hAnsi="宋体" w:cs="宋体"/>
          <w:color w:val="auto"/>
          <w:sz w:val="24"/>
          <w:highlight w:val="none"/>
        </w:rPr>
        <w:t>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p>
    <w:p w14:paraId="1E598AE9">
      <w:pPr>
        <w:jc w:val="left"/>
        <w:outlineLvl w:val="0"/>
        <w:rPr>
          <w:rFonts w:ascii="黑体" w:hAnsi="宋体" w:eastAsia="黑体"/>
          <w:bCs/>
          <w:color w:val="auto"/>
          <w:sz w:val="24"/>
          <w:highlight w:val="none"/>
        </w:rPr>
      </w:pPr>
    </w:p>
    <w:p w14:paraId="6C32D95E">
      <w:pPr>
        <w:jc w:val="left"/>
        <w:outlineLvl w:val="0"/>
        <w:rPr>
          <w:rFonts w:ascii="黑体" w:hAnsi="宋体" w:eastAsia="黑体"/>
          <w:bCs/>
          <w:color w:val="auto"/>
          <w:sz w:val="24"/>
          <w:highlight w:val="none"/>
        </w:rPr>
      </w:pPr>
    </w:p>
    <w:p w14:paraId="75C9EB59">
      <w:pPr>
        <w:jc w:val="left"/>
        <w:outlineLvl w:val="0"/>
        <w:rPr>
          <w:rFonts w:ascii="黑体" w:hAnsi="宋体" w:eastAsia="黑体"/>
          <w:bCs/>
          <w:color w:val="auto"/>
          <w:sz w:val="24"/>
          <w:highlight w:val="none"/>
        </w:rPr>
      </w:pPr>
    </w:p>
    <w:p w14:paraId="5E56AD71">
      <w:pPr>
        <w:jc w:val="left"/>
        <w:outlineLvl w:val="0"/>
        <w:rPr>
          <w:rFonts w:ascii="黑体" w:hAnsi="宋体" w:eastAsia="黑体"/>
          <w:bCs/>
          <w:color w:val="auto"/>
          <w:sz w:val="24"/>
          <w:highlight w:val="none"/>
        </w:rPr>
      </w:pPr>
    </w:p>
    <w:p w14:paraId="3E48A87C">
      <w:pPr>
        <w:jc w:val="left"/>
        <w:outlineLvl w:val="0"/>
        <w:rPr>
          <w:rFonts w:ascii="黑体" w:hAnsi="宋体" w:eastAsia="黑体"/>
          <w:bCs/>
          <w:color w:val="auto"/>
          <w:sz w:val="24"/>
          <w:highlight w:val="none"/>
        </w:rPr>
      </w:pPr>
    </w:p>
    <w:p w14:paraId="04746E20">
      <w:pPr>
        <w:jc w:val="left"/>
        <w:outlineLvl w:val="0"/>
        <w:rPr>
          <w:rFonts w:ascii="黑体" w:hAnsi="宋体" w:eastAsia="黑体"/>
          <w:bCs/>
          <w:color w:val="auto"/>
          <w:sz w:val="24"/>
          <w:highlight w:val="none"/>
        </w:rPr>
      </w:pPr>
      <w:r>
        <w:rPr>
          <w:rFonts w:hint="eastAsia" w:ascii="黑体" w:hAnsi="宋体" w:eastAsia="黑体"/>
          <w:bCs/>
          <w:color w:val="auto"/>
          <w:sz w:val="24"/>
          <w:highlight w:val="none"/>
        </w:rPr>
        <w:t>（三）法定代表人授权委托书（格式）</w:t>
      </w:r>
    </w:p>
    <w:p w14:paraId="01B16346">
      <w:pPr>
        <w:jc w:val="center"/>
        <w:outlineLvl w:val="0"/>
        <w:rPr>
          <w:rFonts w:hAnsi="宋体" w:cs="宋体"/>
          <w:b/>
          <w:bCs/>
          <w:color w:val="auto"/>
          <w:sz w:val="30"/>
          <w:szCs w:val="30"/>
          <w:highlight w:val="none"/>
        </w:rPr>
      </w:pPr>
    </w:p>
    <w:p w14:paraId="0D3A16E6">
      <w:pPr>
        <w:jc w:val="center"/>
        <w:outlineLvl w:val="0"/>
        <w:rPr>
          <w:rFonts w:hAnsi="宋体"/>
          <w:b/>
          <w:bCs/>
          <w:color w:val="auto"/>
          <w:sz w:val="30"/>
          <w:szCs w:val="30"/>
          <w:highlight w:val="none"/>
        </w:rPr>
      </w:pPr>
      <w:r>
        <w:rPr>
          <w:rFonts w:hint="eastAsia" w:hAnsi="宋体" w:cs="宋体"/>
          <w:b/>
          <w:bCs/>
          <w:color w:val="auto"/>
          <w:sz w:val="30"/>
          <w:szCs w:val="30"/>
          <w:highlight w:val="none"/>
        </w:rPr>
        <w:t>法定代表人授权委托书</w:t>
      </w:r>
    </w:p>
    <w:p w14:paraId="088D3E51">
      <w:pPr>
        <w:jc w:val="left"/>
        <w:outlineLvl w:val="0"/>
        <w:rPr>
          <w:rFonts w:ascii="黑体" w:hAnsi="宋体" w:eastAsia="黑体"/>
          <w:bCs/>
          <w:color w:val="auto"/>
          <w:sz w:val="24"/>
          <w:highlight w:val="none"/>
        </w:rPr>
      </w:pPr>
    </w:p>
    <w:p w14:paraId="2D9C5BD8">
      <w:pPr>
        <w:spacing w:line="360" w:lineRule="auto"/>
        <w:jc w:val="center"/>
        <w:rPr>
          <w:rFonts w:hAnsi="宋体"/>
          <w:color w:val="auto"/>
          <w:sz w:val="24"/>
          <w:highlight w:val="none"/>
        </w:rPr>
      </w:pPr>
      <w:r>
        <w:rPr>
          <w:rFonts w:hint="eastAsia" w:hAnsi="宋体"/>
          <w:color w:val="auto"/>
          <w:sz w:val="24"/>
          <w:highlight w:val="none"/>
        </w:rPr>
        <w:t>采购编号：</w:t>
      </w:r>
    </w:p>
    <w:p w14:paraId="627C416A">
      <w:pPr>
        <w:spacing w:line="360" w:lineRule="auto"/>
        <w:jc w:val="center"/>
        <w:rPr>
          <w:rFonts w:hAnsi="宋体"/>
          <w:color w:val="auto"/>
          <w:sz w:val="24"/>
          <w:highlight w:val="none"/>
        </w:rPr>
      </w:pPr>
      <w:r>
        <w:rPr>
          <w:rFonts w:hint="eastAsia" w:hAnsi="宋体"/>
          <w:color w:val="auto"/>
          <w:sz w:val="24"/>
          <w:highlight w:val="none"/>
        </w:rPr>
        <w:t xml:space="preserve">    日期：</w:t>
      </w:r>
    </w:p>
    <w:p w14:paraId="53E6718C">
      <w:pPr>
        <w:spacing w:line="360" w:lineRule="auto"/>
        <w:rPr>
          <w:rFonts w:hAnsi="宋体"/>
          <w:color w:val="auto"/>
          <w:sz w:val="24"/>
          <w:highlight w:val="none"/>
          <w:u w:val="single"/>
        </w:rPr>
      </w:pPr>
      <w:r>
        <w:rPr>
          <w:rFonts w:hint="eastAsia" w:hAnsi="宋体"/>
          <w:color w:val="auto"/>
          <w:sz w:val="24"/>
          <w:highlight w:val="none"/>
          <w:u w:val="single"/>
        </w:rPr>
        <w:t>北京建智达工程管理股份有限公司：</w:t>
      </w:r>
    </w:p>
    <w:p w14:paraId="4A9EF33B">
      <w:pPr>
        <w:spacing w:line="360" w:lineRule="auto"/>
        <w:rPr>
          <w:rFonts w:hAnsi="宋体"/>
          <w:color w:val="auto"/>
          <w:sz w:val="24"/>
          <w:highlight w:val="none"/>
        </w:rPr>
      </w:pPr>
      <w:r>
        <w:rPr>
          <w:rFonts w:hint="eastAsia" w:hAnsi="宋体"/>
          <w:color w:val="auto"/>
          <w:sz w:val="24"/>
          <w:highlight w:val="none"/>
        </w:rPr>
        <w:t xml:space="preserve">   </w:t>
      </w:r>
      <w:r>
        <w:rPr>
          <w:rFonts w:hint="eastAsia" w:hAnsi="宋体"/>
          <w:color w:val="auto"/>
          <w:sz w:val="24"/>
          <w:highlight w:val="none"/>
          <w:u w:val="single"/>
        </w:rPr>
        <w:t xml:space="preserve">     （投标供应商名称）       </w:t>
      </w:r>
      <w:r>
        <w:rPr>
          <w:rFonts w:hint="eastAsia" w:hAnsi="宋体" w:cs="宋体"/>
          <w:color w:val="auto"/>
          <w:sz w:val="24"/>
          <w:highlight w:val="none"/>
        </w:rPr>
        <w:t>系</w:t>
      </w:r>
      <w:r>
        <w:rPr>
          <w:rFonts w:hint="eastAsia" w:hAnsi="宋体"/>
          <w:color w:val="auto"/>
          <w:sz w:val="24"/>
          <w:highlight w:val="none"/>
        </w:rPr>
        <w:t>中华人民共和国合法企业</w:t>
      </w:r>
    </w:p>
    <w:p w14:paraId="4EE60370">
      <w:pPr>
        <w:spacing w:line="360" w:lineRule="auto"/>
        <w:rPr>
          <w:rFonts w:hAnsi="宋体"/>
          <w:color w:val="auto"/>
          <w:sz w:val="24"/>
          <w:highlight w:val="none"/>
        </w:rPr>
      </w:pPr>
      <w:r>
        <w:rPr>
          <w:rFonts w:hint="eastAsia" w:hAnsi="宋体"/>
          <w:color w:val="auto"/>
          <w:sz w:val="24"/>
          <w:highlight w:val="none"/>
        </w:rPr>
        <w:t>法定地址：                      特授权      代表我公司（单位）全权办理针对本项目（采购编号：          ）的报价等具体工作，并签署全部有关文件、协议及合同。</w:t>
      </w:r>
    </w:p>
    <w:p w14:paraId="691EB3D4">
      <w:pPr>
        <w:spacing w:line="360" w:lineRule="auto"/>
        <w:ind w:firstLine="480"/>
        <w:rPr>
          <w:rFonts w:hAnsi="宋体"/>
          <w:color w:val="auto"/>
          <w:sz w:val="24"/>
          <w:highlight w:val="none"/>
        </w:rPr>
      </w:pPr>
      <w:r>
        <w:rPr>
          <w:rFonts w:hint="eastAsia" w:hAnsi="宋体"/>
          <w:color w:val="auto"/>
          <w:sz w:val="24"/>
          <w:highlight w:val="none"/>
        </w:rPr>
        <w:t>我公司（单位）对被授权人的签名负全部责任。</w:t>
      </w:r>
    </w:p>
    <w:p w14:paraId="59E5CB8B">
      <w:pPr>
        <w:spacing w:line="360" w:lineRule="auto"/>
        <w:ind w:firstLine="480"/>
        <w:rPr>
          <w:rFonts w:hAnsi="宋体"/>
          <w:color w:val="auto"/>
          <w:sz w:val="24"/>
          <w:highlight w:val="none"/>
        </w:rPr>
      </w:pPr>
      <w:r>
        <w:rPr>
          <w:rFonts w:hint="eastAsia" w:hAnsi="宋体"/>
          <w:color w:val="auto"/>
          <w:sz w:val="24"/>
          <w:highlight w:val="none"/>
        </w:rPr>
        <w:t>在撤销授权的书面通知送达你处以前，本授权书一直有效，被授权人签署的所有文件（在授权书有效期内签署的）不因授权的撤销而失效。被授权人有（无）转委托权。</w:t>
      </w:r>
    </w:p>
    <w:p w14:paraId="5FBE732E">
      <w:pPr>
        <w:spacing w:line="360" w:lineRule="auto"/>
        <w:ind w:firstLine="480"/>
        <w:rPr>
          <w:rFonts w:hAnsi="宋体"/>
          <w:color w:val="auto"/>
          <w:sz w:val="24"/>
          <w:highlight w:val="none"/>
        </w:rPr>
      </w:pPr>
      <w:r>
        <w:rPr>
          <w:rFonts w:hint="eastAsia" w:hAnsi="宋体"/>
          <w:color w:val="auto"/>
          <w:sz w:val="24"/>
          <w:highlight w:val="none"/>
        </w:rPr>
        <w:t>被授权人情况：</w:t>
      </w:r>
    </w:p>
    <w:p w14:paraId="285583D4">
      <w:pPr>
        <w:spacing w:line="360" w:lineRule="auto"/>
        <w:ind w:firstLine="480"/>
        <w:rPr>
          <w:rFonts w:hAnsi="宋体"/>
          <w:color w:val="auto"/>
          <w:sz w:val="24"/>
          <w:highlight w:val="none"/>
        </w:rPr>
      </w:pPr>
      <w:r>
        <w:rPr>
          <w:rFonts w:hint="eastAsia" w:hAnsi="宋体"/>
          <w:color w:val="auto"/>
          <w:sz w:val="24"/>
          <w:highlight w:val="none"/>
        </w:rPr>
        <w:t>姓名：          性别：         年龄：          职务：</w:t>
      </w:r>
    </w:p>
    <w:p w14:paraId="73AF26DE">
      <w:pPr>
        <w:spacing w:line="360" w:lineRule="auto"/>
        <w:ind w:firstLine="480"/>
        <w:rPr>
          <w:rFonts w:hAnsi="宋体"/>
          <w:color w:val="auto"/>
          <w:sz w:val="24"/>
          <w:highlight w:val="none"/>
        </w:rPr>
      </w:pPr>
      <w:r>
        <w:rPr>
          <w:rFonts w:hint="eastAsia" w:hAnsi="宋体"/>
          <w:color w:val="auto"/>
          <w:sz w:val="24"/>
          <w:highlight w:val="none"/>
        </w:rPr>
        <w:t>身份证号码：                   电话：</w:t>
      </w:r>
    </w:p>
    <w:p w14:paraId="2172FE19">
      <w:pPr>
        <w:spacing w:line="360" w:lineRule="auto"/>
        <w:ind w:firstLine="480"/>
        <w:rPr>
          <w:rFonts w:hAnsi="宋体"/>
          <w:color w:val="auto"/>
          <w:sz w:val="24"/>
          <w:highlight w:val="none"/>
        </w:rPr>
      </w:pPr>
      <w:r>
        <w:rPr>
          <w:rFonts w:hint="eastAsia" w:hAnsi="宋体"/>
          <w:color w:val="auto"/>
          <w:sz w:val="24"/>
          <w:highlight w:val="none"/>
        </w:rPr>
        <w:t>通讯地址：</w:t>
      </w:r>
    </w:p>
    <w:p w14:paraId="538ACAD7">
      <w:pPr>
        <w:spacing w:line="360" w:lineRule="auto"/>
        <w:ind w:firstLine="480"/>
        <w:rPr>
          <w:rFonts w:hAnsi="宋体"/>
          <w:color w:val="auto"/>
          <w:sz w:val="24"/>
          <w:highlight w:val="none"/>
        </w:rPr>
      </w:pPr>
      <w:r>
        <w:rPr>
          <w:rFonts w:hint="eastAsia" w:hAnsi="宋体"/>
          <w:color w:val="auto"/>
          <w:sz w:val="24"/>
          <w:highlight w:val="none"/>
        </w:rPr>
        <w:t xml:space="preserve">                                投标供应商（盖章）：</w:t>
      </w:r>
    </w:p>
    <w:p w14:paraId="0E947812">
      <w:pPr>
        <w:spacing w:line="360" w:lineRule="auto"/>
        <w:ind w:firstLine="4320"/>
        <w:rPr>
          <w:rFonts w:hAnsi="宋体"/>
          <w:color w:val="auto"/>
          <w:sz w:val="24"/>
          <w:highlight w:val="none"/>
        </w:rPr>
      </w:pPr>
      <w:r>
        <w:rPr>
          <w:rFonts w:hint="eastAsia" w:hAnsi="宋体"/>
          <w:color w:val="auto"/>
          <w:sz w:val="24"/>
          <w:highlight w:val="none"/>
        </w:rPr>
        <w:t>法定代表人（签字或盖章）：</w:t>
      </w:r>
    </w:p>
    <w:p w14:paraId="70CEF578">
      <w:pPr>
        <w:spacing w:line="360" w:lineRule="auto"/>
        <w:ind w:firstLine="4320"/>
        <w:rPr>
          <w:rFonts w:hAnsi="宋体"/>
          <w:color w:val="auto"/>
          <w:sz w:val="24"/>
          <w:highlight w:val="none"/>
        </w:rPr>
      </w:pPr>
      <w:r>
        <w:rPr>
          <w:rFonts w:hint="eastAsia" w:hAnsi="宋体"/>
          <w:color w:val="auto"/>
          <w:sz w:val="24"/>
          <w:highlight w:val="none"/>
        </w:rPr>
        <w:t>年     月     日</w:t>
      </w:r>
    </w:p>
    <w:p w14:paraId="4EABFFDE">
      <w:pPr>
        <w:spacing w:line="360" w:lineRule="auto"/>
        <w:ind w:firstLine="5760"/>
        <w:rPr>
          <w:rFonts w:hAnsi="宋体"/>
          <w:color w:val="auto"/>
          <w:sz w:val="24"/>
          <w:highlight w:val="none"/>
        </w:rPr>
      </w:pPr>
    </w:p>
    <w:tbl>
      <w:tblPr>
        <w:tblStyle w:val="40"/>
        <w:tblW w:w="101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034DA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4680" w:type="dxa"/>
          </w:tcPr>
          <w:p w14:paraId="3783CA7B">
            <w:pPr>
              <w:widowControl/>
              <w:spacing w:before="4" w:line="360" w:lineRule="auto"/>
              <w:rPr>
                <w:rFonts w:hAnsi="宋体"/>
                <w:color w:val="auto"/>
                <w:sz w:val="24"/>
                <w:highlight w:val="none"/>
              </w:rPr>
            </w:pPr>
          </w:p>
          <w:p w14:paraId="55FB9A90">
            <w:pPr>
              <w:widowControl/>
              <w:spacing w:before="4" w:line="360" w:lineRule="auto"/>
              <w:rPr>
                <w:rFonts w:hAnsi="宋体"/>
                <w:color w:val="auto"/>
                <w:sz w:val="24"/>
                <w:highlight w:val="none"/>
              </w:rPr>
            </w:pPr>
          </w:p>
          <w:p w14:paraId="306563E6">
            <w:pPr>
              <w:widowControl/>
              <w:spacing w:before="4" w:line="360" w:lineRule="auto"/>
              <w:jc w:val="center"/>
              <w:rPr>
                <w:rFonts w:hAnsi="宋体"/>
                <w:color w:val="auto"/>
                <w:sz w:val="24"/>
                <w:highlight w:val="none"/>
              </w:rPr>
            </w:pPr>
            <w:r>
              <w:rPr>
                <w:rFonts w:hint="eastAsia" w:hAnsi="宋体"/>
                <w:color w:val="auto"/>
                <w:sz w:val="24"/>
                <w:highlight w:val="none"/>
              </w:rPr>
              <w:t>法定代表人身份证复印件正反面</w:t>
            </w:r>
          </w:p>
        </w:tc>
        <w:tc>
          <w:tcPr>
            <w:tcW w:w="720" w:type="dxa"/>
            <w:tcBorders>
              <w:top w:val="nil"/>
              <w:bottom w:val="nil"/>
            </w:tcBorders>
          </w:tcPr>
          <w:p w14:paraId="3CB64360">
            <w:pPr>
              <w:widowControl/>
              <w:jc w:val="left"/>
              <w:rPr>
                <w:rFonts w:hAnsi="宋体"/>
                <w:color w:val="auto"/>
                <w:sz w:val="24"/>
                <w:highlight w:val="none"/>
              </w:rPr>
            </w:pPr>
          </w:p>
        </w:tc>
        <w:tc>
          <w:tcPr>
            <w:tcW w:w="4792" w:type="dxa"/>
          </w:tcPr>
          <w:p w14:paraId="37438507">
            <w:pPr>
              <w:widowControl/>
              <w:spacing w:before="4" w:line="360" w:lineRule="auto"/>
              <w:rPr>
                <w:rFonts w:hAnsi="宋体"/>
                <w:color w:val="auto"/>
                <w:sz w:val="24"/>
                <w:highlight w:val="none"/>
              </w:rPr>
            </w:pPr>
          </w:p>
          <w:p w14:paraId="34533E80">
            <w:pPr>
              <w:widowControl/>
              <w:spacing w:before="4" w:line="360" w:lineRule="auto"/>
              <w:rPr>
                <w:rFonts w:hAnsi="宋体"/>
                <w:color w:val="auto"/>
                <w:sz w:val="24"/>
                <w:highlight w:val="none"/>
              </w:rPr>
            </w:pPr>
          </w:p>
          <w:p w14:paraId="78918FFC">
            <w:pPr>
              <w:widowControl/>
              <w:spacing w:before="4" w:line="360" w:lineRule="auto"/>
              <w:jc w:val="center"/>
              <w:rPr>
                <w:rFonts w:hAnsi="宋体"/>
                <w:color w:val="auto"/>
                <w:sz w:val="24"/>
                <w:highlight w:val="none"/>
              </w:rPr>
            </w:pPr>
            <w:r>
              <w:rPr>
                <w:rFonts w:hint="eastAsia" w:hAnsi="宋体"/>
                <w:color w:val="auto"/>
                <w:sz w:val="24"/>
                <w:highlight w:val="none"/>
              </w:rPr>
              <w:t>授权代表身份证复印件正反面</w:t>
            </w:r>
          </w:p>
        </w:tc>
      </w:tr>
    </w:tbl>
    <w:p w14:paraId="5629A3C7">
      <w:pPr>
        <w:widowControl/>
        <w:spacing w:line="360" w:lineRule="auto"/>
        <w:rPr>
          <w:rFonts w:hAnsi="宋体" w:cs="宋体"/>
          <w:b/>
          <w:bCs/>
          <w:color w:val="auto"/>
          <w:sz w:val="30"/>
          <w:szCs w:val="30"/>
          <w:highlight w:val="none"/>
        </w:rPr>
      </w:pPr>
    </w:p>
    <w:p w14:paraId="167CDFC4">
      <w:pPr>
        <w:widowControl/>
        <w:spacing w:line="360" w:lineRule="auto"/>
        <w:rPr>
          <w:rFonts w:hAnsi="宋体" w:cs="宋体"/>
          <w:b/>
          <w:bCs/>
          <w:color w:val="auto"/>
          <w:sz w:val="30"/>
          <w:szCs w:val="30"/>
          <w:highlight w:val="none"/>
        </w:rPr>
      </w:pPr>
    </w:p>
    <w:p w14:paraId="4FA11DD8">
      <w:pPr>
        <w:pStyle w:val="221"/>
        <w:ind w:firstLine="0"/>
        <w:rPr>
          <w:rFonts w:hAnsi="宋体" w:cs="宋体"/>
          <w:b/>
          <w:color w:val="auto"/>
          <w:sz w:val="30"/>
          <w:szCs w:val="30"/>
          <w:highlight w:val="none"/>
        </w:rPr>
      </w:pPr>
    </w:p>
    <w:p w14:paraId="7302D7C9">
      <w:pPr>
        <w:spacing w:line="360" w:lineRule="auto"/>
        <w:jc w:val="left"/>
        <w:rPr>
          <w:rStyle w:val="499"/>
          <w:rFonts w:ascii="黑体" w:hAnsi="黑体" w:eastAsia="黑体" w:cs="黑体"/>
          <w:color w:val="auto"/>
          <w:sz w:val="28"/>
          <w:szCs w:val="28"/>
          <w:highlight w:val="none"/>
        </w:rPr>
      </w:pPr>
    </w:p>
    <w:p w14:paraId="4F1D1E93">
      <w:pPr>
        <w:jc w:val="left"/>
        <w:outlineLvl w:val="0"/>
        <w:rPr>
          <w:rFonts w:ascii="黑体" w:hAnsi="宋体" w:eastAsia="黑体"/>
          <w:bCs/>
          <w:color w:val="auto"/>
          <w:sz w:val="24"/>
          <w:highlight w:val="none"/>
        </w:rPr>
      </w:pPr>
      <w:r>
        <w:rPr>
          <w:rFonts w:hint="eastAsia" w:ascii="黑体" w:hAnsi="宋体" w:eastAsia="黑体"/>
          <w:bCs/>
          <w:color w:val="auto"/>
          <w:sz w:val="24"/>
          <w:highlight w:val="none"/>
        </w:rPr>
        <w:t>（四）法定代表人亲自参加投标的需提供</w:t>
      </w:r>
    </w:p>
    <w:p w14:paraId="2B2ABE40">
      <w:pPr>
        <w:spacing w:line="360" w:lineRule="auto"/>
        <w:jc w:val="center"/>
        <w:rPr>
          <w:rStyle w:val="499"/>
          <w:rFonts w:ascii="黑体" w:hAnsi="黑体" w:eastAsia="黑体" w:cs="黑体"/>
          <w:color w:val="auto"/>
          <w:sz w:val="28"/>
          <w:szCs w:val="28"/>
          <w:highlight w:val="none"/>
        </w:rPr>
      </w:pPr>
    </w:p>
    <w:p w14:paraId="21D176B7">
      <w:pPr>
        <w:spacing w:line="360" w:lineRule="auto"/>
        <w:jc w:val="center"/>
        <w:rPr>
          <w:rStyle w:val="499"/>
          <w:rFonts w:ascii="黑体" w:hAnsi="黑体" w:eastAsia="黑体"/>
          <w:color w:val="auto"/>
          <w:sz w:val="28"/>
          <w:szCs w:val="28"/>
          <w:highlight w:val="none"/>
        </w:rPr>
      </w:pPr>
      <w:r>
        <w:rPr>
          <w:rStyle w:val="499"/>
          <w:rFonts w:hint="eastAsia" w:ascii="黑体" w:hAnsi="黑体" w:eastAsia="黑体" w:cs="黑体"/>
          <w:color w:val="auto"/>
          <w:sz w:val="28"/>
          <w:szCs w:val="28"/>
          <w:highlight w:val="none"/>
        </w:rPr>
        <w:t>法定代表人身份证明书（格式）</w:t>
      </w:r>
    </w:p>
    <w:p w14:paraId="7BC41FAC">
      <w:pPr>
        <w:spacing w:line="360" w:lineRule="auto"/>
        <w:ind w:firstLine="612"/>
        <w:rPr>
          <w:rStyle w:val="499"/>
          <w:rFonts w:ascii="宋体"/>
          <w:color w:val="auto"/>
          <w:sz w:val="24"/>
          <w:highlight w:val="none"/>
        </w:rPr>
      </w:pPr>
      <w:r>
        <w:rPr>
          <w:rStyle w:val="499"/>
          <w:rFonts w:hint="eastAsia" w:ascii="宋体" w:hAnsi="宋体" w:cs="宋体"/>
          <w:color w:val="auto"/>
          <w:sz w:val="24"/>
          <w:highlight w:val="none"/>
        </w:rPr>
        <w:t>单位名称：</w:t>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p>
    <w:p w14:paraId="2DFFF77B">
      <w:pPr>
        <w:spacing w:line="360" w:lineRule="auto"/>
        <w:ind w:firstLine="612"/>
        <w:rPr>
          <w:rStyle w:val="499"/>
          <w:rFonts w:ascii="宋体"/>
          <w:color w:val="auto"/>
          <w:sz w:val="24"/>
          <w:highlight w:val="none"/>
        </w:rPr>
      </w:pPr>
    </w:p>
    <w:p w14:paraId="4FC5F609">
      <w:pPr>
        <w:spacing w:line="360" w:lineRule="auto"/>
        <w:ind w:firstLine="610"/>
        <w:rPr>
          <w:rStyle w:val="499"/>
          <w:rFonts w:ascii="宋体"/>
          <w:color w:val="auto"/>
          <w:sz w:val="24"/>
          <w:highlight w:val="none"/>
          <w:u w:val="single"/>
        </w:rPr>
      </w:pPr>
      <w:r>
        <w:rPr>
          <w:rStyle w:val="499"/>
          <w:rFonts w:hint="eastAsia" w:ascii="宋体" w:hAnsi="宋体" w:cs="宋体"/>
          <w:color w:val="auto"/>
          <w:sz w:val="24"/>
          <w:highlight w:val="none"/>
        </w:rPr>
        <w:t>单位性质：</w:t>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p>
    <w:p w14:paraId="787C94A1">
      <w:pPr>
        <w:spacing w:line="360" w:lineRule="auto"/>
        <w:ind w:firstLine="610"/>
        <w:rPr>
          <w:rStyle w:val="499"/>
          <w:rFonts w:ascii="宋体"/>
          <w:color w:val="auto"/>
          <w:sz w:val="24"/>
          <w:highlight w:val="none"/>
        </w:rPr>
      </w:pPr>
    </w:p>
    <w:p w14:paraId="5E5ECAC4">
      <w:pPr>
        <w:spacing w:line="360" w:lineRule="auto"/>
        <w:ind w:firstLine="610"/>
        <w:rPr>
          <w:rStyle w:val="499"/>
          <w:rFonts w:ascii="宋体"/>
          <w:color w:val="auto"/>
          <w:sz w:val="24"/>
          <w:highlight w:val="none"/>
          <w:u w:val="single"/>
        </w:rPr>
      </w:pPr>
      <w:r>
        <w:rPr>
          <w:rStyle w:val="499"/>
          <w:rFonts w:hint="eastAsia" w:ascii="宋体" w:hAnsi="宋体" w:cs="宋体"/>
          <w:color w:val="auto"/>
          <w:sz w:val="24"/>
          <w:highlight w:val="none"/>
        </w:rPr>
        <w:t>地址：</w:t>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r>
        <w:rPr>
          <w:rStyle w:val="499"/>
          <w:rFonts w:ascii="宋体"/>
          <w:color w:val="auto"/>
          <w:sz w:val="24"/>
          <w:highlight w:val="none"/>
          <w:u w:val="single"/>
        </w:rPr>
        <w:tab/>
      </w:r>
    </w:p>
    <w:p w14:paraId="759598CB">
      <w:pPr>
        <w:spacing w:line="360" w:lineRule="auto"/>
        <w:ind w:firstLine="610"/>
        <w:rPr>
          <w:rStyle w:val="499"/>
          <w:rFonts w:ascii="宋体"/>
          <w:color w:val="auto"/>
          <w:sz w:val="24"/>
          <w:highlight w:val="none"/>
        </w:rPr>
      </w:pPr>
      <w:r>
        <w:rPr>
          <w:rStyle w:val="499"/>
          <w:rFonts w:hint="eastAsia" w:ascii="宋体"/>
          <w:color w:val="auto"/>
          <w:sz w:val="24"/>
          <w:highlight w:val="none"/>
        </w:rPr>
        <w:t xml:space="preserve">  </w:t>
      </w:r>
    </w:p>
    <w:p w14:paraId="07138A8D">
      <w:pPr>
        <w:spacing w:line="360" w:lineRule="auto"/>
        <w:ind w:firstLine="610"/>
        <w:rPr>
          <w:rStyle w:val="499"/>
          <w:rFonts w:ascii="宋体"/>
          <w:color w:val="auto"/>
          <w:sz w:val="24"/>
          <w:highlight w:val="none"/>
        </w:rPr>
      </w:pPr>
      <w:r>
        <w:rPr>
          <w:rStyle w:val="499"/>
          <w:rFonts w:hint="eastAsia" w:ascii="宋体" w:hAnsi="宋体" w:cs="宋体"/>
          <w:color w:val="auto"/>
          <w:sz w:val="24"/>
          <w:highlight w:val="none"/>
        </w:rPr>
        <w:t>成立时间：</w:t>
      </w:r>
      <w:r>
        <w:rPr>
          <w:rStyle w:val="499"/>
          <w:rFonts w:hint="eastAsia" w:ascii="宋体" w:hAnsi="宋体" w:cs="宋体"/>
          <w:color w:val="auto"/>
          <w:sz w:val="24"/>
          <w:highlight w:val="none"/>
          <w:u w:val="single"/>
        </w:rPr>
        <w:t xml:space="preserve">    </w:t>
      </w:r>
      <w:r>
        <w:rPr>
          <w:rStyle w:val="499"/>
          <w:rFonts w:hint="eastAsia" w:ascii="宋体" w:hAnsi="宋体" w:cs="宋体"/>
          <w:color w:val="auto"/>
          <w:sz w:val="24"/>
          <w:highlight w:val="none"/>
        </w:rPr>
        <w:t>年</w:t>
      </w:r>
      <w:r>
        <w:rPr>
          <w:rStyle w:val="499"/>
          <w:rFonts w:hint="eastAsia" w:ascii="宋体" w:hAnsi="宋体" w:cs="宋体"/>
          <w:color w:val="auto"/>
          <w:sz w:val="24"/>
          <w:highlight w:val="none"/>
          <w:u w:val="single"/>
        </w:rPr>
        <w:t xml:space="preserve">  </w:t>
      </w:r>
      <w:r>
        <w:rPr>
          <w:rStyle w:val="499"/>
          <w:rFonts w:hint="eastAsia" w:ascii="宋体" w:hAnsi="宋体" w:cs="宋体"/>
          <w:color w:val="auto"/>
          <w:sz w:val="24"/>
          <w:highlight w:val="none"/>
        </w:rPr>
        <w:t>月</w:t>
      </w:r>
      <w:r>
        <w:rPr>
          <w:rStyle w:val="499"/>
          <w:rFonts w:hint="eastAsia" w:ascii="宋体" w:hAnsi="宋体" w:cs="宋体"/>
          <w:color w:val="auto"/>
          <w:sz w:val="24"/>
          <w:highlight w:val="none"/>
          <w:u w:val="single"/>
        </w:rPr>
        <w:t xml:space="preserve">    </w:t>
      </w:r>
      <w:r>
        <w:rPr>
          <w:rStyle w:val="499"/>
          <w:rFonts w:hint="eastAsia" w:ascii="宋体" w:hAnsi="宋体" w:cs="宋体"/>
          <w:color w:val="auto"/>
          <w:sz w:val="24"/>
          <w:highlight w:val="none"/>
        </w:rPr>
        <w:t>日</w:t>
      </w:r>
    </w:p>
    <w:p w14:paraId="13B6FECB">
      <w:pPr>
        <w:spacing w:line="360" w:lineRule="auto"/>
        <w:ind w:firstLine="610"/>
        <w:rPr>
          <w:rStyle w:val="499"/>
          <w:rFonts w:ascii="宋体"/>
          <w:color w:val="auto"/>
          <w:sz w:val="24"/>
          <w:highlight w:val="none"/>
        </w:rPr>
      </w:pPr>
    </w:p>
    <w:p w14:paraId="6E5974BB">
      <w:pPr>
        <w:spacing w:line="360" w:lineRule="auto"/>
        <w:ind w:firstLine="610"/>
        <w:rPr>
          <w:rStyle w:val="499"/>
          <w:rFonts w:ascii="宋体"/>
          <w:color w:val="auto"/>
          <w:sz w:val="24"/>
          <w:highlight w:val="none"/>
          <w:u w:val="single"/>
        </w:rPr>
      </w:pPr>
      <w:r>
        <w:rPr>
          <w:rStyle w:val="499"/>
          <w:rFonts w:hint="eastAsia" w:ascii="宋体" w:hAnsi="宋体" w:cs="宋体"/>
          <w:color w:val="auto"/>
          <w:sz w:val="24"/>
          <w:highlight w:val="none"/>
        </w:rPr>
        <w:t>经营期限：</w:t>
      </w:r>
      <w:r>
        <w:rPr>
          <w:rStyle w:val="499"/>
          <w:rFonts w:ascii="宋体"/>
          <w:color w:val="auto"/>
          <w:sz w:val="24"/>
          <w:highlight w:val="none"/>
          <w:u w:val="single"/>
        </w:rPr>
        <w:tab/>
      </w:r>
      <w:r>
        <w:rPr>
          <w:rStyle w:val="499"/>
          <w:rFonts w:ascii="宋体"/>
          <w:color w:val="auto"/>
          <w:sz w:val="24"/>
          <w:highlight w:val="none"/>
          <w:u w:val="single"/>
        </w:rPr>
        <w:tab/>
      </w:r>
    </w:p>
    <w:p w14:paraId="78E0129B">
      <w:pPr>
        <w:spacing w:line="360" w:lineRule="auto"/>
        <w:ind w:firstLine="610"/>
        <w:rPr>
          <w:rStyle w:val="499"/>
          <w:rFonts w:ascii="宋体"/>
          <w:color w:val="auto"/>
          <w:sz w:val="24"/>
          <w:highlight w:val="none"/>
        </w:rPr>
      </w:pPr>
    </w:p>
    <w:p w14:paraId="4736BB12">
      <w:pPr>
        <w:spacing w:line="360" w:lineRule="auto"/>
        <w:ind w:firstLine="610"/>
        <w:rPr>
          <w:rStyle w:val="499"/>
          <w:rFonts w:ascii="宋体"/>
          <w:color w:val="auto"/>
          <w:sz w:val="24"/>
          <w:highlight w:val="none"/>
          <w:u w:val="single"/>
        </w:rPr>
      </w:pPr>
      <w:r>
        <w:rPr>
          <w:rStyle w:val="499"/>
          <w:rFonts w:hint="eastAsia" w:ascii="宋体" w:hAnsi="宋体" w:cs="宋体"/>
          <w:color w:val="auto"/>
          <w:sz w:val="24"/>
          <w:highlight w:val="none"/>
        </w:rPr>
        <w:t>姓名：</w:t>
      </w:r>
      <w:r>
        <w:rPr>
          <w:rStyle w:val="499"/>
          <w:rFonts w:hint="eastAsia" w:ascii="宋体" w:hAnsi="宋体" w:cs="宋体"/>
          <w:color w:val="auto"/>
          <w:sz w:val="24"/>
          <w:highlight w:val="none"/>
          <w:u w:val="single"/>
        </w:rPr>
        <w:t xml:space="preserve">       </w:t>
      </w:r>
      <w:r>
        <w:rPr>
          <w:rStyle w:val="499"/>
          <w:rFonts w:hint="eastAsia" w:ascii="宋体" w:hAnsi="宋体" w:cs="宋体"/>
          <w:color w:val="auto"/>
          <w:sz w:val="24"/>
          <w:highlight w:val="none"/>
        </w:rPr>
        <w:t xml:space="preserve"> 性别：</w:t>
      </w:r>
      <w:r>
        <w:rPr>
          <w:rStyle w:val="499"/>
          <w:rFonts w:hint="eastAsia" w:ascii="宋体" w:hAnsi="宋体" w:cs="宋体"/>
          <w:color w:val="auto"/>
          <w:sz w:val="24"/>
          <w:highlight w:val="none"/>
          <w:u w:val="single"/>
        </w:rPr>
        <w:t xml:space="preserve">       </w:t>
      </w:r>
      <w:r>
        <w:rPr>
          <w:rStyle w:val="499"/>
          <w:rFonts w:hint="eastAsia" w:ascii="宋体" w:hAnsi="宋体" w:cs="宋体"/>
          <w:color w:val="auto"/>
          <w:sz w:val="24"/>
          <w:highlight w:val="none"/>
        </w:rPr>
        <w:t xml:space="preserve"> 年龄：</w:t>
      </w:r>
      <w:r>
        <w:rPr>
          <w:rStyle w:val="499"/>
          <w:rFonts w:hint="eastAsia" w:ascii="宋体" w:hAnsi="宋体" w:cs="宋体"/>
          <w:color w:val="auto"/>
          <w:sz w:val="24"/>
          <w:highlight w:val="none"/>
          <w:u w:val="single"/>
        </w:rPr>
        <w:t xml:space="preserve">       </w:t>
      </w:r>
      <w:r>
        <w:rPr>
          <w:rStyle w:val="499"/>
          <w:rFonts w:hint="eastAsia" w:ascii="宋体" w:hAnsi="宋体" w:cs="宋体"/>
          <w:color w:val="auto"/>
          <w:sz w:val="24"/>
          <w:highlight w:val="none"/>
        </w:rPr>
        <w:t xml:space="preserve">  职务：</w:t>
      </w:r>
      <w:r>
        <w:rPr>
          <w:rStyle w:val="499"/>
          <w:rFonts w:ascii="宋体"/>
          <w:color w:val="auto"/>
          <w:sz w:val="24"/>
          <w:highlight w:val="none"/>
          <w:u w:val="single"/>
        </w:rPr>
        <w:tab/>
      </w:r>
      <w:r>
        <w:rPr>
          <w:rStyle w:val="499"/>
          <w:rFonts w:ascii="宋体"/>
          <w:color w:val="auto"/>
          <w:sz w:val="24"/>
          <w:highlight w:val="none"/>
          <w:u w:val="single"/>
        </w:rPr>
        <w:tab/>
      </w:r>
    </w:p>
    <w:p w14:paraId="19B377A2">
      <w:pPr>
        <w:spacing w:line="360" w:lineRule="auto"/>
        <w:ind w:firstLine="610"/>
        <w:rPr>
          <w:rStyle w:val="499"/>
          <w:rFonts w:ascii="宋体"/>
          <w:color w:val="auto"/>
          <w:sz w:val="24"/>
          <w:highlight w:val="none"/>
        </w:rPr>
      </w:pPr>
    </w:p>
    <w:p w14:paraId="15015061">
      <w:pPr>
        <w:spacing w:line="360" w:lineRule="auto"/>
        <w:ind w:firstLine="610"/>
        <w:rPr>
          <w:rStyle w:val="499"/>
          <w:rFonts w:ascii="宋体"/>
          <w:color w:val="auto"/>
          <w:sz w:val="24"/>
          <w:highlight w:val="none"/>
        </w:rPr>
      </w:pPr>
      <w:r>
        <w:rPr>
          <w:rStyle w:val="499"/>
          <w:rFonts w:hint="eastAsia" w:ascii="宋体" w:hAnsi="宋体" w:cs="宋体"/>
          <w:color w:val="auto"/>
          <w:sz w:val="24"/>
          <w:highlight w:val="none"/>
        </w:rPr>
        <w:t>系的法定代表人。</w:t>
      </w:r>
    </w:p>
    <w:p w14:paraId="6E755A80">
      <w:pPr>
        <w:spacing w:line="360" w:lineRule="auto"/>
        <w:ind w:firstLine="610"/>
        <w:rPr>
          <w:rStyle w:val="499"/>
          <w:rFonts w:ascii="宋体"/>
          <w:color w:val="auto"/>
          <w:sz w:val="24"/>
          <w:highlight w:val="none"/>
        </w:rPr>
      </w:pPr>
    </w:p>
    <w:p w14:paraId="271DC25C">
      <w:pPr>
        <w:spacing w:line="360" w:lineRule="auto"/>
        <w:ind w:firstLine="610"/>
        <w:rPr>
          <w:rStyle w:val="499"/>
          <w:rFonts w:ascii="宋体"/>
          <w:color w:val="auto"/>
          <w:sz w:val="24"/>
          <w:highlight w:val="none"/>
        </w:rPr>
      </w:pPr>
      <w:r>
        <w:rPr>
          <w:rStyle w:val="499"/>
          <w:rFonts w:hint="eastAsia" w:ascii="宋体" w:hAnsi="宋体" w:cs="宋体"/>
          <w:color w:val="auto"/>
          <w:sz w:val="24"/>
          <w:highlight w:val="none"/>
        </w:rPr>
        <w:t>特此证明。</w:t>
      </w:r>
    </w:p>
    <w:p w14:paraId="3BB5FF97">
      <w:pPr>
        <w:tabs>
          <w:tab w:val="left" w:pos="720"/>
          <w:tab w:val="left" w:pos="900"/>
        </w:tabs>
        <w:spacing w:line="360" w:lineRule="auto"/>
        <w:ind w:firstLine="4560"/>
        <w:rPr>
          <w:rStyle w:val="499"/>
          <w:rFonts w:ascii="宋体"/>
          <w:color w:val="auto"/>
          <w:sz w:val="24"/>
          <w:highlight w:val="none"/>
        </w:rPr>
      </w:pPr>
    </w:p>
    <w:p w14:paraId="501B1839">
      <w:pPr>
        <w:tabs>
          <w:tab w:val="left" w:pos="720"/>
          <w:tab w:val="left" w:pos="900"/>
        </w:tabs>
        <w:spacing w:line="600" w:lineRule="auto"/>
        <w:ind w:firstLine="4800"/>
        <w:rPr>
          <w:rStyle w:val="499"/>
          <w:rFonts w:ascii="宋体"/>
          <w:color w:val="auto"/>
          <w:sz w:val="24"/>
          <w:highlight w:val="none"/>
        </w:rPr>
      </w:pPr>
      <w:r>
        <w:rPr>
          <w:rStyle w:val="499"/>
          <w:rFonts w:hint="eastAsia" w:ascii="宋体" w:hAnsi="宋体" w:cs="宋体"/>
          <w:color w:val="auto"/>
          <w:sz w:val="24"/>
          <w:highlight w:val="none"/>
        </w:rPr>
        <w:t>投标供应商：</w:t>
      </w:r>
      <w:r>
        <w:rPr>
          <w:rStyle w:val="499"/>
          <w:rFonts w:hint="eastAsia" w:ascii="宋体" w:hAnsi="宋体" w:cs="宋体"/>
          <w:color w:val="auto"/>
          <w:sz w:val="24"/>
          <w:highlight w:val="none"/>
          <w:u w:val="single"/>
        </w:rPr>
        <w:t>（盖公章）</w:t>
      </w:r>
    </w:p>
    <w:p w14:paraId="3A7D30C7">
      <w:pPr>
        <w:ind w:right="480" w:firstLine="5280"/>
        <w:rPr>
          <w:rStyle w:val="499"/>
          <w:rFonts w:ascii="宋体" w:hAnsi="宋体" w:cs="宋体"/>
          <w:color w:val="auto"/>
          <w:sz w:val="24"/>
          <w:highlight w:val="none"/>
        </w:rPr>
      </w:pPr>
      <w:r>
        <w:rPr>
          <w:rStyle w:val="499"/>
          <w:rFonts w:hint="eastAsia" w:ascii="宋体" w:hAnsi="宋体" w:cs="宋体"/>
          <w:color w:val="auto"/>
          <w:sz w:val="24"/>
          <w:highlight w:val="none"/>
        </w:rPr>
        <w:t>日期：  年  月  日</w:t>
      </w:r>
    </w:p>
    <w:p w14:paraId="6FC5159C">
      <w:pPr>
        <w:ind w:right="480" w:firstLine="5280"/>
        <w:rPr>
          <w:rStyle w:val="499"/>
          <w:rFonts w:ascii="宋体" w:hAnsi="宋体" w:cs="宋体"/>
          <w:color w:val="auto"/>
          <w:sz w:val="24"/>
          <w:highlight w:val="none"/>
        </w:rPr>
      </w:pPr>
    </w:p>
    <w:p w14:paraId="76DB0146">
      <w:pPr>
        <w:ind w:right="480" w:firstLine="5280"/>
        <w:rPr>
          <w:rStyle w:val="499"/>
          <w:rFonts w:ascii="宋体" w:hAnsi="宋体" w:cs="宋体"/>
          <w:color w:val="auto"/>
          <w:sz w:val="24"/>
          <w:highlight w:val="none"/>
        </w:rPr>
      </w:pPr>
    </w:p>
    <w:tbl>
      <w:tblPr>
        <w:tblStyle w:val="40"/>
        <w:tblW w:w="101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80"/>
        <w:gridCol w:w="720"/>
        <w:gridCol w:w="4792"/>
      </w:tblGrid>
      <w:tr w14:paraId="41793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20" w:hRule="atLeast"/>
          <w:jc w:val="center"/>
        </w:trPr>
        <w:tc>
          <w:tcPr>
            <w:tcW w:w="4680" w:type="dxa"/>
          </w:tcPr>
          <w:p w14:paraId="4ACCC128">
            <w:pPr>
              <w:widowControl/>
              <w:spacing w:before="4" w:line="360" w:lineRule="auto"/>
              <w:rPr>
                <w:rFonts w:hAnsi="宋体"/>
                <w:color w:val="auto"/>
                <w:sz w:val="24"/>
                <w:highlight w:val="none"/>
              </w:rPr>
            </w:pPr>
          </w:p>
          <w:p w14:paraId="2C1AF692">
            <w:pPr>
              <w:widowControl/>
              <w:spacing w:before="4" w:line="360" w:lineRule="auto"/>
              <w:rPr>
                <w:rFonts w:hAnsi="宋体"/>
                <w:color w:val="auto"/>
                <w:sz w:val="24"/>
                <w:highlight w:val="none"/>
              </w:rPr>
            </w:pPr>
          </w:p>
          <w:p w14:paraId="21720D1E">
            <w:pPr>
              <w:widowControl/>
              <w:spacing w:before="4" w:line="360" w:lineRule="auto"/>
              <w:jc w:val="center"/>
              <w:rPr>
                <w:rFonts w:hAnsi="宋体"/>
                <w:color w:val="auto"/>
                <w:sz w:val="24"/>
                <w:highlight w:val="none"/>
              </w:rPr>
            </w:pPr>
            <w:r>
              <w:rPr>
                <w:rFonts w:hint="eastAsia" w:hAnsi="宋体"/>
                <w:color w:val="auto"/>
                <w:sz w:val="24"/>
                <w:highlight w:val="none"/>
              </w:rPr>
              <w:t>法定代表人身份证复印件正反面</w:t>
            </w:r>
          </w:p>
        </w:tc>
        <w:tc>
          <w:tcPr>
            <w:tcW w:w="720" w:type="dxa"/>
            <w:tcBorders>
              <w:top w:val="nil"/>
              <w:bottom w:val="nil"/>
            </w:tcBorders>
          </w:tcPr>
          <w:p w14:paraId="2F6DF5B7">
            <w:pPr>
              <w:widowControl/>
              <w:jc w:val="left"/>
              <w:rPr>
                <w:rFonts w:hAnsi="宋体"/>
                <w:color w:val="auto"/>
                <w:sz w:val="24"/>
                <w:highlight w:val="none"/>
              </w:rPr>
            </w:pPr>
          </w:p>
        </w:tc>
        <w:tc>
          <w:tcPr>
            <w:tcW w:w="4792" w:type="dxa"/>
          </w:tcPr>
          <w:p w14:paraId="287841B4">
            <w:pPr>
              <w:widowControl/>
              <w:spacing w:before="4" w:line="360" w:lineRule="auto"/>
              <w:rPr>
                <w:rFonts w:hAnsi="宋体"/>
                <w:color w:val="auto"/>
                <w:sz w:val="24"/>
                <w:highlight w:val="none"/>
              </w:rPr>
            </w:pPr>
          </w:p>
          <w:p w14:paraId="287D5029">
            <w:pPr>
              <w:widowControl/>
              <w:spacing w:before="4" w:line="360" w:lineRule="auto"/>
              <w:rPr>
                <w:rFonts w:hAnsi="宋体"/>
                <w:color w:val="auto"/>
                <w:sz w:val="24"/>
                <w:highlight w:val="none"/>
              </w:rPr>
            </w:pPr>
          </w:p>
          <w:p w14:paraId="6A791074">
            <w:pPr>
              <w:widowControl/>
              <w:spacing w:before="4" w:line="360" w:lineRule="auto"/>
              <w:jc w:val="center"/>
              <w:rPr>
                <w:rFonts w:hAnsi="宋体"/>
                <w:color w:val="auto"/>
                <w:sz w:val="24"/>
                <w:highlight w:val="none"/>
              </w:rPr>
            </w:pPr>
            <w:r>
              <w:rPr>
                <w:rFonts w:hint="eastAsia" w:hAnsi="宋体"/>
                <w:color w:val="auto"/>
                <w:sz w:val="24"/>
                <w:highlight w:val="none"/>
              </w:rPr>
              <w:t>授权代表身份证复印件正反面</w:t>
            </w:r>
          </w:p>
        </w:tc>
      </w:tr>
    </w:tbl>
    <w:p w14:paraId="61596DF7">
      <w:pPr>
        <w:pStyle w:val="221"/>
        <w:ind w:firstLine="0"/>
        <w:rPr>
          <w:rFonts w:ascii="宋体" w:hAnsi="宋体" w:cs="宋体"/>
          <w:b/>
          <w:color w:val="auto"/>
          <w:sz w:val="28"/>
          <w:szCs w:val="28"/>
          <w:highlight w:val="none"/>
        </w:rPr>
      </w:pPr>
    </w:p>
    <w:p w14:paraId="3EDC99F0">
      <w:pPr>
        <w:spacing w:line="360" w:lineRule="auto"/>
        <w:rPr>
          <w:rFonts w:ascii="黑体" w:hAnsi="宋体" w:eastAsia="黑体"/>
          <w:bCs/>
          <w:color w:val="auto"/>
          <w:sz w:val="24"/>
          <w:highlight w:val="none"/>
        </w:rPr>
      </w:pPr>
      <w:r>
        <w:rPr>
          <w:rFonts w:hint="eastAsia" w:ascii="黑体" w:hAnsi="宋体" w:eastAsia="黑体"/>
          <w:bCs/>
          <w:color w:val="auto"/>
          <w:sz w:val="24"/>
          <w:highlight w:val="none"/>
        </w:rPr>
        <w:t>（五）承诺书（格式）</w:t>
      </w:r>
    </w:p>
    <w:p w14:paraId="300A53AC">
      <w:pPr>
        <w:ind w:left="420"/>
        <w:jc w:val="center"/>
        <w:outlineLvl w:val="0"/>
        <w:rPr>
          <w:rFonts w:ascii="黑体" w:hAnsi="宋体" w:eastAsia="黑体"/>
          <w:bCs/>
          <w:color w:val="auto"/>
          <w:sz w:val="32"/>
          <w:szCs w:val="32"/>
          <w:highlight w:val="none"/>
        </w:rPr>
      </w:pPr>
    </w:p>
    <w:p w14:paraId="1738ABE7">
      <w:pPr>
        <w:keepNext/>
        <w:jc w:val="center"/>
        <w:outlineLvl w:val="2"/>
        <w:rPr>
          <w:rFonts w:hAnsi="宋体"/>
          <w:b/>
          <w:color w:val="auto"/>
          <w:sz w:val="28"/>
          <w:szCs w:val="22"/>
          <w:highlight w:val="none"/>
        </w:rPr>
      </w:pPr>
      <w:bookmarkStart w:id="9" w:name="OLE_LINK42"/>
      <w:r>
        <w:rPr>
          <w:rFonts w:hint="eastAsia" w:hAnsi="宋体"/>
          <w:b/>
          <w:color w:val="auto"/>
          <w:sz w:val="28"/>
          <w:szCs w:val="22"/>
          <w:highlight w:val="none"/>
        </w:rPr>
        <w:t>承诺书（廉政承诺书格式）</w:t>
      </w:r>
    </w:p>
    <w:p w14:paraId="74277C28">
      <w:pPr>
        <w:spacing w:line="520" w:lineRule="exact"/>
        <w:ind w:firstLine="480"/>
        <w:rPr>
          <w:rFonts w:hAnsi="宋体"/>
          <w:color w:val="auto"/>
          <w:sz w:val="24"/>
          <w:highlight w:val="none"/>
        </w:rPr>
      </w:pPr>
      <w:r>
        <w:rPr>
          <w:rFonts w:hint="eastAsia" w:hAnsi="宋体"/>
          <w:color w:val="auto"/>
          <w:sz w:val="24"/>
          <w:highlight w:val="none"/>
        </w:rPr>
        <w:t>为了积极配合贵单位的招标工作，有效遏制不公平竞争和违规违纪问题的发生，确保招标工作的公平、公正、公开，我们保证认真贯彻《中华人民共和国政府采购法》等相关规定以及相关廉政要求，特向贵单位承诺如下事项：</w:t>
      </w:r>
    </w:p>
    <w:p w14:paraId="29D2F010">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1.自觉遵守国家法律法规及有关廉政建设制度。</w:t>
      </w:r>
    </w:p>
    <w:p w14:paraId="1C504E1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2.主动了解贵局招投标纪律，积极配合贵局执行招投标廉政建设的有关规定。</w:t>
      </w:r>
    </w:p>
    <w:p w14:paraId="4FD06547">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3.不使用不正当手段妨碍、排挤其他投标单位或串通投标。</w:t>
      </w:r>
    </w:p>
    <w:p w14:paraId="08CA32FB">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4.按照招标文件规定的方式进行投标，不隐瞒本单位投标资质的真实情况，投标资质符合规定。</w:t>
      </w:r>
    </w:p>
    <w:p w14:paraId="5012870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71D2C1BA">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6.不向涉及招标的单位及个人购置或提供通讯工具、交通工具和高档办公用品等。</w:t>
      </w:r>
    </w:p>
    <w:p w14:paraId="3D5EE086">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7.不向涉及招标的单位及个人的配偶、子女、亲属分包此次招标项目。</w:t>
      </w:r>
    </w:p>
    <w:p w14:paraId="7BD85A81">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8.不向涉及招标的单位及个人支付好处费、介绍费。</w:t>
      </w:r>
    </w:p>
    <w:p w14:paraId="3615014C">
      <w:pPr>
        <w:spacing w:line="520" w:lineRule="exact"/>
        <w:ind w:firstLine="480"/>
        <w:rPr>
          <w:rFonts w:ascii="宋体" w:hAnsi="宋体" w:cs="宋体"/>
          <w:color w:val="auto"/>
          <w:sz w:val="24"/>
          <w:highlight w:val="none"/>
        </w:rPr>
      </w:pPr>
      <w:r>
        <w:rPr>
          <w:rFonts w:hint="eastAsia" w:ascii="宋体" w:hAnsi="宋体" w:cs="宋体"/>
          <w:color w:val="auto"/>
          <w:sz w:val="24"/>
          <w:highlight w:val="none"/>
        </w:rPr>
        <w:t>9.一旦发现相关人员在招标过程中有索要财物等不廉政行为，坚决予以抵制，并及时向贵局纪检监察室举报。</w:t>
      </w:r>
    </w:p>
    <w:p w14:paraId="5EDF92F4">
      <w:pPr>
        <w:spacing w:line="520" w:lineRule="exact"/>
        <w:ind w:firstLine="480"/>
        <w:rPr>
          <w:rFonts w:hAnsi="宋体"/>
          <w:color w:val="auto"/>
          <w:sz w:val="24"/>
          <w:highlight w:val="none"/>
        </w:rPr>
      </w:pPr>
      <w:r>
        <w:rPr>
          <w:rFonts w:hint="eastAsia" w:ascii="宋体" w:hAnsi="宋体" w:cs="宋体"/>
          <w:color w:val="auto"/>
          <w:sz w:val="24"/>
          <w:highlight w:val="none"/>
        </w:rPr>
        <w:t>我们若违反上述承</w:t>
      </w:r>
      <w:r>
        <w:rPr>
          <w:rFonts w:hint="eastAsia" w:hAnsi="宋体"/>
          <w:color w:val="auto"/>
          <w:sz w:val="24"/>
          <w:highlight w:val="none"/>
        </w:rPr>
        <w:t>诺，愿接受取消投标资格及其他任何形式的处理。</w:t>
      </w:r>
    </w:p>
    <w:p w14:paraId="42158C62">
      <w:pPr>
        <w:spacing w:line="520" w:lineRule="exact"/>
        <w:ind w:firstLine="480"/>
        <w:rPr>
          <w:rFonts w:hAnsi="宋体"/>
          <w:color w:val="auto"/>
          <w:sz w:val="24"/>
          <w:highlight w:val="none"/>
        </w:rPr>
      </w:pPr>
    </w:p>
    <w:p w14:paraId="4FB75B1A">
      <w:pPr>
        <w:spacing w:line="360" w:lineRule="auto"/>
        <w:ind w:firstLine="480"/>
        <w:rPr>
          <w:rFonts w:hAnsi="宋体"/>
          <w:color w:val="auto"/>
          <w:sz w:val="24"/>
          <w:highlight w:val="none"/>
        </w:rPr>
      </w:pPr>
      <w:r>
        <w:rPr>
          <w:rFonts w:hint="eastAsia" w:hAnsi="宋体"/>
          <w:color w:val="auto"/>
          <w:sz w:val="24"/>
          <w:highlight w:val="none"/>
        </w:rPr>
        <w:t xml:space="preserve">投标供应商（盖章）：             </w:t>
      </w:r>
    </w:p>
    <w:p w14:paraId="482EC392">
      <w:pPr>
        <w:spacing w:line="360" w:lineRule="auto"/>
        <w:ind w:firstLine="480"/>
        <w:rPr>
          <w:rFonts w:hAnsi="宋体"/>
          <w:color w:val="auto"/>
          <w:sz w:val="24"/>
          <w:highlight w:val="none"/>
        </w:rPr>
      </w:pPr>
      <w:r>
        <w:rPr>
          <w:rFonts w:hint="eastAsia" w:hAnsi="宋体"/>
          <w:color w:val="auto"/>
          <w:sz w:val="24"/>
          <w:highlight w:val="none"/>
        </w:rPr>
        <w:t xml:space="preserve">法定代表人或授权代理人：          </w:t>
      </w:r>
      <w:r>
        <w:rPr>
          <w:rFonts w:hAnsi="宋体"/>
          <w:color w:val="auto"/>
          <w:sz w:val="24"/>
          <w:highlight w:val="none"/>
        </w:rPr>
        <w:t>（</w:t>
      </w:r>
      <w:r>
        <w:rPr>
          <w:rFonts w:hint="eastAsia" w:hAnsi="宋体"/>
          <w:color w:val="auto"/>
          <w:sz w:val="24"/>
          <w:highlight w:val="none"/>
        </w:rPr>
        <w:t>签字或盖章</w:t>
      </w:r>
      <w:r>
        <w:rPr>
          <w:rFonts w:hAnsi="宋体"/>
          <w:color w:val="auto"/>
          <w:sz w:val="24"/>
          <w:highlight w:val="none"/>
        </w:rPr>
        <w:t>）</w:t>
      </w:r>
    </w:p>
    <w:p w14:paraId="45118AAF">
      <w:pPr>
        <w:widowControl/>
        <w:spacing w:line="360" w:lineRule="auto"/>
        <w:rPr>
          <w:rFonts w:hAnsi="宋体" w:cs="宋体"/>
          <w:bCs/>
          <w:color w:val="auto"/>
          <w:sz w:val="24"/>
          <w:highlight w:val="none"/>
        </w:rPr>
      </w:pPr>
      <w:r>
        <w:rPr>
          <w:rFonts w:hint="eastAsia" w:hAnsi="宋体"/>
          <w:color w:val="auto"/>
          <w:sz w:val="24"/>
          <w:highlight w:val="none"/>
        </w:rPr>
        <w:t xml:space="preserve">   </w:t>
      </w:r>
      <w:r>
        <w:rPr>
          <w:rFonts w:hint="eastAsia" w:hAnsi="宋体"/>
          <w:color w:val="auto"/>
          <w:sz w:val="24"/>
          <w:szCs w:val="22"/>
          <w:highlight w:val="none"/>
        </w:rPr>
        <w:t xml:space="preserve">    年    月     日</w:t>
      </w:r>
    </w:p>
    <w:p w14:paraId="4D0242D3">
      <w:pPr>
        <w:pStyle w:val="289"/>
        <w:ind w:left="0" w:firstLine="0"/>
        <w:rPr>
          <w:rFonts w:hAnsi="宋体" w:cs="宋体"/>
          <w:bCs/>
          <w:color w:val="auto"/>
          <w:sz w:val="24"/>
          <w:highlight w:val="none"/>
        </w:rPr>
      </w:pPr>
    </w:p>
    <w:bookmarkEnd w:id="9"/>
    <w:p w14:paraId="6ACA7E07">
      <w:pPr>
        <w:rPr>
          <w:rFonts w:hAnsi="宋体" w:cs="宋体"/>
          <w:bCs/>
          <w:color w:val="auto"/>
          <w:sz w:val="24"/>
          <w:highlight w:val="none"/>
        </w:rPr>
      </w:pPr>
    </w:p>
    <w:p w14:paraId="7551C987">
      <w:pPr>
        <w:jc w:val="left"/>
        <w:outlineLvl w:val="0"/>
        <w:rPr>
          <w:rFonts w:ascii="黑体" w:hAnsi="宋体" w:eastAsia="黑体"/>
          <w:bCs/>
          <w:color w:val="auto"/>
          <w:sz w:val="24"/>
          <w:szCs w:val="22"/>
          <w:highlight w:val="none"/>
        </w:rPr>
      </w:pPr>
    </w:p>
    <w:p w14:paraId="5DAD2AF7">
      <w:pPr>
        <w:pStyle w:val="16"/>
        <w:rPr>
          <w:rFonts w:ascii="黑体" w:hAnsi="宋体" w:eastAsia="黑体"/>
          <w:bCs/>
          <w:color w:val="auto"/>
          <w:sz w:val="24"/>
          <w:szCs w:val="22"/>
          <w:highlight w:val="none"/>
        </w:rPr>
      </w:pPr>
    </w:p>
    <w:p w14:paraId="5756275C">
      <w:pPr>
        <w:pStyle w:val="17"/>
        <w:rPr>
          <w:rFonts w:ascii="黑体" w:hAnsi="宋体" w:eastAsia="黑体"/>
          <w:bCs/>
          <w:color w:val="auto"/>
          <w:sz w:val="24"/>
          <w:szCs w:val="22"/>
          <w:highlight w:val="none"/>
        </w:rPr>
      </w:pPr>
    </w:p>
    <w:p w14:paraId="1F30E843">
      <w:pPr>
        <w:rPr>
          <w:rFonts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p>
    <w:p w14:paraId="324B2523">
      <w:pPr>
        <w:pStyle w:val="5"/>
        <w:spacing w:before="120" w:after="120"/>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（六）（投标供应商）中小企业声明函（格式）</w:t>
      </w:r>
    </w:p>
    <w:p w14:paraId="07DC7E8B">
      <w:pPr>
        <w:pStyle w:val="18"/>
        <w:spacing w:line="360" w:lineRule="auto"/>
        <w:ind w:left="0" w:right="34"/>
        <w:rPr>
          <w:rFonts w:ascii="宋体" w:hAnsi="宋体"/>
          <w:color w:val="auto"/>
          <w:highlight w:val="none"/>
        </w:rPr>
      </w:pPr>
      <w:r>
        <w:rPr>
          <w:rFonts w:hint="eastAsia" w:ascii="宋体" w:hAnsi="宋体"/>
          <w:color w:val="auto"/>
          <w:highlight w:val="none"/>
        </w:rPr>
        <w:t>一、常规说明：</w:t>
      </w:r>
    </w:p>
    <w:p w14:paraId="30EF5145">
      <w:pPr>
        <w:pStyle w:val="18"/>
        <w:spacing w:line="360" w:lineRule="auto"/>
        <w:ind w:left="0" w:right="34" w:firstLine="403"/>
        <w:rPr>
          <w:rFonts w:ascii="宋体" w:hAnsi="宋体"/>
          <w:color w:val="auto"/>
          <w:highlight w:val="none"/>
        </w:rPr>
      </w:pPr>
      <w:r>
        <w:rPr>
          <w:rFonts w:hint="eastAsia" w:ascii="宋体" w:hAnsi="宋体"/>
          <w:color w:val="auto"/>
          <w:highlight w:val="none"/>
        </w:rPr>
        <w:t>1.中小企业是指在中华人民共和国境内依法设立，依据国务院批准的中小企业划分标准确定的中型企业、小型企业和微型企业，但与大企业的负责人为同一人，或者与大企业存在直接控股、管理关系的除外。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color w:val="auto"/>
          <w:highlight w:val="none"/>
        </w:rPr>
        <w:t>参与政府采购活动的供应商对其企业规模实行承诺制</w:t>
      </w:r>
      <w:r>
        <w:rPr>
          <w:rFonts w:hint="eastAsia" w:ascii="宋体" w:hAnsi="宋体"/>
          <w:color w:val="auto"/>
          <w:highlight w:val="none"/>
        </w:rPr>
        <w:t>，</w:t>
      </w:r>
      <w:r>
        <w:rPr>
          <w:rFonts w:ascii="宋体" w:hAnsi="宋体"/>
          <w:color w:val="auto"/>
          <w:highlight w:val="none"/>
        </w:rPr>
        <w:t>并对其声明的真实性承担法律责任，在资格审查和评审过程中无需提供证明其企业规模的其他材料</w:t>
      </w:r>
      <w:r>
        <w:rPr>
          <w:rFonts w:hint="eastAsia" w:ascii="宋体" w:hAnsi="宋体"/>
          <w:color w:val="auto"/>
          <w:highlight w:val="none"/>
        </w:rPr>
        <w:t>。</w:t>
      </w:r>
    </w:p>
    <w:p w14:paraId="680D9570">
      <w:pPr>
        <w:pStyle w:val="18"/>
        <w:spacing w:line="360" w:lineRule="auto"/>
        <w:ind w:left="0" w:right="34" w:firstLine="403"/>
        <w:rPr>
          <w:rFonts w:ascii="宋体" w:hAnsi="宋体"/>
          <w:color w:val="auto"/>
          <w:highlight w:val="none"/>
        </w:rPr>
      </w:pPr>
      <w:r>
        <w:rPr>
          <w:rFonts w:hint="eastAsia" w:ascii="宋体" w:hAnsi="宋体"/>
          <w:color w:val="auto"/>
          <w:highlight w:val="none"/>
        </w:rPr>
        <w:t>2.中小企业声明函</w:t>
      </w:r>
      <w:r>
        <w:rPr>
          <w:rFonts w:hint="eastAsia" w:ascii="宋体" w:hAnsi="宋体"/>
          <w:b/>
          <w:bCs/>
          <w:color w:val="auto"/>
          <w:highlight w:val="none"/>
        </w:rPr>
        <w:t>不可删除</w:t>
      </w:r>
      <w:r>
        <w:rPr>
          <w:rFonts w:hint="eastAsia" w:ascii="宋体" w:hAnsi="宋体"/>
          <w:color w:val="auto"/>
          <w:highlight w:val="none"/>
        </w:rPr>
        <w:t>，投标供应商非中小企业，请将空表列入投标文件。</w:t>
      </w:r>
    </w:p>
    <w:p w14:paraId="6C2ACD91">
      <w:pPr>
        <w:pStyle w:val="18"/>
        <w:spacing w:line="360" w:lineRule="auto"/>
        <w:ind w:left="0" w:right="34" w:firstLine="403"/>
        <w:rPr>
          <w:rFonts w:ascii="宋体" w:hAnsi="宋体"/>
          <w:color w:val="auto"/>
          <w:highlight w:val="none"/>
        </w:rPr>
      </w:pPr>
      <w:r>
        <w:rPr>
          <w:rFonts w:hint="eastAsia" w:ascii="宋体" w:hAnsi="宋体"/>
          <w:color w:val="auto"/>
          <w:highlight w:val="none"/>
        </w:rPr>
        <w:t>3.从业人员、营业收入、资产总额填报上一年度数据，无上一年度数据的新成立企业可不填报。</w:t>
      </w:r>
    </w:p>
    <w:p w14:paraId="411D1263">
      <w:pPr>
        <w:pStyle w:val="18"/>
        <w:spacing w:line="360" w:lineRule="auto"/>
        <w:ind w:left="0" w:right="34" w:firstLine="403"/>
        <w:rPr>
          <w:rFonts w:ascii="宋体" w:hAnsi="宋体"/>
          <w:color w:val="auto"/>
          <w:highlight w:val="none"/>
        </w:rPr>
      </w:pPr>
      <w:r>
        <w:rPr>
          <w:rFonts w:hint="eastAsia" w:ascii="宋体" w:hAnsi="宋体"/>
          <w:color w:val="auto"/>
          <w:highlight w:val="none"/>
        </w:rPr>
        <w:t>4.投标供应商需提供《中小企业声明函》方可享受价格扣除。</w:t>
      </w:r>
    </w:p>
    <w:p w14:paraId="13572A39">
      <w:pPr>
        <w:pStyle w:val="18"/>
        <w:spacing w:line="360" w:lineRule="auto"/>
        <w:ind w:left="0" w:right="34" w:firstLine="403"/>
        <w:rPr>
          <w:rFonts w:ascii="宋体" w:hAnsi="宋体"/>
          <w:color w:val="auto"/>
          <w:highlight w:val="none"/>
        </w:rPr>
      </w:pPr>
      <w:r>
        <w:rPr>
          <w:rFonts w:hint="eastAsia" w:ascii="宋体" w:hAnsi="宋体"/>
          <w:color w:val="auto"/>
          <w:highlight w:val="none"/>
        </w:rPr>
        <w:t>5.在货物采购项目中，供应商提供的货物既有中小企业制造的货物，也有大型企业制造的货物的，不享受本办法规定的中小企业扶持政策。</w:t>
      </w:r>
    </w:p>
    <w:p w14:paraId="11FB8069">
      <w:pPr>
        <w:pStyle w:val="18"/>
        <w:spacing w:line="360" w:lineRule="auto"/>
        <w:ind w:left="0" w:right="34" w:firstLine="403"/>
        <w:rPr>
          <w:rFonts w:ascii="宋体" w:hAnsi="宋体"/>
          <w:color w:val="auto"/>
          <w:highlight w:val="none"/>
        </w:rPr>
      </w:pPr>
      <w:r>
        <w:rPr>
          <w:rFonts w:hint="eastAsia" w:ascii="宋体" w:hAnsi="宋体"/>
          <w:color w:val="auto"/>
          <w:highlight w:val="none"/>
        </w:rPr>
        <w:t>6.中标、成交供应商的《中小企业声明函》将随中标、成交公告进行公示。供应商提供声明函内容不实的，属于提供虚假材料谋取中标、成交，依照《中华人民共和国政府采购法》等国家有关规定追究相应责任。</w:t>
      </w:r>
    </w:p>
    <w:p w14:paraId="7879FC5B">
      <w:pPr>
        <w:spacing w:line="480" w:lineRule="auto"/>
        <w:jc w:val="center"/>
        <w:rPr>
          <w:rFonts w:ascii="宋体" w:hAnsi="宋体"/>
          <w:color w:val="auto"/>
          <w:sz w:val="24"/>
          <w:highlight w:val="none"/>
        </w:rPr>
      </w:pPr>
      <w:r>
        <w:rPr>
          <w:rFonts w:hint="eastAsia" w:ascii="宋体" w:hAnsi="宋体"/>
          <w:b/>
          <w:bCs/>
          <w:color w:val="auto"/>
          <w:highlight w:val="none"/>
        </w:rPr>
        <w:br w:type="column"/>
      </w:r>
      <w:r>
        <w:rPr>
          <w:rFonts w:hint="eastAsia" w:ascii="黑体" w:eastAsia="黑体"/>
          <w:bCs/>
          <w:color w:val="auto"/>
          <w:sz w:val="28"/>
          <w:szCs w:val="28"/>
          <w:highlight w:val="none"/>
        </w:rPr>
        <w:t>中小企业声明函</w:t>
      </w:r>
    </w:p>
    <w:p w14:paraId="7AD32272">
      <w:pPr>
        <w:spacing w:line="360" w:lineRule="auto"/>
        <w:jc w:val="center"/>
        <w:rPr>
          <w:rFonts w:ascii="宋体" w:hAnsi="宋体"/>
          <w:color w:val="auto"/>
          <w:sz w:val="24"/>
          <w:highlight w:val="none"/>
        </w:rPr>
      </w:pPr>
      <w:r>
        <w:rPr>
          <w:rFonts w:hint="eastAsia" w:ascii="宋体" w:hAnsi="宋体"/>
          <w:color w:val="auto"/>
          <w:sz w:val="24"/>
          <w:highlight w:val="none"/>
        </w:rPr>
        <w:t>本公司（联合体）郑重声明，根据《政府采购促进中小企业发展管理办法》（财库﹝2020﹞46 号）的规定，本公司（联合体）参加</w:t>
      </w:r>
      <w:r>
        <w:rPr>
          <w:rFonts w:hint="eastAsia" w:ascii="宋体" w:hAnsi="宋体"/>
          <w:color w:val="auto"/>
          <w:sz w:val="24"/>
          <w:highlight w:val="none"/>
          <w:u w:val="single"/>
        </w:rPr>
        <w:t>（单位名称）</w:t>
      </w:r>
      <w:r>
        <w:rPr>
          <w:rFonts w:hint="eastAsia" w:ascii="宋体" w:hAnsi="宋体"/>
          <w:color w:val="auto"/>
          <w:sz w:val="24"/>
          <w:highlight w:val="none"/>
        </w:rPr>
        <w:t>的</w:t>
      </w:r>
      <w:r>
        <w:rPr>
          <w:rFonts w:hint="eastAsia" w:ascii="宋体" w:hAnsi="宋体"/>
          <w:color w:val="auto"/>
          <w:sz w:val="24"/>
          <w:highlight w:val="none"/>
          <w:u w:val="single"/>
        </w:rPr>
        <w:t>（项目名称）</w:t>
      </w:r>
      <w:r>
        <w:rPr>
          <w:rFonts w:hint="eastAsia" w:ascii="宋体" w:hAnsi="宋体"/>
          <w:color w:val="auto"/>
          <w:sz w:val="24"/>
          <w:highlight w:val="none"/>
        </w:rPr>
        <w:t>采购活动，工程的施工单位全部为符合政策要求的中小企业（或者：服务全部由符合政策要求</w:t>
      </w:r>
    </w:p>
    <w:p w14:paraId="10DD6521">
      <w:pPr>
        <w:spacing w:line="360" w:lineRule="auto"/>
        <w:rPr>
          <w:rFonts w:ascii="宋体" w:hAnsi="宋体"/>
          <w:color w:val="auto"/>
          <w:sz w:val="24"/>
          <w:highlight w:val="none"/>
        </w:rPr>
      </w:pPr>
      <w:r>
        <w:rPr>
          <w:rFonts w:hint="eastAsia" w:ascii="宋体" w:hAnsi="宋体"/>
          <w:color w:val="auto"/>
          <w:sz w:val="24"/>
          <w:highlight w:val="none"/>
        </w:rPr>
        <w:t>的中小企业承接）。相关企业（含联合体中的中小企业、签订分包意向协议的中小企业）的具体情况如下：</w:t>
      </w:r>
    </w:p>
    <w:p w14:paraId="187D6441">
      <w:pPr>
        <w:spacing w:line="360" w:lineRule="auto"/>
        <w:ind w:firstLine="48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（标的名称） </w:t>
      </w:r>
      <w:r>
        <w:rPr>
          <w:rFonts w:hint="eastAsia" w:ascii="宋体" w:hAnsi="宋体"/>
          <w:color w:val="auto"/>
          <w:sz w:val="24"/>
          <w:highlight w:val="none"/>
        </w:rPr>
        <w:t>，属于</w:t>
      </w:r>
      <w:r>
        <w:rPr>
          <w:rFonts w:hint="eastAsia" w:ascii="宋体" w:hAnsi="宋体"/>
          <w:color w:val="auto"/>
          <w:sz w:val="24"/>
          <w:highlight w:val="none"/>
          <w:u w:val="single"/>
        </w:rPr>
        <w:t>（招标文件中明确的所属行业）</w:t>
      </w:r>
      <w:r>
        <w:rPr>
          <w:rFonts w:hint="eastAsia" w:ascii="宋体" w:hAnsi="宋体"/>
          <w:color w:val="auto"/>
          <w:sz w:val="24"/>
          <w:highlight w:val="none"/>
        </w:rPr>
        <w:t>；承建（承接）企业为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人，营业收入为万元，资产总额为</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（中型企业、小型企业、微型企业）</w:t>
      </w:r>
      <w:r>
        <w:rPr>
          <w:rFonts w:hint="eastAsia" w:ascii="宋体" w:hAnsi="宋体"/>
          <w:color w:val="auto"/>
          <w:sz w:val="24"/>
          <w:highlight w:val="none"/>
        </w:rPr>
        <w:t>；</w:t>
      </w:r>
    </w:p>
    <w:p w14:paraId="1D7BCD1C">
      <w:pPr>
        <w:spacing w:line="360" w:lineRule="auto"/>
        <w:ind w:firstLine="480"/>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（标的名称）</w:t>
      </w:r>
      <w:r>
        <w:rPr>
          <w:rFonts w:hint="eastAsia" w:ascii="宋体" w:hAnsi="宋体"/>
          <w:color w:val="auto"/>
          <w:sz w:val="24"/>
          <w:highlight w:val="none"/>
        </w:rPr>
        <w:t xml:space="preserve"> ，属于</w:t>
      </w:r>
      <w:r>
        <w:rPr>
          <w:rFonts w:hint="eastAsia" w:ascii="宋体" w:hAnsi="宋体"/>
          <w:color w:val="auto"/>
          <w:sz w:val="24"/>
          <w:highlight w:val="none"/>
          <w:u w:val="single"/>
        </w:rPr>
        <w:t>（招标文件中明确的所属行业）</w:t>
      </w:r>
      <w:r>
        <w:rPr>
          <w:rFonts w:hint="eastAsia" w:ascii="宋体" w:hAnsi="宋体"/>
          <w:color w:val="auto"/>
          <w:sz w:val="24"/>
          <w:highlight w:val="none"/>
        </w:rPr>
        <w:t>； 承建（承接）企业为</w:t>
      </w:r>
      <w:r>
        <w:rPr>
          <w:rFonts w:hint="eastAsia" w:ascii="宋体" w:hAnsi="宋体"/>
          <w:color w:val="auto"/>
          <w:sz w:val="24"/>
          <w:highlight w:val="none"/>
          <w:u w:val="single"/>
        </w:rPr>
        <w:t>（企业名称）</w:t>
      </w:r>
      <w:r>
        <w:rPr>
          <w:rFonts w:hint="eastAsia" w:ascii="宋体" w:hAnsi="宋体"/>
          <w:color w:val="auto"/>
          <w:sz w:val="24"/>
          <w:highlight w:val="none"/>
        </w:rPr>
        <w:t>，从业人员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，营业收入为万元，资产总额为 </w:t>
      </w:r>
      <w:r>
        <w:rPr>
          <w:rFonts w:hint="eastAsia" w:ascii="宋体" w:hAnsi="宋体"/>
          <w:color w:val="auto"/>
          <w:sz w:val="24"/>
          <w:highlight w:val="none"/>
          <w:u w:val="single"/>
        </w:rPr>
        <w:t xml:space="preserve">   </w:t>
      </w:r>
      <w:r>
        <w:rPr>
          <w:rFonts w:hint="eastAsia" w:ascii="宋体" w:hAnsi="宋体"/>
          <w:color w:val="auto"/>
          <w:sz w:val="24"/>
          <w:highlight w:val="none"/>
        </w:rPr>
        <w:t>万元，属于</w:t>
      </w:r>
      <w:r>
        <w:rPr>
          <w:rFonts w:hint="eastAsia" w:ascii="宋体" w:hAnsi="宋体"/>
          <w:color w:val="auto"/>
          <w:sz w:val="24"/>
          <w:highlight w:val="none"/>
          <w:u w:val="single"/>
        </w:rPr>
        <w:t>（中型企业、 小型企业、微型企业）</w:t>
      </w:r>
      <w:r>
        <w:rPr>
          <w:rFonts w:hint="eastAsia" w:ascii="宋体" w:hAnsi="宋体"/>
          <w:color w:val="auto"/>
          <w:sz w:val="24"/>
          <w:highlight w:val="none"/>
        </w:rPr>
        <w:t>；</w:t>
      </w:r>
    </w:p>
    <w:p w14:paraId="31786731">
      <w:pPr>
        <w:spacing w:line="360" w:lineRule="auto"/>
        <w:ind w:firstLine="480"/>
        <w:rPr>
          <w:rFonts w:ascii="宋体" w:hAnsi="宋体"/>
          <w:color w:val="auto"/>
          <w:sz w:val="24"/>
          <w:highlight w:val="none"/>
        </w:rPr>
      </w:pPr>
      <w:r>
        <w:rPr>
          <w:rFonts w:hint="eastAsia" w:ascii="宋体" w:hAnsi="宋体"/>
          <w:color w:val="auto"/>
          <w:sz w:val="24"/>
          <w:highlight w:val="none"/>
        </w:rPr>
        <w:t>……</w:t>
      </w:r>
    </w:p>
    <w:p w14:paraId="731B893B">
      <w:pPr>
        <w:spacing w:line="360" w:lineRule="auto"/>
        <w:ind w:firstLine="480"/>
        <w:rPr>
          <w:rFonts w:ascii="宋体" w:hAnsi="宋体"/>
          <w:color w:val="auto"/>
          <w:sz w:val="24"/>
          <w:highlight w:val="none"/>
        </w:rPr>
      </w:pPr>
      <w:r>
        <w:rPr>
          <w:rFonts w:hint="eastAsia" w:ascii="宋体" w:hAnsi="宋体"/>
          <w:color w:val="auto"/>
          <w:sz w:val="24"/>
          <w:highlight w:val="none"/>
        </w:rPr>
        <w:t>以上企业，不属于大企业的分支机构，不存在控股股东为大企业的情形，也不存在与大企业的负责人为同一人的情形。</w:t>
      </w:r>
    </w:p>
    <w:p w14:paraId="026C92C0">
      <w:pPr>
        <w:spacing w:line="360" w:lineRule="auto"/>
        <w:ind w:firstLine="480"/>
        <w:rPr>
          <w:rFonts w:ascii="宋体" w:hAnsi="宋体"/>
          <w:bCs/>
          <w:color w:val="auto"/>
          <w:sz w:val="24"/>
          <w:highlight w:val="none"/>
        </w:rPr>
      </w:pPr>
      <w:r>
        <w:rPr>
          <w:rFonts w:hint="eastAsia" w:ascii="宋体" w:hAnsi="宋体"/>
          <w:color w:val="auto"/>
          <w:sz w:val="24"/>
          <w:highlight w:val="none"/>
        </w:rPr>
        <w:t xml:space="preserve">本企业对上述声明内容的真实性负责。如有虚假，将依 法承担相应责任。 </w:t>
      </w:r>
    </w:p>
    <w:p w14:paraId="1A467C09">
      <w:pPr>
        <w:spacing w:line="360" w:lineRule="auto"/>
        <w:ind w:firstLine="4800"/>
        <w:rPr>
          <w:rFonts w:ascii="宋体" w:hAnsi="宋体"/>
          <w:bCs/>
          <w:color w:val="auto"/>
          <w:sz w:val="24"/>
          <w:highlight w:val="none"/>
        </w:rPr>
      </w:pPr>
    </w:p>
    <w:p w14:paraId="1D11262A">
      <w:pPr>
        <w:spacing w:line="360" w:lineRule="auto"/>
        <w:ind w:firstLine="4800"/>
        <w:rPr>
          <w:rFonts w:ascii="宋体" w:hAnsi="宋体"/>
          <w:bCs/>
          <w:color w:val="auto"/>
          <w:sz w:val="24"/>
          <w:highlight w:val="none"/>
        </w:rPr>
      </w:pPr>
      <w:r>
        <w:rPr>
          <w:rFonts w:hint="eastAsia" w:ascii="宋体" w:hAnsi="宋体"/>
          <w:bCs/>
          <w:color w:val="auto"/>
          <w:sz w:val="24"/>
          <w:highlight w:val="none"/>
        </w:rPr>
        <w:t>投标供应商（公章）：</w:t>
      </w:r>
    </w:p>
    <w:p w14:paraId="35F1C8EA">
      <w:pPr>
        <w:spacing w:line="360" w:lineRule="auto"/>
        <w:ind w:firstLine="4800"/>
        <w:rPr>
          <w:rFonts w:ascii="宋体" w:hAnsi="宋体"/>
          <w:bCs/>
          <w:color w:val="auto"/>
          <w:sz w:val="24"/>
          <w:highlight w:val="none"/>
        </w:rPr>
      </w:pPr>
      <w:r>
        <w:rPr>
          <w:rFonts w:hint="eastAsia" w:ascii="宋体" w:hAnsi="宋体"/>
          <w:bCs/>
          <w:color w:val="auto"/>
          <w:sz w:val="24"/>
          <w:highlight w:val="none"/>
        </w:rPr>
        <w:t>日　　　　　　期：</w:t>
      </w:r>
    </w:p>
    <w:p w14:paraId="17B58091">
      <w:pPr>
        <w:rPr>
          <w:color w:val="auto"/>
          <w:highlight w:val="none"/>
        </w:rPr>
      </w:pPr>
    </w:p>
    <w:p w14:paraId="29120010">
      <w:pPr>
        <w:rPr>
          <w:color w:val="auto"/>
          <w:highlight w:val="none"/>
        </w:rPr>
      </w:pPr>
    </w:p>
    <w:p w14:paraId="329920EF">
      <w:pPr>
        <w:rPr>
          <w:color w:val="auto"/>
          <w:highlight w:val="none"/>
        </w:rPr>
      </w:pPr>
    </w:p>
    <w:p w14:paraId="3791305D">
      <w:pPr>
        <w:spacing w:line="360" w:lineRule="auto"/>
        <w:rPr>
          <w:rFonts w:ascii="宋体" w:hAnsi="宋体" w:cs="宋体"/>
          <w:color w:val="auto"/>
          <w:sz w:val="24"/>
          <w:highlight w:val="none"/>
        </w:rPr>
      </w:pPr>
      <w:r>
        <w:rPr>
          <w:rFonts w:ascii="宋体" w:hAnsi="宋体" w:cs="宋体"/>
          <w:b/>
          <w:bCs/>
          <w:color w:val="auto"/>
          <w:spacing w:val="-2"/>
          <w:sz w:val="24"/>
          <w:highlight w:val="none"/>
        </w:rPr>
        <w:t>注：</w:t>
      </w:r>
      <w:r>
        <w:rPr>
          <w:rFonts w:hint="eastAsia" w:ascii="宋体" w:hAnsi="宋体" w:cs="宋体"/>
          <w:color w:val="auto"/>
          <w:sz w:val="24"/>
          <w:highlight w:val="none"/>
        </w:rPr>
        <w:t>1.从业人员、营业收入、资产总额填报上一年度数据，无上一年度数据的新成立企业可不填报。</w:t>
      </w:r>
    </w:p>
    <w:p w14:paraId="57F93AD2">
      <w:pPr>
        <w:pStyle w:val="18"/>
        <w:spacing w:line="360" w:lineRule="auto"/>
        <w:ind w:left="0" w:right="34" w:firstLine="480" w:firstLineChars="200"/>
        <w:rPr>
          <w:rFonts w:ascii="宋体" w:hAnsi="宋体" w:cs="宋体"/>
          <w:color w:val="auto"/>
          <w:highlight w:val="none"/>
        </w:rPr>
      </w:pPr>
      <w:r>
        <w:rPr>
          <w:rFonts w:hint="eastAsia" w:ascii="宋体" w:hAnsi="宋体" w:cs="宋体"/>
          <w:color w:val="auto"/>
          <w:highlight w:val="none"/>
        </w:rPr>
        <w:t>2.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0F527EBB">
      <w:pPr>
        <w:spacing w:line="580" w:lineRule="exact"/>
        <w:ind w:firstLine="482"/>
        <w:rPr>
          <w:rFonts w:ascii="宋体" w:hAnsi="宋体"/>
          <w:b/>
          <w:bCs/>
          <w:color w:val="auto"/>
          <w:sz w:val="24"/>
          <w:highlight w:val="none"/>
        </w:rPr>
      </w:pPr>
    </w:p>
    <w:p w14:paraId="6AD489BF">
      <w:pPr>
        <w:spacing w:line="360" w:lineRule="auto"/>
        <w:ind w:firstLine="480"/>
        <w:rPr>
          <w:rFonts w:ascii="宋体" w:hAnsi="宋体"/>
          <w:color w:val="auto"/>
          <w:sz w:val="24"/>
          <w:highlight w:val="none"/>
        </w:rPr>
      </w:pPr>
    </w:p>
    <w:p w14:paraId="76B55EF7">
      <w:pPr>
        <w:jc w:val="left"/>
        <w:outlineLvl w:val="0"/>
        <w:rPr>
          <w:rFonts w:ascii="黑体" w:hAnsi="宋体" w:eastAsia="黑体"/>
          <w:color w:val="auto"/>
          <w:sz w:val="24"/>
          <w:highlight w:val="none"/>
        </w:rPr>
      </w:pPr>
    </w:p>
    <w:p w14:paraId="2709303B">
      <w:pPr>
        <w:jc w:val="left"/>
        <w:rPr>
          <w:rFonts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p>
    <w:p w14:paraId="268BFCB6">
      <w:pPr>
        <w:jc w:val="left"/>
        <w:outlineLvl w:val="0"/>
        <w:rPr>
          <w:rFonts w:ascii="黑体" w:hAnsi="宋体" w:eastAsia="黑体"/>
          <w:color w:val="auto"/>
          <w:sz w:val="24"/>
          <w:highlight w:val="none"/>
        </w:rPr>
      </w:pPr>
      <w:r>
        <w:rPr>
          <w:rFonts w:hint="eastAsia" w:ascii="黑体" w:hAnsi="宋体" w:eastAsia="黑体"/>
          <w:bCs/>
          <w:color w:val="auto"/>
          <w:sz w:val="24"/>
          <w:szCs w:val="22"/>
          <w:highlight w:val="none"/>
        </w:rPr>
        <w:t>（七）残疾人福利性单位声明函（格式）</w:t>
      </w:r>
    </w:p>
    <w:p w14:paraId="636A8B36">
      <w:pPr>
        <w:rPr>
          <w:color w:val="auto"/>
          <w:highlight w:val="none"/>
        </w:rPr>
      </w:pPr>
    </w:p>
    <w:p w14:paraId="096B8032">
      <w:pPr>
        <w:spacing w:line="360" w:lineRule="auto"/>
        <w:jc w:val="center"/>
        <w:outlineLvl w:val="0"/>
        <w:rPr>
          <w:rFonts w:ascii="黑体" w:eastAsia="黑体"/>
          <w:bCs/>
          <w:color w:val="auto"/>
          <w:sz w:val="28"/>
          <w:szCs w:val="28"/>
          <w:highlight w:val="none"/>
        </w:rPr>
      </w:pPr>
    </w:p>
    <w:p w14:paraId="7C21AF04">
      <w:pPr>
        <w:spacing w:line="360" w:lineRule="auto"/>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残疾人福利性单位声明函</w:t>
      </w:r>
    </w:p>
    <w:p w14:paraId="334416C7">
      <w:pPr>
        <w:spacing w:line="360" w:lineRule="auto"/>
        <w:jc w:val="center"/>
        <w:outlineLvl w:val="0"/>
        <w:rPr>
          <w:rFonts w:ascii="黑体" w:eastAsia="黑体"/>
          <w:bCs/>
          <w:color w:val="auto"/>
          <w:sz w:val="28"/>
          <w:szCs w:val="28"/>
          <w:highlight w:val="none"/>
        </w:rPr>
      </w:pPr>
    </w:p>
    <w:p w14:paraId="562AA08A">
      <w:pPr>
        <w:spacing w:line="440" w:lineRule="exact"/>
        <w:ind w:firstLine="480"/>
        <w:outlineLvl w:val="0"/>
        <w:rPr>
          <w:rFonts w:hAnsi="宋体" w:cs="宋体"/>
          <w:color w:val="auto"/>
          <w:sz w:val="24"/>
          <w:highlight w:val="none"/>
        </w:rPr>
      </w:pPr>
      <w:r>
        <w:rPr>
          <w:rFonts w:hint="eastAsia" w:hAnsi="宋体" w:cs="宋体"/>
          <w:color w:val="auto"/>
          <w:sz w:val="24"/>
          <w:highlight w:val="none"/>
        </w:rPr>
        <w:t>本公司郑重承诺，根据《财政部司法部中国残疾人联合会关于促进残疾人就业政府采购政策的通知》（财库〔2017〕141号）的规定，本单位为符合条件的残疾人福利性单位，且本单位参加</w:t>
      </w:r>
      <w:r>
        <w:rPr>
          <w:rFonts w:hint="eastAsia" w:hAnsi="宋体" w:cs="宋体"/>
          <w:color w:val="auto"/>
          <w:sz w:val="24"/>
          <w:highlight w:val="none"/>
          <w:u w:val="single"/>
        </w:rPr>
        <w:t xml:space="preserve">                 </w:t>
      </w:r>
      <w:r>
        <w:rPr>
          <w:rFonts w:hint="eastAsia" w:hAnsi="宋体" w:cs="宋体"/>
          <w:color w:val="auto"/>
          <w:sz w:val="24"/>
          <w:highlight w:val="none"/>
        </w:rPr>
        <w:t>单位的</w:t>
      </w:r>
      <w:r>
        <w:rPr>
          <w:rFonts w:hint="eastAsia" w:hAnsi="宋体" w:cs="宋体"/>
          <w:color w:val="auto"/>
          <w:sz w:val="24"/>
          <w:highlight w:val="none"/>
          <w:u w:val="single"/>
        </w:rPr>
        <w:t xml:space="preserve">           </w:t>
      </w:r>
      <w:r>
        <w:rPr>
          <w:rFonts w:hint="eastAsia" w:hAnsi="宋体" w:cs="宋体"/>
          <w:color w:val="auto"/>
          <w:sz w:val="24"/>
          <w:highlight w:val="none"/>
        </w:rPr>
        <w:t>项目采购活动提供本企业制造的货物，由本公司承担工程、提供服务，或者提供其他残疾人福利性单位制造的货物（不包括使用非残疾人福利性单位注册商标的货物）。</w:t>
      </w:r>
    </w:p>
    <w:p w14:paraId="3C5DBC94">
      <w:pPr>
        <w:spacing w:line="440" w:lineRule="exact"/>
        <w:outlineLvl w:val="0"/>
        <w:rPr>
          <w:rFonts w:hAnsi="宋体" w:cs="宋体"/>
          <w:color w:val="auto"/>
          <w:sz w:val="24"/>
          <w:highlight w:val="none"/>
        </w:rPr>
      </w:pPr>
    </w:p>
    <w:p w14:paraId="73184990">
      <w:pPr>
        <w:spacing w:line="440" w:lineRule="exact"/>
        <w:ind w:firstLine="480"/>
        <w:outlineLvl w:val="0"/>
        <w:rPr>
          <w:rFonts w:hAnsi="宋体" w:cs="宋体"/>
          <w:color w:val="auto"/>
          <w:sz w:val="24"/>
          <w:highlight w:val="none"/>
        </w:rPr>
      </w:pPr>
      <w:r>
        <w:rPr>
          <w:rFonts w:hint="eastAsia" w:hAnsi="宋体" w:cs="宋体"/>
          <w:color w:val="auto"/>
          <w:sz w:val="24"/>
          <w:highlight w:val="none"/>
        </w:rPr>
        <w:t>本公司对上述声明的真实性负责。如有虚假，将依法承担相应责任。</w:t>
      </w:r>
    </w:p>
    <w:p w14:paraId="05CB0450">
      <w:pPr>
        <w:spacing w:line="440" w:lineRule="exact"/>
        <w:outlineLvl w:val="0"/>
        <w:rPr>
          <w:rFonts w:hAnsi="宋体" w:cs="宋体"/>
          <w:color w:val="auto"/>
          <w:sz w:val="24"/>
          <w:highlight w:val="none"/>
        </w:rPr>
      </w:pPr>
    </w:p>
    <w:p w14:paraId="58713339">
      <w:pPr>
        <w:spacing w:line="440" w:lineRule="exact"/>
        <w:outlineLvl w:val="0"/>
        <w:rPr>
          <w:rFonts w:hAnsi="宋体" w:cs="宋体"/>
          <w:color w:val="auto"/>
          <w:sz w:val="24"/>
          <w:highlight w:val="none"/>
        </w:rPr>
      </w:pPr>
      <w:r>
        <w:rPr>
          <w:rFonts w:hAnsi="宋体" w:cs="宋体"/>
          <w:color w:val="auto"/>
          <w:sz w:val="24"/>
          <w:highlight w:val="none"/>
        </w:rPr>
        <w:tab/>
      </w:r>
    </w:p>
    <w:p w14:paraId="09C6FA76">
      <w:pPr>
        <w:spacing w:line="440" w:lineRule="exact"/>
        <w:outlineLvl w:val="0"/>
        <w:rPr>
          <w:rFonts w:hAnsi="宋体" w:cs="宋体"/>
          <w:color w:val="auto"/>
          <w:sz w:val="24"/>
          <w:highlight w:val="none"/>
        </w:rPr>
      </w:pPr>
    </w:p>
    <w:p w14:paraId="318331CC">
      <w:pPr>
        <w:spacing w:line="440" w:lineRule="exact"/>
        <w:jc w:val="right"/>
        <w:outlineLvl w:val="0"/>
        <w:rPr>
          <w:rFonts w:hAnsi="宋体" w:cs="宋体"/>
          <w:color w:val="auto"/>
          <w:sz w:val="24"/>
          <w:highlight w:val="none"/>
        </w:rPr>
      </w:pPr>
      <w:r>
        <w:rPr>
          <w:rFonts w:hint="eastAsia" w:hAnsi="宋体" w:cs="宋体"/>
          <w:color w:val="auto"/>
          <w:sz w:val="24"/>
          <w:highlight w:val="none"/>
        </w:rPr>
        <w:t>企业名称（盖章）：</w:t>
      </w:r>
    </w:p>
    <w:p w14:paraId="111A2A0A">
      <w:pPr>
        <w:spacing w:line="440" w:lineRule="exact"/>
        <w:jc w:val="right"/>
        <w:outlineLvl w:val="0"/>
        <w:rPr>
          <w:rFonts w:hAnsi="宋体" w:cs="宋体"/>
          <w:color w:val="auto"/>
          <w:sz w:val="24"/>
          <w:highlight w:val="none"/>
        </w:rPr>
      </w:pPr>
    </w:p>
    <w:p w14:paraId="33CB8DB0">
      <w:pPr>
        <w:spacing w:line="440" w:lineRule="exact"/>
        <w:jc w:val="right"/>
        <w:outlineLvl w:val="0"/>
        <w:rPr>
          <w:rFonts w:hAnsi="宋体" w:cs="宋体"/>
          <w:color w:val="auto"/>
          <w:sz w:val="24"/>
          <w:highlight w:val="none"/>
        </w:rPr>
      </w:pPr>
      <w:r>
        <w:rPr>
          <w:rFonts w:hint="eastAsia" w:hAnsi="宋体" w:cs="宋体"/>
          <w:color w:val="auto"/>
          <w:sz w:val="24"/>
          <w:highlight w:val="none"/>
        </w:rPr>
        <w:t>日　　　　　　期：</w:t>
      </w:r>
    </w:p>
    <w:p w14:paraId="23075A6D">
      <w:pPr>
        <w:jc w:val="center"/>
        <w:rPr>
          <w:rFonts w:hAnsi="宋体" w:cs="宋体"/>
          <w:b/>
          <w:bCs/>
          <w:color w:val="auto"/>
          <w:sz w:val="32"/>
          <w:szCs w:val="32"/>
          <w:highlight w:val="none"/>
        </w:rPr>
      </w:pPr>
    </w:p>
    <w:p w14:paraId="6C24D7FE">
      <w:pPr>
        <w:jc w:val="center"/>
        <w:rPr>
          <w:rFonts w:hAnsi="宋体" w:cs="宋体"/>
          <w:b/>
          <w:bCs/>
          <w:color w:val="auto"/>
          <w:sz w:val="32"/>
          <w:szCs w:val="32"/>
          <w:highlight w:val="none"/>
        </w:rPr>
      </w:pPr>
    </w:p>
    <w:p w14:paraId="5C7F27A7">
      <w:pPr>
        <w:jc w:val="center"/>
        <w:rPr>
          <w:rFonts w:hAnsi="宋体" w:cs="宋体"/>
          <w:b/>
          <w:bCs/>
          <w:color w:val="auto"/>
          <w:sz w:val="32"/>
          <w:szCs w:val="32"/>
          <w:highlight w:val="none"/>
        </w:rPr>
      </w:pPr>
    </w:p>
    <w:p w14:paraId="15211F97">
      <w:pPr>
        <w:jc w:val="center"/>
        <w:rPr>
          <w:rFonts w:hAnsi="宋体" w:cs="宋体"/>
          <w:b/>
          <w:bCs/>
          <w:color w:val="auto"/>
          <w:sz w:val="32"/>
          <w:szCs w:val="32"/>
          <w:highlight w:val="none"/>
        </w:rPr>
      </w:pPr>
    </w:p>
    <w:p w14:paraId="32C5A93D">
      <w:pPr>
        <w:jc w:val="center"/>
        <w:rPr>
          <w:rFonts w:hAnsi="宋体" w:cs="宋体"/>
          <w:b/>
          <w:bCs/>
          <w:color w:val="auto"/>
          <w:sz w:val="32"/>
          <w:szCs w:val="32"/>
          <w:highlight w:val="none"/>
        </w:rPr>
      </w:pPr>
    </w:p>
    <w:p w14:paraId="63FA6AA4">
      <w:pPr>
        <w:jc w:val="center"/>
        <w:rPr>
          <w:rFonts w:hAnsi="宋体" w:cs="宋体"/>
          <w:b/>
          <w:bCs/>
          <w:color w:val="auto"/>
          <w:sz w:val="32"/>
          <w:szCs w:val="32"/>
          <w:highlight w:val="none"/>
        </w:rPr>
      </w:pPr>
    </w:p>
    <w:p w14:paraId="18D9FB7C">
      <w:pPr>
        <w:jc w:val="center"/>
        <w:rPr>
          <w:rFonts w:hAnsi="宋体" w:cs="宋体"/>
          <w:b/>
          <w:bCs/>
          <w:color w:val="auto"/>
          <w:sz w:val="32"/>
          <w:szCs w:val="32"/>
          <w:highlight w:val="none"/>
        </w:rPr>
      </w:pPr>
    </w:p>
    <w:p w14:paraId="7D9178B8">
      <w:pPr>
        <w:pStyle w:val="237"/>
        <w:rPr>
          <w:color w:val="auto"/>
          <w:highlight w:val="none"/>
        </w:rPr>
      </w:pPr>
    </w:p>
    <w:p w14:paraId="50D11F48">
      <w:pPr>
        <w:pStyle w:val="237"/>
        <w:rPr>
          <w:color w:val="auto"/>
          <w:highlight w:val="none"/>
        </w:rPr>
      </w:pPr>
    </w:p>
    <w:p w14:paraId="01A9F17D">
      <w:pPr>
        <w:jc w:val="left"/>
        <w:outlineLvl w:val="0"/>
        <w:rPr>
          <w:rFonts w:ascii="黑体" w:hAnsi="宋体" w:eastAsia="黑体"/>
          <w:bCs/>
          <w:color w:val="auto"/>
          <w:sz w:val="24"/>
          <w:szCs w:val="22"/>
          <w:highlight w:val="none"/>
        </w:rPr>
      </w:pPr>
    </w:p>
    <w:p w14:paraId="6FA20433">
      <w:pPr>
        <w:jc w:val="left"/>
        <w:outlineLvl w:val="0"/>
        <w:rPr>
          <w:rFonts w:ascii="黑体" w:hAnsi="宋体" w:eastAsia="黑体"/>
          <w:bCs/>
          <w:color w:val="auto"/>
          <w:sz w:val="24"/>
          <w:szCs w:val="22"/>
          <w:highlight w:val="none"/>
        </w:rPr>
      </w:pPr>
    </w:p>
    <w:p w14:paraId="358816C9">
      <w:pPr>
        <w:jc w:val="left"/>
        <w:outlineLvl w:val="0"/>
        <w:rPr>
          <w:rFonts w:ascii="黑体" w:hAnsi="宋体" w:eastAsia="黑体"/>
          <w:bCs/>
          <w:color w:val="auto"/>
          <w:sz w:val="24"/>
          <w:szCs w:val="22"/>
          <w:highlight w:val="none"/>
        </w:rPr>
      </w:pPr>
    </w:p>
    <w:p w14:paraId="40DEDE95">
      <w:pPr>
        <w:jc w:val="left"/>
        <w:outlineLvl w:val="0"/>
        <w:rPr>
          <w:rFonts w:ascii="黑体" w:hAnsi="宋体" w:eastAsia="黑体"/>
          <w:bCs/>
          <w:color w:val="auto"/>
          <w:sz w:val="24"/>
          <w:szCs w:val="22"/>
          <w:highlight w:val="none"/>
        </w:rPr>
      </w:pPr>
    </w:p>
    <w:p w14:paraId="410DD17F">
      <w:pPr>
        <w:jc w:val="left"/>
        <w:outlineLvl w:val="0"/>
        <w:rPr>
          <w:rFonts w:ascii="黑体" w:hAnsi="宋体" w:eastAsia="黑体"/>
          <w:bCs/>
          <w:color w:val="auto"/>
          <w:sz w:val="24"/>
          <w:szCs w:val="22"/>
          <w:highlight w:val="none"/>
        </w:rPr>
      </w:pPr>
    </w:p>
    <w:p w14:paraId="4A2AC708">
      <w:pPr>
        <w:jc w:val="left"/>
        <w:outlineLvl w:val="0"/>
        <w:rPr>
          <w:rFonts w:ascii="黑体" w:hAnsi="宋体" w:eastAsia="黑体"/>
          <w:bCs/>
          <w:color w:val="auto"/>
          <w:sz w:val="24"/>
          <w:szCs w:val="22"/>
          <w:highlight w:val="none"/>
        </w:rPr>
      </w:pPr>
    </w:p>
    <w:p w14:paraId="66226C33">
      <w:pPr>
        <w:jc w:val="left"/>
        <w:outlineLvl w:val="0"/>
        <w:rPr>
          <w:rFonts w:ascii="黑体" w:hAnsi="宋体" w:eastAsia="黑体"/>
          <w:bCs/>
          <w:color w:val="auto"/>
          <w:sz w:val="24"/>
          <w:szCs w:val="22"/>
          <w:highlight w:val="none"/>
        </w:rPr>
      </w:pPr>
    </w:p>
    <w:p w14:paraId="519DC8C0">
      <w:pPr>
        <w:jc w:val="left"/>
        <w:rPr>
          <w:rFonts w:ascii="黑体" w:hAnsi="宋体" w:eastAsia="黑体"/>
          <w:bCs/>
          <w:color w:val="auto"/>
          <w:sz w:val="24"/>
          <w:szCs w:val="22"/>
          <w:highlight w:val="none"/>
        </w:rPr>
      </w:pPr>
      <w:r>
        <w:rPr>
          <w:rFonts w:hint="eastAsia" w:ascii="黑体" w:hAnsi="宋体" w:eastAsia="黑体"/>
          <w:bCs/>
          <w:color w:val="auto"/>
          <w:sz w:val="24"/>
          <w:szCs w:val="22"/>
          <w:highlight w:val="none"/>
        </w:rPr>
        <w:br w:type="page" w:clear="all"/>
      </w:r>
    </w:p>
    <w:p w14:paraId="2D2B60FE">
      <w:pPr>
        <w:jc w:val="left"/>
        <w:outlineLvl w:val="0"/>
        <w:rPr>
          <w:rFonts w:ascii="黑体" w:hAnsi="宋体" w:eastAsia="黑体"/>
          <w:bCs/>
          <w:color w:val="auto"/>
          <w:sz w:val="24"/>
          <w:szCs w:val="22"/>
          <w:highlight w:val="none"/>
        </w:rPr>
      </w:pPr>
      <w:r>
        <w:rPr>
          <w:rFonts w:hint="eastAsia" w:ascii="黑体" w:hAnsi="宋体" w:eastAsia="黑体"/>
          <w:bCs/>
          <w:color w:val="auto"/>
          <w:sz w:val="24"/>
          <w:szCs w:val="22"/>
          <w:highlight w:val="none"/>
        </w:rPr>
        <w:t>（八）投标偏离表（格式）</w:t>
      </w:r>
    </w:p>
    <w:p w14:paraId="7434B1AF">
      <w:pPr>
        <w:spacing w:line="400" w:lineRule="exact"/>
        <w:jc w:val="center"/>
        <w:outlineLvl w:val="0"/>
        <w:rPr>
          <w:rFonts w:ascii="宋体" w:hAnsi="宋体" w:cs="宋体"/>
          <w:bCs/>
          <w:color w:val="auto"/>
          <w:sz w:val="28"/>
          <w:szCs w:val="28"/>
          <w:highlight w:val="none"/>
        </w:rPr>
      </w:pPr>
      <w:r>
        <w:rPr>
          <w:rFonts w:hint="eastAsia" w:ascii="黑体" w:eastAsia="黑体"/>
          <w:bCs/>
          <w:color w:val="auto"/>
          <w:sz w:val="28"/>
          <w:szCs w:val="28"/>
          <w:highlight w:val="none"/>
        </w:rPr>
        <w:t>投标偏离表</w:t>
      </w:r>
    </w:p>
    <w:p w14:paraId="2491765F">
      <w:pPr>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投标供应商名称（盖章）                  </w:t>
      </w:r>
      <w:r>
        <w:rPr>
          <w:rFonts w:hint="eastAsia" w:hAnsi="宋体" w:cs="宋体"/>
          <w:bCs/>
          <w:color w:val="auto"/>
          <w:sz w:val="24"/>
          <w:highlight w:val="none"/>
        </w:rPr>
        <w:t xml:space="preserve">       </w:t>
      </w:r>
      <w:r>
        <w:rPr>
          <w:rFonts w:hint="eastAsia" w:ascii="宋体" w:hAnsi="宋体" w:cs="宋体"/>
          <w:bCs/>
          <w:color w:val="auto"/>
          <w:sz w:val="24"/>
          <w:highlight w:val="none"/>
        </w:rPr>
        <w:t xml:space="preserve">  政府采购编号：</w:t>
      </w:r>
    </w:p>
    <w:tbl>
      <w:tblPr>
        <w:tblStyle w:val="40"/>
        <w:tblW w:w="9885" w:type="dxa"/>
        <w:jc w:val="center"/>
        <w:tblLayout w:type="fixed"/>
        <w:tblCellMar>
          <w:top w:w="15" w:type="dxa"/>
          <w:left w:w="15" w:type="dxa"/>
          <w:bottom w:w="0" w:type="dxa"/>
          <w:right w:w="15" w:type="dxa"/>
        </w:tblCellMar>
      </w:tblPr>
      <w:tblGrid>
        <w:gridCol w:w="1905"/>
        <w:gridCol w:w="2835"/>
        <w:gridCol w:w="2835"/>
        <w:gridCol w:w="2310"/>
      </w:tblGrid>
      <w:tr w14:paraId="26637682">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B76CE49">
            <w:pPr>
              <w:jc w:val="center"/>
              <w:rPr>
                <w:rFonts w:ascii="宋体" w:hAnsi="宋体" w:cs="宋体"/>
                <w:b/>
                <w:bCs/>
                <w:color w:val="auto"/>
                <w:sz w:val="24"/>
                <w:highlight w:val="none"/>
              </w:rPr>
            </w:pPr>
            <w:r>
              <w:rPr>
                <w:rFonts w:hint="eastAsia" w:ascii="宋体" w:hAnsi="宋体" w:cs="宋体"/>
                <w:b/>
                <w:bCs/>
                <w:color w:val="auto"/>
                <w:sz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vAlign w:val="center"/>
          </w:tcPr>
          <w:p w14:paraId="17D4B411">
            <w:pPr>
              <w:jc w:val="center"/>
              <w:rPr>
                <w:rFonts w:ascii="宋体" w:hAnsi="宋体" w:cs="宋体"/>
                <w:b/>
                <w:bCs/>
                <w:color w:val="auto"/>
                <w:sz w:val="24"/>
                <w:highlight w:val="none"/>
              </w:rPr>
            </w:pPr>
            <w:r>
              <w:rPr>
                <w:rFonts w:hint="eastAsia" w:ascii="宋体" w:hAnsi="宋体" w:cs="宋体"/>
                <w:b/>
                <w:bCs/>
                <w:color w:val="auto"/>
                <w:sz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vAlign w:val="center"/>
          </w:tcPr>
          <w:p w14:paraId="560CB93B">
            <w:pPr>
              <w:jc w:val="center"/>
              <w:rPr>
                <w:rFonts w:ascii="宋体" w:hAnsi="宋体" w:cs="宋体"/>
                <w:b/>
                <w:bCs/>
                <w:color w:val="auto"/>
                <w:sz w:val="24"/>
                <w:highlight w:val="none"/>
              </w:rPr>
            </w:pPr>
            <w:r>
              <w:rPr>
                <w:rFonts w:hint="eastAsia" w:ascii="宋体" w:hAnsi="宋体" w:cs="宋体"/>
                <w:b/>
                <w:bCs/>
                <w:color w:val="auto"/>
                <w:sz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vAlign w:val="center"/>
          </w:tcPr>
          <w:p w14:paraId="412AEA18">
            <w:pPr>
              <w:jc w:val="center"/>
              <w:rPr>
                <w:rFonts w:ascii="宋体" w:hAnsi="宋体" w:cs="宋体"/>
                <w:b/>
                <w:bCs/>
                <w:color w:val="auto"/>
                <w:sz w:val="24"/>
                <w:highlight w:val="none"/>
              </w:rPr>
            </w:pPr>
            <w:r>
              <w:rPr>
                <w:rFonts w:hint="eastAsia" w:ascii="宋体" w:hAnsi="宋体" w:cs="宋体"/>
                <w:b/>
                <w:bCs/>
                <w:color w:val="auto"/>
                <w:sz w:val="24"/>
                <w:highlight w:val="none"/>
              </w:rPr>
              <w:t>偏离说明</w:t>
            </w:r>
          </w:p>
        </w:tc>
      </w:tr>
      <w:tr w14:paraId="539CACF5">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0C62042">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BD0654F">
            <w:pP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4CB5FAA">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921E009">
            <w:pPr>
              <w:jc w:val="center"/>
              <w:rPr>
                <w:rFonts w:ascii="宋体" w:hAnsi="宋体" w:cs="宋体"/>
                <w:bCs/>
                <w:color w:val="auto"/>
                <w:highlight w:val="none"/>
              </w:rPr>
            </w:pPr>
          </w:p>
        </w:tc>
      </w:tr>
      <w:tr w14:paraId="6C33C084">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CA41E3A">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F286E22">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D16111A">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29AEAEF">
            <w:pPr>
              <w:jc w:val="center"/>
              <w:rPr>
                <w:rFonts w:ascii="宋体" w:hAnsi="宋体" w:cs="宋体"/>
                <w:bCs/>
                <w:color w:val="auto"/>
                <w:highlight w:val="none"/>
              </w:rPr>
            </w:pPr>
          </w:p>
        </w:tc>
      </w:tr>
      <w:tr w14:paraId="76B338CB">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86D8529">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C9A3D74">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04345087">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66020629">
            <w:pPr>
              <w:jc w:val="center"/>
              <w:rPr>
                <w:rFonts w:ascii="宋体" w:hAnsi="宋体" w:cs="宋体"/>
                <w:bCs/>
                <w:color w:val="auto"/>
                <w:highlight w:val="none"/>
              </w:rPr>
            </w:pPr>
          </w:p>
        </w:tc>
      </w:tr>
      <w:tr w14:paraId="057AD332">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496C525">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371610F5">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4954BC9">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4E89547B">
            <w:pPr>
              <w:jc w:val="center"/>
              <w:rPr>
                <w:rFonts w:ascii="宋体" w:hAnsi="宋体" w:cs="宋体"/>
                <w:bCs/>
                <w:color w:val="auto"/>
                <w:highlight w:val="none"/>
              </w:rPr>
            </w:pPr>
          </w:p>
        </w:tc>
      </w:tr>
      <w:tr w14:paraId="52DEF7BB">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5404D6D7">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8B2E05A">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6155CC43">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338A11F0">
            <w:pPr>
              <w:jc w:val="center"/>
              <w:rPr>
                <w:rFonts w:ascii="宋体" w:hAnsi="宋体" w:cs="宋体"/>
                <w:bCs/>
                <w:color w:val="auto"/>
                <w:highlight w:val="none"/>
              </w:rPr>
            </w:pPr>
          </w:p>
        </w:tc>
      </w:tr>
      <w:tr w14:paraId="068E5159">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4ED2AF14">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03936C8F">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49B858B4">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402FD86B">
            <w:pPr>
              <w:jc w:val="center"/>
              <w:rPr>
                <w:rFonts w:ascii="宋体" w:hAnsi="宋体" w:cs="宋体"/>
                <w:bCs/>
                <w:color w:val="auto"/>
                <w:highlight w:val="none"/>
              </w:rPr>
            </w:pPr>
          </w:p>
        </w:tc>
      </w:tr>
      <w:tr w14:paraId="7D8BCC0F">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1CD379F5">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77FA6F70">
            <w:pPr>
              <w:jc w:val="center"/>
              <w:rPr>
                <w:rFonts w:ascii="宋体" w:hAnsi="宋体" w:cs="宋体"/>
                <w:bCs/>
                <w:color w:val="auto"/>
                <w:highlight w:val="none"/>
              </w:rPr>
            </w:pPr>
          </w:p>
        </w:tc>
        <w:tc>
          <w:tcPr>
            <w:tcW w:w="2835" w:type="dxa"/>
            <w:tcBorders>
              <w:top w:val="single" w:color="000000" w:sz="4" w:space="0"/>
              <w:left w:val="single" w:color="000000" w:sz="4" w:space="0"/>
              <w:bottom w:val="nil"/>
              <w:right w:val="single" w:color="000000" w:sz="4" w:space="0"/>
            </w:tcBorders>
            <w:vAlign w:val="center"/>
          </w:tcPr>
          <w:p w14:paraId="5D9207CF">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46426E3C">
            <w:pPr>
              <w:jc w:val="center"/>
              <w:rPr>
                <w:rFonts w:ascii="宋体" w:hAnsi="宋体" w:cs="宋体"/>
                <w:bCs/>
                <w:color w:val="auto"/>
                <w:highlight w:val="none"/>
              </w:rPr>
            </w:pPr>
          </w:p>
        </w:tc>
      </w:tr>
      <w:tr w14:paraId="6BC645F6">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77205A99">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F40A93A">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EA8E378">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102B64CA">
            <w:pPr>
              <w:jc w:val="center"/>
              <w:rPr>
                <w:rFonts w:ascii="宋体" w:hAnsi="宋体" w:cs="宋体"/>
                <w:bCs/>
                <w:color w:val="auto"/>
                <w:highlight w:val="none"/>
              </w:rPr>
            </w:pPr>
          </w:p>
        </w:tc>
      </w:tr>
      <w:tr w14:paraId="5FC341B0">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3076F17E">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E1B43D1">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570588FC">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0A650025">
            <w:pPr>
              <w:jc w:val="center"/>
              <w:rPr>
                <w:rFonts w:ascii="宋体" w:hAnsi="宋体" w:cs="宋体"/>
                <w:bCs/>
                <w:color w:val="auto"/>
                <w:highlight w:val="none"/>
              </w:rPr>
            </w:pPr>
          </w:p>
        </w:tc>
      </w:tr>
      <w:tr w14:paraId="4CD3741A">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tcMar>
              <w:top w:w="15" w:type="dxa"/>
              <w:left w:w="15" w:type="dxa"/>
              <w:bottom w:w="0" w:type="dxa"/>
              <w:right w:w="15" w:type="dxa"/>
            </w:tcMar>
            <w:vAlign w:val="center"/>
          </w:tcPr>
          <w:p w14:paraId="60BBEA42">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2416C058">
            <w:pPr>
              <w:jc w:val="center"/>
              <w:rPr>
                <w:rFonts w:ascii="宋体" w:hAnsi="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vAlign w:val="center"/>
          </w:tcPr>
          <w:p w14:paraId="17DDA5B2">
            <w:pPr>
              <w:jc w:val="center"/>
              <w:rPr>
                <w:rFonts w:ascii="宋体" w:hAnsi="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vAlign w:val="center"/>
          </w:tcPr>
          <w:p w14:paraId="2D2A5A35">
            <w:pPr>
              <w:jc w:val="center"/>
              <w:rPr>
                <w:rFonts w:ascii="宋体" w:hAnsi="宋体" w:cs="宋体"/>
                <w:bCs/>
                <w:color w:val="auto"/>
                <w:highlight w:val="none"/>
              </w:rPr>
            </w:pPr>
          </w:p>
        </w:tc>
      </w:tr>
    </w:tbl>
    <w:p w14:paraId="6719E2E8">
      <w:pPr>
        <w:rPr>
          <w:rFonts w:ascii="宋体" w:hAnsi="宋体" w:cs="宋体"/>
          <w:b/>
          <w:bCs/>
          <w:color w:val="auto"/>
          <w:sz w:val="24"/>
          <w:highlight w:val="none"/>
        </w:rPr>
      </w:pPr>
    </w:p>
    <w:p w14:paraId="6722D9D6">
      <w:pPr>
        <w:rPr>
          <w:rFonts w:ascii="宋体" w:hAnsi="宋体" w:cs="宋体"/>
          <w:b/>
          <w:color w:val="auto"/>
          <w:sz w:val="24"/>
          <w:highlight w:val="none"/>
        </w:rPr>
      </w:pPr>
      <w:r>
        <w:rPr>
          <w:rFonts w:hint="eastAsia" w:ascii="宋体" w:hAnsi="宋体" w:cs="宋体"/>
          <w:b/>
          <w:bCs/>
          <w:color w:val="auto"/>
          <w:sz w:val="24"/>
          <w:highlight w:val="none"/>
        </w:rPr>
        <w:t>法定代表人或法定代表人授权代表签字或盖章：</w:t>
      </w:r>
    </w:p>
    <w:p w14:paraId="3F0BD4BD">
      <w:pPr>
        <w:spacing w:line="360" w:lineRule="auto"/>
        <w:rPr>
          <w:rFonts w:ascii="宋体"/>
          <w:b/>
          <w:bCs/>
          <w:color w:val="auto"/>
          <w:sz w:val="24"/>
          <w:highlight w:val="none"/>
        </w:rPr>
      </w:pPr>
    </w:p>
    <w:p w14:paraId="43ED2303">
      <w:pPr>
        <w:spacing w:line="360" w:lineRule="auto"/>
        <w:rPr>
          <w:rFonts w:ascii="宋体"/>
          <w:b/>
          <w:bCs/>
          <w:color w:val="auto"/>
          <w:sz w:val="24"/>
          <w:highlight w:val="none"/>
        </w:rPr>
      </w:pPr>
    </w:p>
    <w:p w14:paraId="7B650772">
      <w:pPr>
        <w:spacing w:line="360" w:lineRule="auto"/>
        <w:rPr>
          <w:rFonts w:ascii="宋体" w:hAnsi="宋体" w:cs="宋体"/>
          <w:bCs/>
          <w:color w:val="auto"/>
          <w:sz w:val="30"/>
          <w:highlight w:val="none"/>
        </w:rPr>
      </w:pPr>
      <w:r>
        <w:rPr>
          <w:rFonts w:hint="eastAsia" w:ascii="宋体"/>
          <w:b/>
          <w:bCs/>
          <w:color w:val="auto"/>
          <w:sz w:val="24"/>
          <w:highlight w:val="none"/>
        </w:rPr>
        <w:t>注：</w:t>
      </w:r>
    </w:p>
    <w:p w14:paraId="6DDBAD0D">
      <w:pPr>
        <w:spacing w:line="360" w:lineRule="auto"/>
        <w:rPr>
          <w:rFonts w:ascii="宋体"/>
          <w:color w:val="auto"/>
          <w:sz w:val="24"/>
          <w:highlight w:val="none"/>
        </w:rPr>
      </w:pPr>
      <w:r>
        <w:rPr>
          <w:rFonts w:hint="eastAsia" w:ascii="宋体"/>
          <w:color w:val="auto"/>
          <w:sz w:val="24"/>
          <w:highlight w:val="none"/>
        </w:rPr>
        <w:t>（1）本表不得删除；</w:t>
      </w:r>
    </w:p>
    <w:p w14:paraId="1F8AC9AE">
      <w:pPr>
        <w:spacing w:line="360" w:lineRule="auto"/>
        <w:rPr>
          <w:rFonts w:ascii="宋体"/>
          <w:color w:val="auto"/>
          <w:sz w:val="24"/>
          <w:highlight w:val="none"/>
        </w:rPr>
      </w:pPr>
      <w:r>
        <w:rPr>
          <w:rFonts w:hint="eastAsia" w:ascii="宋体"/>
          <w:color w:val="auto"/>
          <w:sz w:val="24"/>
          <w:highlight w:val="none"/>
        </w:rPr>
        <w:t>（2）投标供应商应根据采购文件要求认真填写，如无任何技术偏离，在“偏离说明”中注明“无偏离”；</w:t>
      </w:r>
    </w:p>
    <w:p w14:paraId="2A67D8BA">
      <w:pPr>
        <w:spacing w:line="360" w:lineRule="auto"/>
        <w:rPr>
          <w:rFonts w:ascii="宋体"/>
          <w:color w:val="auto"/>
          <w:sz w:val="24"/>
          <w:highlight w:val="none"/>
        </w:rPr>
      </w:pPr>
      <w:r>
        <w:rPr>
          <w:rFonts w:hint="eastAsia" w:ascii="宋体"/>
          <w:color w:val="auto"/>
          <w:sz w:val="24"/>
          <w:highlight w:val="none"/>
        </w:rPr>
        <w:t>（3）如有技术偏离项，请于本表中列明偏离内容，如需要可自行延长，其余无偏离内容不须赘述；</w:t>
      </w:r>
    </w:p>
    <w:p w14:paraId="6CF21A1B">
      <w:pPr>
        <w:pStyle w:val="237"/>
        <w:rPr>
          <w:color w:val="auto"/>
          <w:highlight w:val="none"/>
        </w:rPr>
      </w:pPr>
    </w:p>
    <w:p w14:paraId="1EE0630A">
      <w:pPr>
        <w:pStyle w:val="237"/>
        <w:rPr>
          <w:color w:val="auto"/>
          <w:highlight w:val="none"/>
        </w:rPr>
      </w:pPr>
    </w:p>
    <w:p w14:paraId="21443965">
      <w:pPr>
        <w:pStyle w:val="237"/>
        <w:rPr>
          <w:color w:val="auto"/>
          <w:highlight w:val="none"/>
        </w:rPr>
      </w:pPr>
    </w:p>
    <w:p w14:paraId="515AAB76">
      <w:pPr>
        <w:pStyle w:val="237"/>
        <w:rPr>
          <w:color w:val="auto"/>
          <w:highlight w:val="none"/>
        </w:rPr>
      </w:pPr>
    </w:p>
    <w:p w14:paraId="1E70AA8E">
      <w:pPr>
        <w:pStyle w:val="237"/>
        <w:rPr>
          <w:color w:val="auto"/>
          <w:highlight w:val="none"/>
        </w:rPr>
      </w:pPr>
    </w:p>
    <w:p w14:paraId="634BD782">
      <w:pPr>
        <w:spacing w:line="400" w:lineRule="exact"/>
        <w:rPr>
          <w:rFonts w:ascii="宋体" w:hAnsi="宋体" w:cs="宋体"/>
          <w:bCs/>
          <w:color w:val="auto"/>
          <w:sz w:val="24"/>
          <w:highlight w:val="none"/>
        </w:rPr>
      </w:pPr>
    </w:p>
    <w:p w14:paraId="6F9792D4">
      <w:pPr>
        <w:pStyle w:val="19"/>
        <w:rPr>
          <w:color w:val="auto"/>
          <w:highlight w:val="none"/>
        </w:rPr>
      </w:pPr>
    </w:p>
    <w:p w14:paraId="24E8D1D8">
      <w:pPr>
        <w:outlineLvl w:val="0"/>
        <w:rPr>
          <w:rFonts w:ascii="黑体" w:hAnsi="宋体" w:eastAsia="黑体"/>
          <w:color w:val="auto"/>
          <w:sz w:val="24"/>
          <w:highlight w:val="none"/>
        </w:rPr>
      </w:pPr>
      <w:r>
        <w:rPr>
          <w:rFonts w:hint="eastAsia" w:ascii="黑体" w:hAnsi="宋体" w:eastAsia="黑体"/>
          <w:bCs/>
          <w:color w:val="auto"/>
          <w:sz w:val="24"/>
          <w:highlight w:val="none"/>
        </w:rPr>
        <w:t>（九）开标一览表（格式）</w:t>
      </w:r>
    </w:p>
    <w:p w14:paraId="12C704A4">
      <w:pPr>
        <w:spacing w:line="400" w:lineRule="exact"/>
        <w:ind w:firstLine="480"/>
        <w:rPr>
          <w:color w:val="auto"/>
          <w:sz w:val="24"/>
          <w:highlight w:val="none"/>
        </w:rPr>
      </w:pPr>
    </w:p>
    <w:p w14:paraId="7809D1C1">
      <w:pPr>
        <w:jc w:val="center"/>
        <w:outlineLvl w:val="0"/>
        <w:rPr>
          <w:rFonts w:hAnsi="宋体" w:eastAsia="黑体" w:cs="宋体"/>
          <w:bCs/>
          <w:color w:val="auto"/>
          <w:sz w:val="30"/>
          <w:szCs w:val="30"/>
          <w:highlight w:val="none"/>
        </w:rPr>
      </w:pPr>
      <w:r>
        <w:rPr>
          <w:rFonts w:hint="eastAsia" w:ascii="黑体" w:eastAsia="黑体"/>
          <w:bCs/>
          <w:color w:val="auto"/>
          <w:sz w:val="36"/>
          <w:szCs w:val="36"/>
          <w:highlight w:val="none"/>
        </w:rPr>
        <w:t>开标一览表</w:t>
      </w:r>
    </w:p>
    <w:p w14:paraId="2BC0D293">
      <w:pPr>
        <w:outlineLvl w:val="0"/>
        <w:rPr>
          <w:rFonts w:hAnsi="宋体" w:cs="宋体"/>
          <w:bCs/>
          <w:color w:val="auto"/>
          <w:sz w:val="30"/>
          <w:szCs w:val="30"/>
          <w:highlight w:val="none"/>
        </w:rPr>
      </w:pPr>
    </w:p>
    <w:p w14:paraId="1F5B15D0">
      <w:pPr>
        <w:spacing w:line="300" w:lineRule="auto"/>
        <w:rPr>
          <w:rFonts w:hAnsi="宋体" w:cs="宋体"/>
          <w:bCs/>
          <w:color w:val="auto"/>
          <w:sz w:val="24"/>
          <w:highlight w:val="none"/>
        </w:rPr>
      </w:pPr>
      <w:r>
        <w:rPr>
          <w:rFonts w:hint="eastAsia" w:hAnsi="宋体" w:cs="宋体"/>
          <w:color w:val="auto"/>
          <w:sz w:val="24"/>
          <w:highlight w:val="none"/>
        </w:rPr>
        <w:t xml:space="preserve">投标供应商全称（加盖公章）：  </w:t>
      </w:r>
      <w:r>
        <w:rPr>
          <w:rFonts w:hint="eastAsia" w:hAnsi="宋体" w:cs="宋体"/>
          <w:color w:val="auto"/>
          <w:sz w:val="24"/>
          <w:szCs w:val="28"/>
          <w:highlight w:val="none"/>
        </w:rPr>
        <w:t xml:space="preserve">                     采购</w:t>
      </w:r>
      <w:r>
        <w:rPr>
          <w:rFonts w:hint="eastAsia" w:hAnsi="宋体" w:cs="宋体"/>
          <w:bCs/>
          <w:color w:val="auto"/>
          <w:sz w:val="24"/>
          <w:highlight w:val="none"/>
        </w:rPr>
        <w:t>编号：</w:t>
      </w:r>
    </w:p>
    <w:tbl>
      <w:tblPr>
        <w:tblStyle w:val="40"/>
        <w:tblW w:w="9380" w:type="dxa"/>
        <w:jc w:val="center"/>
        <w:tblLayout w:type="fixed"/>
        <w:tblCellMar>
          <w:top w:w="0" w:type="dxa"/>
          <w:left w:w="108" w:type="dxa"/>
          <w:bottom w:w="0" w:type="dxa"/>
          <w:right w:w="108" w:type="dxa"/>
        </w:tblCellMar>
      </w:tblPr>
      <w:tblGrid>
        <w:gridCol w:w="3413"/>
        <w:gridCol w:w="5967"/>
      </w:tblGrid>
      <w:tr w14:paraId="0995E9D3">
        <w:tblPrEx>
          <w:tblCellMar>
            <w:top w:w="0" w:type="dxa"/>
            <w:left w:w="108" w:type="dxa"/>
            <w:bottom w:w="0" w:type="dxa"/>
            <w:right w:w="108" w:type="dxa"/>
          </w:tblCellMar>
        </w:tblPrEx>
        <w:trPr>
          <w:trHeight w:val="1244" w:hRule="atLeast"/>
          <w:jc w:val="center"/>
        </w:trPr>
        <w:tc>
          <w:tcPr>
            <w:tcW w:w="3413" w:type="dxa"/>
            <w:tcBorders>
              <w:top w:val="single" w:color="000000" w:sz="4" w:space="0"/>
              <w:left w:val="single" w:color="000000" w:sz="4" w:space="0"/>
              <w:bottom w:val="single" w:color="000000" w:sz="4" w:space="0"/>
              <w:right w:val="single" w:color="000000" w:sz="4" w:space="0"/>
            </w:tcBorders>
            <w:vAlign w:val="center"/>
          </w:tcPr>
          <w:p w14:paraId="0460A030">
            <w:pPr>
              <w:widowControl/>
              <w:jc w:val="center"/>
              <w:rPr>
                <w:rFonts w:hAnsi="宋体" w:cs="宋体"/>
                <w:color w:val="auto"/>
                <w:sz w:val="24"/>
                <w:highlight w:val="none"/>
              </w:rPr>
            </w:pPr>
            <w:r>
              <w:rPr>
                <w:rFonts w:hint="eastAsia" w:hAnsi="宋体" w:cs="宋体"/>
                <w:color w:val="auto"/>
                <w:sz w:val="24"/>
                <w:highlight w:val="none"/>
              </w:rPr>
              <w:t>项目名称</w:t>
            </w:r>
          </w:p>
        </w:tc>
        <w:tc>
          <w:tcPr>
            <w:tcW w:w="5967" w:type="dxa"/>
            <w:tcBorders>
              <w:top w:val="single" w:color="000000" w:sz="4" w:space="0"/>
              <w:left w:val="single" w:color="000000" w:sz="4" w:space="0"/>
              <w:bottom w:val="single" w:color="000000" w:sz="4" w:space="0"/>
              <w:right w:val="single" w:color="000000" w:sz="4" w:space="0"/>
            </w:tcBorders>
            <w:vAlign w:val="center"/>
          </w:tcPr>
          <w:p w14:paraId="09EDF9D4">
            <w:pPr>
              <w:widowControl/>
              <w:jc w:val="left"/>
              <w:rPr>
                <w:rFonts w:hAnsi="宋体" w:cs="宋体"/>
                <w:color w:val="auto"/>
                <w:sz w:val="24"/>
                <w:highlight w:val="none"/>
              </w:rPr>
            </w:pPr>
            <w:r>
              <w:rPr>
                <w:rFonts w:hint="eastAsia" w:ascii="宋体" w:hAnsi="宋体" w:cs="宋体"/>
                <w:color w:val="auto"/>
                <w:sz w:val="24"/>
                <w:highlight w:val="none"/>
              </w:rPr>
              <w:t>无锡市精神卫生中心信息基础设施运维服务项目</w:t>
            </w:r>
          </w:p>
        </w:tc>
      </w:tr>
      <w:tr w14:paraId="27EAD1FC">
        <w:tblPrEx>
          <w:tblCellMar>
            <w:top w:w="0" w:type="dxa"/>
            <w:left w:w="108" w:type="dxa"/>
            <w:bottom w:w="0" w:type="dxa"/>
            <w:right w:w="108" w:type="dxa"/>
          </w:tblCellMar>
        </w:tblPrEx>
        <w:trPr>
          <w:trHeight w:val="1244" w:hRule="atLeast"/>
          <w:jc w:val="center"/>
        </w:trPr>
        <w:tc>
          <w:tcPr>
            <w:tcW w:w="3413" w:type="dxa"/>
            <w:tcBorders>
              <w:top w:val="single" w:color="000000" w:sz="4" w:space="0"/>
              <w:left w:val="single" w:color="000000" w:sz="4" w:space="0"/>
              <w:bottom w:val="single" w:color="000000" w:sz="4" w:space="0"/>
              <w:right w:val="single" w:color="000000" w:sz="4" w:space="0"/>
            </w:tcBorders>
            <w:vAlign w:val="center"/>
          </w:tcPr>
          <w:p w14:paraId="5737F2C8">
            <w:pPr>
              <w:widowControl/>
              <w:jc w:val="center"/>
              <w:rPr>
                <w:rFonts w:hAnsi="宋体" w:cs="宋体"/>
                <w:color w:val="auto"/>
                <w:sz w:val="24"/>
                <w:highlight w:val="none"/>
              </w:rPr>
            </w:pPr>
            <w:r>
              <w:rPr>
                <w:rFonts w:hint="eastAsia" w:hAnsi="宋体" w:cs="宋体"/>
                <w:color w:val="auto"/>
                <w:sz w:val="24"/>
                <w:highlight w:val="none"/>
              </w:rPr>
              <w:t>项目总报价</w:t>
            </w:r>
          </w:p>
          <w:p w14:paraId="1869C62A">
            <w:pPr>
              <w:widowControl/>
              <w:jc w:val="center"/>
              <w:rPr>
                <w:rFonts w:hAnsi="宋体" w:cs="宋体"/>
                <w:color w:val="auto"/>
                <w:sz w:val="24"/>
                <w:highlight w:val="none"/>
              </w:rPr>
            </w:pPr>
          </w:p>
        </w:tc>
        <w:tc>
          <w:tcPr>
            <w:tcW w:w="5967" w:type="dxa"/>
            <w:tcBorders>
              <w:top w:val="single" w:color="000000" w:sz="4" w:space="0"/>
              <w:left w:val="single" w:color="000000" w:sz="4" w:space="0"/>
              <w:bottom w:val="single" w:color="000000" w:sz="4" w:space="0"/>
              <w:right w:val="single" w:color="000000" w:sz="4" w:space="0"/>
            </w:tcBorders>
            <w:vAlign w:val="center"/>
          </w:tcPr>
          <w:p w14:paraId="2CE3F521">
            <w:pPr>
              <w:widowControl/>
              <w:jc w:val="left"/>
              <w:rPr>
                <w:color w:val="auto"/>
                <w:highlight w:val="none"/>
              </w:rPr>
            </w:pPr>
            <w:r>
              <w:rPr>
                <w:rFonts w:hint="eastAsia" w:ascii="宋体" w:hAnsi="宋体" w:cs="宋体"/>
                <w:color w:val="auto"/>
                <w:sz w:val="24"/>
                <w:highlight w:val="none"/>
                <w:lang w:bidi="ar"/>
              </w:rPr>
              <w:t>小写金额：         元</w:t>
            </w:r>
          </w:p>
          <w:p w14:paraId="403FAB7C">
            <w:pPr>
              <w:widowControl/>
              <w:jc w:val="left"/>
              <w:rPr>
                <w:rFonts w:ascii="宋体" w:hAnsi="宋体" w:cs="宋体"/>
                <w:color w:val="auto"/>
                <w:sz w:val="24"/>
                <w:highlight w:val="none"/>
                <w:lang w:bidi="ar"/>
              </w:rPr>
            </w:pPr>
          </w:p>
          <w:p w14:paraId="65A28C3C">
            <w:pPr>
              <w:widowControl/>
              <w:jc w:val="left"/>
              <w:rPr>
                <w:rFonts w:hAnsi="宋体" w:cs="宋体"/>
                <w:color w:val="auto"/>
                <w:sz w:val="24"/>
                <w:highlight w:val="none"/>
              </w:rPr>
            </w:pPr>
            <w:r>
              <w:rPr>
                <w:rFonts w:hint="eastAsia" w:ascii="宋体" w:hAnsi="宋体" w:cs="宋体"/>
                <w:color w:val="auto"/>
                <w:sz w:val="24"/>
                <w:highlight w:val="none"/>
                <w:lang w:bidi="ar"/>
              </w:rPr>
              <w:t>大写金额：         元</w:t>
            </w:r>
          </w:p>
        </w:tc>
      </w:tr>
      <w:tr w14:paraId="652DF80D">
        <w:tblPrEx>
          <w:tblCellMar>
            <w:top w:w="0" w:type="dxa"/>
            <w:left w:w="108" w:type="dxa"/>
            <w:bottom w:w="0" w:type="dxa"/>
            <w:right w:w="108" w:type="dxa"/>
          </w:tblCellMar>
        </w:tblPrEx>
        <w:trPr>
          <w:trHeight w:val="935" w:hRule="atLeast"/>
          <w:jc w:val="center"/>
        </w:trPr>
        <w:tc>
          <w:tcPr>
            <w:tcW w:w="3413" w:type="dxa"/>
            <w:tcBorders>
              <w:top w:val="single" w:color="000000" w:sz="4" w:space="0"/>
              <w:left w:val="single" w:color="000000" w:sz="4" w:space="0"/>
              <w:bottom w:val="single" w:color="000000" w:sz="4" w:space="0"/>
              <w:right w:val="single" w:color="000000" w:sz="4" w:space="0"/>
            </w:tcBorders>
            <w:vAlign w:val="center"/>
          </w:tcPr>
          <w:p w14:paraId="76867182">
            <w:pPr>
              <w:widowControl/>
              <w:jc w:val="center"/>
              <w:rPr>
                <w:rFonts w:ascii="宋体" w:hAnsi="宋体" w:cs="宋体"/>
                <w:color w:val="auto"/>
                <w:sz w:val="24"/>
                <w:highlight w:val="none"/>
              </w:rPr>
            </w:pPr>
            <w:r>
              <w:rPr>
                <w:rFonts w:hint="eastAsia" w:ascii="宋体" w:hAnsi="宋体" w:cs="宋体"/>
                <w:color w:val="auto"/>
                <w:sz w:val="24"/>
                <w:highlight w:val="none"/>
              </w:rPr>
              <w:t>服务期限</w:t>
            </w:r>
          </w:p>
        </w:tc>
        <w:tc>
          <w:tcPr>
            <w:tcW w:w="5967" w:type="dxa"/>
            <w:tcBorders>
              <w:top w:val="single" w:color="000000" w:sz="4" w:space="0"/>
              <w:left w:val="single" w:color="000000" w:sz="4" w:space="0"/>
              <w:bottom w:val="single" w:color="000000" w:sz="4" w:space="0"/>
              <w:right w:val="single" w:color="000000" w:sz="4" w:space="0"/>
            </w:tcBorders>
            <w:vAlign w:val="center"/>
          </w:tcPr>
          <w:p w14:paraId="1EBD7493">
            <w:pPr>
              <w:widowControl/>
              <w:rPr>
                <w:rFonts w:ascii="宋体" w:hAnsi="宋体" w:cs="宋体"/>
                <w:color w:val="auto"/>
                <w:sz w:val="24"/>
                <w:highlight w:val="none"/>
              </w:rPr>
            </w:pPr>
          </w:p>
        </w:tc>
      </w:tr>
      <w:tr w14:paraId="39CEA220">
        <w:tblPrEx>
          <w:tblCellMar>
            <w:top w:w="0" w:type="dxa"/>
            <w:left w:w="108" w:type="dxa"/>
            <w:bottom w:w="0" w:type="dxa"/>
            <w:right w:w="108" w:type="dxa"/>
          </w:tblCellMar>
        </w:tblPrEx>
        <w:trPr>
          <w:trHeight w:val="935" w:hRule="atLeast"/>
          <w:jc w:val="center"/>
        </w:trPr>
        <w:tc>
          <w:tcPr>
            <w:tcW w:w="3413" w:type="dxa"/>
            <w:tcBorders>
              <w:top w:val="single" w:color="000000" w:sz="4" w:space="0"/>
              <w:left w:val="single" w:color="000000" w:sz="4" w:space="0"/>
              <w:bottom w:val="single" w:color="000000" w:sz="4" w:space="0"/>
              <w:right w:val="single" w:color="000000" w:sz="4" w:space="0"/>
            </w:tcBorders>
            <w:vAlign w:val="center"/>
          </w:tcPr>
          <w:p w14:paraId="2F9203F5">
            <w:pPr>
              <w:widowControl/>
              <w:jc w:val="center"/>
              <w:rPr>
                <w:rFonts w:ascii="宋体" w:hAnsi="宋体" w:cs="宋体"/>
                <w:color w:val="auto"/>
                <w:sz w:val="24"/>
                <w:highlight w:val="none"/>
              </w:rPr>
            </w:pPr>
            <w:r>
              <w:rPr>
                <w:rFonts w:hint="eastAsia" w:ascii="宋体" w:hAnsi="宋体" w:cs="宋体"/>
                <w:color w:val="auto"/>
                <w:sz w:val="24"/>
                <w:highlight w:val="none"/>
              </w:rPr>
              <w:t>服务质量标准</w:t>
            </w:r>
          </w:p>
        </w:tc>
        <w:tc>
          <w:tcPr>
            <w:tcW w:w="5967" w:type="dxa"/>
            <w:tcBorders>
              <w:top w:val="single" w:color="000000" w:sz="4" w:space="0"/>
              <w:left w:val="single" w:color="000000" w:sz="4" w:space="0"/>
              <w:bottom w:val="single" w:color="000000" w:sz="4" w:space="0"/>
              <w:right w:val="single" w:color="000000" w:sz="4" w:space="0"/>
            </w:tcBorders>
            <w:vAlign w:val="center"/>
          </w:tcPr>
          <w:p w14:paraId="0FAEA3CD">
            <w:pPr>
              <w:widowControl/>
              <w:jc w:val="center"/>
              <w:rPr>
                <w:rFonts w:ascii="宋体" w:hAnsi="宋体" w:cs="宋体"/>
                <w:color w:val="auto"/>
                <w:sz w:val="24"/>
                <w:highlight w:val="none"/>
              </w:rPr>
            </w:pPr>
          </w:p>
        </w:tc>
      </w:tr>
      <w:tr w14:paraId="7485D01D">
        <w:tblPrEx>
          <w:tblCellMar>
            <w:top w:w="0" w:type="dxa"/>
            <w:left w:w="108" w:type="dxa"/>
            <w:bottom w:w="0" w:type="dxa"/>
            <w:right w:w="108" w:type="dxa"/>
          </w:tblCellMar>
        </w:tblPrEx>
        <w:trPr>
          <w:trHeight w:val="935" w:hRule="atLeast"/>
          <w:jc w:val="center"/>
        </w:trPr>
        <w:tc>
          <w:tcPr>
            <w:tcW w:w="3413" w:type="dxa"/>
            <w:tcBorders>
              <w:top w:val="single" w:color="000000" w:sz="4" w:space="0"/>
              <w:left w:val="single" w:color="000000" w:sz="4" w:space="0"/>
              <w:bottom w:val="single" w:color="000000" w:sz="4" w:space="0"/>
              <w:right w:val="single" w:color="000000" w:sz="4" w:space="0"/>
            </w:tcBorders>
            <w:vAlign w:val="center"/>
          </w:tcPr>
          <w:p w14:paraId="472E775F">
            <w:pPr>
              <w:widowControl/>
              <w:jc w:val="center"/>
              <w:rPr>
                <w:rFonts w:ascii="宋体" w:hAnsi="宋体" w:cs="宋体"/>
                <w:color w:val="auto"/>
                <w:sz w:val="24"/>
                <w:highlight w:val="none"/>
              </w:rPr>
            </w:pPr>
            <w:r>
              <w:rPr>
                <w:rFonts w:hint="eastAsia" w:ascii="宋体" w:hAnsi="宋体" w:cs="宋体"/>
                <w:color w:val="auto"/>
                <w:sz w:val="24"/>
                <w:highlight w:val="none"/>
              </w:rPr>
              <w:t>项目负责人</w:t>
            </w:r>
          </w:p>
        </w:tc>
        <w:tc>
          <w:tcPr>
            <w:tcW w:w="5967" w:type="dxa"/>
            <w:tcBorders>
              <w:top w:val="single" w:color="000000" w:sz="4" w:space="0"/>
              <w:left w:val="single" w:color="000000" w:sz="4" w:space="0"/>
              <w:bottom w:val="single" w:color="000000" w:sz="4" w:space="0"/>
              <w:right w:val="single" w:color="000000" w:sz="4" w:space="0"/>
            </w:tcBorders>
            <w:vAlign w:val="center"/>
          </w:tcPr>
          <w:p w14:paraId="5CA657DE">
            <w:pPr>
              <w:widowControl/>
              <w:jc w:val="center"/>
              <w:rPr>
                <w:rFonts w:ascii="宋体" w:hAnsi="宋体" w:cs="宋体"/>
                <w:color w:val="auto"/>
                <w:sz w:val="24"/>
                <w:highlight w:val="none"/>
              </w:rPr>
            </w:pPr>
          </w:p>
        </w:tc>
      </w:tr>
    </w:tbl>
    <w:p w14:paraId="4C8DDB06">
      <w:pPr>
        <w:spacing w:line="360" w:lineRule="auto"/>
        <w:rPr>
          <w:rFonts w:hAnsi="宋体"/>
          <w:color w:val="auto"/>
          <w:sz w:val="24"/>
          <w:highlight w:val="none"/>
        </w:rPr>
      </w:pPr>
    </w:p>
    <w:p w14:paraId="791863FF">
      <w:pPr>
        <w:pStyle w:val="244"/>
        <w:rPr>
          <w:color w:val="auto"/>
          <w:highlight w:val="none"/>
        </w:rPr>
      </w:pPr>
    </w:p>
    <w:p w14:paraId="37C12047">
      <w:pPr>
        <w:widowControl/>
        <w:jc w:val="left"/>
        <w:rPr>
          <w:rFonts w:hAnsi="宋体"/>
          <w:color w:val="auto"/>
          <w:sz w:val="24"/>
          <w:highlight w:val="none"/>
        </w:rPr>
      </w:pPr>
      <w:r>
        <w:rPr>
          <w:rFonts w:hint="eastAsia" w:hAnsi="宋体"/>
          <w:color w:val="auto"/>
          <w:sz w:val="24"/>
          <w:highlight w:val="none"/>
        </w:rPr>
        <w:t>法定代表人或授权代表签字</w:t>
      </w:r>
      <w:r>
        <w:rPr>
          <w:rFonts w:hint="eastAsia" w:ascii="宋体" w:hAnsi="宋体" w:cs="宋体"/>
          <w:color w:val="auto"/>
          <w:sz w:val="24"/>
          <w:highlight w:val="none"/>
          <w:lang w:bidi="ar"/>
        </w:rPr>
        <w:t>或盖章</w:t>
      </w:r>
      <w:r>
        <w:rPr>
          <w:rFonts w:hint="eastAsia" w:hAnsi="宋体"/>
          <w:color w:val="auto"/>
          <w:sz w:val="24"/>
          <w:highlight w:val="none"/>
        </w:rPr>
        <w:t xml:space="preserve">：                         </w:t>
      </w:r>
    </w:p>
    <w:p w14:paraId="07001A57">
      <w:pPr>
        <w:widowControl/>
        <w:jc w:val="left"/>
        <w:rPr>
          <w:rFonts w:hAnsi="宋体"/>
          <w:color w:val="auto"/>
          <w:sz w:val="24"/>
          <w:highlight w:val="none"/>
        </w:rPr>
      </w:pPr>
    </w:p>
    <w:p w14:paraId="29FF2737">
      <w:pPr>
        <w:widowControl/>
        <w:jc w:val="left"/>
        <w:rPr>
          <w:rFonts w:hAnsi="宋体"/>
          <w:color w:val="auto"/>
          <w:sz w:val="24"/>
          <w:highlight w:val="none"/>
        </w:rPr>
      </w:pPr>
      <w:r>
        <w:rPr>
          <w:rFonts w:hint="eastAsia" w:hAnsi="宋体"/>
          <w:color w:val="auto"/>
          <w:sz w:val="24"/>
          <w:highlight w:val="none"/>
        </w:rPr>
        <w:t>日期：   年   月   日</w:t>
      </w:r>
    </w:p>
    <w:p w14:paraId="3C9037E1">
      <w:pPr>
        <w:spacing w:line="360" w:lineRule="auto"/>
        <w:rPr>
          <w:rFonts w:hAnsi="宋体"/>
          <w:color w:val="auto"/>
          <w:sz w:val="24"/>
          <w:highlight w:val="none"/>
        </w:rPr>
      </w:pPr>
    </w:p>
    <w:p w14:paraId="03BC96D9">
      <w:pPr>
        <w:spacing w:line="360" w:lineRule="auto"/>
        <w:rPr>
          <w:rFonts w:hAnsi="宋体"/>
          <w:color w:val="auto"/>
          <w:sz w:val="24"/>
          <w:highlight w:val="none"/>
        </w:rPr>
      </w:pPr>
      <w:r>
        <w:rPr>
          <w:rFonts w:hint="eastAsia" w:hAnsi="宋体"/>
          <w:color w:val="auto"/>
          <w:sz w:val="24"/>
          <w:highlight w:val="none"/>
        </w:rPr>
        <w:t>填写说明：</w:t>
      </w:r>
    </w:p>
    <w:p w14:paraId="74F3A9B8">
      <w:pPr>
        <w:spacing w:line="360" w:lineRule="auto"/>
        <w:ind w:firstLine="480" w:firstLineChars="200"/>
        <w:rPr>
          <w:rFonts w:hAnsi="宋体"/>
          <w:bCs/>
          <w:color w:val="auto"/>
          <w:sz w:val="24"/>
          <w:highlight w:val="none"/>
        </w:rPr>
      </w:pPr>
      <w:r>
        <w:rPr>
          <w:rFonts w:hint="eastAsia" w:hAnsi="宋体"/>
          <w:bCs/>
          <w:color w:val="auto"/>
          <w:sz w:val="24"/>
          <w:highlight w:val="none"/>
        </w:rPr>
        <w:t>1.开标一览表中的内容应与投标函内容一致，否则评标时一律按开标一览表中的内容为准，开标一览表中必须盖章且</w:t>
      </w:r>
      <w:r>
        <w:rPr>
          <w:rFonts w:hint="eastAsia" w:hAnsi="宋体"/>
          <w:color w:val="auto"/>
          <w:sz w:val="24"/>
          <w:highlight w:val="none"/>
        </w:rPr>
        <w:t>法定代表人或授权代表签字</w:t>
      </w:r>
      <w:r>
        <w:rPr>
          <w:rFonts w:hint="eastAsia" w:ascii="宋体" w:hAnsi="宋体" w:cs="宋体"/>
          <w:color w:val="auto"/>
          <w:sz w:val="24"/>
          <w:highlight w:val="none"/>
          <w:lang w:bidi="ar"/>
        </w:rPr>
        <w:t>或盖章</w:t>
      </w:r>
      <w:r>
        <w:rPr>
          <w:rFonts w:hint="eastAsia" w:hAnsi="宋体"/>
          <w:bCs/>
          <w:color w:val="auto"/>
          <w:sz w:val="24"/>
          <w:highlight w:val="none"/>
        </w:rPr>
        <w:t>。</w:t>
      </w:r>
    </w:p>
    <w:p w14:paraId="42C2DC19">
      <w:pPr>
        <w:pStyle w:val="47"/>
        <w:ind w:firstLine="0"/>
        <w:rPr>
          <w:color w:val="auto"/>
          <w:highlight w:val="none"/>
        </w:rPr>
      </w:pPr>
    </w:p>
    <w:p w14:paraId="4882866B">
      <w:pPr>
        <w:pStyle w:val="47"/>
        <w:ind w:firstLine="0"/>
        <w:rPr>
          <w:color w:val="auto"/>
          <w:highlight w:val="none"/>
        </w:rPr>
      </w:pPr>
    </w:p>
    <w:p w14:paraId="526BA0D2">
      <w:pPr>
        <w:pStyle w:val="47"/>
        <w:ind w:firstLine="0"/>
        <w:rPr>
          <w:color w:val="auto"/>
          <w:highlight w:val="none"/>
        </w:rPr>
      </w:pPr>
    </w:p>
    <w:p w14:paraId="06056BFD">
      <w:pPr>
        <w:pStyle w:val="47"/>
        <w:ind w:firstLine="0"/>
        <w:rPr>
          <w:color w:val="auto"/>
          <w:highlight w:val="none"/>
        </w:rPr>
      </w:pPr>
    </w:p>
    <w:p w14:paraId="190C7844">
      <w:pPr>
        <w:pStyle w:val="47"/>
        <w:ind w:firstLine="0"/>
        <w:rPr>
          <w:color w:val="auto"/>
          <w:highlight w:val="none"/>
        </w:rPr>
      </w:pPr>
    </w:p>
    <w:p w14:paraId="0E6E9AC1">
      <w:pPr>
        <w:pStyle w:val="47"/>
        <w:ind w:firstLine="0"/>
        <w:rPr>
          <w:color w:val="auto"/>
          <w:highlight w:val="none"/>
        </w:rPr>
      </w:pPr>
    </w:p>
    <w:p w14:paraId="44338D9E">
      <w:pPr>
        <w:pStyle w:val="47"/>
        <w:ind w:firstLine="0"/>
        <w:rPr>
          <w:color w:val="auto"/>
          <w:highlight w:val="none"/>
        </w:rPr>
      </w:pPr>
    </w:p>
    <w:p w14:paraId="08CCC663">
      <w:pPr>
        <w:pStyle w:val="47"/>
        <w:ind w:firstLine="0"/>
        <w:rPr>
          <w:color w:val="auto"/>
          <w:highlight w:val="none"/>
        </w:rPr>
      </w:pPr>
    </w:p>
    <w:p w14:paraId="32E36B3A">
      <w:pPr>
        <w:pStyle w:val="47"/>
        <w:ind w:firstLine="0"/>
        <w:rPr>
          <w:color w:val="auto"/>
          <w:highlight w:val="none"/>
        </w:rPr>
      </w:pPr>
    </w:p>
    <w:p w14:paraId="599570CD">
      <w:pPr>
        <w:pStyle w:val="47"/>
        <w:ind w:firstLine="0"/>
        <w:rPr>
          <w:color w:val="auto"/>
          <w:highlight w:val="none"/>
        </w:rPr>
      </w:pPr>
    </w:p>
    <w:p w14:paraId="5515556B">
      <w:pPr>
        <w:pStyle w:val="47"/>
        <w:ind w:firstLine="0"/>
        <w:rPr>
          <w:color w:val="auto"/>
          <w:highlight w:val="none"/>
        </w:rPr>
      </w:pPr>
    </w:p>
    <w:p w14:paraId="2E7AC7C2">
      <w:pPr>
        <w:pStyle w:val="47"/>
        <w:rPr>
          <w:rFonts w:hAnsi="宋体"/>
          <w:bCs/>
          <w:color w:val="auto"/>
          <w:sz w:val="24"/>
          <w:szCs w:val="24"/>
          <w:highlight w:val="none"/>
        </w:rPr>
      </w:pPr>
    </w:p>
    <w:sectPr>
      <w:headerReference r:id="rId3" w:type="default"/>
      <w:footerReference r:id="rId4" w:type="default"/>
      <w:pgSz w:w="11906" w:h="16838"/>
      <w:pgMar w:top="1440" w:right="1440" w:bottom="1440" w:left="1287"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DFKai-SB">
    <w:altName w:val="Microsoft JhengHei Light"/>
    <w:panose1 w:val="00000000000000000000"/>
    <w:charset w:val="00"/>
    <w:family w:val="auto"/>
    <w:pitch w:val="default"/>
    <w:sig w:usb0="00000000" w:usb1="00000000" w:usb2="00000000" w:usb3="00000000" w:csb0="00000000" w:csb1="00000000"/>
  </w:font>
  <w:font w:name="Microsoft JhengHei Light">
    <w:panose1 w:val="020B0304030504040204"/>
    <w:charset w:val="88"/>
    <w:family w:val="auto"/>
    <w:pitch w:val="default"/>
    <w:sig w:usb0="800002A7" w:usb1="28CF4400" w:usb2="00000016" w:usb3="00000000" w:csb0="00100009"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monospace">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swiss"/>
    <w:pitch w:val="default"/>
    <w:sig w:usb0="E1002EFF" w:usb1="C000605B" w:usb2="00000029" w:usb3="00000000" w:csb0="200101FF" w:csb1="20280000"/>
  </w:font>
  <w:font w:name="ˎ̥">
    <w:altName w:val="DejaVu Math TeX Gyre"/>
    <w:panose1 w:val="00000000000000000000"/>
    <w:charset w:val="00"/>
    <w:family w:val="auto"/>
    <w:pitch w:val="default"/>
    <w:sig w:usb0="00000000" w:usb1="00000000" w:usb2="00000000" w:usb3="00000000" w:csb0="00000000" w:csb1="00000000"/>
  </w:font>
  <w:font w:name="Times New Roman PSMT">
    <w:altName w:val="Times New Roman"/>
    <w:panose1 w:val="00000000000000000000"/>
    <w:charset w:val="00"/>
    <w:family w:val="auto"/>
    <w:pitch w:val="default"/>
    <w:sig w:usb0="00000000" w:usb1="00000000" w:usb2="00000000" w:usb3="00000000" w:csb0="00000000" w:csb1="00000000"/>
  </w:font>
  <w:font w:name="隶书">
    <w:panose1 w:val="0201050906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文鼎CS中宋">
    <w:altName w:val="宋体"/>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MS Sans Serif">
    <w:altName w:val="DejaVu Math TeX Gyre"/>
    <w:panose1 w:val="00000000000000000000"/>
    <w:charset w:val="00"/>
    <w:family w:val="auto"/>
    <w:pitch w:val="default"/>
    <w:sig w:usb0="00000000" w:usb1="00000000" w:usb2="00000000" w:usb3="00000000" w:csb0="00000000"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CCE5C9">
    <w:pPr>
      <w:pStyle w:val="25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E8CA8F">
                          <w:pPr>
                            <w:pStyle w:val="258"/>
                            <w:jc w:val="center"/>
                          </w:pPr>
                          <w:r>
                            <w:rPr>
                              <w:rFonts w:hint="eastAsia"/>
                            </w:rPr>
                            <w:t>-</w:t>
                          </w:r>
                          <w:r>
                            <w:fldChar w:fldCharType="begin"/>
                          </w:r>
                          <w:r>
                            <w:instrText xml:space="preserve">PAGE   \* MERGEFORMAT</w:instrText>
                          </w:r>
                          <w:r>
                            <w:fldChar w:fldCharType="separate"/>
                          </w:r>
                          <w:r>
                            <w:rPr>
                              <w:lang w:val="zh-CN"/>
                            </w:rPr>
                            <w:t>45</w:t>
                          </w:r>
                          <w:r>
                            <w:fldChar w:fldCharType="end"/>
                          </w:r>
                          <w:r>
                            <w:rPr>
                              <w:rFonts w:hint="eastAsia"/>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EE8CA8F">
                    <w:pPr>
                      <w:pStyle w:val="258"/>
                      <w:jc w:val="center"/>
                    </w:pPr>
                    <w:r>
                      <w:rPr>
                        <w:rFonts w:hint="eastAsia"/>
                      </w:rPr>
                      <w:t>-</w:t>
                    </w:r>
                    <w:r>
                      <w:fldChar w:fldCharType="begin"/>
                    </w:r>
                    <w:r>
                      <w:instrText xml:space="preserve">PAGE   \* MERGEFORMAT</w:instrText>
                    </w:r>
                    <w:r>
                      <w:fldChar w:fldCharType="separate"/>
                    </w:r>
                    <w:r>
                      <w:rPr>
                        <w:lang w:val="zh-CN"/>
                      </w:rPr>
                      <w:t>45</w:t>
                    </w:r>
                    <w:r>
                      <w:fldChar w:fldCharType="end"/>
                    </w:r>
                    <w:r>
                      <w:rPr>
                        <w:rFonts w:hint="eastAsia"/>
                      </w:rPr>
                      <w:t>-</w:t>
                    </w:r>
                  </w:p>
                </w:txbxContent>
              </v:textbox>
            </v:shape>
          </w:pict>
        </mc:Fallback>
      </mc:AlternateContent>
    </w:r>
  </w:p>
  <w:p w14:paraId="0D984463">
    <w:pPr>
      <w:pStyle w:val="25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31638">
    <w:pPr>
      <w:pStyle w:val="26"/>
      <w:tabs>
        <w:tab w:val="center" w:pos="4153"/>
        <w:tab w:val="right" w:pos="8306"/>
        <w:tab w:val="clear" w:pos="7143"/>
        <w:tab w:val="clear" w:pos="142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506"/>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1">
    <w:nsid w:val="BF205925"/>
    <w:multiLevelType w:val="multilevel"/>
    <w:tmpl w:val="BF205925"/>
    <w:lvl w:ilvl="0" w:tentative="0">
      <w:start w:val="0"/>
      <w:numFmt w:val="decimal"/>
      <w:pStyle w:val="49"/>
      <w:lvlText w:val=""/>
      <w:lvlJc w:val="left"/>
      <w:pPr>
        <w:tabs>
          <w:tab w:val="left" w:pos="360"/>
        </w:tabs>
      </w:pPr>
    </w:lvl>
    <w:lvl w:ilvl="1" w:tentative="0">
      <w:start w:val="1"/>
      <w:numFmt w:val="bullet"/>
      <w:pStyle w:val="462"/>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1"/>
      <w:numFmt w:val="decimal"/>
      <w:suff w:val="nothing"/>
      <w:lvlText w:val="%1．"/>
      <w:lvlJc w:val="left"/>
      <w:pPr>
        <w:ind w:left="840" w:hanging="420"/>
      </w:pPr>
      <w:rPr>
        <w:rFonts w:hint="eastAsia"/>
      </w:rPr>
    </w:lvl>
    <w:lvl w:ilvl="1" w:tentative="0">
      <w:start w:val="1"/>
      <w:numFmt w:val="lowerLetter"/>
      <w:lvlText w:val="%2)"/>
      <w:lvlJc w:val="left"/>
      <w:pPr>
        <w:tabs>
          <w:tab w:val="left" w:pos="840"/>
        </w:tabs>
        <w:ind w:left="1110" w:hanging="420"/>
      </w:pPr>
    </w:lvl>
    <w:lvl w:ilvl="2" w:tentative="0">
      <w:start w:val="1"/>
      <w:numFmt w:val="lowerRoman"/>
      <w:lvlText w:val="%3."/>
      <w:lvlJc w:val="right"/>
      <w:pPr>
        <w:tabs>
          <w:tab w:val="left" w:pos="1260"/>
        </w:tabs>
        <w:ind w:left="1530" w:hanging="420"/>
      </w:pPr>
    </w:lvl>
    <w:lvl w:ilvl="3" w:tentative="0">
      <w:start w:val="1"/>
      <w:numFmt w:val="decimal"/>
      <w:lvlText w:val="%4."/>
      <w:lvlJc w:val="left"/>
      <w:pPr>
        <w:tabs>
          <w:tab w:val="left" w:pos="1680"/>
        </w:tabs>
        <w:ind w:left="1950" w:hanging="420"/>
      </w:pPr>
    </w:lvl>
    <w:lvl w:ilvl="4" w:tentative="0">
      <w:start w:val="1"/>
      <w:numFmt w:val="lowerLetter"/>
      <w:lvlText w:val="%5)"/>
      <w:lvlJc w:val="left"/>
      <w:pPr>
        <w:tabs>
          <w:tab w:val="left" w:pos="2100"/>
        </w:tabs>
        <w:ind w:left="2370" w:hanging="420"/>
      </w:pPr>
    </w:lvl>
    <w:lvl w:ilvl="5" w:tentative="0">
      <w:start w:val="1"/>
      <w:numFmt w:val="lowerRoman"/>
      <w:lvlText w:val="%6."/>
      <w:lvlJc w:val="right"/>
      <w:pPr>
        <w:tabs>
          <w:tab w:val="left" w:pos="2520"/>
        </w:tabs>
        <w:ind w:left="2790" w:hanging="420"/>
      </w:pPr>
    </w:lvl>
    <w:lvl w:ilvl="6" w:tentative="0">
      <w:start w:val="1"/>
      <w:numFmt w:val="decimal"/>
      <w:lvlText w:val="%7."/>
      <w:lvlJc w:val="left"/>
      <w:pPr>
        <w:tabs>
          <w:tab w:val="left" w:pos="2940"/>
        </w:tabs>
        <w:ind w:left="3210" w:hanging="420"/>
      </w:pPr>
    </w:lvl>
    <w:lvl w:ilvl="7" w:tentative="0">
      <w:start w:val="1"/>
      <w:numFmt w:val="lowerLetter"/>
      <w:lvlText w:val="%8)"/>
      <w:lvlJc w:val="left"/>
      <w:pPr>
        <w:tabs>
          <w:tab w:val="left" w:pos="3360"/>
        </w:tabs>
        <w:ind w:left="3630" w:hanging="420"/>
      </w:pPr>
    </w:lvl>
    <w:lvl w:ilvl="8" w:tentative="0">
      <w:start w:val="1"/>
      <w:numFmt w:val="lowerRoman"/>
      <w:lvlText w:val="%9."/>
      <w:lvlJc w:val="right"/>
      <w:pPr>
        <w:tabs>
          <w:tab w:val="left" w:pos="3780"/>
        </w:tabs>
        <w:ind w:left="4050" w:hanging="420"/>
      </w:pPr>
    </w:lvl>
  </w:abstractNum>
  <w:abstractNum w:abstractNumId="3">
    <w:nsid w:val="CF092B84"/>
    <w:multiLevelType w:val="multilevel"/>
    <w:tmpl w:val="CF092B84"/>
    <w:lvl w:ilvl="0" w:tentative="0">
      <w:start w:val="1"/>
      <w:numFmt w:val="chineseCountingThousand"/>
      <w:pStyle w:val="50"/>
      <w:lvlText w:val="第%1部分"/>
      <w:lvlJc w:val="left"/>
      <w:pPr>
        <w:tabs>
          <w:tab w:val="left" w:pos="1800"/>
        </w:tabs>
        <w:ind w:left="425" w:hanging="425"/>
      </w:pPr>
      <w:rPr>
        <w:rFonts w:hint="eastAsia"/>
      </w:rPr>
    </w:lvl>
    <w:lvl w:ilvl="1" w:tentative="0">
      <w:start w:val="1"/>
      <w:numFmt w:val="decimal"/>
      <w:pStyle w:val="201"/>
      <w:lvlText w:val="%1.%2"/>
      <w:lvlJc w:val="left"/>
      <w:pPr>
        <w:tabs>
          <w:tab w:val="left" w:pos="567"/>
        </w:tabs>
        <w:ind w:left="567" w:hanging="567"/>
      </w:pPr>
      <w:rPr>
        <w:rFonts w:hint="eastAsia"/>
      </w:rPr>
    </w:lvl>
    <w:lvl w:ilvl="2" w:tentative="0">
      <w:start w:val="1"/>
      <w:numFmt w:val="decimal"/>
      <w:pStyle w:val="422"/>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pStyle w:val="53"/>
      <w:lvlText w:val="%1.%2.%3.%4.%5"/>
      <w:lvlJc w:val="left"/>
      <w:pPr>
        <w:tabs>
          <w:tab w:val="left" w:pos="1080"/>
        </w:tabs>
        <w:ind w:left="992" w:hanging="992"/>
      </w:pPr>
      <w:rPr>
        <w:rFonts w:hint="eastAsia"/>
      </w:rPr>
    </w:lvl>
    <w:lvl w:ilvl="5" w:tentative="0">
      <w:start w:val="1"/>
      <w:numFmt w:val="decimal"/>
      <w:pStyle w:val="203"/>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53208E"/>
    <w:multiLevelType w:val="multilevel"/>
    <w:tmpl w:val="0053208E"/>
    <w:lvl w:ilvl="0" w:tentative="0">
      <w:start w:val="1"/>
      <w:numFmt w:val="decimal"/>
      <w:pStyle w:val="30"/>
      <w:lvlText w:val="%1."/>
      <w:lvlJc w:val="left"/>
      <w:pPr>
        <w:tabs>
          <w:tab w:val="left" w:pos="900"/>
        </w:tabs>
        <w:ind w:left="900" w:hanging="420"/>
      </w:pPr>
      <w:rPr>
        <w:rFonts w:ascii="宋体" w:hAnsi="宋体" w:eastAsia="宋体" w:cs="宋体"/>
        <w:u w:val="none"/>
      </w:rPr>
    </w:lvl>
    <w:lvl w:ilvl="1" w:tentative="0">
      <w:start w:val="1"/>
      <w:numFmt w:val="lowerLetter"/>
      <w:lvlText w:val="%2)"/>
      <w:lvlJc w:val="left"/>
      <w:pPr>
        <w:tabs>
          <w:tab w:val="left" w:pos="1320"/>
        </w:tabs>
        <w:ind w:left="1320" w:hanging="420"/>
      </w:pPr>
      <w:rPr>
        <w:rFonts w:ascii="Times New Roman"/>
        <w:u w:val="none"/>
      </w:rPr>
    </w:lvl>
    <w:lvl w:ilvl="2" w:tentative="0">
      <w:start w:val="1"/>
      <w:numFmt w:val="lowerRoman"/>
      <w:lvlText w:val="%3."/>
      <w:lvlJc w:val="right"/>
      <w:pPr>
        <w:tabs>
          <w:tab w:val="left" w:pos="1740"/>
        </w:tabs>
        <w:ind w:left="1740" w:hanging="420"/>
      </w:pPr>
      <w:rPr>
        <w:rFonts w:ascii="Times New Roman"/>
        <w:u w:val="none"/>
      </w:rPr>
    </w:lvl>
    <w:lvl w:ilvl="3" w:tentative="0">
      <w:start w:val="1"/>
      <w:numFmt w:val="decimal"/>
      <w:lvlText w:val="%4."/>
      <w:lvlJc w:val="left"/>
      <w:pPr>
        <w:tabs>
          <w:tab w:val="left" w:pos="2160"/>
        </w:tabs>
        <w:ind w:left="2160" w:hanging="420"/>
      </w:pPr>
      <w:rPr>
        <w:rFonts w:ascii="Times New Roman"/>
        <w:u w:val="none"/>
      </w:rPr>
    </w:lvl>
    <w:lvl w:ilvl="4" w:tentative="0">
      <w:start w:val="1"/>
      <w:numFmt w:val="lowerLetter"/>
      <w:lvlText w:val="%5)"/>
      <w:lvlJc w:val="left"/>
      <w:pPr>
        <w:tabs>
          <w:tab w:val="left" w:pos="2580"/>
        </w:tabs>
        <w:ind w:left="2580" w:hanging="420"/>
      </w:pPr>
      <w:rPr>
        <w:rFonts w:ascii="Times New Roman"/>
        <w:u w:val="none"/>
      </w:rPr>
    </w:lvl>
    <w:lvl w:ilvl="5" w:tentative="0">
      <w:start w:val="1"/>
      <w:numFmt w:val="lowerRoman"/>
      <w:lvlText w:val="%6."/>
      <w:lvlJc w:val="right"/>
      <w:pPr>
        <w:tabs>
          <w:tab w:val="left" w:pos="3000"/>
        </w:tabs>
        <w:ind w:left="3000" w:hanging="420"/>
      </w:pPr>
      <w:rPr>
        <w:rFonts w:ascii="Times New Roman"/>
        <w:u w:val="none"/>
      </w:rPr>
    </w:lvl>
    <w:lvl w:ilvl="6" w:tentative="0">
      <w:start w:val="1"/>
      <w:numFmt w:val="decimal"/>
      <w:lvlText w:val="%7."/>
      <w:lvlJc w:val="left"/>
      <w:pPr>
        <w:tabs>
          <w:tab w:val="left" w:pos="3420"/>
        </w:tabs>
        <w:ind w:left="3420" w:hanging="420"/>
      </w:pPr>
      <w:rPr>
        <w:rFonts w:ascii="Times New Roman"/>
        <w:u w:val="none"/>
      </w:rPr>
    </w:lvl>
    <w:lvl w:ilvl="7" w:tentative="0">
      <w:start w:val="1"/>
      <w:numFmt w:val="lowerLetter"/>
      <w:lvlText w:val="%8)"/>
      <w:lvlJc w:val="left"/>
      <w:pPr>
        <w:tabs>
          <w:tab w:val="left" w:pos="3840"/>
        </w:tabs>
        <w:ind w:left="3840" w:hanging="420"/>
      </w:pPr>
      <w:rPr>
        <w:rFonts w:ascii="Times New Roman"/>
        <w:u w:val="none"/>
      </w:rPr>
    </w:lvl>
    <w:lvl w:ilvl="8" w:tentative="0">
      <w:start w:val="1"/>
      <w:numFmt w:val="lowerRoman"/>
      <w:lvlText w:val="%9."/>
      <w:lvlJc w:val="right"/>
      <w:pPr>
        <w:tabs>
          <w:tab w:val="left" w:pos="4260"/>
        </w:tabs>
        <w:ind w:left="4260" w:hanging="420"/>
      </w:pPr>
      <w:rPr>
        <w:rFonts w:ascii="Times New Roman"/>
        <w:u w:val="none"/>
      </w:rPr>
    </w:lvl>
  </w:abstractNum>
  <w:abstractNum w:abstractNumId="5">
    <w:nsid w:val="03D62ECE"/>
    <w:multiLevelType w:val="multilevel"/>
    <w:tmpl w:val="03D62ECE"/>
    <w:lvl w:ilvl="0" w:tentative="0">
      <w:start w:val="1"/>
      <w:numFmt w:val="decimal"/>
      <w:suff w:val="space"/>
      <w:lvlText w:val="第%1章"/>
      <w:lvlJc w:val="left"/>
      <w:pPr>
        <w:ind w:left="0" w:firstLine="0"/>
      </w:pPr>
      <w:rPr>
        <w:rFonts w:hint="default" w:ascii="Times New Roman" w:hAnsi="Times New Roman" w:eastAsia="黑体" w:cs="Times New Roman"/>
        <w:b w:val="0"/>
        <w:bCs w:val="0"/>
        <w:i w:val="0"/>
        <w:iCs w:val="0"/>
        <w:caps w:val="0"/>
        <w:smallCaps w:val="0"/>
        <w:strike w:val="0"/>
        <w:vanish w:val="0"/>
        <w:color w:val="auto"/>
        <w:spacing w:val="0"/>
        <w:position w:val="0"/>
        <w:sz w:val="44"/>
        <w:u w:val="none"/>
        <w:vertAlign w:val="baseline"/>
      </w:rPr>
    </w:lvl>
    <w:lvl w:ilvl="1" w:tentative="0">
      <w:start w:val="1"/>
      <w:numFmt w:val="decimal"/>
      <w:pStyle w:val="509"/>
      <w:isLgl/>
      <w:suff w:val="space"/>
      <w:lvlText w:val="%1.%2"/>
      <w:lvlJc w:val="left"/>
      <w:pPr>
        <w:ind w:left="0" w:firstLine="0"/>
      </w:pPr>
      <w:rPr>
        <w:rFonts w:hint="eastAsia"/>
      </w:rPr>
    </w:lvl>
    <w:lvl w:ilvl="2" w:tentative="0">
      <w:start w:val="1"/>
      <w:numFmt w:val="decimal"/>
      <w:suff w:val="space"/>
      <w:lvlText w:val="%1.%2.%3"/>
      <w:lvlJc w:val="left"/>
      <w:pPr>
        <w:ind w:left="0" w:firstLine="0"/>
      </w:pPr>
      <w:rPr>
        <w:rFonts w:hint="eastAsia"/>
      </w:rPr>
    </w:lvl>
    <w:lvl w:ilvl="3" w:tentative="0">
      <w:start w:val="1"/>
      <w:numFmt w:val="decimal"/>
      <w:suff w:val="space"/>
      <w:lvlText w:val="%1.%2.%3.%4"/>
      <w:lvlJc w:val="left"/>
      <w:pPr>
        <w:ind w:left="0" w:firstLine="0"/>
      </w:pPr>
      <w:rPr>
        <w:rFonts w:hint="eastAsia" w:cs="Times New Roman"/>
        <w:b w:val="0"/>
        <w:bCs w:val="0"/>
        <w:i w:val="0"/>
        <w:iCs w:val="0"/>
        <w:caps w:val="0"/>
        <w:smallCaps w:val="0"/>
        <w:strike w:val="0"/>
        <w:vanish w:val="0"/>
        <w:spacing w:val="0"/>
        <w:position w:val="0"/>
        <w:u w:val="none"/>
        <w:vertAlign w:val="baseline"/>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25B654F3"/>
    <w:multiLevelType w:val="multilevel"/>
    <w:tmpl w:val="25B654F3"/>
    <w:lvl w:ilvl="0" w:tentative="0">
      <w:start w:val="1"/>
      <w:numFmt w:val="decimal"/>
      <w:lvlText w:val="%1."/>
      <w:lvlJc w:val="left"/>
      <w:pPr>
        <w:tabs>
          <w:tab w:val="left" w:pos="0"/>
        </w:tabs>
        <w:ind w:left="420" w:hanging="420"/>
      </w:pPr>
      <w:rPr>
        <w:rFonts w:hint="default" w:ascii="Times New Roman" w:hAnsi="Times New Roman" w:eastAsia="宋体" w:cs="Times New Roman"/>
        <w:b/>
        <w:i w:val="0"/>
        <w:sz w:val="44"/>
        <w:szCs w:val="44"/>
      </w:rPr>
    </w:lvl>
    <w:lvl w:ilvl="1" w:tentative="0">
      <w:start w:val="1"/>
      <w:numFmt w:val="decimal"/>
      <w:isLgl/>
      <w:suff w:val="space"/>
      <w:lvlText w:val="%1.%2"/>
      <w:lvlJc w:val="left"/>
      <w:pPr>
        <w:ind w:left="0" w:firstLine="0"/>
      </w:pPr>
      <w:rPr>
        <w:rFonts w:hint="default" w:ascii="Times New Roman" w:hAnsi="Times New Roman" w:eastAsia="宋体" w:cs="Times New Roman"/>
      </w:rPr>
    </w:lvl>
    <w:lvl w:ilvl="2" w:tentative="0">
      <w:start w:val="1"/>
      <w:numFmt w:val="decimal"/>
      <w:suff w:val="space"/>
      <w:lvlText w:val="%1.%2.%3"/>
      <w:lvlJc w:val="left"/>
      <w:pPr>
        <w:ind w:left="1440" w:hanging="1440"/>
      </w:pPr>
      <w:rPr>
        <w:rFonts w:hint="default" w:ascii="Times New Roman" w:hAnsi="Times New Roman" w:eastAsia="宋体" w:cs="Times New Roman"/>
      </w:rPr>
    </w:lvl>
    <w:lvl w:ilvl="3" w:tentative="0">
      <w:start w:val="1"/>
      <w:numFmt w:val="decimal"/>
      <w:lvlText w:val="%1.%2.%3.%4"/>
      <w:lvlJc w:val="left"/>
      <w:pPr>
        <w:tabs>
          <w:tab w:val="left" w:pos="0"/>
        </w:tabs>
        <w:ind w:left="864" w:hanging="864"/>
      </w:pPr>
      <w:rPr>
        <w:rFonts w:hint="eastAsia"/>
      </w:rPr>
    </w:lvl>
    <w:lvl w:ilvl="4" w:tentative="0">
      <w:start w:val="1"/>
      <w:numFmt w:val="decimal"/>
      <w:lvlText w:val="%1.%2.%3.%4.%5"/>
      <w:lvlJc w:val="left"/>
      <w:pPr>
        <w:tabs>
          <w:tab w:val="left" w:pos="0"/>
        </w:tabs>
        <w:ind w:left="1008" w:hanging="1008"/>
      </w:pPr>
      <w:rPr>
        <w:rFonts w:hint="eastAsia"/>
      </w:rPr>
    </w:lvl>
    <w:lvl w:ilvl="5" w:tentative="0">
      <w:start w:val="1"/>
      <w:numFmt w:val="decimal"/>
      <w:lvlText w:val="%1.%2.%3.%4.%5.%6"/>
      <w:lvlJc w:val="left"/>
      <w:pPr>
        <w:tabs>
          <w:tab w:val="left" w:pos="0"/>
        </w:tabs>
        <w:ind w:left="1152" w:hanging="1152"/>
      </w:pPr>
      <w:rPr>
        <w:rFonts w:hint="eastAsia"/>
      </w:rPr>
    </w:lvl>
    <w:lvl w:ilvl="6" w:tentative="0">
      <w:start w:val="1"/>
      <w:numFmt w:val="decimal"/>
      <w:lvlText w:val="%1.%2.%3.%4.%5.%6.%7"/>
      <w:lvlJc w:val="left"/>
      <w:pPr>
        <w:tabs>
          <w:tab w:val="left" w:pos="0"/>
        </w:tabs>
        <w:ind w:left="1296" w:hanging="1296"/>
      </w:pPr>
      <w:rPr>
        <w:rFonts w:hint="eastAsia"/>
      </w:rPr>
    </w:lvl>
    <w:lvl w:ilvl="7" w:tentative="0">
      <w:start w:val="1"/>
      <w:numFmt w:val="decimal"/>
      <w:lvlText w:val="%1.%2.%3.%4.%5.%6.%7.%8"/>
      <w:lvlJc w:val="left"/>
      <w:pPr>
        <w:tabs>
          <w:tab w:val="left" w:pos="0"/>
        </w:tabs>
        <w:ind w:left="1440" w:hanging="1440"/>
      </w:pPr>
      <w:rPr>
        <w:rFonts w:hint="eastAsia"/>
      </w:rPr>
    </w:lvl>
    <w:lvl w:ilvl="8" w:tentative="0">
      <w:start w:val="1"/>
      <w:numFmt w:val="decimal"/>
      <w:lvlText w:val="%1.%2.%3.%4.%5.%6.%7.%8.%9"/>
      <w:lvlJc w:val="left"/>
      <w:pPr>
        <w:tabs>
          <w:tab w:val="left" w:pos="0"/>
        </w:tabs>
        <w:ind w:left="1584" w:hanging="1584"/>
      </w:pPr>
      <w:rPr>
        <w:rFonts w:hint="eastAsia"/>
      </w:rPr>
    </w:lvl>
  </w:abstractNum>
  <w:abstractNum w:abstractNumId="7">
    <w:nsid w:val="2A8F537B"/>
    <w:multiLevelType w:val="multilevel"/>
    <w:tmpl w:val="2A8F537B"/>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A882F09"/>
    <w:multiLevelType w:val="multilevel"/>
    <w:tmpl w:val="3A882F09"/>
    <w:lvl w:ilvl="0" w:tentative="0">
      <w:start w:val="1"/>
      <w:numFmt w:val="bullet"/>
      <w:lvlText w:val=""/>
      <w:lvlJc w:val="left"/>
      <w:pPr>
        <w:ind w:left="1060" w:hanging="420"/>
      </w:pPr>
      <w:rPr>
        <w:rFonts w:hint="default" w:ascii="Wingdings" w:hAnsi="Wingdings"/>
      </w:rPr>
    </w:lvl>
    <w:lvl w:ilvl="1" w:tentative="0">
      <w:start w:val="1"/>
      <w:numFmt w:val="bullet"/>
      <w:lvlText w:val=""/>
      <w:lvlJc w:val="left"/>
      <w:pPr>
        <w:ind w:left="1480" w:hanging="420"/>
      </w:pPr>
      <w:rPr>
        <w:rFonts w:hint="default" w:ascii="Wingdings" w:hAnsi="Wingdings"/>
      </w:rPr>
    </w:lvl>
    <w:lvl w:ilvl="2" w:tentative="0">
      <w:start w:val="1"/>
      <w:numFmt w:val="bullet"/>
      <w:lvlText w:val=""/>
      <w:lvlJc w:val="left"/>
      <w:pPr>
        <w:ind w:left="1900" w:hanging="420"/>
      </w:pPr>
      <w:rPr>
        <w:rFonts w:hint="default" w:ascii="Wingdings" w:hAnsi="Wingdings"/>
      </w:rPr>
    </w:lvl>
    <w:lvl w:ilvl="3" w:tentative="0">
      <w:start w:val="1"/>
      <w:numFmt w:val="bullet"/>
      <w:lvlText w:val=""/>
      <w:lvlJc w:val="left"/>
      <w:pPr>
        <w:ind w:left="2320" w:hanging="420"/>
      </w:pPr>
      <w:rPr>
        <w:rFonts w:hint="default" w:ascii="Wingdings" w:hAnsi="Wingdings"/>
      </w:rPr>
    </w:lvl>
    <w:lvl w:ilvl="4" w:tentative="0">
      <w:start w:val="1"/>
      <w:numFmt w:val="bullet"/>
      <w:lvlText w:val=""/>
      <w:lvlJc w:val="left"/>
      <w:pPr>
        <w:ind w:left="2740" w:hanging="420"/>
      </w:pPr>
      <w:rPr>
        <w:rFonts w:hint="default" w:ascii="Wingdings" w:hAnsi="Wingdings"/>
      </w:rPr>
    </w:lvl>
    <w:lvl w:ilvl="5" w:tentative="0">
      <w:start w:val="1"/>
      <w:numFmt w:val="bullet"/>
      <w:lvlText w:val=""/>
      <w:lvlJc w:val="left"/>
      <w:pPr>
        <w:ind w:left="3160" w:hanging="420"/>
      </w:pPr>
      <w:rPr>
        <w:rFonts w:hint="default" w:ascii="Wingdings" w:hAnsi="Wingdings"/>
      </w:rPr>
    </w:lvl>
    <w:lvl w:ilvl="6" w:tentative="0">
      <w:start w:val="1"/>
      <w:numFmt w:val="bullet"/>
      <w:lvlText w:val=""/>
      <w:lvlJc w:val="left"/>
      <w:pPr>
        <w:ind w:left="3580" w:hanging="420"/>
      </w:pPr>
      <w:rPr>
        <w:rFonts w:hint="default" w:ascii="Wingdings" w:hAnsi="Wingdings"/>
      </w:rPr>
    </w:lvl>
    <w:lvl w:ilvl="7" w:tentative="0">
      <w:start w:val="1"/>
      <w:numFmt w:val="bullet"/>
      <w:lvlText w:val=""/>
      <w:lvlJc w:val="left"/>
      <w:pPr>
        <w:ind w:left="4000" w:hanging="420"/>
      </w:pPr>
      <w:rPr>
        <w:rFonts w:hint="default" w:ascii="Wingdings" w:hAnsi="Wingdings"/>
      </w:rPr>
    </w:lvl>
    <w:lvl w:ilvl="8" w:tentative="0">
      <w:start w:val="1"/>
      <w:numFmt w:val="bullet"/>
      <w:lvlText w:val=""/>
      <w:lvlJc w:val="left"/>
      <w:pPr>
        <w:ind w:left="4420" w:hanging="420"/>
      </w:pPr>
      <w:rPr>
        <w:rFonts w:hint="default" w:ascii="Wingdings" w:hAnsi="Wingdings"/>
      </w:rPr>
    </w:lvl>
  </w:abstractNum>
  <w:abstractNum w:abstractNumId="9">
    <w:nsid w:val="4D4DC07F"/>
    <w:multiLevelType w:val="multilevel"/>
    <w:tmpl w:val="4D4DC07F"/>
    <w:lvl w:ilvl="0" w:tentative="0">
      <w:start w:val="3"/>
      <w:numFmt w:val="chineseCounting"/>
      <w:suff w:val="nothing"/>
      <w:lvlText w:val="第%1部分．"/>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1"/>
      <w:numFmt w:val="lowerLetter"/>
      <w:pStyle w:val="403"/>
      <w:lvlText w:val="%1)"/>
      <w:lvlJc w:val="left"/>
      <w:pPr>
        <w:tabs>
          <w:tab w:val="left" w:pos="1620"/>
        </w:tabs>
        <w:ind w:left="1620" w:hanging="420"/>
      </w:pPr>
    </w:lvl>
    <w:lvl w:ilvl="1" w:tentative="0">
      <w:start w:val="1"/>
      <w:numFmt w:val="decimal"/>
      <w:lvlText w:val="%2."/>
      <w:lvlJc w:val="left"/>
      <w:pPr>
        <w:tabs>
          <w:tab w:val="left" w:pos="2040"/>
        </w:tabs>
        <w:ind w:left="2040" w:hanging="420"/>
      </w:pPr>
    </w:lvl>
    <w:lvl w:ilvl="2" w:tentative="0">
      <w:start w:val="1"/>
      <w:numFmt w:val="lowerRoman"/>
      <w:lvlText w:val="%3."/>
      <w:lvlJc w:val="right"/>
      <w:pPr>
        <w:tabs>
          <w:tab w:val="left" w:pos="2460"/>
        </w:tabs>
        <w:ind w:left="2460" w:hanging="420"/>
      </w:pPr>
    </w:lvl>
    <w:lvl w:ilvl="3" w:tentative="0">
      <w:start w:val="1"/>
      <w:numFmt w:val="decimal"/>
      <w:lvlText w:val="%4."/>
      <w:lvlJc w:val="left"/>
      <w:pPr>
        <w:tabs>
          <w:tab w:val="left" w:pos="2880"/>
        </w:tabs>
        <w:ind w:left="2880" w:hanging="420"/>
      </w:pPr>
    </w:lvl>
    <w:lvl w:ilvl="4" w:tentative="0">
      <w:start w:val="1"/>
      <w:numFmt w:val="lowerLetter"/>
      <w:lvlText w:val="%5)"/>
      <w:lvlJc w:val="left"/>
      <w:pPr>
        <w:tabs>
          <w:tab w:val="left" w:pos="3300"/>
        </w:tabs>
        <w:ind w:left="3300" w:hanging="420"/>
      </w:pPr>
    </w:lvl>
    <w:lvl w:ilvl="5" w:tentative="0">
      <w:start w:val="1"/>
      <w:numFmt w:val="lowerRoman"/>
      <w:lvlText w:val="%6."/>
      <w:lvlJc w:val="right"/>
      <w:pPr>
        <w:tabs>
          <w:tab w:val="left" w:pos="3720"/>
        </w:tabs>
        <w:ind w:left="3720" w:hanging="420"/>
      </w:pPr>
    </w:lvl>
    <w:lvl w:ilvl="6" w:tentative="0">
      <w:start w:val="1"/>
      <w:numFmt w:val="decimal"/>
      <w:lvlText w:val="%7."/>
      <w:lvlJc w:val="left"/>
      <w:pPr>
        <w:tabs>
          <w:tab w:val="left" w:pos="4140"/>
        </w:tabs>
        <w:ind w:left="4140" w:hanging="420"/>
      </w:pPr>
    </w:lvl>
    <w:lvl w:ilvl="7" w:tentative="0">
      <w:start w:val="1"/>
      <w:numFmt w:val="lowerLetter"/>
      <w:lvlText w:val="%8)"/>
      <w:lvlJc w:val="left"/>
      <w:pPr>
        <w:tabs>
          <w:tab w:val="left" w:pos="4560"/>
        </w:tabs>
        <w:ind w:left="4560" w:hanging="420"/>
      </w:pPr>
    </w:lvl>
    <w:lvl w:ilvl="8" w:tentative="0">
      <w:start w:val="1"/>
      <w:numFmt w:val="lowerRoman"/>
      <w:lvlText w:val="%9."/>
      <w:lvlJc w:val="right"/>
      <w:pPr>
        <w:tabs>
          <w:tab w:val="left" w:pos="4980"/>
        </w:tabs>
        <w:ind w:left="4980" w:hanging="420"/>
      </w:pPr>
    </w:lvl>
  </w:abstractNum>
  <w:abstractNum w:abstractNumId="11">
    <w:nsid w:val="5A3C7883"/>
    <w:multiLevelType w:val="multilevel"/>
    <w:tmpl w:val="5A3C7883"/>
    <w:lvl w:ilvl="0" w:tentative="0">
      <w:start w:val="1"/>
      <w:numFmt w:val="decimal"/>
      <w:lvlText w:val="%1、"/>
      <w:lvlJc w:val="left"/>
      <w:pPr>
        <w:tabs>
          <w:tab w:val="left" w:pos="720"/>
        </w:tabs>
        <w:ind w:left="720" w:hanging="720"/>
      </w:pPr>
      <w:rPr>
        <w:rFonts w:hint="eastAsia"/>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upperLetter"/>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5CCBB05D"/>
    <w:multiLevelType w:val="singleLevel"/>
    <w:tmpl w:val="5CCBB05D"/>
    <w:lvl w:ilvl="0" w:tentative="0">
      <w:start w:val="3"/>
      <w:numFmt w:val="decimal"/>
      <w:lvlText w:val="%1."/>
      <w:lvlJc w:val="left"/>
      <w:pPr>
        <w:tabs>
          <w:tab w:val="left" w:pos="312"/>
        </w:tabs>
      </w:pPr>
    </w:lvl>
  </w:abstractNum>
  <w:num w:numId="1">
    <w:abstractNumId w:val="4"/>
  </w:num>
  <w:num w:numId="2">
    <w:abstractNumId w:val="1"/>
  </w:num>
  <w:num w:numId="3">
    <w:abstractNumId w:val="3"/>
  </w:num>
  <w:num w:numId="4">
    <w:abstractNumId w:val="10"/>
  </w:num>
  <w:num w:numId="5">
    <w:abstractNumId w:val="0"/>
  </w:num>
  <w:num w:numId="6">
    <w:abstractNumId w:val="5"/>
  </w:num>
  <w:num w:numId="7">
    <w:abstractNumId w:val="6"/>
    <w:lvlOverride w:ilvl="0">
      <w:lvl w:ilvl="0" w:tentative="1">
        <w:start w:val="1"/>
        <w:numFmt w:val="decimal"/>
        <w:pStyle w:val="510"/>
        <w:lvlText w:val="%1."/>
        <w:lvlJc w:val="left"/>
        <w:pPr>
          <w:tabs>
            <w:tab w:val="left" w:pos="5386"/>
          </w:tabs>
          <w:ind w:left="5806" w:hanging="420"/>
        </w:pPr>
        <w:rPr>
          <w:rFonts w:hint="default" w:ascii="Times New Roman" w:hAnsi="Times New Roman" w:eastAsia="宋体" w:cs="Times New Roman"/>
          <w:b/>
          <w:i w:val="0"/>
          <w:sz w:val="44"/>
          <w:szCs w:val="44"/>
        </w:rPr>
      </w:lvl>
    </w:lvlOverride>
  </w:num>
  <w:num w:numId="8">
    <w:abstractNumId w:val="12"/>
  </w:num>
  <w:num w:numId="9">
    <w:abstractNumId w:val="2"/>
  </w:num>
  <w:num w:numId="10">
    <w:abstractNumId w:val="9"/>
  </w:num>
  <w:num w:numId="11">
    <w:abstractNumId w:val="11"/>
  </w:num>
  <w:num w:numId="12">
    <w:abstractNumId w:val="8"/>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420"/>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MyNzU1YWJhMDY3YmJiNDQ0ZGUzZmM5ZGMwMDIyZTEifQ=="/>
  </w:docVars>
  <w:rsids>
    <w:rsidRoot w:val="00423959"/>
    <w:rsid w:val="00423959"/>
    <w:rsid w:val="007F59BC"/>
    <w:rsid w:val="00820697"/>
    <w:rsid w:val="008C6F45"/>
    <w:rsid w:val="00B03ADE"/>
    <w:rsid w:val="00D966F6"/>
    <w:rsid w:val="00E334B7"/>
    <w:rsid w:val="00F3667F"/>
    <w:rsid w:val="011122AA"/>
    <w:rsid w:val="01430FC4"/>
    <w:rsid w:val="014948FC"/>
    <w:rsid w:val="018E74F0"/>
    <w:rsid w:val="01D92217"/>
    <w:rsid w:val="02533F0F"/>
    <w:rsid w:val="026659F0"/>
    <w:rsid w:val="0281623E"/>
    <w:rsid w:val="035D0A02"/>
    <w:rsid w:val="03701378"/>
    <w:rsid w:val="042A6EF2"/>
    <w:rsid w:val="0441361C"/>
    <w:rsid w:val="04583A5F"/>
    <w:rsid w:val="04700DA8"/>
    <w:rsid w:val="04B05649"/>
    <w:rsid w:val="04D8694E"/>
    <w:rsid w:val="04DA26C6"/>
    <w:rsid w:val="05EC0902"/>
    <w:rsid w:val="05EE5698"/>
    <w:rsid w:val="06257970"/>
    <w:rsid w:val="065D535C"/>
    <w:rsid w:val="06FA195F"/>
    <w:rsid w:val="07391925"/>
    <w:rsid w:val="07A50D69"/>
    <w:rsid w:val="081128A2"/>
    <w:rsid w:val="083245C7"/>
    <w:rsid w:val="083260AB"/>
    <w:rsid w:val="083F3B30"/>
    <w:rsid w:val="084B6CD5"/>
    <w:rsid w:val="085302DE"/>
    <w:rsid w:val="085D5975"/>
    <w:rsid w:val="08653846"/>
    <w:rsid w:val="0889068B"/>
    <w:rsid w:val="0898267C"/>
    <w:rsid w:val="08EC53D4"/>
    <w:rsid w:val="091A7535"/>
    <w:rsid w:val="09420839"/>
    <w:rsid w:val="095E1B17"/>
    <w:rsid w:val="097E7AC3"/>
    <w:rsid w:val="09BA367E"/>
    <w:rsid w:val="0A3B3C06"/>
    <w:rsid w:val="0A5F6393"/>
    <w:rsid w:val="0A7A403F"/>
    <w:rsid w:val="0B1B1342"/>
    <w:rsid w:val="0B656F26"/>
    <w:rsid w:val="0C1D0EEF"/>
    <w:rsid w:val="0C4372E4"/>
    <w:rsid w:val="0CC33D08"/>
    <w:rsid w:val="0CC844DE"/>
    <w:rsid w:val="0CC954FA"/>
    <w:rsid w:val="0CF04F14"/>
    <w:rsid w:val="0D2C3CDA"/>
    <w:rsid w:val="0D662D48"/>
    <w:rsid w:val="0E6D45AA"/>
    <w:rsid w:val="0EE54141"/>
    <w:rsid w:val="0EF55DEB"/>
    <w:rsid w:val="0F0A1DF9"/>
    <w:rsid w:val="0F2E0236"/>
    <w:rsid w:val="0F976226"/>
    <w:rsid w:val="0FFA1DD4"/>
    <w:rsid w:val="10326B3F"/>
    <w:rsid w:val="10571000"/>
    <w:rsid w:val="108A4FA0"/>
    <w:rsid w:val="11205904"/>
    <w:rsid w:val="11941206"/>
    <w:rsid w:val="11A5359B"/>
    <w:rsid w:val="11A57121"/>
    <w:rsid w:val="11D32976"/>
    <w:rsid w:val="11F33019"/>
    <w:rsid w:val="121E0096"/>
    <w:rsid w:val="1283614B"/>
    <w:rsid w:val="12927B1B"/>
    <w:rsid w:val="129C720C"/>
    <w:rsid w:val="12A367ED"/>
    <w:rsid w:val="12B07913"/>
    <w:rsid w:val="12DD1CFF"/>
    <w:rsid w:val="13272246"/>
    <w:rsid w:val="133F573D"/>
    <w:rsid w:val="13A56AEC"/>
    <w:rsid w:val="14055098"/>
    <w:rsid w:val="14151024"/>
    <w:rsid w:val="144638D4"/>
    <w:rsid w:val="14976850"/>
    <w:rsid w:val="14AB3737"/>
    <w:rsid w:val="14C12F5A"/>
    <w:rsid w:val="14EA43A9"/>
    <w:rsid w:val="15080B89"/>
    <w:rsid w:val="152F1C92"/>
    <w:rsid w:val="15323E58"/>
    <w:rsid w:val="155C2C83"/>
    <w:rsid w:val="15DC09AD"/>
    <w:rsid w:val="15E50ECA"/>
    <w:rsid w:val="15F55F61"/>
    <w:rsid w:val="16726C02"/>
    <w:rsid w:val="16E178E4"/>
    <w:rsid w:val="17131EB4"/>
    <w:rsid w:val="172C5003"/>
    <w:rsid w:val="173C0FBE"/>
    <w:rsid w:val="17BE5533"/>
    <w:rsid w:val="17C5772E"/>
    <w:rsid w:val="181D494B"/>
    <w:rsid w:val="18673E19"/>
    <w:rsid w:val="190B50EC"/>
    <w:rsid w:val="19575C3B"/>
    <w:rsid w:val="195E16BF"/>
    <w:rsid w:val="19A65915"/>
    <w:rsid w:val="19AD7F51"/>
    <w:rsid w:val="19F65670"/>
    <w:rsid w:val="1A2909D5"/>
    <w:rsid w:val="1A2A15A2"/>
    <w:rsid w:val="1AA83764"/>
    <w:rsid w:val="1AE23C2A"/>
    <w:rsid w:val="1AF5570C"/>
    <w:rsid w:val="1B6D7998"/>
    <w:rsid w:val="1BE67AE2"/>
    <w:rsid w:val="1BF956CF"/>
    <w:rsid w:val="1C9A2A0F"/>
    <w:rsid w:val="1CA4563B"/>
    <w:rsid w:val="1D92634E"/>
    <w:rsid w:val="1DAB47A7"/>
    <w:rsid w:val="1DB01DBE"/>
    <w:rsid w:val="1DE73CB1"/>
    <w:rsid w:val="1E0345E3"/>
    <w:rsid w:val="1E230AD0"/>
    <w:rsid w:val="1E390005"/>
    <w:rsid w:val="1E42335E"/>
    <w:rsid w:val="1E65704C"/>
    <w:rsid w:val="1E6F6427"/>
    <w:rsid w:val="1EC23BB2"/>
    <w:rsid w:val="1ECC0E79"/>
    <w:rsid w:val="1F422EEA"/>
    <w:rsid w:val="1F52137F"/>
    <w:rsid w:val="1FBB1381"/>
    <w:rsid w:val="1FC37005"/>
    <w:rsid w:val="1FE8583F"/>
    <w:rsid w:val="2062344C"/>
    <w:rsid w:val="208F6602"/>
    <w:rsid w:val="20967991"/>
    <w:rsid w:val="20B83463"/>
    <w:rsid w:val="20E52651"/>
    <w:rsid w:val="211014F1"/>
    <w:rsid w:val="21FE134A"/>
    <w:rsid w:val="228A0E2F"/>
    <w:rsid w:val="22A30143"/>
    <w:rsid w:val="22AE1C1B"/>
    <w:rsid w:val="22CF0F38"/>
    <w:rsid w:val="22FD5AA5"/>
    <w:rsid w:val="23426EE9"/>
    <w:rsid w:val="23983042"/>
    <w:rsid w:val="24084702"/>
    <w:rsid w:val="246758CC"/>
    <w:rsid w:val="246C04C4"/>
    <w:rsid w:val="246F55F7"/>
    <w:rsid w:val="24D95404"/>
    <w:rsid w:val="24FA3312"/>
    <w:rsid w:val="253357AE"/>
    <w:rsid w:val="258C3673"/>
    <w:rsid w:val="25CB59E7"/>
    <w:rsid w:val="25F50CB6"/>
    <w:rsid w:val="26105AEF"/>
    <w:rsid w:val="26694781"/>
    <w:rsid w:val="26C8461C"/>
    <w:rsid w:val="27027B2E"/>
    <w:rsid w:val="2751016E"/>
    <w:rsid w:val="277218DC"/>
    <w:rsid w:val="27FC06B1"/>
    <w:rsid w:val="28072CD3"/>
    <w:rsid w:val="280D0539"/>
    <w:rsid w:val="286F11F3"/>
    <w:rsid w:val="295959FF"/>
    <w:rsid w:val="29AE7AF9"/>
    <w:rsid w:val="29C51E7B"/>
    <w:rsid w:val="2AB96756"/>
    <w:rsid w:val="2B2A124D"/>
    <w:rsid w:val="2B421E23"/>
    <w:rsid w:val="2B4C1378"/>
    <w:rsid w:val="2BCC070B"/>
    <w:rsid w:val="2BCF1FA9"/>
    <w:rsid w:val="2BE94BBD"/>
    <w:rsid w:val="2BF40F30"/>
    <w:rsid w:val="2C193DF2"/>
    <w:rsid w:val="2C20792F"/>
    <w:rsid w:val="2C3047F6"/>
    <w:rsid w:val="2C866B0B"/>
    <w:rsid w:val="2C9A4721"/>
    <w:rsid w:val="2CB45D8C"/>
    <w:rsid w:val="2CCA5DA7"/>
    <w:rsid w:val="2D8E211C"/>
    <w:rsid w:val="2DC53663"/>
    <w:rsid w:val="2DFB00FA"/>
    <w:rsid w:val="2E0221C2"/>
    <w:rsid w:val="2E5B3F8C"/>
    <w:rsid w:val="2E661427"/>
    <w:rsid w:val="2EF51D26"/>
    <w:rsid w:val="2F034443"/>
    <w:rsid w:val="2F5E167A"/>
    <w:rsid w:val="2F634EE2"/>
    <w:rsid w:val="2F971030"/>
    <w:rsid w:val="2FA55295"/>
    <w:rsid w:val="30161F54"/>
    <w:rsid w:val="30423CF4"/>
    <w:rsid w:val="3091782D"/>
    <w:rsid w:val="30BA152D"/>
    <w:rsid w:val="30DC5A27"/>
    <w:rsid w:val="30F21E8E"/>
    <w:rsid w:val="31197F4E"/>
    <w:rsid w:val="31A57A34"/>
    <w:rsid w:val="31A737AC"/>
    <w:rsid w:val="320238FB"/>
    <w:rsid w:val="32470AEB"/>
    <w:rsid w:val="327A28C6"/>
    <w:rsid w:val="3287538B"/>
    <w:rsid w:val="328F5FEE"/>
    <w:rsid w:val="32B74A06"/>
    <w:rsid w:val="332937A7"/>
    <w:rsid w:val="33332E1D"/>
    <w:rsid w:val="33734463"/>
    <w:rsid w:val="33D44600"/>
    <w:rsid w:val="33D62126"/>
    <w:rsid w:val="340547BA"/>
    <w:rsid w:val="34272982"/>
    <w:rsid w:val="3458241C"/>
    <w:rsid w:val="34AC34E4"/>
    <w:rsid w:val="353E21AC"/>
    <w:rsid w:val="355A0B35"/>
    <w:rsid w:val="35675000"/>
    <w:rsid w:val="35904557"/>
    <w:rsid w:val="35EB79DF"/>
    <w:rsid w:val="361C5DEB"/>
    <w:rsid w:val="3634172A"/>
    <w:rsid w:val="364B0218"/>
    <w:rsid w:val="36A66C89"/>
    <w:rsid w:val="36CC7811"/>
    <w:rsid w:val="37D304C0"/>
    <w:rsid w:val="383C09C6"/>
    <w:rsid w:val="3868555D"/>
    <w:rsid w:val="38A94FE7"/>
    <w:rsid w:val="395D0BF4"/>
    <w:rsid w:val="39672DBD"/>
    <w:rsid w:val="39981C2C"/>
    <w:rsid w:val="3A802DEC"/>
    <w:rsid w:val="3AF510BF"/>
    <w:rsid w:val="3B025052"/>
    <w:rsid w:val="3BBF16F2"/>
    <w:rsid w:val="3BC92571"/>
    <w:rsid w:val="3BDA29D0"/>
    <w:rsid w:val="3BE86656"/>
    <w:rsid w:val="3BE86E9B"/>
    <w:rsid w:val="3BF6222E"/>
    <w:rsid w:val="3BF84C04"/>
    <w:rsid w:val="3CA22904"/>
    <w:rsid w:val="3CD5582B"/>
    <w:rsid w:val="3CE55188"/>
    <w:rsid w:val="3D1A0A8C"/>
    <w:rsid w:val="3D7C3183"/>
    <w:rsid w:val="3DC7551D"/>
    <w:rsid w:val="3E5A411A"/>
    <w:rsid w:val="3EA51073"/>
    <w:rsid w:val="3EA90437"/>
    <w:rsid w:val="3F780536"/>
    <w:rsid w:val="3FFC1167"/>
    <w:rsid w:val="401144E6"/>
    <w:rsid w:val="40251D40"/>
    <w:rsid w:val="40CB0B39"/>
    <w:rsid w:val="42773CF4"/>
    <w:rsid w:val="42851101"/>
    <w:rsid w:val="42B06238"/>
    <w:rsid w:val="42D75573"/>
    <w:rsid w:val="431467C7"/>
    <w:rsid w:val="43513B71"/>
    <w:rsid w:val="4374370A"/>
    <w:rsid w:val="43CA3EB6"/>
    <w:rsid w:val="43F81C45"/>
    <w:rsid w:val="4407632C"/>
    <w:rsid w:val="447137A5"/>
    <w:rsid w:val="448A321F"/>
    <w:rsid w:val="44DB7165"/>
    <w:rsid w:val="453F38A4"/>
    <w:rsid w:val="459040FF"/>
    <w:rsid w:val="45A02594"/>
    <w:rsid w:val="45CF4C28"/>
    <w:rsid w:val="45FD5A05"/>
    <w:rsid w:val="46236D21"/>
    <w:rsid w:val="46367BEA"/>
    <w:rsid w:val="463D6035"/>
    <w:rsid w:val="46607F75"/>
    <w:rsid w:val="46876AFB"/>
    <w:rsid w:val="47794E4B"/>
    <w:rsid w:val="47985CED"/>
    <w:rsid w:val="47E04ECA"/>
    <w:rsid w:val="482F2C79"/>
    <w:rsid w:val="4893018E"/>
    <w:rsid w:val="48B14AB8"/>
    <w:rsid w:val="492E6109"/>
    <w:rsid w:val="49A563CB"/>
    <w:rsid w:val="49B77EAC"/>
    <w:rsid w:val="49E54E43"/>
    <w:rsid w:val="49EB7B56"/>
    <w:rsid w:val="49F86CF7"/>
    <w:rsid w:val="49F92273"/>
    <w:rsid w:val="4B412124"/>
    <w:rsid w:val="4B647BC0"/>
    <w:rsid w:val="4BAE52DF"/>
    <w:rsid w:val="4BB9615E"/>
    <w:rsid w:val="4BD20FCE"/>
    <w:rsid w:val="4C1E2465"/>
    <w:rsid w:val="4C453E95"/>
    <w:rsid w:val="4C63256E"/>
    <w:rsid w:val="4C6D6F48"/>
    <w:rsid w:val="4CFD207A"/>
    <w:rsid w:val="4D387CAC"/>
    <w:rsid w:val="4D423F31"/>
    <w:rsid w:val="4D956757"/>
    <w:rsid w:val="4DFF0074"/>
    <w:rsid w:val="4E2A0B73"/>
    <w:rsid w:val="4E557F11"/>
    <w:rsid w:val="4EC13ABD"/>
    <w:rsid w:val="4EC92B5C"/>
    <w:rsid w:val="4ECC43FA"/>
    <w:rsid w:val="4F192E39"/>
    <w:rsid w:val="4F1D07B2"/>
    <w:rsid w:val="4F980780"/>
    <w:rsid w:val="4FA47125"/>
    <w:rsid w:val="4FF87733"/>
    <w:rsid w:val="5060304C"/>
    <w:rsid w:val="510C5F51"/>
    <w:rsid w:val="5155457E"/>
    <w:rsid w:val="515A59B6"/>
    <w:rsid w:val="51BA5C5D"/>
    <w:rsid w:val="51BF3DA2"/>
    <w:rsid w:val="52097CF8"/>
    <w:rsid w:val="52452FA4"/>
    <w:rsid w:val="524D19FA"/>
    <w:rsid w:val="52662470"/>
    <w:rsid w:val="52AF2069"/>
    <w:rsid w:val="52F263F9"/>
    <w:rsid w:val="5305612D"/>
    <w:rsid w:val="531B5950"/>
    <w:rsid w:val="534529CD"/>
    <w:rsid w:val="53690469"/>
    <w:rsid w:val="53AB7295"/>
    <w:rsid w:val="53B1110F"/>
    <w:rsid w:val="53BE46D6"/>
    <w:rsid w:val="53EE3538"/>
    <w:rsid w:val="53EF50E8"/>
    <w:rsid w:val="541F7E14"/>
    <w:rsid w:val="543547EF"/>
    <w:rsid w:val="544467E1"/>
    <w:rsid w:val="545A4256"/>
    <w:rsid w:val="5474356A"/>
    <w:rsid w:val="548968E9"/>
    <w:rsid w:val="548B2661"/>
    <w:rsid w:val="55055F70"/>
    <w:rsid w:val="554F18E1"/>
    <w:rsid w:val="55A201D8"/>
    <w:rsid w:val="55E02539"/>
    <w:rsid w:val="56176296"/>
    <w:rsid w:val="564E66A6"/>
    <w:rsid w:val="567670F2"/>
    <w:rsid w:val="567F7FA4"/>
    <w:rsid w:val="56A96787"/>
    <w:rsid w:val="56AB2B47"/>
    <w:rsid w:val="56D93B58"/>
    <w:rsid w:val="573945F7"/>
    <w:rsid w:val="57430FD1"/>
    <w:rsid w:val="57661616"/>
    <w:rsid w:val="57671164"/>
    <w:rsid w:val="577D1589"/>
    <w:rsid w:val="57AF2B0B"/>
    <w:rsid w:val="57F329F7"/>
    <w:rsid w:val="581D5825"/>
    <w:rsid w:val="584C64D4"/>
    <w:rsid w:val="58A15BF6"/>
    <w:rsid w:val="58B2640F"/>
    <w:rsid w:val="58BA760B"/>
    <w:rsid w:val="58ED5699"/>
    <w:rsid w:val="5900445D"/>
    <w:rsid w:val="59376914"/>
    <w:rsid w:val="599F4F1F"/>
    <w:rsid w:val="59B14918"/>
    <w:rsid w:val="59B41B6F"/>
    <w:rsid w:val="59FA0D84"/>
    <w:rsid w:val="5A623E64"/>
    <w:rsid w:val="5B044F1C"/>
    <w:rsid w:val="5B8B1199"/>
    <w:rsid w:val="5BA81D4B"/>
    <w:rsid w:val="5BAB5397"/>
    <w:rsid w:val="5C1A4319"/>
    <w:rsid w:val="5C2F7D76"/>
    <w:rsid w:val="5DE42B7A"/>
    <w:rsid w:val="5DF11787"/>
    <w:rsid w:val="5E471E5A"/>
    <w:rsid w:val="5E776D26"/>
    <w:rsid w:val="5EF0335E"/>
    <w:rsid w:val="5F571ABE"/>
    <w:rsid w:val="5F812FDF"/>
    <w:rsid w:val="602A1539"/>
    <w:rsid w:val="60575AEE"/>
    <w:rsid w:val="6098238E"/>
    <w:rsid w:val="60AC58BA"/>
    <w:rsid w:val="60DA1C8D"/>
    <w:rsid w:val="61036D7F"/>
    <w:rsid w:val="61475B62"/>
    <w:rsid w:val="61BD5756"/>
    <w:rsid w:val="62A66C5F"/>
    <w:rsid w:val="62EF38C9"/>
    <w:rsid w:val="6301678E"/>
    <w:rsid w:val="64126C2A"/>
    <w:rsid w:val="64D140C0"/>
    <w:rsid w:val="64DE67DD"/>
    <w:rsid w:val="65197815"/>
    <w:rsid w:val="651D0FA7"/>
    <w:rsid w:val="65222B6E"/>
    <w:rsid w:val="654148A5"/>
    <w:rsid w:val="655D7702"/>
    <w:rsid w:val="65847385"/>
    <w:rsid w:val="65BE1061"/>
    <w:rsid w:val="65CE4B33"/>
    <w:rsid w:val="6649432F"/>
    <w:rsid w:val="665C5C0C"/>
    <w:rsid w:val="66766D07"/>
    <w:rsid w:val="668313EA"/>
    <w:rsid w:val="66C01155"/>
    <w:rsid w:val="66F61BBC"/>
    <w:rsid w:val="675D60DF"/>
    <w:rsid w:val="678B733E"/>
    <w:rsid w:val="67AA30A5"/>
    <w:rsid w:val="67B806BF"/>
    <w:rsid w:val="67C972D1"/>
    <w:rsid w:val="680B1697"/>
    <w:rsid w:val="683543AD"/>
    <w:rsid w:val="68420E31"/>
    <w:rsid w:val="68541290"/>
    <w:rsid w:val="68681FF3"/>
    <w:rsid w:val="687E098D"/>
    <w:rsid w:val="69132EFA"/>
    <w:rsid w:val="69546F7C"/>
    <w:rsid w:val="69881CB2"/>
    <w:rsid w:val="69CA10DE"/>
    <w:rsid w:val="6A184540"/>
    <w:rsid w:val="6A373C40"/>
    <w:rsid w:val="6A9F64B1"/>
    <w:rsid w:val="6AB204F0"/>
    <w:rsid w:val="6B6D2669"/>
    <w:rsid w:val="6B721A2E"/>
    <w:rsid w:val="6BA57439"/>
    <w:rsid w:val="6C29061D"/>
    <w:rsid w:val="6C77177C"/>
    <w:rsid w:val="6C7D068A"/>
    <w:rsid w:val="6C883AFC"/>
    <w:rsid w:val="6D1072DE"/>
    <w:rsid w:val="6D4252C8"/>
    <w:rsid w:val="6D57537F"/>
    <w:rsid w:val="6D7D3370"/>
    <w:rsid w:val="6DAA54AF"/>
    <w:rsid w:val="6DD26B83"/>
    <w:rsid w:val="6DFB21AE"/>
    <w:rsid w:val="6E33585D"/>
    <w:rsid w:val="6E501C55"/>
    <w:rsid w:val="6E755ABD"/>
    <w:rsid w:val="6E865791"/>
    <w:rsid w:val="6EA340B6"/>
    <w:rsid w:val="6EBC4DE1"/>
    <w:rsid w:val="6EFF5CCE"/>
    <w:rsid w:val="6F0532E4"/>
    <w:rsid w:val="6F6F6D45"/>
    <w:rsid w:val="6F785AAD"/>
    <w:rsid w:val="6F810491"/>
    <w:rsid w:val="6FD029C8"/>
    <w:rsid w:val="6FF43359"/>
    <w:rsid w:val="700215D2"/>
    <w:rsid w:val="70416737"/>
    <w:rsid w:val="708F3321"/>
    <w:rsid w:val="721970A7"/>
    <w:rsid w:val="722076FF"/>
    <w:rsid w:val="722577FA"/>
    <w:rsid w:val="726E5F51"/>
    <w:rsid w:val="72A252EE"/>
    <w:rsid w:val="7315786E"/>
    <w:rsid w:val="73807960"/>
    <w:rsid w:val="73DC65DE"/>
    <w:rsid w:val="74081181"/>
    <w:rsid w:val="740D49E9"/>
    <w:rsid w:val="74176EF6"/>
    <w:rsid w:val="74CE5F27"/>
    <w:rsid w:val="74D63E81"/>
    <w:rsid w:val="74F02341"/>
    <w:rsid w:val="75071439"/>
    <w:rsid w:val="75357D54"/>
    <w:rsid w:val="75593A5D"/>
    <w:rsid w:val="75E1612D"/>
    <w:rsid w:val="76796366"/>
    <w:rsid w:val="76CF2295"/>
    <w:rsid w:val="76E00193"/>
    <w:rsid w:val="76EE6D8C"/>
    <w:rsid w:val="771C3808"/>
    <w:rsid w:val="77291B3A"/>
    <w:rsid w:val="77762CBE"/>
    <w:rsid w:val="77FE14DC"/>
    <w:rsid w:val="785D5F3F"/>
    <w:rsid w:val="78A91184"/>
    <w:rsid w:val="79532E9E"/>
    <w:rsid w:val="79742313"/>
    <w:rsid w:val="797D71CA"/>
    <w:rsid w:val="7A080CC1"/>
    <w:rsid w:val="7A3C1B84"/>
    <w:rsid w:val="7AED4D14"/>
    <w:rsid w:val="7B315461"/>
    <w:rsid w:val="7BEC3649"/>
    <w:rsid w:val="7C466AE1"/>
    <w:rsid w:val="7C784558"/>
    <w:rsid w:val="7CCD11BA"/>
    <w:rsid w:val="7D0B19F4"/>
    <w:rsid w:val="7D122940"/>
    <w:rsid w:val="7D407BDD"/>
    <w:rsid w:val="7E0B01EB"/>
    <w:rsid w:val="7E2D0162"/>
    <w:rsid w:val="7E3C551C"/>
    <w:rsid w:val="7E551467"/>
    <w:rsid w:val="7E6B2A38"/>
    <w:rsid w:val="7E7560A8"/>
    <w:rsid w:val="7E817724"/>
    <w:rsid w:val="7F17671C"/>
    <w:rsid w:val="7F231565"/>
    <w:rsid w:val="7F34107C"/>
    <w:rsid w:val="7F743B6E"/>
    <w:rsid w:val="7F761695"/>
    <w:rsid w:val="7F8220B7"/>
    <w:rsid w:val="7FF30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54"/>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5"/>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6"/>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7"/>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8"/>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59"/>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0"/>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2"/>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28"/>
      <w:szCs w:val="20"/>
    </w:r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Indent"/>
    <w:basedOn w:val="1"/>
    <w:next w:val="17"/>
    <w:qFormat/>
    <w:uiPriority w:val="0"/>
    <w:pPr>
      <w:ind w:firstLine="576"/>
    </w:pPr>
    <w:rPr>
      <w:b/>
      <w:sz w:val="30"/>
    </w:rPr>
  </w:style>
  <w:style w:type="paragraph" w:styleId="17">
    <w:name w:val="envelope return"/>
    <w:basedOn w:val="1"/>
    <w:qFormat/>
    <w:uiPriority w:val="0"/>
    <w:pPr>
      <w:tabs>
        <w:tab w:val="left" w:pos="1630"/>
      </w:tabs>
      <w:jc w:val="left"/>
    </w:pPr>
    <w:rPr>
      <w:rFonts w:ascii="Arial" w:hAnsi="Arial" w:eastAsia="DFKai-SB" w:cs="Arial"/>
      <w:sz w:val="28"/>
      <w:lang w:eastAsia="zh-TW"/>
    </w:rPr>
  </w:style>
  <w:style w:type="paragraph" w:styleId="18">
    <w:name w:val="Block Text"/>
    <w:basedOn w:val="1"/>
    <w:qFormat/>
    <w:uiPriority w:val="0"/>
    <w:pPr>
      <w:ind w:left="420" w:right="33"/>
      <w:jc w:val="left"/>
    </w:pPr>
    <w:rPr>
      <w:sz w:val="24"/>
    </w:rPr>
  </w:style>
  <w:style w:type="paragraph" w:styleId="19">
    <w:name w:val="index 4"/>
    <w:basedOn w:val="1"/>
    <w:next w:val="1"/>
    <w:qFormat/>
    <w:uiPriority w:val="0"/>
    <w:pPr>
      <w:ind w:left="600"/>
    </w:pPr>
    <w:rPr>
      <w:szCs w:val="20"/>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szCs w:val="21"/>
    </w:rPr>
  </w:style>
  <w:style w:type="paragraph" w:styleId="23">
    <w:name w:val="toc 8"/>
    <w:basedOn w:val="1"/>
    <w:next w:val="1"/>
    <w:unhideWhenUsed/>
    <w:qFormat/>
    <w:uiPriority w:val="39"/>
    <w:pPr>
      <w:spacing w:after="57"/>
      <w:ind w:left="1984"/>
    </w:pPr>
  </w:style>
  <w:style w:type="paragraph" w:styleId="24">
    <w:name w:val="endnote text"/>
    <w:basedOn w:val="1"/>
    <w:link w:val="199"/>
    <w:semiHidden/>
    <w:unhideWhenUsed/>
    <w:qFormat/>
    <w:uiPriority w:val="99"/>
    <w:rPr>
      <w:sz w:val="20"/>
    </w:rPr>
  </w:style>
  <w:style w:type="paragraph" w:styleId="25">
    <w:name w:val="footer"/>
    <w:basedOn w:val="1"/>
    <w:link w:val="72"/>
    <w:unhideWhenUsed/>
    <w:qFormat/>
    <w:uiPriority w:val="99"/>
    <w:pPr>
      <w:tabs>
        <w:tab w:val="center" w:pos="7143"/>
        <w:tab w:val="right" w:pos="14287"/>
      </w:tabs>
    </w:pPr>
  </w:style>
  <w:style w:type="paragraph" w:styleId="26">
    <w:name w:val="header"/>
    <w:basedOn w:val="1"/>
    <w:link w:val="70"/>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link w:val="65"/>
    <w:qFormat/>
    <w:uiPriority w:val="11"/>
    <w:pPr>
      <w:spacing w:before="200" w:after="200"/>
    </w:pPr>
    <w:rPr>
      <w:sz w:val="24"/>
    </w:rPr>
  </w:style>
  <w:style w:type="paragraph" w:styleId="30">
    <w:name w:val="List"/>
    <w:basedOn w:val="1"/>
    <w:qFormat/>
    <w:uiPriority w:val="0"/>
    <w:pPr>
      <w:numPr>
        <w:ilvl w:val="0"/>
        <w:numId w:val="1"/>
      </w:numPr>
      <w:spacing w:after="20" w:line="288" w:lineRule="auto"/>
    </w:pPr>
    <w:rPr>
      <w:szCs w:val="20"/>
      <w:lang w:val="en-GB"/>
    </w:rPr>
  </w:style>
  <w:style w:type="paragraph" w:styleId="31">
    <w:name w:val="footnote text"/>
    <w:basedOn w:val="1"/>
    <w:link w:val="198"/>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qFormat/>
    <w:uiPriority w:val="99"/>
    <w:pPr>
      <w:widowControl/>
      <w:spacing w:before="100" w:beforeAutospacing="1" w:after="100" w:afterAutospacing="1"/>
      <w:jc w:val="left"/>
    </w:pPr>
    <w:rPr>
      <w:rFonts w:hint="eastAsia" w:ascii="宋体" w:hAnsi="宋体"/>
      <w:color w:val="000000"/>
      <w:sz w:val="24"/>
    </w:rPr>
  </w:style>
  <w:style w:type="paragraph" w:styleId="37">
    <w:name w:val="Title"/>
    <w:basedOn w:val="1"/>
    <w:next w:val="1"/>
    <w:link w:val="64"/>
    <w:qFormat/>
    <w:uiPriority w:val="10"/>
    <w:pPr>
      <w:spacing w:before="300" w:after="200"/>
      <w:contextualSpacing/>
    </w:pPr>
    <w:rPr>
      <w:sz w:val="48"/>
      <w:szCs w:val="48"/>
    </w:rPr>
  </w:style>
  <w:style w:type="paragraph" w:styleId="38">
    <w:name w:val="Body Text First Indent"/>
    <w:basedOn w:val="2"/>
    <w:next w:val="39"/>
    <w:qFormat/>
    <w:uiPriority w:val="0"/>
    <w:pPr>
      <w:spacing w:after="120"/>
      <w:ind w:firstLine="420" w:firstLineChars="200"/>
    </w:pPr>
    <w:rPr>
      <w:color w:val="000000"/>
      <w:spacing w:val="-8"/>
      <w:kern w:val="2"/>
      <w:sz w:val="21"/>
    </w:rPr>
  </w:style>
  <w:style w:type="paragraph" w:styleId="39">
    <w:name w:val="Body Text First Indent 2"/>
    <w:basedOn w:val="16"/>
    <w:next w:val="1"/>
    <w:unhideWhenUsed/>
    <w:qFormat/>
    <w:uiPriority w:val="99"/>
    <w:pPr>
      <w:ind w:firstLine="420"/>
    </w:pPr>
  </w:style>
  <w:style w:type="table" w:styleId="4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semiHidden/>
    <w:unhideWhenUsed/>
    <w:qFormat/>
    <w:uiPriority w:val="99"/>
    <w:rPr>
      <w:vertAlign w:val="superscript"/>
    </w:rPr>
  </w:style>
  <w:style w:type="character" w:styleId="44">
    <w:name w:val="Emphasis"/>
    <w:basedOn w:val="42"/>
    <w:qFormat/>
    <w:uiPriority w:val="20"/>
    <w:rPr>
      <w:i/>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footnote reference"/>
    <w:unhideWhenUsed/>
    <w:qFormat/>
    <w:uiPriority w:val="99"/>
    <w:rPr>
      <w:vertAlign w:val="superscript"/>
    </w:rPr>
  </w:style>
  <w:style w:type="paragraph" w:styleId="47">
    <w:name w:val="List Paragraph"/>
    <w:basedOn w:val="1"/>
    <w:qFormat/>
    <w:uiPriority w:val="34"/>
    <w:pPr>
      <w:ind w:firstLine="420"/>
    </w:pPr>
    <w:rPr>
      <w:rFonts w:ascii="Calibri" w:hAnsi="Calibri"/>
      <w:szCs w:val="22"/>
    </w:rPr>
  </w:style>
  <w:style w:type="paragraph" w:customStyle="1" w:styleId="48">
    <w:name w:val="Default"/>
    <w:qFormat/>
    <w:uiPriority w:val="0"/>
    <w:pPr>
      <w:widowControl w:val="0"/>
    </w:pPr>
    <w:rPr>
      <w:rFonts w:ascii="宋体" w:hAnsi="宋体" w:eastAsia="华文细黑" w:cs="宋体"/>
      <w:color w:val="000000"/>
      <w:sz w:val="24"/>
      <w:szCs w:val="24"/>
      <w:lang w:val="en-US" w:eastAsia="zh-CN" w:bidi="ar-SA"/>
    </w:rPr>
  </w:style>
  <w:style w:type="paragraph" w:customStyle="1" w:styleId="49">
    <w:name w:val="TOC 标题1"/>
    <w:basedOn w:val="50"/>
    <w:next w:val="1"/>
    <w:unhideWhenUsed/>
    <w:qFormat/>
    <w:uiPriority w:val="39"/>
    <w:pPr>
      <w:widowControl/>
      <w:numPr>
        <w:numId w:val="2"/>
      </w:numPr>
      <w:tabs>
        <w:tab w:val="left" w:pos="360"/>
        <w:tab w:val="left" w:pos="988"/>
        <w:tab w:val="left" w:pos="1800"/>
      </w:tabs>
      <w:spacing w:before="240" w:after="0" w:line="259" w:lineRule="auto"/>
      <w:ind w:left="0" w:firstLine="0"/>
      <w:jc w:val="left"/>
      <w:outlineLvl w:val="9"/>
    </w:pPr>
    <w:rPr>
      <w:rFonts w:ascii="Cambria" w:hAnsi="Cambria" w:eastAsia="宋体"/>
      <w:b w:val="0"/>
      <w:bCs w:val="0"/>
      <w:color w:val="365F90"/>
      <w:sz w:val="32"/>
      <w:szCs w:val="32"/>
    </w:rPr>
  </w:style>
  <w:style w:type="paragraph" w:customStyle="1" w:styleId="50">
    <w:name w:val="标题 11"/>
    <w:basedOn w:val="1"/>
    <w:next w:val="1"/>
    <w:link w:val="211"/>
    <w:qFormat/>
    <w:uiPriority w:val="0"/>
    <w:pPr>
      <w:keepNext/>
      <w:keepLines/>
      <w:numPr>
        <w:ilvl w:val="0"/>
        <w:numId w:val="3"/>
      </w:numPr>
      <w:spacing w:before="340" w:after="330" w:line="578" w:lineRule="auto"/>
      <w:jc w:val="center"/>
      <w:outlineLvl w:val="0"/>
    </w:pPr>
    <w:rPr>
      <w:rFonts w:ascii="黑体" w:eastAsia="黑体"/>
      <w:b/>
      <w:bCs/>
      <w:sz w:val="44"/>
      <w:szCs w:val="44"/>
    </w:rPr>
  </w:style>
  <w:style w:type="paragraph" w:customStyle="1" w:styleId="51">
    <w:name w:val="_Style 1"/>
    <w:basedOn w:val="1"/>
    <w:qFormat/>
    <w:uiPriority w:val="34"/>
    <w:pPr>
      <w:spacing w:line="360" w:lineRule="auto"/>
      <w:ind w:firstLine="420"/>
    </w:pPr>
    <w:rPr>
      <w:rFonts w:ascii="Calibri" w:hAnsi="Calibri"/>
      <w:sz w:val="24"/>
      <w:szCs w:val="22"/>
    </w:rPr>
  </w:style>
  <w:style w:type="paragraph" w:customStyle="1" w:styleId="52">
    <w:name w:val="段"/>
    <w:next w:val="1"/>
    <w:link w:val="519"/>
    <w:qFormat/>
    <w:uiPriority w:val="0"/>
    <w:pPr>
      <w:ind w:firstLine="200"/>
      <w:jc w:val="both"/>
    </w:pPr>
    <w:rPr>
      <w:rFonts w:ascii="宋体" w:hAnsi="Times New Roman" w:eastAsia="宋体" w:cs="Times New Roman"/>
      <w:sz w:val="21"/>
      <w:lang w:val="en-US" w:eastAsia="zh-CN" w:bidi="ar-SA"/>
    </w:rPr>
  </w:style>
  <w:style w:type="paragraph" w:customStyle="1" w:styleId="53">
    <w:name w:val="标题 41"/>
    <w:basedOn w:val="1"/>
    <w:next w:val="1"/>
    <w:link w:val="210"/>
    <w:qFormat/>
    <w:uiPriority w:val="0"/>
    <w:pPr>
      <w:keepNext/>
      <w:keepLines/>
      <w:numPr>
        <w:ilvl w:val="4"/>
        <w:numId w:val="3"/>
      </w:numPr>
      <w:spacing w:before="280" w:after="290" w:line="376" w:lineRule="auto"/>
      <w:outlineLvl w:val="3"/>
    </w:pPr>
    <w:rPr>
      <w:rFonts w:ascii="Arial" w:hAnsi="Arial" w:eastAsia="黑体"/>
      <w:b/>
      <w:bCs/>
      <w:sz w:val="28"/>
      <w:szCs w:val="28"/>
    </w:rPr>
  </w:style>
  <w:style w:type="character" w:customStyle="1" w:styleId="54">
    <w:name w:val="标题 1 字符"/>
    <w:link w:val="3"/>
    <w:qFormat/>
    <w:uiPriority w:val="9"/>
    <w:rPr>
      <w:rFonts w:ascii="Arial" w:hAnsi="Arial" w:eastAsia="Arial" w:cs="Arial"/>
      <w:sz w:val="40"/>
      <w:szCs w:val="40"/>
    </w:rPr>
  </w:style>
  <w:style w:type="character" w:customStyle="1" w:styleId="55">
    <w:name w:val="标题 2 字符"/>
    <w:link w:val="4"/>
    <w:qFormat/>
    <w:uiPriority w:val="9"/>
    <w:rPr>
      <w:rFonts w:ascii="Arial" w:hAnsi="Arial" w:eastAsia="Arial" w:cs="Arial"/>
      <w:sz w:val="34"/>
    </w:rPr>
  </w:style>
  <w:style w:type="character" w:customStyle="1" w:styleId="56">
    <w:name w:val="标题 3 字符"/>
    <w:link w:val="5"/>
    <w:qFormat/>
    <w:uiPriority w:val="9"/>
    <w:rPr>
      <w:rFonts w:ascii="Arial" w:hAnsi="Arial" w:eastAsia="Arial" w:cs="Arial"/>
      <w:sz w:val="30"/>
      <w:szCs w:val="30"/>
    </w:rPr>
  </w:style>
  <w:style w:type="character" w:customStyle="1" w:styleId="57">
    <w:name w:val="标题 4 字符"/>
    <w:link w:val="6"/>
    <w:qFormat/>
    <w:uiPriority w:val="9"/>
    <w:rPr>
      <w:rFonts w:ascii="Arial" w:hAnsi="Arial" w:eastAsia="Arial" w:cs="Arial"/>
      <w:b/>
      <w:bCs/>
      <w:sz w:val="26"/>
      <w:szCs w:val="26"/>
    </w:rPr>
  </w:style>
  <w:style w:type="character" w:customStyle="1" w:styleId="58">
    <w:name w:val="标题 5 字符"/>
    <w:link w:val="7"/>
    <w:qFormat/>
    <w:uiPriority w:val="9"/>
    <w:rPr>
      <w:rFonts w:ascii="Arial" w:hAnsi="Arial" w:eastAsia="Arial" w:cs="Arial"/>
      <w:b/>
      <w:bCs/>
      <w:sz w:val="24"/>
      <w:szCs w:val="24"/>
    </w:rPr>
  </w:style>
  <w:style w:type="character" w:customStyle="1" w:styleId="59">
    <w:name w:val="标题 6 字符"/>
    <w:link w:val="8"/>
    <w:qFormat/>
    <w:uiPriority w:val="9"/>
    <w:rPr>
      <w:rFonts w:ascii="Arial" w:hAnsi="Arial" w:eastAsia="Arial" w:cs="Arial"/>
      <w:b/>
      <w:bCs/>
      <w:sz w:val="22"/>
      <w:szCs w:val="22"/>
    </w:rPr>
  </w:style>
  <w:style w:type="character" w:customStyle="1" w:styleId="60">
    <w:name w:val="标题 7 字符"/>
    <w:link w:val="9"/>
    <w:qFormat/>
    <w:uiPriority w:val="9"/>
    <w:rPr>
      <w:rFonts w:ascii="Arial" w:hAnsi="Arial" w:eastAsia="Arial" w:cs="Arial"/>
      <w:b/>
      <w:bCs/>
      <w:i/>
      <w:iCs/>
      <w:sz w:val="22"/>
      <w:szCs w:val="22"/>
    </w:rPr>
  </w:style>
  <w:style w:type="character" w:customStyle="1" w:styleId="61">
    <w:name w:val="标题 8 字符"/>
    <w:link w:val="10"/>
    <w:qFormat/>
    <w:uiPriority w:val="9"/>
    <w:rPr>
      <w:rFonts w:ascii="Arial" w:hAnsi="Arial" w:eastAsia="Arial" w:cs="Arial"/>
      <w:i/>
      <w:iCs/>
      <w:sz w:val="22"/>
      <w:szCs w:val="22"/>
    </w:rPr>
  </w:style>
  <w:style w:type="character" w:customStyle="1" w:styleId="62">
    <w:name w:val="标题 9 字符"/>
    <w:link w:val="11"/>
    <w:qFormat/>
    <w:uiPriority w:val="9"/>
    <w:rPr>
      <w:rFonts w:ascii="Arial" w:hAnsi="Arial" w:eastAsia="Arial" w:cs="Arial"/>
      <w:i/>
      <w:iCs/>
      <w:sz w:val="21"/>
      <w:szCs w:val="21"/>
    </w:rPr>
  </w:style>
  <w:style w:type="paragraph" w:styleId="63">
    <w:name w:val="No Spacing"/>
    <w:qFormat/>
    <w:uiPriority w:val="1"/>
    <w:rPr>
      <w:rFonts w:ascii="Times New Roman" w:hAnsi="Times New Roman" w:eastAsia="宋体" w:cs="Times New Roman"/>
      <w:lang w:val="en-US" w:eastAsia="zh-CN" w:bidi="ar-SA"/>
    </w:rPr>
  </w:style>
  <w:style w:type="character" w:customStyle="1" w:styleId="64">
    <w:name w:val="标题 字符"/>
    <w:link w:val="37"/>
    <w:qFormat/>
    <w:uiPriority w:val="10"/>
    <w:rPr>
      <w:sz w:val="48"/>
      <w:szCs w:val="48"/>
    </w:rPr>
  </w:style>
  <w:style w:type="character" w:customStyle="1" w:styleId="65">
    <w:name w:val="副标题 字符"/>
    <w:link w:val="29"/>
    <w:qFormat/>
    <w:uiPriority w:val="11"/>
    <w:rPr>
      <w:sz w:val="24"/>
      <w:szCs w:val="24"/>
    </w:rPr>
  </w:style>
  <w:style w:type="paragraph" w:styleId="66">
    <w:name w:val="Quote"/>
    <w:basedOn w:val="1"/>
    <w:next w:val="1"/>
    <w:link w:val="67"/>
    <w:qFormat/>
    <w:uiPriority w:val="29"/>
    <w:pPr>
      <w:ind w:left="720" w:right="720"/>
    </w:pPr>
    <w:rPr>
      <w:i/>
    </w:rPr>
  </w:style>
  <w:style w:type="character" w:customStyle="1" w:styleId="67">
    <w:name w:val="引用 字符"/>
    <w:link w:val="66"/>
    <w:qFormat/>
    <w:uiPriority w:val="29"/>
    <w:rPr>
      <w:i/>
    </w:rPr>
  </w:style>
  <w:style w:type="paragraph" w:styleId="68">
    <w:name w:val="Intense Quote"/>
    <w:basedOn w:val="1"/>
    <w:next w:val="1"/>
    <w:link w:val="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9">
    <w:name w:val="明显引用 字符"/>
    <w:link w:val="68"/>
    <w:qFormat/>
    <w:uiPriority w:val="30"/>
    <w:rPr>
      <w:i/>
    </w:rPr>
  </w:style>
  <w:style w:type="character" w:customStyle="1" w:styleId="70">
    <w:name w:val="页眉 字符"/>
    <w:link w:val="26"/>
    <w:qFormat/>
    <w:uiPriority w:val="99"/>
  </w:style>
  <w:style w:type="character" w:customStyle="1" w:styleId="71">
    <w:name w:val="Footer Char"/>
    <w:qFormat/>
    <w:uiPriority w:val="99"/>
  </w:style>
  <w:style w:type="character" w:customStyle="1" w:styleId="72">
    <w:name w:val="页脚 字符"/>
    <w:link w:val="25"/>
    <w:qFormat/>
    <w:uiPriority w:val="99"/>
  </w:style>
  <w:style w:type="table" w:customStyle="1" w:styleId="7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脚注文本 字符"/>
    <w:link w:val="31"/>
    <w:qFormat/>
    <w:uiPriority w:val="99"/>
    <w:rPr>
      <w:sz w:val="18"/>
    </w:rPr>
  </w:style>
  <w:style w:type="character" w:customStyle="1" w:styleId="199">
    <w:name w:val="尾注文本 字符"/>
    <w:link w:val="24"/>
    <w:qFormat/>
    <w:uiPriority w:val="99"/>
    <w:rPr>
      <w:sz w:val="20"/>
    </w:rPr>
  </w:style>
  <w:style w:type="paragraph" w:customStyle="1" w:styleId="200">
    <w:name w:val="TOC 标题2"/>
    <w:unhideWhenUsed/>
    <w:qFormat/>
    <w:uiPriority w:val="39"/>
    <w:rPr>
      <w:rFonts w:ascii="Times New Roman" w:hAnsi="Times New Roman" w:eastAsia="宋体" w:cs="Times New Roman"/>
      <w:lang w:val="en-US" w:eastAsia="zh-CN" w:bidi="ar-SA"/>
    </w:rPr>
  </w:style>
  <w:style w:type="paragraph" w:customStyle="1" w:styleId="201">
    <w:name w:val="标题 21"/>
    <w:basedOn w:val="1"/>
    <w:next w:val="1"/>
    <w:link w:val="212"/>
    <w:qFormat/>
    <w:uiPriority w:val="0"/>
    <w:pPr>
      <w:keepNext/>
      <w:keepLines/>
      <w:numPr>
        <w:ilvl w:val="1"/>
        <w:numId w:val="3"/>
      </w:numPr>
      <w:spacing w:before="260" w:after="260" w:line="416" w:lineRule="auto"/>
      <w:outlineLvl w:val="1"/>
    </w:pPr>
    <w:rPr>
      <w:rFonts w:ascii="Arial" w:hAnsi="Arial" w:eastAsia="黑体"/>
      <w:b/>
      <w:bCs/>
      <w:sz w:val="32"/>
      <w:szCs w:val="32"/>
    </w:rPr>
  </w:style>
  <w:style w:type="paragraph" w:customStyle="1" w:styleId="202">
    <w:name w:val="标题 31"/>
    <w:basedOn w:val="1"/>
    <w:next w:val="1"/>
    <w:link w:val="213"/>
    <w:qFormat/>
    <w:uiPriority w:val="0"/>
    <w:pPr>
      <w:keepNext/>
      <w:keepLines/>
      <w:spacing w:before="260" w:after="260" w:line="416" w:lineRule="auto"/>
      <w:outlineLvl w:val="2"/>
    </w:pPr>
    <w:rPr>
      <w:rFonts w:ascii="黑体" w:eastAsia="黑体"/>
      <w:b/>
      <w:bCs/>
      <w:sz w:val="32"/>
      <w:szCs w:val="32"/>
    </w:rPr>
  </w:style>
  <w:style w:type="paragraph" w:customStyle="1" w:styleId="203">
    <w:name w:val="标题 51"/>
    <w:basedOn w:val="1"/>
    <w:next w:val="1"/>
    <w:link w:val="214"/>
    <w:qFormat/>
    <w:uiPriority w:val="0"/>
    <w:pPr>
      <w:keepNext/>
      <w:keepLines/>
      <w:numPr>
        <w:ilvl w:val="5"/>
        <w:numId w:val="3"/>
      </w:numPr>
      <w:spacing w:before="280" w:after="290" w:line="376" w:lineRule="auto"/>
      <w:outlineLvl w:val="4"/>
    </w:pPr>
    <w:rPr>
      <w:rFonts w:ascii="黑体" w:eastAsia="黑体"/>
      <w:b/>
      <w:bCs/>
      <w:sz w:val="28"/>
      <w:szCs w:val="28"/>
    </w:rPr>
  </w:style>
  <w:style w:type="paragraph" w:customStyle="1" w:styleId="204">
    <w:name w:val="标题 61"/>
    <w:basedOn w:val="1"/>
    <w:next w:val="1"/>
    <w:link w:val="215"/>
    <w:qFormat/>
    <w:uiPriority w:val="0"/>
    <w:pPr>
      <w:keepNext/>
      <w:keepLines/>
      <w:tabs>
        <w:tab w:val="left" w:pos="1152"/>
      </w:tabs>
      <w:spacing w:before="240" w:after="64" w:line="320" w:lineRule="atLeast"/>
      <w:ind w:left="1152" w:hanging="1152"/>
      <w:outlineLvl w:val="5"/>
    </w:pPr>
    <w:rPr>
      <w:rFonts w:ascii="Arial" w:hAnsi="Arial" w:eastAsia="黑体"/>
      <w:b/>
      <w:sz w:val="24"/>
    </w:rPr>
  </w:style>
  <w:style w:type="paragraph" w:customStyle="1" w:styleId="205">
    <w:name w:val="标题 71"/>
    <w:basedOn w:val="1"/>
    <w:next w:val="1"/>
    <w:link w:val="216"/>
    <w:qFormat/>
    <w:uiPriority w:val="0"/>
    <w:pPr>
      <w:keepNext/>
      <w:keepLines/>
      <w:tabs>
        <w:tab w:val="left" w:pos="1296"/>
      </w:tabs>
      <w:spacing w:before="240" w:after="64" w:line="320" w:lineRule="atLeast"/>
      <w:ind w:left="1296" w:hanging="1296"/>
      <w:outlineLvl w:val="6"/>
    </w:pPr>
    <w:rPr>
      <w:b/>
      <w:sz w:val="24"/>
    </w:rPr>
  </w:style>
  <w:style w:type="paragraph" w:customStyle="1" w:styleId="206">
    <w:name w:val="标题 81"/>
    <w:basedOn w:val="1"/>
    <w:next w:val="1"/>
    <w:link w:val="217"/>
    <w:qFormat/>
    <w:uiPriority w:val="0"/>
    <w:pPr>
      <w:keepNext/>
      <w:keepLines/>
      <w:tabs>
        <w:tab w:val="left" w:pos="1440"/>
      </w:tabs>
      <w:spacing w:before="240" w:after="64" w:line="320" w:lineRule="atLeast"/>
      <w:ind w:left="1440" w:hanging="1440"/>
      <w:outlineLvl w:val="7"/>
    </w:pPr>
    <w:rPr>
      <w:rFonts w:ascii="Arial" w:hAnsi="Arial" w:eastAsia="黑体"/>
      <w:sz w:val="24"/>
    </w:rPr>
  </w:style>
  <w:style w:type="paragraph" w:customStyle="1" w:styleId="207">
    <w:name w:val="标题 91"/>
    <w:basedOn w:val="1"/>
    <w:next w:val="1"/>
    <w:link w:val="218"/>
    <w:qFormat/>
    <w:uiPriority w:val="0"/>
    <w:pPr>
      <w:keepNext/>
      <w:keepLines/>
      <w:tabs>
        <w:tab w:val="left" w:pos="1584"/>
      </w:tabs>
      <w:spacing w:before="240" w:after="64" w:line="320" w:lineRule="atLeast"/>
      <w:ind w:left="1584" w:hanging="1584"/>
      <w:outlineLvl w:val="8"/>
    </w:pPr>
    <w:rPr>
      <w:rFonts w:ascii="Arial" w:hAnsi="Arial" w:eastAsia="黑体"/>
    </w:rPr>
  </w:style>
  <w:style w:type="character" w:customStyle="1" w:styleId="208">
    <w:name w:val="默认段落字体1"/>
    <w:unhideWhenUsed/>
    <w:qFormat/>
    <w:uiPriority w:val="1"/>
  </w:style>
  <w:style w:type="table" w:customStyle="1" w:styleId="209">
    <w:name w:val="普通表格1"/>
    <w:semiHidden/>
    <w:qFormat/>
    <w:uiPriority w:val="0"/>
    <w:tblPr>
      <w:tblCellMar>
        <w:top w:w="0" w:type="dxa"/>
        <w:left w:w="0" w:type="dxa"/>
        <w:bottom w:w="0" w:type="dxa"/>
        <w:right w:w="0" w:type="dxa"/>
      </w:tblCellMar>
    </w:tblPr>
  </w:style>
  <w:style w:type="character" w:customStyle="1" w:styleId="210">
    <w:name w:val="标题 4 Char"/>
    <w:link w:val="53"/>
    <w:qFormat/>
    <w:uiPriority w:val="0"/>
    <w:rPr>
      <w:rFonts w:ascii="Arial" w:hAnsi="Arial" w:eastAsia="黑体"/>
      <w:b/>
      <w:bCs/>
      <w:sz w:val="28"/>
      <w:szCs w:val="28"/>
    </w:rPr>
  </w:style>
  <w:style w:type="character" w:customStyle="1" w:styleId="211">
    <w:name w:val="标题 1 Char"/>
    <w:link w:val="50"/>
    <w:qFormat/>
    <w:uiPriority w:val="0"/>
    <w:rPr>
      <w:rFonts w:ascii="黑体" w:eastAsia="黑体"/>
      <w:b/>
      <w:bCs/>
      <w:sz w:val="44"/>
      <w:szCs w:val="44"/>
    </w:rPr>
  </w:style>
  <w:style w:type="character" w:customStyle="1" w:styleId="212">
    <w:name w:val="标题 2 Char"/>
    <w:link w:val="201"/>
    <w:qFormat/>
    <w:uiPriority w:val="0"/>
    <w:rPr>
      <w:rFonts w:ascii="Arial" w:hAnsi="Arial" w:eastAsia="黑体"/>
      <w:b/>
      <w:bCs/>
      <w:sz w:val="32"/>
      <w:szCs w:val="32"/>
    </w:rPr>
  </w:style>
  <w:style w:type="character" w:customStyle="1" w:styleId="213">
    <w:name w:val="标题 3 Char"/>
    <w:link w:val="202"/>
    <w:qFormat/>
    <w:uiPriority w:val="0"/>
    <w:rPr>
      <w:rFonts w:ascii="黑体" w:eastAsia="黑体"/>
      <w:b/>
      <w:bCs/>
      <w:sz w:val="32"/>
      <w:szCs w:val="32"/>
    </w:rPr>
  </w:style>
  <w:style w:type="character" w:customStyle="1" w:styleId="214">
    <w:name w:val="标题 5 Char"/>
    <w:link w:val="203"/>
    <w:qFormat/>
    <w:uiPriority w:val="0"/>
    <w:rPr>
      <w:rFonts w:ascii="黑体" w:eastAsia="黑体"/>
      <w:b/>
      <w:bCs/>
      <w:sz w:val="28"/>
      <w:szCs w:val="28"/>
    </w:rPr>
  </w:style>
  <w:style w:type="character" w:customStyle="1" w:styleId="215">
    <w:name w:val="标题 6 Char"/>
    <w:link w:val="204"/>
    <w:qFormat/>
    <w:uiPriority w:val="0"/>
    <w:rPr>
      <w:rFonts w:ascii="Arial" w:hAnsi="Arial" w:eastAsia="黑体"/>
      <w:b/>
      <w:sz w:val="24"/>
      <w:szCs w:val="24"/>
    </w:rPr>
  </w:style>
  <w:style w:type="character" w:customStyle="1" w:styleId="216">
    <w:name w:val="标题 7 Char"/>
    <w:link w:val="205"/>
    <w:qFormat/>
    <w:uiPriority w:val="0"/>
    <w:rPr>
      <w:b/>
      <w:sz w:val="24"/>
      <w:szCs w:val="24"/>
    </w:rPr>
  </w:style>
  <w:style w:type="character" w:customStyle="1" w:styleId="217">
    <w:name w:val="标题 8 Char"/>
    <w:link w:val="206"/>
    <w:qFormat/>
    <w:uiPriority w:val="0"/>
    <w:rPr>
      <w:rFonts w:ascii="Arial" w:hAnsi="Arial" w:eastAsia="黑体"/>
      <w:sz w:val="24"/>
      <w:szCs w:val="24"/>
    </w:rPr>
  </w:style>
  <w:style w:type="character" w:customStyle="1" w:styleId="218">
    <w:name w:val="标题 9 Char"/>
    <w:link w:val="207"/>
    <w:qFormat/>
    <w:uiPriority w:val="0"/>
    <w:rPr>
      <w:rFonts w:ascii="Arial" w:hAnsi="Arial" w:eastAsia="黑体"/>
      <w:sz w:val="21"/>
      <w:szCs w:val="24"/>
    </w:rPr>
  </w:style>
  <w:style w:type="paragraph" w:customStyle="1" w:styleId="219">
    <w:name w:val="目录 71"/>
    <w:basedOn w:val="1"/>
    <w:next w:val="1"/>
    <w:qFormat/>
    <w:uiPriority w:val="39"/>
    <w:pPr>
      <w:spacing w:line="288" w:lineRule="auto"/>
      <w:ind w:left="1260" w:firstLine="420"/>
      <w:jc w:val="left"/>
    </w:pPr>
    <w:rPr>
      <w:sz w:val="18"/>
      <w:szCs w:val="18"/>
    </w:rPr>
  </w:style>
  <w:style w:type="paragraph" w:customStyle="1" w:styleId="220">
    <w:name w:val="索引 81"/>
    <w:basedOn w:val="1"/>
    <w:next w:val="1"/>
    <w:qFormat/>
    <w:uiPriority w:val="0"/>
    <w:pPr>
      <w:ind w:left="1400"/>
    </w:pPr>
    <w:rPr>
      <w:szCs w:val="20"/>
    </w:rPr>
  </w:style>
  <w:style w:type="paragraph" w:customStyle="1" w:styleId="221">
    <w:name w:val="正文缩进11"/>
    <w:basedOn w:val="1"/>
    <w:link w:val="222"/>
    <w:qFormat/>
    <w:uiPriority w:val="0"/>
    <w:pPr>
      <w:widowControl/>
      <w:ind w:firstLine="420"/>
      <w:jc w:val="left"/>
    </w:pPr>
    <w:rPr>
      <w:sz w:val="20"/>
      <w:szCs w:val="20"/>
    </w:rPr>
  </w:style>
  <w:style w:type="character" w:customStyle="1" w:styleId="222">
    <w:name w:val="正文缩进 Char"/>
    <w:link w:val="221"/>
    <w:qFormat/>
    <w:uiPriority w:val="0"/>
  </w:style>
  <w:style w:type="paragraph" w:customStyle="1" w:styleId="223">
    <w:name w:val="题注1"/>
    <w:basedOn w:val="1"/>
    <w:next w:val="1"/>
    <w:qFormat/>
    <w:uiPriority w:val="0"/>
    <w:rPr>
      <w:rFonts w:ascii="Arial" w:hAnsi="Arial" w:eastAsia="黑体" w:cs="Arial"/>
      <w:sz w:val="20"/>
      <w:szCs w:val="20"/>
    </w:rPr>
  </w:style>
  <w:style w:type="paragraph" w:customStyle="1" w:styleId="224">
    <w:name w:val="索引 51"/>
    <w:basedOn w:val="1"/>
    <w:next w:val="1"/>
    <w:qFormat/>
    <w:uiPriority w:val="0"/>
    <w:pPr>
      <w:ind w:left="800"/>
    </w:pPr>
    <w:rPr>
      <w:szCs w:val="20"/>
    </w:rPr>
  </w:style>
  <w:style w:type="paragraph" w:customStyle="1" w:styleId="225">
    <w:name w:val="文档结构图1"/>
    <w:basedOn w:val="1"/>
    <w:link w:val="226"/>
    <w:qFormat/>
    <w:uiPriority w:val="0"/>
    <w:pPr>
      <w:shd w:val="clear" w:color="auto" w:fill="000080"/>
    </w:pPr>
  </w:style>
  <w:style w:type="character" w:customStyle="1" w:styleId="226">
    <w:name w:val="文档结构图 Char"/>
    <w:link w:val="225"/>
    <w:qFormat/>
    <w:uiPriority w:val="0"/>
    <w:rPr>
      <w:sz w:val="21"/>
      <w:szCs w:val="24"/>
      <w:shd w:val="clear" w:color="auto" w:fill="000080"/>
    </w:rPr>
  </w:style>
  <w:style w:type="paragraph" w:customStyle="1" w:styleId="227">
    <w:name w:val="批注文字1"/>
    <w:basedOn w:val="1"/>
    <w:link w:val="228"/>
    <w:qFormat/>
    <w:uiPriority w:val="0"/>
    <w:pPr>
      <w:jc w:val="left"/>
    </w:pPr>
  </w:style>
  <w:style w:type="character" w:customStyle="1" w:styleId="228">
    <w:name w:val="批注文字 Char"/>
    <w:link w:val="227"/>
    <w:qFormat/>
    <w:uiPriority w:val="0"/>
    <w:rPr>
      <w:sz w:val="21"/>
      <w:szCs w:val="24"/>
    </w:rPr>
  </w:style>
  <w:style w:type="paragraph" w:customStyle="1" w:styleId="229">
    <w:name w:val="索引 61"/>
    <w:basedOn w:val="1"/>
    <w:next w:val="1"/>
    <w:qFormat/>
    <w:uiPriority w:val="0"/>
    <w:pPr>
      <w:ind w:left="1000"/>
    </w:pPr>
    <w:rPr>
      <w:szCs w:val="20"/>
    </w:rPr>
  </w:style>
  <w:style w:type="paragraph" w:customStyle="1" w:styleId="230">
    <w:name w:val="称呼1"/>
    <w:basedOn w:val="1"/>
    <w:next w:val="1"/>
    <w:link w:val="231"/>
    <w:qFormat/>
    <w:uiPriority w:val="0"/>
    <w:pPr>
      <w:spacing w:after="20" w:line="288" w:lineRule="auto"/>
      <w:ind w:firstLine="420"/>
    </w:pPr>
    <w:rPr>
      <w:sz w:val="28"/>
    </w:rPr>
  </w:style>
  <w:style w:type="character" w:customStyle="1" w:styleId="231">
    <w:name w:val="称呼 Char"/>
    <w:link w:val="230"/>
    <w:qFormat/>
    <w:uiPriority w:val="0"/>
    <w:rPr>
      <w:sz w:val="28"/>
      <w:szCs w:val="24"/>
    </w:rPr>
  </w:style>
  <w:style w:type="paragraph" w:customStyle="1" w:styleId="232">
    <w:name w:val="正文文本 31"/>
    <w:basedOn w:val="1"/>
    <w:link w:val="233"/>
    <w:qFormat/>
    <w:uiPriority w:val="0"/>
    <w:pPr>
      <w:spacing w:after="20" w:line="288" w:lineRule="auto"/>
      <w:jc w:val="center"/>
    </w:pPr>
    <w:rPr>
      <w:b/>
      <w:bCs/>
      <w:sz w:val="24"/>
    </w:rPr>
  </w:style>
  <w:style w:type="character" w:customStyle="1" w:styleId="233">
    <w:name w:val="正文文本 3 Char"/>
    <w:link w:val="232"/>
    <w:qFormat/>
    <w:uiPriority w:val="0"/>
    <w:rPr>
      <w:b/>
      <w:bCs/>
      <w:sz w:val="24"/>
      <w:szCs w:val="24"/>
    </w:rPr>
  </w:style>
  <w:style w:type="paragraph" w:customStyle="1" w:styleId="234">
    <w:name w:val="结束语1"/>
    <w:basedOn w:val="1"/>
    <w:link w:val="235"/>
    <w:qFormat/>
    <w:uiPriority w:val="0"/>
    <w:pPr>
      <w:spacing w:after="20" w:line="288" w:lineRule="auto"/>
      <w:ind w:left="100" w:firstLine="420"/>
    </w:pPr>
    <w:rPr>
      <w:sz w:val="28"/>
    </w:rPr>
  </w:style>
  <w:style w:type="character" w:customStyle="1" w:styleId="235">
    <w:name w:val="结束语 Char"/>
    <w:link w:val="234"/>
    <w:qFormat/>
    <w:uiPriority w:val="0"/>
    <w:rPr>
      <w:sz w:val="28"/>
      <w:szCs w:val="24"/>
    </w:rPr>
  </w:style>
  <w:style w:type="paragraph" w:customStyle="1" w:styleId="236">
    <w:name w:val="列表项目符号 31"/>
    <w:basedOn w:val="1"/>
    <w:qFormat/>
    <w:uiPriority w:val="0"/>
    <w:pPr>
      <w:tabs>
        <w:tab w:val="left" w:pos="1620"/>
      </w:tabs>
      <w:ind w:left="1620" w:hanging="420"/>
    </w:pPr>
  </w:style>
  <w:style w:type="paragraph" w:customStyle="1" w:styleId="237">
    <w:name w:val="正文文本11"/>
    <w:basedOn w:val="1"/>
    <w:next w:val="1"/>
    <w:link w:val="238"/>
    <w:qFormat/>
    <w:uiPriority w:val="99"/>
    <w:rPr>
      <w:rFonts w:ascii="仿宋_GB2312" w:eastAsia="仿宋_GB2312"/>
      <w:sz w:val="28"/>
      <w:szCs w:val="20"/>
    </w:rPr>
  </w:style>
  <w:style w:type="character" w:customStyle="1" w:styleId="238">
    <w:name w:val="正文文本 Char"/>
    <w:link w:val="237"/>
    <w:qFormat/>
    <w:uiPriority w:val="99"/>
    <w:rPr>
      <w:rFonts w:ascii="仿宋_GB2312" w:eastAsia="仿宋_GB2312"/>
      <w:sz w:val="28"/>
    </w:rPr>
  </w:style>
  <w:style w:type="paragraph" w:customStyle="1" w:styleId="239">
    <w:name w:val="正文文本缩进1"/>
    <w:basedOn w:val="1"/>
    <w:link w:val="241"/>
    <w:qFormat/>
    <w:uiPriority w:val="0"/>
    <w:pPr>
      <w:widowControl/>
      <w:spacing w:line="300" w:lineRule="auto"/>
      <w:ind w:left="156"/>
    </w:pPr>
    <w:rPr>
      <w:rFonts w:ascii="仿宋_GB2312" w:eastAsia="仿宋_GB2312"/>
      <w:sz w:val="28"/>
      <w:szCs w:val="20"/>
    </w:rPr>
  </w:style>
  <w:style w:type="paragraph" w:customStyle="1" w:styleId="240">
    <w:name w:val="寄信人地址1"/>
    <w:basedOn w:val="1"/>
    <w:qFormat/>
    <w:uiPriority w:val="99"/>
    <w:rPr>
      <w:rFonts w:ascii="Arial" w:hAnsi="Arial"/>
    </w:rPr>
  </w:style>
  <w:style w:type="character" w:customStyle="1" w:styleId="241">
    <w:name w:val="正文文本缩进 Char1"/>
    <w:link w:val="239"/>
    <w:qFormat/>
    <w:uiPriority w:val="0"/>
    <w:rPr>
      <w:rFonts w:ascii="仿宋_GB2312" w:eastAsia="仿宋_GB2312"/>
      <w:sz w:val="28"/>
    </w:rPr>
  </w:style>
  <w:style w:type="paragraph" w:customStyle="1" w:styleId="242">
    <w:name w:val="文本块1"/>
    <w:basedOn w:val="1"/>
    <w:qFormat/>
    <w:uiPriority w:val="0"/>
    <w:pPr>
      <w:ind w:left="420" w:right="33"/>
      <w:jc w:val="left"/>
    </w:pPr>
    <w:rPr>
      <w:sz w:val="24"/>
      <w:szCs w:val="20"/>
    </w:rPr>
  </w:style>
  <w:style w:type="paragraph" w:customStyle="1" w:styleId="243">
    <w:name w:val="列表项目符号 21"/>
    <w:basedOn w:val="1"/>
    <w:qFormat/>
    <w:uiPriority w:val="0"/>
    <w:pPr>
      <w:tabs>
        <w:tab w:val="left" w:pos="360"/>
        <w:tab w:val="left" w:pos="780"/>
      </w:tabs>
      <w:ind w:left="780"/>
    </w:pPr>
  </w:style>
  <w:style w:type="paragraph" w:customStyle="1" w:styleId="244">
    <w:name w:val="索引 41"/>
    <w:basedOn w:val="1"/>
    <w:next w:val="1"/>
    <w:qFormat/>
    <w:uiPriority w:val="0"/>
    <w:pPr>
      <w:ind w:left="600"/>
    </w:pPr>
    <w:rPr>
      <w:szCs w:val="20"/>
    </w:rPr>
  </w:style>
  <w:style w:type="paragraph" w:customStyle="1" w:styleId="245">
    <w:name w:val="目录 51"/>
    <w:basedOn w:val="1"/>
    <w:next w:val="1"/>
    <w:qFormat/>
    <w:uiPriority w:val="39"/>
    <w:pPr>
      <w:spacing w:line="288" w:lineRule="auto"/>
      <w:ind w:left="840" w:firstLine="420"/>
      <w:jc w:val="left"/>
    </w:pPr>
    <w:rPr>
      <w:sz w:val="18"/>
      <w:szCs w:val="18"/>
    </w:rPr>
  </w:style>
  <w:style w:type="paragraph" w:customStyle="1" w:styleId="246">
    <w:name w:val="目录 31"/>
    <w:basedOn w:val="1"/>
    <w:next w:val="1"/>
    <w:qFormat/>
    <w:uiPriority w:val="39"/>
    <w:pPr>
      <w:spacing w:line="288" w:lineRule="auto"/>
      <w:ind w:left="420" w:firstLine="420"/>
      <w:jc w:val="left"/>
    </w:pPr>
    <w:rPr>
      <w:iCs/>
      <w:sz w:val="20"/>
      <w:szCs w:val="20"/>
    </w:rPr>
  </w:style>
  <w:style w:type="paragraph" w:customStyle="1" w:styleId="247">
    <w:name w:val="纯文本1"/>
    <w:basedOn w:val="1"/>
    <w:link w:val="248"/>
    <w:qFormat/>
    <w:uiPriority w:val="0"/>
    <w:rPr>
      <w:rFonts w:ascii="宋体" w:hAnsi="Courier New"/>
      <w:szCs w:val="21"/>
    </w:rPr>
  </w:style>
  <w:style w:type="character" w:customStyle="1" w:styleId="248">
    <w:name w:val="纯文本 Char"/>
    <w:link w:val="247"/>
    <w:qFormat/>
    <w:uiPriority w:val="0"/>
    <w:rPr>
      <w:rFonts w:ascii="宋体" w:hAnsi="Courier New"/>
      <w:sz w:val="21"/>
      <w:szCs w:val="21"/>
    </w:rPr>
  </w:style>
  <w:style w:type="paragraph" w:customStyle="1" w:styleId="249">
    <w:name w:val="列表项目符号 51"/>
    <w:basedOn w:val="1"/>
    <w:qFormat/>
    <w:uiPriority w:val="0"/>
    <w:pPr>
      <w:widowControl/>
      <w:tabs>
        <w:tab w:val="left" w:pos="360"/>
        <w:tab w:val="left" w:pos="2040"/>
      </w:tabs>
      <w:spacing w:line="360" w:lineRule="exact"/>
    </w:pPr>
    <w:rPr>
      <w:rFonts w:eastAsia="楷体_GB2312"/>
      <w:sz w:val="24"/>
      <w:szCs w:val="20"/>
    </w:rPr>
  </w:style>
  <w:style w:type="paragraph" w:customStyle="1" w:styleId="250">
    <w:name w:val="目录 81"/>
    <w:basedOn w:val="1"/>
    <w:next w:val="1"/>
    <w:qFormat/>
    <w:uiPriority w:val="39"/>
    <w:pPr>
      <w:spacing w:line="288" w:lineRule="auto"/>
      <w:ind w:left="1470" w:firstLine="420"/>
      <w:jc w:val="left"/>
    </w:pPr>
    <w:rPr>
      <w:sz w:val="18"/>
      <w:szCs w:val="18"/>
    </w:rPr>
  </w:style>
  <w:style w:type="paragraph" w:customStyle="1" w:styleId="251">
    <w:name w:val="索引 31"/>
    <w:basedOn w:val="1"/>
    <w:next w:val="1"/>
    <w:qFormat/>
    <w:uiPriority w:val="0"/>
    <w:pPr>
      <w:ind w:left="400"/>
    </w:pPr>
    <w:rPr>
      <w:szCs w:val="20"/>
    </w:rPr>
  </w:style>
  <w:style w:type="paragraph" w:customStyle="1" w:styleId="252">
    <w:name w:val="日期1"/>
    <w:basedOn w:val="1"/>
    <w:next w:val="1"/>
    <w:link w:val="253"/>
    <w:qFormat/>
    <w:uiPriority w:val="0"/>
    <w:pPr>
      <w:ind w:left="100"/>
    </w:pPr>
    <w:rPr>
      <w:rFonts w:ascii="楷体_GB2312" w:eastAsia="楷体_GB2312"/>
      <w:b/>
      <w:sz w:val="28"/>
    </w:rPr>
  </w:style>
  <w:style w:type="character" w:customStyle="1" w:styleId="253">
    <w:name w:val="日期 Char"/>
    <w:link w:val="252"/>
    <w:qFormat/>
    <w:uiPriority w:val="0"/>
    <w:rPr>
      <w:rFonts w:ascii="楷体_GB2312" w:eastAsia="楷体_GB2312"/>
      <w:b/>
      <w:sz w:val="28"/>
      <w:szCs w:val="24"/>
    </w:rPr>
  </w:style>
  <w:style w:type="paragraph" w:customStyle="1" w:styleId="254">
    <w:name w:val="正文文本缩进 21"/>
    <w:basedOn w:val="1"/>
    <w:link w:val="255"/>
    <w:qFormat/>
    <w:uiPriority w:val="0"/>
    <w:pPr>
      <w:tabs>
        <w:tab w:val="left" w:pos="0"/>
        <w:tab w:val="left" w:pos="1134"/>
      </w:tabs>
      <w:spacing w:line="400" w:lineRule="exact"/>
      <w:ind w:firstLine="559"/>
    </w:pPr>
    <w:rPr>
      <w:rFonts w:ascii="楷体_GB2312" w:eastAsia="楷体_GB2312"/>
      <w:sz w:val="24"/>
    </w:rPr>
  </w:style>
  <w:style w:type="character" w:customStyle="1" w:styleId="255">
    <w:name w:val="正文文本缩进 2 Char"/>
    <w:link w:val="254"/>
    <w:qFormat/>
    <w:uiPriority w:val="0"/>
    <w:rPr>
      <w:rFonts w:ascii="楷体_GB2312" w:eastAsia="楷体_GB2312"/>
      <w:sz w:val="24"/>
      <w:szCs w:val="24"/>
    </w:rPr>
  </w:style>
  <w:style w:type="paragraph" w:customStyle="1" w:styleId="256">
    <w:name w:val="批注框文本1"/>
    <w:basedOn w:val="1"/>
    <w:link w:val="257"/>
    <w:qFormat/>
    <w:uiPriority w:val="0"/>
    <w:rPr>
      <w:sz w:val="18"/>
      <w:szCs w:val="18"/>
    </w:rPr>
  </w:style>
  <w:style w:type="character" w:customStyle="1" w:styleId="257">
    <w:name w:val="批注框文本 Char"/>
    <w:link w:val="256"/>
    <w:qFormat/>
    <w:uiPriority w:val="0"/>
    <w:rPr>
      <w:sz w:val="18"/>
      <w:szCs w:val="18"/>
    </w:rPr>
  </w:style>
  <w:style w:type="paragraph" w:customStyle="1" w:styleId="258">
    <w:name w:val="页脚1"/>
    <w:basedOn w:val="1"/>
    <w:next w:val="259"/>
    <w:link w:val="260"/>
    <w:qFormat/>
    <w:uiPriority w:val="99"/>
    <w:pPr>
      <w:tabs>
        <w:tab w:val="center" w:pos="4153"/>
        <w:tab w:val="right" w:pos="8306"/>
      </w:tabs>
      <w:jc w:val="left"/>
    </w:pPr>
    <w:rPr>
      <w:sz w:val="18"/>
      <w:szCs w:val="18"/>
    </w:rPr>
  </w:style>
  <w:style w:type="paragraph" w:customStyle="1" w:styleId="259">
    <w:name w:val="TOC Heading1"/>
    <w:next w:val="1"/>
    <w:qFormat/>
    <w:uiPriority w:val="0"/>
    <w:rPr>
      <w:rFonts w:ascii="Times New Roman" w:hAnsi="Times New Roman" w:eastAsia="宋体" w:cs="Times New Roman"/>
      <w:sz w:val="32"/>
      <w:lang w:val="en-US" w:eastAsia="zh-CN" w:bidi="ar-SA"/>
    </w:rPr>
  </w:style>
  <w:style w:type="character" w:customStyle="1" w:styleId="260">
    <w:name w:val="页脚 Char"/>
    <w:link w:val="258"/>
    <w:qFormat/>
    <w:uiPriority w:val="99"/>
    <w:rPr>
      <w:sz w:val="18"/>
      <w:szCs w:val="18"/>
    </w:rPr>
  </w:style>
  <w:style w:type="paragraph" w:customStyle="1" w:styleId="261">
    <w:name w:val="页眉11"/>
    <w:basedOn w:val="1"/>
    <w:link w:val="262"/>
    <w:qFormat/>
    <w:uiPriority w:val="0"/>
    <w:pPr>
      <w:pBdr>
        <w:bottom w:val="single" w:color="000000" w:sz="6" w:space="1"/>
      </w:pBdr>
      <w:tabs>
        <w:tab w:val="center" w:pos="4153"/>
        <w:tab w:val="right" w:pos="8306"/>
      </w:tabs>
      <w:jc w:val="center"/>
    </w:pPr>
    <w:rPr>
      <w:sz w:val="18"/>
      <w:szCs w:val="18"/>
    </w:rPr>
  </w:style>
  <w:style w:type="character" w:customStyle="1" w:styleId="262">
    <w:name w:val="页眉 Char"/>
    <w:link w:val="261"/>
    <w:qFormat/>
    <w:uiPriority w:val="0"/>
    <w:rPr>
      <w:sz w:val="18"/>
      <w:szCs w:val="18"/>
    </w:rPr>
  </w:style>
  <w:style w:type="paragraph" w:customStyle="1" w:styleId="263">
    <w:name w:val="目录 11"/>
    <w:basedOn w:val="1"/>
    <w:next w:val="1"/>
    <w:qFormat/>
    <w:uiPriority w:val="39"/>
    <w:pPr>
      <w:tabs>
        <w:tab w:val="right" w:leader="dot" w:pos="8296"/>
      </w:tabs>
      <w:spacing w:before="120" w:after="120" w:line="288" w:lineRule="auto"/>
    </w:pPr>
    <w:rPr>
      <w:rFonts w:ascii="黑体" w:hAnsi="宋体" w:eastAsia="黑体"/>
      <w:caps/>
      <w:sz w:val="30"/>
      <w:szCs w:val="30"/>
    </w:rPr>
  </w:style>
  <w:style w:type="paragraph" w:customStyle="1" w:styleId="264">
    <w:name w:val="目录 41"/>
    <w:basedOn w:val="1"/>
    <w:next w:val="1"/>
    <w:qFormat/>
    <w:uiPriority w:val="39"/>
    <w:pPr>
      <w:spacing w:line="288" w:lineRule="auto"/>
      <w:ind w:left="630" w:firstLine="420"/>
      <w:jc w:val="left"/>
    </w:pPr>
    <w:rPr>
      <w:sz w:val="18"/>
      <w:szCs w:val="18"/>
    </w:rPr>
  </w:style>
  <w:style w:type="paragraph" w:customStyle="1" w:styleId="265">
    <w:name w:val="副标题1"/>
    <w:basedOn w:val="1"/>
    <w:next w:val="1"/>
    <w:link w:val="266"/>
    <w:qFormat/>
    <w:uiPriority w:val="0"/>
    <w:pPr>
      <w:spacing w:before="240" w:after="60" w:line="312" w:lineRule="auto"/>
      <w:jc w:val="center"/>
      <w:outlineLvl w:val="1"/>
    </w:pPr>
    <w:rPr>
      <w:rFonts w:ascii="幼圆" w:hAnsi="幼圆"/>
      <w:b/>
      <w:bCs/>
      <w:sz w:val="32"/>
      <w:szCs w:val="32"/>
    </w:rPr>
  </w:style>
  <w:style w:type="character" w:customStyle="1" w:styleId="266">
    <w:name w:val="副标题 Char"/>
    <w:link w:val="265"/>
    <w:qFormat/>
    <w:uiPriority w:val="0"/>
    <w:rPr>
      <w:rFonts w:ascii="幼圆" w:hAnsi="幼圆"/>
      <w:b/>
      <w:bCs/>
      <w:sz w:val="32"/>
      <w:szCs w:val="32"/>
    </w:rPr>
  </w:style>
  <w:style w:type="paragraph" w:customStyle="1" w:styleId="267">
    <w:name w:val="列表11"/>
    <w:basedOn w:val="1"/>
    <w:qFormat/>
    <w:uiPriority w:val="0"/>
    <w:pPr>
      <w:tabs>
        <w:tab w:val="left" w:pos="360"/>
        <w:tab w:val="left" w:pos="420"/>
      </w:tabs>
      <w:spacing w:after="20" w:line="288" w:lineRule="auto"/>
    </w:pPr>
    <w:rPr>
      <w:szCs w:val="20"/>
      <w:lang w:val="en-GB"/>
    </w:rPr>
  </w:style>
  <w:style w:type="paragraph" w:customStyle="1" w:styleId="268">
    <w:name w:val="脚注文本1"/>
    <w:basedOn w:val="1"/>
    <w:link w:val="269"/>
    <w:qFormat/>
    <w:uiPriority w:val="0"/>
    <w:pPr>
      <w:spacing w:after="60" w:line="360" w:lineRule="exact"/>
      <w:ind w:firstLine="425"/>
      <w:jc w:val="left"/>
    </w:pPr>
    <w:rPr>
      <w:sz w:val="18"/>
      <w:szCs w:val="18"/>
    </w:rPr>
  </w:style>
  <w:style w:type="character" w:customStyle="1" w:styleId="269">
    <w:name w:val="脚注文本 Char"/>
    <w:link w:val="268"/>
    <w:qFormat/>
    <w:uiPriority w:val="0"/>
    <w:rPr>
      <w:sz w:val="18"/>
      <w:szCs w:val="18"/>
    </w:rPr>
  </w:style>
  <w:style w:type="paragraph" w:customStyle="1" w:styleId="270">
    <w:name w:val="目录 61"/>
    <w:basedOn w:val="1"/>
    <w:next w:val="1"/>
    <w:qFormat/>
    <w:uiPriority w:val="39"/>
    <w:pPr>
      <w:spacing w:line="288" w:lineRule="auto"/>
      <w:ind w:left="1050" w:firstLine="420"/>
      <w:jc w:val="left"/>
    </w:pPr>
    <w:rPr>
      <w:sz w:val="18"/>
      <w:szCs w:val="18"/>
    </w:rPr>
  </w:style>
  <w:style w:type="paragraph" w:customStyle="1" w:styleId="271">
    <w:name w:val="正文文本缩进 31"/>
    <w:basedOn w:val="1"/>
    <w:link w:val="272"/>
    <w:qFormat/>
    <w:uiPriority w:val="0"/>
    <w:pPr>
      <w:spacing w:line="360" w:lineRule="auto"/>
      <w:ind w:firstLine="698"/>
      <w:jc w:val="left"/>
    </w:pPr>
    <w:rPr>
      <w:rFonts w:ascii="仿宋_GB2312" w:eastAsia="仿宋_GB2312"/>
      <w:sz w:val="32"/>
      <w:szCs w:val="20"/>
    </w:rPr>
  </w:style>
  <w:style w:type="character" w:customStyle="1" w:styleId="272">
    <w:name w:val="正文文本缩进 3 Char"/>
    <w:link w:val="271"/>
    <w:qFormat/>
    <w:uiPriority w:val="0"/>
    <w:rPr>
      <w:rFonts w:ascii="仿宋_GB2312" w:eastAsia="仿宋_GB2312"/>
      <w:sz w:val="32"/>
    </w:rPr>
  </w:style>
  <w:style w:type="paragraph" w:customStyle="1" w:styleId="273">
    <w:name w:val="索引 71"/>
    <w:basedOn w:val="1"/>
    <w:next w:val="1"/>
    <w:qFormat/>
    <w:uiPriority w:val="0"/>
    <w:pPr>
      <w:ind w:left="1200"/>
    </w:pPr>
    <w:rPr>
      <w:szCs w:val="20"/>
    </w:rPr>
  </w:style>
  <w:style w:type="paragraph" w:customStyle="1" w:styleId="274">
    <w:name w:val="索引 91"/>
    <w:basedOn w:val="1"/>
    <w:next w:val="1"/>
    <w:qFormat/>
    <w:uiPriority w:val="0"/>
    <w:pPr>
      <w:ind w:left="1600"/>
    </w:pPr>
    <w:rPr>
      <w:szCs w:val="20"/>
    </w:rPr>
  </w:style>
  <w:style w:type="paragraph" w:customStyle="1" w:styleId="275">
    <w:name w:val="目录 21"/>
    <w:basedOn w:val="1"/>
    <w:next w:val="1"/>
    <w:qFormat/>
    <w:uiPriority w:val="39"/>
    <w:pPr>
      <w:spacing w:line="288" w:lineRule="auto"/>
      <w:ind w:left="210" w:firstLine="420"/>
      <w:jc w:val="left"/>
    </w:pPr>
    <w:rPr>
      <w:smallCaps/>
      <w:sz w:val="20"/>
      <w:szCs w:val="20"/>
    </w:rPr>
  </w:style>
  <w:style w:type="paragraph" w:customStyle="1" w:styleId="276">
    <w:name w:val="目录 91"/>
    <w:basedOn w:val="1"/>
    <w:next w:val="1"/>
    <w:qFormat/>
    <w:uiPriority w:val="39"/>
    <w:pPr>
      <w:spacing w:line="288" w:lineRule="auto"/>
      <w:ind w:left="1680" w:firstLine="420"/>
      <w:jc w:val="left"/>
    </w:pPr>
    <w:rPr>
      <w:sz w:val="18"/>
      <w:szCs w:val="18"/>
    </w:rPr>
  </w:style>
  <w:style w:type="paragraph" w:customStyle="1" w:styleId="277">
    <w:name w:val="正文文本 21"/>
    <w:basedOn w:val="1"/>
    <w:link w:val="278"/>
    <w:qFormat/>
    <w:uiPriority w:val="0"/>
    <w:pPr>
      <w:spacing w:after="20" w:line="720" w:lineRule="auto"/>
      <w:ind w:firstLine="420"/>
    </w:pPr>
    <w:rPr>
      <w:sz w:val="30"/>
    </w:rPr>
  </w:style>
  <w:style w:type="character" w:customStyle="1" w:styleId="278">
    <w:name w:val="正文文本 2 Char"/>
    <w:link w:val="277"/>
    <w:qFormat/>
    <w:uiPriority w:val="0"/>
    <w:rPr>
      <w:sz w:val="30"/>
      <w:szCs w:val="24"/>
    </w:rPr>
  </w:style>
  <w:style w:type="paragraph" w:customStyle="1" w:styleId="279">
    <w:name w:val="HTML 预设格式1"/>
    <w:basedOn w:val="1"/>
    <w:link w:val="280"/>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80">
    <w:name w:val="HTML 预设格式 Char"/>
    <w:link w:val="279"/>
    <w:qFormat/>
    <w:uiPriority w:val="0"/>
    <w:rPr>
      <w:rFonts w:ascii="黑体" w:hAnsi="Courier New" w:eastAsia="黑体"/>
    </w:rPr>
  </w:style>
  <w:style w:type="paragraph" w:customStyle="1" w:styleId="281">
    <w:name w:val="普通(网站)1"/>
    <w:basedOn w:val="1"/>
    <w:link w:val="282"/>
    <w:qFormat/>
    <w:uiPriority w:val="0"/>
    <w:pPr>
      <w:widowControl/>
      <w:spacing w:before="100" w:beforeAutospacing="1" w:after="100" w:afterAutospacing="1" w:line="288" w:lineRule="auto"/>
      <w:ind w:firstLine="420"/>
      <w:jc w:val="left"/>
    </w:pPr>
    <w:rPr>
      <w:rFonts w:ascii="宋体" w:hAnsi="宋体"/>
      <w:sz w:val="24"/>
    </w:rPr>
  </w:style>
  <w:style w:type="character" w:customStyle="1" w:styleId="282">
    <w:name w:val="普通(网站) Char"/>
    <w:link w:val="281"/>
    <w:qFormat/>
    <w:uiPriority w:val="0"/>
    <w:rPr>
      <w:rFonts w:ascii="宋体" w:hAnsi="宋体"/>
      <w:sz w:val="24"/>
      <w:szCs w:val="24"/>
    </w:rPr>
  </w:style>
  <w:style w:type="paragraph" w:customStyle="1" w:styleId="283">
    <w:name w:val="索引 11"/>
    <w:basedOn w:val="1"/>
    <w:next w:val="1"/>
    <w:qFormat/>
    <w:uiPriority w:val="0"/>
    <w:rPr>
      <w:szCs w:val="20"/>
    </w:rPr>
  </w:style>
  <w:style w:type="paragraph" w:customStyle="1" w:styleId="284">
    <w:name w:val="索引 21"/>
    <w:basedOn w:val="1"/>
    <w:next w:val="1"/>
    <w:qFormat/>
    <w:uiPriority w:val="0"/>
    <w:pPr>
      <w:ind w:left="200"/>
    </w:pPr>
    <w:rPr>
      <w:szCs w:val="20"/>
    </w:rPr>
  </w:style>
  <w:style w:type="paragraph" w:customStyle="1" w:styleId="285">
    <w:name w:val="标题1"/>
    <w:basedOn w:val="1"/>
    <w:link w:val="286"/>
    <w:qFormat/>
    <w:uiPriority w:val="0"/>
    <w:pPr>
      <w:spacing w:before="240" w:after="60" w:line="288" w:lineRule="auto"/>
      <w:ind w:firstLine="420"/>
      <w:jc w:val="center"/>
      <w:outlineLvl w:val="0"/>
    </w:pPr>
    <w:rPr>
      <w:rFonts w:ascii="Arial" w:hAnsi="Arial"/>
      <w:b/>
      <w:bCs/>
      <w:sz w:val="32"/>
      <w:szCs w:val="32"/>
    </w:rPr>
  </w:style>
  <w:style w:type="character" w:customStyle="1" w:styleId="286">
    <w:name w:val="标题 Char"/>
    <w:link w:val="285"/>
    <w:qFormat/>
    <w:uiPriority w:val="0"/>
    <w:rPr>
      <w:rFonts w:ascii="Arial" w:hAnsi="Arial" w:cs="Arial"/>
      <w:b/>
      <w:bCs/>
      <w:sz w:val="32"/>
      <w:szCs w:val="32"/>
    </w:rPr>
  </w:style>
  <w:style w:type="paragraph" w:customStyle="1" w:styleId="287">
    <w:name w:val="批注主题1"/>
    <w:basedOn w:val="227"/>
    <w:next w:val="227"/>
    <w:link w:val="288"/>
    <w:qFormat/>
    <w:uiPriority w:val="0"/>
    <w:rPr>
      <w:b/>
      <w:bCs/>
    </w:rPr>
  </w:style>
  <w:style w:type="character" w:customStyle="1" w:styleId="288">
    <w:name w:val="批注主题 Char"/>
    <w:link w:val="287"/>
    <w:qFormat/>
    <w:uiPriority w:val="0"/>
    <w:rPr>
      <w:b/>
      <w:bCs/>
      <w:sz w:val="21"/>
      <w:szCs w:val="24"/>
    </w:rPr>
  </w:style>
  <w:style w:type="paragraph" w:customStyle="1" w:styleId="289">
    <w:name w:val="正文首行缩进 21"/>
    <w:basedOn w:val="239"/>
    <w:link w:val="290"/>
    <w:qFormat/>
    <w:uiPriority w:val="0"/>
    <w:pPr>
      <w:widowControl w:val="0"/>
      <w:spacing w:after="120" w:line="240" w:lineRule="auto"/>
      <w:ind w:left="420" w:firstLine="420"/>
    </w:pPr>
    <w:rPr>
      <w:rFonts w:ascii="Cambria" w:hAnsi="Cambria" w:eastAsia="华文细黑"/>
      <w:sz w:val="21"/>
    </w:rPr>
  </w:style>
  <w:style w:type="character" w:customStyle="1" w:styleId="290">
    <w:name w:val="正文首行缩进 2 Char"/>
    <w:link w:val="289"/>
    <w:qFormat/>
    <w:uiPriority w:val="0"/>
    <w:rPr>
      <w:rFonts w:ascii="Cambria" w:hAnsi="Cambria" w:eastAsia="华文细黑" w:cs="Cambria"/>
      <w:sz w:val="21"/>
    </w:rPr>
  </w:style>
  <w:style w:type="table" w:customStyle="1" w:styleId="291">
    <w:name w:val="网格型1"/>
    <w:basedOn w:val="209"/>
    <w:qFormat/>
    <w:uiPriority w:val="59"/>
    <w:pPr>
      <w:widowControl w:val="0"/>
      <w:spacing w:line="360" w:lineRule="auto"/>
      <w:ind w:firstLine="200"/>
      <w:jc w:val="both"/>
    </w:pPr>
    <w:tblPr>
      <w:tblCellMar>
        <w:top w:w="0" w:type="dxa"/>
        <w:left w:w="0" w:type="dxa"/>
        <w:bottom w:w="0" w:type="dxa"/>
        <w:right w:w="0" w:type="dxa"/>
      </w:tblCellMar>
    </w:tblPr>
  </w:style>
  <w:style w:type="character" w:customStyle="1" w:styleId="292">
    <w:name w:val="要点1"/>
    <w:qFormat/>
    <w:uiPriority w:val="22"/>
    <w:rPr>
      <w:b/>
      <w:bCs/>
    </w:rPr>
  </w:style>
  <w:style w:type="character" w:customStyle="1" w:styleId="293">
    <w:name w:val="页码1"/>
    <w:basedOn w:val="208"/>
    <w:qFormat/>
    <w:uiPriority w:val="0"/>
  </w:style>
  <w:style w:type="character" w:customStyle="1" w:styleId="294">
    <w:name w:val="已访问的超链接1"/>
    <w:qFormat/>
    <w:uiPriority w:val="99"/>
    <w:rPr>
      <w:color w:val="800080"/>
      <w:u w:val="none"/>
    </w:rPr>
  </w:style>
  <w:style w:type="character" w:customStyle="1" w:styleId="295">
    <w:name w:val="强调1"/>
    <w:qFormat/>
    <w:uiPriority w:val="0"/>
    <w:rPr>
      <w:i/>
    </w:rPr>
  </w:style>
  <w:style w:type="character" w:customStyle="1" w:styleId="296">
    <w:name w:val="HTML 定义1"/>
    <w:qFormat/>
    <w:uiPriority w:val="0"/>
  </w:style>
  <w:style w:type="character" w:customStyle="1" w:styleId="297">
    <w:name w:val="HTML 打字机1"/>
    <w:unhideWhenUsed/>
    <w:qFormat/>
    <w:uiPriority w:val="0"/>
    <w:rPr>
      <w:rFonts w:ascii="宋体" w:hAnsi="宋体" w:eastAsia="宋体" w:cs="宋体"/>
      <w:sz w:val="24"/>
      <w:szCs w:val="24"/>
    </w:rPr>
  </w:style>
  <w:style w:type="character" w:customStyle="1" w:styleId="298">
    <w:name w:val="HTML 缩写1"/>
    <w:basedOn w:val="208"/>
    <w:qFormat/>
    <w:uiPriority w:val="0"/>
  </w:style>
  <w:style w:type="character" w:customStyle="1" w:styleId="299">
    <w:name w:val="HTML 变量1"/>
    <w:qFormat/>
    <w:uiPriority w:val="0"/>
  </w:style>
  <w:style w:type="character" w:customStyle="1" w:styleId="300">
    <w:name w:val="超链接1"/>
    <w:qFormat/>
    <w:uiPriority w:val="99"/>
    <w:rPr>
      <w:color w:val="0000FF"/>
      <w:u w:val="none"/>
    </w:rPr>
  </w:style>
  <w:style w:type="character" w:customStyle="1" w:styleId="301">
    <w:name w:val="HTML 代码1"/>
    <w:qFormat/>
    <w:uiPriority w:val="0"/>
    <w:rPr>
      <w:rFonts w:ascii="monospace" w:hAnsi="monospace" w:eastAsia="monospace" w:cs="monospace"/>
      <w:sz w:val="20"/>
    </w:rPr>
  </w:style>
  <w:style w:type="character" w:customStyle="1" w:styleId="302">
    <w:name w:val="批注引用1"/>
    <w:qFormat/>
    <w:uiPriority w:val="0"/>
    <w:rPr>
      <w:sz w:val="21"/>
      <w:szCs w:val="21"/>
    </w:rPr>
  </w:style>
  <w:style w:type="character" w:customStyle="1" w:styleId="303">
    <w:name w:val="HTML 引文1"/>
    <w:qFormat/>
    <w:uiPriority w:val="0"/>
  </w:style>
  <w:style w:type="character" w:customStyle="1" w:styleId="304">
    <w:name w:val="脚注引用1"/>
    <w:qFormat/>
    <w:uiPriority w:val="0"/>
    <w:rPr>
      <w:rFonts w:ascii="宋体" w:hAnsi="宋体" w:eastAsia="宋体"/>
      <w:vertAlign w:val="superscript"/>
    </w:rPr>
  </w:style>
  <w:style w:type="character" w:customStyle="1" w:styleId="305">
    <w:name w:val="HTML 键盘1"/>
    <w:qFormat/>
    <w:uiPriority w:val="0"/>
    <w:rPr>
      <w:rFonts w:ascii="monospace" w:hAnsi="monospace" w:eastAsia="monospace" w:cs="monospace"/>
      <w:sz w:val="20"/>
    </w:rPr>
  </w:style>
  <w:style w:type="character" w:customStyle="1" w:styleId="306">
    <w:name w:val="HTML 样本1"/>
    <w:qFormat/>
    <w:uiPriority w:val="0"/>
    <w:rPr>
      <w:rFonts w:ascii="monospace" w:hAnsi="monospace" w:eastAsia="monospace" w:cs="monospace"/>
    </w:rPr>
  </w:style>
  <w:style w:type="paragraph" w:customStyle="1" w:styleId="307">
    <w:name w:val="列出段落1"/>
    <w:basedOn w:val="1"/>
    <w:qFormat/>
    <w:uiPriority w:val="34"/>
    <w:pPr>
      <w:spacing w:before="120" w:after="120" w:line="360" w:lineRule="auto"/>
      <w:ind w:firstLine="420"/>
    </w:pPr>
    <w:rPr>
      <w:rFonts w:ascii="Calibri" w:hAnsi="Calibri"/>
      <w:sz w:val="24"/>
      <w:szCs w:val="22"/>
    </w:rPr>
  </w:style>
  <w:style w:type="character" w:customStyle="1" w:styleId="308">
    <w:name w:val="font31"/>
    <w:basedOn w:val="42"/>
    <w:qFormat/>
    <w:uiPriority w:val="0"/>
    <w:rPr>
      <w:rFonts w:ascii="Times New Roman" w:hAnsi="Times New Roman" w:cs="Times New Roman"/>
      <w:color w:val="000000"/>
      <w:sz w:val="20"/>
      <w:szCs w:val="20"/>
      <w:u w:val="none"/>
    </w:rPr>
  </w:style>
  <w:style w:type="character" w:customStyle="1" w:styleId="309">
    <w:name w:val="Char Char2"/>
    <w:semiHidden/>
    <w:qFormat/>
    <w:uiPriority w:val="0"/>
    <w:rPr>
      <w:rFonts w:eastAsia="华文细黑"/>
      <w:sz w:val="21"/>
      <w:szCs w:val="24"/>
      <w:lang w:val="en-US" w:eastAsia="zh-CN" w:bidi="ar-SA"/>
    </w:rPr>
  </w:style>
  <w:style w:type="character" w:customStyle="1" w:styleId="310">
    <w:name w:val="font41"/>
    <w:qFormat/>
    <w:uiPriority w:val="0"/>
    <w:rPr>
      <w:rFonts w:ascii="Times New Roman" w:hAnsi="Times New Roman" w:cs="Times New Roman"/>
      <w:color w:val="000000"/>
      <w:sz w:val="20"/>
      <w:szCs w:val="20"/>
      <w:u w:val="none"/>
    </w:rPr>
  </w:style>
  <w:style w:type="character" w:customStyle="1" w:styleId="311">
    <w:name w:val="text_list1"/>
    <w:qFormat/>
    <w:uiPriority w:val="0"/>
    <w:rPr>
      <w:rFonts w:ascii="Arial" w:hAnsi="Arial" w:cs="Arial"/>
      <w:color w:val="000000"/>
      <w:spacing w:val="272"/>
      <w:sz w:val="16"/>
      <w:szCs w:val="16"/>
    </w:rPr>
  </w:style>
  <w:style w:type="character" w:customStyle="1" w:styleId="312">
    <w:name w:val="标题5 Char Char"/>
    <w:link w:val="313"/>
    <w:qFormat/>
    <w:uiPriority w:val="0"/>
    <w:rPr>
      <w:rFonts w:ascii="Tahoma" w:hAnsi="Tahoma"/>
      <w:b/>
      <w:bCs/>
      <w:sz w:val="24"/>
      <w:szCs w:val="32"/>
    </w:rPr>
  </w:style>
  <w:style w:type="paragraph" w:customStyle="1" w:styleId="313">
    <w:name w:val="标题5"/>
    <w:basedOn w:val="202"/>
    <w:link w:val="312"/>
    <w:qFormat/>
    <w:uiPriority w:val="0"/>
    <w:pPr>
      <w:spacing w:line="413" w:lineRule="auto"/>
    </w:pPr>
    <w:rPr>
      <w:rFonts w:ascii="Tahoma" w:hAnsi="Tahoma" w:eastAsia="宋体"/>
      <w:sz w:val="24"/>
    </w:rPr>
  </w:style>
  <w:style w:type="character" w:customStyle="1" w:styleId="314">
    <w:name w:val="font101"/>
    <w:qFormat/>
    <w:uiPriority w:val="0"/>
    <w:rPr>
      <w:rFonts w:ascii="Times New Roman" w:hAnsi="Times New Roman" w:cs="Times New Roman"/>
      <w:color w:val="000000"/>
      <w:sz w:val="20"/>
      <w:szCs w:val="20"/>
      <w:u w:val="none"/>
    </w:rPr>
  </w:style>
  <w:style w:type="character" w:customStyle="1" w:styleId="315">
    <w:name w:val="日期 Char1"/>
    <w:qFormat/>
    <w:uiPriority w:val="0"/>
    <w:rPr>
      <w:sz w:val="21"/>
      <w:szCs w:val="22"/>
    </w:rPr>
  </w:style>
  <w:style w:type="character" w:customStyle="1" w:styleId="316">
    <w:name w:val="Char Char"/>
    <w:qFormat/>
    <w:uiPriority w:val="0"/>
    <w:rPr>
      <w:rFonts w:eastAsia="华文细黑"/>
      <w:b/>
      <w:bCs/>
      <w:sz w:val="21"/>
      <w:szCs w:val="24"/>
      <w:lang w:val="en-US" w:eastAsia="zh-CN" w:bidi="ar-SA"/>
    </w:rPr>
  </w:style>
  <w:style w:type="character" w:customStyle="1" w:styleId="317">
    <w:name w:val="称呼 Char1"/>
    <w:qFormat/>
    <w:uiPriority w:val="0"/>
    <w:rPr>
      <w:sz w:val="21"/>
      <w:szCs w:val="24"/>
    </w:rPr>
  </w:style>
  <w:style w:type="character" w:customStyle="1" w:styleId="318">
    <w:name w:val="书籍标题1"/>
    <w:qFormat/>
    <w:uiPriority w:val="0"/>
    <w:rPr>
      <w:b/>
      <w:bCs/>
      <w:smallCaps/>
      <w:spacing w:val="5"/>
    </w:rPr>
  </w:style>
  <w:style w:type="character" w:customStyle="1" w:styleId="319">
    <w:name w:val="不明显强调1"/>
    <w:qFormat/>
    <w:uiPriority w:val="0"/>
    <w:rPr>
      <w:i/>
      <w:iCs/>
      <w:color w:val="808080"/>
    </w:rPr>
  </w:style>
  <w:style w:type="character" w:customStyle="1" w:styleId="320">
    <w:name w:val="批注文字 Char Char"/>
    <w:qFormat/>
    <w:uiPriority w:val="0"/>
    <w:rPr>
      <w:rFonts w:ascii="华文细黑" w:hAnsi="Cambria" w:eastAsia="华文细黑" w:cs="Cambria"/>
      <w:sz w:val="28"/>
      <w:szCs w:val="20"/>
    </w:rPr>
  </w:style>
  <w:style w:type="character" w:customStyle="1" w:styleId="321">
    <w:name w:val="Char Char3"/>
    <w:qFormat/>
    <w:uiPriority w:val="0"/>
    <w:rPr>
      <w:rFonts w:ascii="幼圆" w:hAnsi="华文细黑" w:eastAsia="幼圆" w:cs="Tahoma"/>
      <w:b/>
      <w:bCs/>
      <w:sz w:val="24"/>
      <w:szCs w:val="24"/>
      <w:lang w:val="en-US" w:eastAsia="zh-CN" w:bidi="ar-SA"/>
    </w:rPr>
  </w:style>
  <w:style w:type="character" w:customStyle="1" w:styleId="322">
    <w:name w:val="CODE"/>
    <w:qFormat/>
    <w:uiPriority w:val="0"/>
    <w:rPr>
      <w:rFonts w:ascii="华文细黑" w:hAnsi="华文细黑"/>
      <w:sz w:val="20"/>
    </w:rPr>
  </w:style>
  <w:style w:type="character" w:customStyle="1" w:styleId="323">
    <w:name w:val="标题 311"/>
    <w:qFormat/>
    <w:uiPriority w:val="0"/>
    <w:rPr>
      <w:rFonts w:hint="eastAsia" w:ascii="黑体" w:hAnsi="ˎ̥" w:eastAsia="黑体"/>
      <w:sz w:val="28"/>
    </w:rPr>
  </w:style>
  <w:style w:type="character" w:customStyle="1" w:styleId="324">
    <w:name w:val="Char Char11"/>
    <w:qFormat/>
    <w:uiPriority w:val="0"/>
    <w:rPr>
      <w:rFonts w:eastAsia="宋体"/>
      <w:b/>
      <w:bCs/>
      <w:sz w:val="32"/>
      <w:szCs w:val="44"/>
      <w:lang w:val="en-US" w:eastAsia="zh-CN" w:bidi="ar-SA"/>
    </w:rPr>
  </w:style>
  <w:style w:type="character" w:customStyle="1" w:styleId="325">
    <w:name w:val="font51"/>
    <w:qFormat/>
    <w:uiPriority w:val="0"/>
    <w:rPr>
      <w:rFonts w:ascii="Times New Roman" w:hAnsi="Times New Roman" w:cs="Times New Roman"/>
      <w:color w:val="000000"/>
      <w:sz w:val="20"/>
      <w:szCs w:val="20"/>
      <w:u w:val="none"/>
    </w:rPr>
  </w:style>
  <w:style w:type="character" w:customStyle="1" w:styleId="326">
    <w:name w:val="正文文本 Char1"/>
    <w:qFormat/>
    <w:uiPriority w:val="0"/>
    <w:rPr>
      <w:sz w:val="21"/>
      <w:szCs w:val="22"/>
    </w:rPr>
  </w:style>
  <w:style w:type="character" w:customStyle="1" w:styleId="327">
    <w:name w:val="结束语 Char1"/>
    <w:qFormat/>
    <w:uiPriority w:val="0"/>
    <w:rPr>
      <w:sz w:val="21"/>
      <w:szCs w:val="24"/>
    </w:rPr>
  </w:style>
  <w:style w:type="character" w:customStyle="1" w:styleId="328">
    <w:name w:val="font141"/>
    <w:qFormat/>
    <w:uiPriority w:val="0"/>
    <w:rPr>
      <w:rFonts w:hint="eastAsia" w:ascii="宋体" w:hAnsi="宋体" w:eastAsia="宋体" w:cs="宋体"/>
      <w:color w:val="000000"/>
      <w:sz w:val="20"/>
      <w:szCs w:val="20"/>
      <w:u w:val="none"/>
    </w:rPr>
  </w:style>
  <w:style w:type="character" w:customStyle="1" w:styleId="329">
    <w:name w:val="font71"/>
    <w:qFormat/>
    <w:uiPriority w:val="0"/>
    <w:rPr>
      <w:rFonts w:ascii="Times New Roman" w:hAnsi="Times New Roman" w:cs="Times New Roman"/>
      <w:color w:val="000000"/>
      <w:sz w:val="20"/>
      <w:szCs w:val="20"/>
      <w:u w:val="none"/>
    </w:rPr>
  </w:style>
  <w:style w:type="character" w:customStyle="1" w:styleId="330">
    <w:name w:val="引用 Char1"/>
    <w:qFormat/>
    <w:uiPriority w:val="29"/>
    <w:rPr>
      <w:i/>
      <w:iCs/>
      <w:color w:val="000000"/>
      <w:sz w:val="21"/>
      <w:szCs w:val="24"/>
    </w:rPr>
  </w:style>
  <w:style w:type="character" w:customStyle="1" w:styleId="331">
    <w:name w:val="font122"/>
    <w:qFormat/>
    <w:uiPriority w:val="0"/>
    <w:rPr>
      <w:rFonts w:ascii="Times New Roman" w:hAnsi="Times New Roman" w:cs="Times New Roman"/>
      <w:color w:val="000000"/>
      <w:sz w:val="20"/>
      <w:szCs w:val="20"/>
      <w:u w:val="none"/>
    </w:rPr>
  </w:style>
  <w:style w:type="character" w:customStyle="1" w:styleId="332">
    <w:name w:val="font91"/>
    <w:qFormat/>
    <w:uiPriority w:val="0"/>
    <w:rPr>
      <w:rFonts w:ascii="Times New Roman" w:hAnsi="Times New Roman" w:cs="Times New Roman"/>
      <w:color w:val="000000"/>
      <w:sz w:val="20"/>
      <w:szCs w:val="20"/>
      <w:u w:val="none"/>
    </w:rPr>
  </w:style>
  <w:style w:type="character" w:customStyle="1" w:styleId="333">
    <w:name w:val="正文缩进 Char1"/>
    <w:qFormat/>
    <w:uiPriority w:val="0"/>
    <w:rPr>
      <w:rFonts w:eastAsia="宋体"/>
      <w:lang w:val="en-US" w:eastAsia="zh-CN" w:bidi="ar-SA"/>
    </w:rPr>
  </w:style>
  <w:style w:type="character" w:customStyle="1" w:styleId="334">
    <w:name w:val="样式 标题 3 + (中文) 黑体 小四 非加粗 段前: 7.8 磅 段后: 0 磅 行距: 固定值 20 磅 Char"/>
    <w:qFormat/>
    <w:uiPriority w:val="0"/>
    <w:rPr>
      <w:rFonts w:ascii="幼圆" w:hAnsi="华文细黑" w:eastAsia="幼圆" w:cs="华文细黑"/>
      <w:b/>
      <w:bCs/>
      <w:sz w:val="24"/>
      <w:lang w:val="en-US" w:eastAsia="zh-CN" w:bidi="ar-SA"/>
    </w:rPr>
  </w:style>
  <w:style w:type="character" w:customStyle="1" w:styleId="335">
    <w:name w:val="不明显参考1"/>
    <w:qFormat/>
    <w:uiPriority w:val="0"/>
    <w:rPr>
      <w:smallCaps/>
      <w:color w:val="C0504D"/>
      <w:u w:val="single"/>
    </w:rPr>
  </w:style>
  <w:style w:type="character" w:customStyle="1" w:styleId="336">
    <w:name w:val="textcontents"/>
    <w:qFormat/>
    <w:uiPriority w:val="0"/>
    <w:rPr>
      <w:rFonts w:cs="Cambria"/>
    </w:rPr>
  </w:style>
  <w:style w:type="character" w:customStyle="1" w:styleId="337">
    <w:name w:val="tit12"/>
    <w:qFormat/>
    <w:uiPriority w:val="0"/>
    <w:rPr>
      <w:color w:val="DB2200"/>
    </w:rPr>
  </w:style>
  <w:style w:type="character" w:customStyle="1" w:styleId="338">
    <w:name w:val="页眉 Char1"/>
    <w:qFormat/>
    <w:uiPriority w:val="0"/>
    <w:rPr>
      <w:rFonts w:eastAsia="宋体"/>
      <w:sz w:val="18"/>
      <w:szCs w:val="18"/>
      <w:lang w:val="en-US" w:eastAsia="zh-CN" w:bidi="ar-SA"/>
    </w:rPr>
  </w:style>
  <w:style w:type="character" w:customStyle="1" w:styleId="339">
    <w:name w:val="文档结构图 Char1"/>
    <w:qFormat/>
    <w:uiPriority w:val="0"/>
    <w:rPr>
      <w:rFonts w:ascii="华文细黑"/>
      <w:sz w:val="18"/>
      <w:szCs w:val="18"/>
    </w:rPr>
  </w:style>
  <w:style w:type="character" w:customStyle="1" w:styleId="340">
    <w:name w:val="正文文本缩进 Char"/>
    <w:qFormat/>
    <w:uiPriority w:val="0"/>
    <w:rPr>
      <w:rFonts w:ascii="Cambria" w:hAnsi="Cambria" w:eastAsia="华文细黑" w:cs="Cambria"/>
      <w:sz w:val="21"/>
      <w:szCs w:val="24"/>
    </w:rPr>
  </w:style>
  <w:style w:type="character" w:customStyle="1" w:styleId="341">
    <w:name w:val="表格正文 Char"/>
    <w:link w:val="342"/>
    <w:qFormat/>
    <w:uiPriority w:val="0"/>
    <w:rPr>
      <w:sz w:val="21"/>
      <w:szCs w:val="24"/>
    </w:rPr>
  </w:style>
  <w:style w:type="paragraph" w:customStyle="1" w:styleId="342">
    <w:name w:val="表格正文"/>
    <w:basedOn w:val="1"/>
    <w:link w:val="341"/>
    <w:qFormat/>
    <w:uiPriority w:val="0"/>
  </w:style>
  <w:style w:type="character" w:customStyle="1" w:styleId="343">
    <w:name w:val="Definition"/>
    <w:qFormat/>
    <w:uiPriority w:val="0"/>
    <w:rPr>
      <w:i/>
    </w:rPr>
  </w:style>
  <w:style w:type="character" w:customStyle="1" w:styleId="344">
    <w:name w:val="Keyboard"/>
    <w:qFormat/>
    <w:uiPriority w:val="0"/>
    <w:rPr>
      <w:rFonts w:ascii="华文细黑" w:hAnsi="华文细黑"/>
      <w:b/>
      <w:sz w:val="20"/>
    </w:rPr>
  </w:style>
  <w:style w:type="character" w:customStyle="1" w:styleId="345">
    <w:name w:val="font21"/>
    <w:qFormat/>
    <w:uiPriority w:val="0"/>
    <w:rPr>
      <w:rFonts w:ascii="Times New Roman" w:hAnsi="Times New Roman" w:cs="Times New Roman"/>
      <w:color w:val="000000"/>
      <w:sz w:val="20"/>
      <w:szCs w:val="20"/>
      <w:u w:val="none"/>
    </w:rPr>
  </w:style>
  <w:style w:type="character" w:customStyle="1" w:styleId="346">
    <w:name w:val="HTML 预设格式 Char1"/>
    <w:qFormat/>
    <w:uiPriority w:val="0"/>
    <w:rPr>
      <w:rFonts w:ascii="Courier New" w:hAnsi="Courier New" w:cs="Courier New"/>
    </w:rPr>
  </w:style>
  <w:style w:type="character" w:customStyle="1" w:styleId="347">
    <w:name w:val="font81"/>
    <w:qFormat/>
    <w:uiPriority w:val="0"/>
    <w:rPr>
      <w:rFonts w:hint="eastAsia" w:ascii="宋体" w:hAnsi="宋体" w:eastAsia="宋体" w:cs="宋体"/>
      <w:color w:val="000000"/>
      <w:sz w:val="20"/>
      <w:szCs w:val="20"/>
      <w:u w:val="none"/>
    </w:rPr>
  </w:style>
  <w:style w:type="character" w:customStyle="1" w:styleId="348">
    <w:name w:val="chword"/>
    <w:qFormat/>
    <w:uiPriority w:val="0"/>
  </w:style>
  <w:style w:type="character" w:customStyle="1" w:styleId="349">
    <w:name w:val="Comment"/>
    <w:qFormat/>
    <w:uiPriority w:val="0"/>
    <w:rPr>
      <w:vanish/>
    </w:rPr>
  </w:style>
  <w:style w:type="character" w:customStyle="1" w:styleId="350">
    <w:name w:val="Para head"/>
    <w:qFormat/>
    <w:uiPriority w:val="0"/>
    <w:rPr>
      <w:rFonts w:ascii="Arial" w:hAnsi="Arial" w:eastAsia="Times New Roman"/>
      <w:sz w:val="20"/>
    </w:rPr>
  </w:style>
  <w:style w:type="character" w:customStyle="1" w:styleId="351">
    <w:name w:val="副标题 Char1"/>
    <w:qFormat/>
    <w:uiPriority w:val="0"/>
    <w:rPr>
      <w:rFonts w:ascii="Cambria" w:hAnsi="Cambria" w:cs="Times New Roman"/>
      <w:b/>
      <w:bCs/>
      <w:sz w:val="32"/>
      <w:szCs w:val="32"/>
    </w:rPr>
  </w:style>
  <w:style w:type="character" w:customStyle="1" w:styleId="352">
    <w:name w:val="Variable"/>
    <w:qFormat/>
    <w:uiPriority w:val="0"/>
    <w:rPr>
      <w:i/>
    </w:rPr>
  </w:style>
  <w:style w:type="character" w:customStyle="1" w:styleId="353">
    <w:name w:val="引用 Char"/>
    <w:link w:val="354"/>
    <w:qFormat/>
    <w:uiPriority w:val="0"/>
    <w:rPr>
      <w:i/>
      <w:iCs/>
      <w:color w:val="000000"/>
      <w:sz w:val="21"/>
      <w:szCs w:val="22"/>
    </w:rPr>
  </w:style>
  <w:style w:type="paragraph" w:customStyle="1" w:styleId="354">
    <w:name w:val="引用1"/>
    <w:basedOn w:val="1"/>
    <w:next w:val="1"/>
    <w:link w:val="353"/>
    <w:qFormat/>
    <w:uiPriority w:val="0"/>
    <w:rPr>
      <w:i/>
      <w:iCs/>
      <w:color w:val="000000"/>
      <w:szCs w:val="22"/>
    </w:rPr>
  </w:style>
  <w:style w:type="character" w:customStyle="1" w:styleId="355">
    <w:name w:val="HTML Markup"/>
    <w:qFormat/>
    <w:uiPriority w:val="0"/>
    <w:rPr>
      <w:vanish/>
      <w:color w:val="FF0000"/>
    </w:rPr>
  </w:style>
  <w:style w:type="character" w:customStyle="1" w:styleId="356">
    <w:name w:val="Char Char1"/>
    <w:qFormat/>
    <w:uiPriority w:val="0"/>
    <w:rPr>
      <w:rFonts w:ascii="幼圆" w:hAnsi="Tahoma" w:eastAsia="幼圆" w:cs="Tahoma"/>
      <w:b/>
      <w:bCs/>
      <w:sz w:val="32"/>
      <w:szCs w:val="32"/>
      <w:lang w:val="en-US" w:eastAsia="zh-CN" w:bidi="ar-SA"/>
    </w:rPr>
  </w:style>
  <w:style w:type="character" w:customStyle="1" w:styleId="357">
    <w:name w:val="font112"/>
    <w:qFormat/>
    <w:uiPriority w:val="0"/>
    <w:rPr>
      <w:rFonts w:hint="eastAsia" w:ascii="宋体" w:hAnsi="宋体" w:eastAsia="宋体" w:cs="宋体"/>
      <w:color w:val="000000"/>
      <w:sz w:val="20"/>
      <w:szCs w:val="20"/>
      <w:u w:val="none"/>
    </w:rPr>
  </w:style>
  <w:style w:type="character" w:customStyle="1" w:styleId="358">
    <w:name w:val="批注框文本 Char1"/>
    <w:qFormat/>
    <w:uiPriority w:val="0"/>
    <w:rPr>
      <w:sz w:val="18"/>
      <w:szCs w:val="18"/>
    </w:rPr>
  </w:style>
  <w:style w:type="character" w:customStyle="1" w:styleId="359">
    <w:name w:val="Typewriter"/>
    <w:qFormat/>
    <w:uiPriority w:val="0"/>
    <w:rPr>
      <w:rFonts w:ascii="华文细黑" w:hAnsi="华文细黑"/>
      <w:sz w:val="20"/>
    </w:rPr>
  </w:style>
  <w:style w:type="character" w:customStyle="1" w:styleId="360">
    <w:name w:val="font121"/>
    <w:qFormat/>
    <w:uiPriority w:val="0"/>
    <w:rPr>
      <w:rFonts w:hint="eastAsia" w:ascii="宋体" w:hAnsi="宋体" w:eastAsia="宋体" w:cs="宋体"/>
      <w:color w:val="000000"/>
      <w:sz w:val="20"/>
      <w:szCs w:val="20"/>
      <w:u w:val="none"/>
    </w:rPr>
  </w:style>
  <w:style w:type="character" w:customStyle="1" w:styleId="361">
    <w:name w:val="font11"/>
    <w:qFormat/>
    <w:uiPriority w:val="0"/>
    <w:rPr>
      <w:rFonts w:hint="eastAsia" w:ascii="宋体" w:hAnsi="宋体" w:eastAsia="宋体" w:cs="宋体"/>
      <w:color w:val="000000"/>
      <w:sz w:val="20"/>
      <w:szCs w:val="20"/>
      <w:u w:val="none"/>
    </w:rPr>
  </w:style>
  <w:style w:type="character" w:customStyle="1" w:styleId="362">
    <w:name w:val="itm1"/>
    <w:qFormat/>
    <w:uiPriority w:val="0"/>
    <w:rPr>
      <w:rFonts w:hint="eastAsia" w:ascii="宋体" w:hAnsi="宋体" w:eastAsia="宋体"/>
      <w:sz w:val="21"/>
      <w:szCs w:val="21"/>
    </w:rPr>
  </w:style>
  <w:style w:type="character" w:customStyle="1" w:styleId="363">
    <w:name w:val="明显引用 Char1"/>
    <w:qFormat/>
    <w:uiPriority w:val="30"/>
    <w:rPr>
      <w:b/>
      <w:bCs/>
      <w:i/>
      <w:iCs/>
      <w:color w:val="4F81BD"/>
      <w:sz w:val="21"/>
      <w:szCs w:val="24"/>
    </w:rPr>
  </w:style>
  <w:style w:type="character" w:customStyle="1" w:styleId="364">
    <w:name w:val="font131"/>
    <w:qFormat/>
    <w:uiPriority w:val="0"/>
    <w:rPr>
      <w:rFonts w:hint="eastAsia" w:ascii="宋体" w:hAnsi="宋体" w:eastAsia="宋体" w:cs="宋体"/>
      <w:color w:val="FF0000"/>
      <w:sz w:val="18"/>
      <w:szCs w:val="18"/>
      <w:u w:val="none"/>
    </w:rPr>
  </w:style>
  <w:style w:type="character" w:customStyle="1" w:styleId="365">
    <w:name w:val="批注主题 Char1"/>
    <w:qFormat/>
    <w:uiPriority w:val="0"/>
    <w:rPr>
      <w:b/>
      <w:bCs/>
      <w:sz w:val="21"/>
      <w:szCs w:val="22"/>
    </w:rPr>
  </w:style>
  <w:style w:type="character" w:customStyle="1" w:styleId="366">
    <w:name w:val="明显参考1"/>
    <w:qFormat/>
    <w:uiPriority w:val="0"/>
    <w:rPr>
      <w:b/>
      <w:bCs/>
      <w:smallCaps/>
      <w:color w:val="C0504D"/>
      <w:spacing w:val="5"/>
      <w:u w:val="single"/>
    </w:rPr>
  </w:style>
  <w:style w:type="character" w:customStyle="1" w:styleId="367">
    <w:name w:val="CITE"/>
    <w:qFormat/>
    <w:uiPriority w:val="0"/>
    <w:rPr>
      <w:i/>
    </w:rPr>
  </w:style>
  <w:style w:type="character" w:customStyle="1" w:styleId="368">
    <w:name w:val="more6"/>
    <w:basedOn w:val="208"/>
    <w:qFormat/>
    <w:uiPriority w:val="0"/>
  </w:style>
  <w:style w:type="character" w:customStyle="1" w:styleId="369">
    <w:name w:val="脚注文本 Char1"/>
    <w:qFormat/>
    <w:uiPriority w:val="0"/>
    <w:rPr>
      <w:sz w:val="18"/>
      <w:szCs w:val="18"/>
    </w:rPr>
  </w:style>
  <w:style w:type="character" w:customStyle="1" w:styleId="370">
    <w:name w:val="Sample"/>
    <w:qFormat/>
    <w:uiPriority w:val="0"/>
    <w:rPr>
      <w:rFonts w:ascii="华文细黑" w:hAnsi="华文细黑"/>
    </w:rPr>
  </w:style>
  <w:style w:type="character" w:customStyle="1" w:styleId="371">
    <w:name w:val="Char Char4"/>
    <w:qFormat/>
    <w:uiPriority w:val="0"/>
    <w:rPr>
      <w:rFonts w:ascii="华文细黑" w:hAnsi="华文细黑" w:eastAsia="幼圆" w:cs="Tahoma"/>
      <w:b/>
      <w:sz w:val="28"/>
      <w:szCs w:val="32"/>
      <w:lang w:val="en-US" w:eastAsia="zh-CN" w:bidi="ar-SA"/>
    </w:rPr>
  </w:style>
  <w:style w:type="character" w:customStyle="1" w:styleId="372">
    <w:name w:val="明显引用 Char"/>
    <w:link w:val="373"/>
    <w:qFormat/>
    <w:uiPriority w:val="0"/>
    <w:rPr>
      <w:b/>
      <w:bCs/>
      <w:i/>
      <w:iCs/>
      <w:color w:val="4F81BD"/>
      <w:sz w:val="21"/>
      <w:szCs w:val="22"/>
    </w:rPr>
  </w:style>
  <w:style w:type="paragraph" w:customStyle="1" w:styleId="373">
    <w:name w:val="明显引用1"/>
    <w:basedOn w:val="1"/>
    <w:next w:val="1"/>
    <w:link w:val="372"/>
    <w:qFormat/>
    <w:uiPriority w:val="0"/>
    <w:pPr>
      <w:pBdr>
        <w:bottom w:val="single" w:color="4F81BD" w:sz="4" w:space="4"/>
      </w:pBdr>
      <w:spacing w:before="200" w:after="280"/>
      <w:ind w:left="936" w:right="936"/>
    </w:pPr>
    <w:rPr>
      <w:b/>
      <w:bCs/>
      <w:i/>
      <w:iCs/>
      <w:color w:val="4F81BD"/>
      <w:szCs w:val="22"/>
    </w:rPr>
  </w:style>
  <w:style w:type="character" w:customStyle="1" w:styleId="374">
    <w:name w:val="明显强调1"/>
    <w:qFormat/>
    <w:uiPriority w:val="0"/>
    <w:rPr>
      <w:b/>
      <w:bCs/>
      <w:i/>
      <w:iCs/>
      <w:color w:val="4F81BD"/>
    </w:rPr>
  </w:style>
  <w:style w:type="character" w:customStyle="1" w:styleId="375">
    <w:name w:val="Char Char Char"/>
    <w:qFormat/>
    <w:uiPriority w:val="0"/>
    <w:rPr>
      <w:rFonts w:ascii="宋体" w:hAnsi="宋体" w:eastAsia="宋体"/>
      <w:b/>
      <w:sz w:val="24"/>
      <w:lang w:val="en-US" w:eastAsia="zh-CN" w:bidi="ar-SA"/>
    </w:rPr>
  </w:style>
  <w:style w:type="paragraph" w:customStyle="1" w:styleId="376">
    <w:name w:val="CM4"/>
    <w:basedOn w:val="48"/>
    <w:next w:val="48"/>
    <w:qFormat/>
    <w:uiPriority w:val="99"/>
    <w:pPr>
      <w:spacing w:line="468" w:lineRule="atLeast"/>
    </w:pPr>
    <w:rPr>
      <w:rFonts w:ascii="Times New Roman PSMT" w:hAnsi="Times New Roman" w:eastAsia="Times New Roman PSMT" w:cs="Times New Roman PSMT"/>
    </w:rPr>
  </w:style>
  <w:style w:type="paragraph" w:customStyle="1" w:styleId="377">
    <w:name w:val="xl27"/>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378">
    <w:name w:val="H1"/>
    <w:basedOn w:val="1"/>
    <w:next w:val="1"/>
    <w:qFormat/>
    <w:uiPriority w:val="0"/>
    <w:pPr>
      <w:keepNext/>
      <w:spacing w:before="100" w:after="100"/>
      <w:jc w:val="left"/>
      <w:outlineLvl w:val="1"/>
    </w:pPr>
    <w:rPr>
      <w:b/>
      <w:sz w:val="48"/>
      <w:szCs w:val="20"/>
    </w:rPr>
  </w:style>
  <w:style w:type="paragraph" w:customStyle="1" w:styleId="379">
    <w:name w:val="样式 标题 1 + 黑体 三号 非加粗 居中 段前: 6 磅 段后: 6 磅 行距: 固定值 20 磅"/>
    <w:basedOn w:val="50"/>
    <w:qFormat/>
    <w:uiPriority w:val="0"/>
    <w:pPr>
      <w:numPr>
        <w:numId w:val="0"/>
      </w:numPr>
      <w:spacing w:before="120" w:after="120" w:line="400" w:lineRule="exact"/>
    </w:pPr>
    <w:rPr>
      <w:rFonts w:ascii="幼圆" w:hAnsi="幼圆" w:eastAsia="幼圆" w:cs="华文细黑"/>
      <w:b w:val="0"/>
      <w:bCs w:val="0"/>
      <w:sz w:val="32"/>
      <w:szCs w:val="20"/>
    </w:rPr>
  </w:style>
  <w:style w:type="paragraph" w:customStyle="1" w:styleId="380">
    <w:name w:val="ZDY正文"/>
    <w:basedOn w:val="1"/>
    <w:qFormat/>
    <w:uiPriority w:val="0"/>
    <w:pPr>
      <w:spacing w:before="156" w:line="360" w:lineRule="auto"/>
      <w:ind w:firstLine="200"/>
      <w:jc w:val="left"/>
    </w:pPr>
    <w:rPr>
      <w:rFonts w:ascii="宋体" w:hAnsi="宋体"/>
      <w:sz w:val="24"/>
    </w:rPr>
  </w:style>
  <w:style w:type="paragraph" w:customStyle="1" w:styleId="381">
    <w:name w:val="1"/>
    <w:basedOn w:val="1"/>
    <w:qFormat/>
    <w:uiPriority w:val="0"/>
    <w:pPr>
      <w:spacing w:line="360" w:lineRule="auto"/>
      <w:ind w:firstLine="200"/>
    </w:pPr>
    <w:rPr>
      <w:rFonts w:ascii="华文细黑" w:hAnsi="华文细黑" w:eastAsia="华文细黑" w:cs="华文细黑"/>
      <w:sz w:val="24"/>
    </w:rPr>
  </w:style>
  <w:style w:type="paragraph" w:customStyle="1" w:styleId="382">
    <w:name w:val="简介正文"/>
    <w:basedOn w:val="1"/>
    <w:qFormat/>
    <w:uiPriority w:val="0"/>
    <w:pPr>
      <w:tabs>
        <w:tab w:val="left" w:pos="360"/>
      </w:tabs>
      <w:spacing w:after="20" w:line="520" w:lineRule="exact"/>
      <w:ind w:left="1701" w:hanging="1701"/>
    </w:pPr>
    <w:rPr>
      <w:sz w:val="24"/>
      <w:szCs w:val="20"/>
    </w:rPr>
  </w:style>
  <w:style w:type="paragraph" w:customStyle="1" w:styleId="383">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384">
    <w:name w:val="xl43"/>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85">
    <w:name w:val="xl38"/>
    <w:basedOn w:val="1"/>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386">
    <w:name w:val="样式 纯文本 + 楷体_GB2312 小四 行距: 固定值 20 磅1"/>
    <w:basedOn w:val="247"/>
    <w:qFormat/>
    <w:uiPriority w:val="0"/>
    <w:pPr>
      <w:spacing w:line="400" w:lineRule="exact"/>
      <w:ind w:firstLine="200"/>
    </w:pPr>
    <w:rPr>
      <w:rFonts w:ascii="楷体_GB2312" w:eastAsia="楷体_GB2312"/>
      <w:sz w:val="24"/>
      <w:szCs w:val="20"/>
    </w:rPr>
  </w:style>
  <w:style w:type="paragraph" w:customStyle="1" w:styleId="387">
    <w:name w:val="列表2"/>
    <w:basedOn w:val="1"/>
    <w:qFormat/>
    <w:uiPriority w:val="0"/>
    <w:pPr>
      <w:tabs>
        <w:tab w:val="left" w:pos="1470"/>
      </w:tabs>
      <w:spacing w:after="20" w:line="288" w:lineRule="auto"/>
      <w:ind w:left="1469" w:hanging="420"/>
    </w:pPr>
  </w:style>
  <w:style w:type="paragraph" w:customStyle="1" w:styleId="388">
    <w:name w:val="程序代码"/>
    <w:basedOn w:val="1"/>
    <w:qFormat/>
    <w:uiPriority w:val="0"/>
    <w:pPr>
      <w:spacing w:after="20" w:line="288" w:lineRule="auto"/>
      <w:ind w:left="839" w:firstLine="420"/>
    </w:pPr>
    <w:rPr>
      <w:rFonts w:eastAsia="仿宋_GB2312"/>
    </w:rPr>
  </w:style>
  <w:style w:type="paragraph" w:customStyle="1" w:styleId="389">
    <w:name w:val="无间隔1"/>
    <w:qFormat/>
    <w:uiPriority w:val="1"/>
    <w:pPr>
      <w:widowControl w:val="0"/>
      <w:jc w:val="both"/>
    </w:pPr>
    <w:rPr>
      <w:rFonts w:ascii="Times New Roman" w:hAnsi="Times New Roman" w:eastAsia="宋体" w:cs="Times New Roman"/>
      <w:sz w:val="21"/>
      <w:szCs w:val="22"/>
      <w:lang w:val="en-US" w:eastAsia="zh-CN" w:bidi="ar-SA"/>
    </w:rPr>
  </w:style>
  <w:style w:type="paragraph" w:customStyle="1" w:styleId="390">
    <w:name w:val="xl24"/>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391">
    <w:name w:val="默认段落字体 Para Char"/>
    <w:basedOn w:val="1"/>
    <w:qFormat/>
    <w:uiPriority w:val="0"/>
    <w:pPr>
      <w:spacing w:line="360" w:lineRule="auto"/>
      <w:ind w:firstLine="200"/>
    </w:pPr>
    <w:rPr>
      <w:rFonts w:ascii="华文细黑" w:hAnsi="华文细黑" w:eastAsia="华文细黑" w:cs="华文细黑"/>
      <w:sz w:val="24"/>
    </w:rPr>
  </w:style>
  <w:style w:type="paragraph" w:customStyle="1" w:styleId="392">
    <w:name w:val="xl3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393">
    <w:name w:val="无间隔2"/>
    <w:qFormat/>
    <w:uiPriority w:val="0"/>
    <w:pPr>
      <w:widowControl w:val="0"/>
      <w:jc w:val="both"/>
    </w:pPr>
    <w:rPr>
      <w:rFonts w:ascii="仿宋_GB2312" w:hAnsi="仿宋_GB2312" w:eastAsia="华文细黑" w:cs="Cambria"/>
      <w:sz w:val="21"/>
      <w:szCs w:val="22"/>
      <w:lang w:val="en-US" w:eastAsia="zh-CN" w:bidi="ar-SA"/>
    </w:rPr>
  </w:style>
  <w:style w:type="paragraph" w:customStyle="1" w:styleId="394">
    <w:name w:val="xl4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395">
    <w:name w:val="xl3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396">
    <w:name w:val="xl52"/>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397">
    <w:name w:val="Blockquote"/>
    <w:basedOn w:val="1"/>
    <w:qFormat/>
    <w:uiPriority w:val="0"/>
    <w:pPr>
      <w:spacing w:before="100" w:after="100"/>
      <w:ind w:left="360" w:right="360"/>
      <w:jc w:val="left"/>
    </w:pPr>
    <w:rPr>
      <w:rFonts w:ascii="Cambria" w:hAnsi="Cambria" w:eastAsia="华文细黑" w:cs="Cambria"/>
      <w:sz w:val="24"/>
      <w:szCs w:val="20"/>
    </w:rPr>
  </w:style>
  <w:style w:type="paragraph" w:customStyle="1" w:styleId="398">
    <w:name w:val="Char Char Char Char Char Char Char Char Char Char Char Char Char Char Char Char"/>
    <w:basedOn w:val="1"/>
    <w:qFormat/>
    <w:uiPriority w:val="0"/>
    <w:pPr>
      <w:tabs>
        <w:tab w:val="left" w:pos="360"/>
      </w:tabs>
    </w:pPr>
    <w:rPr>
      <w:sz w:val="24"/>
    </w:rPr>
  </w:style>
  <w:style w:type="paragraph" w:customStyle="1" w:styleId="399">
    <w:name w:val="Char Char Char Char"/>
    <w:basedOn w:val="1"/>
    <w:qFormat/>
    <w:uiPriority w:val="0"/>
    <w:rPr>
      <w:rFonts w:ascii="Tahoma" w:hAnsi="Tahoma"/>
      <w:sz w:val="24"/>
      <w:szCs w:val="20"/>
    </w:rPr>
  </w:style>
  <w:style w:type="paragraph" w:customStyle="1" w:styleId="400">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01">
    <w:name w:val="Default Paragraph Font Para Char"/>
    <w:basedOn w:val="1"/>
    <w:qFormat/>
    <w:uiPriority w:val="0"/>
    <w:pPr>
      <w:widowControl/>
      <w:spacing w:after="160" w:line="240" w:lineRule="exact"/>
      <w:jc w:val="left"/>
    </w:pPr>
  </w:style>
  <w:style w:type="paragraph" w:customStyle="1" w:styleId="402">
    <w:name w:val="默认段落字体 Para Char Char Char1 Char"/>
    <w:basedOn w:val="1"/>
    <w:qFormat/>
    <w:uiPriority w:val="0"/>
    <w:pPr>
      <w:spacing w:line="360" w:lineRule="auto"/>
      <w:ind w:left="420" w:firstLine="420"/>
    </w:pPr>
    <w:rPr>
      <w:sz w:val="24"/>
      <w:szCs w:val="21"/>
    </w:rPr>
  </w:style>
  <w:style w:type="paragraph" w:customStyle="1" w:styleId="403">
    <w:name w:val="Char Char Char Char Char Char Char Char Char Char"/>
    <w:basedOn w:val="1"/>
    <w:qFormat/>
    <w:uiPriority w:val="0"/>
    <w:pPr>
      <w:numPr>
        <w:ilvl w:val="0"/>
        <w:numId w:val="4"/>
      </w:numPr>
    </w:pPr>
    <w:rPr>
      <w:sz w:val="24"/>
    </w:rPr>
  </w:style>
  <w:style w:type="paragraph" w:customStyle="1" w:styleId="404">
    <w:name w:val="Char Char Char Char1"/>
    <w:basedOn w:val="1"/>
    <w:qFormat/>
    <w:uiPriority w:val="0"/>
    <w:pPr>
      <w:widowControl/>
      <w:tabs>
        <w:tab w:val="left" w:pos="360"/>
      </w:tabs>
      <w:spacing w:after="120" w:line="360" w:lineRule="auto"/>
      <w:ind w:left="560" w:firstLine="480"/>
      <w:jc w:val="left"/>
    </w:pPr>
    <w:rPr>
      <w:rFonts w:ascii="Verdana" w:hAnsi="Verdana"/>
      <w:sz w:val="24"/>
    </w:rPr>
  </w:style>
  <w:style w:type="paragraph" w:customStyle="1" w:styleId="405">
    <w:name w:val="Normal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06">
    <w:name w:val="表头"/>
    <w:basedOn w:val="1"/>
    <w:qFormat/>
    <w:uiPriority w:val="0"/>
    <w:pPr>
      <w:spacing w:line="320" w:lineRule="atLeast"/>
      <w:jc w:val="center"/>
    </w:pPr>
    <w:rPr>
      <w:rFonts w:eastAsia="黑体"/>
      <w:spacing w:val="-10"/>
      <w:szCs w:val="20"/>
    </w:rPr>
  </w:style>
  <w:style w:type="paragraph" w:customStyle="1" w:styleId="407">
    <w:name w:val="H4"/>
    <w:basedOn w:val="1"/>
    <w:next w:val="1"/>
    <w:qFormat/>
    <w:uiPriority w:val="0"/>
    <w:pPr>
      <w:keepNext/>
      <w:spacing w:before="100" w:after="100"/>
      <w:jc w:val="left"/>
      <w:outlineLvl w:val="4"/>
    </w:pPr>
    <w:rPr>
      <w:b/>
      <w:sz w:val="24"/>
      <w:szCs w:val="20"/>
    </w:rPr>
  </w:style>
  <w:style w:type="paragraph" w:customStyle="1" w:styleId="408">
    <w:name w:val="Char"/>
    <w:basedOn w:val="1"/>
    <w:qFormat/>
    <w:uiPriority w:val="0"/>
    <w:pPr>
      <w:spacing w:line="240" w:lineRule="atLeast"/>
      <w:ind w:left="420" w:firstLine="420"/>
    </w:pPr>
    <w:rPr>
      <w:szCs w:val="21"/>
    </w:rPr>
  </w:style>
  <w:style w:type="paragraph" w:customStyle="1" w:styleId="409">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10">
    <w:name w:val="z-Top of Form"/>
    <w:next w:val="1"/>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411">
    <w:name w:val="标题0"/>
    <w:basedOn w:val="285"/>
    <w:next w:val="285"/>
    <w:qFormat/>
    <w:uiPriority w:val="0"/>
    <w:rPr>
      <w:sz w:val="52"/>
    </w:rPr>
  </w:style>
  <w:style w:type="paragraph" w:customStyle="1" w:styleId="412">
    <w:name w:val="Javis"/>
    <w:basedOn w:val="1"/>
    <w:qFormat/>
    <w:uiPriority w:val="0"/>
    <w:pPr>
      <w:ind w:right="210"/>
    </w:pPr>
    <w:rPr>
      <w:rFonts w:cs="宋体"/>
      <w:sz w:val="24"/>
      <w:szCs w:val="20"/>
    </w:rPr>
  </w:style>
  <w:style w:type="paragraph" w:customStyle="1" w:styleId="413">
    <w:name w:val="Definition List"/>
    <w:basedOn w:val="1"/>
    <w:next w:val="414"/>
    <w:qFormat/>
    <w:uiPriority w:val="0"/>
    <w:pPr>
      <w:ind w:left="360"/>
      <w:jc w:val="left"/>
    </w:pPr>
    <w:rPr>
      <w:rFonts w:ascii="Cambria" w:hAnsi="Cambria" w:eastAsia="华文细黑" w:cs="Cambria"/>
      <w:sz w:val="24"/>
      <w:szCs w:val="20"/>
    </w:rPr>
  </w:style>
  <w:style w:type="paragraph" w:customStyle="1" w:styleId="414">
    <w:name w:val="Definition Term"/>
    <w:basedOn w:val="1"/>
    <w:next w:val="413"/>
    <w:qFormat/>
    <w:uiPriority w:val="0"/>
    <w:pPr>
      <w:jc w:val="left"/>
    </w:pPr>
    <w:rPr>
      <w:rFonts w:ascii="Cambria" w:hAnsi="Cambria" w:eastAsia="华文细黑" w:cs="Cambria"/>
      <w:sz w:val="24"/>
      <w:szCs w:val="20"/>
    </w:rPr>
  </w:style>
  <w:style w:type="paragraph" w:customStyle="1" w:styleId="415">
    <w:name w:val="样式 标题 3 + (中文) 黑体 小四 非加粗 段前: 7.8 磅 段后: 0 磅 行距: 固定值 20 磅"/>
    <w:basedOn w:val="202"/>
    <w:qFormat/>
    <w:uiPriority w:val="0"/>
    <w:pPr>
      <w:tabs>
        <w:tab w:val="left" w:pos="7200"/>
      </w:tabs>
      <w:spacing w:before="0" w:after="0" w:line="400" w:lineRule="exact"/>
      <w:jc w:val="left"/>
    </w:pPr>
    <w:rPr>
      <w:rFonts w:ascii="华文细黑" w:hAnsi="华文细黑" w:eastAsia="幼圆" w:cs="华文细黑"/>
      <w:bCs w:val="0"/>
      <w:sz w:val="30"/>
      <w:szCs w:val="20"/>
    </w:rPr>
  </w:style>
  <w:style w:type="paragraph" w:customStyle="1" w:styleId="416">
    <w:name w:val="表格文字"/>
    <w:basedOn w:val="1"/>
    <w:qFormat/>
    <w:uiPriority w:val="0"/>
    <w:pPr>
      <w:spacing w:line="288" w:lineRule="auto"/>
      <w:jc w:val="left"/>
    </w:pPr>
    <w:rPr>
      <w:szCs w:val="20"/>
    </w:rPr>
  </w:style>
  <w:style w:type="paragraph" w:customStyle="1" w:styleId="417">
    <w:name w:val="默认段落字体 Para Char Char Char"/>
    <w:basedOn w:val="1"/>
    <w:qFormat/>
    <w:uiPriority w:val="0"/>
  </w:style>
  <w:style w:type="paragraph" w:customStyle="1" w:styleId="41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szCs w:val="20"/>
    </w:rPr>
  </w:style>
  <w:style w:type="paragraph" w:customStyle="1" w:styleId="419">
    <w:name w:val="font7"/>
    <w:basedOn w:val="1"/>
    <w:qFormat/>
    <w:uiPriority w:val="0"/>
    <w:pPr>
      <w:widowControl/>
      <w:spacing w:before="100" w:beforeAutospacing="1" w:after="100" w:afterAutospacing="1" w:line="288" w:lineRule="auto"/>
      <w:ind w:firstLine="420"/>
      <w:jc w:val="left"/>
    </w:pPr>
    <w:rPr>
      <w:b/>
      <w:bCs/>
      <w:sz w:val="24"/>
    </w:rPr>
  </w:style>
  <w:style w:type="paragraph" w:customStyle="1" w:styleId="420">
    <w:name w:val="H2"/>
    <w:basedOn w:val="1"/>
    <w:next w:val="1"/>
    <w:qFormat/>
    <w:uiPriority w:val="0"/>
    <w:pPr>
      <w:keepNext/>
      <w:spacing w:before="100" w:after="100"/>
      <w:jc w:val="left"/>
      <w:outlineLvl w:val="2"/>
    </w:pPr>
    <w:rPr>
      <w:b/>
      <w:sz w:val="36"/>
      <w:szCs w:val="20"/>
    </w:rPr>
  </w:style>
  <w:style w:type="paragraph" w:customStyle="1" w:styleId="421">
    <w:name w:val="正文2"/>
    <w:basedOn w:val="1"/>
    <w:qFormat/>
    <w:uiPriority w:val="0"/>
    <w:pPr>
      <w:widowControl/>
      <w:spacing w:after="160" w:line="360" w:lineRule="auto"/>
      <w:ind w:firstLine="200"/>
      <w:jc w:val="left"/>
    </w:pPr>
    <w:rPr>
      <w:rFonts w:ascii="Verdana" w:hAnsi="Verdana" w:eastAsia="黑体"/>
      <w:szCs w:val="20"/>
      <w:lang w:eastAsia="en-US"/>
    </w:rPr>
  </w:style>
  <w:style w:type="paragraph" w:customStyle="1" w:styleId="422">
    <w:name w:val="样式一"/>
    <w:basedOn w:val="1"/>
    <w:qFormat/>
    <w:uiPriority w:val="0"/>
    <w:pPr>
      <w:numPr>
        <w:ilvl w:val="2"/>
        <w:numId w:val="3"/>
      </w:numPr>
      <w:spacing w:before="100" w:after="100" w:line="360" w:lineRule="exact"/>
    </w:pPr>
    <w:rPr>
      <w:rFonts w:ascii="宋体" w:hAnsi="宋体" w:eastAsia="黑体"/>
      <w:sz w:val="24"/>
      <w:szCs w:val="20"/>
      <w:lang w:val="en-GB"/>
    </w:rPr>
  </w:style>
  <w:style w:type="paragraph" w:customStyle="1" w:styleId="423">
    <w:name w:val="xl36"/>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24">
    <w:name w:val="xl51"/>
    <w:basedOn w:val="1"/>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425">
    <w:name w:val="目录文字"/>
    <w:basedOn w:val="1"/>
    <w:qFormat/>
    <w:uiPriority w:val="0"/>
    <w:pPr>
      <w:widowControl/>
      <w:spacing w:line="480" w:lineRule="auto"/>
      <w:jc w:val="left"/>
    </w:pPr>
    <w:rPr>
      <w:rFonts w:ascii="宋体" w:hAnsi="宋体"/>
      <w:sz w:val="24"/>
      <w:szCs w:val="20"/>
    </w:rPr>
  </w:style>
  <w:style w:type="paragraph" w:customStyle="1" w:styleId="426">
    <w:name w:val="名词解释11"/>
    <w:basedOn w:val="427"/>
    <w:qFormat/>
    <w:uiPriority w:val="0"/>
    <w:pPr>
      <w:spacing w:after="0"/>
      <w:ind w:firstLine="0"/>
    </w:pPr>
  </w:style>
  <w:style w:type="paragraph" w:customStyle="1" w:styleId="427">
    <w:name w:val="名词解释"/>
    <w:basedOn w:val="1"/>
    <w:qFormat/>
    <w:uiPriority w:val="0"/>
    <w:pPr>
      <w:spacing w:after="20" w:line="288" w:lineRule="auto"/>
      <w:ind w:left="2325" w:hanging="2325"/>
    </w:pPr>
    <w:rPr>
      <w:szCs w:val="20"/>
    </w:rPr>
  </w:style>
  <w:style w:type="paragraph" w:customStyle="1" w:styleId="42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429">
    <w:name w:val="Char111"/>
    <w:basedOn w:val="1"/>
    <w:qFormat/>
    <w:uiPriority w:val="0"/>
    <w:pPr>
      <w:spacing w:line="360" w:lineRule="auto"/>
      <w:ind w:firstLine="200"/>
    </w:pPr>
    <w:rPr>
      <w:rFonts w:ascii="宋体" w:hAnsi="宋体" w:cs="宋体"/>
      <w:sz w:val="24"/>
    </w:rPr>
  </w:style>
  <w:style w:type="paragraph" w:customStyle="1" w:styleId="430">
    <w:name w:val="xl26"/>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31">
    <w:name w:val="CM41"/>
    <w:basedOn w:val="48"/>
    <w:next w:val="48"/>
    <w:qFormat/>
    <w:uiPriority w:val="99"/>
    <w:pPr>
      <w:spacing w:after="478"/>
    </w:pPr>
    <w:rPr>
      <w:rFonts w:ascii="Times New Roman PSMT" w:hAnsi="Times New Roman" w:eastAsia="Times New Roman PSMT" w:cs="Times New Roman PSMT"/>
    </w:rPr>
  </w:style>
  <w:style w:type="paragraph" w:customStyle="1" w:styleId="432">
    <w:name w:val="图形"/>
    <w:basedOn w:val="1"/>
    <w:qFormat/>
    <w:uiPriority w:val="0"/>
    <w:pPr>
      <w:spacing w:after="20" w:line="288" w:lineRule="auto"/>
      <w:ind w:firstLine="420"/>
      <w:jc w:val="center"/>
    </w:pPr>
  </w:style>
  <w:style w:type="paragraph" w:customStyle="1" w:styleId="433">
    <w:name w:val="重点"/>
    <w:basedOn w:val="1"/>
    <w:qFormat/>
    <w:uiPriority w:val="0"/>
    <w:pPr>
      <w:shd w:val="pct10" w:color="auto" w:fill="auto"/>
      <w:spacing w:after="20" w:line="288" w:lineRule="auto"/>
      <w:ind w:firstLine="420"/>
    </w:pPr>
    <w:rPr>
      <w:rFonts w:eastAsia="黑体"/>
      <w:b/>
    </w:rPr>
  </w:style>
  <w:style w:type="paragraph" w:customStyle="1" w:styleId="434">
    <w:name w:val="Address"/>
    <w:basedOn w:val="1"/>
    <w:next w:val="1"/>
    <w:qFormat/>
    <w:uiPriority w:val="0"/>
    <w:pPr>
      <w:jc w:val="left"/>
    </w:pPr>
    <w:rPr>
      <w:rFonts w:ascii="Cambria" w:hAnsi="Cambria" w:eastAsia="华文细黑" w:cs="Cambria"/>
      <w:i/>
      <w:sz w:val="24"/>
      <w:szCs w:val="20"/>
    </w:rPr>
  </w:style>
  <w:style w:type="paragraph" w:customStyle="1" w:styleId="435">
    <w:name w:val="flNote"/>
    <w:basedOn w:val="1"/>
    <w:qFormat/>
    <w:uiPriority w:val="0"/>
    <w:pPr>
      <w:spacing w:before="320" w:after="160" w:line="360" w:lineRule="atLeast"/>
      <w:jc w:val="center"/>
    </w:pPr>
    <w:rPr>
      <w:rFonts w:ascii="Tahoma" w:hAnsi="Cambria" w:eastAsia="幼圆" w:cs="Cambria"/>
      <w:sz w:val="30"/>
      <w:szCs w:val="20"/>
    </w:rPr>
  </w:style>
  <w:style w:type="paragraph" w:customStyle="1" w:styleId="436">
    <w:name w:val="z-Bottom of Form"/>
    <w:next w:val="1"/>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437">
    <w:name w:val="函数注释1"/>
    <w:basedOn w:val="1"/>
    <w:qFormat/>
    <w:uiPriority w:val="0"/>
    <w:pPr>
      <w:spacing w:after="20" w:line="320" w:lineRule="exact"/>
      <w:ind w:left="1678" w:right="210" w:hanging="1049"/>
      <w:jc w:val="left"/>
    </w:pPr>
    <w:rPr>
      <w:szCs w:val="20"/>
    </w:rPr>
  </w:style>
  <w:style w:type="paragraph" w:customStyle="1" w:styleId="438">
    <w:name w:val="xl29"/>
    <w:basedOn w:val="1"/>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439">
    <w:name w:val="xl4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40">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41">
    <w:name w:val="a2"/>
    <w:basedOn w:val="1"/>
    <w:qFormat/>
    <w:uiPriority w:val="0"/>
    <w:pPr>
      <w:widowControl/>
      <w:spacing w:before="100" w:beforeAutospacing="1" w:after="100" w:afterAutospacing="1"/>
      <w:jc w:val="left"/>
    </w:pPr>
    <w:rPr>
      <w:rFonts w:ascii="宋体" w:hAnsi="宋体" w:cs="宋体"/>
      <w:sz w:val="24"/>
    </w:rPr>
  </w:style>
  <w:style w:type="paragraph" w:customStyle="1" w:styleId="442">
    <w:name w:val="p0"/>
    <w:basedOn w:val="1"/>
    <w:qFormat/>
    <w:uiPriority w:val="0"/>
    <w:pPr>
      <w:widowControl/>
    </w:pPr>
    <w:rPr>
      <w:szCs w:val="21"/>
    </w:rPr>
  </w:style>
  <w:style w:type="paragraph" w:customStyle="1" w:styleId="443">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44">
    <w:name w:val="H3"/>
    <w:basedOn w:val="1"/>
    <w:next w:val="1"/>
    <w:qFormat/>
    <w:uiPriority w:val="0"/>
    <w:pPr>
      <w:keepNext/>
      <w:spacing w:before="100" w:after="100"/>
      <w:jc w:val="left"/>
      <w:outlineLvl w:val="3"/>
    </w:pPr>
    <w:rPr>
      <w:b/>
      <w:sz w:val="28"/>
      <w:szCs w:val="20"/>
    </w:rPr>
  </w:style>
  <w:style w:type="paragraph" w:customStyle="1" w:styleId="445">
    <w:name w:val="标准式样"/>
    <w:basedOn w:val="275"/>
    <w:qFormat/>
    <w:uiPriority w:val="0"/>
  </w:style>
  <w:style w:type="paragraph" w:customStyle="1" w:styleId="446">
    <w:name w:val="菲页(卷)"/>
    <w:basedOn w:val="50"/>
    <w:next w:val="405"/>
    <w:qFormat/>
    <w:uiPriority w:val="0"/>
    <w:pPr>
      <w:keepLines w:val="0"/>
      <w:widowControl/>
      <w:spacing w:before="0" w:after="0" w:line="240" w:lineRule="auto"/>
      <w:ind w:left="780" w:hanging="360"/>
      <w:outlineLvl w:val="1"/>
    </w:pPr>
    <w:rPr>
      <w:b w:val="0"/>
      <w:bCs w:val="0"/>
      <w:sz w:val="52"/>
      <w:szCs w:val="20"/>
    </w:rPr>
  </w:style>
  <w:style w:type="paragraph" w:customStyle="1" w:styleId="447">
    <w:name w:val="表格标题"/>
    <w:basedOn w:val="1"/>
    <w:qFormat/>
    <w:uiPriority w:val="0"/>
    <w:pPr>
      <w:spacing w:before="120" w:line="400" w:lineRule="exact"/>
      <w:jc w:val="center"/>
    </w:pPr>
    <w:rPr>
      <w:rFonts w:eastAsia="文鼎CS中宋"/>
      <w:spacing w:val="8"/>
      <w:sz w:val="24"/>
      <w:szCs w:val="20"/>
    </w:rPr>
  </w:style>
  <w:style w:type="paragraph" w:customStyle="1" w:styleId="448">
    <w:name w:val="表蕊"/>
    <w:basedOn w:val="1"/>
    <w:qFormat/>
    <w:uiPriority w:val="0"/>
    <w:pPr>
      <w:spacing w:line="320" w:lineRule="atLeast"/>
      <w:jc w:val="left"/>
    </w:pPr>
    <w:rPr>
      <w:rFonts w:eastAsia="楷体_GB2312"/>
      <w:spacing w:val="-10"/>
      <w:szCs w:val="20"/>
    </w:rPr>
  </w:style>
  <w:style w:type="paragraph" w:customStyle="1" w:styleId="449">
    <w:name w:val="回信地址"/>
    <w:basedOn w:val="1"/>
    <w:qFormat/>
    <w:uiPriority w:val="0"/>
    <w:pPr>
      <w:keepLines/>
      <w:framePr w:w="2635" w:h="1138" w:wrap="notBeside" w:vAnchor="page" w:hAnchor="margin" w:xAlign="right" w:y="678"/>
      <w:widowControl/>
      <w:spacing w:after="20" w:line="200" w:lineRule="atLeast"/>
      <w:ind w:right="-120" w:firstLine="420"/>
      <w:jc w:val="left"/>
    </w:pPr>
    <w:rPr>
      <w:sz w:val="16"/>
      <w:szCs w:val="20"/>
    </w:rPr>
  </w:style>
  <w:style w:type="paragraph" w:customStyle="1" w:styleId="450">
    <w:name w:val="章标题"/>
    <w:next w:val="1"/>
    <w:qFormat/>
    <w:uiPriority w:val="0"/>
    <w:pPr>
      <w:tabs>
        <w:tab w:val="left" w:pos="360"/>
      </w:tabs>
      <w:spacing w:before="156" w:after="156"/>
      <w:ind w:left="1440" w:hanging="360"/>
      <w:jc w:val="both"/>
      <w:outlineLvl w:val="1"/>
    </w:pPr>
    <w:rPr>
      <w:rFonts w:ascii="黑体" w:hAnsi="Times New Roman" w:eastAsia="黑体" w:cs="Times New Roman"/>
      <w:sz w:val="21"/>
      <w:lang w:val="en-US" w:eastAsia="zh-CN" w:bidi="ar-SA"/>
    </w:rPr>
  </w:style>
  <w:style w:type="paragraph" w:customStyle="1" w:styleId="451">
    <w:name w:val="H6"/>
    <w:basedOn w:val="1"/>
    <w:next w:val="1"/>
    <w:qFormat/>
    <w:uiPriority w:val="0"/>
    <w:pPr>
      <w:keepNext/>
      <w:spacing w:before="100" w:after="100"/>
      <w:jc w:val="left"/>
      <w:outlineLvl w:val="6"/>
    </w:pPr>
    <w:rPr>
      <w:b/>
      <w:sz w:val="16"/>
      <w:szCs w:val="20"/>
    </w:rPr>
  </w:style>
  <w:style w:type="paragraph" w:customStyle="1" w:styleId="452">
    <w:name w:val="样式 标题 2 + Times New Roman 四号 非加粗 段前: 5 磅 段后: 0 磅 行距: 固定值 20..."/>
    <w:basedOn w:val="201"/>
    <w:qFormat/>
    <w:uiPriority w:val="0"/>
    <w:pPr>
      <w:numPr>
        <w:numId w:val="0"/>
      </w:numPr>
      <w:spacing w:before="100" w:after="0" w:line="400" w:lineRule="exact"/>
    </w:pPr>
    <w:rPr>
      <w:rFonts w:ascii="Cambria" w:hAnsi="Cambria" w:eastAsia="幼圆" w:cs="华文细黑"/>
      <w:b w:val="0"/>
      <w:bCs w:val="0"/>
      <w:color w:val="FF0000"/>
      <w:sz w:val="30"/>
      <w:szCs w:val="20"/>
    </w:rPr>
  </w:style>
  <w:style w:type="paragraph" w:customStyle="1" w:styleId="453">
    <w:name w:val="xl2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54">
    <w:name w:val="Char1"/>
    <w:basedOn w:val="1"/>
    <w:qFormat/>
    <w:uiPriority w:val="0"/>
    <w:rPr>
      <w:rFonts w:ascii="仿宋_GB2312" w:eastAsia="仿宋_GB2312"/>
      <w:b/>
      <w:sz w:val="32"/>
      <w:szCs w:val="32"/>
    </w:rPr>
  </w:style>
  <w:style w:type="paragraph" w:customStyle="1" w:styleId="455">
    <w:name w:val="TOC 标题3"/>
    <w:basedOn w:val="50"/>
    <w:next w:val="1"/>
    <w:qFormat/>
    <w:uiPriority w:val="0"/>
    <w:pPr>
      <w:numPr>
        <w:numId w:val="0"/>
      </w:numPr>
      <w:jc w:val="both"/>
      <w:outlineLvl w:val="9"/>
    </w:pPr>
    <w:rPr>
      <w:rFonts w:ascii="Cambria" w:hAnsi="Cambria" w:eastAsia="华文细黑" w:cs="Cambria"/>
    </w:rPr>
  </w:style>
  <w:style w:type="paragraph" w:customStyle="1" w:styleId="456">
    <w:name w:val="xl45"/>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57">
    <w:name w:val="并列项-点"/>
    <w:basedOn w:val="1"/>
    <w:qFormat/>
    <w:uiPriority w:val="0"/>
    <w:pPr>
      <w:widowControl/>
      <w:tabs>
        <w:tab w:val="left" w:pos="851"/>
        <w:tab w:val="left" w:pos="927"/>
      </w:tabs>
      <w:spacing w:before="120" w:line="360" w:lineRule="auto"/>
      <w:ind w:left="851" w:hanging="284"/>
    </w:pPr>
    <w:rPr>
      <w:sz w:val="24"/>
      <w:szCs w:val="20"/>
    </w:rPr>
  </w:style>
  <w:style w:type="paragraph" w:customStyle="1" w:styleId="458">
    <w:name w:val="Char Char Char Char Char Char Char"/>
    <w:basedOn w:val="1"/>
    <w:qFormat/>
    <w:uiPriority w:val="0"/>
    <w:pPr>
      <w:widowControl/>
      <w:spacing w:after="160" w:line="240" w:lineRule="exact"/>
      <w:jc w:val="left"/>
    </w:pPr>
    <w:rPr>
      <w:rFonts w:ascii="Arial" w:hAnsi="Arial" w:eastAsia="Times New Roman" w:cs="Verdana"/>
      <w:b/>
      <w:sz w:val="24"/>
      <w:lang w:eastAsia="en-US"/>
    </w:rPr>
  </w:style>
  <w:style w:type="paragraph" w:customStyle="1" w:styleId="459">
    <w:name w:val="列出段落"/>
    <w:basedOn w:val="1"/>
    <w:qFormat/>
    <w:uiPriority w:val="34"/>
    <w:pPr>
      <w:ind w:firstLine="420"/>
    </w:pPr>
    <w:rPr>
      <w:rFonts w:ascii="Calibri" w:hAnsi="Calibri"/>
      <w:szCs w:val="22"/>
    </w:rPr>
  </w:style>
  <w:style w:type="paragraph" w:customStyle="1" w:styleId="460">
    <w:name w:val="默认段落字体 Para Char Char Char Char Char Char Char"/>
    <w:basedOn w:val="1"/>
    <w:qFormat/>
    <w:uiPriority w:val="0"/>
    <w:rPr>
      <w:rFonts w:eastAsia="华文细黑" w:cs="Cambria"/>
      <w:sz w:val="24"/>
      <w:szCs w:val="20"/>
    </w:rPr>
  </w:style>
  <w:style w:type="paragraph" w:customStyle="1" w:styleId="461">
    <w:name w:val="Char11"/>
    <w:basedOn w:val="1"/>
    <w:qFormat/>
    <w:uiPriority w:val="0"/>
    <w:rPr>
      <w:rFonts w:ascii="仿宋_GB2312" w:eastAsia="仿宋_GB2312"/>
      <w:b/>
      <w:sz w:val="32"/>
      <w:szCs w:val="32"/>
    </w:rPr>
  </w:style>
  <w:style w:type="paragraph" w:customStyle="1" w:styleId="462">
    <w:name w:val="项目符号1"/>
    <w:basedOn w:val="1"/>
    <w:qFormat/>
    <w:uiPriority w:val="0"/>
    <w:pPr>
      <w:numPr>
        <w:ilvl w:val="1"/>
        <w:numId w:val="2"/>
      </w:numPr>
      <w:tabs>
        <w:tab w:val="left" w:pos="360"/>
      </w:tabs>
    </w:pPr>
    <w:rPr>
      <w:szCs w:val="20"/>
    </w:rPr>
  </w:style>
  <w:style w:type="paragraph" w:customStyle="1" w:styleId="463">
    <w:name w:val="标准文字"/>
    <w:basedOn w:val="1"/>
    <w:qFormat/>
    <w:uiPriority w:val="0"/>
    <w:pPr>
      <w:spacing w:after="20" w:line="360" w:lineRule="auto"/>
      <w:ind w:firstLine="420"/>
    </w:pPr>
  </w:style>
  <w:style w:type="paragraph" w:customStyle="1" w:styleId="464">
    <w:name w:val="页眉1"/>
    <w:basedOn w:val="1"/>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65">
    <w:name w:val="样式1"/>
    <w:basedOn w:val="1"/>
    <w:qFormat/>
    <w:uiPriority w:val="0"/>
    <w:pPr>
      <w:spacing w:before="120" w:after="120" w:line="300" w:lineRule="auto"/>
    </w:pPr>
    <w:rPr>
      <w:rFonts w:ascii="宋体" w:hAnsi="宋体"/>
      <w:b/>
      <w:sz w:val="24"/>
      <w:szCs w:val="20"/>
    </w:rPr>
  </w:style>
  <w:style w:type="paragraph" w:customStyle="1" w:styleId="466">
    <w:name w:val="菲页1"/>
    <w:basedOn w:val="201"/>
    <w:qFormat/>
    <w:uiPriority w:val="0"/>
    <w:pPr>
      <w:widowControl/>
      <w:numPr>
        <w:numId w:val="0"/>
      </w:numPr>
      <w:jc w:val="center"/>
    </w:pPr>
    <w:rPr>
      <w:rFonts w:ascii="黑体" w:hAnsi="宋体"/>
      <w:b w:val="0"/>
      <w:bCs w:val="0"/>
      <w:sz w:val="52"/>
      <w:szCs w:val="20"/>
    </w:rPr>
  </w:style>
  <w:style w:type="paragraph" w:customStyle="1" w:styleId="467">
    <w:name w:val="菲页2"/>
    <w:basedOn w:val="202"/>
    <w:qFormat/>
    <w:uiPriority w:val="0"/>
    <w:pPr>
      <w:widowControl/>
      <w:spacing w:before="120" w:after="120" w:line="360" w:lineRule="auto"/>
      <w:ind w:left="6233" w:hanging="420"/>
      <w:jc w:val="center"/>
    </w:pPr>
    <w:rPr>
      <w:rFonts w:hAnsi="宋体"/>
      <w:b w:val="0"/>
      <w:bCs w:val="0"/>
      <w:sz w:val="44"/>
      <w:szCs w:val="20"/>
    </w:rPr>
  </w:style>
  <w:style w:type="paragraph" w:customStyle="1" w:styleId="468">
    <w:name w:val="Char Char Char Char Char Char Char Char Char Char1"/>
    <w:basedOn w:val="1"/>
    <w:qFormat/>
    <w:uiPriority w:val="0"/>
    <w:pPr>
      <w:tabs>
        <w:tab w:val="left" w:pos="425"/>
      </w:tabs>
      <w:ind w:left="425" w:hanging="425"/>
    </w:pPr>
    <w:rPr>
      <w:sz w:val="28"/>
      <w:szCs w:val="20"/>
    </w:rPr>
  </w:style>
  <w:style w:type="paragraph" w:customStyle="1" w:styleId="469">
    <w:name w:val="xl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70">
    <w:name w:val="函数注释2"/>
    <w:basedOn w:val="1"/>
    <w:qFormat/>
    <w:uiPriority w:val="0"/>
    <w:pPr>
      <w:spacing w:after="20" w:line="288" w:lineRule="auto"/>
      <w:ind w:left="1680" w:firstLine="420"/>
    </w:pPr>
  </w:style>
  <w:style w:type="paragraph" w:customStyle="1" w:styleId="471">
    <w:name w:val="Char Char Char Char Char Char"/>
    <w:basedOn w:val="1"/>
    <w:qFormat/>
    <w:uiPriority w:val="0"/>
    <w:pPr>
      <w:widowControl/>
      <w:spacing w:after="160" w:line="240" w:lineRule="exact"/>
      <w:jc w:val="left"/>
    </w:pPr>
    <w:rPr>
      <w:rFonts w:ascii="黑体" w:hAnsi="Verdana" w:eastAsia="黑体"/>
      <w:sz w:val="32"/>
      <w:szCs w:val="32"/>
    </w:rPr>
  </w:style>
  <w:style w:type="paragraph" w:customStyle="1" w:styleId="472">
    <w:name w:val="yyn"/>
    <w:basedOn w:val="1"/>
    <w:qFormat/>
    <w:uiPriority w:val="0"/>
    <w:pPr>
      <w:keepNext/>
      <w:widowControl/>
      <w:spacing w:line="360" w:lineRule="auto"/>
      <w:ind w:right="562" w:firstLine="576"/>
    </w:pPr>
    <w:rPr>
      <w:rFonts w:ascii="宋体"/>
      <w:sz w:val="28"/>
      <w:szCs w:val="20"/>
    </w:rPr>
  </w:style>
  <w:style w:type="paragraph" w:customStyle="1" w:styleId="473">
    <w:name w:val="font0"/>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74">
    <w:name w:val="font6"/>
    <w:basedOn w:val="1"/>
    <w:qFormat/>
    <w:uiPriority w:val="0"/>
    <w:pPr>
      <w:widowControl/>
      <w:spacing w:before="100" w:beforeAutospacing="1" w:after="100" w:afterAutospacing="1" w:line="288" w:lineRule="auto"/>
      <w:ind w:firstLine="420"/>
      <w:jc w:val="left"/>
    </w:pPr>
    <w:rPr>
      <w:sz w:val="24"/>
    </w:rPr>
  </w:style>
  <w:style w:type="paragraph" w:customStyle="1" w:styleId="47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76">
    <w:name w:val="xl49"/>
    <w:basedOn w:val="1"/>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477">
    <w:name w:val="xl23"/>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78">
    <w:name w:val="修订1"/>
    <w:qFormat/>
    <w:uiPriority w:val="0"/>
    <w:rPr>
      <w:rFonts w:ascii="Cambria" w:hAnsi="Cambria" w:eastAsia="华文细黑" w:cs="Cambria"/>
      <w:sz w:val="21"/>
      <w:szCs w:val="24"/>
      <w:lang w:val="en-US" w:eastAsia="zh-CN" w:bidi="ar-SA"/>
    </w:rPr>
  </w:style>
  <w:style w:type="paragraph" w:customStyle="1" w:styleId="479">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80">
    <w:name w:val="样式 (西文) 仿宋_GB2312 居中 行距: 1.5 倍行距"/>
    <w:basedOn w:val="1"/>
    <w:qFormat/>
    <w:uiPriority w:val="0"/>
    <w:pPr>
      <w:spacing w:line="360" w:lineRule="auto"/>
      <w:jc w:val="center"/>
    </w:pPr>
    <w:rPr>
      <w:rFonts w:ascii="华文细黑" w:hAnsi="华文细黑" w:eastAsia="华文细黑" w:cs="华文细黑"/>
      <w:szCs w:val="20"/>
    </w:rPr>
  </w:style>
  <w:style w:type="paragraph" w:customStyle="1" w:styleId="481">
    <w:name w:val="列表_名词"/>
    <w:basedOn w:val="426"/>
    <w:qFormat/>
    <w:uiPriority w:val="0"/>
    <w:pPr>
      <w:tabs>
        <w:tab w:val="left" w:pos="2745"/>
      </w:tabs>
      <w:ind w:left="2745" w:hanging="420"/>
    </w:pPr>
  </w:style>
  <w:style w:type="paragraph" w:customStyle="1" w:styleId="482">
    <w:name w:val="xl41"/>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483">
    <w:name w:val="目录"/>
    <w:basedOn w:val="1"/>
    <w:next w:val="1"/>
    <w:qFormat/>
    <w:uiPriority w:val="0"/>
    <w:pPr>
      <w:spacing w:before="360" w:after="360" w:line="360" w:lineRule="auto"/>
      <w:ind w:firstLine="420"/>
      <w:jc w:val="center"/>
    </w:pPr>
    <w:rPr>
      <w:b/>
      <w:spacing w:val="200"/>
      <w:sz w:val="36"/>
      <w:szCs w:val="20"/>
    </w:rPr>
  </w:style>
  <w:style w:type="paragraph" w:customStyle="1" w:styleId="484">
    <w:name w:val="Char Char Char Char Char Char Char Char Char Char2"/>
    <w:basedOn w:val="1"/>
    <w:qFormat/>
    <w:uiPriority w:val="0"/>
    <w:pPr>
      <w:tabs>
        <w:tab w:val="left" w:pos="360"/>
      </w:tabs>
    </w:pPr>
  </w:style>
  <w:style w:type="paragraph" w:customStyle="1" w:styleId="485">
    <w:name w:val="xl50"/>
    <w:basedOn w:val="1"/>
    <w:qFormat/>
    <w:uiPriority w:val="0"/>
    <w:pPr>
      <w:widowControl/>
      <w:spacing w:before="100" w:beforeAutospacing="1" w:after="100" w:afterAutospacing="1"/>
      <w:jc w:val="center"/>
    </w:pPr>
    <w:rPr>
      <w:rFonts w:ascii="宋体" w:hAnsi="宋体"/>
      <w:b/>
      <w:bCs/>
      <w:sz w:val="40"/>
      <w:szCs w:val="40"/>
    </w:rPr>
  </w:style>
  <w:style w:type="paragraph" w:customStyle="1" w:styleId="486">
    <w:name w:val="表格"/>
    <w:basedOn w:val="1"/>
    <w:qFormat/>
    <w:uiPriority w:val="0"/>
    <w:pPr>
      <w:jc w:val="center"/>
    </w:pPr>
    <w:rPr>
      <w:szCs w:val="21"/>
    </w:rPr>
  </w:style>
  <w:style w:type="paragraph" w:customStyle="1" w:styleId="487">
    <w:name w:val="正文(缩进)"/>
    <w:basedOn w:val="1"/>
    <w:qFormat/>
    <w:uiPriority w:val="0"/>
    <w:pPr>
      <w:widowControl/>
      <w:spacing w:line="360" w:lineRule="auto"/>
      <w:ind w:firstLine="200"/>
    </w:pPr>
    <w:rPr>
      <w:rFonts w:eastAsia="仿宋_GB2312"/>
      <w:sz w:val="24"/>
      <w:szCs w:val="20"/>
    </w:rPr>
  </w:style>
  <w:style w:type="paragraph" w:customStyle="1" w:styleId="488">
    <w:name w:val="Char Char Char1 Char Char Char"/>
    <w:basedOn w:val="1"/>
    <w:qFormat/>
    <w:uiPriority w:val="0"/>
    <w:pPr>
      <w:ind w:firstLine="200"/>
    </w:pPr>
    <w:rPr>
      <w:rFonts w:ascii="Tahoma" w:hAnsi="Tahoma"/>
      <w:sz w:val="24"/>
      <w:szCs w:val="20"/>
    </w:rPr>
  </w:style>
  <w:style w:type="paragraph" w:customStyle="1" w:styleId="489">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before="156" w:after="20" w:line="0" w:lineRule="atLeast"/>
      <w:ind w:firstLine="420"/>
      <w:jc w:val="center"/>
    </w:pPr>
    <w:rPr>
      <w:rFonts w:ascii="宋体" w:hAnsi="宋体"/>
      <w:b/>
      <w:sz w:val="30"/>
      <w:szCs w:val="20"/>
    </w:rPr>
  </w:style>
  <w:style w:type="paragraph" w:customStyle="1" w:styleId="490">
    <w:name w:val="xl28"/>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91">
    <w:name w:val="H5"/>
    <w:basedOn w:val="1"/>
    <w:next w:val="1"/>
    <w:qFormat/>
    <w:uiPriority w:val="0"/>
    <w:pPr>
      <w:keepNext/>
      <w:spacing w:before="100" w:after="100"/>
      <w:jc w:val="left"/>
      <w:outlineLvl w:val="5"/>
    </w:pPr>
    <w:rPr>
      <w:b/>
      <w:sz w:val="20"/>
      <w:szCs w:val="20"/>
    </w:rPr>
  </w:style>
  <w:style w:type="paragraph" w:customStyle="1" w:styleId="492">
    <w:name w:val="xl22"/>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93">
    <w:name w:val="空半行"/>
    <w:basedOn w:val="1"/>
    <w:qFormat/>
    <w:uiPriority w:val="0"/>
    <w:pPr>
      <w:spacing w:line="120" w:lineRule="exact"/>
    </w:pPr>
    <w:rPr>
      <w:rFonts w:ascii="Cambria" w:hAnsi="Cambria" w:eastAsia="Tahoma" w:cs="Cambria"/>
      <w:color w:val="FFFFFF"/>
      <w:sz w:val="30"/>
      <w:szCs w:val="20"/>
    </w:rPr>
  </w:style>
  <w:style w:type="paragraph" w:customStyle="1" w:styleId="494">
    <w:name w:val="xl44"/>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95">
    <w:name w:val="xl4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96">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character" w:customStyle="1" w:styleId="497">
    <w:name w:val="NormalCharacter1"/>
    <w:qFormat/>
    <w:uiPriority w:val="0"/>
  </w:style>
  <w:style w:type="paragraph" w:customStyle="1" w:styleId="498">
    <w:name w:val="UserStyle_4"/>
    <w:basedOn w:val="1"/>
    <w:link w:val="499"/>
    <w:qFormat/>
    <w:uiPriority w:val="99"/>
  </w:style>
  <w:style w:type="character" w:customStyle="1" w:styleId="499">
    <w:name w:val="NormalCharacter11"/>
    <w:link w:val="498"/>
    <w:qFormat/>
    <w:uiPriority w:val="99"/>
    <w:rPr>
      <w:rFonts w:ascii="Times New Roman" w:hAnsi="Times New Roman" w:cs="Times New Roman"/>
    </w:rPr>
  </w:style>
  <w:style w:type="paragraph" w:customStyle="1" w:styleId="500">
    <w:name w:val="正文缩进1"/>
    <w:basedOn w:val="1"/>
    <w:qFormat/>
    <w:uiPriority w:val="0"/>
    <w:pPr>
      <w:widowControl/>
      <w:ind w:firstLine="420"/>
      <w:jc w:val="left"/>
    </w:pPr>
    <w:rPr>
      <w:sz w:val="20"/>
      <w:szCs w:val="20"/>
    </w:rPr>
  </w:style>
  <w:style w:type="paragraph" w:customStyle="1" w:styleId="501">
    <w:name w:val="BodyText1I1"/>
    <w:basedOn w:val="502"/>
    <w:qFormat/>
    <w:uiPriority w:val="0"/>
    <w:pPr>
      <w:spacing w:line="440" w:lineRule="exact"/>
      <w:ind w:firstLine="420"/>
    </w:pPr>
    <w:rPr>
      <w:rFonts w:ascii="宋体" w:hAnsi="Calibri" w:eastAsia="仿宋_GB2312"/>
      <w:sz w:val="24"/>
    </w:rPr>
  </w:style>
  <w:style w:type="paragraph" w:customStyle="1" w:styleId="502">
    <w:name w:val="BodyText1"/>
    <w:basedOn w:val="1"/>
    <w:qFormat/>
    <w:uiPriority w:val="0"/>
    <w:rPr>
      <w:rFonts w:ascii="楷体_GB2312" w:hAnsi="Arial" w:eastAsia="楷体_GB2312"/>
      <w:sz w:val="28"/>
      <w:szCs w:val="28"/>
    </w:rPr>
  </w:style>
  <w:style w:type="paragraph" w:customStyle="1" w:styleId="503">
    <w:name w:val="普通文字"/>
    <w:basedOn w:val="1"/>
    <w:next w:val="1"/>
    <w:qFormat/>
    <w:uiPriority w:val="0"/>
    <w:rPr>
      <w:rFonts w:ascii="宋体"/>
      <w:sz w:val="24"/>
      <w:szCs w:val="20"/>
    </w:rPr>
  </w:style>
  <w:style w:type="paragraph" w:customStyle="1" w:styleId="504">
    <w:name w:val="正文首行缩进1"/>
    <w:basedOn w:val="505"/>
    <w:next w:val="1"/>
    <w:qFormat/>
    <w:uiPriority w:val="0"/>
    <w:pPr>
      <w:spacing w:after="120" w:line="440" w:lineRule="exact"/>
      <w:ind w:firstLine="100"/>
    </w:pPr>
    <w:rPr>
      <w:rFonts w:ascii="宋体" w:hAnsi="宋体"/>
      <w:sz w:val="24"/>
      <w:szCs w:val="28"/>
    </w:rPr>
  </w:style>
  <w:style w:type="paragraph" w:customStyle="1" w:styleId="505">
    <w:name w:val="正文文本1"/>
    <w:basedOn w:val="1"/>
    <w:next w:val="506"/>
    <w:qFormat/>
    <w:uiPriority w:val="0"/>
    <w:rPr>
      <w:rFonts w:ascii="仿宋_GB2312" w:eastAsia="仿宋_GB2312"/>
      <w:sz w:val="28"/>
      <w:szCs w:val="20"/>
    </w:rPr>
  </w:style>
  <w:style w:type="paragraph" w:customStyle="1" w:styleId="506">
    <w:name w:val="列表1"/>
    <w:basedOn w:val="1"/>
    <w:qFormat/>
    <w:uiPriority w:val="0"/>
    <w:pPr>
      <w:numPr>
        <w:ilvl w:val="0"/>
        <w:numId w:val="5"/>
      </w:numPr>
      <w:spacing w:after="20" w:line="288" w:lineRule="auto"/>
    </w:pPr>
    <w:rPr>
      <w:szCs w:val="20"/>
      <w:lang w:val="en-GB" w:eastAsia="en-GB"/>
    </w:rPr>
  </w:style>
  <w:style w:type="paragraph" w:customStyle="1" w:styleId="507">
    <w:name w:val="列表段落1"/>
    <w:basedOn w:val="1"/>
    <w:qFormat/>
    <w:uiPriority w:val="34"/>
    <w:pPr>
      <w:ind w:firstLine="420"/>
    </w:pPr>
    <w:rPr>
      <w:rFonts w:ascii="Calibri" w:hAnsi="Calibri"/>
      <w:szCs w:val="22"/>
    </w:rPr>
  </w:style>
  <w:style w:type="paragraph" w:customStyle="1" w:styleId="508">
    <w:name w:val="List Paragraph1"/>
    <w:basedOn w:val="1"/>
    <w:qFormat/>
    <w:uiPriority w:val="0"/>
    <w:pPr>
      <w:ind w:firstLine="420"/>
    </w:pPr>
    <w:rPr>
      <w:szCs w:val="21"/>
    </w:rPr>
  </w:style>
  <w:style w:type="paragraph" w:customStyle="1" w:styleId="509">
    <w:name w:val="02-标书-标题2"/>
    <w:qFormat/>
    <w:uiPriority w:val="0"/>
    <w:pPr>
      <w:numPr>
        <w:ilvl w:val="1"/>
        <w:numId w:val="6"/>
      </w:numPr>
      <w:spacing w:line="360" w:lineRule="auto"/>
      <w:outlineLvl w:val="1"/>
    </w:pPr>
    <w:rPr>
      <w:rFonts w:ascii="黑体" w:hAnsi="宋体" w:eastAsia="黑体" w:cs="Calibri"/>
      <w:sz w:val="32"/>
      <w:szCs w:val="28"/>
      <w:lang w:val="en-US" w:eastAsia="zh-CN" w:bidi="ar-SA"/>
    </w:rPr>
  </w:style>
  <w:style w:type="paragraph" w:customStyle="1" w:styleId="510">
    <w:name w:val="样式 标题 2 + 宋体 段前: 1 行"/>
    <w:basedOn w:val="4"/>
    <w:qFormat/>
    <w:uiPriority w:val="0"/>
    <w:pPr>
      <w:keepNext w:val="0"/>
      <w:keepLines w:val="0"/>
      <w:numPr>
        <w:ilvl w:val="0"/>
        <w:numId w:val="7"/>
      </w:numPr>
      <w:tabs>
        <w:tab w:val="clear" w:pos="0"/>
      </w:tabs>
      <w:spacing w:before="0" w:after="0" w:line="560" w:lineRule="exact"/>
      <w:jc w:val="center"/>
      <w:outlineLvl w:val="0"/>
    </w:pPr>
    <w:rPr>
      <w:rFonts w:ascii="黑体" w:hAnsi="黑体" w:eastAsia="黑体" w:cs="微软雅黑"/>
      <w:spacing w:val="20"/>
      <w:sz w:val="44"/>
      <w:szCs w:val="44"/>
    </w:rPr>
  </w:style>
  <w:style w:type="paragraph" w:customStyle="1" w:styleId="511">
    <w:name w:val="Table Paragraph"/>
    <w:basedOn w:val="1"/>
    <w:unhideWhenUsed/>
    <w:qFormat/>
    <w:uiPriority w:val="1"/>
    <w:rPr>
      <w:rFonts w:hint="eastAsia"/>
      <w:sz w:val="24"/>
    </w:rPr>
  </w:style>
  <w:style w:type="paragraph" w:customStyle="1" w:styleId="512">
    <w:name w:val="标题 211"/>
    <w:basedOn w:val="1"/>
    <w:next w:val="1"/>
    <w:unhideWhenUsed/>
    <w:qFormat/>
    <w:uiPriority w:val="9"/>
    <w:pPr>
      <w:keepNext/>
      <w:keepLines/>
      <w:spacing w:before="360" w:after="200"/>
      <w:outlineLvl w:val="1"/>
    </w:pPr>
    <w:rPr>
      <w:rFonts w:ascii="Arial" w:hAnsi="Arial" w:eastAsia="Arial" w:cs="Arial"/>
      <w:sz w:val="34"/>
    </w:rPr>
  </w:style>
  <w:style w:type="paragraph" w:customStyle="1" w:styleId="513">
    <w:name w:val="正文文本缩进11"/>
    <w:basedOn w:val="1"/>
    <w:qFormat/>
    <w:uiPriority w:val="0"/>
    <w:pPr>
      <w:widowControl/>
      <w:ind w:firstLine="540"/>
    </w:pPr>
    <w:rPr>
      <w:rFonts w:ascii="宋体" w:hAnsi="MS Sans Serif"/>
      <w:spacing w:val="12"/>
      <w:sz w:val="24"/>
    </w:rPr>
  </w:style>
  <w:style w:type="paragraph" w:customStyle="1" w:styleId="514">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515">
    <w:name w:val="纯文本11"/>
    <w:basedOn w:val="1"/>
    <w:qFormat/>
    <w:uiPriority w:val="0"/>
    <w:rPr>
      <w:rFonts w:ascii="宋体" w:hAnsi="Courier New"/>
    </w:rPr>
  </w:style>
  <w:style w:type="paragraph" w:customStyle="1" w:styleId="516">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customStyle="1" w:styleId="517">
    <w:name w:val="页脚11"/>
    <w:basedOn w:val="1"/>
    <w:unhideWhenUsed/>
    <w:qFormat/>
    <w:uiPriority w:val="99"/>
    <w:pPr>
      <w:tabs>
        <w:tab w:val="center" w:pos="7143"/>
        <w:tab w:val="right" w:pos="14287"/>
      </w:tabs>
    </w:pPr>
  </w:style>
  <w:style w:type="character" w:customStyle="1" w:styleId="518">
    <w:name w:val="font01"/>
    <w:basedOn w:val="42"/>
    <w:qFormat/>
    <w:uiPriority w:val="0"/>
    <w:rPr>
      <w:rFonts w:hint="eastAsia" w:ascii="宋体" w:hAnsi="宋体" w:eastAsia="宋体" w:cs="宋体"/>
      <w:color w:val="000000"/>
      <w:sz w:val="22"/>
      <w:szCs w:val="22"/>
      <w:u w:val="none"/>
    </w:rPr>
  </w:style>
  <w:style w:type="character" w:customStyle="1" w:styleId="519">
    <w:name w:val="段 Char"/>
    <w:link w:val="52"/>
    <w:qFormat/>
    <w:uiPriority w:val="0"/>
    <w:rPr>
      <w:rFonts w:hint="default" w:ascii="宋体" w:hAnsi="Times New Roman" w:eastAsia="宋体" w:cs="Times New Roman"/>
      <w:sz w:val="21"/>
      <w:lang w:val="en-US" w:eastAsia="zh-CN" w:bidi="ar-SA"/>
    </w:rPr>
  </w:style>
  <w:style w:type="paragraph" w:customStyle="1" w:styleId="520">
    <w:name w:val="Table Text"/>
    <w:basedOn w:val="1"/>
    <w:semiHidden/>
    <w:qFormat/>
    <w:uiPriority w:val="0"/>
    <w:rPr>
      <w:rFonts w:ascii="宋体" w:hAnsi="宋体" w:cs="宋体"/>
      <w:sz w:val="24"/>
      <w:lang w:eastAsia="en-US"/>
    </w:rPr>
  </w:style>
  <w:style w:type="table" w:customStyle="1" w:styleId="521">
    <w:name w:val="Table Normal"/>
    <w:semiHidden/>
    <w:unhideWhenUsed/>
    <w:qFormat/>
    <w:uiPriority w:val="0"/>
    <w:tblPr>
      <w:tblCellMar>
        <w:top w:w="0" w:type="dxa"/>
        <w:left w:w="0" w:type="dxa"/>
        <w:bottom w:w="0" w:type="dxa"/>
        <w:right w:w="0" w:type="dxa"/>
      </w:tblCellMar>
    </w:tblPr>
  </w:style>
  <w:style w:type="character" w:customStyle="1" w:styleId="522">
    <w:name w:val="无"/>
    <w:qFormat/>
    <w:uiPriority w:val="0"/>
  </w:style>
  <w:style w:type="character" w:customStyle="1" w:styleId="523">
    <w:name w:val="Hyperlink.0"/>
    <w:basedOn w:val="522"/>
    <w:qFormat/>
    <w:uiPriority w:val="0"/>
    <w:rPr>
      <w:rFonts w:ascii="宋体" w:hAnsi="宋体" w:eastAsia="宋体" w:cs="宋体"/>
      <w:sz w:val="24"/>
      <w:szCs w:val="24"/>
      <w:lang w:val="en-US"/>
    </w:rPr>
  </w:style>
  <w:style w:type="paragraph" w:customStyle="1" w:styleId="524">
    <w:name w:val="纯文本2"/>
    <w:basedOn w:val="1"/>
    <w:qFormat/>
    <w:uiPriority w:val="0"/>
    <w:rPr>
      <w:rFonts w:ascii="宋体" w:hAnsi="Courier New"/>
      <w:szCs w:val="21"/>
    </w:rPr>
  </w:style>
  <w:style w:type="character" w:customStyle="1" w:styleId="525">
    <w:name w:val="font61"/>
    <w:basedOn w:val="42"/>
    <w:qFormat/>
    <w:uiPriority w:val="0"/>
    <w:rPr>
      <w:rFonts w:hint="eastAsia" w:ascii="宋体" w:hAnsi="宋体" w:eastAsia="宋体" w:cs="宋体"/>
      <w:b/>
      <w:bCs/>
      <w:color w:val="FF0000"/>
      <w:sz w:val="22"/>
      <w:szCs w:val="22"/>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Company>
  <Pages>56</Pages>
  <Words>10873</Words>
  <Characters>11665</Characters>
  <Lines>286</Lines>
  <Paragraphs>80</Paragraphs>
  <TotalTime>71</TotalTime>
  <ScaleCrop>false</ScaleCrop>
  <LinksUpToDate>false</LinksUpToDate>
  <CharactersWithSpaces>11705</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2020-10-27T16:16:00Z</dcterms:created>
  <dc:creator>l</dc:creator>
  <cp:lastModifiedBy>涼城</cp:lastModifiedBy>
  <cp:lastPrinted>2025-03-07T08:08:00Z</cp:lastPrinted>
  <dcterms:modified xsi:type="dcterms:W3CDTF">2025-10-28T08:40:16Z</dcterms:modified>
  <dc:title>竞争性谈判</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CDA65CA415D94F14999962BD21843C5B_13</vt:lpwstr>
  </property>
  <property fmtid="{D5CDD505-2E9C-101B-9397-08002B2CF9AE}" pid="4" name="KSOTemplateDocerSaveRecord">
    <vt:lpwstr>eyJoZGlkIjoiYTk4ZjY0OGI1OWNkZGQzNGU1ODRiNWM2ZGE0NjAwOWQiLCJ1c2VySWQiOiI5MTI5MTA5OTkifQ==</vt:lpwstr>
  </property>
</Properties>
</file>