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JSZC-321000-HCZX-G2024-0095</w:t>
      </w:r>
      <w:r>
        <w:rPr>
          <w:rFonts w:hint="eastAsia" w:ascii="宋体" w:hAnsi="宋体"/>
          <w:b/>
          <w:bCs/>
          <w:color w:val="auto"/>
          <w:sz w:val="36"/>
          <w:highlight w:val="none"/>
        </w:rPr>
        <w:t xml:space="preserve">号</w:t>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spacing w:line="360" w:lineRule="auto"/>
        <w:rPr>
          <w:rFonts w:hint="eastAsia" w:ascii="宋体" w:hAnsi="宋体" w:eastAsia="宋体" w:cs="Times New Roman"/>
          <w:b/>
          <w:bCs/>
          <w:color w:val="auto"/>
          <w:sz w:val="36"/>
          <w:highlight w:val="none"/>
          <w:lang w:eastAsia="zh-CN"/>
        </w:rPr>
      </w:pPr>
      <w:r>
        <w:rPr>
          <w:rFonts w:hint="eastAsia" w:ascii="宋体" w:hAnsi="宋体" w:eastAsia="宋体" w:cs="Times New Roman"/>
          <w:b/>
          <w:bCs/>
          <w:color w:val="auto"/>
          <w:sz w:val="36"/>
          <w:highlight w:val="none"/>
          <w:lang w:eastAsia="zh-CN"/>
        </w:rPr>
      </w:r>
      <w:r/>
    </w:p>
    <w:p>
      <w:pPr>
        <w:jc w:val="center"/>
        <w:spacing w:line="360" w:lineRule="auto"/>
        <w:rPr>
          <w:rFonts w:hint="eastAsia" w:ascii="宋体" w:hAnsi="宋体" w:eastAsia="宋体" w:cs="Times New Roman"/>
          <w:b/>
          <w:bCs/>
          <w:color w:val="auto"/>
          <w:sz w:val="36"/>
          <w:highlight w:val="none"/>
          <w:lang w:eastAsia="zh-CN"/>
        </w:rPr>
      </w:pPr>
      <w:r/>
      <w:bookmarkStart w:id="64" w:name="_GoBack"/>
      <w:r>
        <w:rPr>
          <w:rFonts w:hint="eastAsia" w:ascii="宋体" w:hAnsi="宋体" w:eastAsia="宋体" w:cs="Times New Roman"/>
          <w:b/>
          <w:bCs/>
          <w:color w:val="auto"/>
          <w:sz w:val="36"/>
          <w:highlight w:val="none"/>
          <w:lang w:eastAsia="zh-CN"/>
        </w:rPr>
        <w:t xml:space="preserve">扬州市黑臭河道水质监测及技术服务采购项目</w:t>
      </w:r>
      <w:r/>
    </w:p>
    <w:p>
      <w:pPr>
        <w:jc w:val="center"/>
        <w:spacing w:line="360" w:lineRule="auto"/>
        <w:rPr>
          <w:rFonts w:hint="eastAsia" w:ascii="宋体" w:hAnsi="宋体" w:eastAsia="宋体" w:cs="Times New Roman"/>
          <w:b/>
          <w:bCs/>
          <w:color w:val="auto"/>
          <w:sz w:val="36"/>
          <w:highlight w:val="none"/>
          <w:lang w:eastAsia="zh-CN"/>
        </w:rPr>
      </w:pPr>
      <w:r>
        <w:rPr>
          <w:rFonts w:hint="eastAsia" w:ascii="宋体" w:hAnsi="宋体" w:eastAsia="宋体" w:cs="Times New Roman"/>
          <w:b/>
          <w:bCs/>
          <w:color w:val="auto"/>
          <w:sz w:val="36"/>
          <w:highlight w:val="none"/>
          <w:lang w:eastAsia="zh-CN"/>
        </w:rPr>
        <w:t xml:space="preserve">公开招标文件</w:t>
      </w:r>
      <w:r>
        <w:rPr>
          <w:rFonts w:hint="eastAsia" w:ascii="宋体" w:hAnsi="宋体" w:cs="Times New Roman"/>
          <w:b/>
          <w:bCs/>
          <w:color w:val="auto"/>
          <w:sz w:val="36"/>
          <w:highlight w:val="none"/>
          <w:lang w:eastAsia="zh-CN"/>
        </w:rPr>
        <w:t xml:space="preserve">（</w:t>
      </w:r>
      <w:r>
        <w:rPr>
          <w:rFonts w:hint="eastAsia" w:ascii="宋体" w:hAnsi="宋体" w:cs="Times New Roman"/>
          <w:b/>
          <w:bCs/>
          <w:color w:val="auto"/>
          <w:sz w:val="36"/>
          <w:highlight w:val="none"/>
          <w:lang w:val="en-US" w:eastAsia="zh-CN"/>
        </w:rPr>
        <w:t xml:space="preserve">二次</w:t>
      </w:r>
      <w:r>
        <w:rPr>
          <w:rFonts w:hint="eastAsia" w:ascii="宋体" w:hAnsi="宋体" w:cs="Times New Roman"/>
          <w:b/>
          <w:bCs/>
          <w:color w:val="auto"/>
          <w:sz w:val="36"/>
          <w:highlight w:val="none"/>
          <w:lang w:eastAsia="zh-CN"/>
        </w:rPr>
        <w:t xml:space="preserve">）</w:t>
      </w:r>
      <w:bookmarkEnd w:id="64"/>
      <w:r/>
      <w:r/>
    </w:p>
    <w:p>
      <w:pPr>
        <w:pStyle w:val="766"/>
        <w:rPr>
          <w:color w:val="auto"/>
          <w:highlight w:val="none"/>
        </w:rPr>
      </w:pPr>
      <w:r>
        <w:rPr>
          <w:color w:val="auto"/>
          <w:highlight w:val="none"/>
        </w:rPr>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71490" cy="3817620"/>
                <wp:effectExtent l="0" t="0" r="6350" b="762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571490" cy="381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6" o:title=""/>
              </v:shape>
            </w:pict>
          </mc:Fallback>
        </mc:AlternateContent>
      </w:r>
      <w:r/>
    </w:p>
    <w:p>
      <w:pPr>
        <w:pStyle w:val="937"/>
        <w:rPr>
          <w:color w:val="auto"/>
          <w:highlight w:val="none"/>
        </w:rPr>
      </w:pPr>
      <w:r>
        <w:rPr>
          <w:color w:val="auto"/>
          <w:highlight w:val="none"/>
        </w:rPr>
      </w:r>
      <w:r/>
    </w:p>
    <w:p>
      <w:pPr>
        <w:jc w:val="center"/>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 xml:space="preserve">江苏汇诚投资咨询管理有限公司</w:t>
      </w:r>
      <w:r/>
    </w:p>
    <w:p>
      <w:pPr>
        <w:jc w:val="center"/>
        <w:rPr>
          <w:rFonts w:ascii="宋体" w:hAnsi="宋体"/>
          <w:color w:val="auto"/>
          <w:sz w:val="36"/>
          <w:highlight w:val="none"/>
        </w:rPr>
      </w:pPr>
      <w:r>
        <w:rPr>
          <w:rFonts w:hint="eastAsia" w:ascii="宋体" w:hAnsi="宋体"/>
          <w:b/>
          <w:bCs/>
          <w:color w:val="auto"/>
          <w:sz w:val="36"/>
          <w:highlight w:val="none"/>
        </w:rPr>
        <w:t xml:space="preserve">2024年</w:t>
      </w:r>
      <w:r>
        <w:rPr>
          <w:rFonts w:hint="eastAsia" w:ascii="宋体" w:hAnsi="宋体"/>
          <w:b/>
          <w:bCs/>
          <w:color w:val="auto"/>
          <w:sz w:val="36"/>
          <w:highlight w:val="none"/>
          <w:lang w:val="en-US" w:eastAsia="zh-CN"/>
        </w:rPr>
        <w:t xml:space="preserve">11</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29</w:t>
      </w:r>
      <w:r>
        <w:rPr>
          <w:rFonts w:hint="eastAsia" w:ascii="宋体" w:hAnsi="宋体"/>
          <w:b/>
          <w:bCs/>
          <w:color w:val="auto"/>
          <w:sz w:val="36"/>
          <w:highlight w:val="none"/>
        </w:rPr>
        <w:t xml:space="preserve">日</w:t>
      </w:r>
      <w:r/>
    </w:p>
    <w:p>
      <w:pPr>
        <w:pStyle w:val="937"/>
        <w:rPr>
          <w:color w:val="auto"/>
          <w:highlight w:val="none"/>
        </w:rPr>
      </w:pPr>
      <w:r>
        <w:rPr>
          <w:color w:val="auto"/>
          <w:highlight w:val="none"/>
        </w:rPr>
      </w:r>
      <w:r/>
    </w:p>
    <w:p>
      <w:pPr>
        <w:jc w:val="both"/>
        <w:rPr>
          <w:rFonts w:hint="eastAsia"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highlight w:val="none"/>
        </w:rPr>
      </w:r>
      <w:r/>
    </w:p>
    <w:p>
      <w:pPr>
        <w:jc w:val="both"/>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color w:val="auto"/>
          <w:sz w:val="32"/>
          <w:highlight w:val="none"/>
        </w:rPr>
      </w:pPr>
      <w:r>
        <w:rPr>
          <w:rFonts w:hint="eastAsia"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60"/>
        <w:spacing w:line="480" w:lineRule="auto"/>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lang w:eastAsia="zh-CN"/>
        </w:rPr>
        <w:t xml:space="preserve">扬州市黑臭河道水质监测及技术</w:t>
      </w:r>
      <w:r>
        <w:rPr>
          <w:rFonts w:hint="eastAsia" w:ascii="宋体" w:hAnsi="宋体"/>
          <w:color w:val="auto"/>
          <w:szCs w:val="36"/>
          <w:highlight w:val="none"/>
        </w:rPr>
        <w:t xml:space="preserve">服务采购项目采购公告</w:t>
      </w:r>
      <w:r>
        <w:rPr>
          <w:rFonts w:hint="eastAsia"/>
          <w:color w:val="auto"/>
          <w:highlight w:val="none"/>
        </w:rPr>
        <w:tab/>
      </w:r>
      <w:r>
        <w:rPr>
          <w:rFonts w:hint="eastAsia"/>
          <w:color w:val="auto"/>
          <w:highlight w:val="none"/>
        </w:rPr>
        <w:t xml:space="preserve">3</w:t>
      </w:r>
      <w:r/>
    </w:p>
    <w:p>
      <w:pPr>
        <w:pStyle w:val="960"/>
        <w:spacing w:line="480" w:lineRule="auto"/>
        <w:tabs>
          <w:tab w:val="right" w:pos="8296" w:leader="dot"/>
        </w:tabs>
        <w:rPr>
          <w:rFonts w:hint="eastAsia"/>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60"/>
        <w:spacing w:line="480" w:lineRule="auto"/>
        <w:tabs>
          <w:tab w:val="right" w:pos="8296" w:leader="dot"/>
        </w:tabs>
        <w:rPr>
          <w:rFonts w:hint="eastAsia"/>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60"/>
        <w:spacing w:line="480" w:lineRule="auto"/>
        <w:tabs>
          <w:tab w:val="right" w:pos="8296" w:leader="dot"/>
        </w:tabs>
        <w:rPr>
          <w:rFonts w:hint="eastAsia"/>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23</w:t>
      </w:r>
      <w:r/>
    </w:p>
    <w:p>
      <w:pPr>
        <w:pStyle w:val="960"/>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26</w:t>
      </w:r>
      <w:r/>
    </w:p>
    <w:p>
      <w:pPr>
        <w:pStyle w:val="960"/>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30</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34"/>
        <w:numPr>
          <w:ilvl w:val="0"/>
          <w:numId w:val="1"/>
        </w:numPr>
        <w:jc w:val="center"/>
        <w:spacing w:line="240" w:lineRule="auto"/>
        <w:rPr>
          <w:rFonts w:ascii="宋体" w:hAnsi="宋体"/>
          <w:color w:val="auto"/>
          <w:szCs w:val="36"/>
          <w:highlight w:val="none"/>
        </w:rPr>
      </w:pPr>
      <w:r/>
      <w:bookmarkStart w:id="0" w:name="_Toc55204177"/>
      <w:r>
        <w:rPr>
          <w:rFonts w:hint="eastAsia" w:ascii="宋体" w:hAnsi="宋体"/>
          <w:color w:val="auto"/>
          <w:szCs w:val="36"/>
          <w:highlight w:val="none"/>
          <w:lang w:eastAsia="zh-CN"/>
        </w:rPr>
        <w:t xml:space="preserve">扬州市黑臭河道水质监测及技术</w:t>
      </w:r>
      <w:r>
        <w:rPr>
          <w:rFonts w:hint="eastAsia" w:ascii="宋体" w:hAnsi="宋体"/>
          <w:color w:val="auto"/>
          <w:szCs w:val="36"/>
          <w:highlight w:val="none"/>
        </w:rPr>
        <w:t xml:space="preserve">服务采购项目采购公告</w:t>
      </w:r>
      <w:r>
        <w:rPr>
          <w:rFonts w:hint="eastAsia" w:ascii="宋体" w:hAnsi="宋体"/>
          <w:color w:val="auto"/>
          <w:szCs w:val="36"/>
          <w:highlight w:val="none"/>
        </w:rPr>
        <w:t xml:space="preserve">（</w:t>
      </w:r>
      <w:r>
        <w:rPr>
          <w:rFonts w:hint="eastAsia" w:ascii="宋体" w:hAnsi="宋体"/>
          <w:color w:val="auto"/>
          <w:szCs w:val="36"/>
          <w:highlight w:val="none"/>
        </w:rPr>
        <w:t xml:space="preserve">二次</w:t>
      </w:r>
      <w:r>
        <w:rPr>
          <w:rFonts w:hint="eastAsia" w:ascii="宋体" w:hAnsi="宋体"/>
          <w:color w:val="auto"/>
          <w:szCs w:val="36"/>
          <w:highlight w:val="none"/>
        </w:rPr>
        <w:t xml:space="preserve">）</w:t>
      </w:r>
      <w:bookmarkEnd w:id="0"/>
      <w:r/>
      <w:r/>
    </w:p>
    <w:p>
      <w:pPr>
        <w:ind w:firstLine="420"/>
        <w:keepLines w:val="0"/>
        <w:keepNext w:val="0"/>
        <w:pageBreakBefore w:val="0"/>
        <w:spacing w:line="440" w:lineRule="exact"/>
        <w:widowControl w:val="off"/>
        <w:tabs>
          <w:tab w:val="left" w:pos="26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扬州市给排水和燃气热力管理中心</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lang w:eastAsia="zh-CN"/>
        </w:rPr>
        <w:t xml:space="preserve">江苏汇诚投资咨询管理有限公司</w:t>
      </w:r>
      <w:r>
        <w:rPr>
          <w:rFonts w:hint="eastAsia" w:ascii="宋体" w:hAnsi="宋体" w:eastAsia="宋体" w:cs="宋体"/>
          <w:color w:val="auto"/>
          <w:sz w:val="21"/>
          <w:szCs w:val="21"/>
          <w:highlight w:val="none"/>
        </w:rPr>
        <w:t xml:space="preserve">就</w:t>
      </w:r>
      <w:r>
        <w:rPr>
          <w:rFonts w:hint="eastAsia" w:ascii="宋体" w:hAnsi="宋体" w:eastAsia="宋体" w:cs="宋体"/>
          <w:color w:val="auto"/>
          <w:sz w:val="21"/>
          <w:szCs w:val="21"/>
          <w:highlight w:val="none"/>
          <w:lang w:eastAsia="zh-CN"/>
        </w:rPr>
        <w:t xml:space="preserve">扬州市黑臭河道水质监测及技术</w:t>
      </w:r>
      <w:r>
        <w:rPr>
          <w:rFonts w:hint="eastAsia" w:ascii="宋体" w:hAnsi="宋体" w:eastAsia="宋体" w:cs="宋体"/>
          <w:color w:val="auto"/>
          <w:sz w:val="21"/>
          <w:szCs w:val="21"/>
          <w:highlight w:val="none"/>
        </w:rPr>
        <w:t xml:space="preserve">服务采购项目进行公开招标采购，欢迎符合条件的供应商投标。</w:t>
      </w:r>
      <w:r/>
    </w:p>
    <w:p>
      <w:pPr>
        <w:ind w:firstLine="422"/>
        <w:keepLines w:val="0"/>
        <w:keepNext w:val="0"/>
        <w:pageBreakBefore w:val="0"/>
        <w:spacing w:line="440" w:lineRule="exact"/>
        <w:widowControl w:val="off"/>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对扬州市区（含江都区）已整治完成的</w:t>
      </w:r>
      <w:r>
        <w:rPr>
          <w:rFonts w:hint="eastAsia" w:ascii="宋体" w:hAnsi="宋体" w:eastAsia="宋体" w:cs="宋体"/>
          <w:color w:val="auto"/>
          <w:sz w:val="21"/>
          <w:szCs w:val="21"/>
          <w:highlight w:val="none"/>
        </w:rPr>
        <w:t xml:space="preserve">共70个黑臭水体及3个清单外河道（按照1月1次检测频率）进行4项指标（溶解氧、氨氮、透明度、氧化还原电位）水质检测；对仪征、高邮、宝应等县（市）已完成整治的共27个黑臭水体（按照每季度1次的检测频率）进行4项指标（溶解氧、氨氮、透明度、氧化还原电位）水质检测；根据采购人指令对突发情况下河道水质进行应急检测或按指令开展机动抽检，全年按4次（每次10个黑臭水体）4项指标（溶解氧、氨氮、透明度、氧化还原电位）检测考虑；根据采购人安排对各黑臭河道整治工作进行技术指导，配合做好黑臭水体巡查、监督和科研等技术保障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lang w:eastAsia="zh-CN"/>
        </w:rPr>
        <w:t xml:space="preserve">扬州市黑臭河道水质监测及技术</w:t>
      </w:r>
      <w:r>
        <w:rPr>
          <w:rFonts w:hint="eastAsia" w:ascii="宋体" w:hAnsi="宋体" w:eastAsia="宋体" w:cs="宋体"/>
          <w:color w:val="auto"/>
          <w:sz w:val="21"/>
          <w:szCs w:val="21"/>
          <w:highlight w:val="none"/>
          <w:u w:val="single"/>
        </w:rPr>
        <w:t xml:space="preserve">服务采购项目</w:t>
      </w:r>
      <w:r>
        <w:rPr>
          <w:rFonts w:hint="eastAsia" w:ascii="宋体" w:hAnsi="宋体" w:eastAsia="宋体" w:cs="宋体"/>
          <w:color w:val="auto"/>
          <w:sz w:val="21"/>
          <w:szCs w:val="21"/>
          <w:highlight w:val="none"/>
        </w:rPr>
        <w:t xml:space="preserve">的潜在投标人可在</w:t>
      </w:r>
      <w:r>
        <w:rPr>
          <w:rFonts w:hint="eastAsia" w:ascii="宋体" w:hAnsi="宋体" w:eastAsia="宋体" w:cs="宋体"/>
          <w:color w:val="auto"/>
          <w:sz w:val="21"/>
          <w:szCs w:val="21"/>
          <w:highlight w:val="none"/>
          <w:u w:val="single"/>
        </w:rPr>
        <w:t xml:space="preserve">“扬州市政府采购网”、“江苏省政府采购网”</w:t>
      </w:r>
      <w:r>
        <w:rPr>
          <w:rFonts w:hint="eastAsia" w:ascii="宋体" w:hAnsi="宋体" w:eastAsia="宋体" w:cs="宋体"/>
          <w:color w:val="auto"/>
          <w:sz w:val="21"/>
          <w:szCs w:val="21"/>
          <w:highlight w:val="none"/>
        </w:rPr>
        <w:t xml:space="preserve">自行免费下载招标文件，并于</w:t>
      </w:r>
      <w:r>
        <w:rPr>
          <w:rFonts w:hint="eastAsia" w:ascii="宋体" w:hAnsi="宋体" w:eastAsia="宋体" w:cs="宋体"/>
          <w:bCs/>
          <w:color w:val="auto"/>
          <w:sz w:val="21"/>
          <w:szCs w:val="21"/>
          <w:highlight w:val="none"/>
          <w:u w:val="single"/>
        </w:rPr>
        <w:t xml:space="preserve">2024年</w:t>
      </w:r>
      <w:r>
        <w:rPr>
          <w:rFonts w:hint="eastAsia" w:ascii="宋体" w:hAnsi="宋体" w:cs="宋体"/>
          <w:bCs/>
          <w:color w:val="auto"/>
          <w:sz w:val="21"/>
          <w:szCs w:val="21"/>
          <w:highlight w:val="none"/>
          <w:u w:val="single"/>
          <w:lang w:val="en-US" w:eastAsia="zh-CN"/>
        </w:rPr>
        <w:t xml:space="preserve">12</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20</w:t>
      </w:r>
      <w:r>
        <w:rPr>
          <w:rFonts w:hint="eastAsia" w:ascii="宋体" w:hAnsi="宋体" w:eastAsia="宋体" w:cs="宋体"/>
          <w:bCs/>
          <w:color w:val="auto"/>
          <w:sz w:val="21"/>
          <w:szCs w:val="21"/>
          <w:highlight w:val="none"/>
          <w:u w:val="single"/>
        </w:rPr>
        <w:t xml:space="preserve">日上午 9:30</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tabs>
          <w:tab w:val="left" w:pos="266" w:leader="none"/>
        </w:tabs>
        <w:rPr>
          <w:rFonts w:hint="eastAsia" w:ascii="宋体" w:hAnsi="宋体" w:eastAsia="宋体" w:cs="宋体"/>
          <w:b/>
          <w:bCs/>
          <w:color w:val="auto"/>
          <w:sz w:val="21"/>
          <w:szCs w:val="21"/>
          <w:highlight w:val="none"/>
        </w:rPr>
      </w:pPr>
      <w:r/>
      <w:bookmarkStart w:id="1" w:name="_Toc35393790"/>
      <w:r/>
      <w:bookmarkStart w:id="2" w:name="_Toc35393621"/>
      <w:r/>
      <w:bookmarkStart w:id="3" w:name="_Toc38985263"/>
      <w:r/>
      <w:bookmarkStart w:id="4" w:name="_Toc28359079"/>
      <w:r/>
      <w:bookmarkStart w:id="5" w:name="_Toc28359002"/>
      <w:r/>
      <w:bookmarkStart w:id="6" w:name="_Hlk24379207"/>
      <w:r>
        <w:rPr>
          <w:rFonts w:hint="eastAsia" w:ascii="宋体" w:hAnsi="宋体" w:eastAsia="宋体" w:cs="宋体"/>
          <w:b/>
          <w:bCs/>
          <w:color w:val="auto"/>
          <w:sz w:val="21"/>
          <w:szCs w:val="21"/>
          <w:highlight w:val="none"/>
        </w:rPr>
        <w:t xml:space="preserve">一、项目基本情况</w:t>
      </w:r>
      <w:bookmarkEnd w:id="1"/>
      <w:r/>
      <w:bookmarkEnd w:id="2"/>
      <w:r/>
      <w:bookmarkEnd w:id="3"/>
      <w:r/>
      <w:bookmarkEnd w:id="4"/>
      <w:r/>
      <w:bookmarkEnd w:id="5"/>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JSZC-321000-HCZX-G2024-0095</w:t>
      </w:r>
      <w:r>
        <w:rPr>
          <w:rFonts w:hint="eastAsia" w:ascii="宋体" w:hAnsi="宋体" w:eastAsia="宋体" w:cs="宋体"/>
          <w:color w:val="auto"/>
          <w:sz w:val="21"/>
          <w:szCs w:val="21"/>
          <w:highlight w:val="none"/>
        </w:rPr>
        <w:t xml:space="preserve">号</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扬州市黑臭河道水质监测及技术</w:t>
      </w:r>
      <w:r>
        <w:rPr>
          <w:rFonts w:hint="eastAsia" w:ascii="宋体" w:hAnsi="宋体" w:eastAsia="宋体" w:cs="宋体"/>
          <w:color w:val="auto"/>
          <w:sz w:val="21"/>
          <w:szCs w:val="21"/>
          <w:highlight w:val="none"/>
        </w:rPr>
        <w:t xml:space="preserve">服务采购项目</w:t>
      </w:r>
      <w:bookmarkEnd w:id="6"/>
      <w:r/>
      <w:r/>
    </w:p>
    <w:p>
      <w:pPr>
        <w:ind w:firstLine="420"/>
        <w:keepLines w:val="0"/>
        <w:keepNext w:val="0"/>
        <w:pageBreakBefore w:val="0"/>
        <w:spacing w:line="440" w:lineRule="exact"/>
        <w:rPr>
          <w:rFonts w:hint="eastAsia" w:ascii="宋体" w:hAnsi="宋体" w:eastAsia="宋体" w:cs="宋体"/>
          <w:color w:val="auto"/>
          <w:sz w:val="21"/>
          <w:szCs w:val="21"/>
          <w:highlight w:val="none"/>
          <w:lang w:val="en-US" w:eastAsia="zh-CN"/>
        </w:rPr>
      </w:pPr>
      <w:r/>
      <w:bookmarkStart w:id="7" w:name="_Toc28359003"/>
      <w:r/>
      <w:bookmarkStart w:id="8" w:name="_Toc38985264"/>
      <w:r/>
      <w:bookmarkStart w:id="9" w:name="_Toc35393791"/>
      <w:r/>
      <w:bookmarkStart w:id="10" w:name="_Toc28359080"/>
      <w:r/>
      <w:bookmarkStart w:id="11" w:name="_Toc35393622"/>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120万元</w:t>
      </w:r>
      <w:r/>
    </w:p>
    <w:p>
      <w:pPr>
        <w:ind w:firstLine="42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4.本项目设置最高限价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最高限价同预算金额，报价超过最高限价的为无效投标文件。</w:t>
      </w:r>
      <w:r/>
    </w:p>
    <w:p>
      <w:pPr>
        <w:ind w:firstLine="420"/>
        <w:keepLines w:val="0"/>
        <w:keepNext w:val="0"/>
        <w:pageBreakBefore w:val="0"/>
        <w:spacing w:line="440" w:lineRule="exact"/>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rPr>
        <w:t xml:space="preserve">5.采购需求：具体见招标文件第四章</w:t>
      </w:r>
      <w:r/>
    </w:p>
    <w:p>
      <w:pPr>
        <w:ind w:firstLine="420"/>
        <w:keepLines w:val="0"/>
        <w:keepNext w:val="0"/>
        <w:pageBreakBefore w:val="0"/>
        <w:spacing w:line="440" w:lineRule="exact"/>
        <w:rPr>
          <w:rFonts w:hint="eastAsia" w:ascii="宋体" w:hAnsi="宋体" w:eastAsia="宋体" w:cs="宋体"/>
          <w:color w:val="auto"/>
          <w:szCs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6.合同履行期限：本项目服务期为三年，自2024年12月至2027年11月。合同一年一签，考核合格且合同条件不变的情况下，采购人与中标单位可签订下一年合同。</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rPr>
        <w:t xml:space="preserve">联合体投标</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rPr>
        <w:t xml:space="preserve">进口产品投标</w:t>
      </w:r>
      <w:r/>
    </w:p>
    <w:p>
      <w:pPr>
        <w:keepLines w:val="0"/>
        <w:keepNext w:val="0"/>
        <w:pageBreakBefore w:val="0"/>
        <w:spacing w:line="44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7"/>
      <w:r/>
      <w:bookmarkEnd w:id="8"/>
      <w:r/>
      <w:bookmarkEnd w:id="9"/>
      <w:r/>
      <w:bookmarkEnd w:id="10"/>
      <w:r/>
      <w:bookmarkEnd w:id="11"/>
      <w:r/>
      <w:r/>
    </w:p>
    <w:p>
      <w:pPr>
        <w:ind w:firstLine="420"/>
        <w:keepLines w:val="0"/>
        <w:keepNext w:val="0"/>
        <w:pageBreakBefore w:val="0"/>
        <w:spacing w:line="440" w:lineRule="exact"/>
        <w:rPr>
          <w:rFonts w:hint="eastAsia" w:ascii="宋体" w:hAnsi="宋体" w:eastAsia="宋体" w:cs="宋体"/>
          <w:color w:val="auto"/>
          <w:sz w:val="21"/>
          <w:szCs w:val="21"/>
          <w:highlight w:val="none"/>
        </w:rPr>
      </w:pPr>
      <w:r/>
      <w:bookmarkStart w:id="12" w:name="_Toc28359081"/>
      <w:r/>
      <w:bookmarkStart w:id="13" w:name="_Toc28359004"/>
      <w:r/>
      <w:bookmarkStart w:id="14" w:name="_Toc38985265"/>
      <w:r/>
      <w:bookmarkStart w:id="15" w:name="_Toc35393792"/>
      <w:r/>
      <w:bookmarkStart w:id="16" w:name="_Toc35393623"/>
      <w:r>
        <w:rPr>
          <w:rFonts w:hint="eastAsia" w:ascii="宋体" w:hAnsi="宋体" w:eastAsia="宋体" w:cs="宋体"/>
          <w:color w:val="auto"/>
          <w:sz w:val="21"/>
          <w:szCs w:val="21"/>
          <w:highlight w:val="none"/>
        </w:rPr>
        <w:t xml:space="preserve">1.满足《中华人民共和国政府采购法》第二十二条规定： </w:t>
      </w:r>
      <w:r/>
    </w:p>
    <w:p>
      <w:pPr>
        <w:ind w:firstLine="420"/>
        <w:keepLines w:val="0"/>
        <w:keepNext w:val="0"/>
        <w:pageBreakBefore w:val="0"/>
        <w:spacing w:line="440" w:lineRule="exact"/>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440" w:lineRule="exact"/>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依法缴纳税收和社会保障资金的相关材料</w:t>
      </w:r>
      <w:r>
        <w:rPr>
          <w:rFonts w:hint="eastAsia" w:ascii="宋体" w:hAnsi="宋体" w:eastAsia="宋体" w:cs="宋体"/>
          <w:b/>
          <w:bCs/>
          <w:i/>
          <w:iCs/>
          <w:color w:val="auto"/>
          <w:sz w:val="21"/>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440" w:lineRule="exact"/>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上一年度的财务状况报告</w:t>
      </w:r>
      <w:r>
        <w:rPr>
          <w:rFonts w:hint="eastAsia" w:ascii="宋体" w:hAnsi="宋体" w:eastAsia="宋体" w:cs="宋体"/>
          <w:b/>
          <w:bCs/>
          <w:i/>
          <w:iCs/>
          <w:color w:val="auto"/>
          <w:sz w:val="21"/>
          <w:szCs w:val="21"/>
          <w:highlight w:val="none"/>
          <w:u w:val="single"/>
        </w:rPr>
        <w:t xml:space="preserve">（成立不满一年不需提供）</w:t>
      </w:r>
      <w:r/>
    </w:p>
    <w:p>
      <w:pPr>
        <w:ind w:firstLine="420"/>
        <w:keepLines w:val="0"/>
        <w:keepNext w:val="0"/>
        <w:pageBreakBefore w:val="0"/>
        <w:spacing w:line="440" w:lineRule="exact"/>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具备履行合同所必需的设备和专业技术能力的证明材料</w:t>
      </w:r>
      <w:r/>
    </w:p>
    <w:p>
      <w:pPr>
        <w:ind w:firstLine="420"/>
        <w:keepLines w:val="0"/>
        <w:keepNext w:val="0"/>
        <w:pageBreakBefore w:val="0"/>
        <w:spacing w:line="440" w:lineRule="exact"/>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参加本次政府采购活动前3年内在经营活动中没有重大违法记录的书面声明</w:t>
      </w:r>
      <w:r/>
    </w:p>
    <w:p>
      <w:pPr>
        <w:ind w:firstLine="420"/>
        <w:keepLines w:val="0"/>
        <w:keepNext w:val="0"/>
        <w:pageBreakBefore w:val="0"/>
        <w:spacing w:line="440" w:lineRule="exact"/>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auto"/>
          <w:sz w:val="21"/>
          <w:szCs w:val="21"/>
          <w:highlight w:val="none"/>
          <w:u w:val="single"/>
        </w:rPr>
        <w:t xml:space="preserve">（投标文件中无需提供证明材料）</w:t>
      </w:r>
      <w:r/>
    </w:p>
    <w:p>
      <w:pPr>
        <w:ind w:firstLine="420"/>
        <w:keepLines w:val="0"/>
        <w:keepNext w:val="0"/>
        <w:pageBreakBefore w:val="0"/>
        <w:spacing w:line="440" w:lineRule="exact"/>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1.7供应商信用承诺函</w:t>
      </w:r>
      <w:r/>
    </w:p>
    <w:p>
      <w:pPr>
        <w:numPr>
          <w:ilvl w:val="0"/>
          <w:numId w:val="2"/>
        </w:numPr>
        <w:ind w:firstLine="420"/>
        <w:keepLines w:val="0"/>
        <w:keepNext w:val="0"/>
        <w:pageBreakBefore w:val="0"/>
        <w:spacing w:line="440" w:lineRule="exact"/>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i/>
          <w:iCs/>
          <w:color w:val="auto"/>
          <w:sz w:val="21"/>
          <w:szCs w:val="21"/>
          <w:highlight w:val="none"/>
          <w:u w:val="single"/>
        </w:rPr>
        <w:t xml:space="preserve">根据《政府采购促进中小企业发展管理办法》，本项目专门面向中小企业采购。投标人参加投标时须提供《中小企业声明函》，《中小企业声明函》不符合要求或未提供的，投标文件无效。</w:t>
      </w:r>
      <w:r/>
    </w:p>
    <w:p>
      <w:pPr>
        <w:numPr>
          <w:ilvl w:val="0"/>
          <w:numId w:val="2"/>
        </w:numPr>
        <w:ind w:firstLine="420"/>
        <w:keepLines w:val="0"/>
        <w:keepNext w:val="0"/>
        <w:pageBreakBefore w:val="0"/>
        <w:spacing w:line="440" w:lineRule="exact"/>
        <w:rPr>
          <w:rFonts w:hint="eastAsia" w:ascii="宋体" w:hAnsi="宋体" w:eastAsia="宋体" w:cs="宋体"/>
          <w:b/>
          <w:i/>
          <w:color w:val="auto"/>
          <w:sz w:val="21"/>
          <w:szCs w:val="21"/>
          <w:highlight w:val="none"/>
          <w:u w:val="single"/>
        </w:rPr>
      </w:pP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i/>
          <w:color w:val="auto"/>
          <w:sz w:val="21"/>
          <w:szCs w:val="21"/>
          <w:highlight w:val="none"/>
          <w:u w:val="single"/>
          <w:lang w:bidi="ar"/>
        </w:rPr>
        <w:t xml:space="preserve">投标人具有有效期内的中国国家认证认可监督管理委员会或省级质量技术监督局认证的检验检测机构资质认定证书(CMA)，证书附表中含氧化还原电位、透明度、氨氮、溶解氧检测项目</w:t>
      </w:r>
      <w:r>
        <w:rPr>
          <w:rFonts w:hint="eastAsia" w:ascii="宋体" w:hAnsi="宋体" w:eastAsia="宋体" w:cs="宋体"/>
          <w:b/>
          <w:i/>
          <w:color w:val="auto"/>
          <w:sz w:val="21"/>
          <w:szCs w:val="21"/>
          <w:highlight w:val="none"/>
          <w:u w:val="single"/>
          <w:lang w:bidi="ar"/>
        </w:rPr>
        <w:t xml:space="preserve">(原件扫描上传）</w:t>
      </w:r>
      <w:r>
        <w:rPr>
          <w:rFonts w:hint="eastAsia" w:ascii="宋体" w:hAnsi="宋体" w:cs="宋体"/>
          <w:b w:val="0"/>
          <w:bCs/>
          <w:i/>
          <w:color w:val="auto"/>
          <w:sz w:val="21"/>
          <w:szCs w:val="21"/>
          <w:highlight w:val="none"/>
          <w:u w:val="single"/>
          <w:lang w:eastAsia="zh-CN" w:bidi="ar"/>
        </w:rPr>
        <w:t xml:space="preserve">。</w:t>
      </w:r>
      <w:r/>
    </w:p>
    <w:p>
      <w:pPr>
        <w:keepLines w:val="0"/>
        <w:keepNext w:val="0"/>
        <w:pageBreakBefore w:val="0"/>
        <w:spacing w:line="44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2"/>
      <w:r/>
      <w:bookmarkEnd w:id="13"/>
      <w:r/>
      <w:bookmarkEnd w:id="14"/>
      <w:r/>
      <w:bookmarkEnd w:id="15"/>
      <w:r/>
      <w:bookmarkEnd w:id="16"/>
      <w:r/>
      <w:r/>
    </w:p>
    <w:p>
      <w:pPr>
        <w:ind w:firstLine="540"/>
        <w:keepLines w:val="0"/>
        <w:keepNext w:val="0"/>
        <w:pageBreakBefore w:val="0"/>
        <w:spacing w:line="440" w:lineRule="exact"/>
        <w:rPr>
          <w:rFonts w:hint="eastAsia" w:ascii="宋体" w:hAnsi="宋体" w:eastAsia="宋体" w:cs="宋体"/>
          <w:color w:val="auto"/>
          <w:sz w:val="21"/>
          <w:szCs w:val="21"/>
          <w:highlight w:val="none"/>
        </w:rPr>
      </w:pPr>
      <w:r/>
      <w:bookmarkStart w:id="17" w:name="_Toc35393624"/>
      <w:r/>
      <w:bookmarkStart w:id="18" w:name="_Toc28359005"/>
      <w:r/>
      <w:bookmarkStart w:id="19" w:name="_Toc35393793"/>
      <w:r/>
      <w:bookmarkStart w:id="20" w:name="_Toc28359082"/>
      <w:r/>
      <w:bookmarkStart w:id="21" w:name="_Toc38985266"/>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bookmarkEnd w:id="17"/>
      <w:r/>
      <w:bookmarkEnd w:id="18"/>
      <w:r/>
      <w:bookmarkEnd w:id="19"/>
      <w:r/>
      <w:bookmarkEnd w:id="20"/>
      <w:r/>
      <w:bookmarkEnd w:id="21"/>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bookmarkStart w:id="22" w:name="_Toc35393625"/>
      <w:r/>
      <w:bookmarkStart w:id="23" w:name="_Toc38985267"/>
      <w:r/>
      <w:bookmarkStart w:id="24" w:name="_Toc28359084"/>
      <w:r/>
      <w:bookmarkStart w:id="25" w:name="_Toc28359007"/>
      <w:r/>
      <w:bookmarkStart w:id="26" w:name="_Toc35393794"/>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http://zfcg.yangzhou.gov.cn/zfcg/xzzx/202309/4d7de1f7865f4a2894fc22bc452f94d8.shtml。</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     </w:t>
      </w:r>
      <w:r/>
    </w:p>
    <w:p>
      <w:pPr>
        <w:ind w:firstLine="54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2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bCs/>
          <w:color w:val="auto"/>
          <w:sz w:val="21"/>
          <w:szCs w:val="21"/>
          <w:highlight w:val="none"/>
          <w:u w:val="single"/>
        </w:rPr>
        <w:t xml:space="preserve">2024年1</w:t>
      </w:r>
      <w:r>
        <w:rPr>
          <w:rFonts w:hint="eastAsia" w:ascii="宋体" w:hAnsi="宋体" w:cs="宋体"/>
          <w:bCs/>
          <w:color w:val="auto"/>
          <w:sz w:val="21"/>
          <w:szCs w:val="21"/>
          <w:highlight w:val="none"/>
          <w:u w:val="single"/>
          <w:lang w:val="en-US" w:eastAsia="zh-CN"/>
        </w:rPr>
        <w:t xml:space="preserve">2</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20</w:t>
      </w:r>
      <w:r>
        <w:rPr>
          <w:rFonts w:hint="eastAsia" w:ascii="宋体" w:hAnsi="宋体" w:eastAsia="宋体" w:cs="宋体"/>
          <w:bCs/>
          <w:color w:val="auto"/>
          <w:sz w:val="21"/>
          <w:szCs w:val="21"/>
          <w:highlight w:val="none"/>
          <w:u w:val="single"/>
        </w:rPr>
        <w:t xml:space="preserve">日 上午9:30</w:t>
      </w:r>
      <w:r>
        <w:rPr>
          <w:rFonts w:hint="eastAsia" w:ascii="宋体" w:hAnsi="宋体" w:eastAsia="宋体" w:cs="宋体"/>
          <w:bCs/>
          <w:color w:val="auto"/>
          <w:sz w:val="21"/>
          <w:szCs w:val="21"/>
          <w:highlight w:val="none"/>
        </w:rPr>
        <w:t xml:space="preserve">（北京时间）</w:t>
      </w:r>
      <w:r/>
    </w:p>
    <w:p>
      <w:pPr>
        <w:ind w:firstLine="42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2.开标地点：</w:t>
      </w:r>
      <w:r>
        <w:rPr>
          <w:rFonts w:hint="eastAsia" w:ascii="宋体" w:hAnsi="宋体" w:eastAsia="宋体" w:cs="宋体"/>
          <w:b/>
          <w:color w:val="auto"/>
          <w:sz w:val="21"/>
          <w:szCs w:val="21"/>
          <w:highlight w:val="none"/>
        </w:rPr>
        <w:t xml:space="preserve">“苏采云”系统（网址：</w:t>
      </w: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HYPERLINK "http://jszfcg.jsczt.cn/）\“开标大厅\”" </w:instrText>
      </w:r>
      <w:r>
        <w:rPr>
          <w:rFonts w:hint="eastAsia" w:ascii="宋体" w:hAnsi="宋体" w:eastAsia="宋体" w:cs="宋体"/>
          <w:b/>
          <w:color w:val="auto"/>
          <w:sz w:val="21"/>
          <w:szCs w:val="21"/>
          <w:highlight w:val="none"/>
        </w:rPr>
        <w:fldChar w:fldCharType="separate"/>
      </w:r>
      <w:r>
        <w:rPr>
          <w:rFonts w:hint="eastAsia" w:ascii="宋体" w:hAnsi="宋体" w:eastAsia="宋体" w:cs="宋体"/>
          <w:b/>
          <w:color w:val="auto"/>
          <w:sz w:val="21"/>
          <w:szCs w:val="21"/>
          <w:highlight w:val="none"/>
        </w:rPr>
        <w:t xml:space="preserve">http://jszfcg.jsczt.cn/）“开标大厅”</w:t>
      </w:r>
      <w:r>
        <w:rPr>
          <w:rFonts w:hint="eastAsia" w:ascii="宋体" w:hAnsi="宋体" w:eastAsia="宋体" w:cs="宋体"/>
          <w:b/>
          <w:color w:val="auto"/>
          <w:sz w:val="21"/>
          <w:szCs w:val="21"/>
          <w:highlight w:val="none"/>
        </w:rPr>
        <w:fldChar w:fldCharType="end"/>
      </w:r>
      <w:bookmarkEnd w:id="22"/>
      <w:r/>
      <w:bookmarkEnd w:id="23"/>
      <w:r/>
      <w:bookmarkEnd w:id="24"/>
      <w:r/>
      <w:bookmarkEnd w:id="25"/>
      <w:r/>
      <w:bookmarkEnd w:id="26"/>
      <w:r/>
      <w:r/>
    </w:p>
    <w:p>
      <w:pPr>
        <w:keepLines w:val="0"/>
        <w:keepNext w:val="0"/>
        <w:pageBreakBefore w:val="0"/>
        <w:spacing w:line="440" w:lineRule="exact"/>
        <w:tabs>
          <w:tab w:val="left" w:pos="266" w:leader="none"/>
        </w:tabs>
        <w:rPr>
          <w:rFonts w:hint="eastAsia" w:ascii="宋体" w:hAnsi="宋体" w:eastAsia="宋体" w:cs="宋体"/>
          <w:b/>
          <w:bCs/>
          <w:color w:val="auto"/>
          <w:sz w:val="21"/>
          <w:szCs w:val="21"/>
          <w:highlight w:val="none"/>
        </w:rPr>
      </w:pPr>
      <w:r/>
      <w:bookmarkStart w:id="27" w:name="_Toc35393626"/>
      <w:r/>
      <w:bookmarkStart w:id="28" w:name="_Toc38985268"/>
      <w:r/>
      <w:bookmarkStart w:id="29" w:name="_Toc35393795"/>
      <w:r>
        <w:rPr>
          <w:rFonts w:hint="eastAsia" w:ascii="宋体" w:hAnsi="宋体" w:eastAsia="宋体" w:cs="宋体"/>
          <w:b/>
          <w:bCs/>
          <w:color w:val="auto"/>
          <w:sz w:val="21"/>
          <w:szCs w:val="21"/>
          <w:highlight w:val="none"/>
        </w:rPr>
        <w:t xml:space="preserve">五、公告期限</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招标公告及招标文件公告期限为自本公告发布之日起5个工作日。</w:t>
      </w:r>
      <w:r/>
    </w:p>
    <w:p>
      <w:pPr>
        <w:keepLines w:val="0"/>
        <w:keepNext w:val="0"/>
        <w:pageBreakBefore w:val="0"/>
        <w:spacing w:line="44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7"/>
      <w:r/>
      <w:bookmarkEnd w:id="28"/>
      <w:r/>
      <w:bookmarkEnd w:id="29"/>
      <w:r/>
      <w:r/>
    </w:p>
    <w:p>
      <w:pPr>
        <w:ind w:firstLine="422"/>
        <w:keepLines w:val="0"/>
        <w:keepNext w:val="0"/>
        <w:pageBreakBefore w:val="0"/>
        <w:spacing w:line="440" w:lineRule="exact"/>
        <w:rPr>
          <w:rFonts w:hint="eastAsia" w:ascii="宋体" w:hAnsi="宋体" w:eastAsia="宋体" w:cs="宋体"/>
          <w:b/>
          <w:bCs/>
          <w:color w:val="auto"/>
          <w:sz w:val="21"/>
          <w:szCs w:val="21"/>
          <w:highlight w:val="none"/>
        </w:rPr>
      </w:pPr>
      <w:r/>
      <w:bookmarkStart w:id="30" w:name="_Toc28359008"/>
      <w:r/>
      <w:bookmarkStart w:id="31" w:name="_Toc35393796"/>
      <w:r/>
      <w:bookmarkStart w:id="32" w:name="_Toc35393627"/>
      <w:r/>
      <w:bookmarkStart w:id="33" w:name="_Toc28359085"/>
      <w:r/>
      <w:bookmarkStart w:id="34" w:name="_Toc38985269"/>
      <w:r>
        <w:rPr>
          <w:rFonts w:hint="eastAsia" w:ascii="宋体" w:hAnsi="宋体" w:eastAsia="宋体" w:cs="宋体"/>
          <w:b/>
          <w:bCs/>
          <w:color w:val="auto"/>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keepLines w:val="0"/>
        <w:keepNext w:val="0"/>
        <w:pageBreakBefore w:val="0"/>
        <w:spacing w:line="440" w:lineRule="exact"/>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本次招标不收取投标保证金。</w:t>
      </w:r>
      <w:r/>
    </w:p>
    <w:p>
      <w:pPr>
        <w:ind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Cs/>
          <w:color w:val="auto"/>
          <w:sz w:val="21"/>
          <w:szCs w:val="21"/>
          <w:highlight w:val="none"/>
        </w:rPr>
        <w:t xml:space="preserve">有关本次招标的事项若存在变动或修改，敬请及时关注“扬州市政府采购网”、“江苏省政府采购网”发布的信息。</w:t>
      </w:r>
      <w:r/>
    </w:p>
    <w:p>
      <w:pPr>
        <w:ind w:firstLine="422"/>
        <w:keepLines w:val="0"/>
        <w:keepNext w:val="0"/>
        <w:pageBreakBefore w:val="0"/>
        <w:spacing w:line="440" w:lineRule="exact"/>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5.本项目招标文件中所有斜体下划线部分为实质性条款，如不满足，则为无效投标。</w:t>
      </w:r>
      <w:r/>
    </w:p>
    <w:p>
      <w:pPr>
        <w:ind w:firstLine="420"/>
        <w:keepLines w:val="0"/>
        <w:keepNext w:val="0"/>
        <w:pageBreakBefore w:val="0"/>
        <w:spacing w:line="44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44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44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8.本项目严格执行政府采购关于支持节能产品</w:t>
      </w:r>
      <w:r>
        <w:rPr>
          <w:rFonts w:hint="eastAsia" w:ascii="宋体" w:hAnsi="宋体" w:eastAsia="宋体" w:cs="宋体"/>
          <w:bCs/>
          <w:color w:val="auto"/>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44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9.供应商对于所投产品的包装应按照“财办库〔2020〕123号《关于印发《商品包装政府采购需求标准（试行）》、《快递包装政府采购需求标准（试行）》的通知》”执行。</w:t>
      </w:r>
      <w:r/>
    </w:p>
    <w:p>
      <w:pPr>
        <w:keepLines w:val="0"/>
        <w:keepNext w:val="0"/>
        <w:pageBreakBefore w:val="0"/>
        <w:spacing w:line="44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七、本次招标联系方式</w:t>
      </w:r>
      <w:bookmarkEnd w:id="30"/>
      <w:r/>
      <w:bookmarkEnd w:id="31"/>
      <w:r/>
      <w:bookmarkEnd w:id="32"/>
      <w:r/>
      <w:bookmarkEnd w:id="33"/>
      <w:r/>
      <w:bookmarkEnd w:id="34"/>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扬州市给排水和燃气热力管理中心</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址：扬州市邗江区文汇西路18号</w:t>
      </w:r>
      <w:r/>
    </w:p>
    <w:p>
      <w:pPr>
        <w:ind w:firstLine="420"/>
        <w:jc w:val="left"/>
        <w:keepLines w:val="0"/>
        <w:keepNext w:val="0"/>
        <w:pageBreakBefore w:val="0"/>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郭科长</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rPr>
          <w:rFonts w:hint="eastAsia" w:ascii="宋体" w:hAnsi="宋体" w:cs="宋体"/>
          <w:color w:val="auto"/>
          <w:sz w:val="21"/>
          <w:szCs w:val="21"/>
          <w:highlight w:val="none"/>
          <w:lang w:val="en-US" w:eastAsia="zh-CN"/>
        </w:rPr>
        <w:t xml:space="preserve">0514-87898983</w:t>
      </w:r>
      <w:r>
        <w:rPr>
          <w:rFonts w:hint="eastAsia" w:ascii="宋体" w:hAnsi="宋体" w:eastAsia="宋体" w:cs="宋体"/>
          <w:color w:val="auto"/>
          <w:sz w:val="21"/>
          <w:szCs w:val="21"/>
          <w:highlight w:val="none"/>
        </w:rPr>
        <w:t xml:space="preserve">  </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江苏汇诚投资咨询管理有限公司</w:t>
      </w:r>
      <w:r/>
    </w:p>
    <w:p>
      <w:pPr>
        <w:ind w:firstLine="42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扬州市邗江区邗江北路68号三楼西入口</w:t>
      </w:r>
      <w:r/>
    </w:p>
    <w:p>
      <w:pPr>
        <w:ind w:firstLine="420"/>
        <w:keepLines w:val="0"/>
        <w:keepNext w:val="0"/>
        <w:pageBreakBefore w:val="0"/>
        <w:spacing w:line="440" w:lineRule="exact"/>
        <w:rPr>
          <w:rFonts w:hint="eastAsia" w:ascii="宋体" w:hAnsi="宋体" w:eastAsia="宋体" w:cs="宋体"/>
          <w:color w:val="auto"/>
          <w:sz w:val="21"/>
          <w:szCs w:val="21"/>
          <w:highlight w:val="none"/>
          <w:lang w:eastAsia="zh-CN"/>
        </w:rPr>
      </w:pPr>
      <w:r/>
      <w:bookmarkStart w:id="35" w:name="_Toc28359087"/>
      <w:r/>
      <w:bookmarkStart w:id="36" w:name="_Toc28359010"/>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唐磊</w:t>
      </w:r>
      <w:r/>
    </w:p>
    <w:p>
      <w:pPr>
        <w:ind w:firstLine="420"/>
        <w:keepLines w:val="0"/>
        <w:keepNext w:val="0"/>
        <w:pageBreakBefore w:val="0"/>
        <w:spacing w:line="44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联系方式：</w:t>
      </w:r>
      <w:r>
        <w:rPr>
          <w:rFonts w:hint="eastAsia" w:ascii="宋体" w:hAnsi="宋体" w:cs="宋体"/>
          <w:color w:val="auto"/>
          <w:sz w:val="21"/>
          <w:szCs w:val="21"/>
          <w:highlight w:val="none"/>
          <w:lang w:eastAsia="zh-CN"/>
        </w:rPr>
        <w:t xml:space="preserve">0514-89787281</w:t>
      </w:r>
      <w:bookmarkEnd w:id="35"/>
      <w:r/>
      <w:bookmarkEnd w:id="36"/>
      <w:r/>
      <w:r/>
    </w:p>
    <w:p>
      <w:pPr>
        <w:keepLines w:val="0"/>
        <w:keepNext w:val="0"/>
        <w:pageBreakBefore w:val="0"/>
        <w:spacing w:line="44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righ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江苏汇诚投资咨询管理有限公司</w:t>
      </w:r>
      <w:r/>
    </w:p>
    <w:p>
      <w:pPr>
        <w:jc w:val="right"/>
        <w:keepLines w:val="0"/>
        <w:keepNext w:val="0"/>
        <w:pageBreakBefore w:val="0"/>
        <w:spacing w:line="440" w:lineRule="exact"/>
        <w:rPr>
          <w:rFonts w:hint="eastAsia" w:ascii="宋体" w:hAnsi="宋体" w:eastAsia="宋体" w:cs="宋体"/>
          <w:color w:val="auto"/>
          <w:sz w:val="21"/>
          <w:szCs w:val="21"/>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color w:val="auto"/>
          <w:sz w:val="21"/>
          <w:szCs w:val="21"/>
          <w:highlight w:val="none"/>
        </w:rPr>
        <w:t xml:space="preserve">2024年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日</w:t>
      </w:r>
      <w:r/>
    </w:p>
    <w:p>
      <w:pPr>
        <w:rPr>
          <w:color w:val="auto"/>
          <w:highlight w:val="none"/>
        </w:rPr>
      </w:pPr>
      <w:r>
        <w:rPr>
          <w:color w:val="auto"/>
          <w:highlight w:val="none"/>
        </w:rPr>
      </w:r>
      <w:r/>
    </w:p>
    <w:p>
      <w:pPr>
        <w:pStyle w:val="934"/>
        <w:numPr>
          <w:ilvl w:val="0"/>
          <w:numId w:val="1"/>
        </w:numPr>
        <w:jc w:val="center"/>
        <w:spacing w:line="240" w:lineRule="auto"/>
        <w:rPr>
          <w:rFonts w:hint="eastAsia" w:ascii="宋体" w:hAnsi="宋体"/>
          <w:color w:val="auto"/>
          <w:szCs w:val="36"/>
          <w:highlight w:val="none"/>
          <w:lang w:eastAsia="zh-CN"/>
        </w:rPr>
      </w:pPr>
      <w:r/>
      <w:bookmarkStart w:id="37" w:name="_Toc55204178"/>
      <w:r>
        <w:rPr>
          <w:rFonts w:hint="eastAsia" w:ascii="宋体" w:hAnsi="宋体"/>
          <w:color w:val="auto"/>
          <w:szCs w:val="36"/>
          <w:highlight w:val="none"/>
          <w:lang w:eastAsia="zh-CN"/>
        </w:rPr>
        <w:t xml:space="preserve">投标人须知</w:t>
      </w:r>
      <w:bookmarkEnd w:id="37"/>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1、招标方式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1.1本次招标采取公开招标方式，本招标文件仅适用于</w:t>
      </w:r>
      <w:r>
        <w:rPr>
          <w:rFonts w:hint="eastAsia" w:ascii="宋体" w:hAnsi="宋体" w:eastAsia="宋体" w:cs="宋体"/>
          <w:bCs/>
          <w:color w:val="auto"/>
          <w:sz w:val="21"/>
          <w:szCs w:val="21"/>
          <w:highlight w:val="none"/>
          <w:lang w:eastAsia="zh-CN"/>
        </w:rPr>
        <w:t xml:space="preserve">JSZC-321000-HCZX-G2024-0095</w:t>
      </w:r>
      <w:r>
        <w:rPr>
          <w:rFonts w:hint="eastAsia" w:ascii="宋体" w:hAnsi="宋体" w:eastAsia="宋体" w:cs="宋体"/>
          <w:bCs/>
          <w:color w:val="auto"/>
          <w:sz w:val="21"/>
          <w:szCs w:val="21"/>
          <w:highlight w:val="none"/>
        </w:rPr>
        <w:t xml:space="preserve">号项目。</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2.2合格的投标人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 满足招标公告中供应商的资格条件要求的规定。</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 满足本文件实质性条款的规定。</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3、适用法律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 本次招标及由此产生的合同受中华人民共和国有关的法律法规制约和保护。</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4、投标费用</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 何，代理机构在任何情况下均无义务和责任承担这些费用。 </w:t>
      </w:r>
      <w:r/>
    </w:p>
    <w:p>
      <w:pPr>
        <w:ind w:left="0"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4.2</w:t>
      </w:r>
      <w:r>
        <w:rPr>
          <w:rFonts w:hint="eastAsia" w:ascii="宋体" w:hAnsi="宋体" w:eastAsia="宋体" w:cs="宋体"/>
          <w:b/>
          <w:bCs/>
          <w:color w:val="auto"/>
          <w:sz w:val="21"/>
          <w:szCs w:val="21"/>
          <w:highlight w:val="none"/>
        </w:rPr>
        <w:t xml:space="preserve">本次采购由中标人在领取中标通知书前按照《国家发展改革委关于降低部分建设项目收费标准规范收费行为等有关问题的通知》(发改价格[2011]534号)服务类的标准的70%（不足</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000元按</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000元计算）一次性支付给招标代理机构代理服务费。</w:t>
      </w:r>
      <w:r/>
    </w:p>
    <w:p>
      <w:pPr>
        <w:ind w:left="0" w:firstLine="422"/>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（2）代理服务费一次性以电汇、转账等非现金形式支付；</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（3）招标代理服务费不在投标报价中单列，包含在投标总价中，由中标单位支付给代理机构。</w:t>
      </w:r>
      <w:r/>
    </w:p>
    <w:p>
      <w:pPr>
        <w:ind w:left="0" w:firstLine="63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招标代理服务费开户银行：中国工商银行扬州雍华府支行</w:t>
      </w:r>
      <w:r>
        <w:rPr>
          <w:rFonts w:hint="eastAsia" w:ascii="宋体" w:hAnsi="宋体" w:eastAsia="宋体" w:cs="宋体"/>
          <w:b/>
          <w:bCs/>
          <w:color w:val="auto"/>
          <w:sz w:val="21"/>
          <w:szCs w:val="21"/>
          <w:highlight w:val="none"/>
        </w:rPr>
        <w:br w:type="textWrapping" w:clear="all"/>
      </w:r>
      <w:r>
        <w:rPr>
          <w:rFonts w:hint="eastAsia" w:ascii="宋体" w:hAnsi="宋体" w:eastAsia="宋体" w:cs="宋体"/>
          <w:b/>
          <w:bCs/>
          <w:color w:val="auto"/>
          <w:sz w:val="21"/>
          <w:szCs w:val="21"/>
          <w:highlight w:val="none"/>
        </w:rPr>
        <w:t xml:space="preserve">    开户名称：</w:t>
      </w:r>
      <w:r>
        <w:rPr>
          <w:rFonts w:hint="eastAsia" w:ascii="宋体" w:hAnsi="宋体" w:eastAsia="宋体" w:cs="宋体"/>
          <w:b/>
          <w:bCs/>
          <w:color w:val="auto"/>
          <w:sz w:val="21"/>
          <w:szCs w:val="21"/>
          <w:highlight w:val="none"/>
          <w:lang w:eastAsia="zh-CN"/>
        </w:rPr>
        <w:t xml:space="preserve">江苏汇诚投资咨询管理有限公司邗江分公司</w:t>
      </w:r>
      <w:r>
        <w:rPr>
          <w:rFonts w:hint="eastAsia" w:ascii="宋体" w:hAnsi="宋体" w:eastAsia="宋体" w:cs="宋体"/>
          <w:b/>
          <w:bCs/>
          <w:color w:val="auto"/>
          <w:sz w:val="21"/>
          <w:szCs w:val="21"/>
          <w:highlight w:val="none"/>
        </w:rPr>
        <w:br w:type="textWrapping" w:clear="all"/>
      </w:r>
      <w:r>
        <w:rPr>
          <w:rFonts w:hint="eastAsia" w:ascii="宋体" w:hAnsi="宋体" w:eastAsia="宋体" w:cs="宋体"/>
          <w:b/>
          <w:bCs/>
          <w:color w:val="auto"/>
          <w:sz w:val="21"/>
          <w:szCs w:val="21"/>
          <w:highlight w:val="none"/>
        </w:rPr>
        <w:t xml:space="preserve">    开户帐号：1108020809100091782</w:t>
      </w:r>
      <w:r/>
    </w:p>
    <w:p>
      <w:pPr>
        <w:ind w:left="0" w:firstLine="422"/>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4.3专家评审费按《扬州市财政局关于进一步规范扬州市政府采购专家评审费标准的通知》（扬财购〔2020〕40号）执行。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5、招标文件的约束力</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 投标人一旦参加本项目采购活动，即被认为接受了本招标文件的规定和约束。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6、招标文件构成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 招标文件有以下部分组成：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（1）招标公告</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（2）投标人须知</w:t>
      </w:r>
      <w:r>
        <w:rPr>
          <w:rFonts w:hint="eastAsia" w:ascii="宋体" w:hAnsi="宋体" w:eastAsia="宋体" w:cs="宋体"/>
          <w:bCs/>
          <w:color w:val="auto"/>
          <w:sz w:val="21"/>
          <w:szCs w:val="21"/>
          <w:highlight w:val="none"/>
        </w:rPr>
        <w:tab/>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（3）合同条款及格式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（4）项目需求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7、招标文件的澄清</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8、招标文件的修改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 在投标截止时间前，代理机构可以对招标文件进行修改。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8.3招标文件的修改将在“扬州市政府采购网”、“江苏省政府采购网”公布，补充文件将作为招标文件的组成部分，并对投标人具有约束力。</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9、投标文件的语言、度量衡单位、货币</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9.3投标人应使用人民币报价。</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10、投标文件构成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10.1投标文件由以下部分组成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（1）资格审查响应对照表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（2）符合性审查响应对照表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（3）非实质性响应对照表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（4）开标一览表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（5）分项报价表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（6）技术参数响应及偏离表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（7）商务条款响应及偏离表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（8）其他 （投标人认为有必要提供的声明和文件，如有自拟并自行添加）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11、证明投标人资格及符合招标文件规定的文件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11.1投标人应按要求提交资格证明文件及符合招标文件规定的文件。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11.2投标人应提交证明其有资格参加投标和中标后有能力独立履行合同的文件。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11.3投标人除必须具有履行合同所需提供的产品或服务的能力外，还必须具备相应的财务、技术方面的能力。</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11.4投标人应提交根据合同要求提供的证明服务质量合格以及符合招标文件规定的证明文件。</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11.5证明投标人所提供服务与招标文件的要求相一致的文件可以是手册、图纸、文字资料和数据。</w:t>
      </w:r>
      <w:r/>
    </w:p>
    <w:p>
      <w:pPr>
        <w:ind w:left="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w:t>
      </w:r>
      <w:r>
        <w:rPr>
          <w:rFonts w:hint="eastAsia" w:ascii="宋体" w:hAnsi="宋体" w:eastAsia="宋体" w:cs="宋体"/>
          <w:b/>
          <w:bCs/>
          <w:color w:val="auto"/>
          <w:sz w:val="21"/>
          <w:szCs w:val="21"/>
          <w:highlight w:val="none"/>
        </w:rPr>
        <w:t xml:space="preserve">分项报价表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12.2 标的物</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采购人需求的服务供应、安装，调试及有关技术服务等。</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12.3其它费用处理</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招标文件未列明，而投标人认为必需的费用也需列入报价。</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12.4投标货币</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13、技术参数响应及偏离表、商务条款响应及偏离表及投标货物说明</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13.1 对招标文件中的技术与商务条款要求逐项作出响应或偏离，并说明原因；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13.2 提供参加本项目类似案例简介；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13.3 培训计划；</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 投标人认为需要的其他技术文件或说明。</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14、服务承诺及售后服务机构、人员的情况介绍</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14.1投标人的服务承诺应按不低于招标文件中商务要求的标准。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15、投标函和开标一览表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 投标人应按照招标文件中提供的格式完整、正确填写投标函、开标一览表。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16、投标有效期</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38" w:name="_Toc462564084"/>
      <w:r/>
      <w:bookmarkStart w:id="39" w:name="_Toc20823297"/>
      <w:r/>
      <w:bookmarkStart w:id="40" w:name="_Toc16938541"/>
      <w:r/>
      <w:bookmarkStart w:id="41" w:name="_Toc513029225"/>
      <w:r>
        <w:rPr>
          <w:rFonts w:hint="eastAsia" w:ascii="宋体" w:hAnsi="宋体" w:eastAsia="宋体" w:cs="宋体"/>
          <w:b/>
          <w:color w:val="auto"/>
          <w:sz w:val="21"/>
          <w:szCs w:val="21"/>
          <w:highlight w:val="none"/>
        </w:rPr>
        <w:t xml:space="preserve">17、投标文件</w:t>
      </w:r>
      <w:bookmarkEnd w:id="38"/>
      <w:r/>
      <w:bookmarkEnd w:id="39"/>
      <w:r/>
      <w:bookmarkEnd w:id="40"/>
      <w:r/>
      <w:bookmarkEnd w:id="41"/>
      <w:r>
        <w:rPr>
          <w:rFonts w:hint="eastAsia" w:ascii="宋体" w:hAnsi="宋体" w:eastAsia="宋体" w:cs="宋体"/>
          <w:b/>
          <w:color w:val="auto"/>
          <w:sz w:val="21"/>
          <w:szCs w:val="21"/>
          <w:highlight w:val="none"/>
        </w:rPr>
        <w:t xml:space="preserve">的递交</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 电子投标文件的递交投标人应当按照《操作手册》规定，在投标截止时间前制作并上传电子投标文件。</w:t>
      </w:r>
      <w:bookmarkStart w:id="42" w:name="_Toc20823298"/>
      <w:r/>
      <w:bookmarkStart w:id="43" w:name="_Toc16938542"/>
      <w:r/>
      <w:bookmarkStart w:id="44" w:name="_Toc513029226"/>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17.2</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相关要求是本招标文件的组成部分。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17.3投标人应对 CA 证书妥善保管，如被他人盗用投标，因此带来的结果均由投标人自行承担。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17.4投标人应当对招标文件提出的要求和条件作出实质性响应，并在电子投标系统逐条应答。</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17.5投标人应对要求提供的资格证明文件（如资质证书、资格证书）、技术资料（如白皮书、彩页、手册、检测报告等）扫描上传至投标系统。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17.6投标人应当在招标文件要求提交投标文件的截止时间前，将投标文件提交至“苏采云”系统，逾期提交的投标文件，“苏采云”系统将自动拒收。</w:t>
      </w:r>
      <w:r/>
    </w:p>
    <w:p>
      <w:pPr>
        <w:ind w:left="0" w:firstLine="422"/>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17.7各投标人应在规定时间内凭CA证书进行网上解密。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18、投标截止日期</w:t>
      </w:r>
      <w:bookmarkEnd w:id="42"/>
      <w:r/>
      <w:bookmarkEnd w:id="43"/>
      <w:r/>
      <w:bookmarkEnd w:id="44"/>
      <w:r/>
      <w:r/>
    </w:p>
    <w:p>
      <w:pPr>
        <w:ind w:left="0" w:firstLine="420"/>
        <w:keepLines w:val="0"/>
        <w:keepNext w:val="0"/>
        <w:pageBreakBefore w:val="0"/>
        <w:spacing w:line="440" w:lineRule="exact"/>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45" w:name="_Toc16938543"/>
      <w:r/>
      <w:bookmarkStart w:id="46" w:name="_Toc20823299"/>
      <w:r/>
      <w:bookmarkStart w:id="47" w:name="_Toc513029227"/>
      <w:r>
        <w:rPr>
          <w:rFonts w:hint="eastAsia" w:ascii="宋体" w:hAnsi="宋体" w:eastAsia="宋体" w:cs="宋体"/>
          <w:b/>
          <w:color w:val="auto"/>
          <w:sz w:val="21"/>
          <w:szCs w:val="21"/>
          <w:highlight w:val="none"/>
        </w:rPr>
        <w:t xml:space="preserve">19、投标文件</w:t>
      </w:r>
      <w:bookmarkEnd w:id="45"/>
      <w:r/>
      <w:bookmarkEnd w:id="46"/>
      <w:r/>
      <w:bookmarkEnd w:id="47"/>
      <w:r>
        <w:rPr>
          <w:rFonts w:hint="eastAsia" w:ascii="宋体" w:hAnsi="宋体" w:eastAsia="宋体" w:cs="宋体"/>
          <w:b/>
          <w:color w:val="auto"/>
          <w:sz w:val="21"/>
          <w:szCs w:val="21"/>
          <w:highlight w:val="none"/>
        </w:rPr>
        <w:t xml:space="preserve">的拒收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19.1代理机构拒绝接收在其规定的投标截止时间后上传的任何投标文件。</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48" w:name="_Toc16938544"/>
      <w:r/>
      <w:bookmarkStart w:id="49" w:name="_Toc20823300"/>
      <w:r/>
      <w:bookmarkStart w:id="50" w:name="_Toc513029228"/>
      <w:r>
        <w:rPr>
          <w:rFonts w:hint="eastAsia" w:ascii="宋体" w:hAnsi="宋体" w:eastAsia="宋体" w:cs="宋体"/>
          <w:b/>
          <w:color w:val="auto"/>
          <w:sz w:val="21"/>
          <w:szCs w:val="21"/>
          <w:highlight w:val="none"/>
        </w:rPr>
        <w:t xml:space="preserve">20、投标文件的撤回和修改</w:t>
      </w:r>
      <w:bookmarkEnd w:id="48"/>
      <w:r/>
      <w:bookmarkEnd w:id="49"/>
      <w:r/>
      <w:bookmarkEnd w:id="50"/>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 投标文件的撤回</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20.1.1 电子投标文件的撤回</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投标人可在投标截止时间前，撤回其电子投标文件，具体操作方法见《操作手册》。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20.1.2 投标人撤回电子投标文件，则认为其不再参与本项目投标活动。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20.2 投标文件的修改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投标人可在投标截止时间前，对其电子投标文件进行修改，具体操作方法见《操作手册》。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20.3 在投标截止时间之后，投标人不得对其电子投标文件作任何修改。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21、开标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21.2投标人不足3家的，不得开标。</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22、评标委员会</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22.1 开标后，代理机构将立即组织评标委员会（以下简称评委会）进行评标。</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22.2 评委会由采购人代表和有关技术、经济等方面的专家组成，且人员构成符合政府采购有关规定。</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22.3评委会独立工作，负责评审所有投标文件并确定中标候选人。</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23、评标过程的保密与公正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23.3 在评标期间，代理机构将设专门工作人员与投标人联系。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24、投标的澄清</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24.3 接到评委会澄清要求的投标人如未按规定做出澄清，其风险由投标人自行承担。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25、对投标文件的初审</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25.1投标文件初审分为资格审查和符合性审查。</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25.1.1资格审查：依据法律法规和招标文件的规定，由采购人对投标文件中的资格证明文件进行审查。并将审查结论以书面形式向评委会反馈。</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（2）大写金额与小写金额不一致的，以大写金额为准。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 投标人在开、评标全过程中应保持通讯畅通，并安排专人与代理机构及评委会联系。</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26、无效投标、废标及投标人不足三家的处理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26.1无效投标条款</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投标人未成功解密电子投标文件的。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投标人未按照招标文件要求上传电子投标文件的。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26.1.3投标人在报价时采用选择性报价的。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26.1.4投标人不具备招标文件中规定资格要求的。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26.1.5投标人的报价超过了采购预算或最高限价的。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26.1.6未通过符合性审查的。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26.1.7不符合招标文件中规定的其他实质性要求和条件的（</w:t>
      </w:r>
      <w:r>
        <w:rPr>
          <w:rFonts w:hint="eastAsia" w:ascii="宋体" w:hAnsi="宋体" w:eastAsia="宋体" w:cs="宋体"/>
          <w:bCs/>
          <w:i/>
          <w:iCs/>
          <w:color w:val="auto"/>
          <w:sz w:val="21"/>
          <w:szCs w:val="21"/>
          <w:highlight w:val="none"/>
          <w:u w:val="single"/>
        </w:rPr>
        <w:t xml:space="preserve">本招标文件中斜体且有下划线部分为实质性要求和条件</w:t>
      </w:r>
      <w:r>
        <w:rPr>
          <w:rFonts w:hint="eastAsia" w:ascii="宋体" w:hAnsi="宋体" w:eastAsia="宋体" w:cs="宋体"/>
          <w:bCs/>
          <w:color w:val="auto"/>
          <w:sz w:val="21"/>
          <w:szCs w:val="21"/>
          <w:highlight w:val="none"/>
        </w:rPr>
        <w:t xml:space="preserve">）。</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26.1.9  投标文件含有采购人不能接受的附加条件的。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26.1.12 投标文件未按照招标文件要求加盖电子签章。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26.1.13其他法律、法规及本招标文件规定的属无效投标的情形。</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26.2废标条款：</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26.2.1符合专业条件的供应商或者对招标文件作实质响应的供应商不足三家的。26.2.2出现影响采购公正的违法、违规行为的。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26.2.3因重大变故，采购任务取消的。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26.2.4评委会认定招标文件存在歧义、重大缺陷导致评审工作无法进行。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 投标截止时间结束后参加投标的供应商不足三家的处理：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27、确定中标单位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27.1评委会根据本招标文件规定评标方法与评标标准向采购人推荐出中标候选人。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 采购人应根据评委会推荐的中标候选人确定中标人。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27.3代理机构将在“扬州市政府采购网”、“江苏省政府采购网”发布中标公告，公告期限为1个工作日。</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27.4若有充分证据证明，中标人出现下列情况之一的，一经查实，将被取消中标资格：</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27.4.1提供虚假材料谋取中标的；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27.4.2向采购人、代理机构行贿或者提供其他不正当利益的；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27.4.3恶意竞争，投标总报价明显低于其自身合理成本且又无法提供证明的；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27.4.4属于本文件规定的无效条件，但在评标过程中又未被评委会发现的；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27.4.5与采购人或者其他投标人恶意串通的；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27.4.6采取不正当手段诋毁、排挤其他供应商的；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27.4.7不符合法律、法规的规定的。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 有下列情形之一的，视为投标人串通投标，投标无效：</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27.5.1不同投标人的投标文件由同一单位或者个人编制。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27.5.2不同投标人委托同一单位或者个人办理投标事宜。</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27.5.3 不同投标人的投标文件载明的项目管理成员或者联系人员为同一人。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27.5.4不同投标人的投标文件异常一致或者投标报价呈规律性差异。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27.5.5不同投标人的投标文件相互混装。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28、质疑处理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对项目需求部分的质疑，潜在供应商应向采购人提出，由采购人负责答复。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28.2.2对采购过程提出质疑的，为各采购程序环节结束之日起7个工作日内提出。</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28.2.3对中标结果提出质疑的，为中标结果公告期限届满之日起7个工作日内提出。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28.5 代理机构及采购人只接收以纸质原件形式送达的质疑，</w:t>
      </w:r>
      <w:r>
        <w:rPr>
          <w:rFonts w:hint="eastAsia" w:ascii="宋体" w:hAnsi="宋体" w:eastAsia="宋体" w:cs="宋体"/>
          <w:b/>
          <w:color w:val="auto"/>
          <w:sz w:val="21"/>
          <w:szCs w:val="21"/>
          <w:highlight w:val="none"/>
          <w:u w:val="single"/>
        </w:rPr>
        <w:t xml:space="preserve">同时需与采购代理机构经办人确认是否收到《质疑函》，如供应商未按上述要求去做，将自行承担所产生的风险。</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采购人质疑接收人及联系方式见招标文件第一章。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28.7质疑人应当在法定质疑期限内进行补正并重新提交质疑函。</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 以下情形的质疑不予受理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28.8.1 内容不符合《政府采购质疑和投诉办法》第十二条规定的质疑。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28.8.2 超出政府采购法定期限的质疑。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28.8.3 以传真、电子邮件等方式递交的非原件形式的质疑。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29.l 中标结果确定后，代理机构将向中标人发出中标通知书。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 签订合同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30.l中标人应在中标通知书发出之日起十五日内，按照招标文件确定的事项与采购人签订政府采购合同。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30.3 合同在“政府采购管理交易系统（苏采云）”中签订，签订合同后，</w:t>
      </w:r>
      <w:r>
        <w:rPr>
          <w:rFonts w:hint="eastAsia" w:ascii="宋体" w:hAnsi="宋体" w:eastAsia="宋体" w:cs="宋体"/>
          <w:bCs/>
          <w:i/>
          <w:iCs/>
          <w:color w:val="auto"/>
          <w:sz w:val="21"/>
          <w:szCs w:val="21"/>
          <w:highlight w:val="none"/>
          <w:u w:val="single"/>
        </w:rPr>
        <w:t xml:space="preserve">中标人不得将货物或服务及其他服务进行转包</w:t>
      </w:r>
      <w:r>
        <w:rPr>
          <w:rFonts w:hint="eastAsia" w:ascii="宋体" w:hAnsi="宋体" w:eastAsia="宋体" w:cs="宋体"/>
          <w:bCs/>
          <w:color w:val="auto"/>
          <w:sz w:val="2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31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其他</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34"/>
        <w:jc w:val="center"/>
        <w:rPr>
          <w:rFonts w:hint="eastAsia" w:ascii="宋体" w:hAnsi="宋体"/>
          <w:color w:val="auto"/>
          <w:szCs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34"/>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62"/>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扬州市政府采购合同（服务)（合同编号）（包号）</w:t>
      </w:r>
      <w:r/>
    </w:p>
    <w:p>
      <w:pPr>
        <w:pStyle w:val="962"/>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扬州市黑臭河道水质监测及技术</w:t>
      </w:r>
      <w:r>
        <w:rPr>
          <w:rFonts w:hint="eastAsia" w:hAnsi="宋体"/>
          <w:color w:val="auto"/>
          <w:sz w:val="21"/>
          <w:highlight w:val="none"/>
        </w:rPr>
        <w:t xml:space="preserve">服务采购项目               </w:t>
      </w:r>
      <w:r/>
    </w:p>
    <w:p>
      <w:pPr>
        <w:pStyle w:val="962"/>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JSZC-321000-HCZX-G2024-0095</w:t>
      </w:r>
      <w:r>
        <w:rPr>
          <w:rFonts w:hint="eastAsia" w:hAnsi="宋体"/>
          <w:color w:val="auto"/>
          <w:sz w:val="21"/>
          <w:highlight w:val="none"/>
        </w:rPr>
        <w:t xml:space="preserve">号</w:t>
      </w:r>
      <w:r/>
    </w:p>
    <w:p>
      <w:pPr>
        <w:pStyle w:val="962"/>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扬州市给排水和燃气热力管理中心</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江苏汇诚投资咨询管理有限公司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一、服务及货物</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1.1 服务及货物名称：</w:t>
      </w:r>
      <w:r/>
    </w:p>
    <w:p>
      <w:pPr>
        <w:pStyle w:val="962"/>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962"/>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本合同金额为（大写）：____________________圆（_______________元）人民币。</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62"/>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62"/>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62"/>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62"/>
        <w:ind w:firstLine="420"/>
        <w:spacing w:before="120" w:after="120" w:line="360" w:lineRule="auto"/>
        <w:rPr>
          <w:rFonts w:hint="default" w:hAnsi="宋体" w:eastAsia="宋体"/>
          <w:color w:val="auto"/>
          <w:sz w:val="21"/>
          <w:highlight w:val="none"/>
          <w:u w:val="single"/>
          <w:lang w:val="en-US" w:eastAsia="zh-CN"/>
        </w:rPr>
      </w:pPr>
      <w:r>
        <w:rPr>
          <w:rFonts w:hint="eastAsia" w:hAnsi="宋体"/>
          <w:color w:val="auto"/>
          <w:sz w:val="21"/>
          <w:highlight w:val="none"/>
        </w:rPr>
        <w:t xml:space="preserve">8.1 服务期：</w:t>
      </w:r>
      <w:r>
        <w:rPr>
          <w:rFonts w:hint="eastAsia" w:hAnsi="宋体"/>
          <w:color w:val="auto"/>
          <w:sz w:val="21"/>
          <w:highlight w:val="none"/>
          <w:u w:val="single"/>
          <w:lang w:val="en-US" w:eastAsia="zh-CN"/>
        </w:rPr>
        <w:t xml:space="preserve">                   </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962"/>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9.1 交付期：甲方指定时间</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交付方式：甲方指定方式</w:t>
      </w:r>
      <w:r/>
    </w:p>
    <w:p>
      <w:pPr>
        <w:pStyle w:val="962"/>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9.3 交付地点：甲方指定地点</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62"/>
        <w:ind w:firstLine="420"/>
        <w:keepLines w:val="0"/>
        <w:keepNext w:val="0"/>
        <w:pageBreakBefore w:val="0"/>
        <w:spacing w:line="440" w:lineRule="exact"/>
        <w:widowControl w:val="off"/>
        <w:rPr>
          <w:rFonts w:hint="eastAsia" w:hAnsi="宋体" w:eastAsia="宋体" w:cs="宋体"/>
          <w:color w:val="auto"/>
          <w:sz w:val="21"/>
          <w:highlight w:val="none"/>
          <w:lang w:eastAsia="zh-CN"/>
        </w:rPr>
      </w:pPr>
      <w:r>
        <w:rPr>
          <w:rFonts w:hint="eastAsia" w:hAnsi="宋体" w:cs="宋体"/>
          <w:color w:val="auto"/>
          <w:sz w:val="21"/>
          <w:highlight w:val="none"/>
        </w:rPr>
        <w:t xml:space="preserve">10.3 甲方付款方式：</w:t>
      </w:r>
      <w:r/>
    </w:p>
    <w:p>
      <w:pPr>
        <w:pStyle w:val="962"/>
        <w:ind w:firstLine="420"/>
        <w:keepLines w:val="0"/>
        <w:keepNext w:val="0"/>
        <w:pageBreakBefore w:val="0"/>
        <w:spacing w:line="440" w:lineRule="exact"/>
        <w:widowControl w:val="off"/>
        <w:rPr>
          <w:rFonts w:hint="eastAsia" w:hAnsi="宋体" w:cs="宋体"/>
          <w:color w:val="auto"/>
          <w:sz w:val="21"/>
          <w:highlight w:val="none"/>
        </w:rPr>
      </w:pPr>
      <w:r>
        <w:rPr>
          <w:rFonts w:hint="eastAsia" w:hAnsi="宋体" w:cs="宋体"/>
          <w:color w:val="auto"/>
          <w:sz w:val="21"/>
          <w:highlight w:val="none"/>
        </w:rPr>
        <w:t xml:space="preserve">（1）合同签订后，乙方向甲方开具正式发票，甲方自收到发票之日起</w:t>
      </w:r>
      <w:r>
        <w:rPr>
          <w:rFonts w:hint="eastAsia" w:hAnsi="宋体" w:cs="宋体"/>
          <w:color w:val="auto"/>
          <w:sz w:val="21"/>
          <w:highlight w:val="none"/>
          <w:lang w:val="en-US" w:eastAsia="zh-CN"/>
        </w:rPr>
        <w:t xml:space="preserve">10个工作</w:t>
      </w:r>
      <w:r>
        <w:rPr>
          <w:rFonts w:hint="eastAsia" w:hAnsi="宋体" w:cs="宋体"/>
          <w:color w:val="auto"/>
          <w:sz w:val="21"/>
          <w:highlight w:val="none"/>
        </w:rPr>
        <w:t xml:space="preserve">日内支付乙方</w:t>
      </w:r>
      <w:r>
        <w:rPr>
          <w:rFonts w:hint="eastAsia" w:hAnsi="宋体" w:cs="宋体"/>
          <w:color w:val="auto"/>
          <w:sz w:val="21"/>
          <w:highlight w:val="none"/>
          <w:lang w:val="en-US" w:eastAsia="zh-CN"/>
        </w:rPr>
        <w:t xml:space="preserve">当年</w:t>
      </w:r>
      <w:r>
        <w:rPr>
          <w:rFonts w:hint="eastAsia" w:hAnsi="宋体" w:cs="宋体"/>
          <w:color w:val="auto"/>
          <w:sz w:val="21"/>
          <w:highlight w:val="none"/>
        </w:rPr>
        <w:t xml:space="preserve">合同总价</w:t>
      </w:r>
      <w:r>
        <w:rPr>
          <w:rFonts w:hint="default" w:hAnsi="宋体" w:cs="宋体"/>
          <w:color w:val="auto"/>
          <w:sz w:val="21"/>
          <w:highlight w:val="none"/>
          <w:lang w:val="en-GB" w:eastAsia="zh-CN"/>
        </w:rPr>
        <w:t xml:space="preserve">30</w:t>
      </w:r>
      <w:r>
        <w:rPr>
          <w:rFonts w:hint="eastAsia" w:hAnsi="宋体" w:cs="宋体"/>
          <w:color w:val="auto"/>
          <w:sz w:val="21"/>
          <w:highlight w:val="none"/>
        </w:rPr>
        <w:t xml:space="preserve">%的预付款；</w:t>
      </w:r>
      <w:r/>
    </w:p>
    <w:p>
      <w:pPr>
        <w:pStyle w:val="962"/>
        <w:ind w:firstLine="420"/>
        <w:keepLines w:val="0"/>
        <w:keepNext w:val="0"/>
        <w:pageBreakBefore w:val="0"/>
        <w:spacing w:line="440" w:lineRule="exact"/>
        <w:widowControl w:val="off"/>
        <w:rPr>
          <w:rFonts w:hint="eastAsia" w:hAnsi="宋体" w:cs="宋体"/>
          <w:color w:val="auto"/>
          <w:sz w:val="21"/>
          <w:highlight w:val="none"/>
        </w:rPr>
      </w:pPr>
      <w:r>
        <w:rPr>
          <w:rFonts w:hint="eastAsia" w:hAnsi="宋体" w:cs="宋体"/>
          <w:color w:val="auto"/>
          <w:sz w:val="21"/>
          <w:highlight w:val="none"/>
        </w:rPr>
        <w:t xml:space="preserve">（2）服务开始后，甲乙双方按</w:t>
      </w:r>
      <w:r>
        <w:rPr>
          <w:rFonts w:hint="eastAsia" w:hAnsi="宋体" w:cs="宋体"/>
          <w:color w:val="auto"/>
          <w:sz w:val="21"/>
          <w:highlight w:val="none"/>
          <w:lang w:val="en-US" w:eastAsia="zh-CN"/>
        </w:rPr>
        <w:t xml:space="preserve">半年实际工作量</w:t>
      </w:r>
      <w:r>
        <w:rPr>
          <w:rFonts w:hint="eastAsia" w:hAnsi="宋体" w:cs="宋体"/>
          <w:color w:val="auto"/>
          <w:sz w:val="21"/>
          <w:highlight w:val="none"/>
        </w:rPr>
        <w:t xml:space="preserve">为一个周期结算服务费用，每周期结束后，乙方向甲方开具正式发票，甲方自收到发票之日起</w:t>
      </w:r>
      <w:r>
        <w:rPr>
          <w:rFonts w:hint="eastAsia" w:hAnsi="宋体" w:cs="宋体"/>
          <w:color w:val="auto"/>
          <w:sz w:val="21"/>
          <w:highlight w:val="none"/>
          <w:lang w:val="en-US" w:eastAsia="zh-CN"/>
        </w:rPr>
        <w:t xml:space="preserve">10个工作</w:t>
      </w:r>
      <w:r>
        <w:rPr>
          <w:rFonts w:hint="eastAsia" w:hAnsi="宋体" w:cs="宋体"/>
          <w:color w:val="auto"/>
          <w:sz w:val="21"/>
          <w:highlight w:val="none"/>
        </w:rPr>
        <w:t xml:space="preserve">日内支付</w:t>
      </w:r>
      <w:r>
        <w:rPr>
          <w:rFonts w:hint="eastAsia" w:hAnsi="宋体" w:cs="宋体"/>
          <w:color w:val="auto"/>
          <w:sz w:val="21"/>
          <w:highlight w:val="none"/>
          <w:lang w:val="en-US" w:eastAsia="zh-CN"/>
        </w:rPr>
        <w:t xml:space="preserve">款项，首次支付时抵扣预付款后支付</w:t>
      </w:r>
      <w:r>
        <w:rPr>
          <w:rFonts w:hint="eastAsia" w:hAnsi="宋体" w:cs="宋体"/>
          <w:color w:val="auto"/>
          <w:sz w:val="21"/>
          <w:highlight w:val="none"/>
        </w:rPr>
        <w:t xml:space="preserve">。</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62"/>
        <w:ind w:firstLine="42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62"/>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962"/>
        <w:ind w:firstLine="420"/>
        <w:spacing w:line="360" w:lineRule="auto"/>
        <w:rPr>
          <w:rFonts w:hAnsi="宋体"/>
          <w:color w:val="auto"/>
          <w:sz w:val="21"/>
          <w:highlight w:val="none"/>
        </w:rPr>
      </w:pPr>
      <w:r>
        <w:rPr>
          <w:rFonts w:hint="eastAsia" w:hAnsi="宋体"/>
          <w:color w:val="auto"/>
          <w:sz w:val="21"/>
          <w:highlight w:val="none"/>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62"/>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62"/>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962"/>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江苏汇诚投资咨询管理有限公司</w:t>
      </w:r>
      <w:r>
        <w:rPr>
          <w:rFonts w:hint="eastAsia" w:hAnsi="宋体"/>
          <w:color w:val="auto"/>
          <w:sz w:val="21"/>
          <w:highlight w:val="none"/>
        </w:rPr>
        <w:t xml:space="preserve">见证盖章后生效。</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962"/>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63"/>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 </w:t>
            </w:r>
            <w:r>
              <w:rPr>
                <w:rFonts w:hint="eastAsia" w:hAnsi="宋体"/>
                <w:color w:val="auto"/>
                <w:sz w:val="21"/>
                <w:highlight w:val="none"/>
                <w:lang w:eastAsia="zh-CN"/>
              </w:rPr>
              <w:t xml:space="preserve">扬州市给排水和燃气热力管理中心</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2"/>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2"/>
              <w:spacing w:before="120" w:after="120" w:line="360" w:lineRule="auto"/>
              <w:rPr>
                <w:rFonts w:hint="eastAsia" w:hAnsi="宋体"/>
                <w:color w:val="auto"/>
                <w:sz w:val="21"/>
                <w:highlight w:val="none"/>
              </w:rPr>
            </w:pPr>
            <w:r>
              <w:rPr>
                <w:rFonts w:hint="eastAsia" w:hAnsi="宋体"/>
                <w:color w:val="auto"/>
                <w:sz w:val="21"/>
                <w:highlight w:val="none"/>
              </w:rPr>
              <w:t xml:space="preserve">地址： 邗江区文汇西路18号</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2"/>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2"/>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2"/>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2"/>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2"/>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2"/>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2"/>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江苏汇诚投资咨询管理有限公司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2"/>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2"/>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2"/>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2"/>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2"/>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62"/>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62"/>
        <w:spacing w:before="120" w:after="120" w:line="360" w:lineRule="auto"/>
        <w:rPr>
          <w:rFonts w:hint="eastAsia" w:hAnsi="宋体"/>
          <w:color w:val="auto"/>
          <w:sz w:val="21"/>
          <w:highlight w:val="none"/>
        </w:rPr>
      </w:pPr>
      <w:r>
        <w:rPr>
          <w:rFonts w:hint="eastAsia" w:hAnsi="宋体"/>
          <w:color w:val="auto"/>
          <w:sz w:val="21"/>
          <w:highlight w:val="none"/>
        </w:rPr>
        <w:t xml:space="preserve">  </w:t>
      </w:r>
      <w:r/>
    </w:p>
    <w:p>
      <w:pPr>
        <w:rPr>
          <w:color w:val="auto"/>
          <w:highlight w:val="none"/>
        </w:rPr>
      </w:pPr>
      <w:r>
        <w:rPr>
          <w:color w:val="auto"/>
          <w:highlight w:val="none"/>
        </w:rPr>
        <w:br w:type="page" w:clear="all"/>
      </w:r>
      <w:bookmarkEnd w:id="52"/>
      <w:r/>
      <w:r/>
    </w:p>
    <w:p>
      <w:pPr>
        <w:pStyle w:val="934"/>
        <w:numPr>
          <w:ilvl w:val="0"/>
          <w:numId w:val="1"/>
        </w:numPr>
        <w:jc w:val="center"/>
        <w:spacing w:line="240" w:lineRule="auto"/>
        <w:rPr>
          <w:color w:val="auto"/>
          <w:highlight w:val="none"/>
        </w:rPr>
      </w:pPr>
      <w:r>
        <w:rPr>
          <w:rFonts w:hint="eastAsia"/>
          <w:color w:val="auto"/>
          <w:highlight w:val="none"/>
        </w:rPr>
        <w:t xml:space="preserve">项目需求</w:t>
      </w:r>
      <w:r/>
    </w:p>
    <w:p>
      <w:pPr>
        <w:rPr>
          <w:color w:val="auto"/>
          <w:highlight w:val="none"/>
        </w:rPr>
      </w:pPr>
      <w:r>
        <w:rPr>
          <w:color w:val="auto"/>
          <w:highlight w:val="none"/>
        </w:rPr>
      </w:r>
      <w:r/>
    </w:p>
    <w:p>
      <w:pPr>
        <w:spacing w:line="360" w:lineRule="auto"/>
        <w:rPr>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rPr>
          <w:color w:val="auto"/>
          <w:highlight w:val="none"/>
        </w:rPr>
      </w:pPr>
      <w:r>
        <w:rPr>
          <w:color w:val="auto"/>
          <w:highlight w:val="none"/>
        </w:rPr>
      </w:r>
      <w:r/>
    </w:p>
    <w:p>
      <w:pPr>
        <w:numPr>
          <w:ilvl w:val="0"/>
          <w:numId w:val="3"/>
        </w:numPr>
        <w:ind w:firstLine="422"/>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检测</w:t>
      </w:r>
      <w:r>
        <w:rPr>
          <w:rFonts w:hint="eastAsia" w:ascii="宋体" w:hAnsi="宋体" w:cs="宋体"/>
          <w:b/>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范围和服务内容</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1、对扬州市区（含江都区）</w:t>
      </w:r>
      <w:r>
        <w:rPr>
          <w:rFonts w:hint="eastAsia" w:ascii="宋体" w:hAnsi="宋体" w:eastAsia="宋体" w:cs="宋体"/>
          <w:color w:val="auto"/>
          <w:sz w:val="21"/>
          <w:szCs w:val="21"/>
          <w:highlight w:val="none"/>
          <w:lang w:val="en-US" w:eastAsia="zh-CN"/>
        </w:rPr>
        <w:t xml:space="preserve">2020</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前</w:t>
      </w:r>
      <w:r>
        <w:rPr>
          <w:rFonts w:hint="eastAsia" w:ascii="宋体" w:hAnsi="宋体" w:eastAsia="宋体" w:cs="宋体"/>
          <w:color w:val="auto"/>
          <w:sz w:val="21"/>
          <w:szCs w:val="21"/>
          <w:highlight w:val="none"/>
        </w:rPr>
        <w:t xml:space="preserve">已整治完成的共70个黑臭水体（按照1月1次检测频率）进行4项指标（溶解氧、氨氮、透明度、氧化还原电位）水质检测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同步开展巡河、排口检查</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，具体为：</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广陵区18个：沙施河、老沙河、丁家河、跃进河、七里河支河工农河、七里河支河马泊河、七里河支河小运河、七里河支河文峰河、七里河支河中心河、沙施河支河太平河、赵家河（新中沟河）、沙河北段、同心河东段、七里河、小夹沟、集镇河、汤汪河、横沟河；</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邗江区18个：新城河、四望亭河、引潮河、幸福河一期、念泗河、幸福河二期、西银沟、丁庄河、扬州大学扬子津校区东侧无名河道、冷却河、竹西河、西银沟蒋王镇段、官河南段、槐泗河支河老人沟、槐泗河支河尚桥冲、槐泗河干河、大杨冲干河、中心河干河；</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开发区17个：童套河、吕桥河、周庄河、施港河、扬子河、东长河、二桥河、高桥河、钱湾河、施桥排涝河、施桥中心河、施桥排涝河、八里马港河、八里孙贾河、八里水泥厂河、柴港河、西沙河；</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景区5个：叶桥大沟、官河、北城河（叶桥大沟）、锦旺苑池塘、槐泗河支河老槐泗河；</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⑤</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江都区8个：张纲河、团结河、中心河、双沟新河；⑥生态科技新城8个：杭集镇小运河一期、杭集镇小运河二期、杭集镇小运河三期、严桥河、刘庄河、稽陈河、丁家口河、工业园河。</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2、对各县（市）</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前</w:t>
      </w:r>
      <w:r>
        <w:rPr>
          <w:rFonts w:hint="eastAsia" w:ascii="宋体" w:hAnsi="宋体" w:eastAsia="宋体" w:cs="宋体"/>
          <w:color w:val="auto"/>
          <w:sz w:val="21"/>
          <w:szCs w:val="21"/>
          <w:highlight w:val="none"/>
        </w:rPr>
        <w:t xml:space="preserve">完成整治的共27个黑臭水体（按照每季度1次的检测频率）进行4项指标（溶解氧、氨氮、透明度、氧化还原电位）水质检测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同步开展巡河、排口检查</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，具体为：</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征市石桥河、仪城河、金斗河、马桥排水沟、四中排水沟、清真寺排水沟、弘桥排水沟、三元沟、三八沿山河、三八中心沟、古湄河、红叶排水沟、梅套排水沟等共13个黑臭水体；高邮市玉带河、新华河、支农河、中大沟、腰庄河、先锋河、新畅路西河、亿泰东渠、香沟河、南澄子河中段等共10个黑臭水体；宝应县宋泾河、邰家河、城市河、东阳河等共4个黑臭水体。</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3、根据采购人指令对突发情况下河道水质进行应急检测或按指令开展机动抽检，全年按4次（每次15个</w:t>
      </w:r>
      <w:r>
        <w:rPr>
          <w:rFonts w:hint="eastAsia" w:ascii="宋体" w:hAnsi="宋体" w:cs="宋体"/>
          <w:color w:val="auto"/>
          <w:sz w:val="21"/>
          <w:szCs w:val="21"/>
          <w:highlight w:val="none"/>
          <w:lang w:val="en-US" w:eastAsia="zh-CN"/>
        </w:rPr>
        <w:t xml:space="preserve">疑似</w:t>
      </w:r>
      <w:r>
        <w:rPr>
          <w:rFonts w:hint="eastAsia" w:ascii="宋体" w:hAnsi="宋体" w:eastAsia="宋体" w:cs="宋体"/>
          <w:color w:val="auto"/>
          <w:sz w:val="21"/>
          <w:szCs w:val="21"/>
          <w:highlight w:val="none"/>
        </w:rPr>
        <w:t xml:space="preserve">黑臭水体）4项指标（溶解氧、氨氮、透明度、氧化还原电位）检测考虑；</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4、根据采购人安排对各黑臭河道整治工作进行技术指导，配合做好黑臭水体督查和科研工作。</w:t>
      </w:r>
      <w:r/>
    </w:p>
    <w:p>
      <w:pPr>
        <w:ind w:firstLine="422"/>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二、检测分析方法</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（一）采样。点位设置应符合国家《黑臭水体整治工作指南》要求，每个黑臭水体不少于3个。采样点设置于水面下0.5m处，水深不足0.5m时，设置在水深的 1/2处。样品采集后，加水样保存剂保存。 </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（二）分析方法。透明度、溶解氧、氧化还原电位需采用现场原位测定，氨氮采用实验室分析测定。实验室的分析方法需经过计量认证，采用的试剂、分析仪器等必须满足检测工作要求 ，且采用的分析仪器需满足分析方法对仪器检测限和实验精度的要求。4项水质指标具体测定方法详见下表：</w:t>
      </w:r>
      <w:r/>
    </w:p>
    <w:p>
      <w:pPr>
        <w:spacing w:line="360" w:lineRule="auto"/>
        <w:rPr>
          <w:rFonts w:ascii="宋体" w:hAnsi="宋体"/>
          <w:color w:val="auto"/>
          <w:szCs w:val="21"/>
          <w:highlight w:val="none"/>
        </w:rPr>
      </w:pPr>
      <w:r>
        <w:rPr>
          <w:rFonts w:ascii="宋体" w:hAnsi="宋体"/>
          <w:color w:val="auto"/>
          <w:szCs w:val="21"/>
          <w:highlight w:val="none"/>
        </w:rPr>
        <mc:AlternateContent>
          <mc:Choice Requires="wpg">
            <w:drawing>
              <wp:inline xmlns:wp="http://schemas.openxmlformats.org/drawingml/2006/wordprocessingDrawing" distT="0" distB="0" distL="0" distR="0">
                <wp:extent cx="5273040" cy="1793875"/>
                <wp:effectExtent l="0" t="0" r="0" b="4445"/>
                <wp:docPr id="3" name="图片 1" descr="QQ图片2018032617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QQ图片20180326173647"/>
                        <pic:cNvPicPr>
                          <a:picLocks noChangeAspect="1"/>
                        </pic:cNvPicPr>
                        <pic:nvPr/>
                      </pic:nvPicPr>
                      <pic:blipFill>
                        <a:blip r:embed="rId17"/>
                        <a:stretch/>
                      </pic:blipFill>
                      <pic:spPr bwMode="auto">
                        <a:xfrm>
                          <a:off x="0" y="0"/>
                          <a:ext cx="5273040" cy="179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2pt;height:141.2pt;mso-wrap-distance-left:0.0pt;mso-wrap-distance-top:0.0pt;mso-wrap-distance-right:0.0pt;mso-wrap-distance-bottom:0.0pt;" stroked="f">
                <v:path textboxrect="0,0,0,0"/>
                <v:imagedata r:id="rId17" o:title=""/>
              </v:shape>
            </w:pict>
          </mc:Fallback>
        </mc:AlternateConten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（三）检测结果评价。采用每个黑臭水体透明度、溶解氧、氧化还原电位和氨氮4项指标的所有采样点的监测结果的算术平均值，对照城市黑臭水体污染程度分级标准（见表1-2），进行黑臭水体的检测结果评价。</w:t>
      </w:r>
      <w:r/>
    </w:p>
    <w:p>
      <w:pPr>
        <w:ind w:left="0" w:firstLine="42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ascii="宋体" w:hAnsi="宋体" w:cs="宋体"/>
          <w:color w:val="auto"/>
          <w:szCs w:val="21"/>
          <w:highlight w:val="none"/>
        </w:rPr>
        <mc:AlternateContent>
          <mc:Choice Requires="wpg">
            <w:drawing>
              <wp:inline xmlns:wp="http://schemas.openxmlformats.org/drawingml/2006/wordprocessingDrawing" distT="0" distB="0" distL="0" distR="0">
                <wp:extent cx="5046980" cy="1939925"/>
                <wp:effectExtent l="0" t="0" r="12700" b="10795"/>
                <wp:docPr id="4" name="图片 2" descr="4R)JVX_MYHX)GK3SG9CE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4R)JVX_MYHX)GK3SG9CEN$L"/>
                        <pic:cNvPicPr>
                          <a:picLocks noChangeAspect="1"/>
                        </pic:cNvPicPr>
                        <pic:nvPr/>
                      </pic:nvPicPr>
                      <pic:blipFill>
                        <a:blip r:embed="rId18"/>
                        <a:stretch/>
                      </pic:blipFill>
                      <pic:spPr bwMode="auto">
                        <a:xfrm>
                          <a:off x="0" y="0"/>
                          <a:ext cx="5046980" cy="193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7.4pt;height:152.8pt;mso-wrap-distance-left:0.0pt;mso-wrap-distance-top:0.0pt;mso-wrap-distance-right:0.0pt;mso-wrap-distance-bottom:0.0pt;" stroked="f">
                <v:path textboxrect="0,0,0,0"/>
                <v:imagedata r:id="rId18" o:title=""/>
              </v:shape>
            </w:pict>
          </mc:Fallback>
        </mc:AlternateContent>
      </w:r>
      <w:r>
        <w:rPr>
          <w:rFonts w:ascii="宋体" w:hAnsi="宋体"/>
          <w:color w:val="auto"/>
          <w:szCs w:val="21"/>
          <w:highlight w:val="none"/>
        </w:rPr>
        <w:t xml:space="preserve">  </w:t>
      </w:r>
      <w:r>
        <w:rPr>
          <w:rFonts w:hint="eastAsia" w:ascii="宋体" w:hAnsi="宋体" w:eastAsia="宋体" w:cs="宋体"/>
          <w:b/>
          <w:color w:val="auto"/>
          <w:sz w:val="21"/>
          <w:szCs w:val="21"/>
          <w:highlight w:val="none"/>
        </w:rPr>
        <w:t xml:space="preserve">三、成果文件要求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1、按照检测规范要求做好检测工作，在检测时，发现不合格的检测指标项目，应在采样后3天内先行告知采购人，并且出具分析报告；采样后7天内出具水质检测报告。检测结果可通过传真或E -mail及时告知采购人，正式报告须在当月另行送达。</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2、根据检测情况撰写每季度水质分析报告及全年黑臭水体治理效果白皮书。</w:t>
      </w:r>
      <w:r/>
    </w:p>
    <w:p>
      <w:pPr>
        <w:ind w:left="0" w:firstLine="420"/>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3、针对扬州市黑臭水体整治情况开展科学研究，在核心期刊发表论文2篇以上，争取1项以上专利成果。</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四、其他</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1、中标人应提供完成取样和检测等工作所需的充足人员、设备、车辆，并承担所需费用，确保检测工作效率和质量。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2、中标人每次取样前应提前5日通知采购人，以便进行监督。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r>
      <w:r/>
    </w:p>
    <w:p>
      <w:pPr>
        <w:ind w:firstLine="420"/>
        <w:spacing w:line="360" w:lineRule="auto"/>
        <w:rPr>
          <w:color w:val="auto"/>
          <w:highlight w:val="none"/>
        </w:rPr>
      </w:pPr>
      <w:r>
        <w:rPr>
          <w:color w:val="auto"/>
          <w:highlight w:val="none"/>
        </w:rPr>
      </w:r>
      <w:r/>
    </w:p>
    <w:p>
      <w:pPr>
        <w:pStyle w:val="934"/>
        <w:jc w:val="center"/>
        <w:rPr>
          <w:rFonts w:hint="eastAsia"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53" w:name="_Toc55204181"/>
      <w:r/>
      <w:r/>
    </w:p>
    <w:p>
      <w:pPr>
        <w:pStyle w:val="934"/>
        <w:numPr>
          <w:ilvl w:val="0"/>
          <w:numId w:val="0"/>
        </w:numPr>
        <w:jc w:val="center"/>
        <w:spacing w:line="240" w:lineRule="auto"/>
        <w:rPr>
          <w:rFonts w:hint="eastAsia"/>
          <w:color w:val="auto"/>
          <w:highlight w:val="none"/>
        </w:rPr>
      </w:pPr>
      <w:r>
        <w:rPr>
          <w:rFonts w:hint="eastAsia"/>
          <w:color w:val="auto"/>
          <w:highlight w:val="none"/>
        </w:rPr>
        <w:t xml:space="preserve">第五章 评标方法及评标标准</w:t>
      </w:r>
      <w:bookmarkEnd w:id="53"/>
      <w:r/>
      <w:r/>
    </w:p>
    <w:p>
      <w:pPr>
        <w:pStyle w:val="976"/>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76"/>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4" w:name="_Toc449016388"/>
      <w:r/>
      <w:bookmarkStart w:id="55" w:name="_Toc449017024"/>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4"/>
      <w:r/>
      <w:bookmarkEnd w:id="55"/>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6"/>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9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9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76"/>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76"/>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76"/>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976"/>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976"/>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三、评标标准</w:t>
      </w:r>
      <w:r/>
    </w:p>
    <w:tbl>
      <w:tblPr>
        <w:tblStyle w:val="763"/>
        <w:tblW w:w="97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18"/>
        <w:gridCol w:w="8590"/>
      </w:tblGrid>
      <w:tr>
        <w:trPr>
          <w:jc w:val="center"/>
          <w:trHeight w:val="597"/>
        </w:trPr>
        <w:tc>
          <w:tcPr>
            <w:tcW w:w="11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8590" w:type="dxa"/>
            <w:vAlign w:val="center"/>
            <w:textDirection w:val="lrTb"/>
            <w:noWrap w:val="false"/>
          </w:tcPr>
          <w:p>
            <w:pPr>
              <w:ind w:firstLine="42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452"/>
        </w:trPr>
        <w:tc>
          <w:tcPr>
            <w:tcW w:w="11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分，其他投标报价得分=（评标基准价/其他投标报价）×1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p>
        </w:tc>
      </w:tr>
      <w:tr>
        <w:trPr>
          <w:jc w:val="center"/>
          <w:trHeight w:val="553"/>
        </w:trPr>
        <w:tc>
          <w:tcPr>
            <w:tcW w:w="11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检测方案</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分）</w:t>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根据采购文件要求制定检测实施方案，主要包括采样检测方案和计划、质量控制方案、超标复测、应急事件的处理程序方面。</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样检测方案和计划：检测方案依据充分、流程清晰、内容全面、措施合理，项目实施计划合理有效，合理安排实施进度，并能对水质检测作阶段性评价，方案检测方法、流程、保存方法等及相关建议满足国家、行业等相应标准、规范，符合扬州市实际情况且便于实施。方案合理性完全响应需求，技术可行性强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分；方案基本合理得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分；方案不合理不得分。</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量控制方案：方案切合项目实际，质控计划保障可靠，分析报告依据充分有指导性，按照规定时间出具水质检测报告（方案中未明确检测结果告知、报告出具、送达等时间的视为未响应）。方案完全针对需求，技术可行性强得6分；方案基本响应需求得4分；方案针对性差不得分。</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3、超标复测：方案明确各监测指标标准范围，超标指标及时反馈主管部门，针对性分析超标原因，听从主管部门复测安排，复测安排合理可行。方案完全针对需求，技术可行性强得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分；方案基本响应需求得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分；方案针对性差不得分。</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4、应急事件处理：方案明确应急措施，措施符合扬州实际情况且便于实施，同时及时参与突发事件调查检测，为水质突发状况提出针对性检测或溯源方案。方案完全针对需求，技术可行性强得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分；方案基本响应需求得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分；方案针对性差不得分。</w:t>
            </w:r>
            <w:r/>
          </w:p>
          <w:p>
            <w:pPr>
              <w:ind w:firstLine="0"/>
              <w:jc w:val="both"/>
              <w:keepLines w:val="0"/>
              <w:keepNext w:val="0"/>
              <w:pageBreakBefore w:val="0"/>
              <w:spacing w:line="44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5、河道巡查和排口巡查方案：采样过程中对河道及排口进行巡查，巡查包括排口、水质、岸坡保洁及水面保洁等方面，发现有问题河道及时上报反馈并进行主观评价。</w:t>
            </w:r>
            <w:r>
              <w:rPr>
                <w:rFonts w:hint="eastAsia" w:ascii="宋体" w:hAnsi="宋体" w:eastAsia="宋体" w:cs="宋体"/>
                <w:color w:val="auto"/>
                <w:sz w:val="21"/>
                <w:szCs w:val="21"/>
                <w:highlight w:val="none"/>
              </w:rPr>
              <w:t xml:space="preserve">方案完全针对需求，技术可行性强得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分；方案基本响应需求得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分；方案针对性差不得分。</w:t>
            </w:r>
            <w:r/>
          </w:p>
        </w:tc>
      </w:tr>
      <w:tr>
        <w:trPr>
          <w:jc w:val="center"/>
          <w:trHeight w:val="553"/>
        </w:trPr>
        <w:tc>
          <w:tcPr>
            <w:tcW w:w="111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拟投入本项目实验室及设备</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验室检测设备配备：实验室须配备满足本项目检测能力的离子体质谱仪、电感耦合等离子体发射光谱仪、气相色谱质谱仪、气相色谱仪、液相色谱仪、溶解氧仪、分光光度计、氧化还原电位计等设备。满分8分，每缺少1台扣1分。（投标文件中须提供有效期内的检定或校准证书</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w:t>
            </w:r>
            <w:r/>
          </w:p>
        </w:tc>
      </w:tr>
      <w:tr>
        <w:trPr>
          <w:jc w:val="center"/>
          <w:trHeight w:val="553"/>
        </w:trPr>
        <w:tc>
          <w:tcPr>
            <w:tcW w:w="1118" w:type="dxa"/>
            <w:vAlign w:val="center"/>
            <w:vMerge w:val="continue"/>
            <w:textDirection w:val="lrTb"/>
            <w:noWrap w:val="false"/>
          </w:tcPr>
          <w:p>
            <w:pPr>
              <w:ind w:firstLine="42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2、实验室资质认定的环境类监测项目数：自201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至今，通过省级以上质量技术监督局实验室资质认定的环境类监测项目数在200项以上且证书在有效期内且证书附表中含氧化还原电位、透明度、氨氮、溶解氧检测项目得6分；认定的环境类监测项目数在100至200项之间且证书在有效期内且证书附表中含氧化还原电位、透明度、氨氮、溶解氧检测项目得4分；认定的环境类监测项目数不足100项的得2分（须提供实验室资质认定证书及附表</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w:t>
            </w:r>
            <w:r/>
          </w:p>
        </w:tc>
      </w:tr>
      <w:tr>
        <w:trPr>
          <w:jc w:val="center"/>
          <w:trHeight w:val="553"/>
        </w:trPr>
        <w:tc>
          <w:tcPr>
            <w:tcW w:w="1118" w:type="dxa"/>
            <w:vAlign w:val="center"/>
            <w:vMerge w:val="continue"/>
            <w:textDirection w:val="lrTb"/>
            <w:noWrap w:val="false"/>
          </w:tcPr>
          <w:p>
            <w:pPr>
              <w:ind w:firstLine="42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3、能力认证：根据20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年以来投标人参加水质类的计量认证和中国实验室认可委员会组织的能力验证及实验室比对情况综合评定，每提供一份合格的能力验证报告得2分，最高得10分(须提供能力验证报告</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w:t>
            </w:r>
            <w:r/>
          </w:p>
        </w:tc>
      </w:tr>
      <w:tr>
        <w:trPr>
          <w:jc w:val="center"/>
          <w:trHeight w:val="553"/>
        </w:trPr>
        <w:tc>
          <w:tcPr>
            <w:tcW w:w="1118" w:type="dxa"/>
            <w:vAlign w:val="center"/>
            <w:vMerge w:val="continue"/>
            <w:textDirection w:val="lrTb"/>
            <w:noWrap w:val="false"/>
          </w:tcPr>
          <w:p>
            <w:pPr>
              <w:ind w:firstLine="42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4、专业采样车辆及设备配备：</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投标人需配备专用采样或样品运输车辆，有一辆得1分，最高为3分；</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专用采样或样品运输车辆配备专用样品储存设备，有一台设备得1分，最高为3分。（投标文件中应提供采样或样品运输车辆、样品储存设备全景照片；提供与照片相对应的车辆行驶证、样品储存设备发票</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w:t>
            </w:r>
            <w:r/>
          </w:p>
        </w:tc>
      </w:tr>
      <w:tr>
        <w:trPr>
          <w:jc w:val="center"/>
          <w:trHeight w:val="553"/>
        </w:trPr>
        <w:tc>
          <w:tcPr>
            <w:tcW w:w="111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拟投入本项目人员</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（12分）</w:t>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项目负责人能力：</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1、拟担任本项目的项目负责人具有8年及以上从事水质（环境）检测工作经验的得3分；</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2、具有从事化学化工（或环境）高级职称且为授权签字人的，得3分</w:t>
            </w:r>
            <w:r>
              <w:rPr>
                <w:rFonts w:hint="eastAsia" w:ascii="宋体" w:hAnsi="宋体" w:eastAsia="宋体" w:cs="宋体"/>
                <w:color w:val="auto"/>
                <w:sz w:val="21"/>
                <w:szCs w:val="21"/>
                <w:highlight w:val="none"/>
                <w:lang w:eastAsia="zh-CN"/>
              </w:rPr>
              <w:t xml:space="preserve">；</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(投标文件中须提供</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相关证明、证书及资质附表中批准的授权签字人名单</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w:t>
            </w:r>
            <w:r/>
          </w:p>
        </w:tc>
      </w:tr>
      <w:tr>
        <w:trPr>
          <w:jc w:val="center"/>
          <w:trHeight w:val="553"/>
        </w:trPr>
        <w:tc>
          <w:tcPr>
            <w:tcW w:w="1118" w:type="dxa"/>
            <w:vAlign w:val="center"/>
            <w:vMerge w:val="continue"/>
            <w:textDirection w:val="lrTb"/>
            <w:noWrap w:val="false"/>
          </w:tcPr>
          <w:p>
            <w:pPr>
              <w:ind w:firstLine="42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项目组成员能力：承担本项目的主要人员(除项目负责人外)</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1、具有高级职称技术人员的人数达到4人及以上的得3分；</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2、具有中级职称技术人员的人数达到8人及以上的得3分</w:t>
            </w:r>
            <w:r>
              <w:rPr>
                <w:rFonts w:hint="eastAsia" w:ascii="宋体" w:hAnsi="宋体" w:eastAsia="宋体" w:cs="宋体"/>
                <w:color w:val="auto"/>
                <w:sz w:val="21"/>
                <w:szCs w:val="21"/>
                <w:highlight w:val="none"/>
                <w:lang w:eastAsia="zh-CN"/>
              </w:rPr>
              <w:t xml:space="preserve">；</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(须提供</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职称证书及投标人近3个月</w:t>
            </w:r>
            <w:r>
              <w:rPr>
                <w:rFonts w:hint="eastAsia" w:ascii="宋体" w:hAnsi="宋体" w:eastAsia="宋体" w:cs="宋体"/>
                <w:color w:val="auto"/>
                <w:sz w:val="21"/>
                <w:szCs w:val="21"/>
                <w:highlight w:val="none"/>
                <w:lang w:val="en-US" w:eastAsia="zh-CN"/>
              </w:rPr>
              <w:t xml:space="preserve">任意一个月</w:t>
            </w:r>
            <w:r>
              <w:rPr>
                <w:rFonts w:hint="eastAsia" w:ascii="宋体" w:hAnsi="宋体" w:eastAsia="宋体" w:cs="宋体"/>
                <w:color w:val="auto"/>
                <w:sz w:val="21"/>
                <w:szCs w:val="21"/>
                <w:highlight w:val="none"/>
              </w:rPr>
              <w:t xml:space="preserve">为其缴纳社保的证明</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w:t>
            </w:r>
            <w:r/>
          </w:p>
        </w:tc>
      </w:tr>
      <w:tr>
        <w:trPr>
          <w:jc w:val="center"/>
          <w:trHeight w:val="460"/>
        </w:trPr>
        <w:tc>
          <w:tcPr>
            <w:tcW w:w="111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bottom w:val="single" w:color="000000" w:sz="4" w:space="0"/>
            </w:tcBorders>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在水质检测领域有较强科研能力，发表专业论文或持有专利的。非核心期刊论文每篇得0.5分、核心期刊论文或专利每篇（每个）得1分，最高得分为2分。论文和专利第一人必须为填投标人签订劳动合同的职工。（投标文件中须提供论文发表期刊的封面、目录和论文及专利证书</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并注明期刊类型，未提供不得分）</w:t>
            </w:r>
            <w:r/>
          </w:p>
        </w:tc>
      </w:tr>
      <w:tr>
        <w:trPr>
          <w:jc w:val="center"/>
          <w:trHeight w:val="420"/>
        </w:trPr>
        <w:tc>
          <w:tcPr>
            <w:tcBorders>
              <w:top w:val="single" w:color="000000" w:sz="4" w:space="0"/>
            </w:tcBorders>
            <w:tcW w:w="111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000000" w:sz="4" w:space="0"/>
            </w:tcBorders>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年以来完成的类似黑臭水体水质检测相关项目服务（须包含溶解氧、透明度、氨氮、氧化还原电位指标）获得良好服务评价且未发生重大失误的,每提供一份服务满意度评价得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分（须提供服务满意度证明和对应的水质检测合同</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，未提供不得分，所有业绩不可重复）</w:t>
            </w:r>
            <w:r/>
          </w:p>
        </w:tc>
      </w:tr>
      <w:tr>
        <w:trPr>
          <w:jc w:val="center"/>
          <w:trHeight w:val="420"/>
        </w:trPr>
        <w:tc>
          <w:tcPr>
            <w:tcW w:w="1118" w:type="dxa"/>
            <w:vAlign w:val="center"/>
            <w:vMerge w:val="continue"/>
            <w:textDirection w:val="lrTb"/>
            <w:noWrap w:val="false"/>
          </w:tcPr>
          <w:p>
            <w:pPr>
              <w:ind w:firstLine="42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tcBorders>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2、投标人在</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年以来完成的与本项目类似的水质检测技术指导服务、培训项目，且服务质量受到主管部门（单位）肯定的，每提供一个有效案例得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分（须</w:t>
            </w:r>
            <w:r>
              <w:rPr>
                <w:rFonts w:hint="eastAsia" w:ascii="宋体" w:hAnsi="宋体" w:eastAsia="宋体" w:cs="宋体"/>
                <w:color w:val="auto"/>
                <w:sz w:val="21"/>
                <w:szCs w:val="21"/>
                <w:highlight w:val="none"/>
                <w:lang w:val="en-US" w:eastAsia="zh-CN"/>
              </w:rPr>
              <w:t xml:space="preserve">同时</w:t>
            </w:r>
            <w:r>
              <w:rPr>
                <w:rFonts w:hint="eastAsia" w:ascii="宋体" w:hAnsi="宋体" w:eastAsia="宋体" w:cs="宋体"/>
                <w:color w:val="auto"/>
                <w:sz w:val="21"/>
                <w:szCs w:val="21"/>
                <w:highlight w:val="none"/>
              </w:rPr>
              <w:t xml:space="preserve">提供对应的技术服务合同或委托书、成果文件（涉密部分可遮挡或删减）、主管部门（单位）认可证明材料</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，未提供不得分，所有业绩不可重复）</w:t>
            </w:r>
            <w:r/>
          </w:p>
        </w:tc>
      </w:tr>
      <w:tr>
        <w:trPr>
          <w:jc w:val="center"/>
          <w:trHeight w:val="420"/>
        </w:trPr>
        <w:tc>
          <w:tcPr>
            <w:tcW w:w="1118" w:type="dxa"/>
            <w:vAlign w:val="center"/>
            <w:vMerge w:val="continue"/>
            <w:textDirection w:val="lrTb"/>
            <w:noWrap w:val="false"/>
          </w:tcPr>
          <w:p>
            <w:pPr>
              <w:ind w:firstLine="420"/>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tcBorders>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3、投标人在</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年以来所完成的与本项目类似的水质检测项目服务且未发生重大失误的，每个项目得1分,最高得3分（须提供对应的水质检测合同及对应合同项目部分CMA检测报告</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，未提供不得分，所有业绩不可重复）</w:t>
            </w:r>
            <w:r/>
          </w:p>
        </w:tc>
      </w:tr>
      <w:tr>
        <w:trPr>
          <w:jc w:val="center"/>
          <w:trHeight w:val="90"/>
        </w:trPr>
        <w:tc>
          <w:tcPr>
            <w:tcW w:w="11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服务承诺及响应</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8590"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服务承诺：</w:t>
            </w:r>
            <w:r/>
          </w:p>
          <w:p>
            <w:pPr>
              <w:ind w:firstLine="0"/>
              <w:jc w:val="both"/>
              <w:keepLines w:val="0"/>
              <w:keepNext w:val="0"/>
              <w:pageBreakBefore w:val="0"/>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1、为确保监测质量以及应对突发事件的应急监测，投标人承诺中标后在扬州地区有服务机构，且能提供人员常驻采购人现场服务的得3分，不能提供的不得分。（提供承诺书</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2、投标人承诺提前做好应急预案，同时遇突发水质事件，提供应急检测及技术服务。预案切实合理，符合扬州实际情况且便于实施得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分；预案基本可行，得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分；预案可操作性差不得分。（提供承诺书</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w:t>
            </w:r>
            <w:r/>
          </w:p>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3、投标人承诺成交后在接到采购人应急工作时能够在2小时内赶到现场的得2分,每推迟1小时扣减1分，扣完为止。（提供承诺书</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rPr>
              <w:t xml:space="preserve">）</w:t>
            </w:r>
            <w:r/>
          </w:p>
        </w:tc>
      </w:tr>
    </w:tbl>
    <w:p>
      <w:pPr>
        <w:rPr>
          <w:rFonts w:ascii="黑体" w:eastAsia="黑体"/>
          <w:bCs/>
          <w:color w:val="auto"/>
          <w:sz w:val="44"/>
          <w:highlight w:val="none"/>
        </w:rPr>
      </w:pPr>
      <w:r>
        <w:rPr>
          <w:rFonts w:ascii="黑体" w:eastAsia="黑体"/>
          <w:bCs/>
          <w:color w:val="auto"/>
          <w:sz w:val="44"/>
          <w:highlight w:val="none"/>
        </w:rPr>
      </w:r>
      <w:r/>
    </w:p>
    <w:p>
      <w:pPr>
        <w:jc w:val="left"/>
        <w:spacing w:line="360" w:lineRule="auto"/>
        <w:tabs>
          <w:tab w:val="left" w:pos="3629" w:leader="none"/>
        </w:tabs>
        <w:rPr>
          <w:rFonts w:hint="eastAsia" w:ascii="宋体" w:hAnsi="宋体"/>
          <w:color w:val="auto"/>
          <w:sz w:val="36"/>
          <w:highlight w:val="none"/>
        </w:r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pStyle w:val="934"/>
        <w:jc w:val="center"/>
        <w:rPr>
          <w:rFonts w:hint="eastAsia"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highlight w:val="none"/>
        </w:rPr>
      </w:r>
      <w:r/>
    </w:p>
    <w:p>
      <w:pPr>
        <w:pStyle w:val="934"/>
        <w:jc w:val="center"/>
        <w:rPr>
          <w:rFonts w:hint="eastAsia" w:ascii="宋体" w:hAnsi="宋体"/>
          <w:color w:val="auto"/>
          <w:highlight w:val="none"/>
        </w:rPr>
      </w:pPr>
      <w:r>
        <w:rPr>
          <w:rFonts w:hint="eastAsia" w:ascii="宋体" w:hAnsi="宋体"/>
          <w:color w:val="auto"/>
          <w:highlight w:val="none"/>
        </w:rPr>
      </w:r>
      <w:r/>
    </w:p>
    <w:p>
      <w:pPr>
        <w:pStyle w:val="934"/>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35"/>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41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37"/>
              <w:rPr>
                <w:color w:val="auto"/>
                <w:highlight w:val="none"/>
              </w:rPr>
            </w:pPr>
            <w:r>
              <w:rPr>
                <w:rFonts w:hint="eastAsia" w:ascii="宋体" w:hAnsi="宋体" w:cs="宋体"/>
                <w:b w:val="0"/>
                <w:bCs w:val="0"/>
                <w:color w:val="auto"/>
                <w:sz w:val="21"/>
                <w:szCs w:val="21"/>
                <w:highlight w:val="none"/>
              </w:rPr>
              <w:t xml:space="preserve">根据《政府采购促进中小企业发展管理办法》，本项目专门面向中小企业采购。投标人参加投标时须提供《中小企业声明函》，《中小企业声明函》不符合要求或未提供的，投标文件无效。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lang w:bidi="ar"/>
              </w:rPr>
              <w:t xml:space="preserve">投标人具有有效期内的中国国家认证认可监督管理委员会或省级质量技术监督局认证的检验检测机构资质认定证书(CMA)，证书附表中含氧化还原电位、透明度、氨氮、溶解氧检测项目(原件扫描上传）。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37"/>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keepLines w:val="0"/>
        <w:keepNext w:val="0"/>
        <w:pageBreakBefore w:val="0"/>
        <w:spacing w:line="440" w:lineRule="exact"/>
        <w:widowControl w:val="off"/>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承诺主体名称：</w:t>
      </w:r>
      <w:r/>
    </w:p>
    <w:p>
      <w:pP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76"/>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江苏汇诚投资咨询管理有限公司</w:t>
      </w:r>
      <w:r/>
    </w:p>
    <w:p>
      <w:pPr>
        <w:pStyle w:val="97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7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7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7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7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76"/>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76"/>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76"/>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76"/>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7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7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7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7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7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7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7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7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56"/>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5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5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56"/>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5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56"/>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56"/>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56"/>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56"/>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35"/>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35"/>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（租赁和商务服务业）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（租赁和商务服务业）（不得对行业类别修改）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hint="eastAsia" w:ascii="宋体" w:hAnsi="宋体" w:eastAsia="宋体" w:cs="微软雅黑"/>
          <w:bCs w:val="0"/>
          <w:color w:val="auto"/>
          <w:sz w:val="21"/>
          <w:szCs w:val="21"/>
          <w:highlight w:val="none"/>
        </w:rPr>
      </w:pPr>
      <w:r>
        <w:rPr>
          <w:rFonts w:hint="eastAsia"/>
          <w:color w:val="auto"/>
          <w:highlight w:val="none"/>
        </w:rPr>
        <w:t xml:space="preserve">日 期：</w:t>
      </w:r>
      <w:r/>
    </w:p>
    <w:p>
      <w:pPr>
        <w:pStyle w:val="935"/>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963"/>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40"/>
          <w:rFonts w:hint="eastAsia" w:ascii="宋体" w:hAnsi="宋体" w:cs="仿宋"/>
          <w:color w:val="auto"/>
          <w:sz w:val="21"/>
          <w:szCs w:val="21"/>
          <w:highlight w:val="none"/>
        </w:rPr>
        <w:t xml:space="preserve">中小微企业划型标准如下：</w:t>
      </w:r>
      <w:r/>
    </w:p>
    <w:tbl>
      <w:tblPr>
        <w:tblStyle w:val="763"/>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963"/>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63"/>
              <w:ind w:firstLine="420"/>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63"/>
              <w:jc w:val="center"/>
              <w:spacing w:after="150" w:line="360" w:lineRule="auto"/>
              <w:widowControl/>
              <w:rPr>
                <w:rFonts w:ascii="宋体" w:hAnsi="宋体"/>
                <w:color w:val="auto"/>
                <w:sz w:val="21"/>
                <w:szCs w:val="21"/>
                <w:highlight w:val="none"/>
              </w:rPr>
            </w:pPr>
            <w:r>
              <w:rPr>
                <w:rStyle w:val="940"/>
                <w:rFonts w:hint="eastAsia" w:ascii="宋体" w:hAnsi="宋体" w:cs="仿宋"/>
                <w:color w:val="auto"/>
                <w:sz w:val="21"/>
                <w:szCs w:val="21"/>
                <w:highlight w:val="none"/>
              </w:rPr>
              <w:t xml:space="preserve">X＜10</w:t>
            </w:r>
            <w:r/>
          </w:p>
        </w:tc>
      </w:tr>
    </w:tbl>
    <w:p>
      <w:pPr>
        <w:pStyle w:val="963"/>
        <w:ind w:firstLine="810"/>
        <w:spacing w:before="300" w:after="452" w:line="360" w:lineRule="auto"/>
        <w:widowControl/>
        <w:rPr>
          <w:rStyle w:val="940"/>
          <w:rFonts w:ascii="宋体" w:hAnsi="宋体" w:cs="仿宋"/>
          <w:color w:val="auto"/>
          <w:sz w:val="21"/>
          <w:szCs w:val="21"/>
          <w:highlight w:val="none"/>
        </w:rPr>
      </w:pPr>
      <w:r>
        <w:rPr>
          <w:rStyle w:val="94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37"/>
        <w:rPr>
          <w:rStyle w:val="940"/>
          <w:rFonts w:cs="仿宋"/>
          <w:b w:val="0"/>
          <w:color w:val="auto"/>
          <w:sz w:val="21"/>
          <w:szCs w:val="21"/>
          <w:highlight w:val="none"/>
        </w:rPr>
      </w:pPr>
      <w:r>
        <w:rPr>
          <w:rStyle w:val="940"/>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35"/>
        <w:ind w:firstLine="3213"/>
        <w:jc w:val="both"/>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44"/>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31" w:type="dxa"/>
            <w:vAlign w:val="center"/>
            <w:textDirection w:val="lrTb"/>
            <w:noWrap w:val="false"/>
          </w:tcPr>
          <w:p>
            <w:pPr>
              <w:rPr>
                <w:rFonts w:hint="eastAsia"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rPr>
                <w:rFonts w:hint="eastAsia" w:ascii="宋体" w:hAnsi="宋体"/>
                <w:color w:val="auto"/>
                <w:szCs w:val="21"/>
                <w:highlight w:val="none"/>
                <w:lang w:val="en-US" w:eastAsia="zh-CN"/>
              </w:rPr>
              <w:t xml:space="preserve">三</w:t>
            </w:r>
            <w:r>
              <w:rPr>
                <w:rFonts w:hint="eastAsia" w:ascii="宋体" w:hAnsi="宋体"/>
                <w:color w:val="auto"/>
                <w:szCs w:val="21"/>
                <w:highlight w:val="none"/>
              </w:rPr>
              <w:t xml:space="preserve">年）</w:t>
            </w:r>
            <w:r/>
          </w:p>
        </w:tc>
      </w:tr>
      <w:tr>
        <w:trPr>
          <w:cantSplit/>
          <w:trHeight w:val="1697"/>
        </w:trPr>
        <w:tc>
          <w:tcPr>
            <w:tcW w:w="2481" w:type="dxa"/>
            <w:vAlign w:val="center"/>
            <w:textDirection w:val="lrTb"/>
            <w:noWrap w:val="false"/>
          </w:tcPr>
          <w:p>
            <w:pPr>
              <w:pStyle w:val="944"/>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976"/>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976"/>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35"/>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36"/>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35"/>
        <w:numPr>
          <w:ilvl w:val="0"/>
          <w:numId w:val="4"/>
        </w:numPr>
        <w:ind w:firstLine="3213"/>
        <w:jc w:val="both"/>
        <w:rPr>
          <w:rFonts w:hint="eastAsia" w:ascii="宋体" w:hAnsi="宋体" w:eastAsia="宋体" w:cs="Times New Roman"/>
          <w:bCs w:val="0"/>
          <w:color w:val="auto"/>
          <w:sz w:val="32"/>
          <w:szCs w:val="32"/>
          <w:highlight w:val="none"/>
        </w:rPr>
      </w:pPr>
      <w:r/>
      <w:bookmarkStart w:id="56" w:name="_Toc113352361"/>
      <w:r>
        <w:rPr>
          <w:rFonts w:hint="eastAsia" w:ascii="宋体" w:hAnsi="宋体" w:eastAsia="宋体" w:cs="Times New Roman"/>
          <w:bCs w:val="0"/>
          <w:color w:val="auto"/>
          <w:sz w:val="32"/>
          <w:szCs w:val="32"/>
          <w:highlight w:val="none"/>
        </w:rPr>
        <w:t xml:space="preserve">分项报价表</w:t>
      </w:r>
      <w:bookmarkEnd w:id="56"/>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cantSplit/>
          <w:trHeight w:val="437"/>
        </w:trPr>
        <w:tc>
          <w:tcPr>
            <w:tcW w:w="277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580"/>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580"/>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pStyle w:val="936"/>
        <w:ind w:firstLine="0"/>
        <w:rPr>
          <w:rFonts w:hint="eastAsia" w:ascii="宋体" w:hAnsi="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highlight w:val="none"/>
        </w:rPr>
      </w:r>
      <w:r/>
    </w:p>
    <w:p>
      <w:pPr>
        <w:pStyle w:val="935"/>
        <w:numPr>
          <w:ilvl w:val="0"/>
          <w:numId w:val="0"/>
        </w:numPr>
        <w:jc w:val="center"/>
        <w:rPr>
          <w:rFonts w:hint="eastAsia" w:ascii="宋体" w:hAnsi="宋体" w:eastAsia="宋体"/>
          <w:color w:val="auto"/>
          <w:sz w:val="32"/>
          <w:highlight w:val="none"/>
        </w:rPr>
      </w:pPr>
      <w:r>
        <w:rPr>
          <w:rFonts w:hint="eastAsia" w:ascii="宋体" w:hAnsi="宋体" w:eastAsia="宋体"/>
          <w:color w:val="auto"/>
          <w:sz w:val="32"/>
          <w:highlight w:val="none"/>
          <w:lang w:val="en-US" w:eastAsia="zh-CN"/>
        </w:rPr>
        <w:t xml:space="preserve">六、</w:t>
      </w:r>
      <w:r>
        <w:rPr>
          <w:rFonts w:hint="eastAsia" w:ascii="宋体" w:hAnsi="宋体" w:eastAsia="宋体"/>
          <w:color w:val="auto"/>
          <w:sz w:val="32"/>
          <w:highlight w:val="none"/>
        </w:rPr>
        <w:t xml:space="preserve">技术参数响应及偏离表</w:t>
      </w:r>
      <w:r/>
    </w:p>
    <w:p>
      <w:pPr>
        <w:pStyle w:val="936"/>
        <w:ind w:firstLine="0"/>
        <w:rPr>
          <w:rFonts w:hint="eastAsia"/>
          <w:color w:val="auto"/>
          <w:highlight w:val="none"/>
        </w:rPr>
      </w:pPr>
      <w:r>
        <w:rPr>
          <w:rFonts w:hint="eastAsia"/>
          <w:color w:val="auto"/>
          <w:highlight w:val="none"/>
        </w:rPr>
        <w:t xml:space="preserve">分包号：</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35"/>
        <w:rPr>
          <w:rFonts w:hint="eastAsia" w:ascii="宋体" w:hAnsi="宋体" w:eastAsia="宋体" w:cs="Times New Roman"/>
          <w:bCs w:val="0"/>
          <w:color w:val="auto"/>
          <w:sz w:val="32"/>
          <w:szCs w:val="32"/>
          <w:highlight w:val="none"/>
        </w:rPr>
      </w:pPr>
      <w:r/>
      <w:bookmarkStart w:id="57" w:name="_Hlt26955054"/>
      <w:r/>
      <w:bookmarkEnd w:id="57"/>
      <w:r/>
      <w:bookmarkStart w:id="58" w:name="_Toc113352363"/>
      <w:r>
        <w:rPr>
          <w:rFonts w:hint="eastAsia" w:ascii="宋体" w:hAnsi="宋体" w:eastAsia="宋体" w:cs="Times New Roman"/>
          <w:bCs w:val="0"/>
          <w:color w:val="auto"/>
          <w:sz w:val="32"/>
          <w:szCs w:val="32"/>
          <w:highlight w:val="none"/>
        </w:rPr>
        <w:t xml:space="preserve">七、商务条款响应及偏离表</w:t>
      </w:r>
      <w:bookmarkEnd w:id="58"/>
      <w:r/>
      <w:r/>
    </w:p>
    <w:p>
      <w:pPr>
        <w:pStyle w:val="936"/>
        <w:rPr>
          <w:rFonts w:hint="eastAsia"/>
          <w:color w:val="auto"/>
          <w:highlight w:val="none"/>
        </w:rPr>
      </w:pPr>
      <w:r>
        <w:rPr>
          <w:rFonts w:hint="eastAsia"/>
          <w:color w:val="auto"/>
          <w:highlight w:val="none"/>
        </w:rPr>
        <w:t xml:space="preserve">分包号：</w:t>
      </w:r>
      <w:r/>
    </w:p>
    <w:tbl>
      <w:tblPr>
        <w:tblStyle w:val="763"/>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36"/>
        <w:ind w:firstLine="480"/>
        <w:rPr>
          <w:rFonts w:ascii="宋体" w:hAnsi="宋体"/>
          <w:color w:val="auto"/>
          <w:sz w:val="24"/>
          <w:highlight w:val="none"/>
        </w:rPr>
      </w:pPr>
      <w:r/>
      <w:bookmarkStart w:id="59" w:name="_Hlt26955066"/>
      <w:r/>
      <w:bookmarkEnd w:id="59"/>
      <w:r/>
      <w:bookmarkStart w:id="60" w:name="_Hlt26609389"/>
      <w:r/>
      <w:bookmarkEnd w:id="60"/>
      <w:r/>
      <w:bookmarkStart w:id="61" w:name="_Hlt26671374"/>
      <w:r/>
      <w:bookmarkEnd w:id="61"/>
      <w:r/>
      <w:bookmarkStart w:id="62" w:name="_Toc462564146"/>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hint="eastAsia" w:ascii="宋体" w:hAnsi="宋体"/>
          <w:color w:val="auto"/>
          <w:sz w:val="24"/>
          <w:highlight w:val="none"/>
        </w:rPr>
        <w:t xml:space="preserve">.</w:t>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bookmarkEnd w:id="62"/>
      <w:r/>
      <w:r/>
    </w:p>
    <w:p>
      <w:pPr>
        <w:pStyle w:val="936"/>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3" w:name="_格式2__法定代表人授权书"/>
      <w:r/>
      <w:bookmarkEnd w:id="63"/>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Times New Roman">
    <w:panose1 w:val="020206030504050203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Fonts w:hint="eastAsia" w:eastAsia="宋体"/>
        <w:lang w:eastAsia="zh-CN"/>
      </w:rPr>
    </w:pPr>
    <w:r>
      <w:rPr>
        <w:rFonts w:hint="eastAsia"/>
        <w:lang w:eastAsia="zh-CN"/>
      </w:rPr>
      <w:t xml:space="preserve">JSZC-321000-HCZX-G2024-0095</w:t>
    </w:r>
    <w:r>
      <w:rPr>
        <w:rFonts w:hint="eastAsia"/>
      </w:rPr>
      <w:t xml:space="preserve">号                           </w:t>
    </w:r>
    <w:r>
      <w:rPr>
        <w:rFonts w:hint="eastAsia"/>
        <w:lang w:val="en-US" w:eastAsia="zh-CN"/>
      </w:rPr>
      <w:t xml:space="preserve">        </w:t>
    </w:r>
    <w:r>
      <w:rPr>
        <w:rFonts w:hint="eastAsia"/>
        <w:lang w:eastAsia="zh-CN"/>
      </w:rPr>
      <w:t xml:space="preserve">江苏汇诚投资咨询管理有限公司</w:t>
    </w:r>
    <w:r/>
  </w:p>
  <w:p>
    <w:pPr>
      <w:pStyle w:val="94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Fonts w:hint="eastAsia" w:eastAsia="宋体"/>
        <w:lang w:eastAsia="zh-CN"/>
      </w:rPr>
    </w:pPr>
    <w:r>
      <w:rPr>
        <w:rFonts w:hint="eastAsia"/>
        <w:lang w:eastAsia="zh-CN"/>
      </w:rPr>
      <w:t xml:space="preserve">JSZC-321000-HCZX-G2024-0095</w:t>
    </w:r>
    <w:r>
      <w:rPr>
        <w:rFonts w:hint="eastAsia"/>
      </w:rPr>
      <w:t xml:space="preserve">号                                  </w:t>
    </w:r>
    <w:r>
      <w:rPr>
        <w:rFonts w:hint="eastAsia"/>
        <w:lang w:eastAsia="zh-CN"/>
      </w:rPr>
      <w:t xml:space="preserve">江苏汇诚投资咨询管理有限公司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rPr>
        <w:rFonts w:hint="eastAsia" w:eastAsia="宋体"/>
        <w:lang w:eastAsia="zh-CN"/>
      </w:rPr>
    </w:pPr>
    <w:r>
      <w:rPr>
        <w:rFonts w:hint="eastAsia"/>
        <w:color w:val="000000"/>
        <w:lang w:eastAsia="zh-CN"/>
      </w:rPr>
      <w:t xml:space="preserve">JSZC-321000-HCZX-G2024-0095</w:t>
    </w:r>
    <w:r>
      <w:rPr>
        <w:rFonts w:hint="eastAsia"/>
        <w:color w:val="000000"/>
      </w:rPr>
      <w:t xml:space="preserve">号</w:t>
    </w:r>
    <w:r>
      <w:rPr>
        <w:color w:val="000000"/>
      </w:rPr>
      <w:tab/>
    </w:r>
    <w:r>
      <w:rPr>
        <w:rFonts w:hint="eastAsia"/>
        <w:color w:val="ff0000"/>
      </w:rPr>
      <w:t xml:space="preserve"> </w:t>
    </w:r>
    <w:r>
      <w:rPr>
        <w:rFonts w:hint="eastAsia"/>
      </w:rPr>
      <w:t xml:space="preserve">                                  </w:t>
    </w:r>
    <w:r>
      <w:rPr>
        <w:rFonts w:hint="eastAsia"/>
        <w:lang w:eastAsia="zh-CN"/>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link w:val="942"/>
    <w:uiPriority w:val="0"/>
    <w:qFormat/>
    <w:pPr>
      <w:jc w:val="both"/>
      <w:widowControl w:val="off"/>
    </w:pPr>
    <w:rPr>
      <w:rFonts w:hint="default" w:ascii="Calibri" w:hAnsi="Calibri" w:eastAsia="宋体" w:cs="Calibri"/>
      <w:sz w:val="21"/>
      <w:szCs w:val="22"/>
      <w:lang w:val="en-US" w:eastAsia="zh-CN" w:bidi="ar-SA"/>
    </w:rPr>
  </w:style>
  <w:style w:type="paragraph" w:styleId="753">
    <w:name w:val="Heading 1"/>
    <w:basedOn w:val="752"/>
    <w:next w:val="752"/>
    <w:link w:val="786"/>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787"/>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788"/>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789"/>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790"/>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791"/>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793"/>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794"/>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right="0" w:firstLine="0"/>
      <w:spacing w:after="57"/>
    </w:pPr>
  </w:style>
  <w:style w:type="paragraph" w:styleId="765">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Body Text Indent"/>
    <w:basedOn w:val="752"/>
    <w:next w:val="752"/>
    <w:uiPriority w:val="0"/>
    <w:qFormat/>
    <w:pPr>
      <w:ind w:firstLine="314"/>
      <w:jc w:val="left"/>
      <w:spacing w:line="720" w:lineRule="exact"/>
    </w:pPr>
    <w:rPr>
      <w:rFonts w:ascii="楷体_GB2312" w:hAnsi="宋体" w:eastAsia="楷体_GB2312"/>
      <w:sz w:val="28"/>
      <w:szCs w:val="28"/>
    </w:rPr>
  </w:style>
  <w:style w:type="paragraph" w:styleId="767">
    <w:name w:val="toc 5"/>
    <w:basedOn w:val="752"/>
    <w:next w:val="752"/>
    <w:uiPriority w:val="39"/>
    <w:unhideWhenUsed/>
    <w:qFormat/>
    <w:pPr>
      <w:ind w:left="1134" w:right="0" w:firstLine="0"/>
      <w:spacing w:after="57"/>
    </w:pPr>
  </w:style>
  <w:style w:type="paragraph" w:styleId="768">
    <w:name w:val="toc 3"/>
    <w:basedOn w:val="752"/>
    <w:next w:val="752"/>
    <w:uiPriority w:val="39"/>
    <w:unhideWhenUsed/>
    <w:qFormat/>
    <w:pPr>
      <w:ind w:left="567" w:right="0" w:firstLine="0"/>
      <w:spacing w:after="57"/>
    </w:pPr>
  </w:style>
  <w:style w:type="paragraph" w:styleId="769">
    <w:name w:val="toc 8"/>
    <w:basedOn w:val="752"/>
    <w:next w:val="752"/>
    <w:uiPriority w:val="39"/>
    <w:unhideWhenUsed/>
    <w:qFormat/>
    <w:pPr>
      <w:ind w:left="1984" w:right="0" w:firstLine="0"/>
      <w:spacing w:after="57"/>
    </w:pPr>
  </w:style>
  <w:style w:type="paragraph" w:styleId="770">
    <w:name w:val="endnote text"/>
    <w:basedOn w:val="752"/>
    <w:link w:val="932"/>
    <w:uiPriority w:val="99"/>
    <w:semiHidden/>
    <w:unhideWhenUsed/>
    <w:qFormat/>
    <w:pPr>
      <w:spacing w:after="0" w:line="240" w:lineRule="auto"/>
    </w:pPr>
    <w:rPr>
      <w:sz w:val="20"/>
    </w:rPr>
  </w:style>
  <w:style w:type="paragraph" w:styleId="771">
    <w:name w:val="Footer"/>
    <w:basedOn w:val="752"/>
    <w:link w:val="805"/>
    <w:uiPriority w:val="99"/>
    <w:unhideWhenUsed/>
    <w:qFormat/>
    <w:pPr>
      <w:spacing w:after="0" w:line="240" w:lineRule="auto"/>
      <w:tabs>
        <w:tab w:val="center" w:pos="7143" w:leader="none"/>
        <w:tab w:val="right" w:pos="14287" w:leader="none"/>
      </w:tabs>
    </w:pPr>
  </w:style>
  <w:style w:type="paragraph" w:styleId="772">
    <w:name w:val="Header"/>
    <w:basedOn w:val="752"/>
    <w:link w:val="803"/>
    <w:uiPriority w:val="99"/>
    <w:unhideWhenUsed/>
    <w:qFormat/>
    <w:pPr>
      <w:spacing w:after="0" w:line="240" w:lineRule="auto"/>
      <w:tabs>
        <w:tab w:val="center" w:pos="7143" w:leader="none"/>
        <w:tab w:val="right" w:pos="14287" w:leader="none"/>
      </w:tabs>
    </w:pPr>
  </w:style>
  <w:style w:type="paragraph" w:styleId="773">
    <w:name w:val="toc 1"/>
    <w:basedOn w:val="752"/>
    <w:next w:val="752"/>
    <w:uiPriority w:val="39"/>
    <w:unhideWhenUsed/>
    <w:qFormat/>
    <w:pPr>
      <w:ind w:left="0" w:right="0" w:firstLine="0"/>
      <w:spacing w:after="57"/>
    </w:pPr>
  </w:style>
  <w:style w:type="paragraph" w:styleId="774">
    <w:name w:val="toc 4"/>
    <w:basedOn w:val="752"/>
    <w:next w:val="752"/>
    <w:uiPriority w:val="39"/>
    <w:unhideWhenUsed/>
    <w:qFormat/>
    <w:pPr>
      <w:ind w:left="850" w:right="0" w:firstLine="0"/>
      <w:spacing w:after="57"/>
    </w:pPr>
  </w:style>
  <w:style w:type="paragraph" w:styleId="775">
    <w:name w:val="Subtitle"/>
    <w:basedOn w:val="752"/>
    <w:next w:val="752"/>
    <w:link w:val="798"/>
    <w:uiPriority w:val="11"/>
    <w:qFormat/>
    <w:pPr>
      <w:spacing w:before="200" w:after="200"/>
    </w:pPr>
    <w:rPr>
      <w:sz w:val="24"/>
      <w:szCs w:val="24"/>
    </w:rPr>
  </w:style>
  <w:style w:type="paragraph" w:styleId="776">
    <w:name w:val="footnote text"/>
    <w:basedOn w:val="752"/>
    <w:link w:val="931"/>
    <w:uiPriority w:val="99"/>
    <w:semiHidden/>
    <w:unhideWhenUsed/>
    <w:qFormat/>
    <w:pPr>
      <w:spacing w:after="40" w:line="240" w:lineRule="auto"/>
    </w:pPr>
    <w:rPr>
      <w:sz w:val="18"/>
    </w:rPr>
  </w:style>
  <w:style w:type="paragraph" w:styleId="777">
    <w:name w:val="toc 6"/>
    <w:basedOn w:val="752"/>
    <w:next w:val="752"/>
    <w:uiPriority w:val="39"/>
    <w:unhideWhenUsed/>
    <w:qFormat/>
    <w:pPr>
      <w:ind w:left="1417" w:right="0" w:firstLine="0"/>
      <w:spacing w:after="57"/>
    </w:pPr>
  </w:style>
  <w:style w:type="paragraph" w:styleId="778">
    <w:name w:val="table of figures"/>
    <w:basedOn w:val="752"/>
    <w:next w:val="752"/>
    <w:uiPriority w:val="99"/>
    <w:unhideWhenUsed/>
    <w:qFormat/>
    <w:pPr>
      <w:spacing w:after="0" w:afterAutospacing="0"/>
    </w:pPr>
  </w:style>
  <w:style w:type="paragraph" w:styleId="779">
    <w:name w:val="toc 2"/>
    <w:basedOn w:val="752"/>
    <w:next w:val="752"/>
    <w:uiPriority w:val="39"/>
    <w:unhideWhenUsed/>
    <w:qFormat/>
    <w:pPr>
      <w:ind w:left="283" w:right="0" w:firstLine="0"/>
      <w:spacing w:after="57"/>
    </w:pPr>
  </w:style>
  <w:style w:type="paragraph" w:styleId="780">
    <w:name w:val="toc 9"/>
    <w:basedOn w:val="752"/>
    <w:next w:val="752"/>
    <w:uiPriority w:val="39"/>
    <w:unhideWhenUsed/>
    <w:qFormat/>
    <w:pPr>
      <w:ind w:left="2268" w:right="0" w:firstLine="0"/>
      <w:spacing w:after="57"/>
    </w:pPr>
  </w:style>
  <w:style w:type="paragraph" w:styleId="781">
    <w:name w:val="Title"/>
    <w:basedOn w:val="752"/>
    <w:next w:val="752"/>
    <w:link w:val="797"/>
    <w:uiPriority w:val="10"/>
    <w:qFormat/>
    <w:pPr>
      <w:contextualSpacing/>
      <w:spacing w:before="300" w:after="200"/>
    </w:pPr>
    <w:rPr>
      <w:sz w:val="48"/>
      <w:szCs w:val="48"/>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character" w:styleId="786" w:customStyle="1">
    <w:name w:val="Heading 1 Char"/>
    <w:link w:val="753"/>
    <w:uiPriority w:val="9"/>
    <w:qFormat/>
    <w:rPr>
      <w:rFonts w:ascii="Arial" w:hAnsi="Arial" w:eastAsia="Arial" w:cs="Arial"/>
      <w:sz w:val="40"/>
      <w:szCs w:val="40"/>
    </w:rPr>
  </w:style>
  <w:style w:type="character" w:styleId="787" w:customStyle="1">
    <w:name w:val="Heading 2 Char"/>
    <w:link w:val="754"/>
    <w:uiPriority w:val="9"/>
    <w:qFormat/>
    <w:rPr>
      <w:rFonts w:ascii="Arial" w:hAnsi="Arial" w:eastAsia="Arial" w:cs="Arial"/>
      <w:sz w:val="34"/>
    </w:rPr>
  </w:style>
  <w:style w:type="character" w:styleId="788" w:customStyle="1">
    <w:name w:val="Heading 3 Char"/>
    <w:link w:val="755"/>
    <w:uiPriority w:val="9"/>
    <w:qFormat/>
    <w:rPr>
      <w:rFonts w:ascii="Arial" w:hAnsi="Arial" w:eastAsia="Arial" w:cs="Arial"/>
      <w:sz w:val="30"/>
      <w:szCs w:val="30"/>
    </w:rPr>
  </w:style>
  <w:style w:type="character" w:styleId="789" w:customStyle="1">
    <w:name w:val="Heading 4 Char"/>
    <w:link w:val="756"/>
    <w:uiPriority w:val="9"/>
    <w:qFormat/>
    <w:rPr>
      <w:rFonts w:ascii="Arial" w:hAnsi="Arial" w:eastAsia="Arial" w:cs="Arial"/>
      <w:b/>
      <w:bCs/>
      <w:sz w:val="26"/>
      <w:szCs w:val="26"/>
    </w:rPr>
  </w:style>
  <w:style w:type="character" w:styleId="790" w:customStyle="1">
    <w:name w:val="Heading 5 Char"/>
    <w:link w:val="757"/>
    <w:uiPriority w:val="9"/>
    <w:qFormat/>
    <w:rPr>
      <w:rFonts w:ascii="Arial" w:hAnsi="Arial" w:eastAsia="Arial" w:cs="Arial"/>
      <w:b/>
      <w:bCs/>
      <w:sz w:val="24"/>
      <w:szCs w:val="24"/>
    </w:rPr>
  </w:style>
  <w:style w:type="character" w:styleId="791" w:customStyle="1">
    <w:name w:val="Heading 6 Char"/>
    <w:link w:val="758"/>
    <w:uiPriority w:val="9"/>
    <w:qFormat/>
    <w:rPr>
      <w:rFonts w:ascii="Arial" w:hAnsi="Arial" w:eastAsia="Arial" w:cs="Arial"/>
      <w:b/>
      <w:bCs/>
      <w:sz w:val="22"/>
      <w:szCs w:val="22"/>
    </w:rPr>
  </w:style>
  <w:style w:type="character" w:styleId="792" w:customStyle="1">
    <w:name w:val="Heading 7 Char"/>
    <w:link w:val="759"/>
    <w:uiPriority w:val="9"/>
    <w:qFormat/>
    <w:rPr>
      <w:rFonts w:ascii="Arial" w:hAnsi="Arial" w:eastAsia="Arial" w:cs="Arial"/>
      <w:b/>
      <w:bCs/>
      <w:i/>
      <w:iCs/>
      <w:sz w:val="22"/>
      <w:szCs w:val="22"/>
    </w:rPr>
  </w:style>
  <w:style w:type="character" w:styleId="793" w:customStyle="1">
    <w:name w:val="Heading 8 Char"/>
    <w:link w:val="760"/>
    <w:uiPriority w:val="9"/>
    <w:qFormat/>
    <w:rPr>
      <w:rFonts w:ascii="Arial" w:hAnsi="Arial" w:eastAsia="Arial" w:cs="Arial"/>
      <w:i/>
      <w:iCs/>
      <w:sz w:val="22"/>
      <w:szCs w:val="22"/>
    </w:rPr>
  </w:style>
  <w:style w:type="character" w:styleId="794" w:customStyle="1">
    <w:name w:val="Heading 9 Char"/>
    <w:link w:val="761"/>
    <w:uiPriority w:val="9"/>
    <w:qFormat/>
    <w:rPr>
      <w:rFonts w:ascii="Arial" w:hAnsi="Arial" w:eastAsia="Arial" w:cs="Arial"/>
      <w:i/>
      <w:iCs/>
      <w:sz w:val="21"/>
      <w:szCs w:val="21"/>
    </w:rPr>
  </w:style>
  <w:style w:type="paragraph" w:styleId="795">
    <w:name w:val="List Paragraph"/>
    <w:basedOn w:val="752"/>
    <w:uiPriority w:val="34"/>
    <w:qFormat/>
    <w:pPr>
      <w:contextualSpacing/>
      <w:ind w:left="720"/>
    </w:pPr>
  </w:style>
  <w:style w:type="paragraph" w:styleId="796">
    <w:name w:val="No Spacing"/>
    <w:uiPriority w:val="1"/>
    <w:qFormat/>
    <w:pPr>
      <w:spacing w:before="0" w:after="0" w:line="240" w:lineRule="auto"/>
    </w:pPr>
    <w:rPr>
      <w:rFonts w:hint="default" w:ascii="Calibri" w:hAnsi="Calibri" w:eastAsia="宋体" w:cs="Calibri"/>
    </w:rPr>
  </w:style>
  <w:style w:type="character" w:styleId="797" w:customStyle="1">
    <w:name w:val="Title Char"/>
    <w:link w:val="781"/>
    <w:uiPriority w:val="10"/>
    <w:qFormat/>
    <w:rPr>
      <w:sz w:val="48"/>
      <w:szCs w:val="48"/>
    </w:rPr>
  </w:style>
  <w:style w:type="character" w:styleId="798" w:customStyle="1">
    <w:name w:val="Subtitle Char"/>
    <w:link w:val="775"/>
    <w:uiPriority w:val="11"/>
    <w:qFormat/>
    <w:rPr>
      <w:sz w:val="24"/>
      <w:szCs w:val="24"/>
    </w:rPr>
  </w:style>
  <w:style w:type="paragraph" w:styleId="799">
    <w:name w:val="Quote"/>
    <w:basedOn w:val="752"/>
    <w:next w:val="752"/>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52"/>
    <w:next w:val="752"/>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2"/>
    <w:uiPriority w:val="99"/>
    <w:qFormat/>
  </w:style>
  <w:style w:type="character" w:styleId="804" w:customStyle="1">
    <w:name w:val="Footer Char"/>
    <w:link w:val="771"/>
    <w:uiPriority w:val="99"/>
    <w:qFormat/>
  </w:style>
  <w:style w:type="character" w:styleId="805" w:customStyle="1">
    <w:name w:val="Caption Char"/>
    <w:link w:val="771"/>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6"/>
    <w:uiPriority w:val="99"/>
    <w:qFormat/>
    <w:rPr>
      <w:sz w:val="18"/>
    </w:rPr>
  </w:style>
  <w:style w:type="character" w:styleId="932" w:customStyle="1">
    <w:name w:val="Endnote Text Char"/>
    <w:link w:val="770"/>
    <w:uiPriority w:val="99"/>
    <w:qFormat/>
    <w:rPr>
      <w:sz w:val="20"/>
    </w:rPr>
  </w:style>
  <w:style w:type="paragraph" w:styleId="933" w:customStyle="1">
    <w:name w:val="TOC Heading"/>
    <w:uiPriority w:val="39"/>
    <w:unhideWhenUsed/>
    <w:qFormat/>
    <w:rPr>
      <w:rFonts w:hint="default" w:ascii="Calibri" w:hAnsi="Calibri" w:eastAsia="宋体" w:cs="Calibri"/>
    </w:rPr>
  </w:style>
  <w:style w:type="paragraph" w:styleId="934" w:customStyle="1">
    <w:name w:val="标题 111"/>
    <w:basedOn w:val="752"/>
    <w:next w:val="752"/>
    <w:uiPriority w:val="9"/>
    <w:qFormat/>
    <w:pPr>
      <w:keepLines/>
      <w:keepNext/>
      <w:spacing w:before="340" w:after="330" w:line="578" w:lineRule="auto"/>
      <w:outlineLvl w:val="0"/>
    </w:pPr>
    <w:rPr>
      <w:b/>
      <w:bCs/>
      <w:sz w:val="44"/>
      <w:szCs w:val="44"/>
    </w:rPr>
  </w:style>
  <w:style w:type="paragraph" w:styleId="935" w:customStyle="1">
    <w:name w:val="标题 21"/>
    <w:basedOn w:val="752"/>
    <w:next w:val="93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6" w:customStyle="1">
    <w:name w:val="正文缩进1"/>
    <w:basedOn w:val="752"/>
    <w:uiPriority w:val="0"/>
    <w:unhideWhenUsed/>
    <w:qFormat/>
    <w:pPr>
      <w:ind w:firstLine="420"/>
    </w:pPr>
  </w:style>
  <w:style w:type="paragraph" w:styleId="937" w:customStyle="1">
    <w:name w:val="标题 31"/>
    <w:basedOn w:val="752"/>
    <w:next w:val="752"/>
    <w:uiPriority w:val="0"/>
    <w:qFormat/>
    <w:pPr>
      <w:keepLines/>
      <w:keepNext/>
      <w:spacing w:before="260" w:after="260" w:line="416" w:lineRule="auto"/>
      <w:outlineLvl w:val="2"/>
    </w:pPr>
    <w:rPr>
      <w:b/>
      <w:bCs/>
      <w:sz w:val="32"/>
      <w:szCs w:val="32"/>
    </w:rPr>
  </w:style>
  <w:style w:type="character" w:styleId="938" w:customStyle="1">
    <w:name w:val="默认段落字体1"/>
    <w:link w:val="752"/>
    <w:uiPriority w:val="1"/>
    <w:unhideWhenUsed/>
    <w:qFormat/>
  </w:style>
  <w:style w:type="table" w:styleId="939"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40" w:customStyle="1">
    <w:name w:val="要点1"/>
    <w:link w:val="752"/>
    <w:uiPriority w:val="0"/>
    <w:qFormat/>
    <w:rPr>
      <w:b/>
    </w:rPr>
  </w:style>
  <w:style w:type="character" w:styleId="941" w:customStyle="1">
    <w:name w:val="超链接1"/>
    <w:link w:val="752"/>
    <w:uiPriority w:val="0"/>
    <w:qFormat/>
    <w:rPr>
      <w:color w:val="0000ff"/>
      <w:u w:val="single"/>
    </w:rPr>
  </w:style>
  <w:style w:type="character" w:styleId="942" w:customStyle="1">
    <w:name w:val="批注引用1"/>
    <w:link w:val="752"/>
    <w:uiPriority w:val="0"/>
    <w:qFormat/>
    <w:rPr>
      <w:sz w:val="21"/>
      <w:szCs w:val="21"/>
    </w:rPr>
  </w:style>
  <w:style w:type="character" w:styleId="943" w:customStyle="1">
    <w:name w:val="正文文本 字符"/>
    <w:link w:val="944"/>
    <w:uiPriority w:val="0"/>
    <w:qFormat/>
    <w:rPr>
      <w:rFonts w:ascii="Times New Roman" w:hAnsi="Times New Roman" w:cs="Times New Roman"/>
      <w:sz w:val="21"/>
      <w:szCs w:val="22"/>
    </w:rPr>
  </w:style>
  <w:style w:type="paragraph" w:styleId="944" w:customStyle="1">
    <w:name w:val="正文文本11"/>
    <w:basedOn w:val="752"/>
    <w:next w:val="945"/>
    <w:link w:val="943"/>
    <w:uiPriority w:val="0"/>
    <w:qFormat/>
    <w:rPr>
      <w:rFonts w:ascii="楷体_GB2312" w:hAnsi="Arial" w:eastAsia="楷体_GB2312"/>
      <w:sz w:val="28"/>
      <w:szCs w:val="28"/>
    </w:rPr>
  </w:style>
  <w:style w:type="paragraph" w:styleId="945" w:customStyle="1">
    <w:name w:val="正文文本 211"/>
    <w:basedOn w:val="752"/>
    <w:uiPriority w:val="0"/>
    <w:qFormat/>
    <w:pPr>
      <w:spacing w:after="120" w:line="480" w:lineRule="auto"/>
    </w:pPr>
  </w:style>
  <w:style w:type="character" w:styleId="946" w:customStyle="1">
    <w:name w:val="批注框文本 字符"/>
    <w:link w:val="947"/>
    <w:uiPriority w:val="0"/>
    <w:qFormat/>
    <w:rPr>
      <w:sz w:val="18"/>
      <w:szCs w:val="18"/>
    </w:rPr>
  </w:style>
  <w:style w:type="paragraph" w:styleId="947" w:customStyle="1">
    <w:name w:val="批注框文本1"/>
    <w:basedOn w:val="752"/>
    <w:link w:val="946"/>
    <w:uiPriority w:val="0"/>
    <w:qFormat/>
    <w:rPr>
      <w:sz w:val="18"/>
      <w:szCs w:val="18"/>
    </w:rPr>
  </w:style>
  <w:style w:type="paragraph" w:styleId="948" w:customStyle="1">
    <w:name w:val="目录 91"/>
    <w:basedOn w:val="752"/>
    <w:next w:val="752"/>
    <w:uiPriority w:val="99"/>
    <w:qFormat/>
    <w:pPr>
      <w:ind w:left="3360"/>
    </w:pPr>
  </w:style>
  <w:style w:type="paragraph" w:styleId="949" w:customStyle="1">
    <w:name w:val="页眉1"/>
    <w:basedOn w:val="75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0" w:customStyle="1">
    <w:name w:val="Table Paragraph"/>
    <w:basedOn w:val="752"/>
    <w:uiPriority w:val="1"/>
    <w:qFormat/>
    <w:rPr>
      <w:rFonts w:ascii="宋体" w:hAnsi="宋体" w:eastAsia="宋体" w:cs="宋体"/>
      <w:lang w:val="zh-CN" w:eastAsia="zh-CN" w:bidi="zh-CN"/>
    </w:rPr>
  </w:style>
  <w:style w:type="paragraph" w:styleId="951" w:customStyle="1">
    <w:name w:val="正文 New New New New New New New New New New New New New New"/>
    <w:next w:val="948"/>
    <w:uiPriority w:val="99"/>
    <w:qFormat/>
    <w:pPr>
      <w:ind w:firstLine="2048"/>
      <w:jc w:val="both"/>
      <w:widowControl w:val="off"/>
    </w:pPr>
    <w:rPr>
      <w:rFonts w:hint="default" w:ascii="Calibri" w:hAnsi="Calibri" w:eastAsia="宋体" w:cs="Calibri"/>
      <w:lang w:val="en-US" w:eastAsia="zh-CN" w:bidi="ar-SA"/>
    </w:rPr>
  </w:style>
  <w:style w:type="paragraph" w:styleId="952" w:customStyle="1">
    <w:name w:val="正文文本 21"/>
    <w:basedOn w:val="752"/>
    <w:next w:val="953"/>
    <w:uiPriority w:val="99"/>
    <w:qFormat/>
    <w:pPr>
      <w:ind w:left="720" w:firstLine="5680"/>
      <w:widowControl/>
    </w:pPr>
  </w:style>
  <w:style w:type="paragraph" w:styleId="953" w:customStyle="1">
    <w:name w:val="默认段落字体 Para Char Char Char Char Char Char Char"/>
    <w:basedOn w:val="752"/>
    <w:next w:val="954"/>
    <w:uiPriority w:val="99"/>
    <w:qFormat/>
    <w:pPr>
      <w:ind w:firstLine="200"/>
    </w:pPr>
    <w:rPr>
      <w:rFonts w:cs="Arial"/>
    </w:rPr>
  </w:style>
  <w:style w:type="paragraph" w:styleId="954" w:customStyle="1">
    <w:name w:val="样式 首行缩进:  2 字符"/>
    <w:basedOn w:val="752"/>
    <w:next w:val="955"/>
    <w:uiPriority w:val="99"/>
    <w:qFormat/>
    <w:pPr>
      <w:ind w:left="480" w:firstLine="5856"/>
      <w:spacing w:line="360" w:lineRule="auto"/>
    </w:pPr>
  </w:style>
  <w:style w:type="paragraph" w:styleId="955" w:customStyle="1">
    <w:name w:val="样式 段后: 0.25 行"/>
    <w:basedOn w:val="752"/>
    <w:next w:val="951"/>
    <w:uiPriority w:val="99"/>
    <w:qFormat/>
    <w:pPr>
      <w:ind w:left="420" w:firstLine="5796"/>
      <w:spacing w:line="300" w:lineRule="auto"/>
      <w:widowControl/>
    </w:pPr>
  </w:style>
  <w:style w:type="paragraph" w:styleId="956" w:customStyle="1">
    <w:name w:val="Char"/>
    <w:basedOn w:val="752"/>
    <w:uiPriority w:val="0"/>
    <w:qFormat/>
    <w:pPr>
      <w:ind w:firstLine="200"/>
      <w:tabs>
        <w:tab w:val="left" w:pos="360" w:leader="none"/>
      </w:tabs>
    </w:pPr>
    <w:rPr>
      <w:rFonts w:ascii="Times New Roman" w:hAnsi="Times New Roman"/>
      <w:sz w:val="28"/>
      <w:szCs w:val="30"/>
    </w:rPr>
  </w:style>
  <w:style w:type="paragraph" w:styleId="957" w:customStyle="1">
    <w:name w:val="正文（缩进）"/>
    <w:basedOn w:val="752"/>
    <w:next w:val="958"/>
    <w:uiPriority w:val="0"/>
    <w:qFormat/>
    <w:pPr>
      <w:ind w:firstLine="480"/>
      <w:spacing w:before="156" w:after="156"/>
    </w:pPr>
  </w:style>
  <w:style w:type="paragraph" w:styleId="958" w:customStyle="1">
    <w:name w:val="Char Char Char Char Char Char Char Char Char"/>
    <w:basedOn w:val="752"/>
    <w:next w:val="952"/>
    <w:uiPriority w:val="99"/>
    <w:qFormat/>
    <w:pPr>
      <w:ind w:left="360" w:firstLine="5784"/>
    </w:pPr>
  </w:style>
  <w:style w:type="paragraph" w:styleId="959" w:customStyle="1">
    <w:name w:val="正文空2格  1."/>
    <w:basedOn w:val="752"/>
    <w:uiPriority w:val="0"/>
    <w:qFormat/>
    <w:pPr>
      <w:ind w:firstLine="480"/>
    </w:pPr>
    <w:rPr>
      <w:rFonts w:cs="宋体"/>
      <w:sz w:val="28"/>
      <w:szCs w:val="20"/>
    </w:rPr>
  </w:style>
  <w:style w:type="paragraph" w:styleId="960" w:customStyle="1">
    <w:name w:val="目录 11"/>
    <w:basedOn w:val="752"/>
    <w:next w:val="752"/>
    <w:uiPriority w:val="39"/>
    <w:unhideWhenUsed/>
    <w:qFormat/>
  </w:style>
  <w:style w:type="paragraph" w:styleId="961" w:customStyle="1">
    <w:name w:val="页脚1"/>
    <w:basedOn w:val="752"/>
    <w:uiPriority w:val="99"/>
    <w:unhideWhenUsed/>
    <w:qFormat/>
    <w:pPr>
      <w:jc w:val="left"/>
      <w:tabs>
        <w:tab w:val="center" w:pos="4153" w:leader="none"/>
        <w:tab w:val="right" w:pos="8306" w:leader="none"/>
      </w:tabs>
    </w:pPr>
    <w:rPr>
      <w:sz w:val="18"/>
      <w:szCs w:val="18"/>
    </w:rPr>
  </w:style>
  <w:style w:type="paragraph" w:styleId="962" w:customStyle="1">
    <w:name w:val="纯文本11"/>
    <w:basedOn w:val="752"/>
    <w:uiPriority w:val="99"/>
    <w:qFormat/>
    <w:rPr>
      <w:rFonts w:ascii="宋体" w:hAnsi="Courier New"/>
      <w:sz w:val="20"/>
      <w:szCs w:val="21"/>
    </w:rPr>
  </w:style>
  <w:style w:type="paragraph" w:styleId="963" w:customStyle="1">
    <w:name w:val="普通(网站)1"/>
    <w:basedOn w:val="752"/>
    <w:uiPriority w:val="0"/>
    <w:qFormat/>
    <w:rPr>
      <w:rFonts w:ascii="Times New Roman" w:hAnsi="Times New Roman"/>
      <w:sz w:val="24"/>
    </w:rPr>
  </w:style>
  <w:style w:type="paragraph" w:styleId="964" w:customStyle="1">
    <w:name w:val="正文文本缩进1"/>
    <w:basedOn w:val="752"/>
    <w:next w:val="752"/>
    <w:uiPriority w:val="99"/>
    <w:unhideWhenUsed/>
    <w:qFormat/>
    <w:pPr>
      <w:ind w:firstLine="540"/>
      <w:spacing w:line="400" w:lineRule="exact"/>
    </w:pPr>
    <w:rPr>
      <w:sz w:val="24"/>
    </w:rPr>
  </w:style>
  <w:style w:type="paragraph" w:styleId="965" w:customStyle="1">
    <w:name w:val="批注文字1"/>
    <w:basedOn w:val="752"/>
    <w:uiPriority w:val="0"/>
    <w:qFormat/>
    <w:pPr>
      <w:jc w:val="left"/>
    </w:pPr>
  </w:style>
  <w:style w:type="paragraph" w:styleId="966" w:customStyle="1">
    <w:name w:val="寄信人地址1"/>
    <w:basedOn w:val="752"/>
    <w:uiPriority w:val="99"/>
    <w:unhideWhenUsed/>
    <w:qFormat/>
    <w:rPr>
      <w:rFonts w:ascii="Arial" w:hAnsi="Arial"/>
    </w:rPr>
  </w:style>
  <w:style w:type="paragraph" w:styleId="967" w:customStyle="1">
    <w:name w:val="信息标题1"/>
    <w:basedOn w:val="75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8" w:customStyle="1">
    <w:name w:val="正文首行缩进 21"/>
    <w:basedOn w:val="964"/>
    <w:next w:val="752"/>
    <w:uiPriority w:val="0"/>
    <w:qFormat/>
    <w:pPr>
      <w:ind w:firstLine="420"/>
      <w:spacing w:before="100" w:beforeAutospacing="1"/>
    </w:pPr>
    <w:rPr>
      <w:rFonts w:ascii="Times New Roman" w:hAnsi="Times New Roman" w:eastAsia="宋体"/>
      <w:sz w:val="20"/>
      <w:szCs w:val="21"/>
    </w:rPr>
  </w:style>
  <w:style w:type="paragraph" w:styleId="969" w:customStyle="1">
    <w:name w:val="一级条标题"/>
    <w:basedOn w:val="970"/>
    <w:next w:val="9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0"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Calibri"/>
      <w:sz w:val="21"/>
      <w:szCs w:val="22"/>
      <w:lang w:val="en-US" w:eastAsia="zh-CN" w:bidi="ar-SA"/>
    </w:rPr>
  </w:style>
  <w:style w:type="paragraph" w:styleId="971" w:customStyle="1">
    <w:name w:val="段"/>
    <w:basedOn w:val="972"/>
    <w:next w:val="752"/>
    <w:uiPriority w:val="0"/>
    <w:qFormat/>
    <w:pPr>
      <w:ind w:firstLine="200"/>
      <w:widowControl/>
    </w:pPr>
    <w:rPr>
      <w:sz w:val="20"/>
    </w:rPr>
  </w:style>
  <w:style w:type="paragraph" w:styleId="972" w:customStyle="1">
    <w:name w:val="正文1"/>
    <w:basedOn w:val="752"/>
    <w:next w:val="973"/>
    <w:uiPriority w:val="0"/>
    <w:qFormat/>
    <w:pPr>
      <w:jc w:val="left"/>
      <w:spacing w:line="360" w:lineRule="atLeast"/>
    </w:pPr>
    <w:rPr>
      <w:rFonts w:ascii="宋体" w:hAnsi="Calibri" w:eastAsia="宋体" w:cs="Times New Roman"/>
      <w:sz w:val="24"/>
      <w:szCs w:val="20"/>
    </w:rPr>
  </w:style>
  <w:style w:type="paragraph" w:styleId="973" w:customStyle="1">
    <w:name w:val="正文文本1"/>
    <w:basedOn w:val="972"/>
    <w:next w:val="969"/>
    <w:uiPriority w:val="0"/>
    <w:qFormat/>
    <w:pPr>
      <w:spacing w:after="120"/>
    </w:pPr>
    <w:rPr>
      <w:lang w:eastAsia="en-US"/>
    </w:rPr>
  </w:style>
  <w:style w:type="paragraph" w:styleId="974" w:customStyle="1">
    <w:name w:val="Default"/>
    <w:uiPriority w:val="0"/>
    <w:qFormat/>
    <w:pPr>
      <w:widowControl w:val="off"/>
    </w:pPr>
    <w:rPr>
      <w:rFonts w:hint="default" w:ascii="黑体" w:hAnsi="Calibri" w:eastAsia="黑体" w:cs="Calibri"/>
      <w:lang w:val="en-US" w:eastAsia="zh-CN" w:bidi="ar-SA"/>
    </w:rPr>
  </w:style>
  <w:style w:type="paragraph" w:styleId="975" w:customStyle="1">
    <w:name w:val="列表段落"/>
    <w:basedOn w:val="752"/>
    <w:uiPriority w:val="99"/>
    <w:qFormat/>
    <w:pPr>
      <w:ind w:firstLine="420"/>
    </w:pPr>
    <w:rPr>
      <w:rFonts w:ascii="Times New Roman" w:hAnsi="Times New Roman" w:eastAsia="宋体" w:cs="Times New Roman"/>
      <w:szCs w:val="21"/>
    </w:rPr>
  </w:style>
  <w:style w:type="paragraph" w:styleId="976"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977" w:customStyle="1">
    <w:name w:val="标题 11"/>
    <w:basedOn w:val="752"/>
    <w:next w:val="752"/>
    <w:uiPriority w:val="9"/>
    <w:qFormat/>
    <w:pPr>
      <w:keepLines/>
      <w:keepNext/>
      <w:spacing w:before="340" w:after="330" w:line="578" w:lineRule="auto"/>
      <w:outlineLvl w:val="0"/>
    </w:pPr>
    <w:rPr>
      <w:b/>
      <w:bCs/>
      <w:sz w:val="44"/>
      <w:szCs w:val="44"/>
    </w:rPr>
  </w:style>
  <w:style w:type="paragraph" w:styleId="978" w:customStyle="1">
    <w:name w:val="纯文本1"/>
    <w:basedOn w:val="752"/>
    <w:uiPriority w:val="99"/>
    <w:qFormat/>
    <w:rPr>
      <w:rFonts w:ascii="宋体" w:hAnsi="Courier New"/>
      <w:sz w:val="20"/>
      <w:szCs w:val="21"/>
    </w:rPr>
  </w:style>
  <w:style w:type="table" w:styleId="979" w:customStyle="1">
    <w:name w:val="网格型1"/>
    <w:basedOn w:val="939"/>
    <w:uiPriority w:val="59"/>
    <w:qFormat/>
    <w:tbl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唐磊</cp:lastModifiedBy>
  <cp:revision>10</cp:revision>
  <dcterms:created xsi:type="dcterms:W3CDTF">2014-10-29T12:08:00Z</dcterms:created>
  <dcterms:modified xsi:type="dcterms:W3CDTF">2024-11-27T04:56:49Z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7055EE2C7EE847C19AAA543052B37071_13</vt:lpwstr>
  </property>
</Properties>
</file>