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Arial" w:hAnsi="Arial" w:eastAsia="黑体"/>
          <w:b/>
          <w:bCs/>
          <w:color w:val="000000"/>
          <w:sz w:val="84"/>
          <w:szCs w:val="24"/>
        </w:rPr>
      </w:r>
      <w:r/>
    </w:p>
    <w:p>
      <w:pPr>
        <w:pStyle w:val="956"/>
        <w:rPr>
          <w:rFonts w:hint="eastAsia"/>
          <w:color w:val="000000"/>
        </w:rPr>
      </w:pPr>
      <w:r>
        <w:rPr>
          <w:rFonts w:hint="eastAsia"/>
          <w:color w:val="000000"/>
        </w:rPr>
      </w:r>
      <w:r/>
    </w:p>
    <w:p>
      <w:pPr>
        <w:pStyle w:val="944"/>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944"/>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b/>
          <w:color w:val="000000"/>
          <w:sz w:val="30"/>
          <w:szCs w:val="30"/>
        </w:rPr>
        <w:t xml:space="preserve">南京市智慧停车管理平台停车资源共享服务</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944"/>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JSZC-320100-JZCG-G2024-0338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944"/>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（服务</w:t>
      </w:r>
      <w:r>
        <w:rPr>
          <w:rFonts w:hint="eastAsia" w:eastAsia="宋体" w:cs="Times New Roman"/>
          <w:b/>
          <w:bCs w:val="0"/>
          <w:color w:val="000000"/>
          <w:sz w:val="30"/>
          <w:szCs w:val="30"/>
          <w:lang w:eastAsia="zh-CN"/>
        </w:rPr>
        <w:t xml:space="preserve">类项目，</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9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3"/>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944"/>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2024年9月</w:t>
      </w:r>
      <w:r>
        <w:rPr>
          <w:rFonts w:hint="eastAsia" w:ascii="Times New Roman" w:hAnsi="Times New Roman" w:eastAsia="宋体" w:cs="Times New Roman"/>
          <w:b/>
          <w:bCs w:val="0"/>
          <w:color w:val="000000"/>
          <w:sz w:val="32"/>
          <w:szCs w:val="32"/>
          <w:u w:val="none"/>
          <w:lang w:val="en-US" w:eastAsia="zh-CN"/>
        </w:rPr>
      </w:r>
      <w:r/>
    </w:p>
    <w:p>
      <w:pPr>
        <w:pStyle w:val="94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4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4"/>
        <w:jc w:val="both"/>
        <w:spacing w:line="480" w:lineRule="exact"/>
        <w:rPr>
          <w:rFonts w:hint="eastAsia" w:ascii="宋体" w:hAnsi="宋体" w:eastAsia="宋体" w:cs="宋体"/>
          <w:b/>
          <w:bCs/>
          <w:color w:val="000000"/>
          <w:sz w:val="24"/>
          <w:szCs w:val="24"/>
          <w:lang w:eastAsia="zh-CN"/>
        </w:rPr>
        <w:outlineLvl w:val="0"/>
      </w:pPr>
      <w:r>
        <w:rPr>
          <w:rFonts w:hint="eastAsia" w:ascii="宋体" w:hAnsi="宋体" w:eastAsia="宋体" w:cs="宋体"/>
          <w:b/>
          <w:bCs/>
          <w:color w:val="000000"/>
          <w:sz w:val="24"/>
          <w:szCs w:val="24"/>
          <w:lang w:eastAsia="zh-CN"/>
        </w:rPr>
      </w:r>
      <w:r/>
    </w:p>
    <w:p>
      <w:pPr>
        <w:pStyle w:val="978"/>
        <w:rPr>
          <w:rFonts w:hint="eastAsia"/>
          <w:color w:val="000000"/>
          <w:lang w:eastAsia="zh-CN"/>
        </w:rPr>
      </w:pPr>
      <w:r>
        <w:rPr>
          <w:rFonts w:hint="eastAsia"/>
          <w:color w:val="000000"/>
          <w:lang w:eastAsia="zh-CN"/>
        </w:rPr>
      </w:r>
      <w:r/>
    </w:p>
    <w:p>
      <w:pPr>
        <w:pStyle w:val="944"/>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4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29</w:t>
      </w:r>
      <w:r>
        <w:rPr>
          <w:rFonts w:hint="eastAsia" w:ascii="黑体" w:hAnsi="宋体" w:eastAsia="黑体" w:cs="Times New Roman"/>
          <w:color w:val="000000"/>
          <w:sz w:val="36"/>
          <w:szCs w:val="21"/>
        </w:rPr>
      </w:r>
      <w:r/>
    </w:p>
    <w:p>
      <w:pPr>
        <w:pStyle w:val="944"/>
        <w:rPr>
          <w:rFonts w:hint="eastAsia"/>
          <w:color w:val="000000"/>
        </w:rPr>
      </w:pPr>
      <w:r>
        <w:rPr>
          <w:rFonts w:hint="eastAsia"/>
          <w:color w:val="000000"/>
        </w:rPr>
      </w:r>
      <w:r/>
    </w:p>
    <w:p>
      <w:pPr>
        <w:pStyle w:val="944"/>
        <w:rPr>
          <w:rFonts w:hint="eastAsia"/>
          <w:color w:val="000000"/>
        </w:rPr>
      </w:pPr>
      <w:r>
        <w:rPr>
          <w:rFonts w:hint="eastAsia"/>
          <w:color w:val="000000"/>
        </w:rPr>
      </w:r>
      <w:r/>
    </w:p>
    <w:p>
      <w:pPr>
        <w:pStyle w:val="944"/>
        <w:rPr>
          <w:rFonts w:hint="eastAsia"/>
          <w:color w:val="000000"/>
        </w:rPr>
      </w:pPr>
      <w:r>
        <w:rPr>
          <w:rFonts w:hint="eastAsia"/>
          <w:color w:val="000000"/>
        </w:rPr>
      </w:r>
      <w:r/>
    </w:p>
    <w:p>
      <w:pPr>
        <w:pStyle w:val="944"/>
        <w:jc w:val="center"/>
        <w:rPr>
          <w:rFonts w:hint="eastAsia" w:ascii="方正小标宋简体" w:hAnsi="方正小标宋简体" w:eastAsia="方正小标宋简体" w:cs="方正小标宋简体"/>
          <w:color w:val="000000"/>
          <w:sz w:val="36"/>
          <w:szCs w:val="36"/>
          <w:lang w:val="en-US"/>
        </w:rPr>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944"/>
        <w:ind w:firstLine="480"/>
        <w:pageBreakBefore w:val="0"/>
        <w:spacing w:line="264" w:lineRule="auto"/>
        <w:widowControl w:val="off"/>
        <w:rPr>
          <w:rFonts w:hint="eastAsia" w:ascii="宋体" w:hAnsi="宋体"/>
          <w:color w:val="000000"/>
          <w:sz w:val="24"/>
          <w:szCs w:val="24"/>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宋体" w:hAnsi="宋体"/>
          <w:color w:val="000000"/>
          <w:sz w:val="24"/>
          <w:szCs w:val="24"/>
        </w:rPr>
      </w:r>
      <w:r/>
    </w:p>
    <w:p>
      <w:pPr>
        <w:pStyle w:val="944"/>
        <w:ind w:firstLine="480"/>
        <w:pageBreakBefore w:val="0"/>
        <w:spacing w:line="264" w:lineRule="auto"/>
        <w:widowControl w:val="off"/>
        <w:rPr>
          <w:rFonts w:ascii="宋体" w:hAnsi="宋体"/>
          <w:color w:val="000000"/>
          <w:sz w:val="24"/>
          <w:szCs w:val="24"/>
        </w:rPr>
      </w:pPr>
      <w:r>
        <w:rPr>
          <w:rFonts w:hint="eastAsia" w:ascii="宋体" w:hAnsi="宋体"/>
          <w:color w:val="000000"/>
          <w:sz w:val="24"/>
          <w:szCs w:val="24"/>
        </w:rPr>
        <w:t xml:space="preserve">受南京市城市管理局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rPr>
        <w:t xml:space="preserve">南京市智慧停车管理平台停车资源共享服务</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44"/>
        <w:ind w:firstLine="480"/>
        <w:pageBreakBefore w:val="0"/>
        <w:spacing w:line="264"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JSZC-320100-JZCG-G2024-0338 </w:t>
      </w:r>
      <w:r>
        <w:rPr>
          <w:rFonts w:ascii="宋体" w:hAnsi="宋体"/>
          <w:color w:val="000000"/>
          <w:sz w:val="24"/>
          <w:szCs w:val="24"/>
        </w:rPr>
      </w:r>
      <w:r/>
    </w:p>
    <w:p>
      <w:pPr>
        <w:pStyle w:val="944"/>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rPr>
        <w:t xml:space="preserve">南京市智慧停车管理平台停车资源共享服务</w:t>
      </w:r>
      <w:r>
        <w:rPr>
          <w:rFonts w:hint="eastAsia" w:ascii="宋体" w:hAnsi="宋体" w:eastAsia="宋体"/>
          <w:color w:val="000000"/>
          <w:sz w:val="24"/>
          <w:szCs w:val="24"/>
          <w:lang w:eastAsia="zh-CN"/>
        </w:rPr>
      </w:r>
      <w:r/>
    </w:p>
    <w:p>
      <w:pPr>
        <w:pStyle w:val="944"/>
        <w:ind w:firstLine="480"/>
        <w:pageBreakBefore w:val="0"/>
        <w:spacing w:line="264"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rPr>
        <w:t xml:space="preserve">三年共453万元（151万元/年）</w:t>
      </w:r>
      <w:r>
        <w:rPr>
          <w:rFonts w:ascii="宋体" w:hAnsi="宋体"/>
          <w:color w:val="000000"/>
          <w:sz w:val="24"/>
          <w:szCs w:val="24"/>
          <w:lang w:val="en-US" w:eastAsia="zh-CN"/>
        </w:rPr>
      </w:r>
      <w:r/>
    </w:p>
    <w:p>
      <w:pPr>
        <w:pStyle w:val="944"/>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944"/>
        <w:ind w:firstLine="480"/>
        <w:pageBreakBefore w:val="0"/>
        <w:spacing w:line="264"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为加快停车设施提质增效，停车资源的高效利用，在南京智慧停车管理平台顶层设计框架下，依托现有平台，建设停车资源共享平台，优化停车信息管理，完善停车资源共享服务。</w:t>
      </w:r>
      <w:r>
        <w:rPr>
          <w:rFonts w:hint="eastAsia" w:ascii="宋体" w:hAnsi="宋体" w:cs="宋体"/>
          <w:bCs/>
          <w:color w:val="000000"/>
          <w:sz w:val="24"/>
          <w:szCs w:val="24"/>
        </w:rPr>
        <w:t xml:space="preserve">本次采购服务包含了软件技术服务（</w:t>
      </w:r>
      <w:r>
        <w:rPr>
          <w:rFonts w:hint="eastAsia" w:ascii="宋体" w:hAnsi="宋体"/>
          <w:color w:val="000000"/>
          <w:sz w:val="24"/>
          <w:szCs w:val="24"/>
        </w:rPr>
        <w:t xml:space="preserve">包括共享停车管理系统、APP&amp;小程序、公共备案停车场监管系统等</w:t>
      </w:r>
      <w:r>
        <w:rPr>
          <w:rFonts w:hint="eastAsia" w:ascii="宋体" w:hAnsi="宋体" w:cs="宋体"/>
          <w:bCs/>
          <w:color w:val="000000"/>
          <w:sz w:val="24"/>
          <w:szCs w:val="24"/>
        </w:rPr>
        <w:t xml:space="preserve">），运维期与各类智慧停车设备进行对接（业务及数据）。</w:t>
      </w:r>
      <w:r>
        <w:rPr>
          <w:rFonts w:hint="eastAsia" w:ascii="宋体" w:hAnsi="宋体"/>
          <w:color w:val="000000"/>
          <w:sz w:val="24"/>
          <w:szCs w:val="24"/>
        </w:rPr>
        <w:t xml:space="preserve">（详细内容见本招标文件第四章）</w:t>
      </w:r>
      <w:r>
        <w:rPr>
          <w:rFonts w:hint="eastAsia" w:ascii="宋体" w:hAnsi="宋体" w:cs="宋体"/>
          <w:color w:val="000000"/>
          <w:sz w:val="24"/>
          <w:szCs w:val="24"/>
        </w:rPr>
        <w:t xml:space="preserve"> </w:t>
      </w:r>
      <w:r>
        <w:rPr>
          <w:rFonts w:ascii="宋体" w:hAnsi="宋体"/>
          <w:color w:val="000000"/>
          <w:sz w:val="24"/>
          <w:szCs w:val="24"/>
          <w:u w:val="single"/>
        </w:rPr>
      </w:r>
      <w:r/>
    </w:p>
    <w:p>
      <w:pPr>
        <w:pStyle w:val="944"/>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1095天</w:t>
      </w:r>
      <w:r>
        <w:rPr>
          <w:rFonts w:hint="eastAsia" w:ascii="宋体" w:hAnsi="宋体" w:cs="宋体"/>
          <w:color w:val="000000"/>
          <w:sz w:val="24"/>
          <w:szCs w:val="24"/>
          <w:highlight w:val="yellow"/>
          <w:lang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80"/>
      <w:r/>
      <w:bookmarkStart w:id="14" w:name="_Toc28359003"/>
      <w:r/>
      <w:bookmarkStart w:id="15" w:name="_Toc35393791"/>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44"/>
        <w:ind w:firstLine="480"/>
        <w:pageBreakBefore w:val="0"/>
        <w:spacing w:line="264" w:lineRule="auto"/>
        <w:widowControl w:val="off"/>
        <w:rPr>
          <w:rFonts w:hint="eastAsia" w:ascii="宋体" w:hAnsi="宋体"/>
          <w:color w:val="000000"/>
          <w:sz w:val="24"/>
          <w:szCs w:val="24"/>
        </w:rPr>
      </w:pPr>
      <w:r/>
      <w:bookmarkStart w:id="17" w:name="_Toc35393792"/>
      <w:r/>
      <w:bookmarkStart w:id="18" w:name="_Toc35393623"/>
      <w:r/>
      <w:bookmarkStart w:id="19" w:name="_Toc28359004"/>
      <w:r/>
      <w:bookmarkStart w:id="20" w:name="_Toc28359081"/>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44"/>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944"/>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44"/>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本项目专门面向中小微企业采购，供应商应为中小微企业、监狱企业、残疾人福利性单位。（声明函格式见第六章）</w:t>
      </w:r>
      <w:r>
        <w:rPr>
          <w:rFonts w:hint="eastAsia" w:ascii="宋体" w:hAnsi="宋体" w:eastAsia="宋体"/>
          <w:color w:val="000000"/>
          <w:sz w:val="24"/>
          <w:szCs w:val="24"/>
          <w:lang w:val="zh-CN" w:eastAsia="zh-CN"/>
        </w:rPr>
      </w:r>
      <w:r/>
    </w:p>
    <w:p>
      <w:pPr>
        <w:pStyle w:val="944"/>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本项目采购标的对应的中小企业划分标准所属行业为：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olor w:val="000000"/>
          <w:sz w:val="24"/>
          <w:szCs w:val="24"/>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44"/>
        <w:ind w:firstLine="480"/>
        <w:pageBreakBefore w:val="0"/>
        <w:spacing w:line="264" w:lineRule="auto"/>
        <w:widowControl w:val="off"/>
        <w:rPr>
          <w:rFonts w:ascii="宋体" w:hAnsi="宋体" w:cs="宋体"/>
          <w:color w:val="000000"/>
          <w:sz w:val="24"/>
          <w:szCs w:val="24"/>
        </w:rPr>
      </w:pPr>
      <w:r/>
      <w:bookmarkStart w:id="22" w:name="_Toc28359005"/>
      <w:r/>
      <w:bookmarkStart w:id="23" w:name="_Toc38985266"/>
      <w:r/>
      <w:bookmarkStart w:id="24" w:name="_Toc35393624"/>
      <w:r/>
      <w:bookmarkStart w:id="25" w:name="_Toc35393793"/>
      <w:r/>
      <w:bookmarkStart w:id="26" w:name="_Toc28359082"/>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944"/>
        <w:ind w:firstLine="480"/>
        <w:pageBreakBefore w:val="0"/>
        <w:spacing w:line="264"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944"/>
        <w:ind w:firstLine="480"/>
        <w:pageBreakBefore w:val="0"/>
        <w:spacing w:line="264" w:lineRule="auto"/>
        <w:widowControl w:val="off"/>
        <w:rPr>
          <w:rFonts w:hint="eastAsia" w:ascii="宋体" w:hAnsi="宋体" w:eastAsia="宋体"/>
          <w:bCs/>
          <w:color w:val="000000"/>
          <w:sz w:val="24"/>
          <w:szCs w:val="24"/>
          <w:u w:val="single"/>
          <w:lang w:val="en-US" w:eastAsia="zh-CN"/>
        </w:rPr>
      </w:pPr>
      <w:r/>
      <w:bookmarkStart w:id="27" w:name="_Toc35393794"/>
      <w:r/>
      <w:bookmarkStart w:id="28" w:name="_Toc35393625"/>
      <w:r/>
      <w:bookmarkStart w:id="29" w:name="_Toc28359007"/>
      <w:r/>
      <w:bookmarkStart w:id="30" w:name="_Toc38985267"/>
      <w:r/>
      <w:bookmarkStart w:id="31" w:name="_Toc2835908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24</w:t>
      </w:r>
      <w:r>
        <w:rPr>
          <w:rFonts w:hint="eastAsia" w:ascii="宋体" w:hAnsi="宋体"/>
          <w:bCs/>
          <w:color w:val="000000"/>
          <w:sz w:val="24"/>
          <w:szCs w:val="24"/>
          <w:u w:val="none"/>
        </w:rPr>
        <w:t xml:space="preserve">年10</w:t>
      </w:r>
      <w:r>
        <w:rPr>
          <w:rFonts w:hint="eastAsia" w:ascii="宋体" w:hAnsi="宋体"/>
          <w:bCs/>
          <w:color w:val="000000"/>
          <w:sz w:val="24"/>
          <w:szCs w:val="24"/>
          <w:u w:val="none"/>
        </w:rPr>
        <w:t xml:space="preserve">月9</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09</w:t>
      </w:r>
      <w:r>
        <w:rPr>
          <w:rFonts w:hint="eastAsia" w:ascii="宋体" w:hAnsi="宋体" w:eastAsia="宋体" w:cs="宋体"/>
          <w:bCs/>
          <w:color w:val="000000"/>
          <w:sz w:val="24"/>
          <w:szCs w:val="24"/>
          <w:u w:val="none"/>
          <w:lang w:val="en-US" w:eastAsia="zh-CN"/>
        </w:rPr>
        <w:t xml:space="preserve">时30</w:t>
      </w:r>
      <w:r>
        <w:rPr>
          <w:rFonts w:hint="eastAsia" w:ascii="宋体" w:hAnsi="宋体" w:eastAsia="宋体" w:cs="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944"/>
        <w:ind w:firstLine="480"/>
        <w:pageBreakBefore w:val="0"/>
        <w:spacing w:line="264"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44"/>
        <w:ind w:firstLine="480"/>
        <w:pageBreakBefore w:val="0"/>
        <w:spacing w:line="264" w:lineRule="auto"/>
        <w:widowControl w:val="off"/>
        <w:rPr>
          <w:rFonts w:hint="eastAsia"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944"/>
        <w:ind w:firstLine="480"/>
        <w:pageBreakBefore w:val="0"/>
        <w:spacing w:line="264" w:lineRule="auto"/>
        <w:widowControl w:val="off"/>
        <w:tabs>
          <w:tab w:val="left" w:pos="900" w:leader="none"/>
        </w:tabs>
        <w:rPr>
          <w:rFonts w:hint="eastAsia" w:ascii="宋体" w:hAnsi="宋体"/>
          <w:bCs/>
          <w:color w:val="000000"/>
          <w:sz w:val="24"/>
          <w:szCs w:val="24"/>
        </w:rPr>
      </w:pPr>
      <w:r/>
      <w:bookmarkStart w:id="35" w:name="_Toc35393796"/>
      <w:r/>
      <w:bookmarkStart w:id="36" w:name="_Toc28359008"/>
      <w:r/>
      <w:bookmarkStart w:id="37" w:name="_Toc35393627"/>
      <w:r/>
      <w:bookmarkStart w:id="38" w:name="_Toc38985269"/>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44"/>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1019"/>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1.采购人</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称：南京市城市管理局  　</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址：江苏省南京市鼓楼区湛江路65号  </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联系人：李宁乔                                  </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联系电话：025-88867190 </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2.交易中心</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址：南京市建邺区江东中路265号  　　　　　　　　　　　</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孙</w:t>
      </w:r>
      <w:r>
        <w:rPr>
          <w:rFonts w:hint="eastAsia" w:ascii="宋体" w:hAnsi="宋体" w:eastAsia="宋体" w:cs="宋体"/>
          <w:color w:val="000000"/>
          <w:sz w:val="24"/>
          <w:szCs w:val="24"/>
          <w:highlight w:val="none"/>
          <w:lang w:eastAsia="zh-CN"/>
        </w:rPr>
        <w:t xml:space="preserve">老师                             </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联系电话：025-685059</w:t>
      </w:r>
      <w:r>
        <w:rPr>
          <w:rFonts w:hint="eastAsia" w:ascii="宋体" w:hAnsi="宋体" w:eastAsia="宋体" w:cs="宋体"/>
          <w:color w:val="000000"/>
          <w:sz w:val="24"/>
          <w:szCs w:val="24"/>
          <w:highlight w:val="none"/>
          <w:lang w:val="en-US" w:eastAsia="zh-CN"/>
        </w:rPr>
        <w:t xml:space="preserve">90</w:t>
      </w:r>
      <w:r>
        <w:rPr>
          <w:rFonts w:ascii="宋体" w:hAnsi="宋体" w:eastAsia="宋体" w:cs="宋体"/>
          <w:color w:val="000000"/>
          <w:sz w:val="24"/>
          <w:szCs w:val="24"/>
          <w:highlight w:val="none"/>
          <w:lang w:val="en-US" w:eastAsia="zh-CN"/>
        </w:rPr>
      </w:r>
      <w:r/>
    </w:p>
    <w:p>
      <w:pPr>
        <w:pStyle w:val="944"/>
        <w:jc w:val="both"/>
        <w:pageBreakBefore w:val="0"/>
        <w:spacing w:line="240" w:lineRule="auto"/>
        <w:widowControl w:val="off"/>
        <w:tabs>
          <w:tab w:val="left" w:pos="900" w:leader="none"/>
        </w:tabs>
        <w:rPr>
          <w:rFonts w:ascii="宋体" w:hAnsi="宋体"/>
          <w:color w:val="000000"/>
          <w:sz w:val="24"/>
          <w:szCs w:val="24"/>
        </w:rPr>
      </w:pPr>
      <w:r>
        <w:rPr>
          <w:rFonts w:ascii="宋体" w:hAnsi="宋体"/>
          <w:color w:val="000000"/>
          <w:sz w:val="24"/>
          <w:szCs w:val="24"/>
        </w:rPr>
      </w:r>
      <w:r/>
    </w:p>
    <w:p>
      <w:pPr>
        <w:pStyle w:val="956"/>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End w:id="1"/>
      <w:r/>
      <w:bookmarkEnd w:id="2"/>
      <w:r/>
      <w:bookmarkEnd w:id="3"/>
      <w:r/>
      <w:bookmarkEnd w:id="4"/>
      <w:r/>
      <w:bookmarkEnd w:id="5"/>
      <w:r/>
      <w:bookmarkStart w:id="40" w:name="_Toc462564139"/>
      <w:r/>
      <w:bookmarkStart w:id="41" w:name="_Toc479757211"/>
      <w:r/>
      <w:bookmarkStart w:id="42" w:name="_Hlt16619350"/>
      <w:r/>
      <w:bookmarkStart w:id="43" w:name="_Toc16938590"/>
      <w:r/>
      <w:bookmarkStart w:id="44" w:name="_Toc120614244"/>
      <w:r/>
      <w:bookmarkStart w:id="45" w:name="_Toc20823346"/>
      <w:r>
        <w:rPr>
          <w:rFonts w:ascii="黑体" w:eastAsia="黑体"/>
          <w:bCs/>
          <w:color w:val="000000"/>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6"/>
      <w:r/>
      <w:bookmarkStart w:id="47" w:name="_Toc513029202"/>
      <w:r/>
      <w:bookmarkStart w:id="48" w:name="_Toc120614213"/>
      <w:r/>
      <w:bookmarkStart w:id="49" w:name="_Toc16938518"/>
      <w:r/>
      <w:bookmarkStart w:id="50"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eastAsia="zh-CN" w:bidi="ar-SA"/>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1" w:name="_Toc513029203"/>
      <w:r/>
      <w:bookmarkStart w:id="52" w:name="_Toc16938519"/>
      <w:r/>
      <w:bookmarkStart w:id="53" w:name="_Toc120614214"/>
      <w:r/>
      <w:bookmarkStart w:id="54" w:name="_Toc20823275"/>
      <w:r/>
      <w:bookmarkStart w:id="55" w:name="_Toc479757207"/>
      <w:r/>
      <w:bookmarkStart w:id="56" w:name="_Toc20823314"/>
      <w:r/>
      <w:bookmarkStart w:id="57" w:name="_Toc513029242"/>
      <w:r/>
      <w:bookmarkStart w:id="58" w:name="_Toc120614221"/>
      <w:r/>
      <w:bookmarkStart w:id="59" w:name="_Toc16938558"/>
      <w:r>
        <w:rPr>
          <w:rFonts w:hint="eastAsia" w:ascii="方正黑体_GBK" w:hAnsi="方正黑体_GBK" w:eastAsia="方正黑体_GBK" w:cs="方正黑体_GBK"/>
          <w:b w:val="0"/>
          <w:bCs w:val="0"/>
          <w:color w:val="000000"/>
          <w:sz w:val="30"/>
          <w:szCs w:val="30"/>
        </w:rPr>
        <w:t xml:space="preserve">一、总则</w:t>
      </w:r>
      <w:bookmarkEnd w:id="51"/>
      <w:r/>
      <w:bookmarkEnd w:id="52"/>
      <w:r/>
      <w:bookmarkEnd w:id="53"/>
      <w:r/>
      <w:bookmarkEnd w:id="54"/>
      <w:r>
        <w:rPr>
          <w:rFonts w:hint="eastAsia" w:ascii="方正黑体_GBK" w:hAnsi="方正黑体_GBK" w:eastAsia="方正黑体_GBK" w:cs="方正黑体_GBK"/>
          <w:b w:val="0"/>
          <w:bCs w:val="0"/>
          <w:color w:val="000000"/>
          <w:sz w:val="30"/>
          <w:szCs w:val="30"/>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0" w:name="_Hlt16619475"/>
      <w:r/>
      <w:bookmarkEnd w:id="60"/>
      <w:r/>
      <w:bookmarkStart w:id="61" w:name="_Toc458694821"/>
      <w:r/>
      <w:bookmarkStart w:id="62" w:name="_Toc20823276"/>
      <w:r/>
      <w:bookmarkStart w:id="63" w:name="_Toc513029204"/>
      <w:r/>
      <w:bookmarkStart w:id="64" w:name="_Toc16938520"/>
      <w:r>
        <w:rPr>
          <w:rFonts w:hint="eastAsia" w:ascii="方正楷体_GBK" w:hAnsi="方正楷体_GBK" w:eastAsia="方正楷体_GBK" w:cs="方正楷体_GBK"/>
          <w:b/>
          <w:bCs/>
          <w:color w:val="000000"/>
          <w:sz w:val="28"/>
          <w:szCs w:val="28"/>
        </w:rPr>
        <w:t xml:space="preserve">1</w:t>
      </w:r>
      <w:bookmarkEnd w:id="61"/>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招标方式</w:t>
      </w:r>
      <w:bookmarkEnd w:id="62"/>
      <w:r/>
      <w:bookmarkEnd w:id="63"/>
      <w:r/>
      <w:bookmarkEnd w:id="64"/>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5" w:name="_Toc20823277"/>
      <w:r/>
      <w:bookmarkStart w:id="66" w:name="_Toc513029205"/>
      <w:r/>
      <w:bookmarkStart w:id="67" w:name="_Toc16938521"/>
      <w:r>
        <w:rPr>
          <w:rFonts w:hint="eastAsia" w:ascii="方正楷体_GBK" w:hAnsi="方正楷体_GBK" w:eastAsia="方正楷体_GBK" w:cs="方正楷体_GBK"/>
          <w:b/>
          <w:bCs/>
          <w:color w:val="000000"/>
          <w:sz w:val="28"/>
          <w:szCs w:val="28"/>
        </w:rPr>
        <w:t xml:space="preserve">2</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合格的投标人</w:t>
      </w:r>
      <w:bookmarkEnd w:id="65"/>
      <w:r/>
      <w:bookmarkEnd w:id="66"/>
      <w:r/>
      <w:bookmarkEnd w:id="67"/>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8" w:name="_Toc513029206"/>
      <w:r/>
      <w:bookmarkStart w:id="69" w:name="_Toc16938522"/>
      <w:r/>
      <w:bookmarkStart w:id="70" w:name="_Toc20823278"/>
      <w:r>
        <w:rPr>
          <w:rFonts w:hint="eastAsia" w:ascii="方正楷体_GBK" w:hAnsi="方正楷体_GBK" w:eastAsia="方正楷体_GBK" w:cs="方正楷体_GBK"/>
          <w:b/>
          <w:bCs/>
          <w:color w:val="000000"/>
          <w:sz w:val="28"/>
          <w:szCs w:val="28"/>
        </w:rPr>
        <w:t xml:space="preserve">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适用法律</w:t>
      </w:r>
      <w:bookmarkEnd w:id="68"/>
      <w:r/>
      <w:bookmarkEnd w:id="69"/>
      <w:r/>
      <w:bookmarkEnd w:id="70"/>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1" w:name="_Toc16938523"/>
      <w:r/>
      <w:bookmarkStart w:id="72" w:name="_Toc513029207"/>
      <w:r/>
      <w:bookmarkStart w:id="73" w:name="_Toc462564067"/>
      <w:r/>
      <w:bookmarkStart w:id="74" w:name="_Toc20823279"/>
      <w:r>
        <w:rPr>
          <w:rFonts w:hint="eastAsia" w:ascii="方正楷体_GBK" w:hAnsi="方正楷体_GBK" w:eastAsia="方正楷体_GBK" w:cs="方正楷体_GBK"/>
          <w:b/>
          <w:bCs/>
          <w:color w:val="000000"/>
          <w:sz w:val="28"/>
          <w:szCs w:val="28"/>
        </w:rPr>
        <w:t xml:space="preserve">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投标费用</w:t>
      </w:r>
      <w:bookmarkEnd w:id="71"/>
      <w:r/>
      <w:bookmarkEnd w:id="72"/>
      <w:r/>
      <w:bookmarkEnd w:id="73"/>
      <w:r/>
      <w:bookmarkEnd w:id="74"/>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招标文件的约束力</w:t>
      </w:r>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5" w:name="_Toc16938525"/>
      <w:r/>
      <w:bookmarkStart w:id="76" w:name="_Toc513029209"/>
      <w:r/>
      <w:bookmarkStart w:id="77" w:name="_Toc120614215"/>
      <w:r/>
      <w:bookmarkStart w:id="78" w:name="_Toc20823281"/>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9" w:name="_Toc20823282"/>
      <w:r/>
      <w:bookmarkStart w:id="80" w:name="_Toc16938526"/>
      <w:r/>
      <w:bookmarkStart w:id="81" w:name="_Toc513029210"/>
      <w:r>
        <w:rPr>
          <w:rFonts w:hint="eastAsia" w:ascii="方正楷体_GBK" w:hAnsi="方正楷体_GBK" w:eastAsia="方正楷体_GBK" w:cs="方正楷体_GBK"/>
          <w:b/>
          <w:bCs/>
          <w:color w:val="000000"/>
          <w:sz w:val="28"/>
          <w:szCs w:val="28"/>
        </w:rPr>
        <w:t xml:space="preserve">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招标文件构成</w:t>
      </w:r>
      <w:bookmarkEnd w:id="79"/>
      <w:r/>
      <w:bookmarkEnd w:id="80"/>
      <w:r/>
      <w:bookmarkEnd w:id="81"/>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2" w:name="_Toc20823283"/>
      <w:r/>
      <w:bookmarkStart w:id="83" w:name="_Toc513029211"/>
      <w:r/>
      <w:bookmarkStart w:id="84" w:name="_Toc462564070"/>
      <w:r/>
      <w:bookmarkStart w:id="85" w:name="_Toc16938527"/>
      <w:r>
        <w:rPr>
          <w:rFonts w:hint="eastAsia" w:ascii="方正楷体_GBK" w:hAnsi="方正楷体_GBK" w:eastAsia="方正楷体_GBK" w:cs="方正楷体_GBK"/>
          <w:b/>
          <w:bCs/>
          <w:color w:val="000000"/>
          <w:sz w:val="28"/>
          <w:szCs w:val="28"/>
        </w:rPr>
        <w:t xml:space="preserve">7</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招标文件的澄清</w:t>
      </w:r>
      <w:bookmarkEnd w:id="82"/>
      <w:r/>
      <w:bookmarkEnd w:id="83"/>
      <w:r/>
      <w:bookmarkEnd w:id="84"/>
      <w:r/>
      <w:bookmarkEnd w:id="85"/>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6" w:name="_Toc513029212"/>
      <w:r/>
      <w:bookmarkStart w:id="87" w:name="_Toc462564071"/>
      <w:r/>
      <w:bookmarkStart w:id="88" w:name="_Toc16938528"/>
      <w:r/>
      <w:bookmarkStart w:id="89" w:name="_Toc20823284"/>
      <w:r>
        <w:rPr>
          <w:rFonts w:hint="eastAsia" w:ascii="方正楷体_GBK" w:hAnsi="方正楷体_GBK" w:eastAsia="方正楷体_GBK" w:cs="方正楷体_GBK"/>
          <w:b/>
          <w:bCs/>
          <w:color w:val="000000"/>
          <w:sz w:val="28"/>
          <w:szCs w:val="28"/>
        </w:rPr>
        <w:t xml:space="preserve">8</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招标文件的修改</w:t>
      </w:r>
      <w:bookmarkEnd w:id="86"/>
      <w:r/>
      <w:bookmarkEnd w:id="87"/>
      <w:r/>
      <w:bookmarkEnd w:id="88"/>
      <w:r/>
      <w:bookmarkEnd w:id="89"/>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bookmarkStart w:id="90" w:name="_Toc462564072"/>
      <w:r/>
      <w:bookmarkStart w:id="91" w:name="_Toc16938529"/>
      <w:r/>
      <w:bookmarkStart w:id="92" w:name="_Toc513029213"/>
      <w:r/>
      <w:bookmarkStart w:id="93" w:name="_Toc120614216"/>
      <w:r/>
      <w:bookmarkStart w:id="94"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5" w:name="_Toc20823286"/>
      <w:r/>
      <w:bookmarkStart w:id="96" w:name="_Toc462564073"/>
      <w:r/>
      <w:bookmarkStart w:id="97" w:name="_Toc16938530"/>
      <w:r/>
      <w:bookmarkStart w:id="98" w:name="_Toc513029214"/>
      <w:r>
        <w:rPr>
          <w:rFonts w:hint="eastAsia" w:ascii="方正楷体_GBK" w:hAnsi="方正楷体_GBK" w:eastAsia="方正楷体_GBK" w:cs="方正楷体_GBK"/>
          <w:b/>
          <w:bCs/>
          <w:color w:val="000000"/>
          <w:sz w:val="28"/>
          <w:szCs w:val="28"/>
        </w:rPr>
        <w:t xml:space="preserve">9</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投标文件的语言及度量衡单位</w:t>
      </w:r>
      <w:bookmarkEnd w:id="95"/>
      <w:r/>
      <w:bookmarkEnd w:id="96"/>
      <w:r/>
      <w:bookmarkEnd w:id="97"/>
      <w:r/>
      <w:bookmarkEnd w:id="98"/>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9" w:name="_Toc462564074"/>
      <w:r/>
      <w:bookmarkStart w:id="100" w:name="_Toc16938531"/>
      <w:r/>
      <w:bookmarkStart w:id="101" w:name="_Toc513029215"/>
      <w:r/>
      <w:bookmarkStart w:id="102" w:name="_Toc20823287"/>
      <w:r>
        <w:rPr>
          <w:rFonts w:hint="eastAsia" w:ascii="方正楷体_GBK" w:hAnsi="方正楷体_GBK" w:eastAsia="方正楷体_GBK" w:cs="方正楷体_GBK"/>
          <w:b/>
          <w:bCs/>
          <w:color w:val="000000"/>
          <w:sz w:val="28"/>
          <w:szCs w:val="28"/>
        </w:rPr>
        <w:t xml:space="preserve">10</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投标文件构成</w:t>
      </w:r>
      <w:bookmarkEnd w:id="99"/>
      <w:r/>
      <w:bookmarkEnd w:id="100"/>
      <w:r/>
      <w:bookmarkEnd w:id="101"/>
      <w:r/>
      <w:bookmarkEnd w:id="102"/>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03" w:name="_Hlt26670360"/>
      <w:r/>
      <w:bookmarkEnd w:id="103"/>
      <w:r/>
      <w:bookmarkStart w:id="104" w:name="_Toc513029219"/>
      <w:r/>
      <w:bookmarkStart w:id="105" w:name="_Toc14577357"/>
      <w:r/>
      <w:bookmarkStart w:id="106" w:name="_Toc49090509"/>
      <w:r/>
      <w:bookmarkStart w:id="107" w:name="_Toc14577354"/>
      <w:r/>
      <w:bookmarkStart w:id="108" w:name="_Toc513029216"/>
      <w:r/>
      <w:bookmarkStart w:id="109" w:name="_Toc49090507"/>
      <w:r/>
      <w:bookmarkStart w:id="110" w:name="_Hlt26668975"/>
      <w:r/>
      <w:bookmarkEnd w:id="110"/>
      <w:r/>
      <w:bookmarkStart w:id="111" w:name="_Hlt26954838"/>
      <w:r/>
      <w:bookmarkEnd w:id="111"/>
      <w:r>
        <w:rPr>
          <w:rFonts w:hint="eastAsia" w:ascii="方正楷体_GBK" w:hAnsi="方正楷体_GBK" w:eastAsia="方正楷体_GBK" w:cs="方正楷体_GBK"/>
          <w:b/>
          <w:bCs/>
          <w:color w:val="000000"/>
          <w:sz w:val="28"/>
          <w:szCs w:val="28"/>
        </w:rPr>
        <w:t xml:space="preserve">11</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证明投标人及投标标的符合招标文件规定的文件</w:t>
      </w:r>
      <w:bookmarkEnd w:id="104"/>
      <w:r/>
      <w:bookmarkEnd w:id="105"/>
      <w:r/>
      <w:bookmarkEnd w:id="106"/>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bookmarkEnd w:id="107"/>
      <w:r/>
      <w:bookmarkEnd w:id="108"/>
      <w:r/>
      <w:bookmarkEnd w:id="109"/>
      <w:r/>
      <w:bookmarkStart w:id="112" w:name="_Toc49090508"/>
      <w:r/>
      <w:bookmarkStart w:id="113"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12</w:t>
      </w:r>
      <w:bookmarkEnd w:id="112"/>
      <w:r/>
      <w:bookmarkEnd w:id="113"/>
      <w:r>
        <w:rPr>
          <w:rFonts w:hint="eastAsia" w:ascii="方正楷体_GBK" w:hAnsi="方正楷体_GBK" w:eastAsia="方正楷体_GBK" w:cs="方正楷体_GBK"/>
          <w:b/>
          <w:bCs/>
          <w:color w:val="000000"/>
          <w:sz w:val="28"/>
          <w:szCs w:val="28"/>
          <w:lang w:val="en-US" w:eastAsia="zh-CN"/>
        </w:rPr>
        <w:t xml:space="preserve">.投标分项报价表</w:t>
      </w:r>
      <w:r>
        <w:rPr>
          <w:rFonts w:hint="eastAsia" w:ascii="方正楷体_GBK" w:hAnsi="方正楷体_GBK" w:eastAsia="方正楷体_GBK" w:cs="方正楷体_GBK"/>
          <w:color w:val="000000"/>
        </w:rPr>
        <w:t xml:space="preserve">（</w:t>
      </w:r>
      <w:r>
        <w:rPr>
          <w:rFonts w:hint="eastAsia" w:ascii="方正楷体_GBK" w:hAnsi="方正楷体_GBK" w:eastAsia="方正楷体_GBK" w:cs="方正楷体_GBK"/>
          <w:color w:val="000000"/>
          <w:lang w:val="en-US" w:eastAsia="zh-CN"/>
        </w:rPr>
        <w:t xml:space="preserve">如有</w:t>
      </w:r>
      <w:r>
        <w:rPr>
          <w:rFonts w:hint="eastAsia" w:ascii="方正楷体_GBK" w:hAnsi="方正楷体_GBK" w:eastAsia="方正楷体_GBK" w:cs="方正楷体_GBK"/>
          <w:color w:val="000000"/>
        </w:rPr>
        <w:t xml:space="preserve">）</w:t>
      </w:r>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4" w:name="_Hlt26954840"/>
      <w:r/>
      <w:bookmarkEnd w:id="114"/>
      <w:r>
        <w:rPr>
          <w:rFonts w:hint="eastAsia" w:ascii="宋体" w:hAnsi="宋体" w:eastAsia="宋体" w:cs="Times New Roman"/>
          <w:color w:val="000000"/>
          <w:sz w:val="24"/>
        </w:rPr>
        <w:t xml:space="preserve">标人应按照招标文件规定格式填报</w:t>
      </w:r>
      <w:bookmarkStart w:id="115" w:name="_Hlt26670399"/>
      <w:r/>
      <w:bookmarkEnd w:id="115"/>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投标货币。投标文件中的单价和总价无特殊规定的采用人民币报价，以元为单位标注。招标文件中另有规定的按规定执行。</w:t>
      </w:r>
      <w:r>
        <w:rPr>
          <w:rFonts w:hint="eastAsia" w:ascii="宋体" w:hAnsi="宋体" w:eastAsia="宋体" w:cs="Times New Roman"/>
          <w:color w:val="000000"/>
          <w:sz w:val="24"/>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16" w:name="_Hlt26670425"/>
      <w:r/>
      <w:bookmarkEnd w:id="116"/>
      <w:r/>
      <w:bookmarkStart w:id="117" w:name="_Hlt26668983"/>
      <w:r/>
      <w:bookmarkEnd w:id="117"/>
      <w:r/>
      <w:bookmarkStart w:id="118" w:name="_Hlt26954848"/>
      <w:r/>
      <w:bookmarkEnd w:id="118"/>
      <w:r/>
      <w:bookmarkStart w:id="119" w:name="_Hlt26670482"/>
      <w:r/>
      <w:bookmarkEnd w:id="119"/>
      <w:r/>
      <w:bookmarkStart w:id="120" w:name="_Hlt26954846"/>
      <w:r/>
      <w:bookmarkEnd w:id="120"/>
      <w:r/>
      <w:bookmarkStart w:id="121" w:name="_Hlt26954844"/>
      <w:r/>
      <w:bookmarkEnd w:id="121"/>
      <w:r/>
      <w:bookmarkStart w:id="122" w:name="_Hlt26954731"/>
      <w:r/>
      <w:bookmarkEnd w:id="122"/>
      <w:r/>
      <w:bookmarkStart w:id="123" w:name="_Hlt26670486"/>
      <w:r/>
      <w:bookmarkEnd w:id="123"/>
      <w:r/>
      <w:bookmarkStart w:id="124" w:name="_Hlt26954842"/>
      <w:r/>
      <w:bookmarkEnd w:id="124"/>
      <w:r/>
      <w:bookmarkStart w:id="125" w:name="_Hlt26670403"/>
      <w:r/>
      <w:bookmarkEnd w:id="125"/>
      <w:r>
        <w:rPr>
          <w:rFonts w:hint="eastAsia" w:ascii="方正楷体_GBK" w:hAnsi="方正楷体_GBK" w:eastAsia="方正楷体_GBK" w:cs="方正楷体_GBK"/>
          <w:b/>
          <w:bCs/>
          <w:color w:val="000000"/>
          <w:sz w:val="28"/>
          <w:szCs w:val="28"/>
        </w:rPr>
        <w:t xml:space="preserve">13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响应及偏离表</w:t>
      </w:r>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26" w:name="_Toc14577359"/>
      <w:r/>
      <w:bookmarkStart w:id="127" w:name="_Toc49090510"/>
      <w:r>
        <w:rPr>
          <w:rFonts w:hint="eastAsia" w:ascii="方正楷体_GBK" w:hAnsi="方正楷体_GBK" w:eastAsia="方正楷体_GBK" w:cs="方正楷体_GBK"/>
          <w:b/>
          <w:bCs/>
          <w:color w:val="000000"/>
          <w:sz w:val="28"/>
          <w:szCs w:val="28"/>
        </w:rPr>
        <w:t xml:space="preserve">14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投标函和开标一览表</w:t>
      </w:r>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中的投标总报价一致，如不一致不作为无效投标处理，评标时以开标一览表中价格为准。</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End w:id="126"/>
      <w:r/>
      <w:bookmarkEnd w:id="127"/>
      <w:r/>
      <w:bookmarkStart w:id="128" w:name="_Hlt26954850"/>
      <w:r/>
      <w:bookmarkEnd w:id="128"/>
      <w:r/>
      <w:bookmarkStart w:id="129" w:name="_Hlt26670489"/>
      <w:r/>
      <w:bookmarkEnd w:id="129"/>
      <w:r/>
      <w:bookmarkStart w:id="130" w:name="_Hlt26954734"/>
      <w:r/>
      <w:bookmarkEnd w:id="130"/>
      <w:r/>
      <w:bookmarkStart w:id="131" w:name="_Toc14577360"/>
      <w:r/>
      <w:bookmarkStart w:id="132" w:name="_Toc49090511"/>
      <w:r>
        <w:rPr>
          <w:rFonts w:hint="eastAsia" w:ascii="方正楷体_GBK" w:hAnsi="方正楷体_GBK" w:eastAsia="方正楷体_GBK" w:cs="方正楷体_GBK"/>
          <w:b/>
          <w:bCs/>
          <w:color w:val="000000"/>
          <w:sz w:val="28"/>
          <w:szCs w:val="28"/>
        </w:rPr>
        <w:t xml:space="preserve">15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w:t>
      </w:r>
      <w:bookmarkEnd w:id="131"/>
      <w:r/>
      <w:bookmarkEnd w:id="132"/>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投标有效期的延长</w:t>
      </w:r>
      <w:r>
        <w:rPr>
          <w:rFonts w:hint="eastAsia" w:ascii="方正楷体_GBK" w:hAnsi="方正楷体_GBK" w:eastAsia="方正楷体_GBK" w:cs="方正楷体_GBK"/>
          <w:b/>
          <w:bCs/>
          <w:color w:val="000000"/>
          <w:sz w:val="28"/>
          <w:szCs w:val="28"/>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3" w:name="_Toc120614217"/>
      <w:r/>
      <w:bookmarkStart w:id="134" w:name="_Toc513029224"/>
      <w:r/>
      <w:bookmarkStart w:id="135" w:name="_Toc20823309"/>
      <w:r/>
      <w:bookmarkStart w:id="136" w:name="_Toc513029237"/>
      <w:r/>
      <w:bookmarkStart w:id="137" w:name="_Toc16938553"/>
      <w:r/>
      <w:bookmarkStart w:id="138" w:name="_Toc20823296"/>
      <w:r/>
      <w:bookmarkStart w:id="139" w:name="_Toc16938540"/>
      <w:r/>
      <w:bookmarkStart w:id="140" w:name="_Hlt26954739"/>
      <w:r/>
      <w:bookmarkEnd w:id="140"/>
      <w:r/>
      <w:bookmarkStart w:id="141" w:name="_Hlt26954852"/>
      <w:r/>
      <w:bookmarkEnd w:id="141"/>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8"/>
      <w:r/>
      <w:bookmarkEnd w:id="139"/>
      <w:r>
        <w:rPr>
          <w:rFonts w:hint="eastAsia" w:ascii="方正黑体_GBK" w:hAnsi="方正黑体_GBK" w:eastAsia="方正黑体_GBK" w:cs="方正黑体_GBK"/>
          <w:b w:val="0"/>
          <w:bCs w:val="0"/>
          <w:color w:val="000000"/>
          <w:sz w:val="30"/>
          <w:szCs w:val="30"/>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2" w:name="_Toc513029225"/>
      <w:r/>
      <w:bookmarkStart w:id="143" w:name="_Toc462564084"/>
      <w:r/>
      <w:bookmarkStart w:id="144" w:name="_Toc16938541"/>
      <w:r/>
      <w:bookmarkStart w:id="145" w:name="_Toc20823297"/>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2"/>
      <w:r/>
      <w:bookmarkEnd w:id="143"/>
      <w:r/>
      <w:bookmarkEnd w:id="144"/>
      <w:r/>
      <w:bookmarkEnd w:id="145"/>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6" w:name="_Toc513029226"/>
      <w:r/>
      <w:bookmarkStart w:id="147" w:name="_Toc16938542"/>
      <w:r/>
      <w:bookmarkStart w:id="148" w:name="_Toc20823298"/>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6"/>
      <w:r/>
      <w:bookmarkEnd w:id="147"/>
      <w:r/>
      <w:bookmarkEnd w:id="148"/>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9" w:name="_Toc513029227"/>
      <w:r/>
      <w:bookmarkStart w:id="150" w:name="_Toc20823299"/>
      <w:r/>
      <w:bookmarkStart w:id="151" w:name="_Toc16938543"/>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9"/>
      <w:r/>
      <w:bookmarkEnd w:id="150"/>
      <w:r/>
      <w:bookmarkEnd w:id="151"/>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拒绝接收投标截止时间后上传的任何投标文件。</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2" w:name="_Toc16938544"/>
      <w:r/>
      <w:bookmarkStart w:id="153" w:name="_Toc20823300"/>
      <w:r/>
      <w:bookmarkStart w:id="154" w:name="_Toc513029228"/>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52"/>
      <w:r/>
      <w:bookmarkEnd w:id="153"/>
      <w:r/>
      <w:bookmarkEnd w:id="154"/>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5" w:name="_Toc20823301"/>
      <w:r/>
      <w:bookmarkStart w:id="156" w:name="_Toc120614218"/>
      <w:r/>
      <w:bookmarkStart w:id="157" w:name="_Toc513029229"/>
      <w:r/>
      <w:bookmarkStart w:id="158" w:name="_Toc16938545"/>
      <w:r>
        <w:rPr>
          <w:rFonts w:hint="eastAsia" w:ascii="宋体" w:hAnsi="宋体" w:eastAsia="宋体" w:cs="Times New Roman"/>
          <w:color w:val="000000"/>
          <w:sz w:val="24"/>
          <w:lang w:val="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9" w:name="_Toc16938546"/>
      <w:r/>
      <w:bookmarkStart w:id="160" w:name="_Toc513029230"/>
      <w:r/>
      <w:bookmarkStart w:id="161" w:name="_Toc2082330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9"/>
      <w:r/>
      <w:bookmarkEnd w:id="160"/>
      <w:r/>
      <w:bookmarkEnd w:id="161"/>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2" w:name="_Toc16938547"/>
      <w:r/>
      <w:bookmarkStart w:id="163" w:name="_Toc20823303"/>
      <w:r/>
      <w:bookmarkStart w:id="164" w:name="_Toc51302923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组织评标委员会（以下简称“评委会”）进行。</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eastAsia="宋体" w:cs="Times New Roman"/>
          <w:color w:val="000000"/>
          <w:sz w:val="24"/>
          <w:lang w:val="en-US" w:eastAsia="zh-CN"/>
        </w:rPr>
        <w:t xml:space="preserve">候</w:t>
      </w:r>
      <w:r>
        <w:rPr>
          <w:rFonts w:hint="eastAsia" w:ascii="宋体" w:hAnsi="宋体" w:eastAsia="宋体" w:cs="Times New Roman"/>
          <w:color w:val="000000"/>
          <w:sz w:val="24"/>
          <w:lang w:val="zh-CN"/>
        </w:rPr>
        <w:t xml:space="preserve">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2"/>
      <w:r/>
      <w:bookmarkEnd w:id="163"/>
      <w:r/>
      <w:bookmarkEnd w:id="16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5" w:name="_Toc16938548"/>
      <w:r/>
      <w:bookmarkStart w:id="166" w:name="_Toc513029232"/>
      <w:r/>
      <w:bookmarkStart w:id="167" w:name="_Toc20823304"/>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5"/>
      <w:r/>
      <w:bookmarkEnd w:id="166"/>
      <w:r/>
      <w:bookmarkEnd w:id="167"/>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8" w:name="_Toc513029233"/>
      <w:r/>
      <w:bookmarkStart w:id="169" w:name="_Toc16938549"/>
      <w:r/>
      <w:bookmarkStart w:id="170" w:name="_Toc20823305"/>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8"/>
      <w:r/>
      <w:bookmarkEnd w:id="169"/>
      <w:r/>
      <w:bookmarkEnd w:id="170"/>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944"/>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44"/>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20823306"/>
      <w:r/>
      <w:bookmarkStart w:id="172" w:name="_Toc16938550"/>
      <w:r/>
      <w:bookmarkStart w:id="173"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71"/>
      <w:r/>
      <w:bookmarkEnd w:id="172"/>
      <w:r/>
      <w:bookmarkEnd w:id="173"/>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4" w:name="_Toc513029235"/>
      <w:r/>
      <w:bookmarkStart w:id="175" w:name="_Toc20823307"/>
      <w:r/>
      <w:bookmarkStart w:id="176"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本招标文件中斜体且有下划线部分，或者打“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4"/>
      <w:r/>
      <w:bookmarkEnd w:id="175"/>
      <w:r/>
      <w:bookmarkEnd w:id="176"/>
      <w:r/>
      <w:bookmarkStart w:id="177" w:name="_Toc120614219"/>
      <w:r>
        <w:rPr>
          <w:rFonts w:hint="eastAsia" w:ascii="方正黑体_GBK" w:hAnsi="方正黑体_GBK" w:eastAsia="方正黑体_GBK" w:cs="方正黑体_GBK"/>
          <w:b w:val="0"/>
          <w:bCs w:val="0"/>
          <w:color w:val="000000"/>
          <w:sz w:val="30"/>
          <w:szCs w:val="30"/>
        </w:rPr>
        <w:t xml:space="preserve">六、定标</w:t>
      </w:r>
      <w:bookmarkEnd w:id="177"/>
      <w:r>
        <w:rPr>
          <w:rFonts w:hint="eastAsia" w:ascii="方正黑体_GBK" w:hAnsi="方正黑体_GBK" w:eastAsia="方正黑体_GBK" w:cs="方正黑体_GBK"/>
          <w:b w:val="0"/>
          <w:bCs w:val="0"/>
          <w:color w:val="000000"/>
          <w:sz w:val="30"/>
          <w:szCs w:val="30"/>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8" w:name="_Toc513029238"/>
      <w:r/>
      <w:bookmarkStart w:id="179" w:name="_Toc16938554"/>
      <w:r/>
      <w:bookmarkStart w:id="180" w:name="_Toc20823310"/>
      <w:r>
        <w:rPr>
          <w:rFonts w:hint="eastAsia" w:ascii="方正楷体_GBK" w:hAnsi="方正楷体_GBK" w:eastAsia="方正楷体_GBK" w:cs="方正楷体_GBK"/>
          <w:b/>
          <w:bCs/>
          <w:color w:val="000000"/>
        </w:rPr>
        <w:t xml:space="preserve">2</w:t>
      </w:r>
      <w:bookmarkEnd w:id="178"/>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9"/>
      <w:r/>
      <w:bookmarkEnd w:id="180"/>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1"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2" w:name="_Toc20823308"/>
      <w:r/>
      <w:bookmarkStart w:id="183" w:name="_Toc120614220"/>
      <w:r/>
      <w:bookmarkStart w:id="184" w:name="_Toc16938552"/>
      <w:r/>
      <w:bookmarkStart w:id="185" w:name="_Toc513029236"/>
      <w:r>
        <w:rPr>
          <w:rFonts w:hint="eastAsia" w:ascii="方正黑体_GBK" w:hAnsi="方正黑体_GBK" w:eastAsia="方正黑体_GBK" w:cs="方正黑体_GBK"/>
          <w:b w:val="0"/>
          <w:bCs w:val="0"/>
          <w:color w:val="000000"/>
          <w:sz w:val="30"/>
          <w:szCs w:val="30"/>
        </w:rPr>
        <w:t xml:space="preserve">七、授予合同</w:t>
      </w:r>
      <w:bookmarkEnd w:id="183"/>
      <w:r>
        <w:rPr>
          <w:rFonts w:hint="eastAsia" w:ascii="方正黑体_GBK" w:hAnsi="方正黑体_GBK" w:eastAsia="方正黑体_GBK" w:cs="方正黑体_GBK"/>
          <w:b w:val="0"/>
          <w:bCs w:val="0"/>
          <w:color w:val="000000"/>
          <w:sz w:val="30"/>
          <w:szCs w:val="30"/>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2"/>
      <w:r/>
      <w:bookmarkEnd w:id="184"/>
      <w:r/>
      <w:bookmarkEnd w:id="185"/>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服务</w:t>
      </w:r>
      <w:r>
        <w:rPr>
          <w:rFonts w:hint="eastAsia" w:ascii="方正楷体_GBK" w:hAnsi="方正楷体_GBK" w:eastAsia="方正楷体_GBK" w:cs="方正楷体_GBK"/>
          <w:b/>
          <w:bCs/>
          <w:color w:val="000000"/>
        </w:rPr>
        <w:t xml:space="preserve">（包含与</w:t>
      </w:r>
      <w:r>
        <w:rPr>
          <w:rFonts w:hint="eastAsia" w:ascii="方正楷体_GBK" w:hAnsi="方正楷体_GBK" w:eastAsia="方正楷体_GBK" w:cs="方正楷体_GBK"/>
          <w:b/>
          <w:bCs/>
          <w:color w:val="000000"/>
          <w:lang w:eastAsia="zh-CN"/>
        </w:rPr>
        <w:t xml:space="preserve">服务</w:t>
      </w:r>
      <w:r>
        <w:rPr>
          <w:rFonts w:hint="eastAsia" w:ascii="方正楷体_GBK" w:hAnsi="方正楷体_GBK" w:eastAsia="方正楷体_GBK" w:cs="方正楷体_GBK"/>
          <w:b/>
          <w:bCs/>
          <w:color w:val="000000"/>
        </w:rPr>
        <w:t xml:space="preserve">相关的</w:t>
      </w:r>
      <w:r>
        <w:rPr>
          <w:rFonts w:hint="eastAsia" w:ascii="方正楷体_GBK" w:hAnsi="方正楷体_GBK" w:eastAsia="方正楷体_GBK" w:cs="方正楷体_GBK"/>
          <w:b/>
          <w:bCs/>
          <w:color w:val="000000"/>
          <w:lang w:eastAsia="zh-CN"/>
        </w:rPr>
        <w:t xml:space="preserve">货物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944"/>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944"/>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未参加投标活动的供应商或在投标活动中自身权益未受到损害的供应商所提出的质疑。</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4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948"/>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944"/>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94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94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94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4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94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4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4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4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4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944"/>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944"/>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44"/>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4"/>
          <w:lang w:val="en-US" w:eastAsia="zh-CN"/>
        </w:rPr>
        <w:t xml:space="preserve">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94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944"/>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948"/>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94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944"/>
        <w:ind w:firstLine="420"/>
        <w:pageBreakBefore w:val="0"/>
        <w:spacing w:line="240" w:lineRule="atLeast"/>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948"/>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color w:val="000000"/>
          <w:sz w:val="28"/>
          <w:lang w:val="zh-CN" w:eastAsia="zh-CN"/>
        </w:rPr>
        <w:t xml:space="preserve">43.数据交易说明（如有）</w:t>
      </w:r>
      <w:r>
        <w:rPr>
          <w:rFonts w:hint="eastAsia" w:ascii="方正楷体_GBK" w:hAnsi="方正楷体_GBK" w:eastAsia="方正楷体_GBK" w:cs="方正楷体_GBK"/>
          <w:b/>
          <w:bCs/>
          <w:color w:val="000000"/>
          <w:sz w:val="28"/>
          <w:lang w:val="zh-CN" w:eastAsia="zh-CN"/>
        </w:rPr>
      </w:r>
      <w:r/>
    </w:p>
    <w:p>
      <w:pPr>
        <w:pStyle w:val="944"/>
        <w:ind w:firstLine="420"/>
        <w:pageBreakBefore w:val="0"/>
        <w:spacing w:line="240" w:lineRule="atLeast"/>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43.1 数据交易标的包括数据产品、数据服务、数据工具。</w:t>
      </w:r>
      <w:r>
        <w:rPr>
          <w:rFonts w:hint="eastAsia" w:ascii="宋体" w:hAnsi="宋体" w:eastAsia="宋体" w:cs="Times New Roman"/>
          <w:color w:val="000000"/>
          <w:sz w:val="24"/>
          <w:lang w:val="zh-CN" w:eastAsia="zh-CN"/>
        </w:rPr>
      </w:r>
      <w:r/>
    </w:p>
    <w:p>
      <w:pPr>
        <w:pStyle w:val="944"/>
        <w:ind w:firstLine="420"/>
        <w:pageBreakBefore w:val="0"/>
        <w:spacing w:line="240" w:lineRule="atLeast"/>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944"/>
        <w:ind w:firstLine="420"/>
        <w:pageBreakBefore w:val="0"/>
        <w:spacing w:line="240" w:lineRule="atLeast"/>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944"/>
        <w:ind w:firstLine="420"/>
        <w:pageBreakBefore w:val="0"/>
        <w:spacing w:line="240" w:lineRule="atLeast"/>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56"/>
        <w:ind w:left="0" w:firstLine="0"/>
        <w:jc w:val="center"/>
        <w:rPr>
          <w:rFonts w:hint="eastAsia" w:ascii="方正小标宋简体" w:hAnsi="方正小标宋简体" w:eastAsia="方正小标宋简体" w:cs="方正小标宋简体"/>
          <w:color w:val="000000"/>
          <w:sz w:val="36"/>
          <w:szCs w:val="36"/>
          <w:lang w:val="en-US"/>
        </w:rPr>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944"/>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86" w:name="_Toc513029243"/>
      <w:r/>
      <w:bookmarkStart w:id="187" w:name="_Toc16938559"/>
      <w:r/>
      <w:bookmarkStart w:id="188"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6"/>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944"/>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944"/>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44"/>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44"/>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944"/>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944"/>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944"/>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lang w:val="en-US" w:eastAsia="zh-CN"/>
        </w:rPr>
        <w:t xml:space="preserve">1095天</w:t>
      </w:r>
      <w:r>
        <w:rPr>
          <w:rFonts w:ascii="宋体" w:hAnsi="宋体" w:eastAsia="宋体" w:cs="Courier New"/>
          <w:color w:val="000000"/>
          <w:sz w:val="24"/>
          <w:szCs w:val="24"/>
          <w:lang w:val="en-US" w:eastAsia="zh-CN"/>
        </w:rPr>
      </w:r>
      <w:r/>
    </w:p>
    <w:p>
      <w:pPr>
        <w:pStyle w:val="944"/>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ascii="宋体" w:hAnsi="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944"/>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84"/>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本合同金额为（大写）：____________________圆（____________________元）人民币。</w:t>
      </w:r>
      <w:r>
        <w:rPr>
          <w:rFonts w:ascii="宋体" w:hAnsi="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乙方在</w:t>
      </w:r>
      <w:r>
        <w:rPr>
          <w:rFonts w:hint="eastAsia" w:ascii="宋体" w:hAnsi="宋体" w:eastAsia="宋体" w:cs="Courier New"/>
          <w:b w:val="0"/>
          <w:bCs w:val="0"/>
          <w:color w:val="000000"/>
          <w:sz w:val="24"/>
          <w:szCs w:val="24"/>
          <w:highlight w:val="none"/>
          <w:u w:val="single"/>
          <w:lang w:val="en-US" w:eastAsia="zh-CN"/>
        </w:rPr>
        <w:t xml:space="preserve"> 签订合同 </w:t>
      </w:r>
      <w:r>
        <w:rPr>
          <w:rFonts w:hint="eastAsia" w:ascii="宋体" w:hAnsi="宋体" w:eastAsia="宋体" w:cs="Courier New"/>
          <w:b w:val="0"/>
          <w:bCs w:val="0"/>
          <w:color w:val="000000"/>
          <w:sz w:val="24"/>
          <w:szCs w:val="24"/>
          <w:highlight w:val="none"/>
          <w:u w:val="none"/>
          <w:lang w:val="en-US" w:eastAsia="zh-CN"/>
        </w:rPr>
        <w:t xml:space="preserve">时</w:t>
      </w:r>
      <w:r>
        <w:rPr>
          <w:rFonts w:hint="eastAsia" w:ascii="宋体" w:hAnsi="宋体" w:eastAsia="宋体" w:cs="Courier New"/>
          <w:b w:val="0"/>
          <w:bCs w:val="0"/>
          <w:color w:val="000000"/>
          <w:sz w:val="24"/>
          <w:szCs w:val="24"/>
          <w:highlight w:val="none"/>
          <w:lang w:val="en-US" w:eastAsia="zh-CN"/>
        </w:rPr>
        <w:t xml:space="preserve">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44"/>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4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44"/>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4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44"/>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ascii="宋体" w:hAnsi="宋体" w:eastAsia="宋体" w:cs="宋体"/>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84"/>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合同签订后，支付第一年度平台服务费用的30%； </w:t>
      </w:r>
      <w:r>
        <w:rPr>
          <w:rFonts w:hint="eastAsia"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第一年度服务期满，经甲方组织验收通过后，支付第一年度平台服务费用的70%； </w:t>
      </w:r>
      <w:r>
        <w:rPr>
          <w:rFonts w:hint="eastAsia"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8.1.4 第二年度服务期满，经</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val="en-US" w:eastAsia="zh-CN"/>
        </w:rPr>
        <w:t xml:space="preserve">组织验收通过后，支付第二年度100%平台服务费用； </w:t>
      </w:r>
      <w:r>
        <w:rPr>
          <w:rFonts w:hint="eastAsia"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8.1.5 第三年度服务期满，经甲方组织验收通过后，支付第三年度100%平台服务费用。</w:t>
      </w:r>
      <w:r>
        <w:rPr>
          <w:rFonts w:hint="eastAsia"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color w:val="000000"/>
          <w:lang w:val="en-US" w:eastAsia="zh-CN"/>
        </w:rPr>
      </w:pPr>
      <w:r>
        <w:rPr>
          <w:rFonts w:hint="eastAsia" w:ascii="宋体" w:hAnsi="宋体" w:eastAsia="宋体" w:cs="Courier New"/>
          <w:color w:val="000000"/>
          <w:sz w:val="24"/>
          <w:szCs w:val="24"/>
          <w:highlight w:val="none"/>
          <w:lang w:val="en-US" w:eastAsia="zh-CN"/>
        </w:rPr>
        <w:t xml:space="preserve">8.1.6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t xml:space="preserve"> </w:t>
      </w:r>
      <w:r>
        <w:rPr>
          <w:rFonts w:hint="eastAsia"/>
          <w:color w:val="000000"/>
          <w:lang w:val="en-US" w:eastAsia="zh-CN"/>
        </w:rPr>
      </w:r>
      <w:r/>
    </w:p>
    <w:p>
      <w:pPr>
        <w:pStyle w:val="98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根据工业和信息化部关于印发《保障中小企业款项支付投诉处理暂行办法》的通知（工信部企业〔2021〕224 号），</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44"/>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944"/>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84"/>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84"/>
        <w:ind w:firstLine="240"/>
        <w:keepLines w:val="0"/>
        <w:keepNext w:val="0"/>
        <w:pageBreakBefore w:val="0"/>
        <w:spacing w:before="120" w:after="120" w:line="240" w:lineRule="auto"/>
        <w:widowControl w:val="off"/>
        <w:rPr>
          <w:rFonts w:hint="eastAsia" w:hAnsi="宋体" w:eastAsia="宋体" w:cs="Courier New"/>
          <w:color w:val="000000"/>
          <w:sz w:val="24"/>
          <w:szCs w:val="24"/>
        </w:rPr>
      </w:pPr>
      <w:r/>
      <w:bookmarkEnd w:id="186"/>
      <w:r/>
      <w:bookmarkEnd w:id="187"/>
      <w:r/>
      <w:bookmarkEnd w:id="188"/>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84"/>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984"/>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84"/>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84"/>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84"/>
        <w:ind w:firstLine="528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w:t>
      </w:r>
      <w:r>
        <w:rPr>
          <w:rFonts w:hint="eastAsia" w:hAnsi="宋体" w:eastAsia="宋体" w:cs="Courier New"/>
          <w:color w:val="000000"/>
          <w:sz w:val="24"/>
          <w:szCs w:val="24"/>
        </w:rPr>
      </w:r>
      <w:r/>
    </w:p>
    <w:p>
      <w:pPr>
        <w:pStyle w:val="984"/>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944"/>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0"/>
      </w:pPr>
      <w:r>
        <w:rPr>
          <w:rFonts w:hint="eastAsia" w:ascii="宋体" w:hAnsi="宋体" w:eastAsia="宋体" w:cs="Times New Roman"/>
          <w:b/>
          <w:bCs w:val="0"/>
          <w:color w:val="000000"/>
          <w:sz w:val="30"/>
          <w:szCs w:val="21"/>
          <w:highlight w:val="none"/>
        </w:rPr>
      </w:r>
      <w:r/>
    </w:p>
    <w:p>
      <w:pPr>
        <w:pStyle w:val="944"/>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0"/>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84"/>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84"/>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106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2"/>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lang w:val="en-US" w:eastAsia="zh-CN" w:bidi="ar-SA"/>
        </w:rPr>
      </w:r>
      <w:r/>
    </w:p>
    <w:p>
      <w:pPr>
        <w:pStyle w:val="944"/>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9" w:name="_Toc26554093"/>
      <w:r/>
      <w:bookmarkStart w:id="190"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44"/>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944"/>
        <w:ind w:firstLine="480"/>
        <w:keepLines w:val="0"/>
        <w:keepNext w:val="0"/>
        <w:pageBreakBefore w:val="0"/>
        <w:spacing w:line="288"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（一）项目背景</w:t>
      </w:r>
      <w:r>
        <w:rPr>
          <w:rFonts w:hint="eastAsia" w:ascii="黑体" w:hAnsi="黑体" w:eastAsia="黑体" w:cs="黑体"/>
          <w:b w:val="0"/>
          <w:bCs w:val="0"/>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近年来国家不断出台指导意见，系统性地对停车设施的规划、建设、运营和管理提出了更高的要求。为加快停车设施提质增效，停车资源的高效利用，市政府明确要求构建全市停车资源“一个平台、一张网、一个APP”，盘活存量资源，提高管理水平，推进开放共享，充分发挥停车设施效能。在南京智慧停车管理平台顶层设计框架下，依托现有平台，建设停车资源共享平台，优化停车信息管理，完善停车资源共享服务。</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color w:val="000000"/>
          <w:sz w:val="24"/>
          <w:szCs w:val="24"/>
          <w:lang w:val="en-US" w:eastAsia="zh-CN"/>
        </w:rPr>
        <w:t xml:space="preserve">本项目智慧停车系统比较复杂，本次采购服务包含了软件技术服务，运维期与各类智慧停车设备进行对接（业务</w:t>
      </w:r>
      <w:r>
        <w:rPr>
          <w:rFonts w:hint="eastAsia" w:ascii="宋体" w:hAnsi="宋体" w:eastAsia="宋体" w:cs="Times New Roman"/>
          <w:b w:val="0"/>
          <w:bCs w:val="0"/>
          <w:color w:val="000000"/>
          <w:sz w:val="24"/>
          <w:szCs w:val="24"/>
          <w:lang w:val="en-US" w:eastAsia="zh-CN"/>
        </w:rPr>
        <w:t xml:space="preserve">及数据），本项目运维团队需掌握机电工程相关知识。</w:t>
      </w:r>
      <w:r>
        <w:rPr>
          <w:rFonts w:hint="eastAsia" w:ascii="宋体" w:hAnsi="宋体" w:eastAsia="宋体" w:cs="Times New Roman"/>
          <w:b w:val="0"/>
          <w:bCs w:val="0"/>
          <w:color w:val="000000"/>
          <w:sz w:val="24"/>
          <w:szCs w:val="24"/>
          <w:lang w:val="en-US" w:eastAsia="zh-CN"/>
        </w:rPr>
      </w:r>
      <w:r/>
    </w:p>
    <w:p>
      <w:pPr>
        <w:pStyle w:val="944"/>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（二）项目建设遵循标准</w:t>
      </w:r>
      <w:r>
        <w:rPr>
          <w:rFonts w:hint="eastAsia" w:ascii="黑体" w:hAnsi="黑体" w:eastAsia="黑体" w:cs="黑体"/>
          <w:b w:val="0"/>
          <w:bCs w:val="0"/>
          <w:color w:val="000000"/>
          <w:sz w:val="24"/>
          <w:szCs w:val="24"/>
          <w:lang w:eastAsia="zh-CN"/>
        </w:rPr>
      </w:r>
      <w:r/>
    </w:p>
    <w:p>
      <w:pPr>
        <w:pStyle w:val="944"/>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944"/>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三、产品清单</w:t>
      </w:r>
      <w:r>
        <w:rPr>
          <w:rFonts w:hint="eastAsia" w:ascii="黑体" w:hAnsi="黑体" w:eastAsia="黑体" w:cs="黑体"/>
          <w:color w:val="000000"/>
          <w:sz w:val="24"/>
          <w:szCs w:val="24"/>
          <w:lang w:eastAsia="zh-CN"/>
        </w:rPr>
      </w:r>
      <w:r/>
    </w:p>
    <w:tbl>
      <w:tblPr>
        <w:tblStyle w:val="1060"/>
        <w:tblW w:w="501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1"/>
        <w:gridCol w:w="1789"/>
        <w:gridCol w:w="662"/>
        <w:gridCol w:w="674"/>
        <w:gridCol w:w="1326"/>
        <w:gridCol w:w="1644"/>
        <w:gridCol w:w="1405"/>
        <w:gridCol w:w="1636"/>
      </w:tblGrid>
      <w:tr>
        <w:trPr>
          <w:trHeight w:val="603"/>
        </w:trPr>
        <w:tc>
          <w:tcPr>
            <w:tcW w:w="333"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913"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38"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44"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677" w:type="dxa"/>
            <w:vAlign w:val="center"/>
            <w:textDirection w:val="lrTb"/>
            <w:noWrap w:val="false"/>
          </w:tcPr>
          <w:p>
            <w:pPr>
              <w:pStyle w:val="944"/>
              <w:jc w:val="center"/>
              <w:spacing w:line="264"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839" w:type="dxa"/>
            <w:vAlign w:val="center"/>
            <w:textDirection w:val="lrTb"/>
            <w:noWrap w:val="false"/>
          </w:tcPr>
          <w:p>
            <w:pPr>
              <w:pStyle w:val="944"/>
              <w:jc w:val="center"/>
              <w:spacing w:line="264"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所属行业类型</w:t>
            </w:r>
            <w:r>
              <w:rPr>
                <w:rFonts w:hint="eastAsia" w:ascii="宋体" w:hAnsi="宋体" w:eastAsia="宋体" w:cs="Times New Roman"/>
                <w:bCs/>
                <w:color w:val="000000"/>
                <w:sz w:val="24"/>
                <w:szCs w:val="24"/>
                <w:lang w:val="en-US" w:eastAsia="zh-CN" w:bidi="ar-SA"/>
              </w:rPr>
            </w:r>
            <w:r/>
          </w:p>
        </w:tc>
        <w:tc>
          <w:tcPr>
            <w:tcW w:w="717" w:type="dxa"/>
            <w:vAlign w:val="center"/>
            <w:textDirection w:val="lrTb"/>
            <w:noWrap w:val="false"/>
          </w:tcPr>
          <w:p>
            <w:pPr>
              <w:pStyle w:val="944"/>
              <w:jc w:val="center"/>
              <w:spacing w:line="264" w:lineRule="auto"/>
              <w:rPr>
                <w:rFonts w:hint="eastAsia" w:ascii="宋体" w:hAnsi="宋体" w:eastAsia="宋体" w:cs="Times New Roman"/>
                <w:bCs/>
                <w:color w:val="000000"/>
                <w:sz w:val="24"/>
                <w:szCs w:val="24"/>
                <w:lang w:val="en-US" w:eastAsia="zh-CN" w:bidi="ar-SA"/>
              </w:rPr>
            </w:pPr>
            <w:r>
              <w:rPr>
                <w:rFonts w:hint="eastAsia" w:ascii="宋体" w:hAnsi="宋体" w:cs="宋体"/>
                <w:bCs/>
                <w:color w:val="000000"/>
                <w:sz w:val="24"/>
                <w:szCs w:val="24"/>
              </w:rPr>
              <w:t xml:space="preserve">产品属性</w:t>
            </w:r>
            <w:r>
              <w:rPr>
                <w:rFonts w:hint="eastAsia" w:ascii="宋体" w:hAnsi="宋体" w:eastAsia="宋体" w:cs="Times New Roman"/>
                <w:bCs/>
                <w:color w:val="000000"/>
                <w:sz w:val="24"/>
                <w:szCs w:val="24"/>
                <w:lang w:val="en-US" w:eastAsia="zh-CN" w:bidi="ar-SA"/>
              </w:rPr>
            </w:r>
            <w:r/>
          </w:p>
        </w:tc>
        <w:tc>
          <w:tcPr>
            <w:tcW w:w="835" w:type="dxa"/>
            <w:vAlign w:val="center"/>
            <w:textDirection w:val="lrTb"/>
            <w:noWrap w:val="false"/>
          </w:tcPr>
          <w:p>
            <w:pPr>
              <w:pStyle w:val="944"/>
              <w:jc w:val="center"/>
              <w:spacing w:line="264" w:lineRule="auto"/>
              <w:rPr>
                <w:rFonts w:hint="eastAsia" w:ascii="宋体" w:hAnsi="宋体" w:eastAsia="宋体" w:cs="Times New Roman"/>
                <w:bCs/>
                <w:color w:val="000000"/>
                <w:sz w:val="24"/>
                <w:szCs w:val="24"/>
                <w:lang w:val="en-US" w:eastAsia="zh-CN" w:bidi="ar-SA"/>
              </w:rPr>
            </w:pPr>
            <w:r>
              <w:rPr>
                <w:rFonts w:hint="eastAsia" w:ascii="宋体" w:hAnsi="宋体" w:cs="宋体"/>
                <w:bCs/>
                <w:color w:val="000000"/>
                <w:sz w:val="24"/>
                <w:szCs w:val="24"/>
              </w:rPr>
              <w:t xml:space="preserve">数据产品类型</w:t>
            </w:r>
            <w:r>
              <w:rPr>
                <w:rFonts w:hint="eastAsia" w:ascii="宋体" w:hAnsi="宋体" w:eastAsia="宋体" w:cs="Times New Roman"/>
                <w:bCs/>
                <w:color w:val="000000"/>
                <w:sz w:val="24"/>
                <w:szCs w:val="24"/>
                <w:lang w:val="en-US" w:eastAsia="zh-CN" w:bidi="ar-SA"/>
              </w:rPr>
            </w:r>
            <w:r/>
          </w:p>
        </w:tc>
      </w:tr>
      <w:tr>
        <w:trPr>
          <w:trHeight w:val="1529"/>
        </w:trPr>
        <w:tc>
          <w:tcPr>
            <w:tcW w:w="333"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913" w:type="dxa"/>
            <w:vAlign w:val="center"/>
            <w:textDirection w:val="lrTb"/>
            <w:noWrap w:val="false"/>
          </w:tcPr>
          <w:p>
            <w:pPr>
              <w:pStyle w:val="944"/>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bCs/>
                <w:color w:val="000000"/>
                <w:sz w:val="24"/>
                <w:szCs w:val="24"/>
              </w:rPr>
              <w:t xml:space="preserve">南京市智慧停车管理平台停车资源共享服务</w:t>
            </w:r>
            <w:r>
              <w:rPr>
                <w:rFonts w:hint="eastAsia" w:ascii="宋体" w:hAnsi="宋体" w:eastAsia="宋体" w:cs="Times New Roman"/>
                <w:bCs/>
                <w:color w:val="000000"/>
                <w:sz w:val="24"/>
                <w:szCs w:val="24"/>
              </w:rPr>
            </w:r>
            <w:r/>
          </w:p>
        </w:tc>
        <w:tc>
          <w:tcPr>
            <w:tcW w:w="338"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rPr>
            </w:r>
            <w:r/>
          </w:p>
        </w:tc>
        <w:tc>
          <w:tcPr>
            <w:tcW w:w="344"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w:t>
            </w:r>
            <w:r>
              <w:rPr>
                <w:rFonts w:hint="eastAsia" w:ascii="宋体" w:hAnsi="宋体" w:eastAsia="宋体" w:cs="Times New Roman"/>
                <w:bCs/>
                <w:color w:val="000000"/>
                <w:sz w:val="24"/>
                <w:szCs w:val="24"/>
              </w:rPr>
            </w:r>
            <w:r/>
          </w:p>
        </w:tc>
        <w:tc>
          <w:tcPr>
            <w:tcW w:w="677" w:type="dxa"/>
            <w:vAlign w:val="center"/>
            <w:textDirection w:val="lrTb"/>
            <w:noWrap w:val="false"/>
          </w:tcPr>
          <w:p>
            <w:pPr>
              <w:pStyle w:val="944"/>
              <w:jc w:val="center"/>
              <w:spacing w:line="264" w:lineRule="auto"/>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主要产品</w:t>
            </w:r>
            <w:r>
              <w:rPr>
                <w:rFonts w:ascii="宋体" w:hAnsi="宋体" w:eastAsia="宋体" w:cs="Times New Roman"/>
                <w:bCs/>
                <w:color w:val="000000"/>
                <w:sz w:val="24"/>
                <w:szCs w:val="24"/>
                <w:lang w:val="en-US" w:eastAsia="zh-CN"/>
              </w:rPr>
            </w:r>
            <w:r/>
          </w:p>
        </w:tc>
        <w:tc>
          <w:tcPr>
            <w:tcW w:w="839" w:type="dxa"/>
            <w:vAlign w:val="center"/>
            <w:textDirection w:val="lrTb"/>
            <w:noWrap w:val="false"/>
          </w:tcPr>
          <w:p>
            <w:pPr>
              <w:pStyle w:val="944"/>
              <w:jc w:val="center"/>
              <w:spacing w:line="264" w:lineRule="auto"/>
              <w:rPr>
                <w:rFonts w:hint="eastAsia" w:ascii="宋体" w:hAnsi="宋体" w:eastAsia="宋体" w:cs="Times New Roman"/>
                <w:bCs/>
                <w:color w:val="000000"/>
                <w:sz w:val="24"/>
                <w:szCs w:val="24"/>
                <w:lang w:val="en-US" w:eastAsia="zh-CN" w:bidi="ar-SA"/>
              </w:rPr>
            </w:pPr>
            <w:r>
              <w:rPr>
                <w:rFonts w:hint="eastAsia" w:ascii="宋体" w:hAnsi="宋体" w:cs="宋体"/>
                <w:bCs/>
                <w:color w:val="000000"/>
                <w:sz w:val="24"/>
                <w:szCs w:val="24"/>
              </w:rPr>
              <w:t xml:space="preserve">软件和信息技术服务业</w:t>
            </w:r>
            <w:r>
              <w:rPr>
                <w:rFonts w:hint="eastAsia" w:ascii="宋体" w:hAnsi="宋体" w:eastAsia="宋体" w:cs="Times New Roman"/>
                <w:bCs/>
                <w:color w:val="000000"/>
                <w:sz w:val="24"/>
                <w:szCs w:val="24"/>
                <w:lang w:val="en-US" w:eastAsia="zh-CN" w:bidi="ar-SA"/>
              </w:rPr>
            </w:r>
            <w:r/>
          </w:p>
        </w:tc>
        <w:tc>
          <w:tcPr>
            <w:tcW w:w="717" w:type="dxa"/>
            <w:vAlign w:val="center"/>
            <w:textDirection w:val="lrTb"/>
            <w:noWrap w:val="false"/>
          </w:tcPr>
          <w:p>
            <w:pPr>
              <w:pStyle w:val="944"/>
              <w:jc w:val="center"/>
              <w:spacing w:line="264" w:lineRule="auto"/>
              <w:rPr>
                <w:rFonts w:hint="eastAsia" w:ascii="宋体" w:hAnsi="宋体" w:eastAsia="宋体" w:cs="Times New Roman"/>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eastAsia="宋体" w:cs="Times New Roman"/>
                <w:bCs/>
                <w:color w:val="000000"/>
                <w:sz w:val="24"/>
                <w:szCs w:val="24"/>
                <w:lang w:val="en-US" w:eastAsia="zh-CN" w:bidi="ar-SA"/>
              </w:rPr>
            </w:r>
            <w:r/>
          </w:p>
        </w:tc>
        <w:tc>
          <w:tcPr>
            <w:tcW w:w="835" w:type="dxa"/>
            <w:vAlign w:val="center"/>
            <w:textDirection w:val="lrTb"/>
            <w:noWrap w:val="false"/>
          </w:tcPr>
          <w:p>
            <w:pPr>
              <w:pStyle w:val="944"/>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数据服务</w:t>
            </w:r>
            <w:r>
              <w:rPr>
                <w:rFonts w:hint="eastAsia" w:ascii="宋体" w:hAnsi="宋体" w:eastAsia="宋体" w:cs="宋体"/>
                <w:bCs/>
                <w:color w:val="000000"/>
                <w:sz w:val="24"/>
                <w:szCs w:val="24"/>
                <w:lang w:val="en-US" w:eastAsia="zh-CN" w:bidi="ar-SA"/>
              </w:rPr>
            </w:r>
            <w:r/>
          </w:p>
        </w:tc>
      </w:tr>
    </w:tbl>
    <w:p>
      <w:pPr>
        <w:pStyle w:val="944"/>
        <w:ind w:firstLine="480"/>
        <w:keepLines w:val="0"/>
        <w:keepNext w:val="0"/>
        <w:pageBreakBefore w:val="0"/>
        <w:spacing w:line="288"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（一）技术要求</w:t>
      </w:r>
      <w:r>
        <w:rPr>
          <w:rFonts w:hint="eastAsia" w:ascii="宋体" w:hAnsi="宋体" w:eastAsia="宋体" w:cs="Times New Roman"/>
          <w:color w:val="000000"/>
          <w:sz w:val="24"/>
          <w:szCs w:val="24"/>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7"/>
        <w:gridCol w:w="875"/>
        <w:gridCol w:w="1502"/>
        <w:gridCol w:w="6408"/>
      </w:tblGrid>
      <w:tr>
        <w:trPr>
          <w:trHeight w:val="660"/>
        </w:trPr>
        <w:tc>
          <w:tcPr>
            <w:tcW w:w="1177" w:type="dxa"/>
            <w:vAlign w:val="center"/>
            <w:textDirection w:val="lrTb"/>
            <w:noWrap w:val="false"/>
          </w:tcPr>
          <w:p>
            <w:pPr>
              <w:pStyle w:val="944"/>
              <w:jc w:val="center"/>
              <w:rPr>
                <w:rFonts w:hint="eastAsia" w:ascii="宋体" w:hAnsi="宋体" w:cs="宋体"/>
                <w:color w:val="000000"/>
                <w:sz w:val="24"/>
                <w:szCs w:val="24"/>
              </w:rPr>
            </w:pPr>
            <w:r>
              <w:rPr>
                <w:rFonts w:hint="eastAsia" w:ascii="宋体" w:hAnsi="宋体" w:cs="宋体"/>
                <w:color w:val="000000"/>
                <w:sz w:val="24"/>
                <w:szCs w:val="24"/>
              </w:rPr>
              <w:t xml:space="preserve">类别</w:t>
            </w:r>
            <w:r>
              <w:rPr>
                <w:rFonts w:hint="eastAsia" w:ascii="宋体" w:hAnsi="宋体" w:cs="宋体"/>
                <w:color w:val="000000"/>
                <w:sz w:val="24"/>
                <w:szCs w:val="24"/>
              </w:rPr>
            </w:r>
            <w:r/>
          </w:p>
        </w:tc>
        <w:tc>
          <w:tcPr>
            <w:tcW w:w="875"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服务项目</w:t>
            </w:r>
            <w:r>
              <w:rPr>
                <w:rFonts w:hint="eastAsia" w:ascii="宋体" w:hAnsi="宋体" w:cs="宋体"/>
                <w:color w:val="000000"/>
                <w:sz w:val="24"/>
                <w:szCs w:val="24"/>
              </w:rPr>
            </w:r>
            <w:r/>
          </w:p>
        </w:tc>
        <w:tc>
          <w:tcPr>
            <w:tcW w:w="1502" w:type="dxa"/>
            <w:vAlign w:val="center"/>
            <w:textDirection w:val="lrTb"/>
            <w:noWrap w:val="false"/>
          </w:tcPr>
          <w:p>
            <w:pPr>
              <w:pStyle w:val="944"/>
              <w:jc w:val="center"/>
              <w:rPr>
                <w:rFonts w:hint="eastAsia" w:ascii="宋体" w:hAnsi="宋体" w:cs="宋体"/>
                <w:color w:val="000000"/>
                <w:sz w:val="24"/>
                <w:szCs w:val="24"/>
              </w:rPr>
            </w:pPr>
            <w:r>
              <w:rPr>
                <w:rFonts w:hint="eastAsia" w:ascii="宋体" w:hAnsi="宋体" w:cs="宋体"/>
                <w:color w:val="000000"/>
                <w:sz w:val="24"/>
                <w:szCs w:val="24"/>
              </w:rPr>
              <w:t xml:space="preserve">品目名称</w:t>
            </w:r>
            <w:r>
              <w:rPr>
                <w:rFonts w:hint="eastAsia" w:ascii="宋体" w:hAnsi="宋体" w:cs="宋体"/>
                <w:color w:val="000000"/>
                <w:sz w:val="24"/>
                <w:szCs w:val="24"/>
              </w:rPr>
            </w:r>
            <w:r/>
          </w:p>
        </w:tc>
        <w:tc>
          <w:tcPr>
            <w:tcW w:w="6408" w:type="dxa"/>
            <w:vAlign w:val="center"/>
            <w:textDirection w:val="lrTb"/>
            <w:noWrap w:val="false"/>
          </w:tcPr>
          <w:p>
            <w:pPr>
              <w:pStyle w:val="944"/>
              <w:jc w:val="center"/>
              <w:rPr>
                <w:rFonts w:hint="eastAsia" w:ascii="宋体" w:hAnsi="宋体" w:cs="宋体"/>
                <w:color w:val="000000"/>
                <w:sz w:val="24"/>
                <w:szCs w:val="24"/>
              </w:rPr>
            </w:pPr>
            <w:r>
              <w:rPr>
                <w:rFonts w:hint="eastAsia" w:ascii="宋体" w:hAnsi="宋体" w:cs="宋体"/>
                <w:color w:val="000000"/>
                <w:sz w:val="24"/>
                <w:szCs w:val="24"/>
              </w:rPr>
              <w:t xml:space="preserve">说明</w:t>
            </w:r>
            <w:r>
              <w:rPr>
                <w:rFonts w:hint="eastAsia" w:ascii="宋体" w:hAnsi="宋体" w:cs="宋体"/>
                <w:color w:val="000000"/>
                <w:sz w:val="24"/>
                <w:szCs w:val="24"/>
              </w:rPr>
            </w:r>
            <w:r/>
          </w:p>
        </w:tc>
      </w:tr>
      <w:tr>
        <w:trPr>
          <w:cantSplit/>
          <w:trHeight w:val="1120"/>
        </w:trPr>
        <w:tc>
          <w:tcPr>
            <w:tcW w:w="1177" w:type="dxa"/>
            <w:vAlign w:val="center"/>
            <w:vMerge w:val="restart"/>
            <w:textDirection w:val="lrTb"/>
            <w:noWrap/>
          </w:tcPr>
          <w:p>
            <w:pPr>
              <w:pStyle w:val="944"/>
              <w:rPr>
                <w:rFonts w:hint="eastAsia" w:ascii="宋体" w:hAnsi="宋体" w:cs="宋体"/>
                <w:color w:val="000000"/>
                <w:sz w:val="24"/>
                <w:szCs w:val="24"/>
              </w:rPr>
            </w:pPr>
            <w:r>
              <w:rPr>
                <w:rFonts w:hint="eastAsia" w:ascii="宋体" w:hAnsi="宋体" w:cs="宋体"/>
                <w:color w:val="000000"/>
                <w:sz w:val="24"/>
                <w:szCs w:val="24"/>
              </w:rPr>
              <w:t xml:space="preserve">运营服务</w:t>
            </w:r>
            <w:r>
              <w:rPr>
                <w:rFonts w:hint="eastAsia" w:ascii="宋体" w:hAnsi="宋体" w:cs="宋体"/>
                <w:color w:val="000000"/>
                <w:sz w:val="24"/>
                <w:szCs w:val="24"/>
              </w:rPr>
            </w:r>
            <w:r/>
          </w:p>
        </w:tc>
        <w:tc>
          <w:tcPr>
            <w:tcW w:w="875" w:type="dxa"/>
            <w:vAlign w:val="center"/>
            <w:vMerge w:val="restart"/>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共享停车管理系统</w:t>
            </w: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★共享停车资源动态监控</w:t>
            </w:r>
            <w:r>
              <w:rPr>
                <w:rFonts w:hint="eastAsia" w:ascii="宋体" w:hAnsi="宋体" w:cs="宋体"/>
                <w:color w:val="000000"/>
                <w:sz w:val="24"/>
                <w:szCs w:val="24"/>
              </w:rPr>
            </w:r>
            <w:r/>
          </w:p>
        </w:tc>
        <w:tc>
          <w:tcPr>
            <w:tcW w:w="6408" w:type="dxa"/>
            <w:vAlign w:val="center"/>
            <w:textDirection w:val="lrTb"/>
            <w:noWrap w:val="false"/>
          </w:tcPr>
          <w:p>
            <w:pPr>
              <w:pStyle w:val="944"/>
              <w:numPr>
                <w:ilvl w:val="0"/>
                <w:numId w:val="5"/>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提供共享停车场一屏总览界面，展示省级、市级、区级共享车场总数、泊位数。按不同颜色显示共享停车场余位信息，以市、区两个维度查询。</w:t>
            </w:r>
            <w:r>
              <w:rPr>
                <w:rFonts w:hint="eastAsia" w:ascii="宋体" w:hAnsi="宋体" w:cs="宋体"/>
                <w:color w:val="000000"/>
                <w:sz w:val="24"/>
                <w:szCs w:val="24"/>
              </w:rPr>
            </w:r>
            <w:r/>
          </w:p>
          <w:p>
            <w:pPr>
              <w:pStyle w:val="944"/>
              <w:numPr>
                <w:ilvl w:val="0"/>
                <w:numId w:val="5"/>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机关事业单位共享泊位查询。实时查看机关事业单位共享停车场数量、泊位数、余位信息等关键信息。</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3.查询共享停车场使用状态，包括停车场资源利用率、共享车位中签率、剩余停车位情况、停车场运营状态等实时监控。</w:t>
            </w:r>
            <w:r>
              <w:rPr>
                <w:rFonts w:hint="eastAsia" w:ascii="宋体" w:hAnsi="宋体" w:cs="宋体"/>
                <w:color w:val="000000"/>
                <w:sz w:val="24"/>
                <w:szCs w:val="24"/>
              </w:rPr>
            </w:r>
            <w:r/>
          </w:p>
        </w:tc>
      </w:tr>
      <w:tr>
        <w:trPr>
          <w:cantSplit/>
          <w:trHeight w:val="56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★共享停车场管理</w:t>
            </w:r>
            <w:r>
              <w:rPr>
                <w:rFonts w:hint="eastAsia" w:ascii="宋体" w:hAnsi="宋体" w:cs="宋体"/>
                <w:color w:val="000000"/>
                <w:sz w:val="24"/>
                <w:szCs w:val="24"/>
              </w:rPr>
            </w:r>
            <w:r/>
          </w:p>
        </w:tc>
        <w:tc>
          <w:tcPr>
            <w:tcW w:w="6408" w:type="dxa"/>
            <w:vAlign w:val="center"/>
            <w:textDirection w:val="lrTb"/>
            <w:noWrap w:val="false"/>
          </w:tcPr>
          <w:p>
            <w:pPr>
              <w:pStyle w:val="944"/>
              <w:numPr>
                <w:ilvl w:val="0"/>
                <w:numId w:val="6"/>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提供共享车场录入、修改、取消、提交功能，录入信息包含但不限于共享停车场名称、位置、共享泊位总数、开放时段、收费标准、管理单位、联系方式。</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2.提供共享车场备案审查，与公安接口打通。</w:t>
            </w:r>
            <w:r>
              <w:rPr>
                <w:rFonts w:hint="eastAsia" w:ascii="宋体" w:hAnsi="宋体" w:cs="宋体"/>
                <w:color w:val="000000"/>
                <w:sz w:val="24"/>
                <w:szCs w:val="24"/>
              </w:rPr>
            </w:r>
            <w:r/>
          </w:p>
        </w:tc>
      </w:tr>
      <w:tr>
        <w:trPr>
          <w:cantSplit/>
          <w:trHeight w:val="392"/>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★共享活动管理</w:t>
            </w:r>
            <w:r>
              <w:rPr>
                <w:rFonts w:hint="eastAsia" w:ascii="宋体" w:hAnsi="宋体" w:cs="宋体"/>
                <w:color w:val="000000"/>
                <w:sz w:val="24"/>
                <w:szCs w:val="24"/>
              </w:rPr>
            </w:r>
            <w:r/>
          </w:p>
        </w:tc>
        <w:tc>
          <w:tcPr>
            <w:tcW w:w="6408" w:type="dxa"/>
            <w:vAlign w:val="center"/>
            <w:textDirection w:val="lrTb"/>
            <w:noWrap w:val="false"/>
          </w:tcPr>
          <w:p>
            <w:pPr>
              <w:pStyle w:val="944"/>
              <w:numPr>
                <w:ilvl w:val="0"/>
                <w:numId w:val="7"/>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提供共享活动的创建、修改、删除、提交功能，必须录入拟开放的共享泊位数量、活动报名时间、抽签时间、公示时间、共享协议及针对车辆有无特殊要求。</w:t>
            </w:r>
            <w:r>
              <w:rPr>
                <w:rFonts w:hint="eastAsia" w:ascii="宋体" w:hAnsi="宋体" w:cs="宋体"/>
                <w:color w:val="000000"/>
                <w:sz w:val="24"/>
                <w:szCs w:val="24"/>
              </w:rPr>
            </w:r>
            <w:r/>
          </w:p>
          <w:p>
            <w:pPr>
              <w:pStyle w:val="944"/>
              <w:numPr>
                <w:ilvl w:val="0"/>
                <w:numId w:val="7"/>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共享申请用户姓名、车牌号、实人认证、实车认证、背景审查结果统计。</w:t>
            </w:r>
            <w:r>
              <w:rPr>
                <w:rFonts w:hint="eastAsia" w:ascii="宋体" w:hAnsi="宋体" w:cs="宋体"/>
                <w:color w:val="000000"/>
                <w:sz w:val="24"/>
                <w:szCs w:val="24"/>
              </w:rPr>
            </w:r>
            <w:r/>
          </w:p>
          <w:p>
            <w:pPr>
              <w:pStyle w:val="944"/>
              <w:numPr>
                <w:ilvl w:val="0"/>
                <w:numId w:val="7"/>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提供共享泊位的抽签及结果查询功能。</w:t>
            </w:r>
            <w:r>
              <w:rPr>
                <w:rFonts w:hint="eastAsia" w:ascii="宋体" w:hAnsi="宋体" w:cs="宋体"/>
                <w:color w:val="000000"/>
                <w:sz w:val="24"/>
                <w:szCs w:val="24"/>
              </w:rPr>
            </w:r>
            <w:r/>
          </w:p>
          <w:p>
            <w:pPr>
              <w:pStyle w:val="944"/>
              <w:numPr>
                <w:ilvl w:val="0"/>
                <w:numId w:val="7"/>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提供线上电子合同，支持线上抽签结果公示、线下共享活动签约功能。</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5.共享活动审查，提供共享活动审核、中签结果发布功能。</w:t>
            </w:r>
            <w:r>
              <w:rPr>
                <w:rFonts w:hint="eastAsia" w:ascii="宋体" w:hAnsi="宋体" w:cs="宋体"/>
                <w:color w:val="000000"/>
                <w:sz w:val="24"/>
                <w:szCs w:val="24"/>
              </w:rPr>
            </w:r>
            <w:r/>
          </w:p>
        </w:tc>
      </w:tr>
      <w:tr>
        <w:trPr>
          <w:cantSplit/>
          <w:trHeight w:val="84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数据报送、分析</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▲1.提供共享停车静态、动态数据，可支持手工填报、文件导入、系统接口自动报送。</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▲2.提供数据分析功能，包括但不限于收益报表分析、资源利用率分析、趋势分析等功能，实现停车数据运行分析，为停车管理提供决策支持。</w:t>
            </w:r>
            <w:r>
              <w:rPr>
                <w:rFonts w:hint="eastAsia" w:ascii="宋体" w:hAnsi="宋体" w:cs="宋体"/>
                <w:color w:val="000000"/>
                <w:sz w:val="24"/>
                <w:szCs w:val="24"/>
              </w:rPr>
            </w:r>
            <w:r/>
          </w:p>
        </w:tc>
      </w:tr>
      <w:tr>
        <w:trPr>
          <w:cantSplit/>
          <w:trHeight w:val="56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订单管理</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▲1.提供共享停车场订单录入、查询、统计分析功能。</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▲2.提供共享车场扫码缴费，支付宝、微信、银联、ETC等聚合缴费。</w:t>
            </w:r>
            <w:r>
              <w:rPr>
                <w:rFonts w:hint="eastAsia" w:ascii="宋体" w:hAnsi="宋体" w:cs="宋体"/>
                <w:color w:val="000000"/>
                <w:sz w:val="24"/>
                <w:szCs w:val="24"/>
              </w:rPr>
            </w:r>
            <w:r/>
          </w:p>
        </w:tc>
      </w:tr>
      <w:tr>
        <w:trPr>
          <w:cantSplit/>
          <w:trHeight w:val="84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▲财务管理</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财务管理功能包括但不限于财务对账、清分结算、票据管理等功能。与市财政局系统对接，实现财务相关票据、资金、账务、结算的管理服务功能（提供共享停车场对账明细、 日对账、月对账服务；提供共享停车场资金查询及凭证小票打印功能。）</w:t>
            </w:r>
            <w:r>
              <w:rPr>
                <w:rFonts w:hint="eastAsia" w:ascii="宋体" w:hAnsi="宋体" w:cs="宋体"/>
                <w:color w:val="000000"/>
                <w:sz w:val="24"/>
                <w:szCs w:val="24"/>
              </w:rPr>
            </w:r>
            <w:r/>
          </w:p>
        </w:tc>
      </w:tr>
      <w:tr>
        <w:trPr>
          <w:cantSplit/>
          <w:trHeight w:val="84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客服管理</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▲1.提供共享停车相关公众日常咨询、投诉、建议事项的记录、跟踪处理、反馈及统计查询功能；</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▲2.提供远程协助服务功能，可通过紧急呼叫软硬件实现实时语音或视频对话，远程进行系统、设备控制或协助指导解决用户问题。</w:t>
            </w:r>
            <w:r>
              <w:rPr>
                <w:rFonts w:hint="eastAsia" w:ascii="宋体" w:hAnsi="宋体" w:cs="宋体"/>
                <w:color w:val="000000"/>
                <w:sz w:val="24"/>
                <w:szCs w:val="24"/>
              </w:rPr>
            </w:r>
            <w:r/>
          </w:p>
        </w:tc>
      </w:tr>
      <w:tr>
        <w:trPr>
          <w:cantSplit/>
          <w:trHeight w:val="84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★便民服务设施管理</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提供便民服务设施名称、数量及坐标信息录入、修改、删除、发布功能。</w:t>
            </w:r>
            <w:r>
              <w:rPr>
                <w:rFonts w:hint="eastAsia" w:ascii="宋体" w:hAnsi="宋体" w:cs="宋体"/>
                <w:color w:val="000000"/>
                <w:sz w:val="24"/>
                <w:szCs w:val="24"/>
              </w:rPr>
            </w:r>
            <w:r/>
          </w:p>
        </w:tc>
      </w:tr>
      <w:tr>
        <w:trPr>
          <w:cantSplit/>
          <w:trHeight w:val="560"/>
        </w:trPr>
        <w:tc>
          <w:tcPr>
            <w:tcW w:w="1177" w:type="dxa"/>
            <w:vAlign w:val="center"/>
            <w:vMerge w:val="restart"/>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公众服务</w:t>
            </w:r>
            <w:r>
              <w:rPr>
                <w:rFonts w:hint="eastAsia" w:ascii="宋体" w:hAnsi="宋体" w:cs="宋体"/>
                <w:color w:val="000000"/>
                <w:sz w:val="24"/>
                <w:szCs w:val="24"/>
              </w:rPr>
            </w:r>
            <w:r/>
          </w:p>
        </w:tc>
        <w:tc>
          <w:tcPr>
            <w:tcW w:w="875" w:type="dxa"/>
            <w:vAlign w:val="center"/>
            <w:vMerge w:val="restart"/>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APP&amp;小程序</w:t>
            </w: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★用户基础信息</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提供用户信息认证管理功能，包括但不限于用户及车辆的注册、实名认证、实车认证、背景审查，用户信息维护，车辆信息绑定等功能。</w:t>
            </w:r>
            <w:r>
              <w:rPr>
                <w:rFonts w:hint="eastAsia" w:ascii="宋体" w:hAnsi="宋体" w:cs="宋体"/>
                <w:color w:val="000000"/>
                <w:sz w:val="24"/>
                <w:szCs w:val="24"/>
              </w:rPr>
            </w:r>
            <w:r/>
          </w:p>
        </w:tc>
      </w:tr>
      <w:tr>
        <w:trPr>
          <w:cantSplit/>
          <w:trHeight w:val="56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★车场信息查询</w:t>
            </w:r>
            <w:r>
              <w:rPr>
                <w:rFonts w:hint="eastAsia" w:ascii="宋体" w:hAnsi="宋体" w:cs="宋体"/>
                <w:color w:val="000000"/>
                <w:sz w:val="24"/>
                <w:szCs w:val="24"/>
              </w:rPr>
            </w:r>
            <w:r/>
          </w:p>
        </w:tc>
        <w:tc>
          <w:tcPr>
            <w:tcW w:w="6408" w:type="dxa"/>
            <w:vAlign w:val="center"/>
            <w:textDirection w:val="lrTb"/>
            <w:noWrap w:val="false"/>
          </w:tcPr>
          <w:p>
            <w:pPr>
              <w:pStyle w:val="944"/>
              <w:numPr>
                <w:ilvl w:val="0"/>
                <w:numId w:val="8"/>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提供机关事业单位共享停车场名称、坐标、开放时段、收费标准、联系方式以及实时余位查询。</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2.提供公共备案停车场基本信息、坐标、开放时段、收费标准、联系方式以及实时余位查询。</w:t>
            </w:r>
            <w:r>
              <w:rPr>
                <w:rFonts w:hint="eastAsia" w:ascii="宋体" w:hAnsi="宋体" w:cs="宋体"/>
                <w:color w:val="000000"/>
                <w:sz w:val="24"/>
                <w:szCs w:val="24"/>
              </w:rPr>
            </w:r>
            <w:r/>
          </w:p>
        </w:tc>
      </w:tr>
      <w:tr>
        <w:trPr>
          <w:cantSplit/>
          <w:trHeight w:val="84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★城市停车地图</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为用户提供车位查找、车位导航服务，可以根据当前定位或者拟到达的目的地，在客户端城市地图上搜索查询各类共享停车场、公共备案停车场、道路站点基本信息、坐标、开放时段、收费标准，搜索周边各类便民服务设施基本信息、坐标，并提供支持跳转第三方导航服务。</w:t>
            </w:r>
            <w:r>
              <w:rPr>
                <w:rFonts w:hint="eastAsia" w:ascii="宋体" w:hAnsi="宋体" w:cs="宋体"/>
                <w:color w:val="000000"/>
                <w:sz w:val="24"/>
                <w:szCs w:val="24"/>
              </w:rPr>
            </w:r>
            <w:r/>
          </w:p>
        </w:tc>
      </w:tr>
      <w:tr>
        <w:trPr>
          <w:cantSplit/>
          <w:trHeight w:val="56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★便民服务设施查询</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提供便民服务设施一屏总览界面，展示充电桩、加油站、美丽乡村、红色教育基地、公厕等设施信息，可按市、区两个维度查询。</w:t>
            </w:r>
            <w:r>
              <w:rPr>
                <w:rFonts w:hint="eastAsia" w:ascii="宋体" w:hAnsi="宋体" w:cs="宋体"/>
                <w:color w:val="000000"/>
                <w:sz w:val="24"/>
                <w:szCs w:val="24"/>
              </w:rPr>
            </w:r>
            <w:r/>
          </w:p>
        </w:tc>
      </w:tr>
      <w:tr>
        <w:trPr>
          <w:cantSplit/>
          <w:trHeight w:val="496"/>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★客户端服务</w:t>
            </w:r>
            <w:r>
              <w:rPr>
                <w:rFonts w:hint="eastAsia" w:ascii="宋体" w:hAnsi="宋体" w:cs="宋体"/>
                <w:color w:val="000000"/>
                <w:sz w:val="24"/>
                <w:szCs w:val="24"/>
              </w:rPr>
            </w:r>
            <w:r/>
          </w:p>
        </w:tc>
        <w:tc>
          <w:tcPr>
            <w:tcW w:w="6408" w:type="dxa"/>
            <w:vAlign w:val="center"/>
            <w:textDirection w:val="lrTb"/>
            <w:noWrap w:val="false"/>
          </w:tcPr>
          <w:p>
            <w:pPr>
              <w:pStyle w:val="944"/>
              <w:numPr>
                <w:ilvl w:val="0"/>
                <w:numId w:val="9"/>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活动查询：为客户端提供共享活动查询、申请流程提示及联系方式。</w:t>
            </w:r>
            <w:r>
              <w:rPr>
                <w:rFonts w:hint="eastAsia" w:ascii="宋体" w:hAnsi="宋体" w:cs="宋体"/>
                <w:color w:val="000000"/>
                <w:sz w:val="24"/>
                <w:szCs w:val="24"/>
              </w:rPr>
            </w:r>
            <w:r/>
          </w:p>
          <w:p>
            <w:pPr>
              <w:pStyle w:val="944"/>
              <w:numPr>
                <w:ilvl w:val="0"/>
                <w:numId w:val="9"/>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活动申请：提供意向登记、共享申请、结果查询功能。</w:t>
            </w:r>
            <w:r>
              <w:rPr>
                <w:rFonts w:hint="eastAsia" w:ascii="宋体" w:hAnsi="宋体" w:cs="宋体"/>
                <w:color w:val="000000"/>
                <w:sz w:val="24"/>
                <w:szCs w:val="24"/>
              </w:rPr>
            </w:r>
            <w:r/>
          </w:p>
          <w:p>
            <w:pPr>
              <w:pStyle w:val="944"/>
              <w:numPr>
                <w:ilvl w:val="0"/>
                <w:numId w:val="9"/>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中签查询：共享泊位中签结果查询。</w:t>
            </w:r>
            <w:r>
              <w:rPr>
                <w:rFonts w:hint="eastAsia" w:ascii="宋体" w:hAnsi="宋体" w:cs="宋体"/>
                <w:color w:val="000000"/>
                <w:sz w:val="24"/>
                <w:szCs w:val="24"/>
              </w:rPr>
            </w:r>
            <w:r/>
          </w:p>
          <w:p>
            <w:pPr>
              <w:pStyle w:val="944"/>
              <w:numPr>
                <w:ilvl w:val="0"/>
                <w:numId w:val="9"/>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错时包月：提供共享车场线上错时包月查询、缴费、续费功能。</w:t>
            </w:r>
            <w:r>
              <w:rPr>
                <w:rFonts w:hint="eastAsia" w:ascii="宋体" w:hAnsi="宋体" w:cs="宋体"/>
                <w:color w:val="000000"/>
                <w:sz w:val="24"/>
                <w:szCs w:val="24"/>
              </w:rPr>
            </w:r>
            <w:r/>
          </w:p>
          <w:p>
            <w:pPr>
              <w:pStyle w:val="944"/>
              <w:numPr>
                <w:ilvl w:val="0"/>
                <w:numId w:val="9"/>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共享预约：提供车主用户预约停车服务，支持车主选择预约驶入时间预约停车。</w:t>
            </w:r>
            <w:r>
              <w:rPr>
                <w:rFonts w:hint="eastAsia" w:ascii="宋体" w:hAnsi="宋体" w:cs="宋体"/>
                <w:color w:val="000000"/>
                <w:sz w:val="24"/>
                <w:szCs w:val="24"/>
              </w:rPr>
            </w:r>
            <w:r/>
          </w:p>
          <w:p>
            <w:pPr>
              <w:pStyle w:val="944"/>
              <w:numPr>
                <w:ilvl w:val="0"/>
                <w:numId w:val="9"/>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电子发票：提供共享车场线上非税发票及查询功能。</w:t>
            </w:r>
            <w:r>
              <w:rPr>
                <w:rFonts w:hint="eastAsia" w:ascii="宋体" w:hAnsi="宋体" w:cs="宋体"/>
                <w:color w:val="000000"/>
                <w:sz w:val="24"/>
                <w:szCs w:val="24"/>
              </w:rPr>
            </w:r>
            <w:r/>
          </w:p>
          <w:p>
            <w:pPr>
              <w:pStyle w:val="944"/>
              <w:numPr>
                <w:ilvl w:val="0"/>
                <w:numId w:val="9"/>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意见反馈：提供共享活动意见收集。</w:t>
            </w:r>
            <w:r>
              <w:rPr>
                <w:rFonts w:hint="eastAsia" w:ascii="宋体" w:hAnsi="宋体" w:cs="宋体"/>
                <w:color w:val="000000"/>
                <w:sz w:val="24"/>
                <w:szCs w:val="24"/>
              </w:rPr>
            </w:r>
            <w:r/>
          </w:p>
        </w:tc>
      </w:tr>
      <w:tr>
        <w:trPr>
          <w:cantSplit/>
          <w:trHeight w:val="560"/>
        </w:trPr>
        <w:tc>
          <w:tcPr>
            <w:tcW w:w="1177" w:type="dxa"/>
            <w:vAlign w:val="center"/>
            <w:vMerge w:val="restart"/>
            <w:textDirection w:val="lrTb"/>
            <w:noWrap/>
          </w:tcPr>
          <w:p>
            <w:pPr>
              <w:pStyle w:val="944"/>
              <w:rPr>
                <w:rFonts w:hint="eastAsia" w:ascii="宋体" w:hAnsi="宋体" w:cs="宋体"/>
                <w:color w:val="000000"/>
                <w:sz w:val="24"/>
                <w:szCs w:val="24"/>
              </w:rPr>
            </w:pPr>
            <w:r>
              <w:rPr>
                <w:rFonts w:hint="eastAsia" w:ascii="宋体" w:hAnsi="宋体" w:cs="宋体"/>
                <w:color w:val="000000"/>
                <w:sz w:val="24"/>
                <w:szCs w:val="24"/>
              </w:rPr>
              <w:t xml:space="preserve">监管服务</w:t>
            </w:r>
            <w:r>
              <w:rPr>
                <w:rFonts w:hint="eastAsia" w:ascii="宋体" w:hAnsi="宋体" w:cs="宋体"/>
                <w:color w:val="000000"/>
                <w:sz w:val="24"/>
                <w:szCs w:val="24"/>
              </w:rPr>
            </w:r>
            <w:r/>
          </w:p>
        </w:tc>
        <w:tc>
          <w:tcPr>
            <w:tcW w:w="875" w:type="dxa"/>
            <w:vAlign w:val="center"/>
            <w:vMerge w:val="restart"/>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公共备案停车场监管系统</w:t>
            </w: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★静态信息管理</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提供公共备案停车场备案基础信息管理，基础信息包含但不限于停车场基本信息、停车收费标准信息、运营单位信息、运营人员信息等。实现一屏总览，显示车场数量，泊位数。</w:t>
            </w:r>
            <w:r>
              <w:rPr>
                <w:rFonts w:hint="eastAsia" w:ascii="宋体" w:hAnsi="宋体" w:cs="宋体"/>
                <w:color w:val="000000"/>
                <w:sz w:val="24"/>
                <w:szCs w:val="24"/>
              </w:rPr>
            </w:r>
            <w:r/>
          </w:p>
        </w:tc>
      </w:tr>
      <w:tr>
        <w:trPr>
          <w:cantSplit/>
          <w:trHeight w:val="84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▲动态信息管理</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应提供对共享停车场、停车位的实时监管功能，包含信息的接收、存储、维护等。采集的动态信息包括但不限于停车场实时剩余泊位信息、服务人员工作状态信息，具体包括停车场资源占用情况监管、设备设施运行情况监管、投诉事件处理情况监管及其他突发事件监管等。</w:t>
            </w:r>
            <w:r>
              <w:rPr>
                <w:rFonts w:hint="eastAsia" w:ascii="宋体" w:hAnsi="宋体" w:cs="宋体"/>
                <w:color w:val="000000"/>
                <w:sz w:val="24"/>
                <w:szCs w:val="24"/>
              </w:rPr>
            </w:r>
            <w:r/>
          </w:p>
        </w:tc>
      </w:tr>
      <w:tr>
        <w:trPr>
          <w:cantSplit/>
          <w:trHeight w:val="84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★数据质量分析</w:t>
            </w:r>
            <w:r>
              <w:rPr>
                <w:rFonts w:hint="eastAsia" w:ascii="宋体" w:hAnsi="宋体" w:cs="宋体"/>
                <w:color w:val="000000"/>
                <w:sz w:val="24"/>
                <w:szCs w:val="24"/>
              </w:rPr>
            </w:r>
            <w:r/>
          </w:p>
        </w:tc>
        <w:tc>
          <w:tcPr>
            <w:tcW w:w="6408" w:type="dxa"/>
            <w:vAlign w:val="center"/>
            <w:textDirection w:val="lrTb"/>
            <w:noWrap w:val="false"/>
          </w:tcPr>
          <w:p>
            <w:pPr>
              <w:pStyle w:val="944"/>
              <w:numPr>
                <w:ilvl w:val="0"/>
                <w:numId w:val="10"/>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公共备案停车场数据监管服务、包含离线监管、数据实时性监管、 数据准确性监管、 数据一致性监管、数据冗余性监管。</w:t>
            </w:r>
            <w:r>
              <w:rPr>
                <w:rFonts w:hint="eastAsia" w:ascii="宋体" w:hAnsi="宋体" w:cs="宋体"/>
                <w:color w:val="000000"/>
                <w:sz w:val="24"/>
                <w:szCs w:val="24"/>
              </w:rPr>
            </w:r>
            <w:r/>
          </w:p>
          <w:p>
            <w:pPr>
              <w:pStyle w:val="944"/>
              <w:numPr>
                <w:ilvl w:val="0"/>
                <w:numId w:val="10"/>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以图表分析等形式提供公共备案停车场月度考核监管报告，提供导出功能。</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3.向区平台推送辖区公共备案停车场数据考核结果。</w:t>
            </w:r>
            <w:r>
              <w:rPr>
                <w:rFonts w:hint="eastAsia" w:ascii="宋体" w:hAnsi="宋体" w:cs="宋体"/>
                <w:color w:val="000000"/>
                <w:sz w:val="24"/>
                <w:szCs w:val="24"/>
              </w:rPr>
            </w:r>
            <w:r/>
          </w:p>
        </w:tc>
      </w:tr>
      <w:tr>
        <w:trPr>
          <w:cantSplit/>
          <w:trHeight w:val="84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★数据预警管理</w:t>
            </w:r>
            <w:r>
              <w:rPr>
                <w:rFonts w:hint="eastAsia" w:ascii="宋体" w:hAnsi="宋体" w:cs="宋体"/>
                <w:color w:val="000000"/>
                <w:sz w:val="24"/>
                <w:szCs w:val="24"/>
              </w:rPr>
            </w:r>
            <w:r/>
          </w:p>
        </w:tc>
        <w:tc>
          <w:tcPr>
            <w:tcW w:w="6408" w:type="dxa"/>
            <w:vAlign w:val="center"/>
            <w:textDirection w:val="lrTb"/>
            <w:noWrap w:val="false"/>
          </w:tcPr>
          <w:p>
            <w:pPr>
              <w:pStyle w:val="944"/>
              <w:numPr>
                <w:ilvl w:val="0"/>
                <w:numId w:val="11"/>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对公共备案停车场按照市、区两个级别，分学校、医院、商圈、交通枢纽等八个场景，进行实时在线监管其数据的准确性、一致性等质量指标检测，实时预警，针对数据离线、实时性、准确性，提供实时预警、预警历史查询、预警处置查询、统计分析功能。</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2.向区平台推送辖区公共备案停车场数据异常情况。</w:t>
            </w:r>
            <w:r>
              <w:rPr>
                <w:rFonts w:hint="eastAsia" w:ascii="宋体" w:hAnsi="宋体" w:cs="宋体"/>
                <w:color w:val="000000"/>
                <w:sz w:val="24"/>
                <w:szCs w:val="24"/>
              </w:rPr>
            </w:r>
            <w:r/>
          </w:p>
        </w:tc>
      </w:tr>
      <w:tr>
        <w:trPr>
          <w:cantSplit/>
          <w:trHeight w:val="9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▲辅助决策支持</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提供需求分析、业务分析、数字化评估等政府部门管理的辅助决策功能，包括但不限于停车资源共享泊位供给分析、需求分析、缺口分析、指数分析等功能。</w:t>
            </w:r>
            <w:r>
              <w:rPr>
                <w:rFonts w:hint="eastAsia" w:ascii="宋体" w:hAnsi="宋体" w:cs="宋体"/>
                <w:color w:val="000000"/>
                <w:sz w:val="24"/>
                <w:szCs w:val="24"/>
              </w:rPr>
            </w:r>
            <w:r/>
          </w:p>
        </w:tc>
      </w:tr>
      <w:tr>
        <w:trPr>
          <w:cantSplit/>
          <w:trHeight w:val="560"/>
        </w:trPr>
        <w:tc>
          <w:tcPr>
            <w:tcW w:w="1177" w:type="dxa"/>
            <w:vAlign w:val="center"/>
            <w:vMerge w:val="restart"/>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数据管理</w:t>
            </w:r>
            <w:r>
              <w:rPr>
                <w:rFonts w:hint="eastAsia" w:ascii="宋体" w:hAnsi="宋体" w:cs="宋体"/>
                <w:color w:val="000000"/>
                <w:sz w:val="24"/>
                <w:szCs w:val="24"/>
              </w:rPr>
            </w:r>
            <w:r/>
          </w:p>
        </w:tc>
        <w:tc>
          <w:tcPr>
            <w:tcW w:w="875" w:type="dxa"/>
            <w:vAlign w:val="center"/>
            <w:textDirection w:val="lrTb"/>
            <w:noWrap/>
          </w:tcPr>
          <w:p>
            <w:pPr>
              <w:pStyle w:val="944"/>
              <w:rPr>
                <w:rFonts w:hint="eastAsia" w:ascii="宋体" w:hAnsi="宋体" w:cs="宋体"/>
                <w:color w:val="000000"/>
                <w:sz w:val="24"/>
                <w:szCs w:val="24"/>
              </w:rPr>
            </w:pPr>
            <w:r>
              <w:rPr>
                <w:rFonts w:hint="eastAsia" w:ascii="宋体" w:hAnsi="宋体" w:cs="宋体"/>
                <w:color w:val="000000"/>
                <w:sz w:val="24"/>
                <w:szCs w:val="24"/>
              </w:rPr>
              <w:t xml:space="preserve">采集</w:t>
            </w: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数据实时传输</w:t>
            </w:r>
            <w:r>
              <w:rPr>
                <w:rFonts w:hint="eastAsia" w:ascii="宋体" w:hAnsi="宋体" w:cs="宋体"/>
                <w:color w:val="000000"/>
                <w:sz w:val="24"/>
                <w:szCs w:val="24"/>
              </w:rPr>
            </w:r>
            <w:r/>
          </w:p>
        </w:tc>
        <w:tc>
          <w:tcPr>
            <w:tcW w:w="6408" w:type="dxa"/>
            <w:vAlign w:val="center"/>
            <w:textDirection w:val="lrTb"/>
            <w:noWrap w:val="false"/>
          </w:tcPr>
          <w:p>
            <w:pPr>
              <w:pStyle w:val="944"/>
              <w:numPr>
                <w:ilvl w:val="0"/>
                <w:numId w:val="12"/>
              </w:numPr>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实现对视频、物联多源数据的实时传输与效验。</w:t>
            </w:r>
            <w:r>
              <w:rPr>
                <w:rFonts w:hint="eastAsia" w:ascii="宋体" w:hAnsi="宋体" w:cs="宋体"/>
                <w:color w:val="000000"/>
                <w:sz w:val="24"/>
                <w:szCs w:val="24"/>
              </w:rPr>
            </w:r>
            <w:r/>
          </w:p>
          <w:p>
            <w:pPr>
              <w:pStyle w:val="944"/>
              <w:rPr>
                <w:rFonts w:hint="eastAsia" w:ascii="宋体" w:hAnsi="宋体" w:cs="宋体"/>
                <w:color w:val="000000"/>
                <w:sz w:val="24"/>
                <w:szCs w:val="24"/>
              </w:rPr>
            </w:pPr>
            <w:r>
              <w:rPr>
                <w:rFonts w:hint="eastAsia" w:ascii="宋体" w:hAnsi="宋体" w:cs="宋体"/>
                <w:color w:val="000000"/>
                <w:sz w:val="24"/>
                <w:szCs w:val="24"/>
              </w:rPr>
              <w:t xml:space="preserve">2.支持与其他停车系统、行业应用系统等对接数据获取。</w:t>
            </w:r>
            <w:r>
              <w:rPr>
                <w:rFonts w:hint="eastAsia" w:ascii="宋体" w:hAnsi="宋体" w:cs="宋体"/>
                <w:color w:val="000000"/>
                <w:sz w:val="24"/>
                <w:szCs w:val="24"/>
              </w:rPr>
            </w:r>
            <w:r/>
          </w:p>
        </w:tc>
      </w:tr>
      <w:tr>
        <w:trPr>
          <w:cantSplit/>
          <w:trHeight w:val="56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存储</w:t>
            </w: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数据融合存储</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提供公共备案停车场、共享停车场数据存储服务，包括基础信息、坐标信息、活动信息、中签结果、订单信息、开票信息以及资金信息存储。</w:t>
            </w:r>
            <w:r>
              <w:rPr>
                <w:rFonts w:hint="eastAsia" w:ascii="宋体" w:hAnsi="宋体" w:cs="宋体"/>
                <w:color w:val="000000"/>
                <w:sz w:val="24"/>
                <w:szCs w:val="24"/>
              </w:rPr>
            </w:r>
            <w:r/>
          </w:p>
        </w:tc>
      </w:tr>
      <w:tr>
        <w:trPr>
          <w:cantSplit/>
          <w:trHeight w:val="560"/>
        </w:trPr>
        <w:tc>
          <w:tcPr>
            <w:tcW w:w="1177" w:type="dxa"/>
            <w:vAlign w:val="center"/>
            <w:vMerge w:val="continue"/>
            <w:textDirection w:val="lrTb"/>
            <w:noWrap w:val="false"/>
          </w:tcPr>
          <w:p>
            <w:pPr>
              <w:pStyle w:val="944"/>
              <w:ind w:firstLine="480"/>
              <w:rPr>
                <w:rFonts w:hint="eastAsia" w:ascii="宋体" w:hAnsi="宋体" w:cs="宋体"/>
                <w:color w:val="000000"/>
                <w:sz w:val="24"/>
                <w:szCs w:val="24"/>
              </w:rPr>
            </w:pPr>
            <w:r>
              <w:rPr>
                <w:rFonts w:hint="eastAsia" w:ascii="宋体" w:hAnsi="宋体" w:cs="宋体"/>
                <w:color w:val="000000"/>
                <w:sz w:val="24"/>
                <w:szCs w:val="24"/>
              </w:rPr>
            </w:r>
            <w:r/>
          </w:p>
        </w:tc>
        <w:tc>
          <w:tcPr>
            <w:tcW w:w="875"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共享交换</w:t>
            </w:r>
            <w:r>
              <w:rPr>
                <w:rFonts w:hint="eastAsia" w:ascii="宋体" w:hAnsi="宋体" w:cs="宋体"/>
                <w:color w:val="000000"/>
                <w:sz w:val="24"/>
                <w:szCs w:val="24"/>
              </w:rPr>
            </w:r>
            <w:r/>
          </w:p>
        </w:tc>
        <w:tc>
          <w:tcPr>
            <w:tcW w:w="1502"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数据接口测试、维护服务</w:t>
            </w:r>
            <w:r>
              <w:rPr>
                <w:rFonts w:hint="eastAsia" w:ascii="宋体" w:hAnsi="宋体" w:cs="宋体"/>
                <w:color w:val="000000"/>
                <w:sz w:val="24"/>
                <w:szCs w:val="24"/>
              </w:rPr>
            </w:r>
            <w:r/>
          </w:p>
        </w:tc>
        <w:tc>
          <w:tcPr>
            <w:tcW w:w="6408" w:type="dxa"/>
            <w:vAlign w:val="center"/>
            <w:textDirection w:val="lrTb"/>
            <w:noWrap w:val="false"/>
          </w:tcPr>
          <w:p>
            <w:pPr>
              <w:pStyle w:val="944"/>
              <w:rPr>
                <w:rFonts w:hint="eastAsia" w:ascii="宋体" w:hAnsi="宋体" w:cs="宋体"/>
                <w:color w:val="000000"/>
                <w:sz w:val="24"/>
                <w:szCs w:val="24"/>
              </w:rPr>
            </w:pPr>
            <w:r>
              <w:rPr>
                <w:rFonts w:hint="eastAsia" w:ascii="宋体" w:hAnsi="宋体" w:cs="宋体"/>
                <w:color w:val="000000"/>
                <w:sz w:val="24"/>
                <w:szCs w:val="24"/>
              </w:rPr>
              <w:t xml:space="preserve">1.根据智慧城管要求，实现数据有效流通。</w:t>
            </w: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t xml:space="preserve">2.提供公共备案停车场及共享停车场对外数据接口测试、服务。</w:t>
            </w: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t xml:space="preserve">3.统一制定相关软、硬件接入规范，共享停车平台数据接入验证服务。</w:t>
            </w:r>
            <w:r/>
          </w:p>
        </w:tc>
      </w:tr>
    </w:tbl>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★（二）商务要求</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1.报价要求</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（3）供应商报价除包含招标文件中列明的项目外还应包括保障服务正常运行应当具有的物资和服务，对服务正常运行应当具有的物资和服务理解不一致的以采购单位理解为准。 </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2.实施要求</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（1）验收要求</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①采购人成立验收小组，按照投标文件响应内容，在每个付款周期内对中标供应商履约情况进行验收。验收时发现未完成安装部署的、未进行调试的，采购人有权要求供应商立即进行补充。</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②验收时，对每一项技术、服务、安全标准的履约情况进行确认。验收结束后，采购人出具验收结果，由验收双方共同签署。 </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③采购人可以委托第三方专业机构参与验收。</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（2）维保要求</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在服务期内，提供7x24小时的电话热线咨询服务，采购人有任何服务需求，在收到采购人请求后2小时内到达现场，24小时内完成故障处理。</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（3）实施人员要求</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项目实施人员不少于7人，其中项目经理1人，具有2年及以上相关工作经验。</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（4）知识产权及保密要求</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1）知识产权:</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val="en-US" w:eastAsia="zh-CN"/>
        </w:rPr>
        <w:t xml:space="preserve">实施</w:t>
      </w:r>
      <w:r>
        <w:rPr>
          <w:rFonts w:hint="eastAsia" w:ascii="宋体" w:hAnsi="宋体" w:eastAsia="宋体" w:cs="Times New Roman"/>
          <w:color w:val="000000"/>
          <w:sz w:val="24"/>
          <w:szCs w:val="24"/>
          <w:lang w:val="en-US" w:eastAsia="zh-CN"/>
        </w:rPr>
        <w:t xml:space="preserve">过程中，采购人提供或者使用服务所产生的数据，所有权归采购人所有。</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2）数据安全:</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①中标供应商及其工作人员只能为本项目工作的目的使用数据，且仅限于项目管理人员及直接参与本项目工作的人员知悉，不得扩大知悉范围、泄露给任何第三方或做与本项目无关的使用。</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②在项目实施过程中，中标供应商及其工作人员做好相关信息的保密工作。</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③在服务期内，中标供应商应确保系统取得信息安全等级保护三级证书，并按照采购人的要求完成系统信息及数据安全保障工作。</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3.付款条件</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以第三章合同文本内容为准。</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4.服务时间及地点</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（1）服务时间：</w:t>
      </w:r>
      <w:r>
        <w:rPr>
          <w:rFonts w:hint="eastAsia" w:ascii="宋体" w:hAnsi="宋体"/>
          <w:color w:val="000000"/>
          <w:sz w:val="24"/>
          <w:szCs w:val="24"/>
        </w:rPr>
        <w:t xml:space="preserve">供应商</w:t>
      </w:r>
      <w:r>
        <w:rPr>
          <w:rFonts w:hint="eastAsia" w:ascii="宋体" w:hAnsi="宋体"/>
          <w:color w:val="000000"/>
          <w:sz w:val="24"/>
          <w:szCs w:val="24"/>
          <w:lang w:val="en-US" w:eastAsia="zh-CN"/>
        </w:rPr>
        <w:t xml:space="preserve">应在</w:t>
      </w:r>
      <w:r>
        <w:rPr>
          <w:rFonts w:hint="eastAsia" w:ascii="宋体" w:hAnsi="宋体" w:eastAsia="宋体" w:cs="Times New Roman"/>
          <w:color w:val="000000"/>
          <w:sz w:val="24"/>
          <w:szCs w:val="24"/>
          <w:lang w:val="en-US" w:eastAsia="zh-CN"/>
        </w:rPr>
        <w:t xml:space="preserve">合同签订后15天内完成系统部署，并配置完成市、区、停车场运营方三方账号。</w:t>
      </w:r>
      <w:r>
        <w:rPr>
          <w:rFonts w:hint="eastAsia" w:ascii="宋体" w:hAnsi="宋体" w:eastAsia="宋体"/>
          <w:color w:val="000000"/>
          <w:sz w:val="24"/>
          <w:szCs w:val="24"/>
          <w:lang w:val="en-US" w:eastAsia="zh-CN"/>
        </w:rPr>
        <w:t xml:space="preserve">并</w:t>
      </w:r>
      <w:r>
        <w:rPr>
          <w:rFonts w:hint="eastAsia" w:ascii="宋体" w:hAnsi="宋体"/>
          <w:color w:val="000000"/>
          <w:sz w:val="24"/>
          <w:szCs w:val="24"/>
        </w:rPr>
        <w:t xml:space="preserve">在合同约定的服务期限内，按照约定的服务内容，向采购</w:t>
      </w:r>
      <w:r>
        <w:rPr>
          <w:rFonts w:hint="eastAsia" w:ascii="宋体" w:hAnsi="宋体"/>
          <w:color w:val="000000"/>
          <w:sz w:val="24"/>
          <w:szCs w:val="24"/>
          <w:lang w:val="en-US" w:eastAsia="zh-CN"/>
        </w:rPr>
        <w:t xml:space="preserve">人</w:t>
      </w:r>
      <w:r>
        <w:rPr>
          <w:rFonts w:hint="eastAsia" w:ascii="宋体" w:hAnsi="宋体"/>
          <w:color w:val="000000"/>
          <w:sz w:val="24"/>
          <w:szCs w:val="24"/>
        </w:rPr>
        <w:t xml:space="preserve">提供优质的服务，同时提供维保服务</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（2）服务地点：采购人指定地点。</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（三）产品演示要求</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视频文件的格式为*.mp4或*.avi，供应商须将视频文件分段压缩为*.zip文件上传（单个文件不得大于50M，所有文件合计不得大于300M）。文件上传方式见《操作手册》，上传的演示视频将作为投标文件的组成部分。视频时长总计不超过15分钟。</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94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4"/>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bookmarkStart w:id="191" w:name="_Toc120614281"/>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944"/>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采用综合评分法的，评标结果按评审后得分由高到低顺序排列。得分相同的，按投标报价由低到高顺序排列。得分且投标报价相同的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宋体"/>
          <w:color w:val="000000"/>
          <w:sz w:val="24"/>
          <w:szCs w:val="24"/>
          <w:highlight w:val="none"/>
          <w:lang w:val="en-US" w:eastAsia="zh-CN"/>
        </w:rPr>
        <w:t xml:space="preserve">2.2-2.5项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944"/>
        <w:ind w:firstLine="480"/>
        <w:keepLines w:val="0"/>
        <w:keepNext w:val="0"/>
        <w:pageBreakBefore w:val="0"/>
        <w:spacing w:line="288"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944"/>
              <w:jc w:val="center"/>
              <w:spacing w:before="264"/>
              <w:rPr>
                <w:rFonts w:ascii="宋体" w:hAnsi="宋体" w:cs="宋体"/>
                <w:b/>
                <w:bCs/>
                <w:color w:val="000000"/>
                <w:spacing w:val="-2"/>
              </w:rPr>
            </w:pPr>
            <w:r>
              <w:rPr>
                <w:rFonts w:ascii="宋体" w:hAnsi="宋体" w:cs="宋体"/>
                <w:b/>
                <w:bCs/>
                <w:color w:val="000000"/>
                <w:spacing w:val="-2"/>
              </w:rPr>
              <w:t xml:space="preserve">序号</w:t>
            </w:r>
            <w:r>
              <w:rPr>
                <w:rFonts w:ascii="宋体" w:hAnsi="宋体" w:cs="宋体"/>
                <w:b/>
                <w:bCs/>
                <w:color w:val="000000"/>
                <w:spacing w:val="-2"/>
              </w:rPr>
            </w:r>
            <w:r/>
          </w:p>
        </w:tc>
        <w:tc>
          <w:tcPr>
            <w:tcW w:w="1179" w:type="dxa"/>
            <w:vAlign w:val="top"/>
            <w:textDirection w:val="lrTb"/>
            <w:noWrap w:val="false"/>
          </w:tcPr>
          <w:p>
            <w:pPr>
              <w:pStyle w:val="944"/>
              <w:jc w:val="center"/>
              <w:spacing w:before="264"/>
              <w:rPr>
                <w:rFonts w:ascii="宋体" w:hAnsi="宋体" w:cs="宋体"/>
                <w:b/>
                <w:bCs/>
                <w:color w:val="000000"/>
                <w:spacing w:val="-2"/>
              </w:rPr>
            </w:pPr>
            <w:r>
              <w:rPr>
                <w:rFonts w:ascii="宋体" w:hAnsi="宋体" w:cs="宋体"/>
                <w:b/>
                <w:bCs/>
                <w:color w:val="000000"/>
                <w:spacing w:val="-2"/>
              </w:rPr>
              <w:t xml:space="preserve">评审因素</w:t>
            </w:r>
            <w:r>
              <w:rPr>
                <w:rFonts w:ascii="宋体" w:hAnsi="宋体" w:cs="宋体"/>
                <w:b/>
                <w:bCs/>
                <w:color w:val="000000"/>
                <w:spacing w:val="-2"/>
              </w:rPr>
            </w:r>
            <w:r/>
          </w:p>
        </w:tc>
        <w:tc>
          <w:tcPr>
            <w:tcW w:w="6330" w:type="dxa"/>
            <w:vAlign w:val="top"/>
            <w:textDirection w:val="lrTb"/>
            <w:noWrap w:val="false"/>
          </w:tcPr>
          <w:p>
            <w:pPr>
              <w:pStyle w:val="944"/>
              <w:jc w:val="center"/>
              <w:spacing w:before="264"/>
              <w:rPr>
                <w:rFonts w:ascii="宋体" w:hAnsi="宋体" w:cs="宋体"/>
                <w:b/>
                <w:bCs/>
                <w:color w:val="000000"/>
                <w:spacing w:val="-2"/>
              </w:rPr>
            </w:pPr>
            <w:r>
              <w:rPr>
                <w:rFonts w:ascii="宋体" w:hAnsi="宋体" w:cs="宋体"/>
                <w:b/>
                <w:bCs/>
                <w:color w:val="000000"/>
                <w:spacing w:val="-2"/>
              </w:rPr>
              <w:t xml:space="preserve">评审细则</w:t>
            </w:r>
            <w:r>
              <w:rPr>
                <w:rFonts w:ascii="宋体" w:hAnsi="宋体" w:cs="宋体"/>
                <w:b/>
                <w:bCs/>
                <w:color w:val="000000"/>
                <w:spacing w:val="-2"/>
              </w:rPr>
            </w:r>
            <w:r/>
          </w:p>
        </w:tc>
        <w:tc>
          <w:tcPr>
            <w:tcW w:w="647" w:type="dxa"/>
            <w:vAlign w:val="top"/>
            <w:textDirection w:val="lrTb"/>
            <w:noWrap w:val="false"/>
          </w:tcPr>
          <w:p>
            <w:pPr>
              <w:pStyle w:val="944"/>
              <w:jc w:val="center"/>
              <w:spacing w:before="264"/>
              <w:rPr>
                <w:rFonts w:ascii="宋体" w:hAnsi="宋体" w:cs="宋体"/>
                <w:b/>
                <w:bCs/>
                <w:color w:val="000000"/>
                <w:spacing w:val="-2"/>
              </w:rPr>
            </w:pPr>
            <w:r>
              <w:rPr>
                <w:rFonts w:ascii="宋体" w:hAnsi="宋体" w:cs="宋体"/>
                <w:b/>
                <w:bCs/>
                <w:color w:val="000000"/>
                <w:spacing w:val="-2"/>
              </w:rPr>
              <w:t xml:space="preserve">分值</w:t>
            </w:r>
            <w:r>
              <w:rPr>
                <w:rFonts w:ascii="宋体" w:hAnsi="宋体" w:cs="宋体"/>
                <w:b/>
                <w:bCs/>
                <w:color w:val="000000"/>
                <w:spacing w:val="-2"/>
              </w:rPr>
            </w:r>
            <w:r/>
          </w:p>
        </w:tc>
        <w:tc>
          <w:tcPr>
            <w:tcW w:w="900" w:type="dxa"/>
            <w:vAlign w:val="top"/>
            <w:textDirection w:val="lrTb"/>
            <w:noWrap w:val="false"/>
          </w:tcPr>
          <w:p>
            <w:pPr>
              <w:pStyle w:val="944"/>
              <w:jc w:val="center"/>
              <w:spacing w:before="264"/>
              <w:rPr>
                <w:rFonts w:ascii="宋体" w:hAnsi="宋体" w:cs="宋体"/>
                <w:b/>
                <w:bCs/>
                <w:color w:val="000000"/>
                <w:spacing w:val="-2"/>
              </w:rPr>
            </w:pPr>
            <w:r>
              <w:rPr>
                <w:rFonts w:ascii="宋体" w:hAnsi="宋体" w:cs="宋体"/>
                <w:b/>
                <w:bCs/>
                <w:color w:val="000000"/>
                <w:spacing w:val="-2"/>
              </w:rPr>
              <w:t xml:space="preserve">类型</w:t>
            </w:r>
            <w:r>
              <w:rPr>
                <w:rFonts w:ascii="宋体" w:hAnsi="宋体" w:cs="宋体"/>
                <w:b/>
                <w:bCs/>
                <w:color w:val="000000"/>
                <w:spacing w:val="-2"/>
              </w:rPr>
            </w:r>
            <w:r/>
          </w:p>
        </w:tc>
      </w:tr>
      <w:tr>
        <w:trPr>
          <w:trHeight w:val="460"/>
        </w:trPr>
        <w:tc>
          <w:tcPr>
            <w:gridSpan w:val="5"/>
            <w:tcW w:w="9575" w:type="dxa"/>
            <w:vAlign w:val="top"/>
            <w:textDirection w:val="lrTb"/>
            <w:noWrap w:val="false"/>
          </w:tcPr>
          <w:p>
            <w:pPr>
              <w:pStyle w:val="944"/>
              <w:ind w:left="114"/>
              <w:spacing w:before="122"/>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519" w:type="dxa"/>
            <w:vAlign w:val="center"/>
            <w:textDirection w:val="lrTb"/>
            <w:noWrap w:val="false"/>
          </w:tcPr>
          <w:p>
            <w:pPr>
              <w:pStyle w:val="944"/>
              <w:jc w:val="center"/>
              <w:spacing w:before="68"/>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944"/>
              <w:jc w:val="left"/>
              <w:spacing w:before="68"/>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944"/>
              <w:jc w:val="left"/>
              <w:rPr>
                <w:color w:val="000000"/>
              </w:rPr>
            </w:pPr>
            <w:r>
              <w:rPr>
                <w:color w:val="000000"/>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rPr>
              <w:t xml:space="preserve">10（小数点保留两位）</w:t>
            </w:r>
            <w:r>
              <w:rPr>
                <w:color w:val="000000"/>
              </w:rPr>
            </w:r>
            <w:r/>
          </w:p>
        </w:tc>
        <w:tc>
          <w:tcPr>
            <w:tcW w:w="647" w:type="dxa"/>
            <w:vAlign w:val="center"/>
            <w:textDirection w:val="lrTb"/>
            <w:noWrap w:val="false"/>
          </w:tcPr>
          <w:p>
            <w:pPr>
              <w:pStyle w:val="944"/>
              <w:jc w:val="center"/>
              <w:spacing w:before="68"/>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900" w:type="dxa"/>
            <w:vAlign w:val="center"/>
            <w:textDirection w:val="lrTb"/>
            <w:noWrap w:val="false"/>
          </w:tcPr>
          <w:p>
            <w:pPr>
              <w:pStyle w:val="944"/>
              <w:jc w:val="center"/>
              <w:spacing w:before="68"/>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944"/>
              <w:ind w:left="114"/>
              <w:spacing w:before="123"/>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479"/>
        </w:trPr>
        <w:tc>
          <w:tcPr>
            <w:tcW w:w="519" w:type="dxa"/>
            <w:vAlign w:val="center"/>
            <w:textDirection w:val="lrTb"/>
            <w:noWrap w:val="false"/>
          </w:tcPr>
          <w:p>
            <w:pPr>
              <w:pStyle w:val="944"/>
              <w:jc w:val="center"/>
              <w:spacing w:before="68"/>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944"/>
              <w:jc w:val="left"/>
              <w:spacing w:before="68"/>
              <w:rPr>
                <w:rFonts w:hint="eastAsia" w:ascii="宋体" w:hAnsi="宋体" w:cs="宋体"/>
                <w:color w:val="000000"/>
                <w:spacing w:val="-2"/>
              </w:rPr>
            </w:pPr>
            <w:r>
              <w:rPr>
                <w:rFonts w:hint="eastAsia"/>
                <w:color w:val="000000"/>
              </w:rPr>
              <w:t xml:space="preserve">产品</w:t>
            </w:r>
            <w:r>
              <w:rPr>
                <w:color w:val="000000"/>
              </w:rPr>
              <w:t xml:space="preserve">技术参数</w:t>
            </w:r>
            <w:r>
              <w:rPr>
                <w:rFonts w:hint="eastAsia" w:ascii="宋体" w:hAnsi="宋体" w:cs="宋体"/>
                <w:color w:val="000000"/>
                <w:spacing w:val="-2"/>
              </w:rPr>
            </w:r>
            <w:r/>
          </w:p>
        </w:tc>
        <w:tc>
          <w:tcPr>
            <w:tcW w:w="6330" w:type="dxa"/>
            <w:vAlign w:val="center"/>
            <w:textDirection w:val="lrTb"/>
            <w:noWrap w:val="false"/>
          </w:tcPr>
          <w:p>
            <w:pPr>
              <w:jc w:val="left"/>
              <w:rPr>
                <w:rFonts w:ascii="宋体" w:hAnsi="宋体" w:cs="宋体"/>
                <w:color w:val="000000"/>
                <w14:ligatures w14:val="none"/>
              </w:rPr>
            </w:pPr>
            <w:r>
              <w:rPr>
                <w:rFonts w:ascii="宋体" w:hAnsi="宋体" w:cs="宋体"/>
                <w:color w:val="000000"/>
              </w:rPr>
              <w:t xml:space="preserve">产品</w:t>
            </w:r>
            <w:r>
              <w:rPr>
                <w:rFonts w:ascii="宋体" w:hAnsi="宋体" w:cs="宋体"/>
                <w:color w:val="000000"/>
              </w:rPr>
              <w:t xml:space="preserve">技术参数全部满足招标要求的得满分；打★指标为必须满足项，如有负偏离将作为无效投标；打▲指标有</w:t>
            </w:r>
            <w:r>
              <w:rPr>
                <w:rFonts w:ascii="宋体" w:hAnsi="宋体" w:cs="宋体"/>
                <w:color w:val="000000"/>
              </w:rPr>
              <w:t xml:space="preserve">1</w:t>
            </w:r>
            <w:r>
              <w:rPr>
                <w:rFonts w:ascii="宋体" w:hAnsi="宋体" w:cs="宋体"/>
                <w:color w:val="000000"/>
              </w:rPr>
              <w:t xml:space="preserve">项负偏离扣2分</w:t>
            </w:r>
            <w:r>
              <w:rPr>
                <w:rFonts w:ascii="宋体" w:hAnsi="宋体" w:cs="宋体"/>
                <w:color w:val="000000"/>
              </w:rPr>
              <w:t xml:space="preserve">，</w:t>
            </w:r>
            <w:r>
              <w:rPr>
                <w:rFonts w:ascii="宋体" w:hAnsi="宋体" w:cs="宋体"/>
                <w:color w:val="000000"/>
              </w:rPr>
              <w:t xml:space="preserve">扣完为止。</w:t>
            </w:r>
            <w:r>
              <w:rPr>
                <w:rFonts w:ascii="宋体" w:hAnsi="宋体" w:cs="宋体"/>
                <w:color w:val="000000"/>
              </w:rPr>
            </w:r>
            <w:r/>
          </w:p>
        </w:tc>
        <w:tc>
          <w:tcPr>
            <w:tcW w:w="647" w:type="dxa"/>
            <w:vAlign w:val="center"/>
            <w:textDirection w:val="lrTb"/>
            <w:noWrap w:val="false"/>
          </w:tcPr>
          <w:p>
            <w:pPr>
              <w:pStyle w:val="944"/>
              <w:jc w:val="center"/>
              <w:spacing w:before="68"/>
              <w:rPr>
                <w:rFonts w:ascii="宋体" w:hAnsi="宋体" w:cs="宋体"/>
                <w:color w:val="000000"/>
              </w:rPr>
            </w:pPr>
            <w:r>
              <w:rPr>
                <w:rFonts w:hint="eastAsia" w:ascii="宋体" w:hAnsi="宋体" w:cs="宋体"/>
                <w:color w:val="000000"/>
              </w:rPr>
              <w:t xml:space="preserve">27</w:t>
            </w:r>
            <w:r>
              <w:rPr>
                <w:rFonts w:ascii="宋体" w:hAnsi="宋体" w:cs="宋体"/>
                <w:color w:val="000000"/>
              </w:rPr>
            </w:r>
            <w:r/>
          </w:p>
        </w:tc>
        <w:tc>
          <w:tcPr>
            <w:tcW w:w="900" w:type="dxa"/>
            <w:vAlign w:val="center"/>
            <w:textDirection w:val="lrTb"/>
            <w:noWrap w:val="false"/>
          </w:tcPr>
          <w:p>
            <w:pPr>
              <w:pStyle w:val="944"/>
              <w:jc w:val="center"/>
              <w:spacing w:before="68"/>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315"/>
        </w:trPr>
        <w:tc>
          <w:tcPr>
            <w:tcW w:w="519" w:type="dxa"/>
            <w:vAlign w:val="center"/>
            <w:textDirection w:val="lrTb"/>
            <w:noWrap w:val="false"/>
          </w:tcPr>
          <w:p>
            <w:pPr>
              <w:pStyle w:val="944"/>
              <w:jc w:val="center"/>
              <w:spacing w:before="68"/>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944"/>
              <w:rPr>
                <w:rFonts w:hint="eastAsia"/>
                <w:color w:val="000000"/>
              </w:rPr>
            </w:pPr>
            <w:r>
              <w:rPr>
                <w:rFonts w:hint="eastAsia"/>
                <w:color w:val="000000"/>
              </w:rPr>
              <w:t xml:space="preserve">需求理解</w:t>
            </w:r>
            <w:r>
              <w:rPr>
                <w:rFonts w:hint="eastAsia"/>
                <w:color w:val="000000"/>
              </w:rPr>
            </w:r>
            <w:r/>
          </w:p>
        </w:tc>
        <w:tc>
          <w:tcPr>
            <w:tcW w:w="6330" w:type="dxa"/>
            <w:vAlign w:val="center"/>
            <w:textDirection w:val="lrTb"/>
            <w:noWrap w:val="false"/>
          </w:tcPr>
          <w:p>
            <w:pPr>
              <w:jc w:val="left"/>
              <w:rPr>
                <w:rFonts w:ascii="宋体" w:hAnsi="宋体" w:cs="宋体"/>
                <w:color w:val="000000"/>
                <w14:ligatures w14:val="none"/>
              </w:rPr>
            </w:pPr>
            <w:r>
              <w:rPr>
                <w:rFonts w:ascii="宋体" w:hAnsi="宋体" w:cs="宋体"/>
                <w:color w:val="000000"/>
              </w:rPr>
              <w:t xml:space="preserve">评委根据投标人提供的本项目需求理解（包括对本项目的项目背景、建设目标、业务功</w:t>
            </w:r>
            <w:r>
              <w:rPr>
                <w:rFonts w:ascii="宋体" w:hAnsi="宋体" w:cs="宋体"/>
                <w:color w:val="000000"/>
              </w:rPr>
              <w:t xml:space="preserve">能的了解及整体项目的解决方案）综合评分</w:t>
            </w:r>
            <w:r>
              <w:rPr>
                <w:rFonts w:ascii="宋体" w:hAnsi="宋体" w:cs="宋体"/>
                <w:color w:val="000000"/>
                <w:lang w:val="en-US" w:eastAsia="zh-CN"/>
              </w:rPr>
              <w:t xml:space="preserve">：</w:t>
            </w:r>
            <w:r>
              <w:rPr>
                <w:rFonts w:ascii="宋体" w:hAnsi="宋体" w:cs="宋体"/>
                <w:color w:val="000000"/>
                <w:lang w:val="en-US" w:eastAsia="zh-CN"/>
              </w:rPr>
            </w:r>
            <w:r/>
          </w:p>
          <w:p>
            <w:pPr>
              <w:jc w:val="left"/>
              <w:rPr>
                <w:rFonts w:ascii="宋体" w:hAnsi="宋体" w:cs="宋体"/>
                <w:color w:val="000000"/>
                <w14:ligatures w14:val="none"/>
              </w:rPr>
            </w:pPr>
            <w:r>
              <w:rPr>
                <w:rFonts w:ascii="宋体" w:hAnsi="宋体" w:cs="宋体"/>
                <w:color w:val="000000"/>
                <w:lang w:val="en-US" w:eastAsia="zh-CN"/>
              </w:rPr>
              <w:t xml:space="preserve">（1）方案完整度高、逻辑性强、解决问题措施精准高效、可行性高的，得</w:t>
            </w:r>
            <w:r>
              <w:rPr>
                <w:rFonts w:ascii="宋体" w:hAnsi="宋体" w:cs="宋体"/>
                <w:color w:val="000000"/>
                <w:lang w:val="en-US" w:eastAsia="zh-CN"/>
              </w:rPr>
              <w:t xml:space="preserve">4</w:t>
            </w:r>
            <w:r>
              <w:rPr>
                <w:rFonts w:ascii="宋体" w:hAnsi="宋体" w:cs="宋体"/>
                <w:color w:val="000000"/>
                <w:lang w:val="en-US" w:eastAsia="zh-CN"/>
              </w:rPr>
              <w:t xml:space="preserve">分； </w:t>
            </w:r>
            <w:r>
              <w:rPr>
                <w:rFonts w:ascii="宋体" w:hAnsi="宋体" w:cs="宋体"/>
                <w:color w:val="000000"/>
                <w:lang w:val="en-US" w:eastAsia="zh-CN"/>
              </w:rPr>
            </w:r>
            <w:r/>
          </w:p>
          <w:p>
            <w:pPr>
              <w:jc w:val="left"/>
              <w:rPr>
                <w:rFonts w:ascii="宋体" w:hAnsi="宋体" w:cs="宋体"/>
                <w:color w:val="000000"/>
                <w14:ligatures w14:val="none"/>
              </w:rPr>
            </w:pPr>
            <w:r>
              <w:rPr>
                <w:rFonts w:ascii="宋体" w:hAnsi="宋体" w:cs="宋体"/>
                <w:color w:val="000000"/>
                <w:lang w:val="en-US" w:eastAsia="zh-CN"/>
              </w:rPr>
              <w:t xml:space="preserve">（2）方案完整度较高、逻辑性较强、解决问题主观分措施较精准高效、可行性较高的，得</w:t>
            </w:r>
            <w:r>
              <w:rPr>
                <w:rFonts w:ascii="宋体" w:hAnsi="宋体" w:cs="宋体"/>
                <w:color w:val="000000"/>
                <w:lang w:val="en-US" w:eastAsia="zh-CN"/>
              </w:rPr>
              <w:t xml:space="preserve">2</w:t>
            </w:r>
            <w:r>
              <w:rPr>
                <w:rFonts w:ascii="宋体" w:hAnsi="宋体" w:cs="宋体"/>
                <w:color w:val="000000"/>
                <w:lang w:val="en-US" w:eastAsia="zh-CN"/>
              </w:rPr>
              <w:t xml:space="preserve">分；</w:t>
            </w:r>
            <w:r>
              <w:rPr>
                <w:rFonts w:ascii="宋体" w:hAnsi="宋体" w:cs="宋体"/>
                <w:color w:val="000000"/>
                <w:lang w:val="en-US" w:eastAsia="zh-CN"/>
              </w:rPr>
            </w:r>
            <w:r/>
          </w:p>
          <w:p>
            <w:pPr>
              <w:jc w:val="left"/>
              <w:rPr>
                <w:rFonts w:ascii="宋体" w:hAnsi="宋体" w:cs="宋体"/>
                <w:color w:val="000000"/>
                <w14:ligatures w14:val="none"/>
              </w:rPr>
            </w:pPr>
            <w:r>
              <w:rPr>
                <w:rFonts w:ascii="宋体" w:hAnsi="宋体" w:cs="宋体"/>
                <w:color w:val="000000"/>
                <w:lang w:val="en-US" w:eastAsia="zh-CN"/>
              </w:rPr>
              <w:t xml:space="preserve">（3）方案基本完整，逻辑性、解决问题措施基本满足要求，基本可行性的，得</w:t>
            </w:r>
            <w:r>
              <w:rPr>
                <w:rFonts w:ascii="宋体" w:hAnsi="宋体" w:cs="宋体"/>
                <w:color w:val="000000"/>
                <w:lang w:val="en-US" w:eastAsia="zh-CN"/>
              </w:rPr>
              <w:t xml:space="preserve">1</w:t>
            </w:r>
            <w:r>
              <w:rPr>
                <w:rFonts w:ascii="宋体" w:hAnsi="宋体" w:cs="宋体"/>
                <w:color w:val="000000"/>
                <w:lang w:val="en-US" w:eastAsia="zh-CN"/>
              </w:rPr>
              <w:t xml:space="preserve">分。</w:t>
            </w:r>
            <w:r>
              <w:rPr>
                <w:rFonts w:ascii="宋体" w:hAnsi="宋体" w:cs="宋体"/>
                <w:color w:val="000000"/>
                <w:lang w:val="en-US" w:eastAsia="zh-CN"/>
              </w:rPr>
            </w:r>
            <w:r/>
          </w:p>
          <w:p>
            <w:pPr>
              <w:jc w:val="left"/>
              <w:rPr>
                <w:rFonts w:ascii="宋体" w:hAnsi="宋体" w:cs="宋体"/>
                <w:color w:val="000000"/>
                <w14:ligatures w14:val="none"/>
              </w:rPr>
            </w:pPr>
            <w:r>
              <w:rPr>
                <w:rFonts w:ascii="宋体" w:hAnsi="宋体" w:cs="宋体"/>
                <w:color w:val="000000"/>
                <w:lang w:val="en-US" w:eastAsia="zh-CN"/>
              </w:rPr>
              <w:t xml:space="preserve">（4）</w:t>
            </w:r>
            <w:r>
              <w:rPr>
                <w:rFonts w:ascii="宋体" w:hAnsi="宋体" w:cs="宋体"/>
                <w:color w:val="000000"/>
                <w:lang w:val="en-US" w:eastAsia="zh-CN"/>
              </w:rPr>
              <w:t xml:space="preserve">方案不完整，逻辑性、解决问题措施不能满足要求，不可行或未提供的不得分。</w:t>
            </w:r>
            <w:r>
              <w:rPr>
                <w:rFonts w:ascii="宋体" w:hAnsi="宋体" w:cs="宋体"/>
                <w:color w:val="000000"/>
                <w:lang w:val="en-US" w:eastAsia="zh-CN"/>
              </w:rPr>
            </w:r>
            <w:r/>
          </w:p>
        </w:tc>
        <w:tc>
          <w:tcPr>
            <w:tcW w:w="647" w:type="dxa"/>
            <w:vAlign w:val="center"/>
            <w:textDirection w:val="lrTb"/>
            <w:noWrap w:val="false"/>
          </w:tcPr>
          <w:p>
            <w:pPr>
              <w:pStyle w:val="944"/>
              <w:jc w:val="center"/>
              <w:spacing w:before="68"/>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00" w:type="dxa"/>
            <w:vAlign w:val="center"/>
            <w:textDirection w:val="lrTb"/>
            <w:noWrap w:val="false"/>
          </w:tcPr>
          <w:p>
            <w:pPr>
              <w:pStyle w:val="944"/>
              <w:jc w:val="center"/>
              <w:spacing w:before="68"/>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2236"/>
        </w:trPr>
        <w:tc>
          <w:tcPr>
            <w:tcW w:w="519" w:type="dxa"/>
            <w:vAlign w:val="center"/>
            <w:textDirection w:val="lrTb"/>
            <w:noWrap w:val="false"/>
          </w:tcPr>
          <w:p>
            <w:pPr>
              <w:pStyle w:val="944"/>
              <w:jc w:val="center"/>
              <w:spacing w:before="68"/>
              <w:rPr>
                <w:rFonts w:hint="eastAsia" w:ascii="宋体" w:hAnsi="宋体" w:cs="宋体"/>
                <w:color w:val="000000"/>
                <w:spacing w:val="-2"/>
              </w:rPr>
            </w:pPr>
            <w:r>
              <w:rPr>
                <w:rFonts w:hint="eastAsia" w:ascii="宋体" w:hAnsi="宋体" w:cs="宋体"/>
                <w:color w:val="000000"/>
                <w:spacing w:val="-2"/>
              </w:rPr>
              <w:t xml:space="preserve">2.3</w:t>
            </w:r>
            <w:r>
              <w:rPr>
                <w:rFonts w:hint="eastAsia" w:ascii="宋体" w:hAnsi="宋体" w:cs="宋体"/>
                <w:color w:val="000000"/>
                <w:spacing w:val="-2"/>
              </w:rPr>
            </w:r>
            <w:r/>
          </w:p>
        </w:tc>
        <w:tc>
          <w:tcPr>
            <w:tcW w:w="1179" w:type="dxa"/>
            <w:vAlign w:val="center"/>
            <w:textDirection w:val="lrTb"/>
            <w:noWrap w:val="false"/>
          </w:tcPr>
          <w:p>
            <w:pPr>
              <w:pStyle w:val="944"/>
              <w:rPr>
                <w:rFonts w:hint="eastAsia"/>
                <w:color w:val="000000"/>
              </w:rPr>
            </w:pPr>
            <w:r>
              <w:rPr>
                <w:rFonts w:hint="eastAsia"/>
                <w:color w:val="000000"/>
              </w:rPr>
              <w:t xml:space="preserve">系统总体技术架构方案</w:t>
            </w:r>
            <w:r>
              <w:rPr>
                <w:rFonts w:hint="eastAsia"/>
                <w:color w:val="000000"/>
              </w:rPr>
            </w:r>
            <w:r/>
          </w:p>
        </w:tc>
        <w:tc>
          <w:tcPr>
            <w:tcW w:w="6330" w:type="dxa"/>
            <w:vAlign w:val="center"/>
            <w:textDirection w:val="lrTb"/>
            <w:noWrap w:val="false"/>
          </w:tcPr>
          <w:p>
            <w:pPr>
              <w:jc w:val="left"/>
              <w:rPr>
                <w:rFonts w:ascii="宋体" w:hAnsi="宋体" w:cs="宋体"/>
                <w:color w:val="000000"/>
                <w14:ligatures w14:val="none"/>
              </w:rPr>
            </w:pPr>
            <w:r>
              <w:rPr>
                <w:rFonts w:ascii="宋体" w:hAnsi="宋体" w:cs="宋体"/>
                <w:color w:val="000000"/>
              </w:rPr>
              <w:t xml:space="preserve">评委根据投标人提供的本项目</w:t>
            </w:r>
            <w:r>
              <w:rPr>
                <w:rFonts w:ascii="宋体" w:hAnsi="宋体" w:cs="宋体"/>
                <w:color w:val="000000"/>
              </w:rPr>
              <w:t xml:space="preserve">系统总体技术架构方案</w:t>
            </w:r>
            <w:r>
              <w:rPr>
                <w:rFonts w:ascii="宋体" w:hAnsi="宋体" w:cs="宋体"/>
                <w:color w:val="000000"/>
              </w:rPr>
              <w:t xml:space="preserve">（</w:t>
            </w:r>
            <w:r>
              <w:rPr>
                <w:rFonts w:ascii="宋体" w:hAnsi="宋体" w:cs="宋体"/>
                <w:color w:val="000000"/>
              </w:rPr>
              <w:t xml:space="preserve">包含业务架构、应用架构、技术架构、部署架构、项目整体非功能需求（安全、日志、监控）等</w:t>
            </w:r>
            <w:r>
              <w:rPr>
                <w:rFonts w:ascii="宋体" w:hAnsi="宋体" w:cs="宋体"/>
                <w:color w:val="000000"/>
              </w:rPr>
              <w:t xml:space="preserve">）综合评分：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（1）方案完整度高、逻辑性强、可行性高的，得</w:t>
            </w:r>
            <w:r>
              <w:rPr>
                <w:rFonts w:ascii="宋体" w:hAnsi="宋体" w:cs="宋体"/>
                <w:color w:val="000000"/>
              </w:rPr>
              <w:t xml:space="preserve">6</w:t>
            </w:r>
            <w:r>
              <w:rPr>
                <w:rFonts w:ascii="宋体" w:hAnsi="宋体" w:cs="宋体"/>
                <w:color w:val="000000"/>
              </w:rPr>
              <w:t xml:space="preserve">分； </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（2）方案完整度较高、逻辑性较强、可行性较高的，得</w:t>
            </w:r>
            <w:r>
              <w:rPr>
                <w:rFonts w:ascii="宋体" w:hAnsi="宋体" w:cs="宋体"/>
                <w:color w:val="000000"/>
              </w:rPr>
              <w:t xml:space="preserve">4</w:t>
            </w:r>
            <w:r>
              <w:rPr>
                <w:rFonts w:ascii="宋体" w:hAnsi="宋体" w:cs="宋体"/>
                <w:color w:val="000000"/>
              </w:rPr>
              <w:t xml:space="preserve">分； </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（3）方案基本完整，逻辑性、可行性基本满足要求的，得2分。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（4）</w:t>
            </w:r>
            <w:r>
              <w:rPr>
                <w:rFonts w:ascii="宋体" w:hAnsi="宋体" w:cs="宋体"/>
                <w:color w:val="000000"/>
              </w:rPr>
              <w:t xml:space="preserve">方案不完整，逻辑性、可行性不能满足要求或未提供的不得分。</w:t>
            </w:r>
            <w:r>
              <w:rPr>
                <w:rFonts w:ascii="宋体" w:hAnsi="宋体" w:cs="宋体"/>
                <w:color w:val="000000"/>
              </w:rPr>
            </w:r>
            <w:r/>
          </w:p>
        </w:tc>
        <w:tc>
          <w:tcPr>
            <w:tcW w:w="647" w:type="dxa"/>
            <w:vAlign w:val="center"/>
            <w:textDirection w:val="lrTb"/>
            <w:noWrap w:val="false"/>
          </w:tcPr>
          <w:p>
            <w:pPr>
              <w:pStyle w:val="944"/>
              <w:jc w:val="center"/>
              <w:spacing w:before="68"/>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900" w:type="dxa"/>
            <w:vAlign w:val="center"/>
            <w:textDirection w:val="lrTb"/>
            <w:noWrap w:val="false"/>
          </w:tcPr>
          <w:p>
            <w:pPr>
              <w:pStyle w:val="944"/>
              <w:jc w:val="center"/>
              <w:spacing w:before="68"/>
              <w:rPr>
                <w:rFonts w:hint="eastAsia" w:ascii="宋体" w:hAnsi="宋体" w:cs="宋体"/>
                <w:color w:val="000000"/>
              </w:rPr>
            </w:pPr>
            <w:r>
              <w:rPr>
                <w:rFonts w:hint="eastAsia" w:ascii="宋体" w:hAnsi="宋体" w:cs="宋体"/>
                <w:color w:val="000000"/>
                <w:spacing w:val="-4"/>
              </w:rPr>
              <w:t xml:space="preserve">主观分</w:t>
            </w:r>
            <w:r>
              <w:rPr>
                <w:rFonts w:hint="eastAsia" w:ascii="宋体" w:hAnsi="宋体" w:cs="宋体"/>
                <w:color w:val="000000"/>
              </w:rPr>
            </w:r>
            <w:r/>
          </w:p>
        </w:tc>
      </w:tr>
      <w:tr>
        <w:trPr>
          <w:trHeight w:val="889"/>
        </w:trPr>
        <w:tc>
          <w:tcPr>
            <w:tcW w:w="519" w:type="dxa"/>
            <w:vAlign w:val="center"/>
            <w:textDirection w:val="lrTb"/>
            <w:noWrap w:val="false"/>
          </w:tcPr>
          <w:p>
            <w:pPr>
              <w:pStyle w:val="944"/>
              <w:jc w:val="center"/>
              <w:rPr>
                <w:rFonts w:ascii="宋体" w:hAnsi="宋体" w:cs="宋体"/>
                <w:color w:val="000000"/>
              </w:rPr>
            </w:pPr>
            <w:r>
              <w:rPr>
                <w:rFonts w:hint="eastAsia" w:ascii="宋体" w:hAnsi="宋体" w:cs="宋体"/>
                <w:color w:val="000000"/>
              </w:rPr>
              <w:t xml:space="preserve">2.4</w:t>
            </w:r>
            <w:r>
              <w:rPr>
                <w:rFonts w:ascii="宋体" w:hAnsi="宋体" w:cs="宋体"/>
                <w:color w:val="000000"/>
              </w:rPr>
            </w:r>
            <w:r/>
          </w:p>
        </w:tc>
        <w:tc>
          <w:tcPr>
            <w:tcW w:w="1179" w:type="dxa"/>
            <w:vAlign w:val="center"/>
            <w:textDirection w:val="lrTb"/>
            <w:noWrap w:val="false"/>
          </w:tcPr>
          <w:p>
            <w:pPr>
              <w:pStyle w:val="944"/>
              <w:spacing w:line="288" w:lineRule="auto"/>
              <w:rPr>
                <w:rFonts w:hint="eastAsia" w:ascii="宋体" w:hAnsi="宋体" w:cs="宋体"/>
                <w:color w:val="000000"/>
                <w:spacing w:val="1"/>
              </w:rPr>
            </w:pPr>
            <w:r>
              <w:rPr>
                <w:rFonts w:hint="eastAsia" w:ascii="宋体" w:hAnsi="宋体" w:cs="宋体"/>
                <w:color w:val="000000"/>
                <w:spacing w:val="1"/>
              </w:rPr>
              <w:t xml:space="preserve">系统总体设计方案</w:t>
            </w:r>
            <w:r>
              <w:rPr>
                <w:rFonts w:hint="eastAsia" w:ascii="宋体" w:hAnsi="宋体" w:cs="宋体"/>
                <w:color w:val="000000"/>
                <w:spacing w:val="1"/>
              </w:rPr>
            </w:r>
            <w:r/>
          </w:p>
        </w:tc>
        <w:tc>
          <w:tcPr>
            <w:tcW w:w="6330" w:type="dxa"/>
            <w:vAlign w:val="center"/>
            <w:textDirection w:val="lrTb"/>
            <w:noWrap w:val="false"/>
          </w:tcPr>
          <w:p>
            <w:pPr>
              <w:jc w:val="left"/>
              <w:rPr>
                <w:rFonts w:ascii="宋体" w:hAnsi="宋体" w:cs="宋体"/>
                <w:color w:val="000000"/>
                <w14:ligatures w14:val="none"/>
              </w:rPr>
            </w:pPr>
            <w:r>
              <w:rPr>
                <w:rFonts w:ascii="宋体" w:hAnsi="宋体" w:cs="宋体"/>
                <w:color w:val="000000"/>
              </w:rPr>
              <w:t xml:space="preserve">评委根据投标人提供的系统总体设计方案（包含共享停车管理服务，公共备案车场管理服务，数据采集及监管服务，共享活动管理、发布、中签摇号服务等）综合评分： </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（1）方案清晰完整、科学合理、可操作性强的，得6分；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（2）方案较清晰完整、较科学合理、可操作性较强的，得4分； </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（3）方案基本清晰完整、基本科学合理、可操作性基本满足要求的，得2分；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（4）方案不清晰、不完整、不合理、不具备可操作性或未提供的不得分。</w:t>
            </w:r>
            <w:r>
              <w:rPr>
                <w:rFonts w:ascii="宋体" w:hAnsi="宋体" w:cs="宋体"/>
                <w:color w:val="000000"/>
              </w:rPr>
            </w:r>
            <w:r/>
          </w:p>
        </w:tc>
        <w:tc>
          <w:tcPr>
            <w:tcW w:w="647" w:type="dxa"/>
            <w:vAlign w:val="center"/>
            <w:textDirection w:val="lrTb"/>
            <w:noWrap w:val="false"/>
          </w:tcPr>
          <w:p>
            <w:pPr>
              <w:pStyle w:val="944"/>
              <w:jc w:val="center"/>
              <w:spacing w:before="68"/>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900" w:type="dxa"/>
            <w:vAlign w:val="center"/>
            <w:textDirection w:val="lrTb"/>
            <w:noWrap w:val="false"/>
          </w:tcPr>
          <w:p>
            <w:pPr>
              <w:pStyle w:val="944"/>
              <w:jc w:val="center"/>
              <w:spacing w:before="68"/>
              <w:rPr>
                <w:rFonts w:ascii="宋体" w:hAnsi="宋体" w:cs="宋体"/>
                <w:color w:val="000000"/>
                <w:spacing w:val="-6"/>
              </w:rPr>
            </w:pPr>
            <w:r>
              <w:rPr>
                <w:rFonts w:hint="eastAsia" w:ascii="宋体" w:hAnsi="宋体" w:cs="宋体"/>
                <w:color w:val="000000"/>
                <w:spacing w:val="-4"/>
              </w:rPr>
              <w:t xml:space="preserve">主观分</w:t>
            </w:r>
            <w:r>
              <w:rPr>
                <w:rFonts w:ascii="宋体" w:hAnsi="宋体" w:cs="宋体"/>
                <w:color w:val="000000"/>
                <w:spacing w:val="-6"/>
              </w:rPr>
            </w:r>
            <w:r/>
          </w:p>
        </w:tc>
      </w:tr>
      <w:tr>
        <w:trPr>
          <w:trHeight w:val="889"/>
        </w:trPr>
        <w:tc>
          <w:tcPr>
            <w:tcW w:w="519" w:type="dxa"/>
            <w:vAlign w:val="center"/>
            <w:textDirection w:val="lrTb"/>
            <w:noWrap w:val="false"/>
          </w:tcPr>
          <w:p>
            <w:pPr>
              <w:pStyle w:val="944"/>
              <w:jc w:val="center"/>
              <w:spacing w:before="68"/>
              <w:rPr>
                <w:rFonts w:ascii="宋体" w:hAnsi="宋体" w:cs="宋体"/>
                <w:color w:val="000000"/>
                <w:spacing w:val="-2"/>
                <w:szCs w:val="22"/>
              </w:rPr>
            </w:pPr>
            <w:r>
              <w:rPr>
                <w:rFonts w:hint="eastAsia" w:ascii="宋体" w:hAnsi="宋体" w:cs="宋体"/>
                <w:color w:val="000000"/>
                <w:spacing w:val="-2"/>
                <w:szCs w:val="22"/>
              </w:rPr>
              <w:t xml:space="preserve">2.5</w:t>
            </w:r>
            <w:r>
              <w:rPr>
                <w:rFonts w:ascii="宋体" w:hAnsi="宋体" w:cs="宋体"/>
                <w:color w:val="000000"/>
                <w:spacing w:val="-2"/>
                <w:szCs w:val="22"/>
              </w:rPr>
            </w:r>
            <w:r/>
          </w:p>
        </w:tc>
        <w:tc>
          <w:tcPr>
            <w:tcW w:w="1179" w:type="dxa"/>
            <w:vAlign w:val="center"/>
            <w:textDirection w:val="lrTb"/>
            <w:noWrap w:val="false"/>
          </w:tcPr>
          <w:p>
            <w:pPr>
              <w:pStyle w:val="944"/>
              <w:rPr>
                <w:rFonts w:hint="eastAsia"/>
                <w:color w:val="000000"/>
              </w:rPr>
            </w:pPr>
            <w:r>
              <w:rPr>
                <w:rFonts w:hint="eastAsia"/>
                <w:color w:val="000000"/>
              </w:rPr>
              <w:t xml:space="preserve">产品视频演示</w:t>
            </w:r>
            <w:r>
              <w:rPr>
                <w:rFonts w:hint="eastAsia"/>
                <w:color w:val="000000"/>
              </w:rPr>
            </w:r>
            <w:r/>
          </w:p>
        </w:tc>
        <w:tc>
          <w:tcPr>
            <w:tcW w:w="6330" w:type="dxa"/>
            <w:vAlign w:val="center"/>
            <w:textDirection w:val="lrTb"/>
            <w:noWrap w:val="false"/>
          </w:tcPr>
          <w:p>
            <w:pPr>
              <w:jc w:val="left"/>
              <w:rPr>
                <w:rFonts w:ascii="宋体" w:hAnsi="宋体" w:cs="宋体"/>
                <w:color w:val="000000"/>
                <w14:ligatures w14:val="none"/>
              </w:rPr>
            </w:pPr>
            <w:r>
              <w:rPr>
                <w:rFonts w:ascii="宋体" w:hAnsi="宋体" w:cs="宋体"/>
                <w:color w:val="000000"/>
              </w:rPr>
              <w:t xml:space="preserve">评委根据投标人提供以下演示内容综合评分（每位投标人</w:t>
            </w:r>
            <w:r>
              <w:rPr>
                <w:rFonts w:ascii="宋体" w:hAnsi="宋体" w:cs="宋体"/>
                <w:color w:val="000000"/>
                <w:lang w:val="en-US" w:eastAsia="zh-CN"/>
              </w:rPr>
              <w:t xml:space="preserve">演示</w:t>
            </w:r>
            <w:r>
              <w:rPr>
                <w:rFonts w:ascii="宋体" w:hAnsi="宋体" w:cs="宋体"/>
                <w:color w:val="000000"/>
              </w:rPr>
              <w:t xml:space="preserve">视频时长总计不超过15分钟）：</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1、共享停车资源动态管理（5分）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1.1提供共享停车场一屏总览界面，展示省级、市级、区级共享车场总数、泊位数。按不同颜色显示共享停车场余位信息，以市、区两个维度查询。</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1.2电脑端能够提供机关事业单位共享泊位查询，实时查看机关事业单位共享停车场数量、泊位数、余位信息等关键信息。</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1.3手机端小程序能够提供机关事业单位共享泊位查询，实时查看机关事业单位共享停车场数量、泊位数、余位信息等关键信息。</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1.4提供共享停车相关公众日常咨询、投诉、建议事项的记录、反馈及统计查询功能。</w:t>
            </w:r>
            <w:r>
              <w:rPr>
                <w:rFonts w:ascii="宋体" w:hAnsi="宋体" w:cs="宋体"/>
                <w:color w:val="000000"/>
              </w:rPr>
              <w:t xml:space="preserve">采用类似真实系统演示全部内容</w:t>
            </w:r>
            <w:r>
              <w:rPr>
                <w:rFonts w:ascii="宋体" w:hAnsi="宋体" w:cs="宋体"/>
                <w:color w:val="000000"/>
              </w:rPr>
              <w:t xml:space="preserve">得2分；采用非</w:t>
            </w:r>
            <w:r>
              <w:rPr>
                <w:rFonts w:ascii="宋体" w:hAnsi="宋体" w:cs="宋体"/>
                <w:color w:val="000000"/>
              </w:rPr>
              <w:t xml:space="preserve">类似真实系统（如DEMO、PPT等方式）演示全部内容得1分；其他不得分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2、共享活动管理（5分）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2.1提供共享车场录入、修改、取消、提交功能，录入信息包含但不限于共享停车场名称、位置、共享泊位总数、开放时段、收费标准、管理单位、联系方式，并提供审批功能。</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2.2提供共享活动的创建、修改、删除、提交功能，必须录入拟开放的共享泊位数量、活动报名时间、抽签时间、公示时间、共享协议及针对车辆有无特殊要求。</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2.3共享活动审查，提供共享活动审核、中签结果发布功能，得1分。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2.4提供共享申请用户姓名、车牌号、实人认证、实车认证、背景审查结果统计。</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2.5提供市、区级共享车场运营方共享泊位的报名及中签结果查询功能。</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3、手机端共享小程序服务（5分）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3.1活动查询：为客户端提供共享活动查询、申请流程提示及联系方式。</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3.2活动申请：提供意向登记、共享申请、结果查询功能。</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3.3中签查询：共享泊位中签结果查询。</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3.4非税电子发票：提供共享车场线上非税发票领用及查询功能。</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3.5意见反馈：提供共享活动意见收集。</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4、公共备案停车场信息管理（3分）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4.1提供公共备案停车场备案基础信息管理，基础信息包含但不限于停车场基本信息、停车收费标准信息、运营单位信息、运营人员信息等。实现一屏总览，显示车场数量，泊位数。</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4.2提供公共备案停车场数据监管服务、包含离线监管、数据实时性监管、 数据准确性监管、 数据一致性监管、数据冗余性监管。</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4.3提供以图表分析等形式提供公共备案停车场月度考核监管报告，提供导出功能。</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5、城市停车地图（2分）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5.1手机小程序为用户提供车位查找、车位导航服务，可以根据当前定位或者拟到达的目的地，在小程序城市地图上搜索查询各类共享停车场、公共备案停车场、道路站点基本信息、坐标、开放时段、收费标准，搜索周边各类便民服务设施基本信息、坐标，并提供支持跳转第三方导航服务。</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5.2手机小程序提供便民服务设施一屏总览界面，展示充电桩、加油站、美丽乡村、红色教育基地、公厕公共自行车等设施信息。</w:t>
            </w:r>
            <w:r>
              <w:rPr>
                <w:rFonts w:ascii="宋体" w:hAnsi="宋体" w:cs="宋体"/>
                <w:color w:val="000000"/>
              </w:rPr>
              <w:t xml:space="preserve">采用类似真实系统演示全部内容</w:t>
            </w:r>
            <w:r>
              <w:rPr>
                <w:rFonts w:ascii="宋体" w:hAnsi="宋体" w:cs="宋体"/>
                <w:color w:val="000000"/>
              </w:rPr>
              <w:t xml:space="preserve">得1分；采用非</w:t>
            </w:r>
            <w:r>
              <w:rPr>
                <w:rFonts w:ascii="宋体" w:hAnsi="宋体" w:cs="宋体"/>
                <w:color w:val="000000"/>
              </w:rPr>
              <w:t xml:space="preserve">类似真实系统（如DEMO、PPT等方式）演示全部内容得0.5分；其他不得分</w:t>
            </w:r>
            <w:r>
              <w:rPr>
                <w:rFonts w:ascii="宋体" w:hAnsi="宋体" w:cs="宋体"/>
                <w:color w:val="000000"/>
              </w:rPr>
              <w:t xml:space="preserve">。</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lang w:val="en-US" w:eastAsia="zh-CN"/>
              </w:rPr>
              <w:t xml:space="preserve">以上全部</w:t>
            </w:r>
            <w:r>
              <w:rPr>
                <w:rFonts w:ascii="宋体" w:hAnsi="宋体" w:cs="宋体"/>
                <w:color w:val="000000"/>
              </w:rPr>
              <w:t xml:space="preserve">采用类似真实系统演示最多</w:t>
            </w:r>
            <w:r>
              <w:rPr>
                <w:rFonts w:ascii="宋体" w:hAnsi="宋体" w:cs="宋体"/>
                <w:color w:val="000000"/>
              </w:rPr>
              <w:t xml:space="preserve">得20分</w:t>
            </w:r>
            <w:r>
              <w:rPr>
                <w:rFonts w:ascii="宋体" w:hAnsi="宋体" w:cs="宋体"/>
                <w:color w:val="000000"/>
              </w:rPr>
              <w:t xml:space="preserve">；</w:t>
            </w:r>
            <w:r>
              <w:rPr>
                <w:rFonts w:ascii="宋体" w:hAnsi="宋体" w:cs="宋体"/>
                <w:color w:val="000000"/>
              </w:rPr>
              <w:t xml:space="preserve">采用非</w:t>
            </w:r>
            <w:r>
              <w:rPr>
                <w:rFonts w:ascii="宋体" w:hAnsi="宋体" w:cs="宋体"/>
                <w:color w:val="000000"/>
              </w:rPr>
              <w:t xml:space="preserve">类似真实系统（如DEMO、PPT等方式）最多</w:t>
            </w:r>
            <w:r>
              <w:rPr>
                <w:rFonts w:ascii="宋体" w:hAnsi="宋体" w:cs="宋体"/>
                <w:color w:val="000000"/>
              </w:rPr>
              <w:t xml:space="preserve">得10分。 </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（未提供视频文件或因供应商自身原因视频文件无法打开或视频画面不清晰无法辨认的不得分。）</w:t>
            </w:r>
            <w:r>
              <w:rPr>
                <w:rFonts w:ascii="宋体" w:hAnsi="宋体" w:cs="宋体"/>
                <w:color w:val="000000"/>
              </w:rPr>
            </w:r>
            <w:r/>
          </w:p>
        </w:tc>
        <w:tc>
          <w:tcPr>
            <w:tcW w:w="647" w:type="dxa"/>
            <w:vAlign w:val="center"/>
            <w:textDirection w:val="lrTb"/>
            <w:noWrap w:val="false"/>
          </w:tcPr>
          <w:p>
            <w:pPr>
              <w:pStyle w:val="944"/>
              <w:jc w:val="center"/>
              <w:spacing w:before="68"/>
              <w:rPr>
                <w:rFonts w:ascii="宋体" w:hAnsi="宋体" w:cs="宋体"/>
                <w:color w:val="000000"/>
                <w:szCs w:val="22"/>
              </w:rPr>
            </w:pPr>
            <w:r>
              <w:rPr>
                <w:rFonts w:hint="eastAsia" w:ascii="宋体" w:hAnsi="宋体" w:cs="宋体"/>
                <w:color w:val="000000"/>
              </w:rPr>
              <w:t xml:space="preserve">20</w:t>
            </w:r>
            <w:r>
              <w:rPr>
                <w:rFonts w:ascii="宋体" w:hAnsi="宋体" w:cs="宋体"/>
                <w:color w:val="000000"/>
                <w:szCs w:val="22"/>
              </w:rPr>
            </w:r>
            <w:r/>
          </w:p>
        </w:tc>
        <w:tc>
          <w:tcPr>
            <w:tcW w:w="900" w:type="dxa"/>
            <w:vAlign w:val="center"/>
            <w:textDirection w:val="lrTb"/>
            <w:noWrap w:val="false"/>
          </w:tcPr>
          <w:p>
            <w:pPr>
              <w:pStyle w:val="944"/>
              <w:jc w:val="center"/>
              <w:spacing w:before="68"/>
              <w:rPr>
                <w:rFonts w:hint="eastAsia" w:ascii="宋体" w:hAnsi="宋体" w:cs="宋体"/>
                <w:color w:val="000000"/>
                <w:spacing w:val="-6"/>
                <w:szCs w:val="22"/>
              </w:rPr>
            </w:pPr>
            <w:r>
              <w:rPr>
                <w:rFonts w:hint="eastAsia" w:ascii="宋体" w:hAnsi="宋体" w:cs="宋体"/>
                <w:color w:val="000000"/>
                <w:spacing w:val="-6"/>
              </w:rPr>
              <w:t xml:space="preserve">客观分</w:t>
            </w:r>
            <w:r>
              <w:rPr>
                <w:rFonts w:hint="eastAsia" w:ascii="宋体" w:hAnsi="宋体" w:cs="宋体"/>
                <w:color w:val="000000"/>
                <w:spacing w:val="-6"/>
                <w:szCs w:val="22"/>
              </w:rPr>
            </w:r>
            <w:r/>
          </w:p>
        </w:tc>
      </w:tr>
      <w:tr>
        <w:trPr>
          <w:trHeight w:val="472"/>
        </w:trPr>
        <w:tc>
          <w:tcPr>
            <w:gridSpan w:val="5"/>
            <w:tcW w:w="9575" w:type="dxa"/>
            <w:vAlign w:val="center"/>
            <w:textDirection w:val="lrTb"/>
            <w:noWrap w:val="false"/>
          </w:tcPr>
          <w:p>
            <w:pPr>
              <w:pStyle w:val="944"/>
              <w:spacing w:before="68"/>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083"/>
        </w:trPr>
        <w:tc>
          <w:tcPr>
            <w:tcW w:w="519" w:type="dxa"/>
            <w:vAlign w:val="center"/>
            <w:textDirection w:val="lrTb"/>
            <w:noWrap w:val="false"/>
          </w:tcPr>
          <w:p>
            <w:pPr>
              <w:pStyle w:val="944"/>
              <w:jc w:val="center"/>
              <w:spacing w:before="68"/>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944"/>
              <w:jc w:val="left"/>
              <w:rPr>
                <w:color w:val="000000"/>
              </w:rPr>
            </w:pPr>
            <w:r>
              <w:rPr>
                <w:rFonts w:hint="eastAsia"/>
                <w:color w:val="000000"/>
              </w:rPr>
              <w:t xml:space="preserve">运维服务方案</w:t>
            </w:r>
            <w:r>
              <w:rPr>
                <w:color w:val="000000"/>
              </w:rPr>
            </w:r>
            <w:r/>
          </w:p>
        </w:tc>
        <w:tc>
          <w:tcPr>
            <w:tcW w:w="6330" w:type="dxa"/>
            <w:vAlign w:val="center"/>
            <w:textDirection w:val="lrTb"/>
            <w:noWrap w:val="false"/>
          </w:tcPr>
          <w:p>
            <w:pPr>
              <w:jc w:val="left"/>
              <w:rPr>
                <w:rFonts w:ascii="宋体" w:hAnsi="宋体" w:cs="宋体"/>
                <w:color w:val="000000"/>
                <w14:ligatures w14:val="none"/>
              </w:rPr>
            </w:pPr>
            <w:r>
              <w:rPr>
                <w:rFonts w:ascii="宋体" w:hAnsi="宋体" w:cs="宋体"/>
                <w:color w:val="000000"/>
              </w:rPr>
              <w:t xml:space="preserve">评委根据投标人提供的运维服务方案（至少包含服务原则、服务策略、服务制度规范、服务内容及售后服务体系描述（包括故障处理程序、售后网点分布、服务响应时间、服务流程、故障处理时间、相关服务））综合评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（1）方案详尽、清晰、可行性高、贴近采购人实际业务需求的，得6分； </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（2）方案较详尽、清晰、可行性较高、较为贴近采购人实际业务需求的，得4分；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（3）方案基本完整、清晰，可行性基本满足要求的，得2分。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（4）方案不完整、不清晰、不可行或未提供的不得分。</w:t>
            </w:r>
            <w:r>
              <w:rPr>
                <w:rFonts w:ascii="宋体" w:hAnsi="宋体" w:cs="宋体"/>
                <w:color w:val="000000"/>
              </w:rPr>
            </w:r>
            <w:r/>
          </w:p>
        </w:tc>
        <w:tc>
          <w:tcPr>
            <w:tcW w:w="647" w:type="dxa"/>
            <w:vAlign w:val="center"/>
            <w:textDirection w:val="lrTb"/>
            <w:noWrap w:val="false"/>
          </w:tcPr>
          <w:p>
            <w:pPr>
              <w:pStyle w:val="944"/>
              <w:jc w:val="center"/>
              <w:spacing w:before="68"/>
              <w:rPr>
                <w:rFonts w:ascii="宋体" w:hAnsi="宋体" w:cs="宋体"/>
                <w:color w:val="000000"/>
                <w:szCs w:val="22"/>
              </w:rPr>
            </w:pPr>
            <w:r>
              <w:rPr>
                <w:rFonts w:hint="eastAsia" w:ascii="宋体" w:hAnsi="宋体" w:cs="宋体"/>
                <w:color w:val="000000"/>
              </w:rPr>
              <w:t xml:space="preserve">6</w:t>
            </w:r>
            <w:r>
              <w:rPr>
                <w:rFonts w:ascii="宋体" w:hAnsi="宋体" w:cs="宋体"/>
                <w:color w:val="000000"/>
                <w:szCs w:val="22"/>
              </w:rPr>
            </w:r>
            <w:r/>
          </w:p>
        </w:tc>
        <w:tc>
          <w:tcPr>
            <w:tcW w:w="900" w:type="dxa"/>
            <w:vAlign w:val="center"/>
            <w:textDirection w:val="lrTb"/>
            <w:noWrap w:val="false"/>
          </w:tcPr>
          <w:p>
            <w:pPr>
              <w:pStyle w:val="944"/>
              <w:jc w:val="center"/>
              <w:spacing w:before="68"/>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519" w:type="dxa"/>
            <w:vAlign w:val="center"/>
            <w:textDirection w:val="lrTb"/>
            <w:noWrap w:val="false"/>
          </w:tcPr>
          <w:p>
            <w:pPr>
              <w:pStyle w:val="944"/>
              <w:jc w:val="center"/>
              <w:spacing w:before="68"/>
              <w:rPr>
                <w:rFonts w:ascii="宋体" w:hAnsi="宋体" w:cs="宋体"/>
                <w:color w:val="000000"/>
                <w:spacing w:val="-2"/>
              </w:rPr>
            </w:pPr>
            <w:r>
              <w:rPr>
                <w:rFonts w:hint="eastAsia" w:ascii="宋体" w:hAnsi="宋体" w:cs="宋体"/>
                <w:color w:val="000000"/>
                <w:spacing w:val="-2"/>
              </w:rPr>
              <w:t xml:space="preserve">3.2</w:t>
            </w:r>
            <w:r>
              <w:rPr>
                <w:rFonts w:ascii="宋体" w:hAnsi="宋体" w:cs="宋体"/>
                <w:color w:val="000000"/>
                <w:spacing w:val="-2"/>
              </w:rPr>
            </w:r>
            <w:r/>
          </w:p>
        </w:tc>
        <w:tc>
          <w:tcPr>
            <w:tcW w:w="1179" w:type="dxa"/>
            <w:vAlign w:val="center"/>
            <w:textDirection w:val="lrTb"/>
            <w:noWrap w:val="false"/>
          </w:tcPr>
          <w:p>
            <w:pPr>
              <w:pStyle w:val="944"/>
              <w:jc w:val="left"/>
              <w:rPr>
                <w:rFonts w:hint="eastAsia"/>
                <w:color w:val="000000"/>
              </w:rPr>
            </w:pPr>
            <w:r>
              <w:rPr>
                <w:rFonts w:hint="eastAsia"/>
                <w:color w:val="000000"/>
              </w:rPr>
              <w:t xml:space="preserve">培训方案</w:t>
            </w:r>
            <w:r>
              <w:rPr>
                <w:rFonts w:hint="eastAsia"/>
                <w:color w:val="000000"/>
              </w:rPr>
            </w:r>
            <w:r/>
          </w:p>
        </w:tc>
        <w:tc>
          <w:tcPr>
            <w:tcW w:w="6330" w:type="dxa"/>
            <w:vAlign w:val="center"/>
            <w:textDirection w:val="lrTb"/>
            <w:noWrap w:val="false"/>
          </w:tcPr>
          <w:p>
            <w:pPr>
              <w:jc w:val="left"/>
              <w:rPr>
                <w:rFonts w:ascii="宋体" w:hAnsi="宋体" w:cs="宋体"/>
                <w:color w:val="000000"/>
                <w14:ligatures w14:val="none"/>
              </w:rPr>
            </w:pPr>
            <w:r>
              <w:rPr>
                <w:rFonts w:ascii="宋体" w:hAnsi="宋体" w:cs="宋体"/>
                <w:color w:val="000000"/>
              </w:rPr>
              <w:t xml:space="preserve">评委根据投标人提供的本项目培训方案（包含培训对象分析、培训方式、培训内容、培训计划制定、培训质量保证措施等）综合评分：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（1）方案详尽、清晰、可行性高、贴近采购人实际业务需求的，得6分；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（2）方案较详尽、清晰、可行性较高、较为贴近采购人 实际业务需求的，得4分；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（3）方案基本清晰完整，</w:t>
            </w:r>
            <w:r>
              <w:rPr>
                <w:rFonts w:ascii="宋体" w:hAnsi="宋体" w:cs="宋体"/>
                <w:color w:val="000000"/>
                <w:lang w:val="en-US" w:eastAsia="zh-CN"/>
              </w:rPr>
              <w:t xml:space="preserve">具备一定的</w:t>
            </w:r>
            <w:r>
              <w:rPr>
                <w:rFonts w:ascii="宋体" w:hAnsi="宋体" w:cs="宋体"/>
                <w:color w:val="000000"/>
              </w:rPr>
              <w:t xml:space="preserve">可行性</w:t>
            </w:r>
            <w:r>
              <w:rPr>
                <w:rFonts w:ascii="宋体" w:hAnsi="宋体" w:cs="宋体"/>
                <w:color w:val="000000"/>
                <w:lang w:eastAsia="zh-CN"/>
              </w:rPr>
              <w:t xml:space="preserve">，</w:t>
            </w:r>
            <w:r>
              <w:rPr>
                <w:rFonts w:ascii="宋体" w:hAnsi="宋体" w:cs="宋体"/>
                <w:color w:val="000000"/>
              </w:rPr>
              <w:t xml:space="preserve">基本满足采购人实际业务需求的，得2分。</w:t>
            </w:r>
            <w:r>
              <w:rPr>
                <w:rFonts w:ascii="宋体" w:hAnsi="宋体" w:cs="宋体"/>
                <w:color w:val="000000"/>
              </w:rPr>
            </w:r>
            <w:r/>
          </w:p>
          <w:p>
            <w:pPr>
              <w:jc w:val="left"/>
              <w:rPr>
                <w:rFonts w:ascii="宋体" w:hAnsi="宋体" w:cs="宋体"/>
                <w:color w:val="000000"/>
                <w14:ligatures w14:val="none"/>
              </w:rPr>
            </w:pPr>
            <w:r>
              <w:rPr>
                <w:rFonts w:ascii="宋体" w:hAnsi="宋体" w:cs="宋体"/>
                <w:color w:val="000000"/>
              </w:rPr>
              <w:t xml:space="preserve">（4）方案不完整、不清晰、不可行或未提供的不得分。</w:t>
            </w:r>
            <w:r>
              <w:rPr>
                <w:rFonts w:ascii="宋体" w:hAnsi="宋体" w:cs="宋体"/>
                <w:color w:val="000000"/>
              </w:rPr>
            </w:r>
            <w:r/>
          </w:p>
        </w:tc>
        <w:tc>
          <w:tcPr>
            <w:tcW w:w="647" w:type="dxa"/>
            <w:vAlign w:val="center"/>
            <w:textDirection w:val="lrTb"/>
            <w:noWrap w:val="false"/>
          </w:tcPr>
          <w:p>
            <w:pPr>
              <w:pStyle w:val="944"/>
              <w:jc w:val="center"/>
              <w:spacing w:before="68"/>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00" w:type="dxa"/>
            <w:vAlign w:val="center"/>
            <w:textDirection w:val="lrTb"/>
            <w:noWrap w:val="false"/>
          </w:tcPr>
          <w:p>
            <w:pPr>
              <w:pStyle w:val="944"/>
              <w:jc w:val="center"/>
              <w:spacing w:before="68"/>
              <w:rPr>
                <w:rFonts w:ascii="宋体" w:hAnsi="宋体" w:cs="宋体"/>
                <w:color w:val="000000"/>
                <w:spacing w:val="-6"/>
              </w:rPr>
            </w:pPr>
            <w:r>
              <w:rPr>
                <w:rFonts w:hint="eastAsia" w:ascii="宋体" w:hAnsi="宋体" w:cs="宋体"/>
                <w:color w:val="000000"/>
                <w:spacing w:val="-6"/>
              </w:rPr>
              <w:t xml:space="preserve">主观分</w:t>
            </w:r>
            <w:r>
              <w:rPr>
                <w:rFonts w:ascii="宋体" w:hAnsi="宋体" w:cs="宋体"/>
                <w:color w:val="000000"/>
                <w:spacing w:val="-6"/>
              </w:rPr>
            </w:r>
            <w:r/>
          </w:p>
        </w:tc>
      </w:tr>
      <w:tr>
        <w:trPr>
          <w:trHeight w:val="455"/>
        </w:trPr>
        <w:tc>
          <w:tcPr>
            <w:gridSpan w:val="5"/>
            <w:tcW w:w="9575" w:type="dxa"/>
            <w:vAlign w:val="center"/>
            <w:textDirection w:val="lrTb"/>
            <w:noWrap w:val="false"/>
          </w:tcPr>
          <w:p>
            <w:pPr>
              <w:pStyle w:val="944"/>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1015"/>
        </w:trPr>
        <w:tc>
          <w:tcPr>
            <w:tcW w:w="519" w:type="dxa"/>
            <w:vAlign w:val="center"/>
            <w:textDirection w:val="lrTb"/>
            <w:noWrap w:val="false"/>
          </w:tcPr>
          <w:p>
            <w:pPr>
              <w:pStyle w:val="944"/>
              <w:jc w:val="center"/>
              <w:spacing w:before="68"/>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44"/>
              <w:spacing w:before="69"/>
              <w:rPr>
                <w:rFonts w:ascii="宋体" w:hAnsi="宋体" w:cs="宋体"/>
                <w:color w:val="000000"/>
                <w:spacing w:val="-2"/>
              </w:rPr>
            </w:pPr>
            <w:r>
              <w:rPr>
                <w:rFonts w:hint="eastAsia" w:ascii="宋体" w:hAnsi="宋体" w:cs="宋体"/>
                <w:color w:val="000000"/>
                <w:spacing w:val="-1"/>
              </w:rPr>
              <w:t xml:space="preserve">投标人</w:t>
            </w:r>
            <w:r>
              <w:rPr>
                <w:rFonts w:ascii="宋体" w:hAnsi="宋体" w:cs="宋体"/>
                <w:color w:val="000000"/>
                <w:spacing w:val="-1"/>
              </w:rPr>
              <w:t xml:space="preserve">业绩</w:t>
            </w:r>
            <w:r>
              <w:rPr>
                <w:rFonts w:ascii="宋体" w:hAnsi="宋体" w:cs="宋体"/>
                <w:color w:val="000000"/>
                <w:spacing w:val="-2"/>
              </w:rPr>
            </w:r>
            <w:r/>
          </w:p>
        </w:tc>
        <w:tc>
          <w:tcPr>
            <w:tcW w:w="6330" w:type="dxa"/>
            <w:vAlign w:val="center"/>
            <w:textDirection w:val="lrTb"/>
            <w:noWrap w:val="false"/>
          </w:tcPr>
          <w:p>
            <w:pPr>
              <w:jc w:val="left"/>
              <w:rPr>
                <w:rFonts w:ascii="宋体" w:hAnsi="宋体" w:cs="宋体"/>
                <w:color w:val="000000"/>
                <w14:ligatures w14:val="none"/>
              </w:rPr>
            </w:pPr>
            <w:r>
              <w:rPr>
                <w:rFonts w:ascii="宋体" w:hAnsi="宋体" w:cs="宋体"/>
                <w:color w:val="000000"/>
              </w:rPr>
              <w:t xml:space="preserve">投标人</w:t>
            </w:r>
            <w:r>
              <w:rPr>
                <w:rFonts w:ascii="宋体" w:hAnsi="宋体" w:cs="宋体"/>
                <w:color w:val="000000"/>
              </w:rPr>
              <w:t xml:space="preserve">提供自</w:t>
            </w:r>
            <w:r>
              <w:rPr>
                <w:rFonts w:ascii="宋体" w:hAnsi="宋体" w:cs="宋体"/>
                <w:color w:val="000000"/>
              </w:rPr>
              <w:t xml:space="preserve">20</w:t>
            </w:r>
            <w:r>
              <w:rPr>
                <w:rFonts w:ascii="宋体" w:hAnsi="宋体" w:cs="宋体"/>
                <w:color w:val="000000"/>
              </w:rPr>
              <w:t xml:space="preserve">21</w:t>
            </w:r>
            <w:r>
              <w:rPr>
                <w:rFonts w:ascii="宋体" w:hAnsi="宋体" w:cs="宋体"/>
                <w:color w:val="000000"/>
              </w:rPr>
              <w:t xml:space="preserve">年</w:t>
            </w:r>
            <w:r>
              <w:rPr>
                <w:rFonts w:ascii="宋体" w:hAnsi="宋体" w:cs="宋体"/>
                <w:color w:val="000000"/>
              </w:rPr>
              <w:t xml:space="preserve">1</w:t>
            </w:r>
            <w:r>
              <w:rPr>
                <w:rFonts w:ascii="宋体" w:hAnsi="宋体" w:cs="宋体"/>
                <w:color w:val="000000"/>
              </w:rPr>
              <w:t xml:space="preserve">月</w:t>
            </w:r>
            <w:r>
              <w:rPr>
                <w:rFonts w:ascii="宋体" w:hAnsi="宋体" w:cs="宋体"/>
                <w:color w:val="000000"/>
              </w:rPr>
              <w:t xml:space="preserve">1</w:t>
            </w:r>
            <w:r>
              <w:rPr>
                <w:rFonts w:ascii="宋体" w:hAnsi="宋体" w:cs="宋体"/>
                <w:color w:val="000000"/>
              </w:rPr>
              <w:t xml:space="preserve">日（含</w:t>
            </w:r>
            <w:r>
              <w:rPr>
                <w:rFonts w:ascii="宋体" w:hAnsi="宋体" w:cs="宋体"/>
                <w:color w:val="000000"/>
              </w:rPr>
              <w:t xml:space="preserve">，以合同签订日期为准</w:t>
            </w:r>
            <w:r>
              <w:rPr>
                <w:rFonts w:ascii="宋体" w:hAnsi="宋体" w:cs="宋体"/>
                <w:color w:val="000000"/>
              </w:rPr>
              <w:t xml:space="preserve">）以来</w:t>
            </w:r>
            <w:r>
              <w:rPr>
                <w:rFonts w:ascii="宋体" w:hAnsi="宋体" w:cs="宋体"/>
                <w:color w:val="000000"/>
              </w:rPr>
              <w:t xml:space="preserve">城市级、区域级智慧停车系统或静态交通系统采购项目（必须包含数据接入服务或平台对接功能）的</w:t>
            </w:r>
            <w:r>
              <w:rPr>
                <w:rFonts w:ascii="宋体" w:hAnsi="宋体" w:cs="宋体"/>
                <w:color w:val="000000"/>
              </w:rPr>
              <w:t xml:space="preserve">业绩，每提供</w:t>
            </w:r>
            <w:r>
              <w:rPr>
                <w:rFonts w:ascii="宋体" w:hAnsi="宋体" w:cs="宋体"/>
                <w:color w:val="000000"/>
              </w:rPr>
              <w:t xml:space="preserve">1</w:t>
            </w:r>
            <w:r>
              <w:rPr>
                <w:rFonts w:ascii="宋体" w:hAnsi="宋体" w:cs="宋体"/>
                <w:color w:val="000000"/>
              </w:rPr>
              <w:t xml:space="preserve">个得</w:t>
            </w:r>
            <w:r>
              <w:rPr>
                <w:rFonts w:ascii="宋体" w:hAnsi="宋体" w:cs="宋体"/>
                <w:color w:val="000000"/>
              </w:rPr>
              <w:t xml:space="preserve">1分，最多</w:t>
            </w:r>
            <w:r>
              <w:rPr>
                <w:rFonts w:ascii="宋体" w:hAnsi="宋体" w:cs="宋体"/>
                <w:color w:val="000000"/>
              </w:rPr>
              <w:t xml:space="preserve">得</w:t>
            </w:r>
            <w:r>
              <w:rPr>
                <w:rFonts w:ascii="宋体" w:hAnsi="宋体" w:cs="宋体"/>
                <w:color w:val="000000"/>
              </w:rPr>
              <w:t xml:space="preserve">2分，未提供不得分</w:t>
            </w:r>
            <w:r>
              <w:rPr>
                <w:rFonts w:ascii="宋体" w:hAnsi="宋体" w:cs="宋体"/>
                <w:color w:val="000000"/>
              </w:rPr>
              <w:t xml:space="preserve">。（</w:t>
            </w:r>
            <w:r>
              <w:rPr>
                <w:rFonts w:ascii="宋体" w:hAnsi="宋体" w:cs="宋体"/>
                <w:color w:val="000000"/>
              </w:rPr>
              <w:t xml:space="preserve">合同应能反映相关内容，提供中标通知书及合同，缺一不得分</w:t>
            </w:r>
            <w:r>
              <w:rPr>
                <w:rFonts w:ascii="宋体" w:hAnsi="宋体" w:cs="宋体"/>
                <w:color w:val="000000"/>
              </w:rPr>
              <w:t xml:space="preserve">）</w:t>
            </w:r>
            <w:r>
              <w:rPr>
                <w:rFonts w:ascii="宋体" w:hAnsi="宋体" w:cs="宋体"/>
                <w:color w:val="000000"/>
              </w:rPr>
            </w:r>
            <w:r/>
          </w:p>
        </w:tc>
        <w:tc>
          <w:tcPr>
            <w:tcW w:w="647" w:type="dxa"/>
            <w:vAlign w:val="center"/>
            <w:textDirection w:val="lrTb"/>
            <w:noWrap w:val="false"/>
          </w:tcPr>
          <w:p>
            <w:pPr>
              <w:pStyle w:val="944"/>
              <w:jc w:val="center"/>
              <w:rPr>
                <w:color w:val="000000"/>
              </w:rPr>
            </w:pPr>
            <w:r>
              <w:rPr>
                <w:rFonts w:hint="eastAsia" w:ascii="宋体" w:hAnsi="宋体" w:cs="宋体"/>
                <w:color w:val="000000"/>
              </w:rPr>
              <w:t xml:space="preserve">2</w:t>
            </w:r>
            <w:r>
              <w:rPr>
                <w:color w:val="000000"/>
              </w:rPr>
            </w:r>
            <w:r/>
          </w:p>
        </w:tc>
        <w:tc>
          <w:tcPr>
            <w:tcW w:w="900" w:type="dxa"/>
            <w:vAlign w:val="center"/>
            <w:textDirection w:val="lrTb"/>
            <w:noWrap w:val="false"/>
          </w:tcPr>
          <w:p>
            <w:pPr>
              <w:pStyle w:val="944"/>
              <w:jc w:val="center"/>
              <w:spacing w:before="68"/>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269"/>
        </w:trPr>
        <w:tc>
          <w:tcPr>
            <w:gridSpan w:val="5"/>
            <w:tcW w:w="9575" w:type="dxa"/>
            <w:vAlign w:val="top"/>
            <w:textDirection w:val="lrTb"/>
            <w:noWrap w:val="false"/>
          </w:tcPr>
          <w:p>
            <w:pPr>
              <w:pStyle w:val="944"/>
              <w:spacing w:before="123"/>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r>
      <w:tr>
        <w:trPr>
          <w:trHeight w:val="387"/>
        </w:trPr>
        <w:tc>
          <w:tcPr>
            <w:tcW w:w="519" w:type="dxa"/>
            <w:vAlign w:val="center"/>
            <w:textDirection w:val="lrTb"/>
            <w:noWrap w:val="false"/>
          </w:tcPr>
          <w:p>
            <w:pPr>
              <w:pStyle w:val="944"/>
              <w:jc w:val="center"/>
              <w:spacing w:before="68"/>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44"/>
              <w:rPr>
                <w:rFonts w:hint="eastAsia"/>
                <w:color w:val="000000"/>
              </w:rPr>
            </w:pPr>
            <w:r>
              <w:rPr>
                <w:rFonts w:hint="eastAsia"/>
                <w:color w:val="000000"/>
              </w:rPr>
              <w:t xml:space="preserve">实施人员能力</w:t>
            </w:r>
            <w:r>
              <w:rPr>
                <w:rFonts w:hint="eastAsia"/>
                <w:color w:val="000000"/>
              </w:rPr>
            </w:r>
            <w:r/>
          </w:p>
        </w:tc>
        <w:tc>
          <w:tcPr>
            <w:tcW w:w="6330" w:type="dxa"/>
            <w:vAlign w:val="center"/>
            <w:textDirection w:val="lrTb"/>
            <w:noWrap w:val="false"/>
          </w:tcPr>
          <w:p>
            <w:pPr>
              <w:jc w:val="left"/>
              <w:rPr>
                <w:rFonts w:ascii="宋体" w:hAnsi="宋体" w:cs="宋体"/>
                <w:color w:val="000000"/>
                <w:lang w:val="en-US" w:eastAsia="zh-CN"/>
                <w14:ligatures w14:val="none"/>
              </w:rPr>
            </w:pPr>
            <w:r>
              <w:rPr>
                <w:rFonts w:ascii="宋体" w:hAnsi="宋体" w:cs="宋体"/>
                <w:color w:val="000000"/>
                <w:lang w:val="en-US" w:eastAsia="zh-CN"/>
              </w:rPr>
              <w:t xml:space="preserve">1、投标人拟投入本项目的项目经理具有电子信息专业高级工程师及以上职称证书得2分（提供本人职称证书，如已实行电子证书，可提供网上打印的彩色材料，但必须注明</w:t>
            </w:r>
            <w:r>
              <w:rPr>
                <w:rFonts w:ascii="宋体" w:hAnsi="宋体" w:cs="宋体"/>
                <w:color w:val="000000"/>
                <w:lang w:val="en-US" w:eastAsia="zh-CN"/>
              </w:rPr>
              <w:t xml:space="preserve">可</w:t>
            </w:r>
            <w:r>
              <w:rPr>
                <w:rFonts w:ascii="宋体" w:hAnsi="宋体" w:cs="宋体"/>
                <w:color w:val="000000"/>
                <w:lang w:val="en-US" w:eastAsia="zh-CN"/>
              </w:rPr>
              <w:t xml:space="preserve">查询的网址及查询方式）。</w:t>
            </w:r>
            <w:r>
              <w:rPr>
                <w:rFonts w:ascii="宋体" w:hAnsi="宋体" w:cs="宋体"/>
                <w:color w:val="000000"/>
                <w:lang w:val="en-US" w:eastAsia="zh-CN"/>
              </w:rPr>
            </w:r>
            <w:r/>
          </w:p>
          <w:p>
            <w:pPr>
              <w:jc w:val="left"/>
              <w:rPr>
                <w:rFonts w:ascii="宋体" w:hAnsi="宋体" w:cs="宋体"/>
                <w:color w:val="000000"/>
                <w:lang w:val="en-US" w:eastAsia="zh-CN"/>
                <w14:ligatures w14:val="none"/>
              </w:rPr>
            </w:pPr>
            <w:r>
              <w:rPr>
                <w:rFonts w:ascii="宋体" w:hAnsi="宋体" w:cs="宋体"/>
                <w:color w:val="000000"/>
                <w:lang w:val="en-US" w:eastAsia="zh-CN"/>
              </w:rPr>
              <w:t xml:space="preserve">2、投标人拟投入本项目的技术团队人员（项目经理除外）有</w:t>
            </w:r>
            <w:r>
              <w:rPr>
                <w:rFonts w:ascii="宋体" w:hAnsi="宋体" w:cs="宋体"/>
                <w:color w:val="000000"/>
                <w:lang w:val="en-US" w:eastAsia="zh-CN"/>
              </w:rPr>
              <w:t xml:space="preserve">参与类似智慧停车或静态交通系统服务项目经验</w:t>
            </w:r>
            <w:r>
              <w:rPr>
                <w:rFonts w:ascii="宋体" w:hAnsi="宋体" w:cs="宋体"/>
                <w:color w:val="000000"/>
                <w:lang w:val="en-US" w:eastAsia="zh-CN"/>
              </w:rPr>
              <w:t xml:space="preserve">，每提供1人得1分，最多得3分（提供类似项目的合同或甲方证明）。</w:t>
            </w:r>
            <w:r>
              <w:rPr>
                <w:rFonts w:ascii="宋体" w:hAnsi="宋体" w:cs="宋体"/>
                <w:color w:val="000000"/>
                <w:lang w:val="en-US" w:eastAsia="zh-CN"/>
              </w:rPr>
            </w:r>
            <w:r/>
          </w:p>
          <w:p>
            <w:pPr>
              <w:jc w:val="left"/>
              <w:rPr>
                <w:rFonts w:ascii="宋体" w:hAnsi="宋体" w:cs="宋体"/>
                <w:color w:val="000000"/>
                <w:lang w:val="en-US" w:eastAsia="zh-CN"/>
                <w14:ligatures w14:val="none"/>
              </w:rPr>
            </w:pPr>
            <w:r>
              <w:rPr>
                <w:rFonts w:ascii="宋体" w:hAnsi="宋体" w:cs="宋体"/>
                <w:color w:val="000000"/>
                <w:lang w:val="en-US" w:eastAsia="zh-CN"/>
              </w:rPr>
              <w:t xml:space="preserve">本项最多</w:t>
            </w:r>
            <w:r>
              <w:rPr>
                <w:rFonts w:ascii="宋体" w:hAnsi="宋体" w:cs="宋体"/>
                <w:color w:val="000000"/>
                <w:lang w:val="en-US" w:eastAsia="zh-CN"/>
              </w:rPr>
              <w:t xml:space="preserve">得</w:t>
            </w:r>
            <w:r>
              <w:rPr>
                <w:rFonts w:ascii="宋体" w:hAnsi="宋体" w:cs="宋体"/>
                <w:color w:val="000000"/>
                <w:lang w:val="en-US" w:eastAsia="zh-CN"/>
              </w:rPr>
              <w:t xml:space="preserve">5分。</w:t>
            </w:r>
            <w:r>
              <w:rPr>
                <w:rFonts w:ascii="宋体" w:hAnsi="宋体" w:cs="宋体"/>
                <w:color w:val="000000"/>
                <w:lang w:val="en-US" w:eastAsia="zh-CN"/>
              </w:rPr>
            </w:r>
            <w:r/>
          </w:p>
          <w:p>
            <w:pPr>
              <w:jc w:val="left"/>
              <w:rPr>
                <w:rFonts w:ascii="宋体" w:hAnsi="宋体" w:cs="宋体"/>
                <w:color w:val="000000"/>
                <w:lang w:val="en-US" w:eastAsia="zh-CN"/>
                <w14:ligatures w14:val="none"/>
              </w:rPr>
            </w:pPr>
            <w:r>
              <w:rPr>
                <w:rFonts w:ascii="宋体" w:hAnsi="宋体" w:cs="宋体"/>
                <w:color w:val="000000"/>
                <w:lang w:val="en-US" w:eastAsia="zh-CN"/>
              </w:rPr>
              <w:t xml:space="preserve">提供上述证明材料及投标人为其缴纳的2024年1月以来中任意1个月的社保证明。</w:t>
            </w:r>
            <w:r>
              <w:rPr>
                <w:rFonts w:ascii="宋体" w:hAnsi="宋体" w:cs="宋体"/>
                <w:color w:val="000000"/>
                <w:lang w:val="en-US" w:eastAsia="zh-CN"/>
              </w:rPr>
            </w:r>
            <w:r/>
          </w:p>
        </w:tc>
        <w:tc>
          <w:tcPr>
            <w:tcW w:w="647" w:type="dxa"/>
            <w:vAlign w:val="center"/>
            <w:textDirection w:val="lrTb"/>
            <w:noWrap w:val="false"/>
          </w:tcPr>
          <w:p>
            <w:pPr>
              <w:pStyle w:val="944"/>
              <w:jc w:val="center"/>
              <w:spacing w:before="68"/>
              <w:rPr>
                <w:rFonts w:ascii="宋体" w:hAnsi="宋体" w:cs="宋体"/>
                <w:color w:val="000000"/>
                <w:szCs w:val="22"/>
              </w:rPr>
            </w:pPr>
            <w:r>
              <w:rPr>
                <w:rFonts w:ascii="宋体" w:hAnsi="宋体" w:cs="宋体"/>
                <w:color w:val="000000"/>
              </w:rPr>
              <w:t xml:space="preserve">5</w:t>
            </w:r>
            <w:r>
              <w:rPr>
                <w:rFonts w:ascii="宋体" w:hAnsi="宋体" w:cs="宋体"/>
                <w:color w:val="000000"/>
                <w:szCs w:val="22"/>
              </w:rPr>
            </w:r>
            <w:r/>
          </w:p>
        </w:tc>
        <w:tc>
          <w:tcPr>
            <w:tcW w:w="900" w:type="dxa"/>
            <w:vAlign w:val="center"/>
            <w:textDirection w:val="lrTb"/>
            <w:noWrap w:val="false"/>
          </w:tcPr>
          <w:p>
            <w:pPr>
              <w:pStyle w:val="944"/>
              <w:jc w:val="center"/>
              <w:spacing w:before="68"/>
              <w:rPr>
                <w:rFonts w:ascii="宋体" w:hAnsi="宋体" w:cs="宋体"/>
                <w:color w:val="000000"/>
                <w:spacing w:val="-6"/>
              </w:rPr>
            </w:pPr>
            <w:r>
              <w:rPr>
                <w:rFonts w:hint="eastAsia" w:ascii="宋体" w:hAnsi="宋体" w:cs="宋体"/>
                <w:color w:val="000000"/>
                <w:spacing w:val="-6"/>
              </w:rPr>
              <w:t xml:space="preserve">客</w:t>
            </w:r>
            <w:r>
              <w:rPr>
                <w:rFonts w:ascii="宋体" w:hAnsi="宋体" w:cs="宋体"/>
                <w:color w:val="000000"/>
                <w:spacing w:val="-6"/>
              </w:rPr>
              <w:t xml:space="preserve">观分</w:t>
            </w:r>
            <w:r>
              <w:rPr>
                <w:rFonts w:ascii="宋体" w:hAnsi="宋体" w:cs="宋体"/>
                <w:color w:val="000000"/>
                <w:spacing w:val="-6"/>
              </w:rPr>
            </w:r>
            <w:r/>
          </w:p>
        </w:tc>
      </w:tr>
      <w:tr>
        <w:trPr>
          <w:trHeight w:val="383"/>
        </w:trPr>
        <w:tc>
          <w:tcPr>
            <w:tcW w:w="519" w:type="dxa"/>
            <w:vAlign w:val="center"/>
            <w:textDirection w:val="lrTb"/>
            <w:noWrap w:val="false"/>
          </w:tcPr>
          <w:p>
            <w:pPr>
              <w:pStyle w:val="944"/>
              <w:jc w:val="center"/>
              <w:spacing w:before="68"/>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944"/>
              <w:rPr>
                <w:color w:val="000000"/>
              </w:rPr>
            </w:pPr>
            <w:r>
              <w:rPr>
                <w:rFonts w:hint="eastAsia"/>
                <w:color w:val="000000"/>
              </w:rPr>
              <w:t xml:space="preserve">软件著作权证书</w:t>
            </w:r>
            <w:r>
              <w:rPr>
                <w:color w:val="000000"/>
              </w:rPr>
            </w:r>
            <w:r/>
          </w:p>
        </w:tc>
        <w:tc>
          <w:tcPr>
            <w:tcW w:w="6330" w:type="dxa"/>
            <w:vAlign w:val="center"/>
            <w:textDirection w:val="lrTb"/>
            <w:noWrap w:val="false"/>
          </w:tcPr>
          <w:p>
            <w:pPr>
              <w:jc w:val="left"/>
              <w:rPr>
                <w:rFonts w:ascii="宋体" w:hAnsi="宋体" w:cs="宋体"/>
                <w:color w:val="000000"/>
                <w:lang w:val="en-US" w:eastAsia="zh-CN"/>
                <w14:ligatures w14:val="none"/>
              </w:rPr>
            </w:pPr>
            <w:r>
              <w:rPr>
                <w:rFonts w:ascii="宋体" w:hAnsi="宋体" w:cs="宋体"/>
                <w:color w:val="000000"/>
                <w:lang w:val="en-US" w:eastAsia="zh-CN"/>
              </w:rPr>
              <w:t xml:space="preserve">投标人</w:t>
            </w:r>
            <w:r>
              <w:rPr>
                <w:rFonts w:ascii="宋体" w:hAnsi="宋体" w:cs="宋体"/>
                <w:color w:val="000000"/>
                <w:lang w:val="en-US" w:eastAsia="zh-CN"/>
              </w:rPr>
              <w:t xml:space="preserve">拟支撑本项目服务的相关产品</w:t>
            </w:r>
            <w:r>
              <w:rPr>
                <w:rFonts w:ascii="宋体" w:hAnsi="宋体" w:cs="宋体"/>
                <w:color w:val="000000"/>
                <w:lang w:val="en-US" w:eastAsia="zh-CN"/>
              </w:rPr>
              <w:t xml:space="preserve">具有软件著作权证书（证书包含关键字：“共享停车”、“公共备案停车场”、“备案车场监管”等相关字样），每提供一个得2分，最多得8分，未提供不得分。</w:t>
            </w:r>
            <w:r>
              <w:rPr>
                <w:rFonts w:ascii="宋体" w:hAnsi="宋体" w:cs="宋体"/>
                <w:color w:val="000000"/>
                <w:lang w:val="en-US" w:eastAsia="zh-CN"/>
              </w:rPr>
            </w:r>
            <w:r/>
          </w:p>
          <w:p>
            <w:pPr>
              <w:jc w:val="left"/>
              <w:rPr>
                <w:rFonts w:ascii="宋体" w:hAnsi="宋体" w:cs="宋体"/>
                <w:color w:val="000000"/>
                <w:lang w:val="en-US" w:eastAsia="zh-CN"/>
                <w14:ligatures w14:val="none"/>
              </w:rPr>
            </w:pPr>
            <w:r>
              <w:rPr>
                <w:rFonts w:ascii="宋体" w:hAnsi="宋体" w:cs="宋体"/>
                <w:color w:val="000000"/>
                <w:lang w:val="en-US" w:eastAsia="zh-CN"/>
              </w:rPr>
              <w:t xml:space="preserve">（所提供证书</w:t>
            </w:r>
            <w:r>
              <w:rPr>
                <w:rFonts w:ascii="宋体" w:hAnsi="宋体" w:cs="宋体"/>
                <w:color w:val="000000"/>
                <w:lang w:val="en-US" w:eastAsia="zh-CN"/>
              </w:rPr>
              <w:t xml:space="preserve">“</w:t>
            </w:r>
            <w:r>
              <w:rPr>
                <w:rFonts w:ascii="宋体" w:hAnsi="宋体" w:cs="宋体"/>
                <w:color w:val="000000"/>
                <w:lang w:val="en-US" w:eastAsia="zh-CN"/>
              </w:rPr>
              <w:t xml:space="preserve">软件名称</w:t>
            </w:r>
            <w:r>
              <w:rPr>
                <w:rFonts w:ascii="宋体" w:hAnsi="宋体" w:cs="宋体"/>
                <w:color w:val="000000"/>
                <w:lang w:val="en-US" w:eastAsia="zh-CN"/>
              </w:rPr>
              <w:t xml:space="preserve">”</w:t>
            </w:r>
            <w:r>
              <w:rPr>
                <w:rFonts w:ascii="宋体" w:hAnsi="宋体" w:cs="宋体"/>
                <w:color w:val="000000"/>
                <w:lang w:val="en-US" w:eastAsia="zh-CN"/>
              </w:rPr>
              <w:t xml:space="preserve">与评分细则规定不同时，应提供符合上述要求的内容（功能）说明及关键信息，否则不予认可。）</w:t>
            </w:r>
            <w:r>
              <w:rPr>
                <w:rFonts w:ascii="宋体" w:hAnsi="宋体" w:cs="宋体"/>
                <w:color w:val="000000"/>
                <w:lang w:val="en-US" w:eastAsia="zh-CN"/>
              </w:rPr>
            </w:r>
            <w:r/>
          </w:p>
        </w:tc>
        <w:tc>
          <w:tcPr>
            <w:tcW w:w="647" w:type="dxa"/>
            <w:vAlign w:val="center"/>
            <w:textDirection w:val="lrTb"/>
            <w:noWrap w:val="false"/>
          </w:tcPr>
          <w:p>
            <w:pPr>
              <w:pStyle w:val="944"/>
              <w:jc w:val="center"/>
              <w:spacing w:before="68"/>
              <w:rPr>
                <w:rFonts w:ascii="宋体" w:hAnsi="宋体" w:cs="宋体"/>
                <w:color w:val="000000"/>
                <w:szCs w:val="22"/>
              </w:rPr>
            </w:pPr>
            <w:r>
              <w:rPr>
                <w:rFonts w:hint="eastAsia" w:ascii="宋体" w:hAnsi="宋体" w:cs="宋体"/>
                <w:color w:val="000000"/>
              </w:rPr>
              <w:t xml:space="preserve">8</w:t>
            </w:r>
            <w:r>
              <w:rPr>
                <w:rFonts w:ascii="宋体" w:hAnsi="宋体" w:cs="宋体"/>
                <w:color w:val="000000"/>
                <w:szCs w:val="22"/>
              </w:rPr>
            </w:r>
            <w:r/>
          </w:p>
        </w:tc>
        <w:tc>
          <w:tcPr>
            <w:tcW w:w="900" w:type="dxa"/>
            <w:vAlign w:val="center"/>
            <w:textDirection w:val="lrTb"/>
            <w:noWrap w:val="false"/>
          </w:tcPr>
          <w:p>
            <w:pPr>
              <w:pStyle w:val="944"/>
              <w:jc w:val="center"/>
              <w:spacing w:before="68"/>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464"/>
        </w:trPr>
        <w:tc>
          <w:tcPr>
            <w:tcW w:w="519" w:type="dxa"/>
            <w:vAlign w:val="center"/>
            <w:textDirection w:val="lrTb"/>
            <w:noWrap w:val="false"/>
          </w:tcPr>
          <w:p>
            <w:pPr>
              <w:pStyle w:val="944"/>
              <w:jc w:val="center"/>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944"/>
              <w:ind w:left="172"/>
              <w:jc w:val="center"/>
              <w:spacing w:before="123"/>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944"/>
              <w:jc w:val="center"/>
              <w:rPr>
                <w:color w:val="000000"/>
              </w:rPr>
            </w:pPr>
            <w:r>
              <w:rPr>
                <w:rFonts w:ascii="宋体" w:hAnsi="宋体" w:cs="宋体"/>
                <w:color w:val="000000"/>
                <w:spacing w:val="-11"/>
              </w:rPr>
              <w:t xml:space="preserve">100分</w:t>
            </w:r>
            <w:r>
              <w:rPr>
                <w:color w:val="000000"/>
              </w:rPr>
            </w:r>
            <w:r/>
          </w:p>
        </w:tc>
      </w:tr>
    </w:tbl>
    <w:p>
      <w:pPr>
        <w:pStyle w:val="944"/>
        <w:keepLines w:val="0"/>
        <w:keepNext w:val="0"/>
        <w:pageBreakBefore w:val="0"/>
        <w:spacing w:line="288" w:lineRule="auto"/>
        <w:widowControl w:val="off"/>
        <w:rPr>
          <w:rFonts w:hint="eastAsia"/>
          <w:color w:val="000000"/>
        </w:rPr>
      </w:pPr>
      <w:r>
        <w:rPr>
          <w:rFonts w:hint="eastAsia"/>
          <w:color w:val="000000"/>
        </w:rPr>
      </w:r>
      <w:r/>
    </w:p>
    <w:p>
      <w:pPr>
        <w:pStyle w:val="944"/>
        <w:keepLines w:val="0"/>
        <w:keepNext w:val="0"/>
        <w:pageBreakBefore w:val="0"/>
        <w:spacing w:line="288" w:lineRule="auto"/>
        <w:widowControl w:val="off"/>
        <w:rPr>
          <w:rFonts w:hint="eastAsia"/>
          <w:color w:val="000000"/>
        </w:rPr>
      </w:pPr>
      <w:r>
        <w:rPr>
          <w:rFonts w:hint="eastAsia"/>
          <w:color w:val="000000"/>
        </w:rPr>
      </w:r>
      <w:r/>
    </w:p>
    <w:p>
      <w:pPr>
        <w:pStyle w:val="944"/>
        <w:keepLines w:val="0"/>
        <w:keepNext w:val="0"/>
        <w:pageBreakBefore w:val="0"/>
        <w:spacing w:line="288" w:lineRule="auto"/>
        <w:widowControl w:val="off"/>
        <w:rPr>
          <w:rFonts w:hint="eastAsia"/>
          <w:color w:val="000000"/>
        </w:rPr>
      </w:pPr>
      <w:r>
        <w:rPr>
          <w:rFonts w:hint="eastAsia"/>
          <w:color w:val="000000"/>
        </w:rPr>
      </w:r>
      <w:r/>
    </w:p>
    <w:p>
      <w:pPr>
        <w:pStyle w:val="944"/>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56"/>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44"/>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44"/>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投标</w:t>
      </w:r>
      <w:bookmarkEnd w:id="189"/>
      <w:r/>
      <w:bookmarkEnd w:id="190"/>
      <w:r/>
      <w:bookmarkEnd w:id="191"/>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944"/>
        <w:jc w:val="center"/>
        <w:rPr>
          <w:rFonts w:hint="eastAsia" w:ascii="宋体" w:hAnsi="宋体"/>
          <w:b/>
          <w:color w:val="000000"/>
          <w:sz w:val="72"/>
        </w:rPr>
      </w:pPr>
      <w:r/>
      <w:bookmarkStart w:id="192" w:name="_Toc49090576"/>
      <w:r/>
      <w:bookmarkStart w:id="193" w:name="_Toc120614282"/>
      <w:r/>
      <w:bookmarkStart w:id="194" w:name="_Toc26554094"/>
      <w:r/>
      <w:bookmarkStart w:id="195" w:name="_Hlt26955039"/>
      <w:r/>
      <w:bookmarkEnd w:id="195"/>
      <w:r/>
      <w:bookmarkStart w:id="196" w:name="_Hlt26671244"/>
      <w:r/>
      <w:bookmarkEnd w:id="196"/>
      <w:r>
        <w:rPr>
          <w:rFonts w:hint="eastAsia" w:ascii="宋体" w:hAnsi="宋体"/>
          <w:b/>
          <w:color w:val="000000"/>
          <w:sz w:val="72"/>
        </w:rPr>
      </w:r>
      <w:r/>
    </w:p>
    <w:p>
      <w:pPr>
        <w:pStyle w:val="944"/>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44"/>
        <w:jc w:val="center"/>
        <w:rPr>
          <w:rFonts w:hint="eastAsia" w:ascii="宋体" w:hAnsi="宋体"/>
          <w:b/>
          <w:color w:val="000000"/>
          <w:sz w:val="72"/>
        </w:rPr>
      </w:pPr>
      <w:r>
        <w:rPr>
          <w:rFonts w:hint="eastAsia" w:ascii="宋体" w:hAnsi="宋体"/>
          <w:b/>
          <w:color w:val="000000"/>
          <w:sz w:val="72"/>
        </w:rPr>
      </w:r>
      <w:r/>
    </w:p>
    <w:p>
      <w:pPr>
        <w:pStyle w:val="944"/>
        <w:jc w:val="center"/>
        <w:rPr>
          <w:rFonts w:hint="eastAsia" w:ascii="宋体" w:hAnsi="宋体"/>
          <w:b/>
          <w:color w:val="000000"/>
          <w:sz w:val="72"/>
        </w:rPr>
      </w:pPr>
      <w:r>
        <w:rPr>
          <w:rFonts w:hint="eastAsia" w:ascii="宋体" w:hAnsi="宋体"/>
          <w:b/>
          <w:color w:val="000000"/>
          <w:sz w:val="72"/>
        </w:rPr>
      </w:r>
      <w:r/>
    </w:p>
    <w:p>
      <w:pPr>
        <w:pStyle w:val="944"/>
        <w:jc w:val="center"/>
        <w:rPr>
          <w:rFonts w:hint="eastAsia" w:ascii="宋体" w:hAnsi="宋体"/>
          <w:b/>
          <w:color w:val="000000"/>
          <w:sz w:val="36"/>
        </w:rPr>
      </w:pPr>
      <w:r>
        <w:rPr>
          <w:rFonts w:hint="eastAsia" w:ascii="宋体" w:hAnsi="宋体"/>
          <w:b/>
          <w:color w:val="000000"/>
          <w:sz w:val="36"/>
        </w:rPr>
      </w:r>
      <w:r/>
    </w:p>
    <w:p>
      <w:pPr>
        <w:pStyle w:val="944"/>
        <w:jc w:val="center"/>
        <w:rPr>
          <w:rFonts w:hint="eastAsia" w:ascii="宋体" w:hAnsi="宋体"/>
          <w:b/>
          <w:color w:val="000000"/>
          <w:sz w:val="36"/>
        </w:rPr>
      </w:pPr>
      <w:r>
        <w:rPr>
          <w:rFonts w:hint="eastAsia" w:ascii="宋体" w:hAnsi="宋体"/>
          <w:b/>
          <w:color w:val="000000"/>
          <w:sz w:val="36"/>
        </w:rPr>
      </w:r>
      <w:r/>
    </w:p>
    <w:p>
      <w:pPr>
        <w:pStyle w:val="944"/>
        <w:jc w:val="center"/>
        <w:rPr>
          <w:rFonts w:hint="eastAsia" w:ascii="宋体" w:hAnsi="宋体"/>
          <w:b/>
          <w:color w:val="000000"/>
          <w:sz w:val="36"/>
        </w:rPr>
      </w:pPr>
      <w:r>
        <w:rPr>
          <w:rFonts w:hint="eastAsia" w:ascii="宋体" w:hAnsi="宋体"/>
          <w:b/>
          <w:color w:val="000000"/>
          <w:sz w:val="36"/>
        </w:rPr>
      </w:r>
      <w:r/>
    </w:p>
    <w:p>
      <w:pPr>
        <w:pStyle w:val="944"/>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944"/>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944"/>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944"/>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94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4"/>
        <w:spacing w:line="440" w:lineRule="exact"/>
        <w:rPr>
          <w:rFonts w:ascii="宋体" w:hAnsi="宋体"/>
          <w:color w:val="000000"/>
        </w:rPr>
      </w:pPr>
      <w:r>
        <w:rPr>
          <w:rFonts w:ascii="宋体" w:hAnsi="宋体"/>
          <w:color w:val="000000"/>
        </w:rPr>
      </w:r>
      <w:r/>
    </w:p>
    <w:p>
      <w:pPr>
        <w:pStyle w:val="944"/>
        <w:jc w:val="center"/>
        <w:rPr>
          <w:rFonts w:hint="eastAsia" w:ascii="宋体" w:hAnsi="宋体"/>
          <w:b/>
          <w:bCs/>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color w:val="000000"/>
          <w:sz w:val="32"/>
          <w:szCs w:val="32"/>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六、投标分项报价表（如有）</w:t>
      </w:r>
      <w:r>
        <w:rPr>
          <w:rFonts w:hint="eastAsia" w:ascii="宋体" w:hAnsi="宋体" w:eastAsia="宋体" w:cs="宋体"/>
          <w:b w:val="0"/>
          <w:bCs w:val="0"/>
          <w:i w:val="0"/>
          <w:color w:val="000000"/>
          <w:sz w:val="28"/>
          <w:szCs w:val="28"/>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rPr>
          <w:rFonts w:hint="eastAsia" w:ascii="宋体" w:hAnsi="宋体" w:eastAsia="宋体" w:cs="宋体"/>
          <w:b w:val="0"/>
          <w:bCs w:val="0"/>
          <w:i w:val="0"/>
          <w:color w:val="000000"/>
          <w:sz w:val="28"/>
          <w:szCs w:val="28"/>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rPr>
          <w:rFonts w:hint="eastAsia" w:ascii="宋体" w:hAnsi="宋体" w:eastAsia="宋体" w:cs="宋体"/>
          <w:b w:val="0"/>
          <w:bCs w:val="0"/>
          <w:i w:val="0"/>
          <w:color w:val="000000"/>
          <w:sz w:val="28"/>
          <w:szCs w:val="28"/>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九、中小企业声明函</w:t>
      </w:r>
      <w:r>
        <w:rPr>
          <w:rFonts w:hint="eastAsia" w:ascii="宋体" w:hAnsi="宋体" w:eastAsia="宋体" w:cs="宋体"/>
          <w:b w:val="0"/>
          <w:bCs w:val="0"/>
          <w:i w:val="0"/>
          <w:color w:val="000000"/>
          <w:sz w:val="28"/>
          <w:szCs w:val="28"/>
          <w:u w:val="none"/>
          <w:lang w:val="en-US" w:eastAsia="zh-CN"/>
        </w:rPr>
      </w:r>
      <w:r/>
    </w:p>
    <w:p>
      <w:pPr>
        <w:pStyle w:val="944"/>
        <w:ind w:firstLine="560"/>
        <w:keepLines w:val="0"/>
        <w:keepNext w:val="0"/>
        <w:pageBreakBefore w:val="0"/>
        <w:spacing w:line="600" w:lineRule="exact"/>
        <w:widowControl w:val="off"/>
        <w:rPr>
          <w:rFonts w:ascii="宋体" w:hAnsi="宋体"/>
          <w:color w:val="000000"/>
          <w:sz w:val="24"/>
        </w:rPr>
      </w:pPr>
      <w:r>
        <w:rPr>
          <w:rFonts w:hint="eastAsia" w:ascii="宋体" w:hAnsi="宋体" w:eastAsia="宋体" w:cs="宋体"/>
          <w:b w:val="0"/>
          <w:bCs w:val="0"/>
          <w:i w:val="0"/>
          <w:color w:val="000000"/>
          <w:sz w:val="28"/>
          <w:szCs w:val="28"/>
          <w:u w:val="none"/>
          <w:lang w:val="en-US" w:eastAsia="zh-CN"/>
        </w:rPr>
        <w:t xml:space="preserve">十、残疾人福利性单位声明函（如有）</w:t>
      </w:r>
      <w:r>
        <w:rPr>
          <w:rFonts w:ascii="宋体" w:hAnsi="宋体"/>
          <w:color w:val="000000"/>
          <w:sz w:val="24"/>
        </w:rPr>
      </w:r>
      <w:r/>
    </w:p>
    <w:p>
      <w:pPr>
        <w:pStyle w:val="944"/>
        <w:ind w:firstLine="480"/>
        <w:spacing w:line="440" w:lineRule="exact"/>
        <w:rPr>
          <w:rFonts w:ascii="宋体" w:hAnsi="宋体"/>
          <w:color w:val="000000"/>
          <w:sz w:val="24"/>
        </w:rPr>
      </w:pPr>
      <w:r>
        <w:rPr>
          <w:rFonts w:ascii="宋体" w:hAnsi="宋体"/>
          <w:color w:val="000000"/>
          <w:sz w:val="24"/>
        </w:rPr>
      </w:r>
      <w:r/>
    </w:p>
    <w:p>
      <w:pPr>
        <w:pStyle w:val="1022"/>
        <w:rPr>
          <w:rFonts w:ascii="宋体" w:hAnsi="宋体"/>
          <w:color w:val="000000"/>
          <w:sz w:val="24"/>
        </w:rPr>
      </w:pPr>
      <w:r>
        <w:rPr>
          <w:rFonts w:ascii="宋体" w:hAnsi="宋体"/>
          <w:color w:val="000000"/>
          <w:sz w:val="24"/>
        </w:rPr>
      </w:r>
      <w:r/>
    </w:p>
    <w:p>
      <w:pPr>
        <w:pStyle w:val="1022"/>
        <w:rPr>
          <w:rFonts w:ascii="宋体" w:hAnsi="宋体"/>
          <w:color w:val="000000"/>
          <w:sz w:val="24"/>
        </w:rPr>
      </w:pPr>
      <w:r>
        <w:rPr>
          <w:rFonts w:ascii="宋体" w:hAnsi="宋体"/>
          <w:color w:val="000000"/>
          <w:sz w:val="24"/>
        </w:rPr>
      </w:r>
      <w:r/>
    </w:p>
    <w:p>
      <w:pPr>
        <w:pStyle w:val="1022"/>
        <w:rPr>
          <w:rFonts w:ascii="宋体" w:hAnsi="宋体"/>
          <w:color w:val="000000"/>
          <w:sz w:val="24"/>
        </w:rPr>
      </w:pPr>
      <w:r>
        <w:rPr>
          <w:rFonts w:ascii="宋体" w:hAnsi="宋体"/>
          <w:color w:val="000000"/>
          <w:sz w:val="24"/>
        </w:rPr>
      </w:r>
      <w:r/>
    </w:p>
    <w:p>
      <w:pPr>
        <w:pStyle w:val="1022"/>
        <w:rPr>
          <w:rFonts w:ascii="宋体" w:hAnsi="宋体"/>
          <w:color w:val="000000"/>
          <w:sz w:val="24"/>
        </w:rPr>
      </w:pPr>
      <w:r>
        <w:rPr>
          <w:rFonts w:ascii="宋体" w:hAnsi="宋体"/>
          <w:color w:val="000000"/>
          <w:sz w:val="24"/>
        </w:rPr>
      </w:r>
      <w:r/>
    </w:p>
    <w:p>
      <w:pPr>
        <w:pStyle w:val="1022"/>
        <w:rPr>
          <w:rFonts w:ascii="宋体" w:hAnsi="宋体"/>
          <w:color w:val="000000"/>
          <w:sz w:val="24"/>
        </w:rPr>
      </w:pPr>
      <w:r>
        <w:rPr>
          <w:rFonts w:ascii="宋体" w:hAnsi="宋体"/>
          <w:color w:val="000000"/>
          <w:sz w:val="24"/>
        </w:rPr>
      </w:r>
      <w:r/>
    </w:p>
    <w:p>
      <w:pPr>
        <w:pStyle w:val="944"/>
        <w:ind w:firstLine="480"/>
        <w:spacing w:line="440" w:lineRule="exact"/>
        <w:rPr>
          <w:rFonts w:ascii="宋体" w:hAnsi="宋体"/>
          <w:color w:val="000000"/>
          <w:sz w:val="24"/>
        </w:rPr>
      </w:pPr>
      <w:r>
        <w:rPr>
          <w:rFonts w:ascii="宋体" w:hAnsi="宋体"/>
          <w:color w:val="000000"/>
          <w:sz w:val="24"/>
        </w:rPr>
      </w:r>
      <w:r/>
    </w:p>
    <w:p>
      <w:pPr>
        <w:pStyle w:val="944"/>
        <w:rPr>
          <w:rFonts w:hint="eastAsia" w:ascii="黑体" w:hAnsi="黑体" w:eastAsia="黑体" w:cs="Times New Roman"/>
          <w:i/>
          <w:color w:val="000000"/>
          <w:sz w:val="32"/>
          <w:szCs w:val="32"/>
          <w:u w:val="single"/>
          <w:lang w:val="en-US" w:eastAsia="zh-CN"/>
        </w:rPr>
      </w:pPr>
      <w:r/>
      <w:bookmarkEnd w:id="192"/>
      <w:r/>
      <w:bookmarkEnd w:id="193"/>
      <w:r/>
      <w:bookmarkEnd w:id="194"/>
      <w:r/>
      <w:bookmarkStart w:id="197" w:name="_Toc120614284"/>
      <w:r>
        <w:rPr>
          <w:rFonts w:hint="eastAsia" w:ascii="黑体" w:hAnsi="黑体" w:eastAsia="黑体" w:cs="Times New Roman"/>
          <w:i/>
          <w:color w:val="000000"/>
          <w:sz w:val="32"/>
          <w:szCs w:val="32"/>
          <w:u w:val="single"/>
          <w:lang w:val="en-US" w:eastAsia="zh-CN"/>
        </w:rPr>
      </w:r>
      <w:r/>
    </w:p>
    <w:p>
      <w:pPr>
        <w:pStyle w:val="944"/>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44"/>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4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5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rPr>
          <w:rFonts w:hint="eastAsia" w:ascii="黑体" w:hAnsi="黑体" w:eastAsia="黑体" w:cs="Times New Roman"/>
          <w:i w:val="0"/>
          <w:color w:val="000000"/>
          <w:sz w:val="32"/>
          <w:szCs w:val="32"/>
          <w:u w:val="none"/>
          <w:lang w:val="en-US" w:eastAsia="zh-CN"/>
        </w:rPr>
      </w:r>
      <w:r/>
    </w:p>
    <w:p>
      <w:pPr>
        <w:pStyle w:val="95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95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95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95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95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rPr>
          <w:rFonts w:hint="eastAsia" w:ascii="黑体" w:hAnsi="黑体" w:eastAsia="黑体" w:cs="Times New Roman"/>
          <w:bCs w:val="0"/>
          <w:i w:val="0"/>
          <w:color w:val="000000"/>
          <w:sz w:val="32"/>
          <w:szCs w:val="32"/>
          <w:u w:val="none"/>
          <w:lang w:val="en-US" w:eastAsia="zh-CN"/>
        </w:rPr>
      </w:r>
      <w:r/>
    </w:p>
    <w:p>
      <w:pPr>
        <w:pStyle w:val="95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4"/>
        <w:rPr>
          <w:rFonts w:hint="eastAsia"/>
          <w:lang w:val="en-US" w:eastAsia="zh-CN"/>
        </w:rPr>
      </w:pPr>
      <w:r>
        <w:rPr>
          <w:rFonts w:hint="eastAsia"/>
          <w:lang w:val="en-US" w:eastAsia="zh-CN"/>
        </w:rPr>
      </w:r>
      <w:r/>
    </w:p>
    <w:p>
      <w:pPr>
        <w:pStyle w:val="94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944"/>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44"/>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44"/>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44"/>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944"/>
        <w:ind w:firstLine="492"/>
        <w:spacing w:line="460" w:lineRule="exact"/>
        <w:rPr>
          <w:color w:val="000000"/>
          <w:sz w:val="24"/>
          <w:szCs w:val="24"/>
        </w:rPr>
      </w:pPr>
      <w:r>
        <w:rPr>
          <w:color w:val="000000"/>
          <w:sz w:val="24"/>
          <w:szCs w:val="24"/>
        </w:rPr>
      </w:r>
      <w:r/>
    </w:p>
    <w:p>
      <w:pPr>
        <w:pStyle w:val="1059"/>
        <w:rPr>
          <w:color w:val="000000"/>
          <w:sz w:val="24"/>
          <w:szCs w:val="24"/>
        </w:rPr>
      </w:pPr>
      <w:r>
        <w:rPr>
          <w:color w:val="000000"/>
          <w:sz w:val="24"/>
          <w:szCs w:val="24"/>
        </w:rPr>
      </w:r>
      <w:r/>
    </w:p>
    <w:p>
      <w:pPr>
        <w:pStyle w:val="944"/>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44"/>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44"/>
        <w:rPr>
          <w:color w:val="000000"/>
          <w:sz w:val="24"/>
          <w:szCs w:val="24"/>
        </w:rPr>
      </w:pPr>
      <w:r>
        <w:rPr>
          <w:color w:val="000000"/>
          <w:sz w:val="24"/>
          <w:szCs w:val="24"/>
        </w:rPr>
      </w:r>
      <w:r/>
    </w:p>
    <w:p>
      <w:pPr>
        <w:pStyle w:val="944"/>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944"/>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44"/>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color w:val="000000"/>
          <w:sz w:val="24"/>
          <w:szCs w:val="24"/>
          <w:lang w:val="zh-CN"/>
        </w:rPr>
        <w:t xml:space="preserve">〔202</w:t>
      </w: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lang w:val="zh-CN"/>
        </w:rPr>
        <w:t xml:space="preserve">〕5号</w:t>
      </w:r>
      <w:r>
        <w:rPr>
          <w:rFonts w:hint="eastAsia" w:ascii="宋体" w:hAnsi="宋体"/>
          <w:b w:val="0"/>
          <w:bCs w:val="0"/>
          <w:color w:val="000000"/>
          <w:sz w:val="24"/>
          <w:szCs w:val="24"/>
          <w:lang w:eastAsia="zh-CN"/>
        </w:rPr>
        <w:t xml:space="preserve">）要求。</w:t>
      </w:r>
      <w:r>
        <w:rPr>
          <w:rFonts w:hint="eastAsia" w:ascii="宋体" w:hAnsi="宋体"/>
          <w:b w:val="0"/>
          <w:bCs w:val="0"/>
          <w:color w:val="000000"/>
          <w:sz w:val="24"/>
          <w:szCs w:val="24"/>
          <w:lang w:eastAsia="zh-CN"/>
        </w:rPr>
      </w:r>
      <w:r/>
    </w:p>
    <w:p>
      <w:pPr>
        <w:pStyle w:val="1061"/>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944"/>
        <w:rPr>
          <w:rFonts w:hint="eastAsia"/>
          <w:color w:val="000000"/>
          <w:lang w:eastAsia="zh-CN"/>
        </w:rPr>
      </w:pPr>
      <w:r>
        <w:rPr>
          <w:rFonts w:hint="eastAsia"/>
          <w:color w:val="000000"/>
          <w:lang w:eastAsia="zh-CN"/>
        </w:rPr>
      </w:r>
      <w:r/>
    </w:p>
    <w:p>
      <w:pPr>
        <w:pStyle w:val="944"/>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br w:type="page" w:clear="all"/>
      </w: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31"/>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944"/>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1061"/>
        <w:rPr>
          <w:rFonts w:hint="eastAsia"/>
          <w:color w:val="000000"/>
        </w:rPr>
      </w:pPr>
      <w:r>
        <w:rPr>
          <w:rFonts w:hint="eastAsia"/>
          <w:color w:val="000000"/>
        </w:rPr>
      </w:r>
      <w:r/>
    </w:p>
    <w:p>
      <w:pPr>
        <w:pStyle w:val="944"/>
        <w:rPr>
          <w:rFonts w:hint="eastAsia"/>
          <w:color w:val="000000"/>
        </w:rPr>
      </w:pPr>
      <w:r>
        <w:rPr>
          <w:rFonts w:hint="eastAsia"/>
          <w:color w:val="000000"/>
        </w:rPr>
      </w:r>
      <w:r/>
    </w:p>
    <w:p>
      <w:pPr>
        <w:pStyle w:val="944"/>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44"/>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44"/>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44"/>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44"/>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944"/>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31"/>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______年____月____日起生效，特此声明。</w:t>
      </w:r>
      <w:r>
        <w:rPr>
          <w:rFonts w:hint="eastAsia"/>
          <w:color w:val="000000"/>
          <w:sz w:val="24"/>
          <w:szCs w:val="24"/>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31"/>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1031"/>
        <w:ind w:firstLine="468"/>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31"/>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31"/>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198" w:name="_Hlt26671380"/>
      <w:r/>
      <w:bookmarkEnd w:id="198"/>
      <w:r/>
      <w:bookmarkStart w:id="199" w:name="_Hlt26955070"/>
      <w:r/>
      <w:bookmarkEnd w:id="199"/>
      <w:r/>
      <w:bookmarkStart w:id="200" w:name="_格式3__银行出具的资信证明"/>
      <w:r/>
      <w:bookmarkEnd w:id="200"/>
      <w:r>
        <w:rPr>
          <w:rFonts w:hint="eastAsia"/>
          <w:color w:val="000000"/>
          <w:sz w:val="24"/>
          <w:szCs w:val="24"/>
        </w:rPr>
      </w:r>
      <w:r/>
    </w:p>
    <w:p>
      <w:pPr>
        <w:pStyle w:val="959"/>
        <w:rPr>
          <w:rFonts w:hint="eastAsia"/>
          <w:i/>
          <w:color w:val="000000"/>
          <w:sz w:val="24"/>
          <w:szCs w:val="24"/>
          <w:u w:val="single"/>
        </w:rPr>
      </w:pPr>
      <w:r>
        <w:rPr>
          <w:rFonts w:hint="eastAsia"/>
          <w:i/>
          <w:color w:val="000000"/>
          <w:sz w:val="24"/>
          <w:szCs w:val="24"/>
          <w:u w:val="single"/>
        </w:rPr>
      </w:r>
      <w:r/>
    </w:p>
    <w:p>
      <w:pPr>
        <w:pStyle w:val="959"/>
        <w:rPr>
          <w:rFonts w:hint="eastAsia"/>
          <w:i/>
          <w:color w:val="000000"/>
          <w:sz w:val="24"/>
          <w:szCs w:val="24"/>
          <w:u w:val="single"/>
        </w:rPr>
      </w:pPr>
      <w:r>
        <w:rPr>
          <w:rFonts w:hint="eastAsia"/>
          <w:i/>
          <w:color w:val="000000"/>
          <w:sz w:val="24"/>
          <w:szCs w:val="24"/>
          <w:u w:val="single"/>
        </w:rPr>
      </w:r>
      <w:r/>
    </w:p>
    <w:p>
      <w:pPr>
        <w:pStyle w:val="959"/>
        <w:rPr>
          <w:rFonts w:hint="eastAsia"/>
          <w:i/>
          <w:color w:val="000000"/>
          <w:sz w:val="24"/>
          <w:szCs w:val="24"/>
          <w:u w:val="single"/>
        </w:rPr>
      </w:pPr>
      <w:r>
        <w:rPr>
          <w:rFonts w:hint="eastAsia"/>
          <w:i/>
          <w:color w:val="000000"/>
          <w:sz w:val="24"/>
          <w:szCs w:val="24"/>
          <w:u w:val="single"/>
        </w:rPr>
      </w:r>
      <w:r/>
    </w:p>
    <w:p>
      <w:pPr>
        <w:pStyle w:val="959"/>
        <w:ind w:firstLine="0"/>
        <w:rPr>
          <w:rFonts w:hint="eastAsia"/>
          <w:color w:val="000000"/>
        </w:rPr>
      </w:pPr>
      <w:r>
        <w:rPr>
          <w:rFonts w:hint="eastAsia"/>
          <w:color w:val="000000"/>
        </w:rPr>
      </w:r>
      <w:r/>
    </w:p>
    <w:p>
      <w:pPr>
        <w:pStyle w:val="944"/>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spacing w:line="460" w:lineRule="exact"/>
        <w:rPr>
          <w:rFonts w:hint="eastAsia" w:ascii="宋体" w:hAnsi="宋体"/>
          <w:color w:val="000000"/>
          <w:sz w:val="24"/>
          <w:szCs w:val="24"/>
        </w:rPr>
      </w:pPr>
      <w:r>
        <w:rPr>
          <w:rFonts w:hint="eastAsia" w:ascii="宋体" w:hAnsi="宋体"/>
          <w:bCs/>
          <w:color w:val="000000"/>
          <w:sz w:val="24"/>
        </w:rPr>
      </w:r>
      <w:r>
        <w:rPr>
          <w:rFonts w:hint="eastAsia" w:ascii="宋体" w:hAnsi="宋体"/>
          <w:bCs/>
          <w:color w:val="000000"/>
          <w:sz w:val="24"/>
        </w:rPr>
      </w:r>
      <w:r/>
    </w:p>
    <w:p>
      <w:pPr>
        <w:spacing w:line="4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4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4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46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944"/>
        <w:spacing w:line="460" w:lineRule="exact"/>
        <w:rPr>
          <w:rFonts w:hint="eastAsia" w:ascii="宋体" w:hAnsi="宋体"/>
          <w:color w:val="000000"/>
          <w:sz w:val="24"/>
          <w:szCs w:val="24"/>
        </w:rPr>
      </w:pPr>
      <w:r>
        <w:rPr>
          <w:rFonts w:hint="eastAsia" w:ascii="宋体" w:hAnsi="宋体"/>
          <w:bCs/>
          <w:color w:val="000000"/>
          <w:sz w:val="24"/>
        </w:rPr>
      </w:r>
      <w:r/>
    </w:p>
    <w:p>
      <w:pPr>
        <w:pStyle w:val="1022"/>
        <w:rPr>
          <w:rFonts w:hint="eastAsia" w:ascii="宋体" w:hAnsi="宋体"/>
          <w:bCs/>
          <w:color w:val="000000"/>
          <w:sz w:val="24"/>
        </w:rPr>
      </w:pPr>
      <w:r>
        <w:rPr>
          <w:rFonts w:hint="eastAsia" w:ascii="宋体" w:hAnsi="宋体"/>
          <w:bCs/>
          <w:color w:val="000000"/>
          <w:sz w:val="24"/>
        </w:rPr>
      </w:r>
      <w:r/>
    </w:p>
    <w:p>
      <w:pPr>
        <w:pStyle w:val="1022"/>
        <w:rPr>
          <w:rFonts w:hint="eastAsia" w:ascii="宋体" w:hAnsi="宋体"/>
          <w:bCs/>
          <w:color w:val="000000"/>
          <w:sz w:val="24"/>
        </w:rPr>
      </w:pPr>
      <w:r>
        <w:rPr>
          <w:rFonts w:hint="eastAsia" w:ascii="宋体" w:hAnsi="宋体"/>
          <w:bCs/>
          <w:color w:val="000000"/>
          <w:sz w:val="24"/>
        </w:rPr>
      </w:r>
      <w:r/>
    </w:p>
    <w:p>
      <w:pPr>
        <w:pStyle w:val="944"/>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944"/>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33"/>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1033"/>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w:t>
      </w:r>
      <w:r>
        <w:rPr>
          <w:rFonts w:hint="eastAsia" w:ascii="宋体" w:hAnsi="宋体"/>
          <w:color w:val="000000"/>
          <w:szCs w:val="21"/>
          <w:lang w:val="en-US" w:eastAsia="zh-CN"/>
        </w:rPr>
        <w:t xml:space="preserve">服务</w:t>
      </w:r>
      <w:r>
        <w:rPr>
          <w:rFonts w:hint="eastAsia" w:ascii="宋体" w:hAnsi="宋体"/>
          <w:color w:val="000000"/>
          <w:szCs w:val="21"/>
        </w:rPr>
        <w:t xml:space="preserve">（包含与</w:t>
      </w:r>
      <w:r>
        <w:rPr>
          <w:rFonts w:hint="eastAsia" w:ascii="宋体" w:hAnsi="宋体"/>
          <w:color w:val="000000"/>
          <w:szCs w:val="21"/>
          <w:lang w:val="en-US" w:eastAsia="zh-CN"/>
        </w:rPr>
        <w:t xml:space="preserve">服务</w:t>
      </w:r>
      <w:r>
        <w:rPr>
          <w:rFonts w:hint="eastAsia" w:ascii="宋体" w:hAnsi="宋体"/>
          <w:color w:val="000000"/>
          <w:szCs w:val="21"/>
        </w:rPr>
        <w:t xml:space="preserve">相关的</w:t>
      </w:r>
      <w:r>
        <w:rPr>
          <w:rFonts w:hint="eastAsia" w:ascii="宋体" w:hAnsi="宋体"/>
          <w:color w:val="000000"/>
          <w:szCs w:val="21"/>
          <w:lang w:val="en-US" w:eastAsia="zh-CN"/>
        </w:rPr>
        <w:t xml:space="preserve">货物</w:t>
      </w:r>
      <w:r>
        <w:rPr>
          <w:rFonts w:hint="eastAsia" w:ascii="宋体" w:hAnsi="宋体"/>
          <w:color w:val="000000"/>
          <w:szCs w:val="21"/>
        </w:rPr>
        <w:t xml:space="preserve">）。</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33"/>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我方将根据招标文件的规定，严格履行合同的责任和义务,并保证在招标文件规定的时间完成项目，交付买方验收、使用。</w:t>
      </w:r>
      <w:r>
        <w:rPr>
          <w:rFonts w:hint="eastAsia" w:ascii="宋体" w:hAnsi="宋体"/>
          <w:color w:val="000000"/>
          <w:szCs w:val="21"/>
        </w:rPr>
      </w:r>
      <w:r/>
    </w:p>
    <w:p>
      <w:pPr>
        <w:pStyle w:val="944"/>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1033"/>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1033"/>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33"/>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33"/>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33"/>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33"/>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33"/>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944"/>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33"/>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33"/>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1033"/>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94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4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4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4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94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944"/>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944"/>
        <w:ind w:firstLine="0"/>
        <w:keepLines w:val="0"/>
        <w:keepNext w:val="0"/>
        <w:pageBreakBefore w:val="0"/>
        <w:spacing w:line="48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44"/>
        <w:ind w:firstLine="0"/>
        <w:keepLines w:val="0"/>
        <w:keepNext w:val="0"/>
        <w:pageBreakBefore w:val="0"/>
        <w:spacing w:line="48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分包号：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44"/>
              <w:jc w:val="center"/>
              <w:keepLines w:val="0"/>
              <w:keepNext w:val="0"/>
              <w:pageBreakBefore w:val="0"/>
              <w:spacing w:line="48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投标总报价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三年</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780"/>
        </w:trPr>
        <w:tc>
          <w:tcPr>
            <w:tcW w:w="9748" w:type="dxa"/>
            <w:vAlign w:val="center"/>
            <w:textDirection w:val="lrTb"/>
            <w:noWrap w:val="false"/>
          </w:tcPr>
          <w:p>
            <w:pPr>
              <w:pStyle w:val="1033"/>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小写（人民币：元）：                             </w:t>
            </w:r>
            <w:r>
              <w:rPr>
                <w:rFonts w:hint="eastAsia" w:ascii="宋体" w:hAnsi="宋体"/>
                <w:color w:val="000000"/>
                <w:szCs w:val="21"/>
              </w:rPr>
            </w:r>
            <w:r/>
          </w:p>
        </w:tc>
      </w:tr>
    </w:tbl>
    <w:p>
      <w:pPr>
        <w:pStyle w:val="944"/>
        <w:keepLines w:val="0"/>
        <w:keepNext w:val="0"/>
        <w:pageBreakBefore w:val="0"/>
        <w:spacing w:line="480" w:lineRule="auto"/>
        <w:widowControl w:val="off"/>
        <w:rPr>
          <w:rFonts w:ascii="宋体" w:hAnsi="宋体"/>
          <w:color w:val="000000"/>
          <w:sz w:val="24"/>
          <w:szCs w:val="24"/>
        </w:rPr>
      </w:pPr>
      <w:r>
        <w:rPr>
          <w:rFonts w:ascii="宋体" w:hAnsi="宋体"/>
          <w:color w:val="000000"/>
          <w:sz w:val="24"/>
          <w:szCs w:val="24"/>
        </w:rPr>
      </w:r>
      <w:r/>
    </w:p>
    <w:p>
      <w:pPr>
        <w:pStyle w:val="944"/>
        <w:ind w:firstLine="480"/>
        <w:keepLines w:val="0"/>
        <w:keepNext w:val="0"/>
        <w:pageBreakBefore w:val="0"/>
        <w:spacing w:line="480" w:lineRule="auto"/>
        <w:widowControl w:val="off"/>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944"/>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44"/>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44"/>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944"/>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94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六、投标分项报价表</w:t>
      </w:r>
      <w:r>
        <w:rPr>
          <w:rFonts w:hint="eastAsia" w:ascii="黑体" w:hAnsi="黑体" w:eastAsia="黑体" w:cs="Times New Roman"/>
          <w:i w:val="0"/>
          <w:color w:val="000000"/>
          <w:sz w:val="32"/>
          <w:szCs w:val="32"/>
          <w:u w:val="none"/>
          <w:lang w:val="en-US" w:eastAsia="zh-CN"/>
        </w:rPr>
      </w:r>
      <w:r/>
    </w:p>
    <w:p>
      <w:pPr>
        <w:pStyle w:val="94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2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038"/>
      </w:tblGrid>
      <w:tr>
        <w:trPr>
          <w:cantSplit/>
          <w:trHeight w:val="544"/>
        </w:trPr>
        <w:tc>
          <w:tcPr>
            <w:tcW w:w="747" w:type="dxa"/>
            <w:vAlign w:val="center"/>
            <w:vMerge w:val="restart"/>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475"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20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47" w:type="dxa"/>
            <w:vAlign w:val="center"/>
            <w:textDirection w:val="lrTb"/>
            <w:noWrap w:val="false"/>
          </w:tcPr>
          <w:p>
            <w:pPr>
              <w:pStyle w:val="944"/>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r>
            <w:r/>
          </w:p>
        </w:tc>
        <w:tc>
          <w:tcPr>
            <w:tcW w:w="881" w:type="dxa"/>
            <w:vAlign w:val="center"/>
            <w:textDirection w:val="lrTb"/>
            <w:noWrap w:val="false"/>
          </w:tcPr>
          <w:p>
            <w:pPr>
              <w:pStyle w:val="944"/>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eastAsia="zh-CN"/>
              </w:rPr>
            </w:r>
            <w:r/>
          </w:p>
        </w:tc>
        <w:tc>
          <w:tcPr>
            <w:tcW w:w="842" w:type="dxa"/>
            <w:vAlign w:val="center"/>
            <w:textDirection w:val="lrTb"/>
            <w:noWrap w:val="false"/>
          </w:tcPr>
          <w:p>
            <w:pPr>
              <w:pStyle w:val="944"/>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eastAsia="zh-CN"/>
              </w:rPr>
            </w:r>
            <w:r/>
          </w:p>
        </w:tc>
        <w:tc>
          <w:tcPr>
            <w:tcW w:w="1034" w:type="dxa"/>
            <w:vAlign w:val="center"/>
            <w:textDirection w:val="lrTb"/>
            <w:noWrap w:val="false"/>
          </w:tcPr>
          <w:p>
            <w:pPr>
              <w:pStyle w:val="944"/>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eastAsia="zh-CN"/>
              </w:rPr>
            </w:r>
            <w:r/>
          </w:p>
        </w:tc>
        <w:tc>
          <w:tcPr>
            <w:tcW w:w="1038" w:type="dxa"/>
            <w:vAlign w:val="center"/>
            <w:textDirection w:val="lrTb"/>
            <w:noWrap w:val="false"/>
          </w:tcPr>
          <w:p>
            <w:pPr>
              <w:pStyle w:val="944"/>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eastAsia="zh-CN"/>
              </w:rPr>
            </w:r>
            <w:r/>
          </w:p>
        </w:tc>
      </w:tr>
      <w:tr>
        <w:trPr>
          <w:cantSplit/>
          <w:trHeight w:val="294"/>
        </w:trPr>
        <w:tc>
          <w:tcPr>
            <w:tcW w:w="747" w:type="dxa"/>
            <w:vAlign w:val="center"/>
            <w:vMerge w:val="continue"/>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5"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2202" w:type="dxa"/>
            <w:vAlign w:val="center"/>
            <w:textDirection w:val="lrTb"/>
            <w:noWrap w:val="false"/>
          </w:tcPr>
          <w:p>
            <w:pPr>
              <w:pStyle w:val="944"/>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品牌、规格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047"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81"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4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1034"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038"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747"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475"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20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47"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81"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4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34"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38"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747"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75"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20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47"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81"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4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34"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38"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747"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475"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20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47"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81"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4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34"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38"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747" w:type="dxa"/>
            <w:vAlign w:val="center"/>
            <w:textDirection w:val="lrTb"/>
            <w:noWrap w:val="false"/>
          </w:tcPr>
          <w:p>
            <w:pPr>
              <w:pStyle w:val="944"/>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475" w:type="dxa"/>
            <w:vAlign w:val="center"/>
            <w:textDirection w:val="lrTb"/>
            <w:noWrap w:val="false"/>
          </w:tcPr>
          <w:p>
            <w:pPr>
              <w:pStyle w:val="944"/>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20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47"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81"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42"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34"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38" w:type="dxa"/>
            <w:vAlign w:val="center"/>
            <w:textDirection w:val="lrTb"/>
            <w:noWrap w:val="false"/>
          </w:tcPr>
          <w:p>
            <w:pPr>
              <w:pStyle w:val="94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7"/>
            <w:tcW w:w="8228" w:type="dxa"/>
            <w:vAlign w:val="center"/>
            <w:textDirection w:val="lrTb"/>
            <w:noWrap w:val="false"/>
          </w:tcPr>
          <w:p>
            <w:pPr>
              <w:pStyle w:val="944"/>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038" w:type="dxa"/>
            <w:vAlign w:val="top"/>
            <w:textDirection w:val="lrTb"/>
            <w:noWrap w:val="false"/>
          </w:tcPr>
          <w:p>
            <w:pPr>
              <w:pStyle w:val="944"/>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7"/>
            <w:tcW w:w="8228" w:type="dxa"/>
            <w:vAlign w:val="center"/>
            <w:textDirection w:val="lrTb"/>
            <w:noWrap w:val="false"/>
          </w:tcPr>
          <w:p>
            <w:pPr>
              <w:pStyle w:val="944"/>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w:t>
            </w:r>
            <w:r>
              <w:rPr>
                <w:rFonts w:hint="eastAsia" w:ascii="宋体" w:hAnsi="宋体"/>
                <w:color w:val="000000"/>
                <w:sz w:val="24"/>
                <w:szCs w:val="24"/>
                <w:lang w:val="en-US" w:eastAsia="zh-CN"/>
              </w:rPr>
              <w:t xml:space="preserve">三年</w:t>
            </w:r>
            <w:r>
              <w:rPr>
                <w:rFonts w:hint="eastAsia" w:ascii="宋体" w:hAnsi="宋体"/>
                <w:color w:val="000000"/>
                <w:sz w:val="24"/>
                <w:szCs w:val="24"/>
              </w:rPr>
              <w:t xml:space="preserve">总报价（人民币：元）</w:t>
            </w:r>
            <w:r>
              <w:rPr>
                <w:rFonts w:hint="eastAsia" w:ascii="宋体" w:hAnsi="宋体"/>
                <w:color w:val="000000"/>
                <w:sz w:val="24"/>
                <w:szCs w:val="24"/>
              </w:rPr>
            </w:r>
            <w:r/>
          </w:p>
        </w:tc>
        <w:tc>
          <w:tcPr>
            <w:tcW w:w="1038" w:type="dxa"/>
            <w:vAlign w:val="top"/>
            <w:textDirection w:val="lrTb"/>
            <w:noWrap w:val="false"/>
          </w:tcPr>
          <w:p>
            <w:pPr>
              <w:pStyle w:val="944"/>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100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44"/>
        <w:keepLines w:val="0"/>
        <w:keepNext w:val="0"/>
        <w:pageBreakBefore w:val="0"/>
        <w:spacing w:line="360" w:lineRule="auto"/>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100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100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1.投标报价采用总承包方式，“投标总报价”应包括为完成整个项目所产生的所有费用，招标文件另有规定的除外。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100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2.《投标分项报价表》中“投标三年总报价”应当与《开标一览表》中“投标总报价（三年）”一致。</w:t>
      </w:r>
      <w:r>
        <w:rPr>
          <w:rFonts w:hint="eastAsia" w:ascii="宋体" w:hAnsi="宋体" w:eastAsia="宋体" w:cs="宋体"/>
          <w:b w:val="0"/>
          <w:bCs w:val="0"/>
          <w:color w:val="000000"/>
          <w:sz w:val="24"/>
          <w:szCs w:val="24"/>
          <w:lang w:val="en-US" w:eastAsia="zh-CN"/>
        </w:rPr>
      </w:r>
      <w:r/>
    </w:p>
    <w:p>
      <w:pPr>
        <w:pStyle w:val="100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3.供应商所报产品须与“第四章-产品清单”中的产品一一对应，如有缺项、漏项或者超出报价上限的，视为无效投标。</w:t>
      </w:r>
      <w:r>
        <w:rPr>
          <w:rFonts w:hint="eastAsia" w:ascii="宋体" w:hAnsi="宋体" w:eastAsia="宋体" w:cs="宋体"/>
          <w:b w:val="0"/>
          <w:bCs w:val="0"/>
          <w:color w:val="000000"/>
          <w:sz w:val="24"/>
          <w:szCs w:val="24"/>
          <w:lang w:val="en-US" w:eastAsia="zh-CN"/>
        </w:rPr>
      </w:r>
      <w:r/>
    </w:p>
    <w:p>
      <w:pPr>
        <w:pStyle w:val="100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44"/>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1014"/>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4"/>
        <w:rPr>
          <w:rFonts w:hint="eastAsia"/>
          <w:color w:val="000000"/>
          <w:lang w:val="en-US" w:eastAsia="zh-CN"/>
        </w:rPr>
      </w:pPr>
      <w:r>
        <w:rPr>
          <w:rFonts w:hint="eastAsia"/>
          <w:color w:val="000000"/>
          <w:lang w:val="en-US" w:eastAsia="zh-CN"/>
        </w:rPr>
      </w:r>
      <w:r/>
    </w:p>
    <w:p>
      <w:pPr>
        <w:pStyle w:val="94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5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rPr>
          <w:rFonts w:hint="eastAsia" w:ascii="黑体" w:hAnsi="黑体" w:eastAsia="黑体" w:cs="Times New Roman"/>
          <w:i w:val="0"/>
          <w:color w:val="000000"/>
          <w:sz w:val="32"/>
          <w:szCs w:val="32"/>
          <w:u w:val="none"/>
          <w:lang w:val="en-US" w:eastAsia="zh-CN"/>
        </w:rPr>
      </w:r>
      <w:r/>
    </w:p>
    <w:p>
      <w:pPr>
        <w:pStyle w:val="956"/>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七、</w:t>
      </w:r>
      <w:bookmarkEnd w:id="40"/>
      <w:r/>
      <w:bookmarkEnd w:id="41"/>
      <w:r/>
      <w:bookmarkEnd w:id="197"/>
      <w:r>
        <w:rPr>
          <w:rFonts w:hint="eastAsia" w:ascii="黑体" w:hAnsi="黑体" w:eastAsia="黑体" w:cs="Times New Roman"/>
          <w:i w:val="0"/>
          <w:color w:val="000000"/>
          <w:sz w:val="32"/>
          <w:szCs w:val="32"/>
          <w:u w:val="none"/>
          <w:lang w:val="en-US" w:eastAsia="zh-CN"/>
        </w:rPr>
        <w:t xml:space="preserve">技术要求响应及偏离表</w:t>
      </w:r>
      <w:r>
        <w:rPr>
          <w:rFonts w:hint="eastAsia" w:ascii="黑体" w:hAnsi="黑体" w:eastAsia="黑体" w:cs="Times New Roman"/>
          <w:i w:val="0"/>
          <w:color w:val="000000"/>
          <w:sz w:val="32"/>
          <w:szCs w:val="32"/>
          <w:u w:val="none"/>
          <w:lang w:val="en-US" w:eastAsia="zh-CN"/>
        </w:rPr>
      </w:r>
      <w:r/>
    </w:p>
    <w:p>
      <w:pPr>
        <w:pStyle w:val="9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944"/>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44"/>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bl>
    <w:p>
      <w:pPr>
        <w:pStyle w:val="100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44"/>
        <w:rPr>
          <w:rFonts w:hint="eastAsia" w:ascii="宋体" w:hAnsi="宋体"/>
          <w:color w:val="000000"/>
          <w:sz w:val="24"/>
          <w:szCs w:val="24"/>
        </w:rPr>
      </w:pPr>
      <w:r>
        <w:rPr>
          <w:rFonts w:hint="eastAsia" w:ascii="宋体" w:hAnsi="宋体"/>
          <w:color w:val="000000"/>
          <w:sz w:val="24"/>
          <w:szCs w:val="24"/>
        </w:rPr>
      </w:r>
      <w:r/>
    </w:p>
    <w:p>
      <w:pPr>
        <w:pStyle w:val="100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100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1.供应商须对招标文件技术要求中的实质性要求（斜体下划线内容或打“★”内容）做出明确响应，供应商未对实质性要求作出明确响应的，视为无效投标。</w:t>
      </w:r>
      <w:r>
        <w:rPr>
          <w:rFonts w:hint="eastAsia" w:ascii="宋体" w:hAnsi="宋体" w:eastAsia="宋体" w:cs="宋体"/>
          <w:color w:val="000000"/>
          <w:lang w:val="en-US" w:eastAsia="zh-CN"/>
        </w:rPr>
      </w:r>
      <w:r/>
    </w:p>
    <w:p>
      <w:pPr>
        <w:pStyle w:val="100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w:t>
      </w:r>
      <w:r>
        <w:rPr>
          <w:rFonts w:hint="eastAsia" w:ascii="宋体" w:hAnsi="宋体" w:eastAsia="宋体" w:cs="宋体"/>
          <w:color w:val="000000"/>
          <w:lang w:val="en-US" w:eastAsia="zh-CN"/>
        </w:rPr>
        <w:t xml:space="preserve">合同时应按招标文件要求和投标文件响应内容向采购人提供相应证明材料核验（如：白皮书、彩页、</w:t>
      </w:r>
      <w:r>
        <w:rPr>
          <w:rFonts w:hint="eastAsia" w:ascii="宋体" w:hAnsi="宋体" w:eastAsia="宋体" w:cs="宋体"/>
          <w:color w:val="000000"/>
          <w:lang w:val="en-US" w:eastAsia="zh-CN"/>
        </w:rPr>
        <w:t xml:space="preserve">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lang w:val="en-US" w:eastAsia="zh-CN"/>
        </w:rPr>
      </w:r>
      <w:r/>
    </w:p>
    <w:p>
      <w:pPr>
        <w:pStyle w:val="100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center"/>
        <w:rPr>
          <w:rFonts w:hint="eastAsia" w:ascii="黑体" w:hAnsi="Arial" w:eastAsia="黑体"/>
          <w:b/>
          <w:bCs/>
          <w:color w:val="000000"/>
          <w:sz w:val="36"/>
          <w:szCs w:val="36"/>
        </w:rPr>
      </w:pPr>
      <w:r>
        <w:rPr>
          <w:rFonts w:hint="eastAsia" w:ascii="黑体" w:hAnsi="Arial" w:eastAsia="黑体"/>
          <w:b/>
          <w:color w:val="000000"/>
          <w:sz w:val="36"/>
          <w:szCs w:val="21"/>
        </w:rPr>
      </w:r>
      <w:r>
        <w:rPr>
          <w:rFonts w:hint="eastAsia" w:ascii="黑体" w:hAnsi="Arial" w:eastAsia="黑体"/>
          <w:b/>
          <w:color w:val="000000"/>
          <w:sz w:val="36"/>
          <w:szCs w:val="21"/>
        </w:rPr>
      </w:r>
      <w:r/>
    </w:p>
    <w:p>
      <w:pPr>
        <w:jc w:val="center"/>
        <w:rPr>
          <w:rFonts w:hint="eastAsia" w:ascii="黑体" w:hAnsi="Arial" w:eastAsia="黑体"/>
          <w:b/>
          <w:bCs/>
          <w:color w:val="000000"/>
          <w:sz w:val="36"/>
          <w:szCs w:val="36"/>
        </w:rPr>
      </w:pPr>
      <w:r>
        <w:rPr>
          <w:rFonts w:hint="eastAsia" w:ascii="黑体" w:hAnsi="Arial" w:eastAsia="黑体"/>
          <w:b/>
          <w:bCs/>
          <w:color w:val="000000"/>
          <w:sz w:val="36"/>
          <w:szCs w:val="36"/>
        </w:rPr>
      </w:r>
      <w:r>
        <w:rPr>
          <w:rFonts w:hint="eastAsia" w:ascii="黑体" w:hAnsi="Arial" w:eastAsia="黑体"/>
          <w:b/>
          <w:bCs/>
          <w:color w:val="000000"/>
          <w:sz w:val="36"/>
          <w:szCs w:val="36"/>
        </w:rPr>
      </w:r>
      <w:r/>
    </w:p>
    <w:p>
      <w:pPr>
        <w:jc w:val="center"/>
        <w:rPr>
          <w:rFonts w:hint="eastAsia" w:ascii="黑体" w:hAnsi="Arial" w:eastAsia="黑体"/>
          <w:b/>
          <w:bCs/>
          <w:color w:val="000000"/>
          <w:sz w:val="36"/>
          <w:szCs w:val="36"/>
        </w:rPr>
      </w:pPr>
      <w:r>
        <w:rPr>
          <w:rFonts w:hint="eastAsia" w:ascii="黑体" w:hAnsi="Arial" w:eastAsia="黑体"/>
          <w:b/>
          <w:bCs/>
          <w:color w:val="000000"/>
          <w:sz w:val="36"/>
          <w:szCs w:val="36"/>
        </w:rPr>
      </w:r>
      <w:r>
        <w:rPr>
          <w:rFonts w:hint="eastAsia" w:ascii="黑体" w:hAnsi="Arial" w:eastAsia="黑体"/>
          <w:b/>
          <w:bCs/>
          <w:color w:val="000000"/>
          <w:sz w:val="36"/>
          <w:szCs w:val="36"/>
        </w:rPr>
      </w:r>
      <w:r/>
    </w:p>
    <w:p>
      <w:pPr>
        <w:pStyle w:val="944"/>
        <w:jc w:val="center"/>
        <w:rPr>
          <w:rFonts w:hint="eastAsia" w:ascii="黑体" w:hAnsi="Arial" w:eastAsia="黑体"/>
          <w:b/>
          <w:bCs/>
          <w:color w:val="000000"/>
          <w:sz w:val="36"/>
          <w:szCs w:val="36"/>
        </w:rPr>
      </w:pPr>
      <w:r>
        <w:rPr>
          <w:rFonts w:hint="eastAsia" w:ascii="黑体" w:hAnsi="Arial" w:eastAsia="黑体"/>
          <w:b/>
          <w:color w:val="000000"/>
          <w:sz w:val="36"/>
          <w:szCs w:val="21"/>
        </w:rPr>
      </w:r>
      <w:r/>
    </w:p>
    <w:p>
      <w:pPr>
        <w:pStyle w:val="944"/>
        <w:rPr>
          <w:rFonts w:hint="eastAsia" w:ascii="黑体" w:hAnsi="黑体" w:eastAsia="黑体" w:cs="Times New Roman"/>
          <w:i w:val="0"/>
          <w:iCs/>
          <w:color w:val="000000"/>
          <w:sz w:val="32"/>
          <w:szCs w:val="32"/>
          <w:u w:val="none"/>
          <w:lang w:val="en-US" w:eastAsia="zh-CN"/>
        </w:rPr>
      </w:pPr>
      <w:r/>
      <w:bookmarkStart w:id="201" w:name="_Hlt26955054"/>
      <w:r/>
      <w:bookmarkEnd w:id="201"/>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9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44"/>
              <w:jc w:val="center"/>
              <w:rPr>
                <w:rFonts w:hint="eastAsia" w:ascii="宋体" w:hAnsi="宋体"/>
                <w:color w:val="000000"/>
                <w:sz w:val="24"/>
                <w:szCs w:val="24"/>
              </w:rPr>
            </w:pPr>
            <w:r/>
            <w:bookmarkStart w:id="202" w:name="_Hlt26955064"/>
            <w:r/>
            <w:bookmarkEnd w:id="202"/>
            <w:r/>
            <w:bookmarkStart w:id="203" w:name="_Hlt24879081"/>
            <w:r/>
            <w:bookmarkEnd w:id="203"/>
            <w:r/>
            <w:bookmarkStart w:id="204" w:name="_Hlt26609391"/>
            <w:r/>
            <w:bookmarkEnd w:id="204"/>
            <w:r/>
            <w:bookmarkStart w:id="205" w:name="_Hlt26671372"/>
            <w:r/>
            <w:bookmarkEnd w:id="205"/>
            <w:r/>
            <w:bookmarkStart w:id="206" w:name="_Hlt26955056"/>
            <w:r/>
            <w:bookmarkEnd w:id="206"/>
            <w:r/>
            <w:bookmarkStart w:id="207" w:name="_Hlt26580838"/>
            <w:r/>
            <w:bookmarkEnd w:id="207"/>
            <w:r/>
            <w:bookmarkStart w:id="208" w:name="_Hlt26671343"/>
            <w:r/>
            <w:bookmarkEnd w:id="208"/>
            <w:r/>
            <w:bookmarkStart w:id="209" w:name="_Hlt26782999"/>
            <w:r/>
            <w:bookmarkEnd w:id="20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944"/>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44"/>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44"/>
              <w:jc w:val="center"/>
              <w:rPr>
                <w:rFonts w:hint="eastAsia" w:ascii="宋体" w:hAnsi="宋体"/>
                <w:color w:val="000000"/>
                <w:sz w:val="24"/>
                <w:szCs w:val="24"/>
              </w:rPr>
            </w:pPr>
            <w:r>
              <w:rPr>
                <w:rFonts w:hint="eastAsia" w:ascii="宋体" w:hAnsi="宋体"/>
                <w:color w:val="000000"/>
                <w:sz w:val="24"/>
                <w:szCs w:val="24"/>
              </w:rPr>
            </w:r>
            <w:r/>
          </w:p>
        </w:tc>
      </w:tr>
    </w:tbl>
    <w:p>
      <w:pPr>
        <w:pStyle w:val="100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44"/>
        <w:rPr>
          <w:rFonts w:hint="eastAsia" w:ascii="宋体" w:hAnsi="宋体"/>
          <w:color w:val="000000"/>
          <w:sz w:val="24"/>
          <w:szCs w:val="24"/>
        </w:rPr>
      </w:pPr>
      <w:r>
        <w:rPr>
          <w:rFonts w:hint="eastAsia" w:ascii="宋体" w:hAnsi="宋体"/>
          <w:color w:val="000000"/>
          <w:sz w:val="24"/>
          <w:szCs w:val="24"/>
        </w:rPr>
      </w:r>
      <w:r/>
    </w:p>
    <w:p>
      <w:pPr>
        <w:pStyle w:val="100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100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1.供应商须对招标文件商务要求中的实质性要求（斜体下划线内容或打“★”内容）做出明确响应，供应商未对实质性要求作出明确响应的，视为无效投标。</w:t>
      </w:r>
      <w:r>
        <w:rPr>
          <w:rFonts w:ascii="宋体" w:hAnsi="宋体" w:eastAsia="宋体" w:cs="宋体"/>
          <w:color w:val="000000"/>
          <w:lang w:val="en-US" w:eastAsia="zh-CN"/>
        </w:rPr>
      </w:r>
      <w:r/>
    </w:p>
    <w:p>
      <w:pPr>
        <w:pStyle w:val="100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44"/>
        <w:rPr>
          <w:color w:val="000000"/>
        </w:rPr>
      </w:pPr>
      <w:r>
        <w:rPr>
          <w:color w:val="000000"/>
        </w:rPr>
      </w:r>
      <w:r/>
    </w:p>
    <w:p>
      <w:pPr>
        <w:pStyle w:val="944"/>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6"/>
        <w:rPr>
          <w:rFonts w:hint="eastAsia" w:ascii="宋体" w:hAnsi="宋体" w:cs="仿宋"/>
          <w:b/>
          <w:bCs/>
          <w:color w:val="000000"/>
          <w:sz w:val="32"/>
          <w:szCs w:val="32"/>
        </w:rPr>
      </w:pPr>
      <w:r>
        <w:rPr>
          <w:rFonts w:hint="eastAsia" w:ascii="宋体" w:hAnsi="宋体" w:cs="仿宋"/>
          <w:b/>
          <w:bCs/>
          <w:color w:val="000000"/>
          <w:sz w:val="32"/>
          <w:szCs w:val="32"/>
        </w:rPr>
      </w:r>
      <w:r/>
    </w:p>
    <w:p>
      <w:pPr>
        <w:pStyle w:val="944"/>
        <w:rPr>
          <w:rFonts w:hint="eastAsia" w:ascii="宋体" w:hAnsi="宋体" w:cs="仿宋"/>
          <w:b/>
          <w:bCs/>
          <w:color w:val="000000"/>
          <w:sz w:val="32"/>
          <w:szCs w:val="32"/>
        </w:rPr>
      </w:pPr>
      <w:r>
        <w:rPr>
          <w:rFonts w:hint="eastAsia" w:ascii="宋体" w:hAnsi="宋体" w:cs="仿宋"/>
          <w:b/>
          <w:bCs/>
          <w:color w:val="000000"/>
          <w:sz w:val="32"/>
          <w:szCs w:val="32"/>
        </w:rPr>
      </w:r>
      <w:r/>
    </w:p>
    <w:p>
      <w:pPr>
        <w:pStyle w:val="94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944"/>
        <w:rPr>
          <w:rFonts w:hint="eastAsia" w:ascii="黑体" w:hAnsi="黑体" w:eastAsia="黑体" w:cs="Times New Roman"/>
          <w:bCs w:val="0"/>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4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9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944"/>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944"/>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944"/>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944"/>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44"/>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44"/>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56"/>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944"/>
        <w:keepLines w:val="0"/>
        <w:keepNext w:val="0"/>
        <w:pageBreakBefore w:val="0"/>
        <w:spacing w:line="360" w:lineRule="auto"/>
        <w:rPr>
          <w:rFonts w:hint="eastAsia"/>
          <w:color w:val="000000"/>
          <w:lang w:eastAsia="zh-CN"/>
        </w:rPr>
      </w:pPr>
      <w:r>
        <w:rPr>
          <w:rFonts w:hint="eastAsia"/>
          <w:color w:val="000000"/>
          <w:lang w:eastAsia="zh-CN"/>
        </w:rPr>
      </w:r>
      <w:r/>
    </w:p>
    <w:p>
      <w:pPr>
        <w:pStyle w:val="944"/>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44"/>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44"/>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44"/>
        <w:ind w:firstLine="480"/>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。此声明函将随成交结果同时公告，接受社会监督。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944"/>
        <w:ind w:firstLine="0"/>
        <w:jc w:val="left"/>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9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944"/>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44"/>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956"/>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944"/>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944"/>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44"/>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44"/>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944"/>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44"/>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如不提供此声明函，价格将不</w:t>
      </w:r>
      <w:r>
        <w:rPr>
          <w:rFonts w:hint="eastAsia" w:ascii="宋体" w:hAnsi="宋体"/>
          <w:color w:val="000000"/>
          <w:sz w:val="24"/>
          <w:lang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944"/>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单位的，此声明函将随中标结果同时公告，接受社会监督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944"/>
        <w:ind w:firstLine="480"/>
        <w:spacing w:line="480" w:lineRule="exact"/>
        <w:rPr>
          <w:rFonts w:ascii="宋体" w:hAnsi="宋体"/>
          <w:color w:val="000000"/>
          <w:sz w:val="24"/>
        </w:rPr>
      </w:pPr>
      <w:r>
        <w:rPr>
          <w:rFonts w:ascii="宋体" w:hAnsi="宋体"/>
          <w:color w:val="000000"/>
          <w:sz w:val="24"/>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44"/>
        <w:rPr>
          <w:rFonts w:hint="eastAsia" w:ascii="宋体" w:hAnsi="宋体"/>
          <w:color w:val="000000"/>
          <w:sz w:val="24"/>
        </w:rPr>
      </w:pPr>
      <w:r>
        <w:rPr>
          <w:rFonts w:hint="eastAsia" w:ascii="宋体" w:hAnsi="宋体"/>
          <w:color w:val="000000"/>
          <w:sz w:val="24"/>
        </w:rPr>
      </w:r>
      <w:r/>
    </w:p>
    <w:p>
      <w:pPr>
        <w:pStyle w:val="956"/>
        <w:rPr>
          <w:rFonts w:hint="eastAsia"/>
          <w:color w:val="000000"/>
        </w:rPr>
      </w:pPr>
      <w:r>
        <w:rPr>
          <w:rFonts w:hint="eastAsia"/>
          <w:color w:val="000000"/>
        </w:rPr>
      </w:r>
      <w:r/>
    </w:p>
    <w:p>
      <w:pPr>
        <w:pStyle w:val="944"/>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94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44"/>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4"/>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分</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4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4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4"/>
        <w:rPr>
          <w:rFonts w:hint="eastAsia" w:ascii="宋体" w:hAnsi="宋体"/>
          <w:color w:val="000000"/>
          <w:sz w:val="24"/>
          <w:szCs w:val="24"/>
        </w:rPr>
      </w:pPr>
      <w:r>
        <w:rPr>
          <w:rFonts w:hint="eastAsia" w:ascii="宋体" w:hAnsi="宋体"/>
          <w:color w:val="000000"/>
          <w:sz w:val="24"/>
          <w:szCs w:val="24"/>
        </w:rPr>
      </w:r>
      <w:r/>
    </w:p>
    <w:p>
      <w:pPr>
        <w:pStyle w:val="944"/>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944"/>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944"/>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44"/>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44"/>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对项目的某一分包进行质疑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rPr>
        <w:t xml:space="preserve">分包号。</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69763"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369763" cy="301572"/>
                      </a:xfrm>
                      <a:prstGeom prst="rect">
                        <a:avLst/>
                      </a:prstGeom>
                      <a:noFill/>
                      <a:ln>
                        <a:noFill/>
                      </a:ln>
                    </wps:spPr>
                    <wps:txbx>
                      <w:txbxContent>
                        <w:p>
                          <w:pPr>
                            <w:pStyle w:val="993"/>
                            <w:tabs>
                              <w:tab w:val="clear" w:pos="4153" w:leader="none"/>
                              <w:tab w:val="clear" w:pos="8306" w:leader="none"/>
                            </w:tabs>
                            <w:rPr>
                              <w:rStyle w:val="1018"/>
                              <w:rFonts w:ascii="宋体" w:hAnsi="宋体"/>
                            </w:rPr>
                          </w:pPr>
                          <w:r>
                            <w:rPr>
                              <w:rFonts w:ascii="宋体" w:hAnsi="宋体"/>
                            </w:rPr>
                            <w:fldChar w:fldCharType="begin"/>
                          </w:r>
                          <w:r>
                            <w:rPr>
                              <w:rStyle w:val="1018"/>
                              <w:rFonts w:ascii="宋体" w:hAnsi="宋体"/>
                            </w:rPr>
                            <w:instrText xml:space="preserve">PAGE  </w:instrText>
                          </w:r>
                          <w:r>
                            <w:rPr>
                              <w:rFonts w:ascii="宋体" w:hAnsi="宋体"/>
                            </w:rPr>
                            <w:fldChar w:fldCharType="separate"/>
                          </w:r>
                          <w:r>
                            <w:rPr>
                              <w:rStyle w:val="1018"/>
                              <w:rFonts w:ascii="宋体" w:hAnsi="宋体"/>
                            </w:rPr>
                            <w:t xml:space="preserve">３５</w:t>
                          </w:r>
                          <w:r>
                            <w:rPr>
                              <w:rFonts w:ascii="宋体" w:hAnsi="宋体"/>
                            </w:rPr>
                            <w:fldChar w:fldCharType="end"/>
                          </w:r>
                          <w:r>
                            <w:rPr>
                              <w:rStyle w:val="1018"/>
                              <w:rFonts w:ascii="宋体" w:hAnsi="宋体"/>
                            </w:rPr>
                          </w:r>
                          <w:r/>
                        </w:p>
                        <w:p>
                          <w:pPr>
                            <w:pStyle w:val="94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9.1pt;height:23.7pt;mso-wrap-distance-left:9.0pt;mso-wrap-distance-top:0.0pt;mso-wrap-distance-right:9.0pt;mso-wrap-distance-bottom:0.0pt;visibility:visible;" filled="f" stroked="f">
              <v:textbox inset="0,0,0,0">
                <w:txbxContent>
                  <w:p>
                    <w:pPr>
                      <w:pStyle w:val="993"/>
                      <w:tabs>
                        <w:tab w:val="clear" w:pos="4153" w:leader="none"/>
                        <w:tab w:val="clear" w:pos="8306" w:leader="none"/>
                      </w:tabs>
                      <w:rPr>
                        <w:rStyle w:val="1018"/>
                        <w:rFonts w:ascii="宋体" w:hAnsi="宋体"/>
                      </w:rPr>
                    </w:pPr>
                    <w:r>
                      <w:rPr>
                        <w:rFonts w:ascii="宋体" w:hAnsi="宋体"/>
                      </w:rPr>
                      <w:fldChar w:fldCharType="begin"/>
                    </w:r>
                    <w:r>
                      <w:rPr>
                        <w:rStyle w:val="1018"/>
                        <w:rFonts w:ascii="宋体" w:hAnsi="宋体"/>
                      </w:rPr>
                      <w:instrText xml:space="preserve">PAGE  </w:instrText>
                    </w:r>
                    <w:r>
                      <w:rPr>
                        <w:rFonts w:ascii="宋体" w:hAnsi="宋体"/>
                      </w:rPr>
                      <w:fldChar w:fldCharType="separate"/>
                    </w:r>
                    <w:r>
                      <w:rPr>
                        <w:rStyle w:val="1018"/>
                        <w:rFonts w:ascii="宋体" w:hAnsi="宋体"/>
                      </w:rPr>
                      <w:t xml:space="preserve">３５</w:t>
                    </w:r>
                    <w:r>
                      <w:rPr>
                        <w:rFonts w:ascii="宋体" w:hAnsi="宋体"/>
                      </w:rPr>
                      <w:fldChar w:fldCharType="end"/>
                    </w:r>
                    <w:r>
                      <w:rPr>
                        <w:rStyle w:val="1018"/>
                        <w:rFonts w:ascii="宋体" w:hAnsi="宋体"/>
                      </w:rPr>
                    </w:r>
                    <w:r/>
                  </w:p>
                  <w:p>
                    <w:pPr>
                      <w:pStyle w:val="94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rPr>
        <w:rStyle w:val="1018"/>
      </w:rPr>
    </w:r>
    <w:r/>
  </w:p>
  <w:p>
    <w:pPr>
      <w:pStyle w:val="99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4"/>
        <w:tabs>
          <w:tab w:val="num" w:pos="312" w:leader="none"/>
        </w:tabs>
      </w:p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44"/>
        <w:tabs>
          <w:tab w:val="num" w:pos="312" w:leader="none"/>
        </w:tabs>
      </w:p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abstractNum w:abstractNumId="3">
    <w:multiLevelType w:val="hybridMultilevel"/>
    <w:lvl w:ilvl="0">
      <w:start w:val="1"/>
      <w:numFmt w:val="upperLetter"/>
      <w:pStyle w:val="1025"/>
      <w:isLgl w:val="false"/>
      <w:suff w:val="tab"/>
      <w:lvlText w:val="附录%1."/>
      <w:lvlJc w:val="left"/>
      <w:pPr>
        <w:pStyle w:val="9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44"/>
        <w:tabs>
          <w:tab w:val="num" w:pos="312" w:leader="none"/>
        </w:tabs>
      </w:p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abstractNum w:abstractNumId="5">
    <w:multiLevelType w:val="hybridMultilevel"/>
    <w:lvl w:ilvl="0">
      <w:start w:val="1"/>
      <w:numFmt w:val="decimal"/>
      <w:pStyle w:val="1042"/>
      <w:isLgl w:val="false"/>
      <w:suff w:val="tab"/>
      <w:lvlText w:val="%1."/>
      <w:lvlJc w:val="left"/>
      <w:pPr>
        <w:pStyle w:val="944"/>
        <w:ind w:left="709" w:hanging="709"/>
        <w:tabs>
          <w:tab w:val="num" w:pos="709" w:leader="none"/>
        </w:tabs>
      </w:pPr>
      <w:rPr>
        <w:rFonts w:hint="eastAsia"/>
      </w:rPr>
    </w:lvl>
    <w:lvl w:ilvl="1">
      <w:start w:val="1"/>
      <w:numFmt w:val="decimal"/>
      <w:isLgl w:val="false"/>
      <w:suff w:val="tab"/>
      <w:lvlText w:val="%1.%2"/>
      <w:lvlJc w:val="left"/>
      <w:pPr>
        <w:pStyle w:val="944"/>
        <w:ind w:left="709" w:hanging="709"/>
        <w:tabs>
          <w:tab w:val="num" w:pos="709" w:leader="none"/>
        </w:tabs>
      </w:pPr>
      <w:rPr>
        <w:rFonts w:hint="eastAsia"/>
      </w:rPr>
    </w:lvl>
    <w:lvl w:ilvl="2">
      <w:start w:val="1"/>
      <w:numFmt w:val="decimal"/>
      <w:isLgl w:val="false"/>
      <w:suff w:val="tab"/>
      <w:lvlText w:val="%1.%2.%3."/>
      <w:lvlJc w:val="left"/>
      <w:pPr>
        <w:pStyle w:val="944"/>
        <w:ind w:left="425" w:hanging="425"/>
        <w:tabs>
          <w:tab w:val="num" w:pos="425" w:leader="none"/>
        </w:tabs>
      </w:pPr>
      <w:rPr>
        <w:rFonts w:hint="eastAsia"/>
      </w:rPr>
    </w:lvl>
    <w:lvl w:ilvl="3">
      <w:start w:val="1"/>
      <w:numFmt w:val="decimal"/>
      <w:isLgl w:val="false"/>
      <w:suff w:val="tab"/>
      <w:lvlText w:val="%1.%2.%3.%4."/>
      <w:lvlJc w:val="left"/>
      <w:pPr>
        <w:pStyle w:val="944"/>
        <w:ind w:left="851" w:hanging="851"/>
        <w:tabs>
          <w:tab w:val="num" w:pos="851" w:leader="none"/>
        </w:tabs>
      </w:pPr>
      <w:rPr>
        <w:rFonts w:hint="eastAsia"/>
      </w:rPr>
    </w:lvl>
    <w:lvl w:ilvl="4">
      <w:start w:val="1"/>
      <w:numFmt w:val="decimal"/>
      <w:isLgl w:val="false"/>
      <w:suff w:val="tab"/>
      <w:lvlText w:val="%1.%2.%3.%4.%5."/>
      <w:lvlJc w:val="left"/>
      <w:pPr>
        <w:pStyle w:val="944"/>
        <w:ind w:left="992" w:hanging="992"/>
        <w:tabs>
          <w:tab w:val="num" w:pos="992" w:leader="none"/>
        </w:tabs>
      </w:pPr>
      <w:rPr>
        <w:rFonts w:hint="eastAsia"/>
      </w:rPr>
    </w:lvl>
    <w:lvl w:ilvl="5">
      <w:start w:val="1"/>
      <w:numFmt w:val="decimal"/>
      <w:isLgl w:val="false"/>
      <w:suff w:val="tab"/>
      <w:lvlText w:val="%1.%2.%3.%4.%5.%6."/>
      <w:lvlJc w:val="left"/>
      <w:pPr>
        <w:pStyle w:val="944"/>
        <w:ind w:left="1134" w:hanging="1134"/>
        <w:tabs>
          <w:tab w:val="num" w:pos="1134" w:leader="none"/>
        </w:tabs>
      </w:pPr>
      <w:rPr>
        <w:rFonts w:hint="eastAsia"/>
      </w:rPr>
    </w:lvl>
    <w:lvl w:ilvl="6">
      <w:start w:val="1"/>
      <w:numFmt w:val="decimal"/>
      <w:isLgl w:val="false"/>
      <w:suff w:val="tab"/>
      <w:lvlText w:val="%1.%2.%3.%4.%5.%6.%7."/>
      <w:lvlJc w:val="left"/>
      <w:pPr>
        <w:pStyle w:val="944"/>
        <w:ind w:left="1276" w:hanging="1276"/>
        <w:tabs>
          <w:tab w:val="num" w:pos="1276" w:leader="none"/>
        </w:tabs>
      </w:pPr>
      <w:rPr>
        <w:rFonts w:hint="eastAsia"/>
      </w:rPr>
    </w:lvl>
    <w:lvl w:ilvl="7">
      <w:start w:val="1"/>
      <w:numFmt w:val="decimal"/>
      <w:isLgl w:val="false"/>
      <w:suff w:val="tab"/>
      <w:lvlText w:val="%1.%2.%3.%4.%5.%6.%7.%8."/>
      <w:lvlJc w:val="left"/>
      <w:pPr>
        <w:pStyle w:val="944"/>
        <w:ind w:left="1418" w:hanging="1418"/>
        <w:tabs>
          <w:tab w:val="num" w:pos="1418" w:leader="none"/>
        </w:tabs>
      </w:pPr>
      <w:rPr>
        <w:rFonts w:hint="eastAsia"/>
      </w:rPr>
    </w:lvl>
    <w:lvl w:ilvl="8">
      <w:start w:val="1"/>
      <w:numFmt w:val="decimal"/>
      <w:isLgl w:val="false"/>
      <w:suff w:val="tab"/>
      <w:lvlText w:val="%1.%2.%3.%4.%5.%6.%7.%8.%9."/>
      <w:lvlJc w:val="left"/>
      <w:pPr>
        <w:pStyle w:val="944"/>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944"/>
        <w:tabs>
          <w:tab w:val="num" w:pos="312" w:leader="none"/>
        </w:tabs>
      </w:p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944"/>
        <w:tabs>
          <w:tab w:val="num" w:pos="312" w:leader="none"/>
        </w:tabs>
      </w:p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944"/>
        <w:ind w:left="0" w:firstLine="0"/>
      </w:pPr>
      <w:rPr>
        <w:rFonts w:hint="eastAsia"/>
      </w:rPr>
    </w:lvl>
    <w:lvl w:ilvl="1">
      <w:start w:val="1"/>
      <w:numFmt w:val="decimal"/>
      <w:isLgl w:val="false"/>
      <w:suff w:val="nothing"/>
      <w:lvlText w:val="%2、"/>
      <w:lvlJc w:val="left"/>
      <w:pPr>
        <w:pStyle w:val="944"/>
        <w:ind w:left="0" w:firstLine="0"/>
      </w:pPr>
      <w:rPr>
        <w:rFonts w:hint="eastAsia"/>
      </w:rPr>
    </w:lvl>
    <w:lvl w:ilvl="2">
      <w:start w:val="1"/>
      <w:numFmt w:val="decimal"/>
      <w:isLgl w:val="false"/>
      <w:suff w:val="nothing"/>
      <w:lvlText w:val="%2.%3 "/>
      <w:lvlJc w:val="left"/>
      <w:pPr>
        <w:pStyle w:val="944"/>
        <w:ind w:left="0" w:firstLine="0"/>
      </w:pPr>
      <w:rPr>
        <w:rFonts w:hint="eastAsia"/>
      </w:rPr>
    </w:lvl>
    <w:lvl w:ilvl="3">
      <w:start w:val="1"/>
      <w:numFmt w:val="decimal"/>
      <w:isLgl w:val="false"/>
      <w:suff w:val="nothing"/>
      <w:lvlText w:val="%2.%3.%4 "/>
      <w:lvlJc w:val="left"/>
      <w:pPr>
        <w:pStyle w:val="944"/>
        <w:ind w:left="0" w:firstLine="0"/>
      </w:pPr>
      <w:rPr>
        <w:rFonts w:hint="eastAsia"/>
      </w:rPr>
    </w:lvl>
    <w:lvl w:ilvl="4">
      <w:start w:val="1"/>
      <w:numFmt w:val="decimal"/>
      <w:isLgl w:val="false"/>
      <w:suff w:val="nothing"/>
      <w:lvlText w:val="%2.%3.%4.%5 "/>
      <w:lvlJc w:val="left"/>
      <w:pPr>
        <w:pStyle w:val="944"/>
        <w:ind w:left="0" w:firstLine="0"/>
      </w:pPr>
      <w:rPr>
        <w:rFonts w:hint="eastAsia"/>
      </w:rPr>
    </w:lvl>
    <w:lvl w:ilvl="5">
      <w:start w:val="1"/>
      <w:numFmt w:val="decimal"/>
      <w:pStyle w:val="950"/>
      <w:isLgl w:val="false"/>
      <w:suff w:val="nothing"/>
      <w:lvlText w:val=""/>
      <w:lvlJc w:val="left"/>
      <w:pPr>
        <w:pStyle w:val="944"/>
        <w:ind w:left="0" w:firstLine="0"/>
      </w:pPr>
      <w:rPr>
        <w:rFonts w:hint="eastAsia"/>
      </w:rPr>
    </w:lvl>
    <w:lvl w:ilvl="6">
      <w:start w:val="1"/>
      <w:numFmt w:val="decimal"/>
      <w:pStyle w:val="951"/>
      <w:isLgl w:val="false"/>
      <w:suff w:val="nothing"/>
      <w:lvlText w:val=""/>
      <w:lvlJc w:val="left"/>
      <w:pPr>
        <w:pStyle w:val="944"/>
        <w:ind w:left="0" w:firstLine="0"/>
      </w:pPr>
      <w:rPr>
        <w:rFonts w:hint="eastAsia"/>
      </w:rPr>
    </w:lvl>
    <w:lvl w:ilvl="7">
      <w:start w:val="1"/>
      <w:numFmt w:val="decimal"/>
      <w:pStyle w:val="952"/>
      <w:isLgl w:val="false"/>
      <w:suff w:val="nothing"/>
      <w:lvlText w:val=""/>
      <w:lvlJc w:val="left"/>
      <w:pPr>
        <w:pStyle w:val="944"/>
        <w:ind w:left="0" w:firstLine="0"/>
      </w:pPr>
      <w:rPr>
        <w:rFonts w:hint="eastAsia"/>
      </w:rPr>
    </w:lvl>
    <w:lvl w:ilvl="8">
      <w:start w:val="1"/>
      <w:numFmt w:val="decimal"/>
      <w:pStyle w:val="953"/>
      <w:isLgl w:val="false"/>
      <w:suff w:val="nothing"/>
      <w:lvlText w:val=""/>
      <w:lvlJc w:val="left"/>
      <w:pPr>
        <w:pStyle w:val="944"/>
        <w:ind w:left="0" w:firstLine="0"/>
      </w:pPr>
      <w:rPr>
        <w:rFonts w:hint="eastAsia"/>
      </w:rPr>
    </w:lvl>
  </w:abstractNum>
  <w:abstractNum w:abstractNumId="9">
    <w:multiLevelType w:val="hybridMultilevel"/>
    <w:lvl w:ilvl="0">
      <w:start w:val="1"/>
      <w:numFmt w:val="decimal"/>
      <w:isLgl w:val="false"/>
      <w:suff w:val="tab"/>
      <w:lvlText w:val="%1."/>
      <w:lvlJc w:val="left"/>
      <w:pPr>
        <w:pStyle w:val="944"/>
        <w:tabs>
          <w:tab w:val="num" w:pos="312" w:leader="none"/>
        </w:tabs>
      </w:p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44"/>
        <w:tabs>
          <w:tab w:val="num" w:pos="312" w:leader="none"/>
        </w:tabs>
      </w:p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44"/>
        <w:tabs>
          <w:tab w:val="num" w:pos="312" w:leader="none"/>
        </w:tabs>
      </w:p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num w:numId="1">
    <w:abstractNumId w:val="8"/>
  </w:num>
  <w:num w:numId="2">
    <w:abstractNumId w:val="3"/>
  </w:num>
  <w:num w:numId="3">
    <w:abstractNumId w:val="5"/>
  </w:num>
  <w:num w:numId="4">
    <w:abstractNumId w:val="2"/>
  </w:num>
  <w:num w:numId="5">
    <w:abstractNumId w:val="0"/>
  </w:num>
  <w:num w:numId="6">
    <w:abstractNumId w:val="7"/>
  </w:num>
  <w:num w:numId="7">
    <w:abstractNumId w:val="9"/>
  </w:num>
  <w:num w:numId="8">
    <w:abstractNumId w:val="4"/>
  </w:num>
  <w:num w:numId="9">
    <w:abstractNumId w:val="6"/>
  </w:num>
  <w:num w:numId="10">
    <w:abstractNumId w:val="1"/>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4"/>
    <w:next w:val="944"/>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4"/>
    <w:next w:val="944"/>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4"/>
    <w:next w:val="944"/>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4"/>
    <w:next w:val="944"/>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4"/>
    <w:next w:val="94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4"/>
    <w:next w:val="944"/>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4"/>
    <w:next w:val="944"/>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4"/>
    <w:next w:val="944"/>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4"/>
    <w:next w:val="944"/>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4"/>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6"/>
    <w:link w:val="944"/>
    <w:qFormat/>
    <w:pPr>
      <w:jc w:val="both"/>
      <w:widowControl w:val="off"/>
    </w:pPr>
    <w:rPr>
      <w:rFonts w:ascii="Times New Roman" w:hAnsi="Times New Roman"/>
      <w:sz w:val="21"/>
      <w:szCs w:val="21"/>
      <w:lang w:val="en-US" w:eastAsia="zh-CN" w:bidi="ar-SA"/>
    </w:rPr>
  </w:style>
  <w:style w:type="paragraph" w:styleId="945">
    <w:name w:val="标题 1"/>
    <w:basedOn w:val="944"/>
    <w:next w:val="944"/>
    <w:link w:val="957"/>
    <w:qFormat/>
    <w:pPr>
      <w:jc w:val="center"/>
      <w:keepNext/>
      <w:outlineLvl w:val="0"/>
    </w:pPr>
    <w:rPr>
      <w:rFonts w:ascii="楷体_GB2312" w:eastAsia="楷体_GB2312"/>
      <w:sz w:val="28"/>
      <w:szCs w:val="28"/>
    </w:rPr>
  </w:style>
  <w:style w:type="paragraph" w:styleId="946">
    <w:name w:val="标题 2"/>
    <w:basedOn w:val="944"/>
    <w:next w:val="959"/>
    <w:link w:val="958"/>
    <w:qFormat/>
    <w:pPr>
      <w:jc w:val="center"/>
      <w:keepLines/>
      <w:keepNext/>
      <w:spacing w:before="260" w:after="260" w:line="416" w:lineRule="auto"/>
      <w:outlineLvl w:val="1"/>
    </w:pPr>
    <w:rPr>
      <w:rFonts w:ascii="Arial" w:hAnsi="Arial" w:eastAsia="幼圆" w:cs="Arial"/>
      <w:b/>
      <w:bCs/>
      <w:sz w:val="44"/>
      <w:szCs w:val="44"/>
    </w:rPr>
  </w:style>
  <w:style w:type="paragraph" w:styleId="947">
    <w:name w:val="标题 3"/>
    <w:basedOn w:val="944"/>
    <w:next w:val="959"/>
    <w:link w:val="961"/>
    <w:qFormat/>
    <w:pPr>
      <w:keepLines/>
      <w:keepNext/>
      <w:spacing w:before="260" w:after="260" w:line="416" w:lineRule="auto"/>
      <w:outlineLvl w:val="2"/>
    </w:pPr>
    <w:rPr>
      <w:b/>
      <w:bCs/>
      <w:sz w:val="32"/>
      <w:szCs w:val="32"/>
    </w:rPr>
  </w:style>
  <w:style w:type="paragraph" w:styleId="948">
    <w:name w:val="标题 4"/>
    <w:basedOn w:val="944"/>
    <w:next w:val="959"/>
    <w:link w:val="962"/>
    <w:qFormat/>
    <w:pPr>
      <w:keepLines/>
      <w:keepNext/>
      <w:spacing w:before="280" w:after="290" w:line="376" w:lineRule="auto"/>
      <w:outlineLvl w:val="3"/>
    </w:pPr>
    <w:rPr>
      <w:rFonts w:ascii="Arial" w:hAnsi="Arial" w:eastAsia="黑体" w:cs="Arial"/>
      <w:b/>
      <w:bCs/>
      <w:sz w:val="28"/>
      <w:szCs w:val="28"/>
    </w:rPr>
  </w:style>
  <w:style w:type="paragraph" w:styleId="949">
    <w:name w:val="标题 5"/>
    <w:basedOn w:val="944"/>
    <w:next w:val="959"/>
    <w:link w:val="963"/>
    <w:qFormat/>
    <w:pPr>
      <w:keepNext/>
      <w:outlineLvl w:val="4"/>
    </w:pPr>
    <w:rPr>
      <w:rFonts w:ascii="宋体"/>
      <w:color w:val="000000"/>
      <w:sz w:val="28"/>
      <w:szCs w:val="28"/>
    </w:rPr>
  </w:style>
  <w:style w:type="paragraph" w:styleId="950">
    <w:name w:val="标题 6"/>
    <w:basedOn w:val="944"/>
    <w:next w:val="944"/>
    <w:link w:val="964"/>
    <w:qFormat/>
    <w:pPr>
      <w:numPr>
        <w:ilvl w:val="5"/>
        <w:numId w:val="1"/>
      </w:numPr>
      <w:keepLines/>
      <w:keepNext/>
      <w:spacing w:before="240" w:after="64" w:line="320" w:lineRule="auto"/>
      <w:outlineLvl w:val="5"/>
    </w:pPr>
    <w:rPr>
      <w:rFonts w:ascii="Arial" w:hAnsi="Arial" w:eastAsia="黑体"/>
      <w:b/>
      <w:bCs/>
      <w:sz w:val="24"/>
      <w:szCs w:val="24"/>
    </w:rPr>
  </w:style>
  <w:style w:type="paragraph" w:styleId="951">
    <w:name w:val="标题 7"/>
    <w:basedOn w:val="944"/>
    <w:next w:val="944"/>
    <w:link w:val="965"/>
    <w:qFormat/>
    <w:pPr>
      <w:numPr>
        <w:ilvl w:val="6"/>
        <w:numId w:val="1"/>
      </w:numPr>
      <w:keepLines/>
      <w:keepNext/>
      <w:spacing w:before="240" w:after="64" w:line="320" w:lineRule="auto"/>
      <w:outlineLvl w:val="6"/>
    </w:pPr>
    <w:rPr>
      <w:b/>
      <w:bCs/>
      <w:sz w:val="24"/>
      <w:szCs w:val="24"/>
    </w:rPr>
  </w:style>
  <w:style w:type="paragraph" w:styleId="952">
    <w:name w:val="标题 8"/>
    <w:basedOn w:val="944"/>
    <w:next w:val="944"/>
    <w:link w:val="966"/>
    <w:qFormat/>
    <w:pPr>
      <w:numPr>
        <w:ilvl w:val="7"/>
        <w:numId w:val="1"/>
      </w:numPr>
      <w:keepLines/>
      <w:keepNext/>
      <w:spacing w:before="240" w:after="64" w:line="320" w:lineRule="auto"/>
      <w:outlineLvl w:val="7"/>
    </w:pPr>
    <w:rPr>
      <w:rFonts w:ascii="Arial" w:hAnsi="Arial" w:eastAsia="黑体"/>
      <w:sz w:val="24"/>
      <w:szCs w:val="24"/>
    </w:rPr>
  </w:style>
  <w:style w:type="paragraph" w:styleId="953">
    <w:name w:val="标题 9"/>
    <w:basedOn w:val="944"/>
    <w:next w:val="944"/>
    <w:link w:val="967"/>
    <w:qFormat/>
    <w:pPr>
      <w:numPr>
        <w:ilvl w:val="8"/>
        <w:numId w:val="1"/>
      </w:numPr>
      <w:keepLines/>
      <w:keepNext/>
      <w:spacing w:before="240" w:after="64" w:line="320" w:lineRule="auto"/>
      <w:outlineLvl w:val="8"/>
    </w:pPr>
    <w:rPr>
      <w:rFonts w:ascii="Arial" w:hAnsi="Arial" w:eastAsia="黑体"/>
    </w:rPr>
  </w:style>
  <w:style w:type="character" w:styleId="954">
    <w:name w:val="默认段落字体"/>
    <w:next w:val="954"/>
    <w:link w:val="944"/>
    <w:uiPriority w:val="1"/>
    <w:unhideWhenUsed/>
  </w:style>
  <w:style w:type="table" w:styleId="955">
    <w:name w:val="普通表格"/>
    <w:next w:val="955"/>
    <w:link w:val="944"/>
    <w:uiPriority w:val="99"/>
    <w:unhideWhenUsed/>
    <w:tblPr/>
  </w:style>
  <w:style w:type="paragraph" w:styleId="956">
    <w:name w:val="索引 41"/>
    <w:basedOn w:val="944"/>
    <w:next w:val="944"/>
    <w:link w:val="944"/>
    <w:semiHidden/>
    <w:qFormat/>
    <w:pPr>
      <w:ind w:left="1260"/>
    </w:pPr>
    <w:rPr>
      <w:rFonts w:ascii="Calibri" w:hAnsi="Calibri" w:eastAsia="Calibri" w:cs="宋体"/>
      <w:sz w:val="20"/>
      <w:lang w:val="zh-CN"/>
    </w:rPr>
  </w:style>
  <w:style w:type="character" w:styleId="957">
    <w:name w:val="标题 1 Char"/>
    <w:next w:val="957"/>
    <w:link w:val="945"/>
    <w:rPr>
      <w:rFonts w:ascii="楷体_GB2312" w:hAnsi="Times New Roman" w:eastAsia="楷体_GB2312" w:cs="Times New Roman"/>
      <w:sz w:val="28"/>
      <w:szCs w:val="28"/>
    </w:rPr>
  </w:style>
  <w:style w:type="character" w:styleId="958">
    <w:name w:val="标题 2 Char"/>
    <w:next w:val="958"/>
    <w:link w:val="946"/>
    <w:rPr>
      <w:rFonts w:ascii="Arial" w:hAnsi="Arial" w:eastAsia="幼圆" w:cs="Arial"/>
      <w:b/>
      <w:bCs/>
      <w:sz w:val="44"/>
      <w:szCs w:val="44"/>
    </w:rPr>
  </w:style>
  <w:style w:type="paragraph" w:styleId="959">
    <w:name w:val="正文缩进"/>
    <w:basedOn w:val="944"/>
    <w:next w:val="959"/>
    <w:link w:val="960"/>
    <w:pPr>
      <w:ind w:firstLine="420"/>
    </w:pPr>
  </w:style>
  <w:style w:type="character" w:styleId="960">
    <w:name w:val="正文缩进 Char"/>
    <w:next w:val="960"/>
    <w:link w:val="959"/>
    <w:rPr>
      <w:rFonts w:ascii="Times New Roman" w:hAnsi="Times New Roman" w:eastAsia="宋体" w:cs="Times New Roman"/>
      <w:szCs w:val="21"/>
    </w:rPr>
  </w:style>
  <w:style w:type="character" w:styleId="961">
    <w:name w:val="标题 3 Char"/>
    <w:next w:val="961"/>
    <w:link w:val="947"/>
    <w:rPr>
      <w:rFonts w:ascii="Times New Roman" w:hAnsi="Times New Roman" w:eastAsia="宋体" w:cs="Times New Roman"/>
      <w:b/>
      <w:bCs/>
      <w:sz w:val="32"/>
      <w:szCs w:val="32"/>
    </w:rPr>
  </w:style>
  <w:style w:type="character" w:styleId="962">
    <w:name w:val="标题 4 Char"/>
    <w:next w:val="962"/>
    <w:link w:val="948"/>
    <w:rPr>
      <w:rFonts w:ascii="Arial" w:hAnsi="Arial" w:eastAsia="黑体" w:cs="Arial"/>
      <w:b/>
      <w:bCs/>
      <w:sz w:val="28"/>
      <w:szCs w:val="28"/>
    </w:rPr>
  </w:style>
  <w:style w:type="character" w:styleId="963">
    <w:name w:val="标题 5 Char"/>
    <w:next w:val="963"/>
    <w:link w:val="949"/>
    <w:rPr>
      <w:rFonts w:ascii="宋体" w:hAnsi="Times New Roman" w:eastAsia="宋体" w:cs="Times New Roman"/>
      <w:color w:val="000000"/>
      <w:sz w:val="28"/>
      <w:szCs w:val="28"/>
    </w:rPr>
  </w:style>
  <w:style w:type="character" w:styleId="964">
    <w:name w:val="标题 6 Char"/>
    <w:next w:val="964"/>
    <w:link w:val="950"/>
    <w:rPr>
      <w:rFonts w:ascii="Arial" w:hAnsi="Arial" w:eastAsia="黑体" w:cs="Times New Roman"/>
      <w:b/>
      <w:bCs/>
      <w:sz w:val="24"/>
      <w:szCs w:val="24"/>
    </w:rPr>
  </w:style>
  <w:style w:type="character" w:styleId="965">
    <w:name w:val="标题 7 Char"/>
    <w:next w:val="965"/>
    <w:link w:val="951"/>
    <w:rPr>
      <w:rFonts w:ascii="Times New Roman" w:hAnsi="Times New Roman" w:eastAsia="宋体" w:cs="Times New Roman"/>
      <w:b/>
      <w:bCs/>
      <w:sz w:val="24"/>
      <w:szCs w:val="24"/>
    </w:rPr>
  </w:style>
  <w:style w:type="character" w:styleId="966">
    <w:name w:val="标题 8 Char"/>
    <w:next w:val="966"/>
    <w:link w:val="952"/>
    <w:rPr>
      <w:rFonts w:ascii="Arial" w:hAnsi="Arial" w:eastAsia="黑体" w:cs="Times New Roman"/>
      <w:sz w:val="24"/>
      <w:szCs w:val="24"/>
    </w:rPr>
  </w:style>
  <w:style w:type="character" w:styleId="967">
    <w:name w:val="标题 9 Char"/>
    <w:next w:val="967"/>
    <w:link w:val="953"/>
    <w:rPr>
      <w:rFonts w:ascii="Arial" w:hAnsi="Arial" w:eastAsia="黑体" w:cs="Times New Roman"/>
      <w:szCs w:val="21"/>
    </w:rPr>
  </w:style>
  <w:style w:type="paragraph" w:styleId="968">
    <w:name w:val="列表 3"/>
    <w:basedOn w:val="944"/>
    <w:next w:val="968"/>
    <w:link w:val="944"/>
    <w:pPr>
      <w:ind w:left="100" w:hanging="200"/>
    </w:pPr>
  </w:style>
  <w:style w:type="paragraph" w:styleId="969">
    <w:name w:val="目录 7"/>
    <w:basedOn w:val="944"/>
    <w:next w:val="944"/>
    <w:link w:val="944"/>
    <w:semiHidden/>
    <w:pPr>
      <w:ind w:left="1260"/>
      <w:jc w:val="left"/>
    </w:pPr>
  </w:style>
  <w:style w:type="paragraph" w:styleId="970">
    <w:name w:val="文档结构图"/>
    <w:basedOn w:val="944"/>
    <w:next w:val="970"/>
    <w:link w:val="971"/>
    <w:semiHidden/>
    <w:pPr>
      <w:shd w:val="clear" w:color="auto" w:fill="000080"/>
    </w:pPr>
  </w:style>
  <w:style w:type="character" w:styleId="971">
    <w:name w:val="文档结构图 Char"/>
    <w:next w:val="971"/>
    <w:link w:val="970"/>
    <w:semiHidden/>
    <w:rPr>
      <w:rFonts w:ascii="Times New Roman" w:hAnsi="Times New Roman" w:eastAsia="宋体" w:cs="Times New Roman"/>
      <w:szCs w:val="21"/>
      <w:shd w:val="clear" w:color="auto" w:fill="000080"/>
    </w:rPr>
  </w:style>
  <w:style w:type="paragraph" w:styleId="972">
    <w:name w:val="批注文字"/>
    <w:basedOn w:val="944"/>
    <w:next w:val="972"/>
    <w:link w:val="973"/>
    <w:semiHidden/>
    <w:pPr>
      <w:jc w:val="left"/>
    </w:pPr>
  </w:style>
  <w:style w:type="character" w:styleId="973">
    <w:name w:val="批注文字 Char"/>
    <w:next w:val="973"/>
    <w:link w:val="972"/>
    <w:semiHidden/>
    <w:rPr>
      <w:rFonts w:ascii="Times New Roman" w:hAnsi="Times New Roman" w:eastAsia="宋体" w:cs="Times New Roman"/>
      <w:szCs w:val="21"/>
    </w:rPr>
  </w:style>
  <w:style w:type="paragraph" w:styleId="974">
    <w:name w:val="正文文本 3"/>
    <w:basedOn w:val="944"/>
    <w:next w:val="974"/>
    <w:link w:val="975"/>
    <w:rPr>
      <w:rFonts w:ascii="仿宋_GB2312" w:hAnsi="Arial" w:eastAsia="仿宋_GB2312"/>
      <w:sz w:val="32"/>
      <w:szCs w:val="32"/>
    </w:rPr>
  </w:style>
  <w:style w:type="character" w:styleId="975">
    <w:name w:val="正文文本 3 Char"/>
    <w:next w:val="975"/>
    <w:link w:val="974"/>
    <w:rPr>
      <w:rFonts w:ascii="仿宋_GB2312" w:hAnsi="Arial" w:eastAsia="仿宋_GB2312" w:cs="Times New Roman"/>
      <w:sz w:val="32"/>
      <w:szCs w:val="32"/>
    </w:rPr>
  </w:style>
  <w:style w:type="paragraph" w:styleId="976">
    <w:name w:val="正文文本"/>
    <w:basedOn w:val="944"/>
    <w:next w:val="976"/>
    <w:link w:val="977"/>
    <w:rPr>
      <w:rFonts w:ascii="楷体_GB2312" w:hAnsi="Arial" w:eastAsia="楷体_GB2312"/>
      <w:sz w:val="28"/>
      <w:szCs w:val="28"/>
    </w:rPr>
  </w:style>
  <w:style w:type="character" w:styleId="977">
    <w:name w:val="正文文本 Char"/>
    <w:next w:val="977"/>
    <w:link w:val="976"/>
    <w:rPr>
      <w:rFonts w:ascii="楷体_GB2312" w:hAnsi="Arial" w:eastAsia="楷体_GB2312" w:cs="Times New Roman"/>
      <w:sz w:val="28"/>
      <w:szCs w:val="28"/>
    </w:rPr>
  </w:style>
  <w:style w:type="paragraph" w:styleId="978">
    <w:name w:val="正文文本缩进"/>
    <w:basedOn w:val="944"/>
    <w:next w:val="980"/>
    <w:link w:val="979"/>
    <w:pPr>
      <w:ind w:firstLine="645"/>
    </w:pPr>
    <w:rPr>
      <w:rFonts w:ascii="楷体_GB2312" w:eastAsia="楷体_GB2312"/>
      <w:sz w:val="32"/>
      <w:szCs w:val="32"/>
    </w:rPr>
  </w:style>
  <w:style w:type="character" w:styleId="979">
    <w:name w:val="正文文本缩进 Char"/>
    <w:next w:val="979"/>
    <w:link w:val="978"/>
    <w:rPr>
      <w:rFonts w:ascii="楷体_GB2312" w:hAnsi="Times New Roman" w:eastAsia="楷体_GB2312" w:cs="Times New Roman"/>
      <w:sz w:val="32"/>
      <w:szCs w:val="32"/>
    </w:rPr>
  </w:style>
  <w:style w:type="paragraph" w:styleId="980">
    <w:name w:val="寄信人地址"/>
    <w:basedOn w:val="944"/>
    <w:next w:val="980"/>
    <w:link w:val="944"/>
    <w:qFormat/>
    <w:rPr>
      <w:rFonts w:ascii="Arial" w:hAnsi="Arial" w:eastAsia="宋体" w:cs="宋体"/>
    </w:rPr>
  </w:style>
  <w:style w:type="paragraph" w:styleId="981">
    <w:name w:val="列表 2"/>
    <w:basedOn w:val="944"/>
    <w:next w:val="981"/>
    <w:link w:val="944"/>
    <w:pPr>
      <w:ind w:left="100" w:hanging="200"/>
    </w:pPr>
  </w:style>
  <w:style w:type="paragraph" w:styleId="982">
    <w:name w:val="目录 5"/>
    <w:basedOn w:val="944"/>
    <w:next w:val="944"/>
    <w:link w:val="944"/>
    <w:semiHidden/>
    <w:pPr>
      <w:ind w:left="840"/>
      <w:jc w:val="left"/>
    </w:pPr>
  </w:style>
  <w:style w:type="paragraph" w:styleId="983">
    <w:name w:val="目录 3"/>
    <w:basedOn w:val="944"/>
    <w:next w:val="944"/>
    <w:link w:val="944"/>
    <w:semiHidden/>
    <w:pPr>
      <w:ind w:left="420"/>
      <w:jc w:val="left"/>
    </w:pPr>
    <w:rPr>
      <w:i/>
      <w:iCs/>
      <w:szCs w:val="24"/>
    </w:rPr>
  </w:style>
  <w:style w:type="paragraph" w:styleId="984">
    <w:name w:val="纯文本"/>
    <w:basedOn w:val="944"/>
    <w:next w:val="984"/>
    <w:link w:val="985"/>
    <w:rPr>
      <w:rFonts w:ascii="宋体" w:hAnsi="Courier New" w:cs="Courier New"/>
    </w:rPr>
  </w:style>
  <w:style w:type="character" w:styleId="985">
    <w:name w:val="纯文本 Char"/>
    <w:next w:val="985"/>
    <w:link w:val="984"/>
    <w:rPr>
      <w:rFonts w:ascii="宋体" w:hAnsi="Courier New" w:eastAsia="宋体" w:cs="Courier New"/>
      <w:szCs w:val="21"/>
    </w:rPr>
  </w:style>
  <w:style w:type="paragraph" w:styleId="986">
    <w:name w:val="目录 8"/>
    <w:basedOn w:val="944"/>
    <w:next w:val="944"/>
    <w:link w:val="944"/>
    <w:semiHidden/>
    <w:pPr>
      <w:ind w:left="1470"/>
      <w:jc w:val="left"/>
    </w:pPr>
  </w:style>
  <w:style w:type="paragraph" w:styleId="987">
    <w:name w:val="日期"/>
    <w:basedOn w:val="944"/>
    <w:next w:val="944"/>
    <w:link w:val="988"/>
    <w:rPr>
      <w:sz w:val="24"/>
      <w:szCs w:val="24"/>
    </w:rPr>
  </w:style>
  <w:style w:type="character" w:styleId="988">
    <w:name w:val="日期 Char"/>
    <w:next w:val="988"/>
    <w:link w:val="987"/>
    <w:rPr>
      <w:rFonts w:ascii="Times New Roman" w:hAnsi="Times New Roman" w:eastAsia="宋体" w:cs="Times New Roman"/>
      <w:sz w:val="24"/>
      <w:szCs w:val="24"/>
    </w:rPr>
  </w:style>
  <w:style w:type="paragraph" w:styleId="989">
    <w:name w:val="正文文本缩进 2"/>
    <w:basedOn w:val="944"/>
    <w:next w:val="989"/>
    <w:link w:val="990"/>
    <w:pPr>
      <w:ind w:left="630" w:firstLine="645"/>
    </w:pPr>
    <w:rPr>
      <w:rFonts w:ascii="Arial" w:hAnsi="Arial" w:eastAsia="仿宋_GB2312" w:cs="Arial"/>
      <w:sz w:val="32"/>
      <w:szCs w:val="32"/>
    </w:rPr>
  </w:style>
  <w:style w:type="character" w:styleId="990">
    <w:name w:val="正文文本缩进 2 Char"/>
    <w:next w:val="990"/>
    <w:link w:val="989"/>
    <w:rPr>
      <w:rFonts w:ascii="Arial" w:hAnsi="Arial" w:eastAsia="仿宋_GB2312" w:cs="Arial"/>
      <w:sz w:val="32"/>
      <w:szCs w:val="32"/>
    </w:rPr>
  </w:style>
  <w:style w:type="paragraph" w:styleId="991">
    <w:name w:val="批注框文本"/>
    <w:basedOn w:val="944"/>
    <w:next w:val="991"/>
    <w:link w:val="992"/>
    <w:semiHidden/>
    <w:rPr>
      <w:sz w:val="18"/>
      <w:szCs w:val="18"/>
    </w:rPr>
  </w:style>
  <w:style w:type="character" w:styleId="992">
    <w:name w:val="批注框文本 Char"/>
    <w:next w:val="992"/>
    <w:link w:val="991"/>
    <w:semiHidden/>
    <w:rPr>
      <w:rFonts w:ascii="Times New Roman" w:hAnsi="Times New Roman" w:eastAsia="宋体" w:cs="Times New Roman"/>
      <w:sz w:val="18"/>
      <w:szCs w:val="18"/>
    </w:rPr>
  </w:style>
  <w:style w:type="paragraph" w:styleId="993">
    <w:name w:val="页脚"/>
    <w:basedOn w:val="944"/>
    <w:next w:val="993"/>
    <w:link w:val="994"/>
    <w:pPr>
      <w:jc w:val="left"/>
      <w:tabs>
        <w:tab w:val="center" w:pos="4153" w:leader="none"/>
        <w:tab w:val="right" w:pos="8306" w:leader="none"/>
      </w:tabs>
    </w:pPr>
    <w:rPr>
      <w:sz w:val="18"/>
      <w:szCs w:val="18"/>
    </w:rPr>
  </w:style>
  <w:style w:type="character" w:styleId="994">
    <w:name w:val="页脚 Char"/>
    <w:next w:val="994"/>
    <w:link w:val="993"/>
    <w:rPr>
      <w:rFonts w:ascii="Times New Roman" w:hAnsi="Times New Roman" w:eastAsia="宋体" w:cs="Times New Roman"/>
      <w:sz w:val="18"/>
      <w:szCs w:val="18"/>
    </w:rPr>
  </w:style>
  <w:style w:type="paragraph" w:styleId="995">
    <w:name w:val="页眉"/>
    <w:basedOn w:val="944"/>
    <w:next w:val="995"/>
    <w:link w:val="996"/>
    <w:pPr>
      <w:jc w:val="center"/>
      <w:tabs>
        <w:tab w:val="center" w:pos="4153" w:leader="none"/>
        <w:tab w:val="right" w:pos="8306" w:leader="none"/>
      </w:tabs>
      <w:pBdr>
        <w:bottom w:val="single" w:color="000000" w:sz="6" w:space="1"/>
      </w:pBdr>
    </w:pPr>
    <w:rPr>
      <w:sz w:val="18"/>
      <w:szCs w:val="18"/>
    </w:rPr>
  </w:style>
  <w:style w:type="character" w:styleId="996">
    <w:name w:val="页眉 Char"/>
    <w:next w:val="996"/>
    <w:link w:val="995"/>
    <w:rPr>
      <w:rFonts w:ascii="Times New Roman" w:hAnsi="Times New Roman" w:eastAsia="宋体" w:cs="Times New Roman"/>
      <w:sz w:val="18"/>
      <w:szCs w:val="18"/>
    </w:rPr>
  </w:style>
  <w:style w:type="paragraph" w:styleId="997">
    <w:name w:val="目录 1"/>
    <w:basedOn w:val="944"/>
    <w:next w:val="944"/>
    <w:link w:val="944"/>
    <w:semiHidden/>
    <w:pPr>
      <w:jc w:val="left"/>
      <w:spacing w:before="120" w:after="120" w:line="400" w:lineRule="exact"/>
      <w:tabs>
        <w:tab w:val="right" w:pos="8720" w:leader="dot"/>
      </w:tabs>
    </w:pPr>
    <w:rPr>
      <w:rFonts w:ascii="宋体" w:hAnsi="宋体"/>
      <w:caps/>
      <w:sz w:val="24"/>
      <w:szCs w:val="24"/>
    </w:rPr>
  </w:style>
  <w:style w:type="paragraph" w:styleId="998">
    <w:name w:val="目录 4"/>
    <w:basedOn w:val="944"/>
    <w:next w:val="944"/>
    <w:link w:val="944"/>
    <w:semiHidden/>
    <w:pPr>
      <w:ind w:left="630"/>
      <w:jc w:val="left"/>
    </w:pPr>
  </w:style>
  <w:style w:type="paragraph" w:styleId="999">
    <w:name w:val="列表"/>
    <w:basedOn w:val="944"/>
    <w:next w:val="999"/>
    <w:link w:val="944"/>
    <w:pPr>
      <w:ind w:left="200" w:hanging="200"/>
    </w:pPr>
  </w:style>
  <w:style w:type="paragraph" w:styleId="1000">
    <w:name w:val="目录 6"/>
    <w:basedOn w:val="944"/>
    <w:next w:val="944"/>
    <w:link w:val="944"/>
    <w:semiHidden/>
    <w:pPr>
      <w:ind w:left="1050"/>
      <w:jc w:val="left"/>
    </w:pPr>
  </w:style>
  <w:style w:type="paragraph" w:styleId="1001">
    <w:name w:val="正文文本缩进 3"/>
    <w:basedOn w:val="944"/>
    <w:next w:val="1001"/>
    <w:link w:val="1002"/>
    <w:pPr>
      <w:ind w:left="645" w:firstLine="645"/>
    </w:pPr>
    <w:rPr>
      <w:rFonts w:ascii="Arial" w:hAnsi="Arial" w:eastAsia="仿宋_GB2312" w:cs="Arial"/>
      <w:color w:val="ffff00"/>
      <w:sz w:val="32"/>
      <w:szCs w:val="32"/>
    </w:rPr>
  </w:style>
  <w:style w:type="character" w:styleId="1002">
    <w:name w:val="正文文本缩进 3 Char"/>
    <w:next w:val="1002"/>
    <w:link w:val="1001"/>
    <w:rPr>
      <w:rFonts w:ascii="Arial" w:hAnsi="Arial" w:eastAsia="仿宋_GB2312" w:cs="Arial"/>
      <w:color w:val="ffff00"/>
      <w:sz w:val="32"/>
      <w:szCs w:val="32"/>
    </w:rPr>
  </w:style>
  <w:style w:type="paragraph" w:styleId="1003">
    <w:name w:val="图表目录"/>
    <w:basedOn w:val="944"/>
    <w:next w:val="944"/>
    <w:link w:val="944"/>
    <w:semiHidden/>
    <w:pPr>
      <w:ind w:left="840" w:hanging="420"/>
    </w:pPr>
  </w:style>
  <w:style w:type="paragraph" w:styleId="1004">
    <w:name w:val="目录 2"/>
    <w:basedOn w:val="944"/>
    <w:next w:val="944"/>
    <w:link w:val="944"/>
    <w:semiHidden/>
    <w:pPr>
      <w:ind w:left="210"/>
      <w:jc w:val="left"/>
    </w:pPr>
    <w:rPr>
      <w:smallCaps/>
      <w:szCs w:val="24"/>
    </w:rPr>
  </w:style>
  <w:style w:type="paragraph" w:styleId="1005">
    <w:name w:val="目录 9"/>
    <w:basedOn w:val="944"/>
    <w:next w:val="944"/>
    <w:link w:val="944"/>
    <w:semiHidden/>
    <w:pPr>
      <w:ind w:left="1680"/>
      <w:jc w:val="left"/>
    </w:pPr>
  </w:style>
  <w:style w:type="paragraph" w:styleId="1006">
    <w:name w:val="正文文本 2"/>
    <w:basedOn w:val="944"/>
    <w:next w:val="1006"/>
    <w:link w:val="1007"/>
    <w:pPr>
      <w:jc w:val="center"/>
      <w:widowControl/>
    </w:pPr>
    <w:rPr>
      <w:rFonts w:ascii="楷体_GB2312" w:eastAsia="楷体_GB2312"/>
      <w:sz w:val="28"/>
      <w:szCs w:val="28"/>
    </w:rPr>
  </w:style>
  <w:style w:type="character" w:styleId="1007">
    <w:name w:val="正文文本 2 Char"/>
    <w:next w:val="1007"/>
    <w:link w:val="1006"/>
    <w:rPr>
      <w:rFonts w:ascii="楷体_GB2312" w:hAnsi="Times New Roman" w:eastAsia="楷体_GB2312" w:cs="Times New Roman"/>
      <w:sz w:val="28"/>
      <w:szCs w:val="28"/>
    </w:rPr>
  </w:style>
  <w:style w:type="paragraph" w:styleId="1008">
    <w:name w:val="普通(网站)"/>
    <w:basedOn w:val="944"/>
    <w:next w:val="1008"/>
    <w:link w:val="944"/>
    <w:uiPriority w:val="99"/>
    <w:pPr>
      <w:jc w:val="left"/>
      <w:spacing w:before="100" w:beforeAutospacing="1" w:after="100" w:afterAutospacing="1"/>
      <w:widowControl/>
    </w:pPr>
    <w:rPr>
      <w:rFonts w:ascii="宋体" w:hAnsi="宋体" w:cs="宋体"/>
      <w:sz w:val="24"/>
      <w:szCs w:val="24"/>
    </w:rPr>
  </w:style>
  <w:style w:type="paragraph" w:styleId="1009">
    <w:name w:val="索引 1"/>
    <w:basedOn w:val="944"/>
    <w:next w:val="944"/>
    <w:link w:val="944"/>
    <w:semiHidden/>
    <w:pPr>
      <w:spacing w:line="240" w:lineRule="atLeast"/>
    </w:pPr>
    <w:rPr>
      <w:b/>
      <w:bCs/>
    </w:rPr>
  </w:style>
  <w:style w:type="paragraph" w:styleId="1010">
    <w:name w:val="批注主题"/>
    <w:basedOn w:val="972"/>
    <w:next w:val="972"/>
    <w:link w:val="1011"/>
    <w:semiHidden/>
    <w:rPr>
      <w:b/>
      <w:bCs/>
    </w:rPr>
  </w:style>
  <w:style w:type="character" w:styleId="1011">
    <w:name w:val="批注主题 Char"/>
    <w:next w:val="1011"/>
    <w:link w:val="1010"/>
    <w:semiHidden/>
    <w:rPr>
      <w:rFonts w:ascii="Times New Roman" w:hAnsi="Times New Roman" w:eastAsia="宋体" w:cs="Times New Roman"/>
      <w:b/>
      <w:bCs/>
      <w:szCs w:val="21"/>
    </w:rPr>
  </w:style>
  <w:style w:type="paragraph" w:styleId="1012">
    <w:name w:val="正文首行缩进"/>
    <w:basedOn w:val="944"/>
    <w:next w:val="1012"/>
    <w:link w:val="1013"/>
    <w:pPr>
      <w:ind w:firstLine="200"/>
      <w:spacing w:line="360" w:lineRule="auto"/>
    </w:pPr>
    <w:rPr>
      <w:rFonts w:ascii="仿宋_GB2312" w:eastAsia="仿宋_GB2312"/>
      <w:sz w:val="30"/>
      <w:szCs w:val="30"/>
    </w:rPr>
  </w:style>
  <w:style w:type="character" w:styleId="1013">
    <w:name w:val="正文首行缩进 Char"/>
    <w:next w:val="1013"/>
    <w:link w:val="1012"/>
    <w:rPr>
      <w:rFonts w:ascii="仿宋_GB2312" w:hAnsi="Times New Roman" w:eastAsia="仿宋_GB2312" w:cs="Times New Roman"/>
      <w:sz w:val="30"/>
      <w:szCs w:val="30"/>
    </w:rPr>
  </w:style>
  <w:style w:type="paragraph" w:styleId="1014">
    <w:name w:val="正文首行缩进 2"/>
    <w:basedOn w:val="978"/>
    <w:next w:val="944"/>
    <w:link w:val="1015"/>
    <w:pPr>
      <w:ind w:firstLine="420"/>
      <w:spacing w:line="360" w:lineRule="auto"/>
    </w:pPr>
    <w:rPr>
      <w:rFonts w:ascii="宋体" w:hAnsi="宋体" w:eastAsia="宋体"/>
      <w:sz w:val="21"/>
      <w:szCs w:val="20"/>
    </w:rPr>
  </w:style>
  <w:style w:type="character" w:styleId="1015">
    <w:name w:val="正文首行缩进 2 Char"/>
    <w:next w:val="1015"/>
    <w:link w:val="1014"/>
    <w:rPr>
      <w:rFonts w:ascii="宋体" w:hAnsi="宋体" w:eastAsia="宋体" w:cs="Times New Roman"/>
      <w:sz w:val="32"/>
      <w:szCs w:val="20"/>
    </w:rPr>
  </w:style>
  <w:style w:type="table" w:styleId="1016">
    <w:name w:val="网格型"/>
    <w:basedOn w:val="955"/>
    <w:next w:val="1016"/>
    <w:link w:val="944"/>
    <w:pPr>
      <w:jc w:val="both"/>
      <w:widowControl w:val="off"/>
    </w:pPr>
    <w:rPr>
      <w:rFonts w:ascii="Times New Roman" w:hAnsi="Times New Roman" w:eastAsia="宋体" w:cs="Times New Roman"/>
      <w:sz w:val="20"/>
      <w:szCs w:val="20"/>
    </w:rPr>
    <w:tblPr/>
  </w:style>
  <w:style w:type="character" w:styleId="1017">
    <w:name w:val="要点"/>
    <w:next w:val="1017"/>
    <w:link w:val="944"/>
    <w:qFormat/>
    <w:rPr>
      <w:b/>
      <w:bCs/>
    </w:rPr>
  </w:style>
  <w:style w:type="character" w:styleId="1018">
    <w:name w:val="页码"/>
    <w:next w:val="1018"/>
    <w:link w:val="944"/>
  </w:style>
  <w:style w:type="character" w:styleId="1019">
    <w:name w:val="已访问的超链接"/>
    <w:next w:val="1019"/>
    <w:link w:val="944"/>
    <w:rPr>
      <w:color w:val="800080"/>
      <w:u w:val="single"/>
    </w:rPr>
  </w:style>
  <w:style w:type="character" w:styleId="1020">
    <w:name w:val="超链接"/>
    <w:next w:val="1020"/>
    <w:link w:val="944"/>
    <w:rPr>
      <w:color w:val="0000ff"/>
      <w:u w:val="single"/>
    </w:rPr>
  </w:style>
  <w:style w:type="character" w:styleId="1021">
    <w:name w:val="批注引用"/>
    <w:next w:val="1021"/>
    <w:link w:val="944"/>
    <w:semiHidden/>
    <w:rPr>
      <w:sz w:val="21"/>
      <w:szCs w:val="21"/>
    </w:rPr>
  </w:style>
  <w:style w:type="paragraph" w:styleId="1022">
    <w:name w:val="正文文本12"/>
    <w:basedOn w:val="944"/>
    <w:next w:val="1022"/>
    <w:link w:val="944"/>
    <w:uiPriority w:val="1"/>
    <w:qFormat/>
    <w:pPr>
      <w:ind w:left="120"/>
    </w:pPr>
    <w:rPr>
      <w:rFonts w:ascii="宋体" w:hAnsi="宋体" w:eastAsia="宋体" w:cs="宋体"/>
      <w:sz w:val="21"/>
      <w:szCs w:val="21"/>
      <w:lang w:val="zh-CN" w:eastAsia="zh-CN" w:bidi="zh-CN"/>
    </w:rPr>
  </w:style>
  <w:style w:type="character" w:styleId="1023">
    <w:name w:val="font5 Char"/>
    <w:next w:val="1023"/>
    <w:link w:val="944"/>
    <w:rPr>
      <w:rFonts w:ascii="宋体" w:hAnsi="宋体" w:eastAsia="宋体"/>
      <w:sz w:val="28"/>
      <w:szCs w:val="28"/>
      <w:lang w:val="en-US" w:eastAsia="zh-CN" w:bidi="ar-SA"/>
    </w:rPr>
  </w:style>
  <w:style w:type="character" w:styleId="1024">
    <w:name w:val="二级目录 Char"/>
    <w:next w:val="1024"/>
    <w:link w:val="1025"/>
    <w:rPr>
      <w:b/>
      <w:sz w:val="30"/>
      <w:szCs w:val="28"/>
    </w:rPr>
  </w:style>
  <w:style w:type="paragraph" w:styleId="1025">
    <w:name w:val="二级目录"/>
    <w:next w:val="944"/>
    <w:link w:val="1024"/>
    <w:pPr>
      <w:numPr>
        <w:ilvl w:val="0"/>
        <w:numId w:val="2"/>
      </w:numPr>
      <w:tabs>
        <w:tab w:val="left" w:pos="907" w:leader="none"/>
        <w:tab w:val="left" w:pos="1145" w:leader="none"/>
      </w:tabs>
      <w:outlineLvl w:val="1"/>
    </w:pPr>
    <w:rPr>
      <w:b/>
      <w:sz w:val="30"/>
      <w:szCs w:val="28"/>
      <w:lang w:val="en-US" w:eastAsia="zh-CN" w:bidi="ar-SA"/>
    </w:rPr>
  </w:style>
  <w:style w:type="character" w:styleId="1026">
    <w:name w:val="列出段落 Char,Bullet List Char,numbered Char,FooterText Char,List Paragraph1 Char,Paragraphe de liste1 Char"/>
    <w:next w:val="1026"/>
    <w:link w:val="1027"/>
    <w:rPr>
      <w:rFonts w:ascii="Calibri" w:hAnsi="Calibri"/>
      <w:sz w:val="24"/>
      <w:szCs w:val="24"/>
      <w:lang w:eastAsia="en-US" w:bidi="en-US"/>
    </w:rPr>
  </w:style>
  <w:style w:type="paragraph" w:styleId="1027">
    <w:name w:val="列出段落1"/>
    <w:basedOn w:val="944"/>
    <w:next w:val="1027"/>
    <w:link w:val="1026"/>
    <w:qFormat/>
    <w:pPr>
      <w:contextualSpacing/>
      <w:ind w:left="720"/>
      <w:jc w:val="left"/>
      <w:widowControl/>
    </w:pPr>
    <w:rPr>
      <w:rFonts w:ascii="Calibri" w:hAnsi="Calibri" w:eastAsia="宋体" w:cs="Times New Roman"/>
      <w:sz w:val="24"/>
      <w:szCs w:val="24"/>
      <w:lang w:eastAsia="en-US" w:bidi="en-US"/>
    </w:rPr>
  </w:style>
  <w:style w:type="paragraph" w:styleId="1028">
    <w:name w:val="Body Text(ch)"/>
    <w:basedOn w:val="944"/>
    <w:next w:val="976"/>
    <w:link w:val="944"/>
    <w:pPr>
      <w:spacing w:after="120"/>
    </w:pPr>
    <w:rPr>
      <w:rFonts w:ascii="宋体" w:hAnsi="Arial"/>
      <w:bCs/>
      <w:iCs/>
      <w:szCs w:val="24"/>
    </w:rPr>
  </w:style>
  <w:style w:type="paragraph" w:styleId="1029">
    <w:name w:val="xl27"/>
    <w:basedOn w:val="944"/>
    <w:next w:val="1029"/>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6"/>
    <w:basedOn w:val="944"/>
    <w:next w:val="1030"/>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name w:val="Char"/>
    <w:basedOn w:val="944"/>
    <w:next w:val="1031"/>
    <w:link w:val="944"/>
    <w:pPr>
      <w:ind w:firstLine="200"/>
      <w:tabs>
        <w:tab w:val="left" w:pos="360" w:leader="none"/>
      </w:tabs>
    </w:pPr>
    <w:rPr>
      <w:sz w:val="28"/>
      <w:szCs w:val="30"/>
    </w:rPr>
  </w:style>
  <w:style w:type="paragraph" w:styleId="1032">
    <w:name w:val=" Char"/>
    <w:basedOn w:val="970"/>
    <w:next w:val="1032"/>
    <w:link w:val="944"/>
    <w:rPr>
      <w:rFonts w:ascii="Tahoma" w:hAnsi="Tahoma"/>
      <w:sz w:val="24"/>
      <w:szCs w:val="24"/>
    </w:rPr>
  </w:style>
  <w:style w:type="paragraph" w:styleId="1033">
    <w:name w:val="普通正文"/>
    <w:basedOn w:val="944"/>
    <w:next w:val="1033"/>
    <w:link w:val="944"/>
    <w:pPr>
      <w:ind w:firstLine="480"/>
      <w:jc w:val="left"/>
      <w:spacing w:before="120" w:after="120" w:line="360" w:lineRule="auto"/>
    </w:pPr>
    <w:rPr>
      <w:rFonts w:ascii="Arial" w:hAnsi="Arial"/>
      <w:sz w:val="24"/>
      <w:szCs w:val="24"/>
    </w:rPr>
  </w:style>
  <w:style w:type="paragraph" w:styleId="1034">
    <w:name w:val="table_lines"/>
    <w:basedOn w:val="944"/>
    <w:next w:val="1034"/>
    <w:link w:val="944"/>
    <w:pPr>
      <w:jc w:val="left"/>
      <w:widowControl/>
    </w:pPr>
    <w:rPr>
      <w:sz w:val="20"/>
      <w:szCs w:val="20"/>
      <w:lang w:val="de-DE" w:eastAsia="de-DE"/>
    </w:rPr>
  </w:style>
  <w:style w:type="paragraph" w:styleId="1035">
    <w:name w:val="附录1"/>
    <w:next w:val="1035"/>
    <w:link w:val="94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6">
    <w:name w:val="font7"/>
    <w:basedOn w:val="944"/>
    <w:next w:val="1036"/>
    <w:link w:val="944"/>
    <w:pPr>
      <w:jc w:val="left"/>
      <w:spacing w:before="100" w:beforeAutospacing="1" w:after="100" w:afterAutospacing="1"/>
      <w:widowControl/>
    </w:pPr>
    <w:rPr>
      <w:rFonts w:hint="eastAsia" w:ascii="宋体" w:hAnsi="宋体"/>
      <w:sz w:val="18"/>
      <w:szCs w:val="18"/>
    </w:rPr>
  </w:style>
  <w:style w:type="paragraph" w:styleId="1037">
    <w:name w:val=" Char Char Char Char"/>
    <w:basedOn w:val="970"/>
    <w:next w:val="1037"/>
    <w:link w:val="944"/>
    <w:pPr>
      <w:spacing w:line="360" w:lineRule="auto"/>
    </w:pPr>
    <w:rPr>
      <w:rFonts w:ascii="Tahoma" w:hAnsi="Tahoma"/>
      <w:sz w:val="24"/>
      <w:szCs w:val="24"/>
    </w:rPr>
  </w:style>
  <w:style w:type="paragraph" w:styleId="1038">
    <w:name w:val="列出段落"/>
    <w:basedOn w:val="944"/>
    <w:next w:val="1038"/>
    <w:link w:val="944"/>
    <w:qFormat/>
    <w:pPr>
      <w:contextualSpacing/>
      <w:ind w:left="720"/>
      <w:jc w:val="left"/>
      <w:widowControl/>
    </w:pPr>
    <w:rPr>
      <w:rFonts w:ascii="Calibri" w:hAnsi="Calibri"/>
      <w:sz w:val="24"/>
      <w:szCs w:val="24"/>
      <w:lang w:eastAsia="en-US" w:bidi="en-US"/>
    </w:rPr>
  </w:style>
  <w:style w:type="paragraph" w:styleId="1039">
    <w:name w:val="4"/>
    <w:basedOn w:val="944"/>
    <w:next w:val="1001"/>
    <w:link w:val="944"/>
    <w:pPr>
      <w:ind w:firstLine="420"/>
      <w:spacing w:line="360" w:lineRule="auto"/>
    </w:pPr>
    <w:rPr>
      <w:color w:val="ff0000"/>
      <w:sz w:val="24"/>
      <w:szCs w:val="24"/>
    </w:rPr>
  </w:style>
  <w:style w:type="paragraph" w:styleId="1040">
    <w:name w:val="普通 (Web)"/>
    <w:basedOn w:val="944"/>
    <w:next w:val="1040"/>
    <w:link w:val="944"/>
    <w:pPr>
      <w:jc w:val="left"/>
      <w:spacing w:before="100" w:beforeAutospacing="1" w:after="100" w:afterAutospacing="1"/>
      <w:widowControl/>
    </w:pPr>
    <w:rPr>
      <w:rFonts w:ascii="宋体" w:hAnsi="宋体"/>
      <w:sz w:val="24"/>
      <w:szCs w:val="24"/>
    </w:rPr>
  </w:style>
  <w:style w:type="paragraph" w:styleId="1041">
    <w:name w:val=" Char Char Char Char Char Char Char Char Char Char"/>
    <w:basedOn w:val="944"/>
    <w:next w:val="1041"/>
    <w:link w:val="944"/>
    <w:pPr>
      <w:spacing w:line="360" w:lineRule="auto"/>
    </w:pPr>
    <w:rPr>
      <w:sz w:val="24"/>
      <w:szCs w:val="20"/>
    </w:rPr>
  </w:style>
  <w:style w:type="paragraph" w:styleId="1042">
    <w:name w:val="样式1"/>
    <w:basedOn w:val="944"/>
    <w:next w:val="1042"/>
    <w:link w:val="944"/>
    <w:pPr>
      <w:numPr>
        <w:ilvl w:val="0"/>
        <w:numId w:val="3"/>
      </w:numPr>
      <w:tabs>
        <w:tab w:val="left" w:pos="709" w:leader="none"/>
      </w:tabs>
    </w:pPr>
    <w:rPr>
      <w:rFonts w:ascii="宋体" w:hAnsi="宋体"/>
    </w:rPr>
  </w:style>
  <w:style w:type="paragraph" w:styleId="1043">
    <w:name w:val="font6"/>
    <w:basedOn w:val="944"/>
    <w:next w:val="1043"/>
    <w:link w:val="944"/>
    <w:pPr>
      <w:jc w:val="left"/>
      <w:spacing w:before="100" w:beforeAutospacing="1" w:after="100" w:afterAutospacing="1"/>
      <w:widowControl/>
    </w:pPr>
    <w:rPr>
      <w:rFonts w:hint="eastAsia" w:ascii="宋体" w:hAnsi="宋体"/>
      <w:sz w:val="28"/>
      <w:szCs w:val="28"/>
      <w:u w:val="single"/>
    </w:rPr>
  </w:style>
  <w:style w:type="paragraph" w:styleId="1044">
    <w:name w:val="xl25"/>
    <w:basedOn w:val="944"/>
    <w:next w:val="1044"/>
    <w:link w:val="9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name w:val="图标"/>
    <w:basedOn w:val="944"/>
    <w:next w:val="944"/>
    <w:link w:val="9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name w:val="标题3"/>
    <w:basedOn w:val="944"/>
    <w:next w:val="944"/>
    <w:link w:val="944"/>
    <w:pPr>
      <w:ind w:firstLine="624"/>
      <w:spacing w:line="590" w:lineRule="atLeast"/>
    </w:pPr>
    <w:rPr>
      <w:rFonts w:ascii="方正黑体_GBK" w:eastAsia="方正黑体_GBK"/>
      <w:sz w:val="32"/>
      <w:szCs w:val="32"/>
    </w:rPr>
  </w:style>
  <w:style w:type="paragraph" w:styleId="1047">
    <w:name w:val="xl24"/>
    <w:basedOn w:val="944"/>
    <w:next w:val="1047"/>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name w:val="xl29"/>
    <w:basedOn w:val="944"/>
    <w:next w:val="1048"/>
    <w:link w:val="94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name w:val="Char Char Char Char Char Char Char Char"/>
    <w:basedOn w:val="944"/>
    <w:next w:val="1049"/>
    <w:link w:val="944"/>
    <w:pPr>
      <w:jc w:val="left"/>
      <w:spacing w:after="160" w:line="240" w:lineRule="exact"/>
      <w:widowControl/>
    </w:pPr>
    <w:rPr>
      <w:rFonts w:ascii="Verdana" w:hAnsi="Verdana"/>
      <w:sz w:val="20"/>
      <w:szCs w:val="20"/>
      <w:lang w:eastAsia="en-US"/>
    </w:rPr>
  </w:style>
  <w:style w:type="paragraph" w:styleId="1050">
    <w:name w:val="xl28"/>
    <w:basedOn w:val="944"/>
    <w:next w:val="1050"/>
    <w:link w:val="9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1">
    <w:name w:val=" Char Char Char Char Char Char Char Char"/>
    <w:basedOn w:val="944"/>
    <w:next w:val="1051"/>
    <w:link w:val="944"/>
    <w:pPr>
      <w:jc w:val="left"/>
      <w:spacing w:after="160" w:line="240" w:lineRule="exact"/>
      <w:widowControl/>
    </w:pPr>
    <w:rPr>
      <w:rFonts w:ascii="Verdana" w:hAnsi="Verdana"/>
      <w:sz w:val="20"/>
      <w:szCs w:val="20"/>
      <w:lang w:eastAsia="en-US"/>
    </w:rPr>
  </w:style>
  <w:style w:type="paragraph" w:styleId="1052">
    <w:name w:val="xl30"/>
    <w:basedOn w:val="944"/>
    <w:next w:val="1052"/>
    <w:link w:val="944"/>
    <w:pPr>
      <w:jc w:val="center"/>
      <w:spacing w:before="100" w:beforeAutospacing="1" w:after="100" w:afterAutospacing="1"/>
      <w:widowControl/>
    </w:pPr>
    <w:rPr>
      <w:rFonts w:ascii="宋体" w:hAnsi="宋体"/>
      <w:b/>
      <w:bCs/>
      <w:sz w:val="36"/>
      <w:szCs w:val="36"/>
    </w:rPr>
  </w:style>
  <w:style w:type="paragraph" w:styleId="1053">
    <w:name w:val="Char Char Char Char"/>
    <w:basedOn w:val="970"/>
    <w:next w:val="1053"/>
    <w:link w:val="944"/>
    <w:pPr>
      <w:spacing w:line="360" w:lineRule="auto"/>
    </w:pPr>
    <w:rPr>
      <w:rFonts w:ascii="Tahoma" w:hAnsi="Tahoma"/>
      <w:sz w:val="24"/>
      <w:szCs w:val="24"/>
    </w:rPr>
  </w:style>
  <w:style w:type="paragraph" w:styleId="1054">
    <w:name w:val="table_1stline"/>
    <w:basedOn w:val="944"/>
    <w:next w:val="1054"/>
    <w:link w:val="944"/>
    <w:pPr>
      <w:jc w:val="left"/>
      <w:spacing w:before="120"/>
      <w:widowControl/>
    </w:pPr>
    <w:rPr>
      <w:bCs/>
      <w:sz w:val="20"/>
      <w:szCs w:val="20"/>
      <w:lang w:val="de-DE" w:eastAsia="de-DE"/>
    </w:rPr>
  </w:style>
  <w:style w:type="paragraph" w:styleId="1055">
    <w:name w:val="font5"/>
    <w:basedOn w:val="944"/>
    <w:next w:val="1055"/>
    <w:link w:val="944"/>
    <w:pPr>
      <w:jc w:val="left"/>
      <w:spacing w:before="100" w:beforeAutospacing="1" w:after="100" w:afterAutospacing="1"/>
      <w:widowControl/>
    </w:pPr>
    <w:rPr>
      <w:rFonts w:hint="eastAsia" w:ascii="宋体" w:hAnsi="宋体"/>
      <w:sz w:val="28"/>
      <w:szCs w:val="28"/>
    </w:rPr>
  </w:style>
  <w:style w:type="paragraph" w:styleId="1056">
    <w:name w:val="标题1"/>
    <w:basedOn w:val="944"/>
    <w:next w:val="944"/>
    <w:link w:val="94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name w:val="修订"/>
    <w:next w:val="1057"/>
    <w:link w:val="944"/>
    <w:uiPriority w:val="99"/>
    <w:semiHidden/>
    <w:rPr>
      <w:rFonts w:ascii="Times New Roman" w:hAnsi="Times New Roman"/>
      <w:sz w:val="21"/>
      <w:szCs w:val="21"/>
      <w:lang w:val="en-US" w:eastAsia="zh-CN" w:bidi="ar-SA"/>
    </w:rPr>
  </w:style>
  <w:style w:type="paragraph" w:styleId="1058">
    <w:name w:val="无间隔"/>
    <w:next w:val="1058"/>
    <w:link w:val="944"/>
    <w:uiPriority w:val="99"/>
    <w:qFormat/>
    <w:pPr>
      <w:jc w:val="both"/>
      <w:widowControl w:val="off"/>
    </w:pPr>
    <w:rPr>
      <w:rFonts w:ascii="Times New Roman" w:hAnsi="Times New Roman"/>
      <w:sz w:val="21"/>
      <w:szCs w:val="21"/>
      <w:lang w:val="en-US" w:eastAsia="zh-CN" w:bidi="ar-SA"/>
    </w:rPr>
  </w:style>
  <w:style w:type="paragraph" w:styleId="1059">
    <w:name w:val="正文文本 211"/>
    <w:basedOn w:val="944"/>
    <w:next w:val="1059"/>
    <w:link w:val="944"/>
    <w:uiPriority w:val="99"/>
    <w:qFormat/>
    <w:pPr>
      <w:jc w:val="center"/>
    </w:pPr>
    <w:rPr>
      <w:b/>
      <w:bCs/>
      <w:sz w:val="20"/>
      <w:szCs w:val="20"/>
    </w:rPr>
  </w:style>
  <w:style w:type="table" w:styleId="1060">
    <w:name w:val="Table Normal"/>
    <w:next w:val="1060"/>
    <w:link w:val="944"/>
    <w:qFormat/>
    <w:tblPr/>
  </w:style>
  <w:style w:type="paragraph" w:styleId="1061">
    <w:name w:val="正文文本1"/>
    <w:basedOn w:val="944"/>
    <w:next w:val="944"/>
    <w:link w:val="944"/>
    <w:semiHidden/>
    <w:qFormat/>
    <w:rPr>
      <w:rFonts w:ascii="Arial" w:hAnsi="Arial" w:eastAsia="Arial" w:cs="Arial"/>
      <w:sz w:val="21"/>
      <w:szCs w:val="21"/>
      <w:lang w:val="en-US" w:eastAsia="en-US" w:bidi="ar-SA"/>
    </w:rPr>
  </w:style>
  <w:style w:type="paragraph" w:styleId="1062">
    <w:name w:val="纯文本1"/>
    <w:basedOn w:val="944"/>
    <w:next w:val="1062"/>
    <w:link w:val="944"/>
    <w:qFormat/>
    <w:rPr>
      <w:rFonts w:ascii="宋体" w:hAnsi="Courier New" w:cs="Courier New"/>
    </w:rPr>
  </w:style>
  <w:style w:type="table" w:styleId="1063">
    <w:name w:val="网格型1"/>
    <w:basedOn w:val="1064"/>
    <w:next w:val="1063"/>
    <w:link w:val="944"/>
    <w:qFormat/>
    <w:pPr>
      <w:jc w:val="both"/>
      <w:widowControl w:val="off"/>
    </w:pPr>
    <w:tblPr/>
  </w:style>
  <w:style w:type="table" w:styleId="1064">
    <w:name w:val="普通表格1"/>
    <w:next w:val="1064"/>
    <w:link w:val="944"/>
    <w:uiPriority w:val="99"/>
    <w:unhideWhenUsed/>
    <w:qFormat/>
    <w:tblPr/>
  </w:style>
  <w:style w:type="paragraph" w:styleId="1065">
    <w:name w:val="标题 411"/>
    <w:basedOn w:val="944"/>
    <w:next w:val="1066"/>
    <w:link w:val="944"/>
    <w:qFormat/>
    <w:pPr>
      <w:keepLines/>
      <w:keepNext/>
      <w:spacing w:before="280" w:after="290" w:line="376" w:lineRule="auto"/>
      <w:outlineLvl w:val="3"/>
    </w:pPr>
    <w:rPr>
      <w:rFonts w:ascii="Arial" w:hAnsi="Arial" w:eastAsia="黑体"/>
      <w:b/>
      <w:bCs/>
      <w:sz w:val="28"/>
      <w:szCs w:val="28"/>
      <w:lang w:val="en-US" w:eastAsia="en-US"/>
    </w:rPr>
  </w:style>
  <w:style w:type="paragraph" w:styleId="1066">
    <w:name w:val="正文缩进11"/>
    <w:basedOn w:val="944"/>
    <w:next w:val="1066"/>
    <w:link w:val="944"/>
    <w:qFormat/>
    <w:pPr>
      <w:ind w:firstLine="420"/>
    </w:pPr>
    <w:rPr>
      <w:sz w:val="20"/>
      <w:lang w:val="en-US" w:eastAsia="en-US"/>
    </w:rPr>
  </w:style>
  <w:style w:type="paragraph" w:styleId="1067">
    <w:name w:val="批注文字1"/>
    <w:basedOn w:val="944"/>
    <w:next w:val="1067"/>
    <w:link w:val="944"/>
    <w:semiHidden/>
    <w:pPr>
      <w:jc w:val="left"/>
    </w:pPr>
    <w:rPr>
      <w:sz w:val="20"/>
      <w:lang w:val="en-US" w:eastAsia="en-US"/>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7</cp:revision>
  <dcterms:created xsi:type="dcterms:W3CDTF">2023-03-16T02:16:00Z</dcterms:created>
  <dcterms:modified xsi:type="dcterms:W3CDTF">2024-09-12T09:02:39Z</dcterms:modified>
</cp:coreProperties>
</file>