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宋体" w:hAnsi="宋体"/>
          <w:bCs/>
          <w:color w:val="auto"/>
          <w:sz w:val="30"/>
          <w:highlight w:val="none"/>
        </w:rPr>
      </w:pPr>
      <w:r>
        <w:rPr>
          <w:rFonts w:ascii="宋体" w:hAnsi="宋体"/>
          <w:bCs/>
          <w:color w:val="auto"/>
          <w:sz w:val="30"/>
          <w:highlight w:val="none"/>
        </w:rPr>
      </w:r>
      <w:r/>
    </w:p>
    <w:p>
      <w:pPr>
        <w:ind w:left="660"/>
        <w:spacing w:line="360" w:lineRule="auto"/>
        <w:rPr>
          <w:rFonts w:ascii="宋体" w:hAnsi="宋体"/>
          <w:bCs/>
          <w:color w:val="auto"/>
          <w:sz w:val="30"/>
          <w:highlight w:val="none"/>
        </w:rPr>
      </w:pPr>
      <w:r>
        <w:rPr>
          <w:rFonts w:ascii="宋体" w:hAnsi="宋体"/>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宋体" w:hAnsi="宋体"/>
          <w:b/>
          <w:bCs/>
          <w:color w:val="auto"/>
          <w:sz w:val="30"/>
          <w:highlight w:val="none"/>
        </w:rPr>
      </w:pPr>
      <w:r>
        <w:rPr>
          <w:rFonts w:hint="eastAsia" w:ascii="宋体" w:hAnsi="宋体"/>
          <w:b/>
          <w:bCs/>
          <w:color w:val="auto"/>
          <w:sz w:val="30"/>
          <w:highlight w:val="none"/>
        </w:rPr>
        <w:t xml:space="preserve">（全流程电子化）</w:t>
      </w:r>
      <w:r/>
    </w:p>
    <w:p>
      <w:pPr>
        <w:spacing w:line="360" w:lineRule="auto"/>
        <w:rPr>
          <w:rFonts w:ascii="宋体" w:hAnsi="宋体"/>
          <w:b/>
          <w:bCs/>
          <w:color w:val="auto"/>
          <w:sz w:val="30"/>
          <w:highlight w:val="none"/>
        </w:rPr>
      </w:pPr>
      <w:r>
        <w:rPr>
          <w:rFonts w:ascii="宋体" w:hAnsi="宋体"/>
          <w:b/>
          <w:bCs/>
          <w:color w:val="auto"/>
          <w:sz w:val="30"/>
          <w:highlight w:val="none"/>
        </w:rPr>
      </w:r>
      <w:r/>
    </w:p>
    <w:p>
      <w:pPr>
        <w:jc w:val="center"/>
        <w:spacing w:line="360" w:lineRule="auto"/>
        <w:rPr>
          <w:rFonts w:ascii="宋体" w:hAnsi="宋体"/>
          <w:b/>
          <w:bCs/>
          <w:color w:val="auto"/>
          <w:spacing w:val="20"/>
          <w:sz w:val="52"/>
          <w:szCs w:val="52"/>
          <w:highlight w:val="none"/>
        </w:rPr>
      </w:pPr>
      <w:r>
        <w:rPr>
          <w:rFonts w:hint="eastAsia" w:ascii="宋体" w:hAnsi="宋体"/>
          <w:b/>
          <w:bCs/>
          <w:color w:val="auto"/>
          <w:spacing w:val="20"/>
          <w:sz w:val="52"/>
          <w:szCs w:val="52"/>
          <w:highlight w:val="none"/>
        </w:rPr>
        <w:t xml:space="preserve">公开</w:t>
      </w:r>
      <w:r>
        <w:rPr>
          <w:rFonts w:ascii="宋体" w:hAnsi="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宋体" w:hAnsi="宋体"/>
          <w:b/>
          <w:bCs/>
          <w:color w:val="auto"/>
          <w:spacing w:val="20"/>
          <w:sz w:val="52"/>
          <w:szCs w:val="52"/>
          <w:highlight w:val="none"/>
        </w:rPr>
        <w:t xml:space="preserve">招标文件</w:t>
      </w:r>
      <w:r/>
    </w:p>
    <w:p>
      <w:pPr>
        <w:spacing w:line="360" w:lineRule="auto"/>
        <w:rPr>
          <w:rFonts w:ascii="宋体" w:hAnsi="宋体"/>
          <w:b/>
          <w:bCs/>
          <w:color w:val="auto"/>
          <w:sz w:val="30"/>
          <w:highlight w:val="none"/>
        </w:rPr>
      </w:pPr>
      <w:r>
        <w:rPr>
          <w:rFonts w:ascii="宋体" w:hAnsi="宋体"/>
          <w:b/>
          <w:bCs/>
          <w:color w:val="auto"/>
          <w:sz w:val="30"/>
          <w:highlight w:val="none"/>
        </w:rPr>
      </w:r>
      <w:r/>
    </w:p>
    <w:p>
      <w:pPr>
        <w:spacing w:line="360" w:lineRule="auto"/>
        <w:rPr>
          <w:rFonts w:ascii="宋体" w:hAnsi="宋体"/>
          <w:b/>
          <w:bCs/>
          <w:color w:val="auto"/>
          <w:sz w:val="30"/>
          <w:highlight w:val="none"/>
        </w:rPr>
      </w:pPr>
      <w:r>
        <w:rPr>
          <w:rFonts w:ascii="宋体" w:hAnsi="宋体"/>
          <w:b/>
          <w:bCs/>
          <w:color w:val="auto"/>
          <w:sz w:val="30"/>
          <w:highlight w:val="none"/>
        </w:rPr>
      </w:r>
      <w:r/>
    </w:p>
    <w:p>
      <w:pPr>
        <w:ind w:firstLine="1500"/>
        <w:spacing w:line="360" w:lineRule="auto"/>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 xml:space="preserve">采购项目编号：JSZC-320200-WXQY-G2025-0002</w:t>
      </w:r>
      <w:r/>
    </w:p>
    <w:p>
      <w:pPr>
        <w:ind w:firstLine="1500"/>
        <w:spacing w:line="360" w:lineRule="auto"/>
        <w:rPr>
          <w:rFonts w:hint="eastAsia" w:ascii="宋体" w:hAnsi="宋体" w:eastAsia="宋体"/>
          <w:bCs/>
          <w:color w:val="auto"/>
          <w:sz w:val="30"/>
          <w:szCs w:val="30"/>
          <w:highlight w:val="none"/>
          <w:lang w:eastAsia="zh-CN"/>
        </w:rPr>
      </w:pPr>
      <w:r>
        <w:rPr>
          <w:rFonts w:hint="eastAsia" w:ascii="宋体" w:hAnsi="宋体"/>
          <w:bCs/>
          <w:color w:val="auto"/>
          <w:sz w:val="30"/>
          <w:szCs w:val="30"/>
          <w:highlight w:val="none"/>
        </w:rPr>
        <w:t xml:space="preserve">采购项目名称：</w:t>
      </w:r>
      <w:r>
        <w:rPr>
          <w:rFonts w:hint="eastAsia" w:ascii="宋体" w:hAnsi="宋体"/>
          <w:bCs/>
          <w:color w:val="auto"/>
          <w:sz w:val="30"/>
          <w:szCs w:val="30"/>
          <w:highlight w:val="none"/>
          <w:lang w:eastAsia="zh-CN"/>
        </w:rPr>
        <w:t xml:space="preserve">无锡市区养老机构综合责任险、入住老年人意外伤害险和居家养老服务机构综合责任险项目</w:t>
      </w:r>
      <w:r/>
    </w:p>
    <w:p>
      <w:pPr>
        <w:ind w:firstLine="1500"/>
        <w:spacing w:line="360" w:lineRule="auto"/>
        <w:rPr>
          <w:rFonts w:ascii="宋体" w:hAnsi="宋体"/>
          <w:bCs/>
          <w:color w:val="auto"/>
          <w:sz w:val="30"/>
          <w:szCs w:val="30"/>
          <w:highlight w:val="none"/>
        </w:rPr>
      </w:pPr>
      <w:r>
        <w:rPr>
          <w:rFonts w:hint="eastAsia" w:ascii="宋体" w:hAnsi="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无锡市民政局</w:t>
      </w:r>
      <w:r/>
    </w:p>
    <w:p>
      <w:pPr>
        <w:ind w:firstLine="1500"/>
        <w:spacing w:line="360" w:lineRule="auto"/>
        <w:rPr>
          <w:rFonts w:hint="eastAsia" w:ascii="宋体" w:hAnsi="宋体" w:eastAsia="宋体"/>
          <w:bCs/>
          <w:color w:val="auto"/>
          <w:sz w:val="30"/>
          <w:szCs w:val="30"/>
          <w:highlight w:val="none"/>
          <w:lang w:eastAsia="zh-CN"/>
        </w:rPr>
      </w:pPr>
      <w:r>
        <w:rPr>
          <w:rFonts w:hint="eastAsia" w:ascii="宋体" w:hAnsi="宋体" w:eastAsia="宋体"/>
          <w:bCs/>
          <w:color w:val="auto"/>
          <w:sz w:val="30"/>
          <w:szCs w:val="30"/>
          <w:highlight w:val="none"/>
        </w:rPr>
        <w:t xml:space="preserve">采购代理机构：</w:t>
      </w:r>
      <w:r>
        <w:rPr>
          <w:rFonts w:hint="eastAsia" w:ascii="宋体" w:hAnsi="宋体"/>
          <w:bCs/>
          <w:color w:val="auto"/>
          <w:sz w:val="30"/>
          <w:szCs w:val="30"/>
          <w:highlight w:val="none"/>
          <w:lang w:eastAsia="zh-CN"/>
        </w:rPr>
        <w:t xml:space="preserve">无锡启扬项目管理有限公司</w:t>
      </w:r>
      <w:r/>
    </w:p>
    <w:p>
      <w:pPr>
        <w:spacing w:line="360" w:lineRule="auto"/>
        <w:rPr>
          <w:rFonts w:ascii="宋体" w:hAnsi="宋体"/>
          <w:bCs/>
          <w:color w:val="auto"/>
          <w:sz w:val="32"/>
          <w:highlight w:val="none"/>
        </w:rPr>
      </w:pPr>
      <w:r>
        <w:rPr>
          <w:rFonts w:ascii="宋体" w:hAnsi="宋体"/>
          <w:bCs/>
          <w:color w:val="auto"/>
          <w:sz w:val="32"/>
          <w:highlight w:val="none"/>
        </w:rPr>
      </w:r>
      <w:r/>
    </w:p>
    <w:p>
      <w:pPr>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0"/>
          <w:highlight w:val="none"/>
        </w:rPr>
      </w:pPr>
      <w:r>
        <w:rPr>
          <w:rFonts w:ascii="宋体" w:hAnsi="宋体"/>
          <w:bCs/>
          <w:color w:val="auto"/>
          <w:sz w:val="30"/>
          <w:highlight w:val="none"/>
        </w:rPr>
      </w:r>
      <w:r/>
    </w:p>
    <w:p>
      <w:pPr>
        <w:spacing w:line="360" w:lineRule="auto"/>
        <w:rPr>
          <w:rFonts w:ascii="宋体" w:hAnsi="宋体"/>
          <w:bCs/>
          <w:color w:val="auto"/>
          <w:sz w:val="30"/>
          <w:highlight w:val="none"/>
        </w:rPr>
      </w:pPr>
      <w:r>
        <w:rPr>
          <w:rFonts w:ascii="宋体" w:hAnsi="宋体"/>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三</w:t>
      </w:r>
      <w:r>
        <w:rPr>
          <w:rFonts w:hint="eastAsia" w:ascii="宋体" w:hAnsi="宋体" w:eastAsia="宋体" w:cs="宋体"/>
          <w:bCs/>
          <w:color w:val="auto"/>
          <w:sz w:val="44"/>
          <w:szCs w:val="44"/>
          <w:highlight w:val="none"/>
        </w:rPr>
        <w:t xml:space="preserve">月</w:t>
      </w:r>
      <w:r/>
    </w:p>
    <w:p>
      <w:pPr>
        <w:spacing w:line="360" w:lineRule="auto"/>
        <w:rPr>
          <w:rStyle w:val="844"/>
          <w:rFonts w:ascii="宋体" w:hAnsi="宋体"/>
          <w:bCs/>
          <w:color w:val="auto"/>
          <w:sz w:val="48"/>
          <w:highlight w:val="none"/>
        </w:rPr>
      </w:pPr>
      <w:r>
        <w:rPr>
          <w:rFonts w:ascii="宋体" w:hAnsi="宋体"/>
          <w:bCs/>
          <w:color w:val="auto"/>
          <w:sz w:val="48"/>
          <w:highlight w:val="none"/>
        </w:rPr>
      </w:r>
      <w:r/>
    </w:p>
    <w:p>
      <w:pPr>
        <w:jc w:val="center"/>
        <w:spacing w:line="360" w:lineRule="auto"/>
        <w:rPr>
          <w:rStyle w:val="844"/>
          <w:rFonts w:ascii="宋体" w:hAnsi="宋体"/>
          <w:bCs/>
          <w:color w:val="auto"/>
          <w:sz w:val="48"/>
          <w:highlight w:val="none"/>
          <w:u w:val="none"/>
        </w:rPr>
        <w:sectPr>
          <w:headerReference w:type="first" r:id="rId9"/>
          <w:footerReference w:type="even" r:id="rId10"/>
          <w:footerReference w:type="first" r:id="rId11"/>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ascii="宋体" w:hAnsi="宋体"/>
          <w:bCs/>
          <w:color w:val="auto"/>
          <w:sz w:val="48"/>
          <w:highlight w:val="none"/>
          <w:u w:val="none"/>
        </w:rPr>
      </w:r>
      <w:r/>
    </w:p>
    <w:p>
      <w:pPr>
        <w:jc w:val="center"/>
        <w:spacing w:line="360" w:lineRule="auto"/>
        <w:rPr>
          <w:rStyle w:val="844"/>
          <w:rFonts w:ascii="宋体" w:hAnsi="宋体"/>
          <w:bCs/>
          <w:color w:val="auto"/>
          <w:sz w:val="48"/>
          <w:highlight w:val="none"/>
          <w:u w:val="none"/>
        </w:rPr>
      </w:pPr>
      <w:r>
        <w:rPr>
          <w:rFonts w:ascii="宋体" w:hAnsi="宋体"/>
          <w:bCs/>
          <w:color w:val="auto"/>
          <w:sz w:val="48"/>
          <w:highlight w:val="none"/>
          <w:u w:val="none"/>
        </w:rPr>
      </w:r>
      <w:r/>
    </w:p>
    <w:p>
      <w:pPr>
        <w:jc w:val="center"/>
        <w:spacing w:line="360" w:lineRule="auto"/>
        <w:rPr>
          <w:rStyle w:val="844"/>
          <w:rFonts w:ascii="宋体" w:hAnsi="宋体"/>
          <w:bCs/>
          <w:color w:val="auto"/>
          <w:sz w:val="48"/>
          <w:highlight w:val="none"/>
          <w:u w:val="none"/>
        </w:rPr>
      </w:pPr>
      <w:r>
        <w:rPr>
          <w:rFonts w:ascii="宋体" w:hAnsi="宋体"/>
          <w:bCs/>
          <w:color w:val="auto"/>
          <w:sz w:val="48"/>
          <w:highlight w:val="none"/>
          <w:u w:val="none"/>
        </w:rPr>
      </w:r>
      <w:r/>
    </w:p>
    <w:p>
      <w:pPr>
        <w:pStyle w:val="1160"/>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spacing w:line="360" w:lineRule="auto"/>
        <w:rPr>
          <w:rFonts w:ascii="宋体" w:hAnsi="宋体"/>
          <w:bCs/>
          <w:color w:val="auto"/>
          <w:sz w:val="28"/>
          <w:szCs w:val="28"/>
          <w:highlight w:val="none"/>
        </w:rPr>
      </w:pPr>
      <w:r>
        <w:rPr>
          <w:rFonts w:ascii="宋体" w:hAnsi="宋体"/>
          <w:bCs/>
          <w:color w:val="auto"/>
          <w:sz w:val="28"/>
          <w:szCs w:val="28"/>
          <w:highlight w:val="none"/>
        </w:rPr>
      </w:r>
      <w:r/>
    </w:p>
    <w:p>
      <w:pPr>
        <w:spacing w:line="360" w:lineRule="auto"/>
        <w:rPr>
          <w:rFonts w:ascii="宋体" w:hAnsi="宋体"/>
          <w:bCs/>
          <w:color w:val="auto"/>
          <w:sz w:val="32"/>
          <w:highlight w:val="none"/>
        </w:rPr>
      </w:pPr>
      <w:r>
        <w:rPr>
          <w:rFonts w:ascii="宋体" w:hAnsi="宋体"/>
          <w:bCs/>
          <w:color w:val="auto"/>
          <w:sz w:val="32"/>
          <w:highlight w:val="none"/>
        </w:rPr>
      </w:r>
      <w:r/>
    </w:p>
    <w:p>
      <w:pPr>
        <w:spacing w:line="360" w:lineRule="auto"/>
        <w:rPr>
          <w:rFonts w:ascii="宋体" w:hAnsi="宋体"/>
          <w:bCs/>
          <w:color w:val="auto"/>
          <w:sz w:val="32"/>
          <w:highlight w:val="none"/>
        </w:rPr>
      </w:pPr>
      <w:r>
        <w:rPr>
          <w:rFonts w:ascii="宋体" w:hAnsi="宋体"/>
          <w:bCs/>
          <w:color w:val="auto"/>
          <w:sz w:val="32"/>
          <w:highlight w:val="none"/>
        </w:rPr>
      </w:r>
      <w:r/>
    </w:p>
    <w:p>
      <w:pPr>
        <w:spacing w:line="360" w:lineRule="auto"/>
        <w:rPr>
          <w:rFonts w:ascii="宋体" w:hAnsi="宋体"/>
          <w:bCs/>
          <w:color w:val="auto"/>
          <w:sz w:val="32"/>
          <w:highlight w:val="none"/>
        </w:rPr>
      </w:pPr>
      <w:r>
        <w:rPr>
          <w:rFonts w:ascii="宋体" w:hAnsi="宋体"/>
          <w:bCs/>
          <w:color w:val="auto"/>
          <w:sz w:val="32"/>
          <w:highlight w:val="none"/>
        </w:rPr>
      </w:r>
      <w:r/>
    </w:p>
    <w:p>
      <w:pPr>
        <w:spacing w:line="360" w:lineRule="auto"/>
        <w:rPr>
          <w:rFonts w:ascii="宋体" w:hAnsi="宋体" w:eastAsia="宋体"/>
          <w:bCs/>
          <w:color w:val="auto"/>
          <w:sz w:val="32"/>
          <w:highlight w:val="none"/>
        </w:rPr>
      </w:pPr>
      <w:r>
        <w:rPr>
          <w:rFonts w:hint="eastAsia" w:ascii="宋体" w:hAnsi="宋体" w:eastAsia="宋体"/>
          <w:bCs/>
          <w:color w:val="auto"/>
          <w:sz w:val="32"/>
          <w:highlight w:val="none"/>
        </w:rPr>
        <w:t xml:space="preserve">  </w:t>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color w:val="auto"/>
          <w:sz w:val="32"/>
          <w:szCs w:val="32"/>
          <w:highlight w:val="none"/>
        </w:rPr>
      </w:pPr>
      <w:r>
        <w:rPr>
          <w:rFonts w:ascii="宋体" w:hAnsi="宋体"/>
          <w:color w:val="auto"/>
          <w:sz w:val="32"/>
          <w:szCs w:val="32"/>
          <w:highlight w:val="none"/>
        </w:rPr>
      </w:r>
      <w:r/>
    </w:p>
    <w:p>
      <w:pPr>
        <w:spacing w:line="360" w:lineRule="auto"/>
        <w:rPr>
          <w:rFonts w:ascii="宋体" w:hAnsi="宋体"/>
          <w:bCs/>
          <w:color w:val="auto"/>
          <w:sz w:val="32"/>
          <w:highlight w:val="none"/>
        </w:rPr>
      </w:pPr>
      <w:r>
        <w:rPr>
          <w:rFonts w:ascii="宋体" w:hAnsi="宋体"/>
          <w:bCs/>
          <w:color w:val="auto"/>
          <w:sz w:val="32"/>
          <w:highlight w:val="none"/>
        </w:rPr>
      </w:r>
      <w:r/>
    </w:p>
    <w:p>
      <w:pPr>
        <w:spacing w:line="360" w:lineRule="auto"/>
        <w:rPr>
          <w:rFonts w:ascii="宋体" w:hAnsi="宋体"/>
          <w:bCs/>
          <w:color w:val="auto"/>
          <w:sz w:val="32"/>
          <w:highlight w:val="none"/>
        </w:rPr>
      </w:pPr>
      <w:r>
        <w:rPr>
          <w:rFonts w:ascii="宋体" w:hAnsi="宋体"/>
          <w:bCs/>
          <w:color w:val="auto"/>
          <w:sz w:val="32"/>
          <w:highlight w:val="none"/>
        </w:rPr>
      </w:r>
      <w:r/>
    </w:p>
    <w:p>
      <w:pPr>
        <w:pStyle w:val="819"/>
        <w:ind w:firstLine="0"/>
        <w:jc w:val="both"/>
        <w:spacing w:line="360" w:lineRule="auto"/>
        <w:rPr>
          <w:rFonts w:ascii="宋体" w:hAnsi="宋体"/>
          <w:color w:val="auto"/>
          <w:highlight w:val="none"/>
        </w:rPr>
      </w:pPr>
      <w:r/>
      <w:bookmarkStart w:id="0" w:name="报价方须知前附表"/>
      <w:r/>
      <w:bookmarkEnd w:id="0"/>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hint="eastAsia" w:ascii="黑体" w:hAnsi="黑体" w:eastAsia="黑体" w:cs="黑体"/>
          <w:color w:val="auto"/>
          <w:sz w:val="36"/>
          <w:szCs w:val="36"/>
          <w:highlight w:val="none"/>
        </w:rPr>
        <w:sectPr>
          <w:footerReference w:type="default" r:id="rId12"/>
          <w:footerReference w:type="first" r:id="rId13"/>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hint="eastAsia" w:ascii="黑体" w:hAnsi="黑体" w:eastAsia="黑体" w:cs="黑体"/>
          <w:color w:val="auto"/>
          <w:sz w:val="36"/>
          <w:szCs w:val="36"/>
          <w:highlight w:val="none"/>
        </w:rPr>
      </w:r>
      <w:r/>
    </w:p>
    <w:p>
      <w:pPr>
        <w:jc w:val="center"/>
        <w:spacing w:line="360" w:lineRule="auto"/>
        <w:rPr>
          <w:rFonts w:ascii="宋体" w:hAnsi="宋体"/>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u w:val="single"/>
          <w:lang w:eastAsia="zh-CN"/>
        </w:rPr>
        <w:t xml:space="preserve">无锡启扬项目管理有限公司</w:t>
      </w:r>
      <w:r>
        <w:rPr>
          <w:rFonts w:hint="eastAsia" w:ascii="宋体" w:hAnsi="宋体"/>
          <w:bCs/>
          <w:color w:val="auto"/>
          <w:sz w:val="24"/>
          <w:szCs w:val="24"/>
          <w:highlight w:val="none"/>
        </w:rPr>
        <w:t xml:space="preserve">受</w:t>
      </w:r>
      <w:r>
        <w:rPr>
          <w:rFonts w:hint="eastAsia" w:ascii="宋体" w:hAnsi="宋体"/>
          <w:bCs/>
          <w:color w:val="auto"/>
          <w:sz w:val="24"/>
          <w:highlight w:val="none"/>
          <w:u w:val="single"/>
          <w:lang w:eastAsia="zh-CN"/>
        </w:rPr>
        <w:t xml:space="preserve">无锡市民政局</w:t>
      </w:r>
      <w:r>
        <w:rPr>
          <w:rFonts w:hint="eastAsia" w:ascii="宋体" w:hAnsi="宋体"/>
          <w:bCs/>
          <w:color w:val="auto"/>
          <w:sz w:val="24"/>
          <w:szCs w:val="24"/>
          <w:highlight w:val="none"/>
        </w:rPr>
        <w:t xml:space="preserve">的委托，对</w:t>
      </w:r>
      <w:r>
        <w:rPr>
          <w:rFonts w:hint="eastAsia" w:ascii="宋体" w:hAnsi="宋体"/>
          <w:bCs/>
          <w:color w:val="auto"/>
          <w:sz w:val="24"/>
          <w:highlight w:val="none"/>
          <w:u w:val="single"/>
          <w:lang w:eastAsia="zh-CN"/>
        </w:rPr>
        <w:t xml:space="preserve">无锡市区养老机构综合责任险、入住老年人意外伤害险和居家养老服务机构综合责任险项目</w:t>
      </w:r>
      <w:r>
        <w:rPr>
          <w:rFonts w:hint="eastAsia" w:ascii="宋体" w:hAnsi="宋体"/>
          <w:bCs/>
          <w:color w:val="auto"/>
          <w:sz w:val="24"/>
          <w:szCs w:val="24"/>
          <w:highlight w:val="none"/>
        </w:rPr>
        <w:t xml:space="preserve">进行公开招标采购，欢迎符合相关条件的供应商参加投标。</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lang w:eastAsia="zh-CN"/>
        </w:rPr>
        <w:t xml:space="preserve">无锡市区养老机构综合责任险、入住老年人意外伤害险和居家养老服务机构综合责任险项目</w:t>
      </w:r>
      <w:r>
        <w:rPr>
          <w:rFonts w:hint="eastAsia" w:ascii="宋体" w:hAnsi="宋体" w:eastAsia="宋体" w:cs="宋体"/>
          <w:color w:val="auto"/>
          <w:sz w:val="24"/>
          <w:szCs w:val="24"/>
          <w:highlight w:val="none"/>
        </w:rPr>
        <w:t xml:space="preserve">采购项目的潜在投标人应在“无锡政府采购网”“江苏政府采购网”自行浏览招标文件，如有投标意向须在本招标文件有效获取期内通过登录“江苏省政府采购（苏采云）平台”下载的方式依法获取招标文件，并于</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上午9</w:t>
      </w:r>
      <w:r>
        <w:rPr>
          <w:rFonts w:hint="eastAsia" w:ascii="宋体" w:hAnsi="宋体" w:eastAsia="宋体" w:cs="宋体"/>
          <w:b/>
          <w:bCs/>
          <w:color w:val="auto"/>
          <w:sz w:val="24"/>
          <w:szCs w:val="24"/>
          <w:highlight w:val="none"/>
          <w:lang w:val="en-US" w:eastAsia="zh-CN"/>
        </w:rPr>
        <w:t xml:space="preserve">点30</w:t>
      </w:r>
      <w:r>
        <w:rPr>
          <w:rFonts w:hint="eastAsia" w:ascii="宋体" w:hAnsi="宋体" w:eastAsia="宋体" w:cs="宋体"/>
          <w:b/>
          <w:bCs/>
          <w:color w:val="auto"/>
          <w:sz w:val="24"/>
          <w:szCs w:val="24"/>
          <w:highlight w:val="none"/>
        </w:rPr>
        <w:t xml:space="preserve">分</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ind w:firstLine="241"/>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（一）</w:t>
      </w:r>
      <w:r>
        <w:rPr>
          <w:rFonts w:hint="eastAsia" w:ascii="宋体" w:hAnsi="宋体"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无锡市区养老机构综合责任险、入住老年人意外伤害险和居家养老服务机构综合责任险项目</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JSZC-320200-WXQY-G2025-0002</w:t>
      </w:r>
      <w:r/>
    </w:p>
    <w:p>
      <w:pPr>
        <w:ind w:firstLine="480"/>
        <w:jc w:val="left"/>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项目</w:t>
      </w:r>
      <w:r>
        <w:rPr>
          <w:rFonts w:hint="eastAsia" w:ascii="宋体" w:hAnsi="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200.42万元。</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4.项目</w:t>
      </w:r>
      <w:r>
        <w:rPr>
          <w:rFonts w:hint="eastAsia" w:ascii="宋体" w:hAnsi="宋体"/>
          <w:color w:val="auto"/>
          <w:sz w:val="24"/>
          <w:szCs w:val="24"/>
          <w:highlight w:val="none"/>
        </w:rPr>
        <w:t xml:space="preserve">最高限价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无。</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5.采购需求：</w:t>
      </w:r>
      <w:r>
        <w:rPr>
          <w:rFonts w:hint="eastAsia" w:ascii="宋体" w:hAnsi="宋体"/>
          <w:color w:val="auto"/>
          <w:sz w:val="24"/>
          <w:highlight w:val="none"/>
        </w:rPr>
        <w:t xml:space="preserve">针对我市市区自愿参加保险的养老机构、入住机构的老年人和居家养老服务机构提供保险服务，承保期限二年。项目实施过程中，对符合条件的申请保险理赔对象按程序及时受理出险，解释宣传政策耐心专业，理赔及时高效。</w:t>
      </w:r>
      <w:r>
        <w:rPr>
          <w:rFonts w:hint="eastAsia" w:ascii="宋体" w:hAnsi="宋体"/>
          <w:color w:val="auto"/>
          <w:sz w:val="24"/>
          <w:highlight w:val="none"/>
          <w:lang w:val="en-US" w:eastAsia="zh-CN"/>
        </w:rPr>
        <w:t xml:space="preserve">具体</w:t>
      </w:r>
      <w:r>
        <w:rPr>
          <w:rFonts w:hint="eastAsia" w:ascii="宋体" w:hAnsi="宋体" w:cs="宋体"/>
          <w:color w:val="auto"/>
          <w:sz w:val="24"/>
          <w:szCs w:val="24"/>
          <w:highlight w:val="none"/>
        </w:rPr>
        <w:t xml:space="preserve">详见招标文件</w:t>
      </w:r>
      <w:r>
        <w:rPr>
          <w:rFonts w:hint="eastAsia" w:ascii="宋体" w:hAnsi="宋体" w:cs="宋体"/>
          <w:b/>
          <w:bCs/>
          <w:color w:val="auto"/>
          <w:sz w:val="24"/>
          <w:szCs w:val="24"/>
          <w:highlight w:val="none"/>
        </w:rPr>
        <w:t xml:space="preserve">第四章《采购需求》</w:t>
      </w:r>
      <w:r>
        <w:rPr>
          <w:rFonts w:hint="eastAsia" w:ascii="宋体" w:hAnsi="宋体"/>
          <w:color w:val="auto"/>
          <w:sz w:val="24"/>
          <w:highlight w:val="none"/>
        </w:rPr>
        <w:t xml:space="preserve">；</w:t>
      </w:r>
      <w:r/>
    </w:p>
    <w:p>
      <w:pPr>
        <w:ind w:firstLine="480"/>
        <w:jc w:val="left"/>
        <w:spacing w:line="360" w:lineRule="auto"/>
        <w:shd w:val="clear" w:color="auto" w:fill="ffffff"/>
        <w:widowControl/>
        <w:rPr>
          <w:rFonts w:ascii="宋体" w:hAnsi="宋体" w:eastAsia="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eastAsia="宋体"/>
          <w:color w:val="auto"/>
          <w:sz w:val="24"/>
          <w:szCs w:val="24"/>
          <w:highlight w:val="none"/>
        </w:rPr>
        <w:t xml:space="preserve">服务期限：</w:t>
      </w:r>
      <w:r>
        <w:rPr>
          <w:rFonts w:hint="eastAsia" w:ascii="宋体" w:hAnsi="宋体"/>
          <w:color w:val="auto"/>
          <w:sz w:val="24"/>
          <w:szCs w:val="24"/>
          <w:highlight w:val="none"/>
          <w:lang w:val="en-US" w:eastAsia="zh-CN"/>
        </w:rPr>
        <w:t xml:space="preserve">2</w:t>
      </w:r>
      <w:r>
        <w:rPr>
          <w:rFonts w:hint="eastAsia" w:ascii="宋体" w:hAnsi="宋体" w:eastAsia="宋体" w:cs="宋体"/>
          <w:color w:val="auto"/>
          <w:sz w:val="24"/>
          <w:szCs w:val="24"/>
          <w:highlight w:val="none"/>
          <w:shd w:val="clear" w:color="auto" w:fill="auto"/>
        </w:rPr>
        <w:t xml:space="preserve">年。</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7.本项目标的所属行业：</w:t>
      </w:r>
      <w:r>
        <w:rPr>
          <w:rFonts w:hint="eastAsia" w:ascii="宋体" w:hAnsi="宋体"/>
          <w:bCs/>
          <w:color w:val="auto"/>
          <w:sz w:val="24"/>
          <w:highlight w:val="none"/>
        </w:rPr>
        <w:t xml:space="preserve">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u w:val="single"/>
        </w:rPr>
        <w:t xml:space="preserve">不接受 </w:t>
      </w:r>
      <w:r>
        <w:rPr>
          <w:rFonts w:hint="eastAsia" w:ascii="宋体" w:hAnsi="宋体" w:cs="宋体"/>
          <w:color w:val="auto"/>
          <w:sz w:val="24"/>
          <w:szCs w:val="24"/>
          <w:highlight w:val="none"/>
        </w:rPr>
        <w:t xml:space="preserve">联合投标。</w:t>
      </w:r>
      <w:r/>
    </w:p>
    <w:p>
      <w:pPr>
        <w:ind w:firstLine="480"/>
        <w:jc w:val="left"/>
        <w:spacing w:line="360" w:lineRule="auto"/>
        <w:shd w:val="clear" w:color="auto" w:fill="ffffff"/>
        <w:widowControl/>
        <w:rPr>
          <w:rFonts w:ascii="宋体" w:hAnsi="宋体" w:eastAsia="宋体"/>
          <w:color w:val="auto"/>
          <w:highlight w:val="none"/>
          <w:lang w:val="en-US" w:eastAsia="zh-CN"/>
        </w:rPr>
      </w:pPr>
      <w:r>
        <w:rPr>
          <w:rFonts w:hint="eastAsia" w:ascii="宋体" w:hAnsi="宋体" w:cs="宋体"/>
          <w:color w:val="auto"/>
          <w:sz w:val="24"/>
          <w:szCs w:val="24"/>
          <w:highlight w:val="none"/>
          <w:lang w:val="en-US" w:eastAsia="zh-CN"/>
        </w:rPr>
        <w:t xml:space="preserve">9.本项目不需要缴纳履约保证金。</w:t>
      </w:r>
      <w:r/>
    </w:p>
    <w:p>
      <w:pPr>
        <w:ind w:firstLine="482"/>
        <w:jc w:val="left"/>
        <w:spacing w:line="360" w:lineRule="auto"/>
        <w:shd w:val="clear" w:color="auto" w:fill="ffffff"/>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（二）投标人资格要求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2.1中小企业政策：</w:t>
      </w:r>
      <w:r>
        <w:rPr>
          <w:rFonts w:hint="eastAsia" w:ascii="宋体" w:hAnsi="宋体"/>
          <w:color w:val="auto"/>
          <w:sz w:val="24"/>
          <w:highlight w:val="none"/>
        </w:rPr>
        <w:t xml:space="preserve">无</w:t>
      </w:r>
      <w:r>
        <w:rPr>
          <w:rFonts w:hint="eastAsia" w:ascii="宋体" w:hAnsi="宋体"/>
          <w:color w:val="auto"/>
          <w:sz w:val="24"/>
          <w:szCs w:val="24"/>
          <w:highlight w:val="none"/>
          <w:lang w:val="en-US" w:eastAsia="zh-CN"/>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查询，无被列入失信被执行人、</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ind w:firstLine="482"/>
        <w:jc w:val="left"/>
        <w:spacing w:line="360" w:lineRule="auto"/>
        <w:shd w:val="clear" w:color="auto" w:fill="ffffff"/>
        <w:widowControl/>
        <w:rPr>
          <w:rFonts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eastAsia="zh-CN"/>
        </w:rPr>
        <w:t xml:space="preserve">（1）</w:t>
      </w:r>
      <w:r>
        <w:rPr>
          <w:rFonts w:hint="eastAsia" w:ascii="宋体" w:hAnsi="宋体" w:cs="宋体"/>
          <w:bCs/>
          <w:color w:val="auto"/>
          <w:sz w:val="24"/>
          <w:highlight w:val="none"/>
        </w:rPr>
        <w:t xml:space="preserve">供应商具有有效期内的中国保监会核发的《经营保险业务许可证》</w:t>
      </w:r>
      <w:r/>
    </w:p>
    <w:p>
      <w:pPr>
        <w:ind w:firstLine="482"/>
        <w:jc w:val="left"/>
        <w:spacing w:line="360" w:lineRule="auto"/>
        <w:shd w:val="clear" w:color="auto" w:fill="ffffff"/>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（三）获取采购文件的时间期限</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ind w:firstLine="482"/>
        <w:jc w:val="left"/>
        <w:spacing w:line="360" w:lineRule="auto"/>
        <w:shd w:val="clear" w:color="auto" w:fill="ffffff"/>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（四）提交投标文件截止时间、开标时间和地点</w:t>
      </w:r>
      <w:r/>
    </w:p>
    <w:p>
      <w:pPr>
        <w:ind w:firstLine="480"/>
        <w:spacing w:line="360" w:lineRule="auto"/>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1.时间：</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28</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上午9</w:t>
      </w:r>
      <w:r>
        <w:rPr>
          <w:rFonts w:hint="eastAsia" w:ascii="宋体" w:hAnsi="宋体" w:eastAsia="宋体" w:cs="宋体"/>
          <w:b/>
          <w:bCs/>
          <w:color w:val="auto"/>
          <w:sz w:val="24"/>
          <w:szCs w:val="24"/>
          <w:highlight w:val="none"/>
          <w:lang w:val="en-US" w:eastAsia="zh-CN"/>
        </w:rPr>
        <w:t xml:space="preserve">点30</w:t>
      </w:r>
      <w:r>
        <w:rPr>
          <w:rFonts w:hint="eastAsia" w:ascii="宋体" w:hAnsi="宋体" w:eastAsia="宋体" w:cs="宋体"/>
          <w:b/>
          <w:bCs/>
          <w:color w:val="auto"/>
          <w:sz w:val="24"/>
          <w:szCs w:val="24"/>
          <w:highlight w:val="none"/>
        </w:rPr>
        <w:t xml:space="preserve">分</w:t>
      </w:r>
      <w:r>
        <w:rPr>
          <w:rFonts w:hint="eastAsia" w:ascii="宋体" w:hAnsi="宋体" w:cs="Times New Roman"/>
          <w:bCs/>
          <w:color w:val="auto"/>
          <w:sz w:val="24"/>
          <w:szCs w:val="24"/>
          <w:highlight w:val="none"/>
        </w:rPr>
        <w:t xml:space="preserve">（北京时间），截止时间后上传的任何投标文件恕不接受。</w:t>
      </w:r>
      <w:r/>
    </w:p>
    <w:p>
      <w:pPr>
        <w:ind w:firstLine="480"/>
        <w:spacing w:line="360" w:lineRule="auto"/>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22"/>
        <w:ind w:firstLine="452"/>
        <w:keepLines w:val="0"/>
        <w:keepNext w:val="0"/>
        <w:spacing w:before="0" w:after="0" w:line="360" w:lineRule="auto"/>
        <w:rPr>
          <w:rFonts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eastAsia="zh-CN"/>
        </w:rPr>
        <w:t xml:space="preserve">（五）公告期限</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六</w:t>
      </w:r>
      <w:r>
        <w:rPr>
          <w:rFonts w:hint="eastAsia" w:ascii="宋体" w:hAnsi="宋体" w:cs="宋体"/>
          <w:b/>
          <w:color w:val="auto"/>
          <w:sz w:val="24"/>
          <w:szCs w:val="24"/>
          <w:highlight w:val="none"/>
        </w:rPr>
        <w:t xml:space="preserve">）</w:t>
      </w:r>
      <w:r>
        <w:rPr>
          <w:rFonts w:hint="eastAsia" w:ascii="宋体" w:hAnsi="宋体" w:cs="宋体"/>
          <w:b/>
          <w:bCs/>
          <w:color w:val="auto"/>
          <w:sz w:val="24"/>
          <w:szCs w:val="24"/>
          <w:highlight w:val="none"/>
        </w:rPr>
        <w:t xml:space="preserve">其他补充事宜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ind w:firstLine="482"/>
        <w:spacing w:line="360" w:lineRule="auto"/>
        <w:rPr>
          <w:rFonts w:ascii="宋体" w:hAnsi="宋体"/>
          <w:b/>
          <w:bCs/>
          <w:color w:val="auto"/>
          <w:sz w:val="24"/>
          <w:szCs w:val="24"/>
          <w:highlight w:val="none"/>
        </w:rPr>
      </w:pPr>
      <w:r>
        <w:rPr>
          <w:rFonts w:hint="eastAsia" w:ascii="宋体" w:hAnsi="宋体" w:cs="宋体"/>
          <w:b/>
          <w:color w:val="auto"/>
          <w:sz w:val="24"/>
          <w:szCs w:val="24"/>
          <w:highlight w:val="none"/>
        </w:rPr>
        <w:t xml:space="preserve">（七）</w:t>
      </w:r>
      <w:r>
        <w:rPr>
          <w:rFonts w:hint="eastAsia" w:ascii="宋体" w:hAnsi="宋体"/>
          <w:b/>
          <w:bCs/>
          <w:color w:val="auto"/>
          <w:sz w:val="24"/>
          <w:szCs w:val="24"/>
          <w:highlight w:val="none"/>
        </w:rPr>
        <w:t xml:space="preserve">本次招标联系方式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无锡启扬项目管理有限公司</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项目联系人</w:t>
      </w:r>
      <w:r>
        <w:rPr>
          <w:rFonts w:hint="eastAsia" w:ascii="宋体" w:hAnsi="宋体" w:eastAsia="宋体" w:cs="宋体"/>
          <w:color w:val="auto"/>
          <w:sz w:val="24"/>
          <w:szCs w:val="24"/>
          <w:highlight w:val="none"/>
        </w:rPr>
        <w:t xml:space="preserve">：</w:t>
      </w:r>
      <w:r>
        <w:rPr>
          <w:rFonts w:hint="eastAsia" w:ascii="宋体" w:hAnsi="宋体"/>
          <w:bCs/>
          <w:color w:val="auto"/>
          <w:sz w:val="24"/>
          <w:highlight w:val="none"/>
        </w:rPr>
        <w:t xml:space="preserve">胡</w:t>
      </w:r>
      <w:r>
        <w:rPr>
          <w:rFonts w:hint="eastAsia" w:ascii="宋体" w:hAnsi="宋体"/>
          <w:bCs/>
          <w:color w:val="auto"/>
          <w:sz w:val="24"/>
          <w:highlight w:val="none"/>
          <w:lang w:val="en-US" w:eastAsia="zh-CN"/>
        </w:rPr>
        <w:t xml:space="preserve">缘</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电话：</w:t>
      </w:r>
      <w:r>
        <w:rPr>
          <w:rFonts w:hint="eastAsia" w:ascii="宋体" w:hAnsi="宋体"/>
          <w:bCs/>
          <w:color w:val="auto"/>
          <w:sz w:val="24"/>
          <w:highlight w:val="none"/>
        </w:rPr>
        <w:t xml:space="preserve">15861588293</w:t>
      </w:r>
      <w:r>
        <w:rPr>
          <w:rFonts w:hint="eastAsia" w:ascii="宋体" w:hAnsi="宋体" w:eastAsia="宋体" w:cs="宋体"/>
          <w:bCs/>
          <w:color w:val="auto"/>
          <w:sz w:val="24"/>
          <w:highlight w:val="none"/>
        </w:rPr>
        <w:t xml:space="preserve"> </w:t>
      </w:r>
      <w:r>
        <w:rPr>
          <w:rFonts w:hint="eastAsia" w:ascii="宋体" w:hAnsi="宋体" w:cs="宋体"/>
          <w:color w:val="auto"/>
          <w:sz w:val="24"/>
          <w:szCs w:val="24"/>
          <w:highlight w:val="none"/>
        </w:rPr>
        <w:t xml:space="preserve">             </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eastAsia="宋体" w:cs="宋体"/>
          <w:color w:val="auto"/>
          <w:sz w:val="24"/>
          <w:szCs w:val="24"/>
          <w:highlight w:val="none"/>
        </w:rPr>
        <w:t xml:space="preserve">：</w:t>
      </w:r>
      <w:r>
        <w:rPr>
          <w:rFonts w:hint="eastAsia" w:ascii="宋体" w:hAnsi="宋体"/>
          <w:bCs/>
          <w:color w:val="auto"/>
          <w:sz w:val="24"/>
          <w:highlight w:val="none"/>
        </w:rPr>
        <w:t xml:space="preserve">宜兴市新街街道龙池路688号元宏大厦8楼</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邮箱：</w:t>
      </w:r>
      <w:r>
        <w:rPr>
          <w:rFonts w:hint="eastAsia" w:ascii="宋体" w:hAnsi="宋体"/>
          <w:bCs/>
          <w:color w:val="auto"/>
          <w:sz w:val="24"/>
          <w:highlight w:val="none"/>
        </w:rPr>
        <w:t xml:space="preserve">215638036@qq.com</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2.采购人：</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无锡市民政局</w:t>
      </w:r>
      <w:r/>
    </w:p>
    <w:p>
      <w:pPr>
        <w:ind w:firstLine="480"/>
        <w:jc w:val="left"/>
        <w:spacing w:line="360" w:lineRule="auto"/>
        <w:shd w:val="clear" w:color="auto" w:fill="ffffff"/>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李龙洋</w:t>
      </w:r>
      <w:r/>
    </w:p>
    <w:p>
      <w:pPr>
        <w:ind w:firstLine="480"/>
        <w:jc w:val="left"/>
        <w:spacing w:line="360" w:lineRule="auto"/>
        <w:shd w:val="clear" w:color="auto" w:fill="ffffff"/>
        <w:widowControl/>
        <w:rPr>
          <w:rFonts w:ascii="宋体" w:hAnsi="宋体" w:eastAsia="宋体" w:cs="宋体"/>
          <w:color w:val="auto"/>
          <w:sz w:val="24"/>
          <w:szCs w:val="24"/>
          <w:highlight w:val="none"/>
        </w:rPr>
      </w:pPr>
      <w:r>
        <w:rPr>
          <w:rFonts w:hint="eastAsia" w:ascii="宋体" w:hAnsi="宋体" w:cs="宋体"/>
          <w:color w:val="auto"/>
          <w:sz w:val="24"/>
          <w:szCs w:val="24"/>
          <w:highlight w:val="none"/>
        </w:rPr>
        <w:t xml:space="preserve">联系电话：15951563969</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联系地址：无锡市观山路199号市民中心11号楼5楼</w:t>
      </w:r>
      <w:r/>
    </w:p>
    <w:p>
      <w:pPr>
        <w:ind w:firstLine="482"/>
        <w:jc w:val="left"/>
        <w:spacing w:line="360" w:lineRule="auto"/>
        <w:shd w:val="clear" w:color="auto" w:fill="ffffff"/>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ascii="宋体" w:hAnsi="宋体"/>
          <w:color w:val="auto"/>
          <w:sz w:val="24"/>
          <w:szCs w:val="24"/>
          <w:highlight w:val="none"/>
        </w:rPr>
        <w:t xml:space="preserve">CA驱动下载：</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hint="eastAsia" w:ascii="宋体" w:hAnsi="宋体" w:eastAsia="宋体"/>
          <w:bCs/>
          <w:color w:val="auto"/>
          <w:sz w:val="24"/>
          <w:szCs w:val="24"/>
          <w:highlight w:val="none"/>
        </w:rPr>
        <w:t xml:space="preserve">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下载地址：无锡市政府采购网——资料下载——</w:t>
      </w:r>
      <w:r>
        <w:rPr>
          <w:rFonts w:hint="eastAsia" w:ascii="宋体" w:hAnsi="宋体"/>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color w:val="auto"/>
          <w:sz w:val="24"/>
          <w:szCs w:val="24"/>
          <w:highlight w:val="none"/>
        </w:rPr>
        <w:t xml:space="preserve">“苏采云”系统供应商操作手册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w:t>
      </w:r>
      <w:r/>
    </w:p>
    <w:p>
      <w:pPr>
        <w:ind w:firstLine="480"/>
        <w:spacing w:line="360" w:lineRule="auto"/>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360" w:lineRule="auto"/>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无锡启扬项目管理有限公司</w:t>
      </w:r>
      <w:r>
        <w:rPr>
          <w:rFonts w:hint="eastAsia" w:ascii="宋体" w:hAnsi="宋体"/>
          <w:bCs/>
          <w:color w:val="auto"/>
          <w:sz w:val="24"/>
          <w:szCs w:val="24"/>
          <w:highlight w:val="none"/>
        </w:rPr>
        <w:t xml:space="preserve">在“无锡政府采购网”“江苏政府采购网”发布的更正公告。</w:t>
      </w:r>
      <w:r/>
    </w:p>
    <w:p>
      <w:pPr>
        <w:ind w:firstLine="480"/>
        <w:spacing w:line="360" w:lineRule="auto"/>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（五）其他事项</w:t>
      </w:r>
      <w:r/>
    </w:p>
    <w:p>
      <w:pPr>
        <w:ind w:firstLine="720"/>
        <w:spacing w:line="360" w:lineRule="auto"/>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rPr>
        <w:t xml:space="preserve">1）</w:t>
      </w:r>
      <w:r>
        <w:rPr>
          <w:rFonts w:hint="eastAsia" w:ascii="宋体" w:hAnsi="宋体"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cs="Times New Roman"/>
          <w:color w:val="auto"/>
          <w:sz w:val="24"/>
          <w:szCs w:val="24"/>
          <w:highlight w:val="none"/>
        </w:rPr>
        <w:t xml:space="preserve">纸质投标文件：本项目为不见面开标，</w:t>
      </w:r>
      <w:r>
        <w:rPr>
          <w:rFonts w:hint="eastAsia" w:ascii="宋体" w:hAnsi="宋体" w:eastAsia="宋体" w:cs="Times New Roman"/>
          <w:color w:val="auto"/>
          <w:sz w:val="24"/>
          <w:szCs w:val="24"/>
          <w:highlight w:val="none"/>
        </w:rPr>
        <w:t xml:space="preserve">投标</w:t>
      </w:r>
      <w:r>
        <w:rPr>
          <w:rFonts w:hint="eastAsia" w:ascii="宋体" w:hAnsi="宋体" w:cs="Times New Roman"/>
          <w:color w:val="auto"/>
          <w:sz w:val="24"/>
          <w:szCs w:val="24"/>
          <w:highlight w:val="none"/>
        </w:rPr>
        <w:t xml:space="preserve">人无需递交纸质投标文件至现场，</w:t>
      </w:r>
      <w:r>
        <w:rPr>
          <w:rFonts w:hint="eastAsia" w:ascii="宋体" w:hAnsi="宋体" w:cs="Times New Roman"/>
          <w:b/>
          <w:color w:val="auto"/>
          <w:sz w:val="24"/>
          <w:szCs w:val="24"/>
          <w:highlight w:val="none"/>
        </w:rPr>
        <w:t xml:space="preserve">中标后中标供应商向</w:t>
      </w:r>
      <w:r>
        <w:rPr>
          <w:rFonts w:hint="eastAsia" w:ascii="宋体" w:hAnsi="宋体" w:eastAsia="宋体" w:cs="Times New Roman"/>
          <w:b/>
          <w:color w:val="auto"/>
          <w:sz w:val="24"/>
          <w:szCs w:val="24"/>
          <w:highlight w:val="none"/>
        </w:rPr>
        <w:t xml:space="preserve">采购代理机构</w:t>
      </w:r>
      <w:r>
        <w:rPr>
          <w:rFonts w:hint="eastAsia" w:ascii="宋体" w:hAnsi="宋体" w:cs="Times New Roman"/>
          <w:b/>
          <w:color w:val="auto"/>
          <w:sz w:val="24"/>
          <w:szCs w:val="24"/>
          <w:highlight w:val="none"/>
        </w:rPr>
        <w:t xml:space="preserve">提供与电子投标文件完全一致的纸质投标文件（</w:t>
      </w:r>
      <w:r>
        <w:rPr>
          <w:rFonts w:hint="eastAsia" w:ascii="宋体" w:hAnsi="宋体" w:cs="Times New Roman"/>
          <w:b/>
          <w:color w:val="auto"/>
          <w:sz w:val="24"/>
          <w:szCs w:val="24"/>
          <w:highlight w:val="none"/>
          <w:lang w:val="en-US" w:eastAsia="zh-CN"/>
        </w:rPr>
        <w:t xml:space="preserve">2</w:t>
      </w:r>
      <w:r>
        <w:rPr>
          <w:rFonts w:hint="eastAsia" w:ascii="宋体" w:hAnsi="宋体" w:cs="Times New Roman"/>
          <w:b/>
          <w:color w:val="auto"/>
          <w:sz w:val="24"/>
          <w:szCs w:val="24"/>
          <w:highlight w:val="none"/>
        </w:rPr>
        <w:t xml:space="preserve">份：一正、</w:t>
      </w:r>
      <w:r>
        <w:rPr>
          <w:rFonts w:hint="eastAsia" w:ascii="宋体" w:hAnsi="宋体" w:cs="Times New Roman"/>
          <w:b/>
          <w:color w:val="auto"/>
          <w:sz w:val="24"/>
          <w:szCs w:val="24"/>
          <w:highlight w:val="none"/>
          <w:lang w:val="en-US" w:eastAsia="zh-CN"/>
        </w:rPr>
        <w:t xml:space="preserve">一</w:t>
      </w:r>
      <w:r>
        <w:rPr>
          <w:rFonts w:hint="eastAsia" w:ascii="宋体" w:hAnsi="宋体" w:cs="Times New Roman"/>
          <w:b/>
          <w:color w:val="auto"/>
          <w:sz w:val="24"/>
          <w:szCs w:val="24"/>
          <w:highlight w:val="none"/>
        </w:rPr>
        <w:t xml:space="preserve">副）。</w:t>
      </w:r>
      <w:r/>
    </w:p>
    <w:p>
      <w:pPr>
        <w:ind w:firstLine="720"/>
        <w:spacing w:line="360" w:lineRule="auto"/>
        <w:rPr>
          <w:rFonts w:ascii="宋体" w:hAnsi="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cs="Times New Roman"/>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4）本招标文件中</w:t>
      </w:r>
      <w:r>
        <w:rPr>
          <w:rFonts w:hint="eastAsia" w:ascii="宋体" w:hAnsi="宋体" w:cs="宋体"/>
          <w:color w:val="auto"/>
          <w:sz w:val="24"/>
          <w:szCs w:val="24"/>
          <w:highlight w:val="none"/>
          <w:lang w:val="en-US" w:eastAsia="zh-CN"/>
        </w:rPr>
        <w:t xml:space="preserve">涉及的</w:t>
      </w:r>
      <w:r>
        <w:rPr>
          <w:rFonts w:hint="eastAsia" w:ascii="宋体" w:hAnsi="宋体" w:eastAsia="宋体" w:cs="宋体"/>
          <w:color w:val="auto"/>
          <w:sz w:val="24"/>
          <w:szCs w:val="24"/>
          <w:highlight w:val="none"/>
          <w:lang w:val="en-US" w:eastAsia="zh-CN"/>
        </w:rPr>
        <w:t xml:space="preserve">盖章部分均可使用CA签章。</w:t>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ind w:firstLine="720"/>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spacing w:line="360" w:lineRule="auto"/>
        <w:rPr>
          <w:rFonts w:ascii="宋体" w:hAnsi="宋体" w:cs="Times New Roman"/>
          <w:color w:val="auto"/>
          <w:sz w:val="24"/>
          <w:szCs w:val="24"/>
          <w:highlight w:val="none"/>
        </w:rPr>
      </w:pPr>
      <w:r>
        <w:rPr>
          <w:rFonts w:ascii="宋体" w:hAnsi="宋体" w:cs="Times New Roman"/>
          <w:color w:val="auto"/>
          <w:sz w:val="24"/>
          <w:szCs w:val="24"/>
          <w:highlight w:val="none"/>
        </w:rPr>
      </w:r>
      <w:r/>
    </w:p>
    <w:p>
      <w:pPr>
        <w:pStyle w:val="768"/>
        <w:rPr>
          <w:rFonts w:ascii="宋体" w:hAnsi="宋体" w:cs="Times New Roman"/>
          <w:color w:val="auto"/>
          <w:sz w:val="24"/>
          <w:szCs w:val="24"/>
          <w:highlight w:val="none"/>
        </w:rPr>
      </w:pPr>
      <w:r>
        <w:rPr>
          <w:rFonts w:ascii="宋体" w:hAnsi="宋体" w:cs="Times New Roman"/>
          <w:color w:val="auto"/>
          <w:sz w:val="24"/>
          <w:szCs w:val="24"/>
          <w:highlight w:val="none"/>
        </w:rPr>
      </w:r>
      <w:r/>
    </w:p>
    <w:p>
      <w:pPr>
        <w:rPr>
          <w:rFonts w:ascii="宋体" w:hAnsi="宋体" w:cs="Times New Roman"/>
          <w:color w:val="auto"/>
          <w:sz w:val="24"/>
          <w:szCs w:val="24"/>
          <w:highlight w:val="none"/>
        </w:rPr>
      </w:pPr>
      <w:r>
        <w:rPr>
          <w:rFonts w:ascii="宋体" w:hAnsi="宋体" w:cs="Times New Roman"/>
          <w:color w:val="auto"/>
          <w:sz w:val="24"/>
          <w:szCs w:val="24"/>
          <w:highlight w:val="none"/>
        </w:rPr>
      </w:r>
      <w:r/>
    </w:p>
    <w:p>
      <w:pPr>
        <w:pStyle w:val="768"/>
        <w:rPr>
          <w:rFonts w:ascii="宋体" w:hAnsi="宋体" w:cs="Times New Roman"/>
          <w:color w:val="auto"/>
          <w:sz w:val="24"/>
          <w:szCs w:val="24"/>
          <w:highlight w:val="none"/>
        </w:rPr>
      </w:pPr>
      <w:r>
        <w:rPr>
          <w:rFonts w:ascii="宋体" w:hAnsi="宋体" w:cs="Times New Roman"/>
          <w:color w:val="auto"/>
          <w:sz w:val="24"/>
          <w:szCs w:val="24"/>
          <w:highlight w:val="none"/>
        </w:rPr>
      </w:r>
      <w:r/>
    </w:p>
    <w:p>
      <w:pPr>
        <w:rPr>
          <w:rFonts w:ascii="宋体" w:hAnsi="宋体" w:cs="Times New Roman"/>
          <w:color w:val="auto"/>
          <w:sz w:val="24"/>
          <w:szCs w:val="24"/>
          <w:highlight w:val="none"/>
        </w:rPr>
      </w:pPr>
      <w:r>
        <w:rPr>
          <w:rFonts w:ascii="宋体" w:hAnsi="宋体" w:cs="Times New Roman"/>
          <w:color w:val="auto"/>
          <w:sz w:val="24"/>
          <w:szCs w:val="24"/>
          <w:highlight w:val="none"/>
        </w:rPr>
      </w:r>
      <w:r/>
    </w:p>
    <w:p>
      <w:pPr>
        <w:pStyle w:val="768"/>
        <w:rPr>
          <w:color w:val="auto"/>
          <w:highlight w:val="none"/>
        </w:rPr>
      </w:pPr>
      <w:r>
        <w:rPr>
          <w:color w:val="auto"/>
          <w:highlight w:val="none"/>
        </w:rPr>
      </w:r>
      <w:r/>
    </w:p>
    <w:p>
      <w:pP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第二章  </w:t>
      </w:r>
      <w:bookmarkEnd w:id="1"/>
      <w:r/>
      <w:bookmarkStart w:id="2" w:name="_Toc16938518"/>
      <w:r/>
      <w:bookmarkStart w:id="3" w:name="_Toc20823274"/>
      <w:r/>
      <w:bookmarkStart w:id="4" w:name="_Toc120614213"/>
      <w:r/>
      <w:bookmarkStart w:id="5" w:name="_Toc513029202"/>
      <w:r>
        <w:rPr>
          <w:rFonts w:hint="eastAsia" w:ascii="黑体" w:hAnsi="黑体" w:eastAsia="黑体" w:cs="黑体"/>
          <w:color w:val="auto"/>
          <w:sz w:val="36"/>
          <w:szCs w:val="36"/>
          <w:highlight w:val="none"/>
        </w:rPr>
        <w:t xml:space="preserve">投标人须知</w:t>
      </w:r>
      <w:bookmarkEnd w:id="2"/>
      <w:r/>
      <w:bookmarkEnd w:id="3"/>
      <w:r/>
      <w:bookmarkEnd w:id="4"/>
      <w:r/>
      <w:bookmarkEnd w:id="5"/>
      <w:r/>
      <w:r/>
    </w:p>
    <w:p>
      <w:pPr>
        <w:pStyle w:val="922"/>
        <w:ind w:firstLine="452"/>
        <w:keepLines w:val="0"/>
        <w:keepNext w:val="0"/>
        <w:spacing w:before="0" w:after="0" w:line="360" w:lineRule="auto"/>
        <w:rPr>
          <w:color w:val="auto"/>
          <w:sz w:val="30"/>
          <w:szCs w:val="30"/>
          <w:highlight w:val="none"/>
          <w:lang w:eastAsia="zh-CN"/>
        </w:rPr>
      </w:pPr>
      <w:r/>
      <w:bookmarkStart w:id="6" w:name="_Toc20823275"/>
      <w:r/>
      <w:bookmarkStart w:id="7" w:name="_Toc513029203"/>
      <w:r/>
      <w:bookmarkStart w:id="8" w:name="_Toc16938519"/>
      <w:r/>
      <w:bookmarkStart w:id="9" w:name="_Toc120614214"/>
      <w:r>
        <w:rPr>
          <w:rFonts w:hint="eastAsia"/>
          <w:color w:val="auto"/>
          <w:sz w:val="30"/>
          <w:szCs w:val="30"/>
          <w:highlight w:val="none"/>
          <w:lang w:eastAsia="zh-CN"/>
        </w:rPr>
        <w:t xml:space="preserve">一、总则</w:t>
      </w:r>
      <w:bookmarkEnd w:id="6"/>
      <w:r/>
      <w:bookmarkEnd w:id="7"/>
      <w:r/>
      <w:bookmarkEnd w:id="8"/>
      <w:r/>
      <w:bookmarkEnd w:id="9"/>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0" w:name="_Hlt16619475"/>
      <w:r/>
      <w:bookmarkEnd w:id="10"/>
      <w:r/>
      <w:bookmarkStart w:id="11" w:name="_Toc16938520"/>
      <w:r/>
      <w:bookmarkStart w:id="12" w:name="_Toc513029204"/>
      <w:r/>
      <w:bookmarkStart w:id="13" w:name="_Toc20823276"/>
      <w:r>
        <w:rPr>
          <w:rFonts w:hint="eastAsia" w:ascii="宋体" w:hAnsi="宋体" w:eastAsia="宋体"/>
          <w:bCs w:val="0"/>
          <w:color w:val="auto"/>
          <w:highlight w:val="none"/>
          <w:lang w:eastAsia="zh-CN"/>
        </w:rPr>
        <w:t xml:space="preserve">1.招标方式</w:t>
      </w:r>
      <w:bookmarkEnd w:id="11"/>
      <w:r/>
      <w:bookmarkEnd w:id="12"/>
      <w:r/>
      <w:bookmarkEnd w:id="1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4" w:name="_Toc20823277"/>
      <w:r/>
      <w:bookmarkStart w:id="15" w:name="_Toc513029205"/>
      <w:r/>
      <w:bookmarkStart w:id="16" w:name="_Toc16938521"/>
      <w:r>
        <w:rPr>
          <w:rFonts w:hint="eastAsia" w:ascii="宋体" w:hAnsi="宋体" w:eastAsia="宋体"/>
          <w:bCs w:val="0"/>
          <w:color w:val="auto"/>
          <w:highlight w:val="none"/>
          <w:lang w:eastAsia="zh-CN"/>
        </w:rPr>
        <w:t xml:space="preserve">2.</w:t>
      </w:r>
      <w:bookmarkEnd w:id="14"/>
      <w:r/>
      <w:bookmarkEnd w:id="15"/>
      <w:r/>
      <w:bookmarkEnd w:id="16"/>
      <w:r>
        <w:rPr>
          <w:rFonts w:hint="eastAsia" w:ascii="宋体" w:hAnsi="宋体" w:eastAsia="宋体"/>
          <w:bCs w:val="0"/>
          <w:color w:val="auto"/>
          <w:highlight w:val="none"/>
          <w:lang w:eastAsia="zh-CN"/>
        </w:rPr>
        <w:t xml:space="preserve">采购人、采购代理机构、投标人、联合体</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7" w:name="_Toc16938522"/>
      <w:r/>
      <w:bookmarkStart w:id="18" w:name="_Toc20823278"/>
      <w:r/>
      <w:bookmarkStart w:id="19" w:name="_Toc513029206"/>
      <w:r>
        <w:rPr>
          <w:rFonts w:hint="eastAsia" w:ascii="宋体" w:hAnsi="宋体" w:eastAsia="宋体"/>
          <w:bCs w:val="0"/>
          <w:color w:val="auto"/>
          <w:highlight w:val="none"/>
          <w:lang w:eastAsia="zh-CN"/>
        </w:rPr>
        <w:t xml:space="preserve">3.适用法律</w:t>
      </w:r>
      <w:bookmarkEnd w:id="17"/>
      <w:r/>
      <w:bookmarkEnd w:id="18"/>
      <w:r/>
      <w:bookmarkEnd w:id="1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 本次招标及由此产生的合同受中华人民共和国有关的法律法规制约和保护</w:t>
      </w:r>
      <w:r>
        <w:rPr>
          <w:rFonts w:ascii="宋体" w:hAnsi="宋体"/>
          <w:color w:val="auto"/>
          <w:sz w:val="24"/>
          <w:highlight w:val="none"/>
        </w:rPr>
        <w:t xml:space="preserve">。</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20" w:name="_Toc462564067"/>
      <w:r/>
      <w:bookmarkStart w:id="21" w:name="_Toc16938523"/>
      <w:r/>
      <w:bookmarkStart w:id="22" w:name="_Toc513029207"/>
      <w:r/>
      <w:bookmarkStart w:id="23" w:name="_Toc20823279"/>
      <w:r>
        <w:rPr>
          <w:rFonts w:hint="eastAsia" w:ascii="宋体" w:hAnsi="宋体" w:eastAsia="宋体"/>
          <w:bCs w:val="0"/>
          <w:color w:val="auto"/>
          <w:highlight w:val="none"/>
          <w:lang w:eastAsia="zh-CN"/>
        </w:rPr>
        <w:t xml:space="preserve">4.投标费用</w:t>
      </w:r>
      <w:bookmarkEnd w:id="20"/>
      <w:r/>
      <w:bookmarkEnd w:id="21"/>
      <w:r/>
      <w:bookmarkEnd w:id="22"/>
      <w:r/>
      <w:bookmarkEnd w:id="23"/>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w:t>
      </w:r>
      <w:r>
        <w:rPr>
          <w:rFonts w:hint="eastAsia" w:ascii="宋体" w:hAnsi="宋体"/>
          <w:color w:val="auto"/>
          <w:sz w:val="24"/>
          <w:highlight w:val="none"/>
          <w:lang w:eastAsia="zh-CN"/>
        </w:rPr>
        <w:t xml:space="preserve">无锡启扬项目管理有限公司</w:t>
      </w:r>
      <w:r>
        <w:rPr>
          <w:rFonts w:hint="eastAsia" w:ascii="宋体" w:hAnsi="宋体"/>
          <w:color w:val="auto"/>
          <w:sz w:val="24"/>
          <w:highlight w:val="none"/>
        </w:rPr>
        <w:t xml:space="preserve">在任何情况下均无义务和责任承担这些费用。</w:t>
      </w:r>
      <w:r/>
    </w:p>
    <w:p>
      <w:pPr>
        <w:ind w:firstLine="480"/>
        <w:spacing w:line="360" w:lineRule="auto"/>
        <w:rPr>
          <w:rFonts w:ascii="宋体" w:hAnsi="宋体"/>
          <w:strike/>
          <w:color w:val="auto"/>
          <w:sz w:val="24"/>
          <w:highlight w:val="none"/>
        </w:rPr>
      </w:pPr>
      <w:r>
        <w:rPr>
          <w:rFonts w:hint="eastAsia" w:ascii="宋体" w:hAnsi="宋体"/>
          <w:color w:val="auto"/>
          <w:sz w:val="24"/>
          <w:highlight w:val="none"/>
        </w:rPr>
        <w:t xml:space="preserve">4.2本项目采购代理</w:t>
      </w:r>
      <w:r>
        <w:rPr>
          <w:rFonts w:hint="eastAsia" w:ascii="宋体" w:hAnsi="宋体"/>
          <w:color w:val="auto"/>
          <w:sz w:val="24"/>
          <w:highlight w:val="none"/>
        </w:rPr>
        <w:t xml:space="preserve">服务费由</w:t>
      </w:r>
      <w:r>
        <w:rPr>
          <w:rFonts w:hint="eastAsia" w:ascii="宋体" w:hAnsi="宋体" w:eastAsia="宋体"/>
          <w:color w:val="auto"/>
          <w:sz w:val="24"/>
          <w:highlight w:val="none"/>
        </w:rPr>
        <w:t xml:space="preserve">中标人</w:t>
      </w:r>
      <w:r>
        <w:rPr>
          <w:rFonts w:hint="eastAsia" w:ascii="宋体" w:hAnsi="宋体"/>
          <w:color w:val="auto"/>
          <w:sz w:val="24"/>
          <w:highlight w:val="none"/>
        </w:rPr>
        <w:t xml:space="preserve">支付</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本项目代理服务费为：人民币壹万贰仟伍佰元整（¥12500.00）。</w:t>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5.招标文件的约束力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22"/>
        <w:ind w:firstLine="452"/>
        <w:keepLines w:val="0"/>
        <w:keepNext w:val="0"/>
        <w:spacing w:before="0" w:after="0" w:line="360" w:lineRule="auto"/>
        <w:rPr>
          <w:color w:val="auto"/>
          <w:sz w:val="30"/>
          <w:szCs w:val="30"/>
          <w:highlight w:val="none"/>
          <w:lang w:eastAsia="zh-CN"/>
        </w:rPr>
      </w:pPr>
      <w:r/>
      <w:bookmarkStart w:id="24" w:name="_Toc120614215"/>
      <w:r/>
      <w:bookmarkStart w:id="25" w:name="_Toc20823281"/>
      <w:r/>
      <w:bookmarkStart w:id="26" w:name="_Toc16938525"/>
      <w:r/>
      <w:bookmarkStart w:id="27" w:name="_Toc513029209"/>
      <w:r>
        <w:rPr>
          <w:rFonts w:hint="eastAsia"/>
          <w:color w:val="auto"/>
          <w:sz w:val="30"/>
          <w:szCs w:val="30"/>
          <w:highlight w:val="none"/>
          <w:lang w:eastAsia="zh-CN"/>
        </w:rPr>
        <w:t xml:space="preserve">二、招标文件</w:t>
      </w:r>
      <w:bookmarkEnd w:id="24"/>
      <w:r/>
      <w:bookmarkEnd w:id="25"/>
      <w:r/>
      <w:bookmarkEnd w:id="26"/>
      <w:r/>
      <w:bookmarkEnd w:id="27"/>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28" w:name="_Toc513029210"/>
      <w:r/>
      <w:bookmarkStart w:id="29" w:name="_Toc16938526"/>
      <w:r/>
      <w:bookmarkStart w:id="30" w:name="_Toc20823282"/>
      <w:r>
        <w:rPr>
          <w:rFonts w:hint="eastAsia" w:ascii="宋体" w:hAnsi="宋体" w:eastAsia="宋体"/>
          <w:bCs w:val="0"/>
          <w:color w:val="auto"/>
          <w:highlight w:val="none"/>
          <w:lang w:eastAsia="zh-CN"/>
        </w:rPr>
        <w:t xml:space="preserve">6.招标文件构成</w:t>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360" w:lineRule="auto"/>
        <w:rPr>
          <w:rFonts w:ascii="宋体" w:hAnsi="宋体" w:eastAsia="宋体"/>
          <w:color w:val="auto"/>
          <w:sz w:val="24"/>
          <w:szCs w:val="24"/>
          <w:highlight w:val="none"/>
        </w:rPr>
      </w:pPr>
      <w:r>
        <w:rPr>
          <w:rFonts w:hint="eastAsia" w:ascii="宋体" w:hAnsi="宋体"/>
          <w:color w:val="auto"/>
          <w:sz w:val="24"/>
          <w:szCs w:val="24"/>
          <w:highlight w:val="none"/>
          <w:lang w:eastAsia="zh-CN"/>
        </w:rPr>
        <w:t xml:space="preserve">（1）</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邀请</w:t>
      </w:r>
      <w:r>
        <w:rPr>
          <w:rFonts w:hint="eastAsia" w:ascii="宋体" w:hAnsi="宋体" w:eastAsia="宋体"/>
          <w:color w:val="auto"/>
          <w:sz w:val="24"/>
          <w:szCs w:val="24"/>
          <w:highlight w:val="none"/>
        </w:rPr>
        <w:t xml:space="preserve">函</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rPr>
        <w:t xml:space="preserve">投标人须知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（3）</w:t>
      </w:r>
      <w:r>
        <w:rPr>
          <w:rFonts w:hint="eastAsia" w:ascii="宋体" w:hAnsi="宋体"/>
          <w:color w:val="auto"/>
          <w:sz w:val="24"/>
          <w:szCs w:val="24"/>
          <w:highlight w:val="none"/>
        </w:rPr>
        <w:t xml:space="preserve">合同文本</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（4）</w:t>
      </w:r>
      <w:r>
        <w:rPr>
          <w:rFonts w:hint="eastAsia" w:ascii="宋体" w:hAnsi="宋体"/>
          <w:color w:val="auto"/>
          <w:sz w:val="24"/>
          <w:szCs w:val="24"/>
          <w:highlight w:val="none"/>
        </w:rPr>
        <w:t xml:space="preserve">采购需求</w:t>
      </w:r>
      <w:r/>
    </w:p>
    <w:p>
      <w:pPr>
        <w:ind w:firstLine="480"/>
        <w:spacing w:line="360" w:lineRule="auto"/>
        <w:rPr>
          <w:color w:val="auto"/>
          <w:sz w:val="24"/>
          <w:szCs w:val="24"/>
          <w:highlight w:val="none"/>
        </w:rPr>
      </w:pPr>
      <w:r>
        <w:rPr>
          <w:rFonts w:hint="eastAsia" w:ascii="宋体" w:hAnsi="宋体"/>
          <w:color w:val="auto"/>
          <w:sz w:val="24"/>
          <w:szCs w:val="24"/>
          <w:highlight w:val="none"/>
          <w:lang w:eastAsia="zh-CN"/>
        </w:rPr>
        <w:t xml:space="preserve">（5）</w:t>
      </w:r>
      <w:r>
        <w:rPr>
          <w:rFonts w:hint="eastAsia" w:hAnsi="宋体"/>
          <w:color w:val="auto"/>
          <w:sz w:val="24"/>
          <w:szCs w:val="24"/>
          <w:highlight w:val="none"/>
        </w:rPr>
        <w:t xml:space="preserve">评标方法与评标标准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（6）</w:t>
      </w:r>
      <w:r>
        <w:rPr>
          <w:rFonts w:hint="eastAsia" w:ascii="宋体" w:hAnsi="宋体"/>
          <w:color w:val="auto"/>
          <w:sz w:val="24"/>
          <w:szCs w:val="24"/>
          <w:highlight w:val="none"/>
        </w:rPr>
        <w:t xml:space="preserve">投标文件内容与格式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联系解决。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31" w:name="_Toc16938527"/>
      <w:r/>
      <w:bookmarkStart w:id="32" w:name="_Toc462564070"/>
      <w:r/>
      <w:bookmarkStart w:id="33" w:name="_Toc513029211"/>
      <w:r/>
      <w:bookmarkStart w:id="34" w:name="_Toc20823283"/>
      <w:r>
        <w:rPr>
          <w:rFonts w:hint="eastAsia" w:ascii="宋体" w:hAnsi="宋体" w:eastAsia="宋体"/>
          <w:bCs w:val="0"/>
          <w:color w:val="auto"/>
          <w:highlight w:val="none"/>
          <w:lang w:eastAsia="zh-CN"/>
        </w:rPr>
        <w:t xml:space="preserve">7.招标文件的澄清</w:t>
      </w:r>
      <w:bookmarkEnd w:id="31"/>
      <w:r/>
      <w:bookmarkEnd w:id="32"/>
      <w:r/>
      <w:bookmarkEnd w:id="33"/>
      <w:r/>
      <w:bookmarkEnd w:id="34"/>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以书面形式提出。</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35" w:name="_Toc16938528"/>
      <w:r/>
      <w:bookmarkStart w:id="36" w:name="_Toc462564071"/>
      <w:r/>
      <w:bookmarkStart w:id="37" w:name="_Toc513029212"/>
      <w:r/>
      <w:bookmarkStart w:id="38" w:name="_Toc20823284"/>
      <w:r>
        <w:rPr>
          <w:rFonts w:hint="eastAsia" w:ascii="宋体" w:hAnsi="宋体" w:eastAsia="宋体"/>
          <w:bCs w:val="0"/>
          <w:color w:val="auto"/>
          <w:highlight w:val="none"/>
          <w:lang w:eastAsia="zh-CN"/>
        </w:rPr>
        <w:t xml:space="preserve">8.招标文件的修改</w:t>
      </w:r>
      <w:bookmarkEnd w:id="35"/>
      <w:r/>
      <w:bookmarkEnd w:id="36"/>
      <w:r/>
      <w:bookmarkEnd w:id="37"/>
      <w:r/>
      <w:bookmarkEnd w:id="38"/>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22"/>
        <w:ind w:firstLine="452"/>
        <w:keepLines w:val="0"/>
        <w:keepNext w:val="0"/>
        <w:spacing w:before="0" w:after="0" w:line="360" w:lineRule="auto"/>
        <w:rPr>
          <w:color w:val="auto"/>
          <w:sz w:val="30"/>
          <w:szCs w:val="30"/>
          <w:highlight w:val="none"/>
          <w:lang w:eastAsia="zh-CN"/>
        </w:rPr>
      </w:pPr>
      <w:r/>
      <w:bookmarkStart w:id="39" w:name="_Toc16938529"/>
      <w:r/>
      <w:bookmarkStart w:id="40" w:name="_Toc513029213"/>
      <w:r/>
      <w:bookmarkStart w:id="41" w:name="_Toc120614216"/>
      <w:r/>
      <w:bookmarkStart w:id="42" w:name="_Toc462564072"/>
      <w:r/>
      <w:bookmarkStart w:id="43" w:name="_Toc20823285"/>
      <w:r>
        <w:rPr>
          <w:rFonts w:hint="eastAsia"/>
          <w:color w:val="auto"/>
          <w:sz w:val="30"/>
          <w:szCs w:val="30"/>
          <w:highlight w:val="none"/>
          <w:lang w:eastAsia="zh-CN"/>
        </w:rPr>
        <w:t xml:space="preserve">三、投标文件的编制</w:t>
      </w:r>
      <w:bookmarkEnd w:id="39"/>
      <w:r/>
      <w:bookmarkEnd w:id="40"/>
      <w:r/>
      <w:bookmarkEnd w:id="41"/>
      <w:r/>
      <w:bookmarkEnd w:id="42"/>
      <w:r/>
      <w:bookmarkEnd w:id="43"/>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44" w:name="_Toc16938530"/>
      <w:r/>
      <w:bookmarkStart w:id="45" w:name="_Toc462564073"/>
      <w:r/>
      <w:bookmarkStart w:id="46" w:name="_Toc20823286"/>
      <w:r/>
      <w:bookmarkStart w:id="47" w:name="_Toc513029214"/>
      <w:r>
        <w:rPr>
          <w:rFonts w:hint="eastAsia" w:ascii="宋体" w:hAnsi="宋体" w:eastAsia="宋体"/>
          <w:bCs w:val="0"/>
          <w:color w:val="auto"/>
          <w:highlight w:val="none"/>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48" w:name="_Toc20823287"/>
      <w:r/>
      <w:bookmarkStart w:id="49" w:name="_Toc16938531"/>
      <w:r/>
      <w:bookmarkStart w:id="50" w:name="_Toc462564074"/>
      <w:r/>
      <w:bookmarkStart w:id="51" w:name="_Toc513029215"/>
      <w:r>
        <w:rPr>
          <w:rFonts w:hint="eastAsia" w:ascii="宋体" w:hAnsi="宋体" w:eastAsia="宋体"/>
          <w:bCs w:val="0"/>
          <w:color w:val="auto"/>
          <w:highlight w:val="none"/>
          <w:lang w:eastAsia="zh-CN"/>
        </w:rPr>
        <w:t xml:space="preserve">10.投标文件构成</w:t>
      </w:r>
      <w:bookmarkEnd w:id="48"/>
      <w:r/>
      <w:bookmarkEnd w:id="49"/>
      <w:r/>
      <w:bookmarkEnd w:id="50"/>
      <w:r/>
      <w:bookmarkEnd w:id="5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10.2投标人所</w:t>
      </w:r>
      <w:r>
        <w:rPr>
          <w:rFonts w:hint="eastAsia" w:ascii="宋体" w:hAnsi="宋体"/>
          <w:color w:val="auto"/>
          <w:sz w:val="24"/>
          <w:highlight w:val="none"/>
          <w:lang w:eastAsia="zh-CN"/>
        </w:rPr>
        <w:t xml:space="preserve">需</w:t>
      </w:r>
      <w:r>
        <w:rPr>
          <w:rFonts w:hint="eastAsia" w:ascii="宋体" w:hAnsi="宋体"/>
          <w:color w:val="auto"/>
          <w:sz w:val="24"/>
          <w:highlight w:val="none"/>
        </w:rPr>
        <w:t xml:space="preserve">提供的相关证明文件和要求以及投标文件的部分格式要求，详见第六章《投标文件内容与格式》。</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52" w:name="_Hlt26668975"/>
      <w:r/>
      <w:bookmarkEnd w:id="52"/>
      <w:r/>
      <w:bookmarkStart w:id="53" w:name="_Hlt26954838"/>
      <w:r/>
      <w:bookmarkEnd w:id="53"/>
      <w:r/>
      <w:bookmarkStart w:id="54" w:name="_Hlt26670360"/>
      <w:r/>
      <w:bookmarkEnd w:id="54"/>
      <w:r/>
      <w:bookmarkStart w:id="55" w:name="_Toc49090509"/>
      <w:r/>
      <w:bookmarkStart w:id="56" w:name="_Toc513029219"/>
      <w:r/>
      <w:bookmarkStart w:id="57" w:name="_Toc14577357"/>
      <w:r/>
      <w:bookmarkStart w:id="58" w:name="_Toc513029216"/>
      <w:r/>
      <w:bookmarkStart w:id="59" w:name="_Toc14577354"/>
      <w:r/>
      <w:bookmarkStart w:id="60" w:name="_Toc49090507"/>
      <w:r>
        <w:rPr>
          <w:rFonts w:hint="eastAsia" w:ascii="宋体" w:hAnsi="宋体" w:eastAsia="宋体"/>
          <w:bCs w:val="0"/>
          <w:color w:val="auto"/>
          <w:highlight w:val="none"/>
          <w:lang w:eastAsia="zh-CN"/>
        </w:rPr>
        <w:t xml:space="preserve">11.证明投标人及投标标的符合招标文件规定的文件</w:t>
      </w:r>
      <w:bookmarkEnd w:id="55"/>
      <w:r/>
      <w:bookmarkEnd w:id="56"/>
      <w:r/>
      <w:bookmarkEnd w:id="57"/>
      <w:r/>
      <w:bookmarkEnd w:id="58"/>
      <w:bookmarkEnd w:id="59"/>
      <w:bookmarkEnd w:id="60"/>
      <w:r/>
    </w:p>
    <w:p>
      <w:pPr>
        <w:ind w:firstLine="480"/>
        <w:spacing w:line="360" w:lineRule="auto"/>
        <w:rPr>
          <w:rFonts w:ascii="宋体" w:hAnsi="宋体"/>
          <w:bCs/>
          <w:color w:val="auto"/>
          <w:sz w:val="24"/>
          <w:highlight w:val="none"/>
        </w:rPr>
      </w:pPr>
      <w:r/>
      <w:bookmarkStart w:id="61" w:name="_Toc14577355"/>
      <w:r/>
      <w:bookmarkStart w:id="62" w:name="_Toc49090508"/>
      <w:r>
        <w:rPr>
          <w:rFonts w:hint="eastAsia" w:ascii="宋体" w:hAnsi="宋体"/>
          <w:bCs/>
          <w:color w:val="auto"/>
          <w:sz w:val="24"/>
          <w:highlight w:val="none"/>
        </w:rPr>
        <w:t xml:space="preserve">11.1投标人应按照</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63" w:name="_Toc49090510"/>
      <w:r/>
      <w:bookmarkStart w:id="64" w:name="_Toc14577359"/>
      <w:r>
        <w:rPr>
          <w:rFonts w:hint="eastAsia" w:ascii="宋体" w:hAnsi="宋体" w:eastAsia="宋体"/>
          <w:bCs w:val="0"/>
          <w:color w:val="auto"/>
          <w:highlight w:val="none"/>
          <w:lang w:eastAsia="zh-CN"/>
        </w:rPr>
        <w:t xml:space="preserve">12.投标函、承诺书和开标一览表</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13.</w:t>
      </w:r>
      <w:bookmarkEnd w:id="61"/>
      <w:r/>
      <w:bookmarkEnd w:id="62"/>
      <w:r>
        <w:rPr>
          <w:rFonts w:hint="eastAsia" w:ascii="宋体" w:hAnsi="宋体" w:eastAsia="宋体"/>
          <w:bCs w:val="0"/>
          <w:color w:val="auto"/>
          <w:highlight w:val="none"/>
          <w:lang w:eastAsia="zh-CN"/>
        </w:rPr>
        <w:t xml:space="preserve">分项报价表</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65" w:name="_Hlt26954840"/>
      <w:r/>
      <w:bookmarkEnd w:id="65"/>
      <w:r>
        <w:rPr>
          <w:rFonts w:hint="eastAsia" w:ascii="宋体" w:hAnsi="宋体"/>
          <w:color w:val="auto"/>
          <w:sz w:val="24"/>
          <w:highlight w:val="none"/>
        </w:rPr>
        <w:t xml:space="preserve">标人应按照招标文件规定格式填报</w:t>
      </w:r>
      <w:bookmarkStart w:id="66" w:name="_Hlt26670399"/>
      <w:r/>
      <w:bookmarkEnd w:id="66"/>
      <w:r>
        <w:rPr>
          <w:rFonts w:hint="eastAsia" w:ascii="宋体" w:hAnsi="宋体"/>
          <w:color w:val="auto"/>
          <w:sz w:val="24"/>
          <w:highlight w:val="none"/>
        </w:rPr>
        <w:t xml:space="preserve">分项报价表。</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67" w:name="_Hlt26670482"/>
      <w:r/>
      <w:bookmarkEnd w:id="67"/>
      <w:r/>
      <w:bookmarkStart w:id="68" w:name="_Hlt26954846"/>
      <w:r/>
      <w:bookmarkEnd w:id="68"/>
      <w:r/>
      <w:bookmarkStart w:id="69" w:name="_Hlt26670425"/>
      <w:r/>
      <w:bookmarkEnd w:id="69"/>
      <w:r/>
      <w:bookmarkStart w:id="70" w:name="_Hlt26954731"/>
      <w:r/>
      <w:bookmarkEnd w:id="70"/>
      <w:r/>
      <w:bookmarkStart w:id="71" w:name="_Hlt26668983"/>
      <w:r/>
      <w:bookmarkEnd w:id="71"/>
      <w:r/>
      <w:bookmarkStart w:id="72" w:name="_Hlt26954842"/>
      <w:r/>
      <w:bookmarkEnd w:id="72"/>
      <w:r/>
      <w:bookmarkStart w:id="73" w:name="_Hlt26954844"/>
      <w:r/>
      <w:bookmarkEnd w:id="73"/>
      <w:r/>
      <w:bookmarkStart w:id="74" w:name="_Hlt26670486"/>
      <w:r/>
      <w:bookmarkEnd w:id="74"/>
      <w:r/>
      <w:bookmarkStart w:id="75" w:name="_Hlt26670403"/>
      <w:r/>
      <w:bookmarkEnd w:id="75"/>
      <w:r/>
      <w:bookmarkStart w:id="76" w:name="_Hlt26954848"/>
      <w:r/>
      <w:bookmarkEnd w:id="76"/>
      <w:r>
        <w:rPr>
          <w:rFonts w:hint="eastAsia" w:ascii="宋体" w:hAnsi="宋体" w:eastAsia="宋体"/>
          <w:bCs w:val="0"/>
          <w:color w:val="auto"/>
          <w:highlight w:val="none"/>
          <w:lang w:eastAsia="zh-CN"/>
        </w:rPr>
        <w:t xml:space="preserve">14.投标偏离表</w:t>
      </w:r>
      <w:r/>
    </w:p>
    <w:p>
      <w:pPr>
        <w:ind w:firstLine="480"/>
        <w:spacing w:line="360" w:lineRule="auto"/>
        <w:tabs>
          <w:tab w:val="left" w:pos="1035" w:leader="none"/>
        </w:tabs>
        <w:rPr>
          <w:rFonts w:ascii="宋体" w:hAnsi="Arial" w:cs="宋体"/>
          <w:color w:val="auto"/>
          <w:sz w:val="24"/>
          <w:highlight w:val="none"/>
          <w:lang w:val="zh-CN"/>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77" w:name="_Hlt26954850"/>
      <w:r/>
      <w:bookmarkEnd w:id="77"/>
      <w:r/>
      <w:bookmarkStart w:id="78" w:name="_Hlt26954734"/>
      <w:r/>
      <w:bookmarkEnd w:id="78"/>
      <w:r/>
      <w:bookmarkStart w:id="79" w:name="_Hlt26670489"/>
      <w:r/>
      <w:bookmarkEnd w:id="79"/>
      <w:r/>
      <w:bookmarkStart w:id="80" w:name="_Toc14577360"/>
      <w:r/>
      <w:bookmarkStart w:id="81" w:name="_Toc49090511"/>
      <w:r>
        <w:rPr>
          <w:rFonts w:hint="eastAsia" w:ascii="宋体" w:hAnsi="宋体" w:eastAsia="宋体"/>
          <w:bCs w:val="0"/>
          <w:color w:val="auto"/>
          <w:highlight w:val="none"/>
          <w:lang w:eastAsia="zh-CN"/>
        </w:rPr>
        <w:t xml:space="preserve">15.投标有效期</w:t>
      </w:r>
      <w:bookmarkEnd w:id="80"/>
      <w:r/>
      <w:bookmarkEnd w:id="81"/>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16.投标有效期的延长</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22"/>
        <w:ind w:firstLine="452"/>
        <w:keepLines w:val="0"/>
        <w:keepNext w:val="0"/>
        <w:spacing w:before="0" w:after="0" w:line="360" w:lineRule="auto"/>
        <w:rPr>
          <w:color w:val="auto"/>
          <w:sz w:val="30"/>
          <w:szCs w:val="30"/>
          <w:highlight w:val="none"/>
          <w:lang w:eastAsia="zh-CN"/>
        </w:rPr>
      </w:pPr>
      <w:r/>
      <w:bookmarkStart w:id="82" w:name="_Hlt26954852"/>
      <w:r/>
      <w:bookmarkEnd w:id="82"/>
      <w:r/>
      <w:bookmarkStart w:id="83" w:name="_Hlt26954739"/>
      <w:r/>
      <w:bookmarkEnd w:id="83"/>
      <w:r/>
      <w:bookmarkStart w:id="84" w:name="_Toc20823296"/>
      <w:r/>
      <w:bookmarkStart w:id="85" w:name="_Toc120614217"/>
      <w:r/>
      <w:bookmarkStart w:id="86" w:name="_Toc513029224"/>
      <w:r/>
      <w:bookmarkStart w:id="87" w:name="_Toc16938540"/>
      <w:r>
        <w:rPr>
          <w:rFonts w:hint="eastAsia"/>
          <w:color w:val="auto"/>
          <w:sz w:val="30"/>
          <w:szCs w:val="30"/>
          <w:highlight w:val="none"/>
          <w:lang w:eastAsia="zh-CN"/>
        </w:rPr>
        <w:t xml:space="preserve">四、投标文件的递交</w:t>
      </w:r>
      <w:bookmarkEnd w:id="84"/>
      <w:r/>
      <w:bookmarkEnd w:id="85"/>
      <w:r/>
      <w:bookmarkEnd w:id="86"/>
      <w:r/>
      <w:bookmarkEnd w:id="87"/>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88" w:name="_Toc16938541"/>
      <w:r/>
      <w:bookmarkStart w:id="89" w:name="_Toc20823297"/>
      <w:r/>
      <w:bookmarkStart w:id="90" w:name="_Toc513029225"/>
      <w:r/>
      <w:bookmarkStart w:id="91" w:name="_Toc462564084"/>
      <w:r>
        <w:rPr>
          <w:rFonts w:hint="eastAsia" w:ascii="宋体" w:hAnsi="宋体" w:eastAsia="宋体"/>
          <w:bCs w:val="0"/>
          <w:color w:val="auto"/>
          <w:highlight w:val="none"/>
          <w:lang w:eastAsia="zh-CN"/>
        </w:rPr>
        <w:t xml:space="preserve">17.投标文件</w:t>
      </w:r>
      <w:bookmarkEnd w:id="88"/>
      <w:r/>
      <w:bookmarkEnd w:id="89"/>
      <w:r/>
      <w:bookmarkEnd w:id="90"/>
      <w:r/>
      <w:bookmarkEnd w:id="91"/>
      <w:r>
        <w:rPr>
          <w:rFonts w:hint="eastAsia" w:ascii="宋体" w:hAnsi="宋体" w:eastAsia="宋体"/>
          <w:bCs w:val="0"/>
          <w:color w:val="auto"/>
          <w:highlight w:val="none"/>
          <w:lang w:eastAsia="zh-CN"/>
        </w:rPr>
        <w:t xml:space="preserve">的递交</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174"/>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92" w:name="_Toc16938542"/>
      <w:r/>
      <w:bookmarkStart w:id="93" w:name="_Toc20823298"/>
      <w:r/>
      <w:bookmarkStart w:id="94" w:name="_Toc513029226"/>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18.投标截止</w:t>
      </w:r>
      <w:bookmarkEnd w:id="92"/>
      <w:r/>
      <w:bookmarkEnd w:id="93"/>
      <w:r/>
      <w:bookmarkEnd w:id="94"/>
      <w:r>
        <w:rPr>
          <w:rFonts w:hint="eastAsia" w:ascii="宋体" w:hAnsi="宋体" w:eastAsia="宋体"/>
          <w:bCs w:val="0"/>
          <w:color w:val="auto"/>
          <w:highlight w:val="none"/>
          <w:lang w:eastAsia="zh-CN"/>
        </w:rPr>
        <w:t xml:space="preserve">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可以按照规定，通过更正公告修改投标截止时间，投标人的所有权利和义务以及投标人受制的截止时间均应以延长后新的截止时间为准。</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95" w:name="_Toc16938543"/>
      <w:r/>
      <w:bookmarkStart w:id="96" w:name="_Toc20823299"/>
      <w:r/>
      <w:bookmarkStart w:id="97" w:name="_Toc513029227"/>
      <w:r>
        <w:rPr>
          <w:rFonts w:hint="eastAsia" w:ascii="宋体" w:hAnsi="宋体" w:eastAsia="宋体"/>
          <w:bCs w:val="0"/>
          <w:color w:val="auto"/>
          <w:highlight w:val="none"/>
          <w:lang w:eastAsia="zh-CN"/>
        </w:rPr>
        <w:t xml:space="preserve">19.投标文件</w:t>
      </w:r>
      <w:bookmarkEnd w:id="95"/>
      <w:r/>
      <w:bookmarkEnd w:id="96"/>
      <w:r/>
      <w:bookmarkEnd w:id="97"/>
      <w:r>
        <w:rPr>
          <w:rFonts w:hint="eastAsia" w:ascii="宋体" w:hAnsi="宋体" w:eastAsia="宋体"/>
          <w:bCs w:val="0"/>
          <w:color w:val="auto"/>
          <w:highlight w:val="none"/>
          <w:lang w:eastAsia="zh-CN"/>
        </w:rPr>
        <w:t xml:space="preserve">的拒收</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拒绝接收在其规定的投标截止时间后上传的任何投标文件。</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98" w:name="_Toc20823300"/>
      <w:r/>
      <w:bookmarkStart w:id="99" w:name="_Toc16938544"/>
      <w:r/>
      <w:bookmarkStart w:id="100" w:name="_Toc513029228"/>
      <w:r>
        <w:rPr>
          <w:rFonts w:hint="eastAsia" w:ascii="宋体" w:hAnsi="宋体" w:eastAsia="宋体"/>
          <w:bCs w:val="0"/>
          <w:color w:val="auto"/>
          <w:highlight w:val="none"/>
          <w:lang w:eastAsia="zh-CN"/>
        </w:rPr>
        <w:t xml:space="preserve">20.投标文件的撤回和修改</w:t>
      </w:r>
      <w:bookmarkEnd w:id="98"/>
      <w:r/>
      <w:bookmarkEnd w:id="99"/>
      <w:r/>
      <w:bookmarkEnd w:id="10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22"/>
        <w:ind w:firstLine="452"/>
        <w:keepLines w:val="0"/>
        <w:keepNext w:val="0"/>
        <w:spacing w:before="0" w:after="0" w:line="360" w:lineRule="auto"/>
        <w:rPr>
          <w:color w:val="auto"/>
          <w:sz w:val="30"/>
          <w:szCs w:val="30"/>
          <w:highlight w:val="none"/>
          <w:lang w:eastAsia="zh-CN"/>
        </w:rPr>
      </w:pPr>
      <w:r/>
      <w:bookmarkStart w:id="101" w:name="_Toc20823301"/>
      <w:r/>
      <w:bookmarkStart w:id="102" w:name="_Toc120614218"/>
      <w:r/>
      <w:bookmarkStart w:id="103" w:name="_Toc513029229"/>
      <w:r/>
      <w:bookmarkStart w:id="104" w:name="_Toc16938545"/>
      <w:r>
        <w:rPr>
          <w:rFonts w:hint="eastAsia"/>
          <w:color w:val="auto"/>
          <w:sz w:val="30"/>
          <w:szCs w:val="30"/>
          <w:highlight w:val="none"/>
          <w:lang w:eastAsia="zh-CN"/>
        </w:rPr>
        <w:t xml:space="preserve">五、开标与评标</w:t>
      </w:r>
      <w:bookmarkEnd w:id="101"/>
      <w:r/>
      <w:bookmarkEnd w:id="102"/>
      <w:r/>
      <w:bookmarkEnd w:id="103"/>
      <w:r/>
      <w:bookmarkEnd w:id="104"/>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05" w:name="_Toc513029230"/>
      <w:r/>
      <w:bookmarkStart w:id="106" w:name="_Toc20823302"/>
      <w:r/>
      <w:bookmarkStart w:id="107" w:name="_Toc16938546"/>
      <w:r>
        <w:rPr>
          <w:rFonts w:hint="eastAsia" w:ascii="宋体" w:hAnsi="宋体" w:eastAsia="宋体"/>
          <w:bCs w:val="0"/>
          <w:color w:val="auto"/>
          <w:highlight w:val="none"/>
          <w:lang w:eastAsia="zh-CN"/>
        </w:rPr>
        <w:t xml:space="preserve">21.开标</w:t>
      </w:r>
      <w:bookmarkEnd w:id="105"/>
      <w:r/>
      <w:bookmarkEnd w:id="106"/>
      <w:r/>
      <w:bookmarkEnd w:id="107"/>
      <w:r/>
      <w:r/>
    </w:p>
    <w:p>
      <w:pPr>
        <w:ind w:firstLine="480"/>
        <w:spacing w:line="360" w:lineRule="auto"/>
        <w:rPr>
          <w:color w:val="auto"/>
          <w:highlight w:val="none"/>
        </w:rPr>
      </w:pPr>
      <w:r>
        <w:rPr>
          <w:rFonts w:hint="eastAsia" w:ascii="宋体" w:hAnsi="宋体"/>
          <w:color w:val="auto"/>
          <w:sz w:val="24"/>
          <w:highlight w:val="none"/>
        </w:rPr>
        <w:t xml:space="preserve">21.1</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21.2开标仪式由</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eastAsia="宋体"/>
          <w:color w:val="auto"/>
          <w:sz w:val="24"/>
          <w:highlight w:val="none"/>
        </w:rPr>
        <w:t xml:space="preserve">涉及的</w:t>
      </w:r>
      <w:r>
        <w:rPr>
          <w:rFonts w:hint="eastAsia" w:ascii="宋体" w:hAnsi="宋体"/>
          <w:color w:val="auto"/>
          <w:sz w:val="24"/>
          <w:highlight w:val="none"/>
        </w:rPr>
        <w:t xml:space="preserve">投标文件解密、开标结果确认等工作，应按照《操作手册》规定执行。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08" w:name="_Toc20823303"/>
      <w:r/>
      <w:bookmarkStart w:id="109" w:name="_Toc513029231"/>
      <w:r/>
      <w:bookmarkStart w:id="110" w:name="_Toc16938547"/>
      <w:r>
        <w:rPr>
          <w:rFonts w:hint="eastAsia" w:ascii="宋体" w:hAnsi="宋体" w:eastAsia="宋体"/>
          <w:bCs w:val="0"/>
          <w:color w:val="auto"/>
          <w:highlight w:val="none"/>
          <w:lang w:eastAsia="zh-CN"/>
        </w:rPr>
        <w:t xml:space="preserve">22.评标委员会</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将立即组织评标委员会（以下简称评委会）进行评标。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23.评标过程的保密与公正</w:t>
      </w:r>
      <w:bookmarkEnd w:id="108"/>
      <w:r/>
      <w:bookmarkEnd w:id="109"/>
      <w:r/>
      <w:bookmarkEnd w:id="110"/>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w:t>
      </w:r>
      <w:r>
        <w:rPr>
          <w:rFonts w:hint="eastAsia" w:ascii="宋体" w:hAnsi="宋体" w:eastAsia="宋体"/>
          <w:bCs/>
          <w:color w:val="auto"/>
          <w:sz w:val="24"/>
          <w:highlight w:val="none"/>
        </w:rPr>
        <w:t xml:space="preserve">采购代理机构</w:t>
      </w:r>
      <w:r>
        <w:rPr>
          <w:rFonts w:hint="eastAsia" w:ascii="宋体" w:hAnsi="宋体"/>
          <w:bCs/>
          <w:color w:val="auto"/>
          <w:sz w:val="24"/>
          <w:highlight w:val="none"/>
        </w:rPr>
        <w:t xml:space="preserve">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11" w:name="_Toc20823304"/>
      <w:r/>
      <w:bookmarkStart w:id="112" w:name="_Toc513029232"/>
      <w:r/>
      <w:bookmarkStart w:id="113" w:name="_Toc16938548"/>
      <w:r>
        <w:rPr>
          <w:rFonts w:hint="eastAsia" w:ascii="宋体" w:hAnsi="宋体" w:eastAsia="宋体"/>
          <w:bCs w:val="0"/>
          <w:color w:val="auto"/>
          <w:highlight w:val="none"/>
          <w:lang w:eastAsia="zh-CN"/>
        </w:rPr>
        <w:t xml:space="preserve">24.投标文件的澄清</w:t>
      </w:r>
      <w:bookmarkEnd w:id="111"/>
      <w:r/>
      <w:bookmarkEnd w:id="112"/>
      <w:r/>
      <w:bookmarkEnd w:id="113"/>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w:t>
      </w:r>
      <w:r>
        <w:rPr>
          <w:rFonts w:hint="eastAsia" w:ascii="宋体" w:hAnsi="宋体" w:eastAsia="宋体"/>
          <w:color w:val="auto"/>
          <w:sz w:val="24"/>
          <w:szCs w:val="24"/>
          <w:highlight w:val="none"/>
        </w:rPr>
        <w:t xml:space="preserve">作出</w:t>
      </w:r>
      <w:r>
        <w:rPr>
          <w:rFonts w:hint="eastAsia" w:ascii="宋体" w:hAnsi="宋体"/>
          <w:color w:val="auto"/>
          <w:sz w:val="24"/>
          <w:szCs w:val="24"/>
          <w:highlight w:val="none"/>
        </w:rPr>
        <w:t xml:space="preserve">澄清、说明和补正，其风险由投标人自行承担。</w:t>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14" w:name="_Toc20823305"/>
      <w:r/>
      <w:bookmarkStart w:id="115" w:name="_Toc16938549"/>
      <w:r/>
      <w:bookmarkStart w:id="116" w:name="_Toc513029233"/>
      <w:r>
        <w:rPr>
          <w:rFonts w:hint="eastAsia" w:ascii="宋体" w:hAnsi="宋体" w:eastAsia="宋体"/>
          <w:bCs w:val="0"/>
          <w:color w:val="auto"/>
          <w:highlight w:val="none"/>
          <w:lang w:eastAsia="zh-CN"/>
        </w:rPr>
        <w:t xml:space="preserve">25.对投标文件的初审</w:t>
      </w:r>
      <w:bookmarkEnd w:id="114"/>
      <w:r/>
      <w:bookmarkEnd w:id="115"/>
      <w:r/>
      <w:bookmarkEnd w:id="116"/>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cs="宋体"/>
          <w:color w:val="auto"/>
          <w:sz w:val="24"/>
          <w:szCs w:val="24"/>
          <w:highlight w:val="none"/>
        </w:rPr>
        <w:t xml:space="preserve">、政府采购严重违法失信行为记录名单，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bCs/>
          <w:color w:val="auto"/>
          <w:sz w:val="24"/>
          <w:highlight w:val="none"/>
        </w:rPr>
        <w:t xml:space="preserve">，</w:t>
      </w:r>
      <w:r>
        <w:rPr>
          <w:rFonts w:hint="eastAsia" w:ascii="宋体" w:hAnsi="宋体"/>
          <w:bCs/>
          <w:color w:val="auto"/>
          <w:sz w:val="24"/>
          <w:highlight w:val="none"/>
        </w:rPr>
        <w:t xml:space="preserve">联合体成员存在不良信用记录的，视同联合体存在不良应用记录。</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olor w:val="auto"/>
          <w:sz w:val="24"/>
          <w:highlight w:val="none"/>
        </w:rPr>
        <w:t xml:space="preserve">采购代理机构</w:t>
      </w:r>
      <w:r>
        <w:rPr>
          <w:rFonts w:hint="eastAsia" w:ascii="宋体" w:hAnsi="宋体"/>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ascii="宋体" w:hAnsi="宋体"/>
          <w:color w:val="auto"/>
          <w:sz w:val="24"/>
          <w:highlight w:val="none"/>
        </w:rPr>
      </w:pPr>
      <w:r/>
      <w:bookmarkStart w:id="117" w:name="_Toc20823306"/>
      <w:r/>
      <w:bookmarkStart w:id="118" w:name="_Toc513029234"/>
      <w:r/>
      <w:bookmarkStart w:id="119" w:name="_Toc16938550"/>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26</w:t>
      </w:r>
      <w:bookmarkEnd w:id="117"/>
      <w:r/>
      <w:bookmarkEnd w:id="118"/>
      <w:r/>
      <w:bookmarkEnd w:id="119"/>
      <w:r>
        <w:rPr>
          <w:rFonts w:hint="eastAsia" w:ascii="宋体" w:hAnsi="宋体" w:eastAsia="宋体"/>
          <w:bCs w:val="0"/>
          <w:color w:val="auto"/>
          <w:highlight w:val="none"/>
          <w:lang w:eastAsia="zh-CN"/>
        </w:rPr>
        <w:t xml:space="preserve">.无效投标条款和废标条款</w:t>
      </w:r>
      <w:r/>
    </w:p>
    <w:p>
      <w:pPr>
        <w:ind w:left="479"/>
        <w:spacing w:line="360" w:lineRule="auto"/>
        <w:rPr>
          <w:rFonts w:ascii="宋体" w:hAnsi="宋体"/>
          <w:bCs/>
          <w:color w:val="auto"/>
          <w:sz w:val="24"/>
          <w:highlight w:val="none"/>
        </w:rPr>
      </w:pPr>
      <w:r/>
      <w:bookmarkStart w:id="120" w:name="_Toc20823307"/>
      <w:r/>
      <w:bookmarkStart w:id="121" w:name="_Toc16938551"/>
      <w:r/>
      <w:bookmarkStart w:id="122" w:name="_Toc513029235"/>
      <w:r>
        <w:rPr>
          <w:rFonts w:hint="eastAsia" w:ascii="宋体" w:hAnsi="宋体"/>
          <w:bCs/>
          <w:color w:val="auto"/>
          <w:sz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www.ccgp.gov.cn</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列入失信被执行人或</w:t>
      </w:r>
      <w:r>
        <w:rPr>
          <w:rFonts w:hint="eastAsia" w:ascii="宋体" w:hAnsi="宋体" w:eastAsia="宋体"/>
          <w:color w:val="auto"/>
          <w:sz w:val="24"/>
          <w:szCs w:val="24"/>
          <w:highlight w:val="none"/>
        </w:rPr>
        <w:t xml:space="preserve">重大税收违法失信主体</w:t>
      </w:r>
      <w:r>
        <w:rPr>
          <w:rFonts w:hint="eastAsia" w:ascii="宋体" w:hAnsi="宋体"/>
          <w:color w:val="auto"/>
          <w:sz w:val="24"/>
          <w:szCs w:val="24"/>
          <w:highlight w:val="none"/>
        </w:rPr>
        <w:t xml:space="preserve">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360" w:lineRule="auto"/>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p>
    <w:p>
      <w:pPr>
        <w:ind w:firstLine="480"/>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eastAsia="宋体"/>
          <w:bCs/>
          <w:color w:val="auto"/>
          <w:sz w:val="24"/>
          <w:szCs w:val="24"/>
          <w:highlight w:val="none"/>
        </w:rPr>
        <w:t xml:space="preserve">的其他</w:t>
      </w:r>
      <w:r>
        <w:rPr>
          <w:rFonts w:hint="eastAsia" w:ascii="宋体" w:hAnsi="宋体"/>
          <w:bCs/>
          <w:color w:val="auto"/>
          <w:sz w:val="24"/>
          <w:szCs w:val="24"/>
          <w:highlight w:val="none"/>
        </w:rPr>
        <w:t xml:space="preserve">实质性要求和条件的</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26.1.24其他</w:t>
      </w:r>
      <w:r>
        <w:rPr>
          <w:rFonts w:hint="eastAsia" w:ascii="宋体" w:hAnsi="宋体" w:eastAsia="宋体"/>
          <w:bCs/>
          <w:color w:val="auto"/>
          <w:sz w:val="24"/>
          <w:highlight w:val="none"/>
        </w:rPr>
        <w:t xml:space="preserve">法律法规</w:t>
      </w:r>
      <w:r>
        <w:rPr>
          <w:rFonts w:hint="eastAsia" w:ascii="宋体" w:hAnsi="宋体"/>
          <w:bCs/>
          <w:color w:val="auto"/>
          <w:sz w:val="24"/>
          <w:highlight w:val="none"/>
        </w:rPr>
        <w:t xml:space="preserve">及本招标文件规定的属无效投标的情形。</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26.2废标条款</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26.2.2出现影响采购公正的违法、违规行为的。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26.2.3因重大变故，采购任务取消的。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360" w:lineRule="auto"/>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left="479"/>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22"/>
        <w:ind w:firstLine="452"/>
        <w:keepLines w:val="0"/>
        <w:keepNext w:val="0"/>
        <w:spacing w:before="0" w:after="0" w:line="360" w:lineRule="auto"/>
        <w:rPr>
          <w:color w:val="auto"/>
          <w:sz w:val="30"/>
          <w:szCs w:val="30"/>
          <w:highlight w:val="none"/>
          <w:lang w:eastAsia="zh-CN"/>
        </w:rPr>
      </w:pPr>
      <w:r/>
      <w:bookmarkStart w:id="123" w:name="_Toc120614219"/>
      <w:r>
        <w:rPr>
          <w:rFonts w:hint="eastAsia"/>
          <w:color w:val="auto"/>
          <w:sz w:val="30"/>
          <w:szCs w:val="30"/>
          <w:highlight w:val="none"/>
          <w:lang w:eastAsia="zh-CN"/>
        </w:rPr>
        <w:t xml:space="preserve">六、</w:t>
      </w:r>
      <w:bookmarkEnd w:id="120"/>
      <w:r/>
      <w:bookmarkEnd w:id="121"/>
      <w:r/>
      <w:bookmarkEnd w:id="122"/>
      <w:r>
        <w:rPr>
          <w:rFonts w:hint="eastAsia"/>
          <w:color w:val="auto"/>
          <w:sz w:val="30"/>
          <w:szCs w:val="30"/>
          <w:highlight w:val="none"/>
          <w:lang w:eastAsia="zh-CN"/>
        </w:rPr>
        <w:t xml:space="preserve">定标</w:t>
      </w:r>
      <w:bookmarkEnd w:id="123"/>
      <w:r/>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24" w:name="_Toc513029238"/>
      <w:r/>
      <w:bookmarkStart w:id="125" w:name="_Toc16938554"/>
      <w:r/>
      <w:bookmarkStart w:id="126" w:name="_Toc20823310"/>
      <w:r>
        <w:rPr>
          <w:rFonts w:hint="eastAsia" w:ascii="宋体" w:hAnsi="宋体" w:eastAsia="宋体"/>
          <w:bCs w:val="0"/>
          <w:color w:val="auto"/>
          <w:highlight w:val="none"/>
          <w:lang w:eastAsia="zh-CN"/>
        </w:rPr>
        <w:t xml:space="preserve">27</w:t>
      </w:r>
      <w:bookmarkEnd w:id="124"/>
      <w:r>
        <w:rPr>
          <w:rFonts w:hint="eastAsia" w:ascii="宋体" w:hAnsi="宋体" w:eastAsia="宋体"/>
          <w:bCs w:val="0"/>
          <w:color w:val="auto"/>
          <w:highlight w:val="none"/>
          <w:lang w:eastAsia="zh-CN"/>
        </w:rPr>
        <w:t xml:space="preserve">.确定</w:t>
      </w:r>
      <w:bookmarkEnd w:id="125"/>
      <w:r/>
      <w:bookmarkEnd w:id="126"/>
      <w:r>
        <w:rPr>
          <w:rFonts w:hint="eastAsia" w:ascii="宋体" w:hAnsi="宋体" w:eastAsia="宋体"/>
          <w:bCs w:val="0"/>
          <w:color w:val="auto"/>
          <w:highlight w:val="none"/>
          <w:lang w:eastAsia="zh-CN"/>
        </w:rPr>
        <w:t xml:space="preserve">中标单位</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color w:val="auto"/>
          <w:sz w:val="24"/>
          <w:highlight w:val="none"/>
        </w:rPr>
        <w:t xml:space="preserve">第五章规定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将在“无锡政府采购网”“江苏政府采购网”发布中标公告，公告期限为1个工作日。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28.质疑处理</w:t>
      </w:r>
      <w:bookmarkEnd w:id="12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color w:val="auto"/>
          <w:sz w:val="24"/>
          <w:szCs w:val="24"/>
          <w:highlight w:val="none"/>
        </w:rPr>
        <w:t xml:space="preserve">28.4条款</w:t>
      </w:r>
      <w:r>
        <w:rPr>
          <w:rFonts w:hint="eastAsia" w:ascii="宋体" w:hAnsi="宋体"/>
          <w:color w:val="auto"/>
          <w:sz w:val="24"/>
          <w:szCs w:val="24"/>
          <w:highlight w:val="none"/>
        </w:rPr>
        <w:t xml:space="preserve">的规定向采购人或</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olor w:val="auto"/>
          <w:sz w:val="24"/>
          <w:szCs w:val="24"/>
          <w:highlight w:val="none"/>
        </w:rPr>
        <w:t xml:space="preserve">等</w:t>
      </w:r>
      <w:r>
        <w:rPr>
          <w:rFonts w:hint="eastAsia" w:ascii="宋体" w:hAnsi="宋体"/>
          <w:color w:val="auto"/>
          <w:sz w:val="24"/>
          <w:szCs w:val="24"/>
          <w:highlight w:val="none"/>
        </w:rPr>
        <w:t xml:space="preserve">请向采购</w:t>
      </w:r>
      <w:r>
        <w:rPr>
          <w:rFonts w:hint="eastAsia" w:ascii="宋体" w:hAnsi="宋体" w:eastAsia="宋体"/>
          <w:color w:val="auto"/>
          <w:sz w:val="24"/>
          <w:szCs w:val="24"/>
          <w:highlight w:val="none"/>
        </w:rPr>
        <w:t xml:space="preserve">代理机构或采购人</w:t>
      </w:r>
      <w:r>
        <w:rPr>
          <w:rFonts w:hint="eastAsia" w:ascii="宋体" w:hAnsi="宋体"/>
          <w:color w:val="auto"/>
          <w:sz w:val="24"/>
          <w:szCs w:val="24"/>
          <w:highlight w:val="none"/>
        </w:rPr>
        <w:t xml:space="preserve">提出，由</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只接收以纸质原件形式送达的质疑</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不接受未填写快递运单的快件）。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联系人、联系方式、通信地址见招标文件第一章。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29.中标通知书</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eastAsia="宋体"/>
          <w:color w:val="auto"/>
          <w:sz w:val="24"/>
          <w:szCs w:val="24"/>
          <w:highlight w:val="none"/>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22"/>
        <w:ind w:firstLine="452"/>
        <w:keepLines w:val="0"/>
        <w:keepNext w:val="0"/>
        <w:spacing w:before="0" w:after="0" w:line="360" w:lineRule="auto"/>
        <w:rPr>
          <w:color w:val="auto"/>
          <w:sz w:val="30"/>
          <w:szCs w:val="30"/>
          <w:highlight w:val="none"/>
          <w:lang w:eastAsia="zh-CN"/>
        </w:rPr>
      </w:pPr>
      <w:r/>
      <w:bookmarkStart w:id="128" w:name="_Toc120614220"/>
      <w:r/>
      <w:bookmarkStart w:id="129" w:name="_Toc20823308"/>
      <w:r/>
      <w:bookmarkStart w:id="130" w:name="_Toc513029236"/>
      <w:r/>
      <w:bookmarkStart w:id="131" w:name="_Toc16938552"/>
      <w:r>
        <w:rPr>
          <w:rFonts w:hint="eastAsia"/>
          <w:color w:val="auto"/>
          <w:sz w:val="30"/>
          <w:szCs w:val="30"/>
          <w:highlight w:val="none"/>
          <w:lang w:eastAsia="zh-CN"/>
        </w:rPr>
        <w:t xml:space="preserve">七、授予合同</w:t>
      </w:r>
      <w:bookmarkEnd w:id="128"/>
      <w:r/>
      <w:bookmarkEnd w:id="129"/>
      <w:bookmarkEnd w:id="130"/>
      <w:bookmarkEnd w:id="131"/>
      <w:r/>
    </w:p>
    <w:p>
      <w:pPr>
        <w:pStyle w:val="1091"/>
        <w:ind w:firstLine="422"/>
        <w:keepLines w:val="0"/>
        <w:keepNext w:val="0"/>
        <w:spacing w:before="0" w:after="0" w:line="360" w:lineRule="auto"/>
        <w:rPr>
          <w:rFonts w:ascii="宋体" w:hAnsi="宋体" w:eastAsia="宋体"/>
          <w:bCs w:val="0"/>
          <w:color w:val="auto"/>
          <w:highlight w:val="none"/>
          <w:lang w:eastAsia="zh-CN"/>
        </w:rPr>
      </w:pPr>
      <w:r/>
      <w:bookmarkStart w:id="132" w:name="_Toc513029237"/>
      <w:r/>
      <w:bookmarkStart w:id="133" w:name="_Toc16938553"/>
      <w:r/>
      <w:bookmarkStart w:id="134" w:name="_Toc20823309"/>
      <w:r>
        <w:rPr>
          <w:rFonts w:hint="eastAsia" w:ascii="宋体" w:hAnsi="宋体" w:eastAsia="宋体"/>
          <w:bCs w:val="0"/>
          <w:color w:val="auto"/>
          <w:highlight w:val="none"/>
          <w:lang w:eastAsia="zh-CN"/>
        </w:rPr>
        <w:t xml:space="preserve">30.签订合同</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eastAsia="宋体"/>
          <w:color w:val="auto"/>
          <w:sz w:val="24"/>
          <w:szCs w:val="24"/>
          <w:highlight w:val="none"/>
        </w:rPr>
        <w:t xml:space="preserve">采购代理机构</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1091"/>
        <w:ind w:firstLine="422"/>
        <w:keepLines w:val="0"/>
        <w:keepNext w:val="0"/>
        <w:spacing w:before="0" w:after="0" w:line="360" w:lineRule="auto"/>
        <w:rPr>
          <w:rFonts w:ascii="宋体" w:hAnsi="宋体" w:eastAsia="宋体"/>
          <w:bCs w:val="0"/>
          <w:color w:val="auto"/>
          <w:highlight w:val="none"/>
          <w:lang w:eastAsia="zh-CN"/>
        </w:rPr>
      </w:pPr>
      <w:r>
        <w:rPr>
          <w:rFonts w:hint="eastAsia" w:ascii="宋体" w:hAnsi="宋体" w:eastAsia="宋体"/>
          <w:bCs w:val="0"/>
          <w:color w:val="auto"/>
          <w:highlight w:val="none"/>
          <w:lang w:eastAsia="zh-CN"/>
        </w:rPr>
        <w:t xml:space="preserve">31.服务（包含与服务相关的货物）的追加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olor w:val="auto"/>
          <w:sz w:val="24"/>
          <w:szCs w:val="24"/>
          <w:highlight w:val="none"/>
        </w:rPr>
        <w:t xml:space="preserve">额的</w:t>
      </w:r>
      <w:r>
        <w:rPr>
          <w:rFonts w:hint="eastAsia" w:ascii="宋体" w:hAnsi="宋体"/>
          <w:color w:val="auto"/>
          <w:sz w:val="24"/>
          <w:szCs w:val="24"/>
          <w:highlight w:val="none"/>
        </w:rPr>
        <w:t xml:space="preserve">10%。</w:t>
      </w:r>
      <w:r/>
    </w:p>
    <w:p>
      <w:pPr>
        <w:pStyle w:val="795"/>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95"/>
        <w:rPr>
          <w:rFonts w:hint="eastAsia" w:ascii="宋体" w:hAnsi="宋体"/>
          <w:color w:val="auto"/>
          <w:sz w:val="24"/>
          <w:szCs w:val="24"/>
          <w:highlight w:val="none"/>
        </w:rPr>
      </w:pPr>
      <w:r>
        <w:rPr>
          <w:rFonts w:hint="eastAsia" w:ascii="宋体" w:hAnsi="宋体"/>
          <w:color w:val="auto"/>
          <w:sz w:val="24"/>
          <w:szCs w:val="24"/>
          <w:highlight w:val="none"/>
        </w:rPr>
      </w:r>
      <w:bookmarkEnd w:id="132"/>
      <w:bookmarkEnd w:id="133"/>
      <w:bookmarkEnd w:id="134"/>
      <w:r/>
    </w:p>
    <w:p>
      <w:pPr>
        <w:rPr>
          <w:rFonts w:hint="eastAsia" w:ascii="黑体" w:hAnsi="黑体" w:eastAsia="黑体" w:cs="黑体"/>
          <w:color w:val="auto"/>
          <w:sz w:val="36"/>
          <w:szCs w:val="36"/>
          <w:highlight w:val="none"/>
          <w:lang w:eastAsia="zh-CN"/>
        </w:rPr>
      </w:pPr>
      <w:r/>
      <w:bookmarkStart w:id="135" w:name="_Toc16938559"/>
      <w:r/>
      <w:bookmarkStart w:id="136" w:name="_Toc513029243"/>
      <w:r/>
      <w:bookmarkStart w:id="137" w:name="_Toc20823315"/>
      <w:r>
        <w:rPr>
          <w:rFonts w:hint="eastAsia" w:ascii="黑体" w:hAnsi="黑体" w:eastAsia="黑体" w:cs="黑体"/>
          <w:color w:val="auto"/>
          <w:sz w:val="36"/>
          <w:szCs w:val="36"/>
          <w:highlight w:val="none"/>
          <w:lang w:eastAsia="zh-CN"/>
        </w:rPr>
        <w:br w:type="page" w:clear="all"/>
      </w:r>
      <w:r/>
    </w:p>
    <w:p>
      <w:pPr>
        <w:numPr>
          <w:ilvl w:val="0"/>
          <w:numId w:val="8"/>
        </w:numPr>
        <w:jc w:val="center"/>
        <w:spacing w:line="360" w:lineRule="auto"/>
        <w:rPr>
          <w:rFonts w:hint="eastAsia" w:ascii="黑体" w:hAnsi="黑体" w:eastAsia="黑体" w:cs="黑体"/>
          <w:color w:val="auto"/>
          <w:sz w:val="36"/>
          <w:szCs w:val="36"/>
          <w:highlight w:val="none"/>
          <w:lang w:eastAsia="zh-CN"/>
        </w:rPr>
      </w:pPr>
      <w:r>
        <w:rPr>
          <w:rFonts w:hint="eastAsia" w:ascii="黑体" w:hAnsi="黑体" w:eastAsia="黑体" w:cs="黑体"/>
          <w:color w:val="auto"/>
          <w:sz w:val="36"/>
          <w:szCs w:val="36"/>
          <w:highlight w:val="none"/>
          <w:lang w:eastAsia="zh-CN"/>
        </w:rPr>
        <w:t xml:space="preserve"> 合同文本</w:t>
      </w:r>
      <w:r/>
    </w:p>
    <w:p>
      <w:pPr>
        <w:jc w:val="center"/>
        <w:rPr>
          <w:color w:val="auto"/>
          <w:highlight w:val="none"/>
        </w:rPr>
      </w:pPr>
      <w:r>
        <w:rPr>
          <w:rFonts w:hint="eastAsia" w:ascii="宋体" w:hAnsi="宋体" w:cs="宋体"/>
          <w:color w:val="auto"/>
          <w:sz w:val="24"/>
          <w:highlight w:val="none"/>
        </w:rPr>
        <w:t xml:space="preserve">（格式，投标时不需填写）</w:t>
      </w:r>
      <w:r/>
    </w:p>
    <w:p>
      <w:pPr>
        <w:pStyle w:val="849"/>
        <w:numPr>
          <w:ilvl w:val="0"/>
          <w:numId w:val="0"/>
        </w:numPr>
        <w:rPr>
          <w:rFonts w:hint="eastAsia"/>
          <w:color w:val="auto"/>
          <w:highlight w:val="none"/>
          <w:lang w:eastAsia="zh-CN"/>
        </w:rPr>
      </w:pPr>
      <w:r>
        <w:rPr>
          <w:rFonts w:hint="eastAsia"/>
          <w:color w:val="auto"/>
          <w:highlight w:val="none"/>
          <w:lang w:eastAsia="zh-CN"/>
        </w:rPr>
      </w:r>
      <w:bookmarkEnd w:id="135"/>
      <w:bookmarkEnd w:id="136"/>
      <w:bookmarkEnd w:id="137"/>
      <w:r/>
    </w:p>
    <w:p>
      <w:pPr>
        <w:ind w:firstLine="420"/>
        <w:jc w:val="center"/>
        <w:spacing w:line="360" w:lineRule="auto"/>
        <w:rPr>
          <w:rFonts w:hint="eastAsia" w:ascii="黑体" w:hAnsi="黑体" w:eastAsia="黑体"/>
          <w:color w:val="auto"/>
          <w:sz w:val="24"/>
          <w:highlight w:val="none"/>
        </w:rPr>
      </w:pPr>
      <w:r/>
      <w:bookmarkStart w:id="138" w:name="_Hlt16619350"/>
      <w:r/>
      <w:bookmarkStart w:id="139" w:name="_Toc16938590"/>
      <w:r/>
      <w:bookmarkStart w:id="140" w:name="_Toc20823346"/>
      <w:r/>
      <w:bookmarkStart w:id="141" w:name="_Toc120614244"/>
      <w:r>
        <w:rPr>
          <w:rFonts w:hint="eastAsia" w:ascii="黑体" w:hAnsi="黑体" w:eastAsia="黑体"/>
          <w:color w:val="auto"/>
          <w:sz w:val="24"/>
          <w:highlight w:val="none"/>
        </w:rPr>
        <w:t xml:space="preserve">（本合同为基本格式，正式内容待公开招标后填制）</w:t>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无锡市市区养老机构综合责任</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保险合同</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年  月  日</w:t>
      </w:r>
      <w:r/>
    </w:p>
    <w:p>
      <w:pPr>
        <w:pStyle w:val="11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before="156" w:after="156"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无锡市市区养老机构综合责任保险</w:t>
      </w:r>
      <w:r/>
    </w:p>
    <w:p>
      <w:pPr>
        <w:jc w:val="center"/>
        <w:spacing w:before="156" w:after="156"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保险协议</w:t>
      </w:r>
      <w:r/>
    </w:p>
    <w:p>
      <w:pPr>
        <w:ind w:left="1841" w:hanging="1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left="1841" w:hanging="1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甲方：无锡市民政局</w:t>
      </w:r>
      <w:r/>
    </w:p>
    <w:p>
      <w:pPr>
        <w:ind w:left="1721" w:hanging="60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（以下简称甲方）</w:t>
      </w:r>
      <w:r/>
    </w:p>
    <w:p>
      <w:pPr>
        <w:ind w:left="761" w:hanging="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w:t>
      </w:r>
      <w:r/>
    </w:p>
    <w:p>
      <w:pPr>
        <w:ind w:left="1706" w:hanging="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（以下简称乙方）</w:t>
      </w:r>
      <w:r/>
    </w:p>
    <w:p>
      <w:pPr>
        <w:ind w:firstLine="48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为贯彻落实《中华人民共和国老年人权益保障法》《江苏省老年人权益保障条例》《省政府关于推动养老事业和产业发展提升养老服务质量的实施意见》《无锡市市区养老机构综合责任保险、养老机构入住老年人意外伤害保险、居家养老服务机构综合责任保险实施办法》（锡民规〔2024〕2号）等文件规定，经过甲乙双方协商，本着平等协作和诚实守信的原则，签订如下合同：</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一、保险适用范围</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适用无锡市</w:t>
      </w:r>
      <w:r>
        <w:rPr>
          <w:rFonts w:hint="eastAsia" w:ascii="宋体" w:hAnsi="宋体" w:cs="宋体"/>
          <w:color w:val="auto"/>
          <w:sz w:val="24"/>
          <w:szCs w:val="24"/>
          <w:highlight w:val="none"/>
        </w:rPr>
        <w:t xml:space="preserve">市区</w:t>
      </w:r>
      <w:r>
        <w:rPr>
          <w:rFonts w:hint="eastAsia" w:ascii="宋体" w:hAnsi="宋体" w:cs="宋体"/>
          <w:color w:val="auto"/>
          <w:sz w:val="24"/>
          <w:szCs w:val="24"/>
          <w:highlight w:val="none"/>
          <w:lang w:val="zh-CN"/>
        </w:rPr>
        <w:t xml:space="preserve">范围内依法登记运营并备案的各</w:t>
      </w:r>
      <w:r>
        <w:rPr>
          <w:rFonts w:hint="eastAsia" w:ascii="宋体" w:hAnsi="宋体" w:cs="宋体"/>
          <w:color w:val="auto"/>
          <w:sz w:val="24"/>
          <w:szCs w:val="24"/>
          <w:highlight w:val="none"/>
        </w:rPr>
        <w:t xml:space="preserve">类</w:t>
      </w:r>
      <w:r>
        <w:rPr>
          <w:rFonts w:hint="eastAsia" w:ascii="宋体" w:hAnsi="宋体" w:cs="宋体"/>
          <w:color w:val="auto"/>
          <w:sz w:val="24"/>
          <w:szCs w:val="24"/>
          <w:highlight w:val="none"/>
          <w:lang w:val="zh-CN"/>
        </w:rPr>
        <w:t xml:space="preserve">养老机构（居家养老服务机构除外），实行“统一条款、统一费率、统一管理、统一保险服务”原则。</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二、保险期限</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本项目保险期限为贰年，即2024年2月1日零时起，至2026年1月31日二十四时止。</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保险期分为两个独立且连续的保险周期完成，每个保险周期期限为一年，自起保日的次日零时起至期满日的二十四时止。首个保险期限自2024年2月1日零时起至2025年1月31日二十四时止，第二个保险周期为2025年2月1日零时起至2026年1月31日二十四时止。第二年保险单截止日期超过本项目中标合同期的，以保险单载明的保险截止日为准。</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三、保障对象</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（一）投保人、被保险人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养老机构综合责任保险对象为市区范围内自愿参加养老机构综合责任保险的养老机构。根据2023年底数据，全市养老机构入住老人约1.15万人。</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（二）关于“服务对象”</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入住养老机构的下列“服务对象”不在本项目保险范围之内，并在保险单上明确注明：</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1、非无锡市常住老人。</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2、不满60周岁的入住</w:t>
      </w:r>
      <w:r>
        <w:rPr>
          <w:rFonts w:hint="eastAsia" w:ascii="宋体" w:hAnsi="宋体" w:cs="宋体"/>
          <w:color w:val="auto"/>
          <w:sz w:val="24"/>
          <w:szCs w:val="24"/>
          <w:highlight w:val="none"/>
        </w:rPr>
        <w:t xml:space="preserve">人员</w:t>
      </w:r>
      <w:r>
        <w:rPr>
          <w:rFonts w:hint="eastAsia" w:ascii="宋体" w:hAnsi="宋体" w:cs="宋体"/>
          <w:color w:val="auto"/>
          <w:sz w:val="24"/>
          <w:szCs w:val="24"/>
          <w:highlight w:val="none"/>
          <w:lang w:val="zh-CN"/>
        </w:rPr>
        <w:t xml:space="preserve">。</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3、重度精神障碍的入住老人。</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4、患有传染性疾病的入住老人。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各养老机构在投保时，应向乙方提供上述四类入住</w:t>
      </w:r>
      <w:r>
        <w:rPr>
          <w:rFonts w:hint="eastAsia" w:ascii="宋体" w:hAnsi="宋体" w:cs="宋体"/>
          <w:color w:val="auto"/>
          <w:sz w:val="24"/>
          <w:szCs w:val="24"/>
          <w:highlight w:val="none"/>
        </w:rPr>
        <w:t xml:space="preserve">人员</w:t>
      </w:r>
      <w:r>
        <w:rPr>
          <w:rFonts w:hint="eastAsia" w:ascii="宋体" w:hAnsi="宋体" w:cs="宋体"/>
          <w:color w:val="auto"/>
          <w:sz w:val="24"/>
          <w:szCs w:val="24"/>
          <w:highlight w:val="none"/>
          <w:lang w:val="zh-CN"/>
        </w:rPr>
        <w:t xml:space="preserve">信息（乙方承保时不再进行信息甄别，如上述四类</w:t>
      </w:r>
      <w:r>
        <w:rPr>
          <w:rFonts w:hint="eastAsia" w:ascii="宋体" w:hAnsi="宋体" w:cs="宋体"/>
          <w:color w:val="auto"/>
          <w:sz w:val="24"/>
          <w:szCs w:val="24"/>
          <w:highlight w:val="none"/>
        </w:rPr>
        <w:t xml:space="preserve">人员</w:t>
      </w:r>
      <w:r>
        <w:rPr>
          <w:rFonts w:hint="eastAsia" w:ascii="宋体" w:hAnsi="宋体" w:cs="宋体"/>
          <w:color w:val="auto"/>
          <w:sz w:val="24"/>
          <w:szCs w:val="24"/>
          <w:highlight w:val="none"/>
          <w:lang w:val="zh-CN"/>
        </w:rPr>
        <w:t xml:space="preserve">信息未提供给乙方，或信息不真实，老人出险时将不给予理赔并退保）。</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（三）实名制投保</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养老机构在投保时，对入住老人（即服务对象）实行常住人口实名制投保。乙方根据甲方提供的养老机构和入住人数，剔除上述不在保险范围内的“服务对象”后进行承保。</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（四）保险人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乙方为本项目的保险人，负责无锡市</w:t>
      </w:r>
      <w:r>
        <w:rPr>
          <w:rFonts w:hint="eastAsia" w:ascii="宋体" w:hAnsi="宋体" w:cs="宋体"/>
          <w:color w:val="auto"/>
          <w:sz w:val="24"/>
          <w:szCs w:val="24"/>
          <w:highlight w:val="none"/>
        </w:rPr>
        <w:t xml:space="preserve">市区</w:t>
      </w:r>
      <w:r>
        <w:rPr>
          <w:rFonts w:hint="eastAsia" w:ascii="宋体" w:hAnsi="宋体" w:cs="宋体"/>
          <w:color w:val="auto"/>
          <w:sz w:val="24"/>
          <w:szCs w:val="24"/>
          <w:highlight w:val="none"/>
          <w:lang w:val="zh-CN"/>
        </w:rPr>
        <w:t xml:space="preserve">养老机构的承保理赔等业务。</w:t>
      </w:r>
      <w:r/>
    </w:p>
    <w:p>
      <w:pPr>
        <w:ind w:firstLine="482"/>
        <w:spacing w:line="360" w:lineRule="auto"/>
        <w:rPr>
          <w:rFonts w:hint="eastAsia"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四、保险费</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（一）保费标准</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养老机构综合责任保险保费标准为每位入住老年人100元/年标准计算。</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lang w:val="zh-CN"/>
        </w:rPr>
        <w:t xml:space="preserve">）年度内保险费不作调整</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每一保险年度的保险期间，无论养老机构的投保人数增减，保险费不作调整。</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三</w:t>
      </w:r>
      <w:r>
        <w:rPr>
          <w:rFonts w:hint="eastAsia" w:ascii="宋体" w:hAnsi="宋体" w:cs="宋体"/>
          <w:b/>
          <w:color w:val="auto"/>
          <w:sz w:val="24"/>
          <w:szCs w:val="24"/>
          <w:highlight w:val="none"/>
          <w:lang w:val="zh-CN"/>
        </w:rPr>
        <w:t xml:space="preserve">）养老机构停业</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保险期间内养老机构停业的，自停业之日起退保，保险生效期间保费按照承保公司短期费率计算，不足一月按一月计算，退保时养老机构自负的保费退至养老机构，市级补贴的多余保费由保险公司清算后充抵区域内其他养老机构当年新增养老机构。</w:t>
      </w:r>
      <w:r/>
    </w:p>
    <w:p>
      <w:pPr>
        <w:ind w:firstLine="482"/>
        <w:spacing w:line="360" w:lineRule="auto"/>
        <w:rPr>
          <w:rFonts w:hint="eastAsia" w:ascii="宋体" w:hAnsi="宋体" w:eastAsia="宋体" w:cs="宋体"/>
          <w:b/>
          <w:color w:val="auto"/>
          <w:sz w:val="24"/>
          <w:szCs w:val="24"/>
          <w:highlight w:val="none"/>
          <w:lang w:val="zh-CN"/>
        </w:rPr>
        <w:outlineLvl w:val="0"/>
      </w:pPr>
      <w:r>
        <w:rPr>
          <w:rFonts w:hint="eastAsia" w:ascii="宋体" w:hAnsi="宋体" w:eastAsia="宋体" w:cs="宋体"/>
          <w:b/>
          <w:color w:val="auto"/>
          <w:sz w:val="24"/>
          <w:szCs w:val="24"/>
          <w:highlight w:val="none"/>
          <w:lang w:val="zh-CN"/>
        </w:rPr>
        <w:t xml:space="preserve">五、保险险种</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保险险种：养老机构综合责任保险</w:t>
      </w:r>
      <w:r/>
    </w:p>
    <w:p>
      <w:pPr>
        <w:ind w:firstLine="482"/>
        <w:spacing w:line="360" w:lineRule="auto"/>
        <w:rPr>
          <w:rFonts w:hint="eastAsia"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六、保险责任</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在保险责任有效期间内，被保险人在从事养老服务活动时，因过失导致意外事故造成服务对象遭受人身损害，承保保险公司依下列约定给付保险金：</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1被保险人在保单中列明的区域范围内依法从事养老服务活动时，因过失导致意外事故，造成服务对象遭受人身损害的。</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在保单中列明的区域范围内，发生包括但不限于下列导致服务对象遭受人身损害的情形：火灾、爆炸、煤气中毒所造成的意外事故；高空物体坠落所造成的意外事故；非被保险人原因突发停电、停水造成的意外事故。尽管被保险人已经履行了相应义务，行为并无不当，但法院或仲裁机构仍判决或裁决被保险人需对受伤害服务对象给予经济补偿的。</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3施救费用。保险事故发生后，被保险人为防止或减少服务对象的人身伤亡或财产损失所支付的合理的、必要的施救费用。</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相关法律费用。保险事故发生后，被保险人因保险事故而被提起仲裁或诉讼的，对应由被保险人支付的仲裁或诉讼费用以及其他必要的、合理的费用，经保险人事先书面同意，保险人按照保险合同约定也负责赔偿。</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七、赔偿标准</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（1）死亡、伤残赔偿限额：</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（2）死亡丧葬费赔偿限额：</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（3）残疾用具费用（仅限于国内产品）</w:t>
      </w:r>
      <w:r>
        <w:rPr>
          <w:rFonts w:hint="eastAsia" w:ascii="宋体" w:hAnsi="宋体" w:cs="宋体"/>
          <w:color w:val="auto"/>
          <w:sz w:val="24"/>
          <w:szCs w:val="24"/>
          <w:highlight w:val="none"/>
        </w:rPr>
        <w:t xml:space="preserve">赔偿</w:t>
      </w:r>
      <w:r>
        <w:rPr>
          <w:rFonts w:hint="eastAsia" w:ascii="宋体" w:hAnsi="宋体" w:cs="宋体"/>
          <w:color w:val="auto"/>
          <w:sz w:val="24"/>
          <w:szCs w:val="24"/>
          <w:highlight w:val="none"/>
          <w:lang w:val="zh-CN"/>
        </w:rPr>
        <w:t xml:space="preserve">限额：</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（4）骨折赔偿限额：</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（5）医疗费用赔偿限额：</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（6）住院补贴赔偿限额：</w:t>
      </w:r>
      <w:r>
        <w:rPr>
          <w:rFonts w:hint="eastAsia" w:ascii="宋体" w:hAnsi="宋体" w:cs="宋体"/>
          <w:color w:val="auto"/>
          <w:sz w:val="24"/>
          <w:szCs w:val="24"/>
          <w:highlight w:val="none"/>
        </w:rPr>
        <w:t xml:space="preserve">____</w:t>
      </w:r>
      <w:r>
        <w:rPr>
          <w:rFonts w:hint="eastAsia" w:ascii="宋体" w:hAnsi="宋体" w:cs="宋体"/>
          <w:color w:val="auto"/>
          <w:sz w:val="24"/>
          <w:szCs w:val="24"/>
          <w:highlight w:val="none"/>
          <w:lang w:val="zh-CN"/>
        </w:rPr>
        <w:t xml:space="preserve">元/天，累计不超过180天；</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（7）施救费用赔偿限额：</w:t>
      </w:r>
      <w:r>
        <w:rPr>
          <w:rFonts w:hint="eastAsia" w:ascii="宋体" w:hAnsi="宋体" w:cs="宋体"/>
          <w:color w:val="auto"/>
          <w:sz w:val="24"/>
          <w:szCs w:val="24"/>
          <w:highlight w:val="none"/>
        </w:rPr>
        <w:t xml:space="preserve">____</w:t>
      </w:r>
      <w:r>
        <w:rPr>
          <w:rFonts w:hint="eastAsia" w:ascii="宋体" w:hAnsi="宋体" w:cs="宋体"/>
          <w:color w:val="auto"/>
          <w:sz w:val="24"/>
          <w:szCs w:val="24"/>
          <w:highlight w:val="none"/>
          <w:lang w:val="zh-CN"/>
        </w:rPr>
        <w:t xml:space="preserve">元/</w:t>
      </w:r>
      <w:r>
        <w:rPr>
          <w:rFonts w:hint="eastAsia" w:ascii="宋体" w:hAnsi="宋体" w:cs="宋体"/>
          <w:color w:val="auto"/>
          <w:sz w:val="24"/>
          <w:szCs w:val="24"/>
          <w:highlight w:val="none"/>
        </w:rPr>
        <w:t xml:space="preserve">次；</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lang w:val="zh-CN"/>
        </w:rPr>
        <w:t xml:space="preserve">）法律费用赔偿限额：每次事故以实际赔偿金额的10%为上限。</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八、保险服务</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乙方将按照招标文件要求和投标文件承诺做好制度建设与服务工作。</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九、一般条款</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（一）保险手续办理和赔付</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甲方同意发生事故赔案时，由出险人直接向乙方索赔。乙方按照索赔委托书进行理赔并将赔款直接赔付给出险人（发生重特大事故等特殊情况除外）。</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zh-CN"/>
        </w:rPr>
        <w:t xml:space="preserve">赔偿处理：保险公司接到保险对象的理赔申请后，对材料齐全、事实清楚，确属养老机构或居家养老服务机构责任范围的，应在30天内给付保险金；对需进一步调查的事故，按服务承诺作出理赔决定；对明显不属于保险责任范围的，应作不予理赔的书面说明。保险公司同时将理赔情况报市民政局备案。</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2.1基本原则：除非有合理和足够的证据证明，保险人不得以任何理由推卸，拖延甚至拒绝被保险人索赔要求，否则其行为构成违约并须承担违约责任；</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2.2一旦接到被保险人通知，保险人代表应尽早赶赴事故现场开始初步调查并提出止损建议，被保险人及保险经纪人应予以配合；</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2.3发生事故后，保险人应于3个工作日内向被保险人/保险经纪人提交一份针对本次事故完成理赔工作所需经过的程序及需要的事故/损失证明材料；</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2.4当确定事故责任属于赔偿范围，且可以估计损失金额，保险人应在10个工作日内完成至少50%的预付赔款。</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2.5对于虽经被保险人/保险经纪人努力仍无法完成的证据/证明材料提交工作，保险人须予以帮助并不得以此为由推卸、拖延甚至拒绝履行合同责任。</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（二）合同有效期</w:t>
      </w:r>
      <w:r/>
    </w:p>
    <w:p>
      <w:pPr>
        <w:ind w:firstLine="555"/>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本合同自签订之日起生效，并在保险有效期内持续有效，如果保险期限结束后，存在遗留问题，本合同将继续有效，直至保单涉及的各项遗留事宜最终处理完毕时为止。</w:t>
      </w:r>
      <w:r/>
    </w:p>
    <w:p>
      <w:pPr>
        <w:ind w:firstLine="555"/>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（三）合同的变更、解除和续订</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本合同在执行过程中如出现明显不合理的状况或有其他未尽事宜，经甲乙双方协商后可随时以书面形式修改或补充，并作为本合同的组成部分。修改或补充部分的效力优于本合同相关内容。</w:t>
      </w:r>
      <w:r/>
    </w:p>
    <w:p>
      <w:pPr>
        <w:ind w:firstLine="56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（四）保密条款</w:t>
      </w:r>
      <w:r/>
    </w:p>
    <w:p>
      <w:pPr>
        <w:ind w:firstLine="555"/>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除非下列情况，自本合同生效之日起，甲乙双方不得将本合同涉及的所有有形、无形的信息及资料（包括但不限于双方的往来书面文字文件、电子邮件及信息、软盘资料等）泄露给其他方。</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十、争议解决</w:t>
      </w:r>
      <w:r/>
    </w:p>
    <w:p>
      <w:pPr>
        <w:ind w:firstLine="560"/>
        <w:spacing w:line="360" w:lineRule="auto"/>
        <w:tabs>
          <w:tab w:val="left" w:pos="568"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甲乙双方之间的一切有关本合同的争议应通过友好协商解决；若协商不成，可向甲方所在地人民法院诉讼。</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十一、退出机制</w:t>
      </w:r>
      <w:r/>
    </w:p>
    <w:p>
      <w:pPr>
        <w:ind w:left="-2" w:firstLine="480"/>
        <w:spacing w:line="360" w:lineRule="auto"/>
        <w:rPr>
          <w:rFonts w:hint="eastAsia" w:ascii="宋体" w:hAnsi="宋体" w:cs="宋体"/>
          <w:color w:val="auto"/>
          <w:sz w:val="24"/>
          <w:szCs w:val="24"/>
          <w:highlight w:val="none"/>
          <w:lang w:val="zh-CN"/>
        </w:rPr>
        <w:outlineLvl w:val="0"/>
      </w:pPr>
      <w:r>
        <w:rPr>
          <w:rFonts w:hint="eastAsia" w:ascii="宋体" w:hAnsi="宋体" w:cs="宋体"/>
          <w:color w:val="auto"/>
          <w:sz w:val="24"/>
          <w:szCs w:val="24"/>
          <w:highlight w:val="none"/>
          <w:lang w:val="zh-CN"/>
        </w:rPr>
        <w:t xml:space="preserve">（一）本项目建立风险控制机制，因违反合同约定，或发生其他严重损害被保险人权益的情况，可以提前终止或解除合同，并依法追究责任。</w:t>
      </w:r>
      <w:r/>
    </w:p>
    <w:p>
      <w:pPr>
        <w:ind w:left="-2" w:firstLine="480"/>
        <w:spacing w:line="360" w:lineRule="auto"/>
        <w:rPr>
          <w:rFonts w:hint="eastAsia" w:ascii="宋体" w:hAnsi="宋体" w:cs="宋体"/>
          <w:color w:val="auto"/>
          <w:sz w:val="24"/>
          <w:szCs w:val="24"/>
          <w:highlight w:val="none"/>
          <w:lang w:val="zh-CN"/>
        </w:rPr>
        <w:outlineLvl w:val="0"/>
      </w:pPr>
      <w:r>
        <w:rPr>
          <w:rFonts w:hint="eastAsia" w:ascii="宋体" w:hAnsi="宋体" w:cs="宋体"/>
          <w:color w:val="auto"/>
          <w:sz w:val="24"/>
          <w:szCs w:val="24"/>
          <w:highlight w:val="none"/>
          <w:lang w:val="zh-CN"/>
        </w:rPr>
        <w:t xml:space="preserve">（二）乙方因违反合同约定，严重损害被保险人权益，合同的继续履行将损害国家利益和社会公共利益的，甲方有权终止合同。由第二名递补，乙方应及时做好交接手续。</w:t>
      </w:r>
      <w:r/>
    </w:p>
    <w:p>
      <w:pPr>
        <w:ind w:left="-2" w:firstLine="480"/>
        <w:spacing w:line="360" w:lineRule="auto"/>
        <w:rPr>
          <w:rFonts w:hint="eastAsia" w:ascii="宋体" w:hAnsi="宋体" w:cs="宋体"/>
          <w:color w:val="auto"/>
          <w:sz w:val="24"/>
          <w:szCs w:val="24"/>
          <w:highlight w:val="none"/>
          <w:lang w:val="zh-CN"/>
        </w:rPr>
        <w:outlineLvl w:val="0"/>
      </w:pPr>
      <w:r>
        <w:rPr>
          <w:rFonts w:hint="eastAsia" w:ascii="宋体" w:hAnsi="宋体" w:cs="宋体"/>
          <w:color w:val="auto"/>
          <w:sz w:val="24"/>
          <w:szCs w:val="24"/>
          <w:highlight w:val="none"/>
          <w:lang w:val="zh-CN"/>
        </w:rPr>
        <w:t xml:space="preserve">（三）若乙方及递补单位皆因违反合同约定，严重损害被保险人权益，合同的继续履行将损害国家利益和社会公共利益的，甲方有权终止合同，本项目重新启动招标程序。</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十二、其他</w:t>
      </w:r>
      <w:r/>
    </w:p>
    <w:p>
      <w:pPr>
        <w:ind w:firstLine="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（一）本合同作为正式保单的有效组成部分，正式保单与本合同冲突之处，以本合同内容为准，甲乙双方另有明确约定的情况除外。其他未尽事宜以正式保单为准。</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（二）本合同一式四份，甲方、乙方各执</w:t>
      </w:r>
      <w:r>
        <w:rPr>
          <w:rFonts w:hint="eastAsia" w:ascii="宋体" w:hAnsi="宋体" w:cs="宋体"/>
          <w:color w:val="auto"/>
          <w:sz w:val="24"/>
          <w:szCs w:val="24"/>
          <w:highlight w:val="none"/>
        </w:rPr>
        <w:t xml:space="preserve">贰</w:t>
      </w:r>
      <w:r>
        <w:rPr>
          <w:rFonts w:hint="eastAsia" w:ascii="宋体" w:hAnsi="宋体" w:cs="宋体"/>
          <w:color w:val="auto"/>
          <w:sz w:val="24"/>
          <w:szCs w:val="24"/>
          <w:highlight w:val="none"/>
          <w:lang w:val="zh-CN"/>
        </w:rPr>
        <w:t xml:space="preserve">份。</w:t>
      </w:r>
      <w:r/>
    </w:p>
    <w:p>
      <w:pPr>
        <w:pStyle w:val="119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left"/>
        <w:spacing w:line="360" w:lineRule="auto"/>
        <w:tabs>
          <w:tab w:val="left" w:pos="426" w:leader="none"/>
          <w:tab w:val="left" w:pos="709" w:leader="none"/>
          <w:tab w:val="left" w:pos="851"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甲方：无锡市民政局（盖章）</w:t>
      </w:r>
      <w:r/>
    </w:p>
    <w:p>
      <w:pPr>
        <w:jc w:val="left"/>
        <w:spacing w:line="360" w:lineRule="auto"/>
        <w:tabs>
          <w:tab w:val="left" w:pos="426" w:leader="none"/>
          <w:tab w:val="left" w:pos="709" w:leader="none"/>
          <w:tab w:val="left" w:pos="851"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代表（签字）：</w:t>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202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     月     日</w:t>
      </w:r>
      <w:r/>
    </w:p>
    <w:p>
      <w:pPr>
        <w:pStyle w:val="119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19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pStyle w:val="119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（盖章）</w:t>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代表（签字）：</w:t>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202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     月     日</w:t>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rPr>
          <w:rFonts w:hint="eastAsia" w:ascii="宋体" w:hAnsi="宋体" w:cs="宋体"/>
          <w:color w:val="auto"/>
          <w:sz w:val="24"/>
          <w:szCs w:val="24"/>
          <w:highlight w:val="none"/>
        </w:rPr>
        <w:t xml:space="preserve">无锡市养老机构入住老年人</w:t>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意外伤害</w:t>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保险协议</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ind w:firstLine="20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202  年  月   日</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before="156" w:after="156"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无锡市养老机构入住老年人意外伤害保险</w:t>
      </w:r>
      <w:r/>
    </w:p>
    <w:p>
      <w:pPr>
        <w:jc w:val="center"/>
        <w:spacing w:before="156" w:after="156"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保险协议</w:t>
      </w:r>
      <w:r/>
    </w:p>
    <w:p>
      <w:pPr>
        <w:ind w:firstLine="482"/>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甲方：无锡市民政局</w:t>
      </w:r>
      <w:r/>
    </w:p>
    <w:p>
      <w:pPr>
        <w:ind w:firstLine="60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（以下简称甲方）</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w:t>
      </w:r>
      <w:r/>
    </w:p>
    <w:p>
      <w:pPr>
        <w:ind w:firstLine="60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（以下简称乙方）</w:t>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为贯彻落实《中华人民共和国老年人权益保障法》《江苏省老年人权益保障条例》《省政府关于推动养老事业和产业发展提升养老服务质量的实施意见》《无锡市市区养老机构综合责任保险、养老机构入住老年人意外伤害保险、居家养老服务机构综合责任保险实施办法》（锡民规〔2024〕2号）等文件规定，提高养老机构和入住老人抵御意外风险及善后处置能力，有效解决入住老人因自身原因造成的意外伤害事故产生的矛盾和纠纷，经甲乙双方友好协商达成如下保险服务协议：</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一、适用范围</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适用无锡市</w:t>
      </w:r>
      <w:r>
        <w:rPr>
          <w:rFonts w:hint="eastAsia" w:ascii="宋体" w:hAnsi="宋体" w:cs="宋体"/>
          <w:color w:val="auto"/>
          <w:sz w:val="24"/>
          <w:szCs w:val="24"/>
          <w:highlight w:val="none"/>
        </w:rPr>
        <w:t xml:space="preserve">市区</w:t>
      </w:r>
      <w:r>
        <w:rPr>
          <w:rFonts w:hint="eastAsia" w:ascii="宋体" w:hAnsi="宋体" w:cs="宋体"/>
          <w:color w:val="auto"/>
          <w:sz w:val="24"/>
          <w:szCs w:val="24"/>
          <w:highlight w:val="none"/>
          <w:lang w:val="zh-CN"/>
        </w:rPr>
        <w:t xml:space="preserve">范围内依法登记运营的各</w:t>
      </w:r>
      <w:r>
        <w:rPr>
          <w:rFonts w:hint="eastAsia" w:ascii="宋体" w:hAnsi="宋体" w:cs="宋体"/>
          <w:color w:val="auto"/>
          <w:sz w:val="24"/>
          <w:szCs w:val="24"/>
          <w:highlight w:val="none"/>
        </w:rPr>
        <w:t xml:space="preserve">类</w:t>
      </w:r>
      <w:r>
        <w:rPr>
          <w:rFonts w:hint="eastAsia" w:ascii="宋体" w:hAnsi="宋体" w:cs="宋体"/>
          <w:color w:val="auto"/>
          <w:sz w:val="24"/>
          <w:szCs w:val="24"/>
          <w:highlight w:val="none"/>
          <w:lang w:val="zh-CN"/>
        </w:rPr>
        <w:t xml:space="preserve">养老机构（居家养老服务机构除外），实行“统一条款、统一费率、统一管理、统一保险服务”的原则。</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二、投保人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养老机构入住老年人意外伤害保险对象为市区范围内参加综合责任保险的养老机构中，年满60周岁、与养老机构签订养老服务协议并自愿参保的老年人。</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三、被保险人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养老机构入住老年人意外伤害保险的投保人为市区自愿参与本项保险的入住老人（或家属），同为被保险人。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下列四类对象不在本项目保险范围之内，且不接受本意外险投保申请：</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（一）非无锡常住老人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（二）不满60周岁的入住人员</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（三）重度精神障碍的入住老人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（四）患有传染性疾病的入住老人</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四、保险人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乙方为本项目的保险人，负责无锡市</w:t>
      </w:r>
      <w:r>
        <w:rPr>
          <w:rFonts w:hint="eastAsia" w:ascii="宋体" w:hAnsi="宋体" w:cs="宋体"/>
          <w:color w:val="auto"/>
          <w:sz w:val="24"/>
          <w:szCs w:val="24"/>
          <w:highlight w:val="none"/>
        </w:rPr>
        <w:t xml:space="preserve">市区</w:t>
      </w:r>
      <w:r>
        <w:rPr>
          <w:rFonts w:hint="eastAsia" w:ascii="宋体" w:hAnsi="宋体" w:cs="宋体"/>
          <w:color w:val="auto"/>
          <w:sz w:val="24"/>
          <w:szCs w:val="24"/>
          <w:highlight w:val="none"/>
          <w:lang w:val="zh-CN"/>
        </w:rPr>
        <w:t xml:space="preserve">养老机构的承保理赔等业务服务。</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五、保费与补贴</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养老机构入住老年人意外伤害保险保费标准以一个保险周期每人每份90元，不满一个保险周期的按保险月费率计算。</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六、保险险种</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保险险种：“养老机构入住老年人意外伤害保险”，为“养老机构综合责任保险”的附加险，条款名称以最终中标单位向保险监管部门报备的条款名称为准。</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七、保险责任</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在保险期间内被保险人遭受意外伤害，并因该意外伤害导致身故、残疾的，保险人依照下列约定给付保险金：</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（一）死亡、伤残：在保险期间内被保险人遭受意外伤害，并因该意外伤害导致其身故、残疾的，保险人依照保单约定给付保险金。</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（二）医疗费用：在保险期间内，被保险人遭受意外伤害，并在中华人民共和国境内（不包括港、澳、台地区）二级或二级以上医院或保险人认可的医疗机构进行治疗，保险人按保单约定给付意外医疗保险金。</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三）住院津贴：在保险期间内，被保险人遭受意外伤害并因该意外伤害在保险期间内入住医疗机构进行治疗，对于该被保险人的实际住院日数，保险人在总给付日数内按照保单约定给付意外伤害住院津贴保险金。</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若被保险人因同一原因多次住院，前次出院与后次住院日期间隔未达九十天的，则视为同一次住院。</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四）看护津贴：在保险期间内，被保险人遭受意外伤害并因该意外伤害在保险期间内入住中华人民共和国境内（不包括港、澳、台地区）二级或二级以上医院或保险人认可的医疗机构进行治疗，对于该被保险人的实际住院日数，保险人在总给付日数内按照保单约定给付意外伤害住院看护津贴保险金。</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（五）救护车费用：在保险期间内，被保险人遭受意外伤害并自意外伤害发生之时起24小时内发生的合理、必要的救护车费用，保险人在保险单载明的救护车费用的保险金额内，按实际支出赔偿救护车费用。</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八、保险方案</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意外身故保险金：</w:t>
      </w:r>
      <w:r>
        <w:rPr>
          <w:rFonts w:hint="eastAsia" w:ascii="宋体" w:hAnsi="宋体" w:cs="宋体"/>
          <w:color w:val="auto"/>
          <w:sz w:val="24"/>
          <w:szCs w:val="24"/>
          <w:highlight w:val="none"/>
        </w:rPr>
        <w:t xml:space="preserve">____元/人；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其中分项赔偿限额如下：</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（一）意外伤残保险金：按伤残程度赔付，最高限额</w:t>
      </w:r>
      <w:r>
        <w:rPr>
          <w:rFonts w:hint="eastAsia" w:ascii="宋体" w:hAnsi="宋体" w:cs="宋体"/>
          <w:color w:val="auto"/>
          <w:sz w:val="24"/>
          <w:szCs w:val="24"/>
          <w:highlight w:val="none"/>
        </w:rPr>
        <w:t xml:space="preserve">____</w:t>
      </w:r>
      <w:r>
        <w:rPr>
          <w:rFonts w:hint="eastAsia" w:ascii="宋体" w:hAnsi="宋体" w:cs="宋体"/>
          <w:color w:val="auto"/>
          <w:sz w:val="24"/>
          <w:szCs w:val="24"/>
          <w:highlight w:val="none"/>
          <w:lang w:val="zh-CN"/>
        </w:rPr>
        <w:t xml:space="preserve">元/人；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（二）意外医疗费用补偿保险金：每次事故门急诊限额</w:t>
      </w:r>
      <w:r>
        <w:rPr>
          <w:rFonts w:hint="eastAsia" w:ascii="宋体" w:hAnsi="宋体" w:cs="宋体"/>
          <w:color w:val="auto"/>
          <w:sz w:val="24"/>
          <w:szCs w:val="24"/>
          <w:highlight w:val="none"/>
        </w:rPr>
        <w:t xml:space="preserve">____</w:t>
      </w:r>
      <w:r>
        <w:rPr>
          <w:rFonts w:hint="eastAsia" w:ascii="宋体" w:hAnsi="宋体" w:cs="宋体"/>
          <w:color w:val="auto"/>
          <w:sz w:val="24"/>
          <w:szCs w:val="24"/>
          <w:highlight w:val="none"/>
          <w:lang w:val="zh-CN"/>
        </w:rPr>
        <w:t xml:space="preserve">元，每次事故免赔限额</w:t>
      </w:r>
      <w:r>
        <w:rPr>
          <w:rFonts w:hint="eastAsia" w:ascii="宋体" w:hAnsi="宋体" w:cs="宋体"/>
          <w:color w:val="auto"/>
          <w:sz w:val="24"/>
          <w:szCs w:val="24"/>
          <w:highlight w:val="none"/>
        </w:rPr>
        <w:t xml:space="preserve">____</w:t>
      </w:r>
      <w:r>
        <w:rPr>
          <w:rFonts w:hint="eastAsia" w:ascii="宋体" w:hAnsi="宋体" w:cs="宋体"/>
          <w:color w:val="auto"/>
          <w:sz w:val="24"/>
          <w:szCs w:val="24"/>
          <w:highlight w:val="none"/>
          <w:lang w:val="zh-CN"/>
        </w:rPr>
        <w:t xml:space="preserve">元，最高限额</w:t>
      </w:r>
      <w:r>
        <w:rPr>
          <w:rFonts w:hint="eastAsia" w:ascii="宋体" w:hAnsi="宋体" w:cs="宋体"/>
          <w:color w:val="auto"/>
          <w:sz w:val="24"/>
          <w:szCs w:val="24"/>
          <w:highlight w:val="none"/>
        </w:rPr>
        <w:t xml:space="preserve">____</w:t>
      </w:r>
      <w:r>
        <w:rPr>
          <w:rFonts w:hint="eastAsia" w:ascii="宋体" w:hAnsi="宋体" w:cs="宋体"/>
          <w:color w:val="auto"/>
          <w:sz w:val="24"/>
          <w:szCs w:val="24"/>
          <w:highlight w:val="none"/>
          <w:lang w:val="zh-CN"/>
        </w:rPr>
        <w:t xml:space="preserve">元/人；</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（三）意外伤害住院补贴保险金：</w:t>
      </w:r>
      <w:r>
        <w:rPr>
          <w:rFonts w:hint="eastAsia" w:ascii="宋体" w:hAnsi="宋体" w:cs="宋体"/>
          <w:color w:val="auto"/>
          <w:sz w:val="24"/>
          <w:szCs w:val="24"/>
          <w:highlight w:val="none"/>
        </w:rPr>
        <w:t xml:space="preserve">____</w:t>
      </w:r>
      <w:r>
        <w:rPr>
          <w:rFonts w:hint="eastAsia" w:ascii="宋体" w:hAnsi="宋体" w:cs="宋体"/>
          <w:color w:val="auto"/>
          <w:sz w:val="24"/>
          <w:szCs w:val="24"/>
          <w:highlight w:val="none"/>
          <w:lang w:val="zh-CN"/>
        </w:rPr>
        <w:t xml:space="preserve">元/天，累计不超过30天；</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（四）意外看护津贴保险金：50元/天，累计不超过30天；</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（五）意外救护车费用补偿：累计限额不超过</w:t>
      </w:r>
      <w:r>
        <w:rPr>
          <w:rFonts w:hint="eastAsia" w:ascii="宋体" w:hAnsi="宋体" w:cs="宋体"/>
          <w:color w:val="auto"/>
          <w:sz w:val="24"/>
          <w:szCs w:val="24"/>
          <w:highlight w:val="none"/>
        </w:rPr>
        <w:t xml:space="preserve">____</w:t>
      </w:r>
      <w:r>
        <w:rPr>
          <w:rFonts w:hint="eastAsia" w:ascii="宋体" w:hAnsi="宋体" w:cs="宋体"/>
          <w:color w:val="auto"/>
          <w:sz w:val="24"/>
          <w:szCs w:val="24"/>
          <w:highlight w:val="none"/>
          <w:lang w:val="zh-CN"/>
        </w:rPr>
        <w:t xml:space="preserve">元。</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九、一般条款</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（一）协议有效期</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本协议自签订之日起生效，并在保险有效期内持续有效，如果保险期限结束后，存在遗留问题，本协议将继续有效，直至保单涉及的各项遗留事宜最终处理完毕时为止。</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（二）协议的变更、解除和续订</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本协议如有未尽事宜，经甲乙双方协商后可随时以书面形式修改或补充，并作为本协议的组成部分。修改或补充部分的效力优于本协议相关内容。</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（三）保密条款</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自本协议生效之日起，甲乙双方不得将本协议涉及的所有有形、无形的信息及资料（包括但不限于双方的往来书面文字文件、电子邮件及信息、软盘资料等）泄露给其他方。</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十、争议解决</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甲乙双方有关本协议的争议应友好协商解决。无法解决的，可向甲方所在地法院起诉。</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十一、其他</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（一）本协议作为各养老机构与乙方签订的正式保单的补充，正式保单与本协议冲突之处，以本协议内容为准，甲乙双方另有明确约定的情况除外。其他未尽事宜以正式保单为准。</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（二）此协议一式四份，甲乙双方各执</w:t>
      </w:r>
      <w:r>
        <w:rPr>
          <w:rFonts w:hint="eastAsia" w:ascii="宋体" w:hAnsi="宋体" w:cs="宋体"/>
          <w:color w:val="auto"/>
          <w:sz w:val="24"/>
          <w:szCs w:val="24"/>
          <w:highlight w:val="none"/>
        </w:rPr>
        <w:t xml:space="preserve">贰</w:t>
      </w:r>
      <w:r>
        <w:rPr>
          <w:rFonts w:hint="eastAsia" w:ascii="宋体" w:hAnsi="宋体" w:cs="宋体"/>
          <w:color w:val="auto"/>
          <w:sz w:val="24"/>
          <w:szCs w:val="24"/>
          <w:highlight w:val="none"/>
          <w:lang w:val="zh-CN"/>
        </w:rPr>
        <w:t xml:space="preserve">份，自双方签字日起生效。</w:t>
      </w:r>
      <w:r/>
    </w:p>
    <w:p>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jc w:val="left"/>
        <w:spacing w:line="360" w:lineRule="auto"/>
        <w:tabs>
          <w:tab w:val="left" w:pos="426" w:leader="none"/>
          <w:tab w:val="left" w:pos="709" w:leader="none"/>
          <w:tab w:val="left" w:pos="851"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甲方：无锡市民政局（盖章）</w:t>
      </w:r>
      <w:r/>
    </w:p>
    <w:p>
      <w:pPr>
        <w:jc w:val="left"/>
        <w:spacing w:line="360" w:lineRule="auto"/>
        <w:tabs>
          <w:tab w:val="left" w:pos="426" w:leader="none"/>
          <w:tab w:val="left" w:pos="709" w:leader="none"/>
          <w:tab w:val="left" w:pos="851"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代表（签字）：</w:t>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202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     月     日</w:t>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119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乙方：（盖章）</w:t>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代表（签字）：</w:t>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202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     月     日</w:t>
      </w:r>
      <w:r/>
    </w:p>
    <w:p>
      <w:pPr>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无锡市居家养老服务机构综合责任</w:t>
      </w:r>
      <w:r/>
    </w:p>
    <w:p>
      <w:pPr>
        <w:jc w:val="center"/>
        <w:spacing w:line="52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保险合同</w:t>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pStyle w:val="11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202  年  月  日</w:t>
      </w:r>
      <w:r/>
    </w:p>
    <w:p>
      <w:pPr>
        <w:pStyle w:val="119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before="156" w:after="156" w:line="56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居家养老服务机构综合责任保险合同</w:t>
      </w:r>
      <w:r/>
    </w:p>
    <w:p>
      <w:pPr>
        <w:ind w:left="1841" w:hanging="156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1001" w:hanging="72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w:t>
      </w:r>
      <w:r/>
    </w:p>
    <w:p>
      <w:pPr>
        <w:ind w:left="761" w:hanging="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w:t>
      </w:r>
      <w:r/>
    </w:p>
    <w:p>
      <w:pPr>
        <w:pStyle w:val="1193"/>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为认真贯彻落实《无锡市居家养老服务条例》精神，积极、稳妥地推进无锡市居家养老服务机构综合责任保险工作，加强居家养老服务机构风险防范和服务保障功能，经甲乙双方友好协商，现就无锡市居家养老服务机构综合责任保险项目，签订如下保险合同：</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一、投保险种</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甲方向乙方投保“居家养老服务机构综合责任保险”，该险种已由乙方向银保监会报备。</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二、保险期限</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本项目保险期限为贰年，即2024年2月1日零时起，至2026年1月31日二十四时止。</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保险期分为两个独立且连续的保险周期完成，每个保险周期期限为一年，自起保日的次日零时起至期满日的二十四时止。首个保险期限自2024年2月1日零时起至2025年1月31日二十四时止，第二个保险周期为2025年2月1日零时起至2026年1月31日二十四时止。第二年保险单截止日期超过本项目中标合同期的，以保险单载明的保险截止日为准。</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三、保障对象</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居家养老服务机构综合责任保险对象为市区范围内在各居家养老服务机构（日间照料中心、站）接受服务的老年居民，以及各居家养老服务机构（日间照料中心、站）的工作人员。</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“接受服务的老年居民”是指在各居家养老服务机构（日间照料中心、站）内接受服务的60周岁及以上的无锡市户籍居民。</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“工作人员”是指各居家养老服务机构（日间照料中心、站）聘用的从事居家养老服务的专职人员。</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根据2023年底数据，全市居家养老服务机构580家。</w:t>
      </w:r>
      <w:r/>
    </w:p>
    <w:p>
      <w:pPr>
        <w:ind w:firstLine="482"/>
        <w:spacing w:line="360" w:lineRule="auto"/>
        <w:rPr>
          <w:rFonts w:hint="eastAsia"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四、保险费用</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居家养老服务机构综合责任保险保费标准：对依法批准成立且正常运营的街道（镇）、社区（村）居家养老服务机构，按每个机构每年300元的标准投保。</w:t>
      </w:r>
      <w:r/>
    </w:p>
    <w:p>
      <w:pPr>
        <w:ind w:firstLine="482"/>
        <w:spacing w:line="360" w:lineRule="auto"/>
        <w:rPr>
          <w:rFonts w:hint="eastAsia" w:ascii="宋体" w:hAnsi="宋体" w:eastAsia="宋体" w:cs="宋体"/>
          <w:b/>
          <w:color w:val="auto"/>
          <w:sz w:val="24"/>
          <w:szCs w:val="24"/>
          <w:highlight w:val="none"/>
          <w:lang w:val="zh-CN"/>
        </w:rPr>
        <w:outlineLvl w:val="0"/>
      </w:pPr>
      <w:r>
        <w:rPr>
          <w:rFonts w:hint="eastAsia" w:ascii="宋体" w:hAnsi="宋体" w:eastAsia="宋体" w:cs="宋体"/>
          <w:b/>
          <w:color w:val="auto"/>
          <w:sz w:val="24"/>
          <w:szCs w:val="24"/>
          <w:highlight w:val="none"/>
          <w:lang w:val="zh-CN"/>
        </w:rPr>
        <w:t xml:space="preserve">五、保险险种</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保险险种：无锡市区居家养老服务机构综合责任保险项目的险种为“居家养老服务机构综合责任保险”，条款名称以最终中标单位向保险监管部门报备的条款名称为准。</w:t>
      </w:r>
      <w:r/>
    </w:p>
    <w:p>
      <w:pPr>
        <w:ind w:firstLine="482"/>
        <w:spacing w:line="360" w:lineRule="auto"/>
        <w:rPr>
          <w:rFonts w:hint="eastAsia" w:ascii="宋体" w:hAnsi="宋体" w:cs="宋体"/>
          <w:b/>
          <w:color w:val="auto"/>
          <w:sz w:val="24"/>
          <w:szCs w:val="24"/>
          <w:highlight w:val="none"/>
          <w:lang w:val="zh-CN"/>
        </w:rPr>
        <w:outlineLvl w:val="0"/>
      </w:pPr>
      <w:r>
        <w:rPr>
          <w:rFonts w:hint="eastAsia" w:ascii="宋体" w:hAnsi="宋体" w:cs="宋体"/>
          <w:b/>
          <w:color w:val="auto"/>
          <w:sz w:val="24"/>
          <w:szCs w:val="24"/>
          <w:highlight w:val="none"/>
          <w:lang w:val="zh-CN"/>
        </w:rPr>
        <w:t xml:space="preserve">六、保险责任</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一</w:t>
      </w:r>
      <w:r>
        <w:rPr>
          <w:rFonts w:hint="eastAsia" w:ascii="宋体" w:hAnsi="宋体" w:cs="宋体"/>
          <w:color w:val="auto"/>
          <w:sz w:val="24"/>
          <w:szCs w:val="24"/>
          <w:highlight w:val="none"/>
          <w:lang w:val="zh-CN"/>
        </w:rPr>
        <w:t xml:space="preserve">）凡在居家养老服务机构内接受各种功能性服务及活动的老年人，因意外或由于居家养老服务机构的疏忽、过失或照护不当，造成老年人人身伤害，应由上述服务机构承担的经济赔偿责任，保险公司按照约定在载明的赔偿限额内负责赔偿。</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居家养老服务机构的护理人员在从事护理服务过程中因遭受意外事故造成人身损害或在上下班途中由于发生意外事故导致其人身伤害，应由上述服务机构承担经济赔偿责任的，保险公司按照约定在载明的赔偿限额内负责赔偿。</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1施救费用。保险事故发生后，被保险人为防止或减少服务对象的人身伤亡或财产损失所支付的合理的、必要的施救费用。</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相关法律费用。保险事故发生后，被保险人因保险事故而被提起仲裁或诉讼的，对应由被保险人支付的仲裁或诉讼费用以及其他必要的、合理的费用，经保险人事先书面同意，保险人按照保险合同约定也负责赔偿。</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二</w:t>
      </w:r>
      <w:r>
        <w:rPr>
          <w:rFonts w:hint="eastAsia" w:ascii="宋体" w:hAnsi="宋体" w:cs="宋体"/>
          <w:color w:val="auto"/>
          <w:sz w:val="24"/>
          <w:szCs w:val="24"/>
          <w:highlight w:val="none"/>
          <w:lang w:val="zh-CN"/>
        </w:rPr>
        <w:t xml:space="preserve">）特别约定根据当年度赔付情况，下一年度保费再进行相应调整。</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七、赔偿标准</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1、死亡、伤残赔偿限额为</w:t>
      </w:r>
      <w:r>
        <w:rPr>
          <w:rFonts w:hint="eastAsia" w:ascii="宋体" w:hAnsi="宋体" w:cs="宋体"/>
          <w:color w:val="auto"/>
          <w:sz w:val="24"/>
          <w:szCs w:val="24"/>
          <w:highlight w:val="none"/>
        </w:rPr>
        <w:t xml:space="preserve">______</w:t>
      </w:r>
      <w:r>
        <w:rPr>
          <w:rFonts w:hint="eastAsia" w:ascii="宋体" w:hAnsi="宋体" w:cs="宋体"/>
          <w:color w:val="auto"/>
          <w:sz w:val="24"/>
          <w:szCs w:val="24"/>
          <w:highlight w:val="none"/>
          <w:lang w:val="zh-CN"/>
        </w:rPr>
        <w:t xml:space="preserve">元/人/次；</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2、死亡丧葬费赔偿限额为</w:t>
      </w:r>
      <w:r>
        <w:rPr>
          <w:rFonts w:hint="eastAsia" w:ascii="宋体" w:hAnsi="宋体" w:cs="宋体"/>
          <w:color w:val="auto"/>
          <w:sz w:val="24"/>
          <w:szCs w:val="24"/>
          <w:highlight w:val="none"/>
        </w:rPr>
        <w:t xml:space="preserve">______</w:t>
      </w:r>
      <w:r>
        <w:rPr>
          <w:rFonts w:hint="eastAsia" w:ascii="宋体" w:hAnsi="宋体" w:cs="宋体"/>
          <w:color w:val="auto"/>
          <w:sz w:val="24"/>
          <w:szCs w:val="24"/>
          <w:highlight w:val="none"/>
          <w:lang w:val="zh-CN"/>
        </w:rPr>
        <w:t xml:space="preserve">元；</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3、残疾器具费</w:t>
      </w:r>
      <w:r>
        <w:rPr>
          <w:rFonts w:hint="eastAsia" w:ascii="宋体" w:hAnsi="宋体" w:cs="宋体"/>
          <w:color w:val="auto"/>
          <w:sz w:val="24"/>
          <w:szCs w:val="24"/>
          <w:highlight w:val="none"/>
        </w:rPr>
        <w:t xml:space="preserve">赔偿限额</w:t>
      </w:r>
      <w:r>
        <w:rPr>
          <w:rFonts w:hint="eastAsia" w:ascii="宋体" w:hAnsi="宋体" w:cs="宋体"/>
          <w:color w:val="auto"/>
          <w:sz w:val="24"/>
          <w:szCs w:val="24"/>
          <w:highlight w:val="none"/>
          <w:lang w:val="zh-CN"/>
        </w:rPr>
        <w:t xml:space="preserve">为</w:t>
      </w:r>
      <w:r>
        <w:rPr>
          <w:rFonts w:hint="eastAsia" w:ascii="宋体" w:hAnsi="宋体" w:cs="宋体"/>
          <w:color w:val="auto"/>
          <w:sz w:val="24"/>
          <w:szCs w:val="24"/>
          <w:highlight w:val="none"/>
        </w:rPr>
        <w:t xml:space="preserve">______</w:t>
      </w:r>
      <w:r>
        <w:rPr>
          <w:rFonts w:hint="eastAsia" w:ascii="宋体" w:hAnsi="宋体" w:cs="宋体"/>
          <w:color w:val="auto"/>
          <w:sz w:val="24"/>
          <w:szCs w:val="24"/>
          <w:highlight w:val="none"/>
          <w:lang w:val="zh-CN"/>
        </w:rPr>
        <w:t xml:space="preserve">元；</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4、骨折赔付金</w:t>
      </w:r>
      <w:r>
        <w:rPr>
          <w:rFonts w:hint="eastAsia" w:ascii="宋体" w:hAnsi="宋体" w:cs="宋体"/>
          <w:color w:val="auto"/>
          <w:sz w:val="24"/>
          <w:szCs w:val="24"/>
          <w:highlight w:val="none"/>
        </w:rPr>
        <w:t xml:space="preserve">赔偿限额</w:t>
      </w:r>
      <w:r>
        <w:rPr>
          <w:rFonts w:hint="eastAsia" w:ascii="宋体" w:hAnsi="宋体" w:cs="宋体"/>
          <w:color w:val="auto"/>
          <w:sz w:val="24"/>
          <w:szCs w:val="24"/>
          <w:highlight w:val="none"/>
          <w:lang w:val="zh-CN"/>
        </w:rPr>
        <w:t xml:space="preserve">为</w:t>
      </w:r>
      <w:r>
        <w:rPr>
          <w:rFonts w:hint="eastAsia" w:ascii="宋体" w:hAnsi="宋体" w:cs="宋体"/>
          <w:color w:val="auto"/>
          <w:sz w:val="24"/>
          <w:szCs w:val="24"/>
          <w:highlight w:val="none"/>
        </w:rPr>
        <w:t xml:space="preserve">______</w:t>
      </w:r>
      <w:r>
        <w:rPr>
          <w:rFonts w:hint="eastAsia" w:ascii="宋体" w:hAnsi="宋体" w:cs="宋体"/>
          <w:color w:val="auto"/>
          <w:sz w:val="24"/>
          <w:szCs w:val="24"/>
          <w:highlight w:val="none"/>
          <w:lang w:val="zh-CN"/>
        </w:rPr>
        <w:t xml:space="preserve">元；</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5、医疗费用赔偿限额为</w:t>
      </w:r>
      <w:r>
        <w:rPr>
          <w:rFonts w:hint="eastAsia" w:ascii="宋体" w:hAnsi="宋体" w:cs="宋体"/>
          <w:color w:val="auto"/>
          <w:sz w:val="24"/>
          <w:szCs w:val="24"/>
          <w:highlight w:val="none"/>
        </w:rPr>
        <w:t xml:space="preserve">______</w:t>
      </w:r>
      <w:r>
        <w:rPr>
          <w:rFonts w:hint="eastAsia" w:ascii="宋体" w:hAnsi="宋体" w:cs="宋体"/>
          <w:color w:val="auto"/>
          <w:sz w:val="24"/>
          <w:szCs w:val="24"/>
          <w:highlight w:val="none"/>
          <w:lang w:val="zh-CN"/>
        </w:rPr>
        <w:t xml:space="preserve">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住院补贴</w:t>
      </w:r>
      <w:r>
        <w:rPr>
          <w:rFonts w:hint="eastAsia" w:ascii="宋体" w:hAnsi="宋体" w:cs="宋体"/>
          <w:color w:val="auto"/>
          <w:sz w:val="24"/>
          <w:szCs w:val="24"/>
          <w:highlight w:val="none"/>
        </w:rPr>
        <w:t xml:space="preserve">赔偿限额</w:t>
      </w:r>
      <w:r>
        <w:rPr>
          <w:rFonts w:hint="eastAsia" w:ascii="宋体" w:hAnsi="宋体" w:cs="宋体"/>
          <w:color w:val="auto"/>
          <w:sz w:val="24"/>
          <w:szCs w:val="24"/>
          <w:highlight w:val="none"/>
          <w:lang w:val="zh-CN"/>
        </w:rPr>
        <w:t xml:space="preserve">为</w:t>
      </w:r>
      <w:r>
        <w:rPr>
          <w:rFonts w:hint="eastAsia" w:ascii="宋体" w:hAnsi="宋体" w:cs="宋体"/>
          <w:color w:val="auto"/>
          <w:sz w:val="24"/>
          <w:szCs w:val="24"/>
          <w:highlight w:val="none"/>
        </w:rPr>
        <w:t xml:space="preserve">______</w:t>
      </w:r>
      <w:r>
        <w:rPr>
          <w:rFonts w:hint="eastAsia" w:ascii="宋体" w:hAnsi="宋体" w:cs="宋体"/>
          <w:color w:val="auto"/>
          <w:sz w:val="24"/>
          <w:szCs w:val="24"/>
          <w:highlight w:val="none"/>
          <w:lang w:val="zh-CN"/>
        </w:rPr>
        <w:t xml:space="preserve">元。</w:t>
      </w:r>
      <w:r/>
    </w:p>
    <w:p>
      <w:pPr>
        <w:ind w:firstLine="482"/>
        <w:spacing w:line="360" w:lineRule="auto"/>
        <w:rPr>
          <w:rFonts w:hint="eastAsia" w:ascii="宋体" w:hAnsi="宋体" w:cs="宋体"/>
          <w:color w:val="auto"/>
          <w:sz w:val="24"/>
          <w:szCs w:val="24"/>
          <w:highlight w:val="none"/>
          <w:lang w:val="zh-CN"/>
        </w:rPr>
      </w:pPr>
      <w:r>
        <w:rPr>
          <w:rFonts w:hint="eastAsia" w:ascii="宋体" w:hAnsi="宋体" w:cs="宋体"/>
          <w:b/>
          <w:bCs/>
          <w:color w:val="auto"/>
          <w:sz w:val="24"/>
          <w:szCs w:val="24"/>
          <w:highlight w:val="none"/>
          <w:lang w:val="zh-CN"/>
        </w:rPr>
        <w:t xml:space="preserve">免赔额：本项目不设免赔额</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八、保险服务</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乙方将按照招标文件要求和投标文件承诺做好制度建设与服务工作。</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九、一般条款</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（一）保险手续办理和赔付</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甲方同意发生事故赔案时，由出险人直接向乙方索赔。乙方按照索赔委托书进行理赔并将赔款直接赔付给出险人（发生重特大事故等特殊情况除外）。</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赔偿处理：保险公司接到保险对象的理赔申请后，对材料齐全、事实清楚，确属养老机构或居家养老服务机构责任范围的，应在30天内给付保险金；对需进一步调查的事故，按服务承诺作出理赔决定；对明显不属于保险责任范围的，应作不予理赔的书面说明。保险公司同时将理赔情况报市民政局备案。</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2.1基本原则：除非有合理和足够的证据证明，保险人不得以任何理由推卸，拖延甚至拒绝被保险人索赔要求，否则其行为构成违约并须承担违约责任；</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2.2一旦接到被保险人通知，保险人代表应尽早赶赴事故现场开始初步调查并提出止损建议，被保险人及保险经纪人应予以配合；</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2.3发生事故后，保险人应于3个工作日内向被保险人/保险经纪人提交一份针对本次事故完成理赔工作所需经过的程序及需要的事故/损失证明材料；</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2.4当确定事故责任属于赔偿范围，且可以估计损失金额，保险人应在10个工作日内完成至少50%的预付赔款。</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2.5对于虽经被保险人/保险经纪人努力仍无法完成的证据/证明材料提交工作，保险人须予以帮助并不得以此为由推卸、拖延甚至拒绝履行合同责任。</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（二）合同有效期</w:t>
      </w:r>
      <w:r/>
    </w:p>
    <w:p>
      <w:pPr>
        <w:ind w:firstLine="555"/>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本合同自签订之日起生效，并在保险有效期内持续有效，如果保险期限结束后，存在遗留问题，本合同将继续有效，直至保单涉及的各项遗留事宜最终处理完毕时为止。</w:t>
      </w:r>
      <w:r/>
    </w:p>
    <w:p>
      <w:pPr>
        <w:ind w:firstLine="555"/>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（三）合同的变更、解除和续订</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本合同在执行过程中如出现明显不合理的状况或有其他未尽事宜，经甲乙双方协商后可随时以书面形式修改或补充，并作为本合同的组成部分。修改或补充部分的效力优于本合同相关内容。</w:t>
      </w:r>
      <w:r/>
    </w:p>
    <w:p>
      <w:pPr>
        <w:ind w:firstLine="56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（四）保密条款</w:t>
      </w:r>
      <w:r/>
    </w:p>
    <w:p>
      <w:pPr>
        <w:ind w:firstLine="555"/>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除非下列情况，自本合同生效之日起，甲乙双方不得将本合同涉及的所有有形、无形的信息及资料（包括但不限于双方的往来书面文字文件、电子邮件及信息、软盘资料等）泄露给其他方。</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十、争议解决</w:t>
      </w:r>
      <w:r/>
    </w:p>
    <w:p>
      <w:pPr>
        <w:ind w:firstLine="560"/>
        <w:spacing w:line="360" w:lineRule="auto"/>
        <w:tabs>
          <w:tab w:val="left" w:pos="568"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甲乙双方之间的一切有关本合同的争议应通过友好协商解决；若协商不成，可向甲方所在地人民法院诉讼。</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十一、退出机制</w:t>
      </w:r>
      <w:r/>
    </w:p>
    <w:p>
      <w:pPr>
        <w:ind w:left="-2" w:firstLine="480"/>
        <w:spacing w:line="360" w:lineRule="auto"/>
        <w:rPr>
          <w:rFonts w:hint="eastAsia" w:ascii="宋体" w:hAnsi="宋体" w:cs="宋体"/>
          <w:color w:val="auto"/>
          <w:sz w:val="24"/>
          <w:szCs w:val="24"/>
          <w:highlight w:val="none"/>
          <w:lang w:val="zh-CN"/>
        </w:rPr>
        <w:outlineLvl w:val="0"/>
      </w:pPr>
      <w:r>
        <w:rPr>
          <w:rFonts w:hint="eastAsia" w:ascii="宋体" w:hAnsi="宋体" w:cs="宋体"/>
          <w:color w:val="auto"/>
          <w:sz w:val="24"/>
          <w:szCs w:val="24"/>
          <w:highlight w:val="none"/>
          <w:lang w:val="zh-CN"/>
        </w:rPr>
        <w:t xml:space="preserve">（一）本项目建立风险控制机制，因违反合同约定，或发生其他严重损害被保险人权益的情况，可以提前终止或解除合同，并依法追究责任。</w:t>
      </w:r>
      <w:r/>
    </w:p>
    <w:p>
      <w:pPr>
        <w:ind w:left="-2" w:firstLine="480"/>
        <w:spacing w:line="360" w:lineRule="auto"/>
        <w:rPr>
          <w:rFonts w:hint="eastAsia" w:ascii="宋体" w:hAnsi="宋体" w:cs="宋体"/>
          <w:color w:val="auto"/>
          <w:sz w:val="24"/>
          <w:szCs w:val="24"/>
          <w:highlight w:val="none"/>
          <w:lang w:val="zh-CN"/>
        </w:rPr>
        <w:outlineLvl w:val="0"/>
      </w:pPr>
      <w:r>
        <w:rPr>
          <w:rFonts w:hint="eastAsia" w:ascii="宋体" w:hAnsi="宋体" w:cs="宋体"/>
          <w:color w:val="auto"/>
          <w:sz w:val="24"/>
          <w:szCs w:val="24"/>
          <w:highlight w:val="none"/>
          <w:lang w:val="zh-CN"/>
        </w:rPr>
        <w:t xml:space="preserve">（二）乙方因违反合同约定，严重损害被保险人权益，合同的继续履行将损害国家利益和社会公共利益的，甲方有权终止合同。由</w:t>
      </w:r>
      <w:r>
        <w:rPr>
          <w:rFonts w:hint="eastAsia" w:ascii="宋体" w:hAnsi="宋体" w:cs="宋体"/>
          <w:color w:val="auto"/>
          <w:sz w:val="24"/>
          <w:szCs w:val="24"/>
          <w:highlight w:val="none"/>
          <w:lang w:val="en-US" w:eastAsia="zh-CN"/>
        </w:rPr>
        <w:t xml:space="preserve">下一</w:t>
      </w:r>
      <w:r>
        <w:rPr>
          <w:rFonts w:hint="eastAsia" w:ascii="宋体" w:hAnsi="宋体" w:cs="宋体"/>
          <w:color w:val="auto"/>
          <w:sz w:val="24"/>
          <w:szCs w:val="24"/>
          <w:highlight w:val="none"/>
          <w:lang w:val="zh-CN"/>
        </w:rPr>
        <w:t xml:space="preserve">名递补，乙方应及时做好交接手续。</w:t>
      </w:r>
      <w:r/>
    </w:p>
    <w:p>
      <w:pPr>
        <w:ind w:left="-2" w:firstLine="480"/>
        <w:spacing w:line="360" w:lineRule="auto"/>
        <w:rPr>
          <w:rFonts w:hint="eastAsia" w:ascii="宋体" w:hAnsi="宋体" w:cs="宋体"/>
          <w:color w:val="auto"/>
          <w:sz w:val="24"/>
          <w:szCs w:val="24"/>
          <w:highlight w:val="none"/>
          <w:lang w:val="zh-CN"/>
        </w:rPr>
        <w:outlineLvl w:val="0"/>
      </w:pPr>
      <w:r>
        <w:rPr>
          <w:rFonts w:hint="eastAsia" w:ascii="宋体" w:hAnsi="宋体" w:cs="宋体"/>
          <w:color w:val="auto"/>
          <w:sz w:val="24"/>
          <w:szCs w:val="24"/>
          <w:highlight w:val="none"/>
          <w:lang w:val="zh-CN"/>
        </w:rPr>
        <w:t xml:space="preserve">（三）若乙方及递补单位皆因违反合同约定，严重损害被保险人权益，合同的继续履行将损害国家利益和社会公共利益的，甲方有权终止合同，本项目重新启动招标程序。</w:t>
      </w:r>
      <w:r/>
    </w:p>
    <w:p>
      <w:pPr>
        <w:ind w:firstLine="482"/>
        <w:spacing w:line="360" w:lineRule="auto"/>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十二、其他</w:t>
      </w:r>
      <w:r/>
    </w:p>
    <w:p>
      <w:pPr>
        <w:ind w:firstLine="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（一）本合同作为正式保单的有效组成部分，正式保单与本合同冲突之处，以本合同内容为准，甲乙双方另有明确约定的情况除外。其他未尽事宜以正式保单为准。</w:t>
      </w:r>
      <w:r/>
    </w:p>
    <w:p>
      <w:pPr>
        <w:ind w:firstLine="48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（二）本合同一式四份，甲乙双方各两份。</w:t>
      </w:r>
      <w:r/>
    </w:p>
    <w:p>
      <w:pPr>
        <w:ind w:firstLine="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甲方：无锡市民政局（盖章）     </w:t>
      </w:r>
      <w:r/>
    </w:p>
    <w:p>
      <w:pPr>
        <w:ind w:firstLine="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代表（签字）             </w:t>
      </w:r>
      <w:r/>
    </w:p>
    <w:p>
      <w:pPr>
        <w:ind w:firstLine="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202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   月   日         </w:t>
      </w:r>
      <w:r/>
    </w:p>
    <w:p>
      <w:pPr>
        <w:ind w:firstLine="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乙方：（盖章）</w:t>
      </w:r>
      <w:r/>
    </w:p>
    <w:p>
      <w:pPr>
        <w:ind w:firstLine="56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代表（签字）：</w:t>
      </w:r>
      <w:r/>
    </w:p>
    <w:p>
      <w:pPr>
        <w:ind w:right="560"/>
        <w:jc w:val="left"/>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      202</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zh-CN"/>
        </w:rPr>
        <w:t xml:space="preserve">年     月     日</w:t>
      </w:r>
      <w:r/>
    </w:p>
    <w:p>
      <w:pPr>
        <w:ind w:firstLine="120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849"/>
        <w:numPr>
          <w:ilvl w:val="0"/>
          <w:numId w:val="0"/>
        </w:numPr>
        <w:rPr>
          <w:rFonts w:hint="eastAsia"/>
          <w:color w:val="auto"/>
          <w:highlight w:val="none"/>
          <w:lang w:eastAsia="zh-CN"/>
        </w:rPr>
      </w:pPr>
      <w:r>
        <w:rPr>
          <w:rFonts w:hint="eastAsia"/>
          <w:color w:val="auto"/>
          <w:highlight w:val="none"/>
          <w:lang w:eastAsia="zh-CN"/>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pStyle w:val="795"/>
        <w:rPr>
          <w:rFonts w:ascii="宋体" w:hAnsi="宋体" w:cs="宋体"/>
          <w:bCs/>
          <w:color w:val="auto"/>
          <w:sz w:val="24"/>
          <w:highlight w:val="none"/>
        </w:rPr>
      </w:pPr>
      <w:r>
        <w:rPr>
          <w:rFonts w:ascii="宋体" w:hAnsi="宋体" w:cs="宋体"/>
          <w:bCs/>
          <w:color w:val="auto"/>
          <w:sz w:val="24"/>
          <w:highlight w:val="none"/>
        </w:rPr>
      </w:r>
      <w:r/>
    </w:p>
    <w:p>
      <w:pPr>
        <w:rPr>
          <w:color w:val="auto"/>
          <w:highlight w:val="none"/>
        </w:rPr>
      </w:pPr>
      <w:r>
        <w:rPr>
          <w:color w:val="auto"/>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720"/>
        <w:jc w:val="center"/>
        <w:spacing w:line="276" w:lineRule="auto"/>
        <w:rPr>
          <w:rFonts w:hAnsi="宋体"/>
          <w:color w:val="auto"/>
          <w:sz w:val="36"/>
          <w:szCs w:val="36"/>
          <w:highlight w:val="none"/>
        </w:rPr>
      </w:pPr>
      <w:r>
        <w:rPr>
          <w:rFonts w:hint="eastAsia" w:ascii="黑体" w:eastAsia="黑体"/>
          <w:bCs/>
          <w:color w:val="auto"/>
          <w:sz w:val="36"/>
          <w:szCs w:val="36"/>
          <w:highlight w:val="none"/>
        </w:rPr>
        <w:br w:type="page" w:clear="all"/>
      </w:r>
      <w:r>
        <w:rPr>
          <w:rFonts w:hint="eastAsia" w:ascii="黑体" w:eastAsia="黑体"/>
          <w:bCs/>
          <w:color w:val="auto"/>
          <w:sz w:val="36"/>
          <w:szCs w:val="36"/>
          <w:highlight w:val="none"/>
        </w:rPr>
        <w:t xml:space="preserve">第</w:t>
      </w:r>
      <w:bookmarkEnd w:id="138"/>
      <w:r>
        <w:rPr>
          <w:rFonts w:hint="eastAsia" w:ascii="黑体" w:eastAsia="黑体"/>
          <w:bCs/>
          <w:color w:val="auto"/>
          <w:sz w:val="36"/>
          <w:szCs w:val="36"/>
          <w:highlight w:val="none"/>
        </w:rPr>
        <w:t xml:space="preserve">四章 采购需求</w:t>
      </w:r>
      <w:bookmarkEnd w:id="139"/>
      <w:r/>
      <w:bookmarkEnd w:id="140"/>
      <w:r/>
      <w:bookmarkEnd w:id="141"/>
      <w:r/>
      <w:r/>
    </w:p>
    <w:p>
      <w:pPr>
        <w:pStyle w:val="913"/>
        <w:numPr>
          <w:ilvl w:val="0"/>
          <w:numId w:val="0"/>
        </w:numPr>
        <w:spacing w:line="560" w:lineRule="exact"/>
        <w:rPr>
          <w:rFonts w:hint="eastAsia" w:ascii="宋体" w:hAnsi="宋体" w:cs="宋体"/>
          <w:color w:val="auto"/>
          <w:sz w:val="24"/>
          <w:szCs w:val="24"/>
          <w:highlight w:val="none"/>
        </w:rPr>
      </w:pPr>
      <w:r/>
      <w:bookmarkStart w:id="142" w:name="_Toc49090575"/>
      <w:r/>
      <w:bookmarkStart w:id="143" w:name="_Toc120614281"/>
      <w:r/>
      <w:bookmarkStart w:id="144" w:name="_Toc26554093"/>
      <w:r>
        <w:rPr>
          <w:rFonts w:hint="eastAsia" w:ascii="宋体" w:hAnsi="宋体" w:cs="宋体"/>
          <w:color w:val="auto"/>
          <w:sz w:val="24"/>
          <w:szCs w:val="24"/>
          <w:highlight w:val="none"/>
          <w14:ligatures w14:val="standardContextual"/>
        </w:rPr>
        <w:t xml:space="preserve">（一）</w:t>
      </w:r>
      <w:r>
        <w:rPr>
          <w:rFonts w:hint="eastAsia" w:ascii="宋体" w:hAnsi="宋体" w:cs="宋体"/>
          <w:color w:val="auto"/>
          <w:sz w:val="24"/>
          <w:szCs w:val="24"/>
          <w:highlight w:val="none"/>
        </w:rPr>
        <w:t xml:space="preserve">项目介绍</w:t>
      </w:r>
      <w:r/>
    </w:p>
    <w:p>
      <w:pPr>
        <w:ind w:left="64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1.项目背景</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贯彻落实《江苏省养老服务条例》《无锡市养老机构条例》《无锡市居家养老服务条例》等文件规定，保障市区养老服务机构保险机制运行顺畅，提高养老服务机构抵御意外风险及善后处置能力，提升老年人在养老服务中的获得感和安全感，根据《无锡市市区养老机构综合责任保险、养老机构入住老年人意外伤害保险、居家养老服务机构综合责任保险实施办法》（锡民规〔2024〕2号）文件要求，采取购买服务的方式，推动实施2024—2026年无锡市市区养老机构综合责任保险、养老机构入住老人意外伤害保险、居家养老服务机构综合责任保险等3项保险工作。</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2.项目基本情况</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2.1保险简介</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市区养老机构综合责任保险、养老机构入住老年人意外伤害保险、居家养老服务机构综合责任保险等3项保险属于准公共保险产品，享受政府财政部分补贴。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2.2实施原则</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2.2.1.合法性原则。各项规定应符合国家法律法规及国家金融监督管理总局等相关部门的有关规定。</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2.2.2．保障性原则。以保障老人权益为前提，所涉条款均无侵害、损伤老人利益内容，并明确保险人应尽义务。</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2.2.3．针对性原则。专门针对市区养老机构综合责任保险、养老机构入住老年人意外伤害保险、居家养老服务机构综合责任保险等3项保险的被保险人建立的保险机制，帮助养老机构、入住老人及家庭、居家养老服务机构、服务对象及服务人员等防范风险。</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2.2.4.便捷性原则。提供简便快捷的理赔服务通道，简化索赔手续，注重操作的灵活性和便捷性。</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2.3本项目根据2023年底数据，全市养老机构入住老人约1.15万人，全市居家养老服务机构580家。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2.4关于保障对象</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2.4.1养老机构综合责任保险对象为市区范围内自愿参加养老机构综合责任保险的养老机构。</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2.4.2养老机构入住老年人意外伤害保险对象为市区范围内参加综合责任保险的养老机构中、年满60周岁、与养老机构签订养老服务协议并自愿参保的老年人。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2.4.3居家养老服务机构综合责任保险对象为市区范围内在各居家养老服务机构接受服务的老年居民，以及各居家养老服务机构的工作人员。</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2.5本项目投保及补贴办法</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养老机构综合责任保险保费资金来源于养老机构自筹资金和市福彩公益金，分担比例为3:7。未参加保险的养老机构不得享受市福彩公益金配额。本保险使用市福彩公益金额度纳入年度福彩公益金使用计划。</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入住老年人意外伤害保险保费来源于养老机构住养老人自费、市福彩公益金，其中老人自费70元，市福彩公益金补贴20元。未参加保险的老人不得享受市福彩公益金配额。本保险使用市福彩公益金额度纳入年度福彩公益金使用计划。</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居家养老服务机构综合责任保险保费由市福彩公益金和区财政资金以及其他资金安排，分担比例为5:5。本保险使用资金的额度纳入年度资金使用计划。</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2.6保费标准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养老机构综合责任保险保费标准为每位入住老年人100元/年标准计算。</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养老机构入住老年人意外伤害保险保费标准以一个保险周期每人每份90元，不满一个保险周期的按保险月费率计算。</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居家养老服务机构综合责任保险保费标准是：对依法批准成立且正常运营的街道（镇）、社区（村）居家养老服务机构，按每个机构每年300元的标准投保，以后每个保险周期保费标准视承保赔付情况作适当调整。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2.7招标方式及招标金额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以公开招标的方式，选取2家专业保险公司，采用分片区独立运营模式，承保养老机构综合责任保险和居家养老服务机构综合责任保险。养老机构入住老人意外伤害保险作为养老机构综合责任保险的配套险种，由中标保险公司一并承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梁溪区、锡山区和无锡经开区为一标段；惠山区、滨湖区、新吴区为二标段。经评比选取2家专业保险公司，</w:t>
      </w:r>
      <w:r>
        <w:rPr>
          <w:rFonts w:hint="eastAsia" w:ascii="宋体" w:hAnsi="宋体" w:cs="宋体"/>
          <w:bCs/>
          <w:color w:val="auto"/>
          <w:sz w:val="24"/>
          <w:szCs w:val="24"/>
          <w:highlight w:val="none"/>
        </w:rPr>
        <w:t xml:space="preserve">综合评审得分排名第一的投标人确定为一标段中标单位，得分排名第二的投标人确定为二标段中标单位。</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2.7.2保费总额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2.7.2.1一标段（梁溪区、锡山区及无锡经开区）招标金额为185.5万元，第一、第二保险周期保费预计均为92.75万元。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养老机构综合责任保险保费按照2年保险期测算约117万元，第一、第二保险周期保费预计均为58.5万元。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养老机构入住老年人意外伤害保险保费按照2年保险期测算约52.5万元，第一、第二保险周期保费预计均为26.25万元。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居家养老服务机构综合责任保险保费按照2年保险期测算约16万元，第一、第二保险周期保费预计均为8万元。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2.7.2.2二标段（惠山区、滨湖区、新吴区）招标金额为181.5万元，第一、第二保险周期保费预计均为90.75万元。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养老机构综合责任保险保费按照2年保险期测算约112万元，第一、第二保险周期保费预计均为56万元。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养老机构入住老年人意外伤害保险保费按照2年保险期测算约50.5万元，第一、第二保险周期保费预计均为25.25万元。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居家养老服务机构综合责任保险保费按照2年保险期测算约19万元，第一、第二保险周期保费预计均为9.5万元。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2.8采购人和保险人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采购人为无锡市民政局。</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保险人为本项目的中标人，即中标的保险公司。</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2.9投保人和被保险人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养老机构综合责任保险的投保人为市区取得合法资格并自愿参与本项保险的养老机构，同为被保险人。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养老机构入住老年人意外伤害保险的投保人为市区自愿参与本项保险的入住老人，同为被保险人。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居家养老服务机构保险的投保人为无锡市民政局及各市区民政局，市区范围内依法成立、依法运营的居家养老服务机构为被保险人。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3.保险基本内容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3.1无锡市养老机构综合责任保险基本内容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3.1.1保险险种：无锡市养老机构综合责任保险项目的险种为“养老机构综合责任保险”，条款名称以最终中标单位向金融监管部门报备的条款名称为准。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3.1.2保险责任范围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在保险责任有效期间内，被保险人在从事养老服务活动时，因过失导致意外事故造成服务对象遭受人身损害，承保保险公司依下列约定给付保险金：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3.1.2.1被保险人在保单中列明的区域范围内依法从事养老服务活动时，因过失导致意外事故，造成服务对象遭受人身损害的。</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3.1.2.2在保单中列明的区域范围内，发生包括但不限于下列导致服务对象遭受人身损害的情形：火灾、爆炸、煤气中毒所造成的意外事故；高空物体坠落所造成的意外事故；非被保险人原因突发停电、停水造成的意外事故。尽管被保险人已经履行了相应义务，行为并无不当，但法院或仲裁机构仍判决或裁决被保险人需对受伤害服务对象给予经济补偿的。</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3.1.2.3施救费用。保险事故发生后，被保险人为防止或减少服务对象的人身伤亡或财产损失所支付的合理的、必要的施救费用。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3.1.2.4相关法律费用。保险事故发生后，被保险人因保险事故而被提起仲裁或诉讼的，对应由被保险人支付的仲裁或诉讼费用以及其他必要的、合理的费用，经保险人事先书面同意，保险人按照保险合同约定也负责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3.1.3赔偿限额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3.1.3.1可竞争报价部分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3.1.3.1.1.死亡、伤残赔偿限额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死亡、伤残赔偿限额分为三档：自理、半护理、全护理；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自理赔偿限额＞半护理赔偿限额＞全护理赔偿限额，档间差额均为2万元；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本项目保险方案死亡、伤残赔偿限额基数：自理入住老人12万元/人。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3.1.3.1.2其他分项不低于下列赔偿限额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3.1.3.1.2.1死亡丧葬费赔偿限额</w:t>
      </w:r>
      <w:r>
        <w:rPr>
          <w:rFonts w:hint="eastAsia" w:ascii="宋体" w:hAnsi="宋体" w:cs="宋体"/>
          <w:color w:val="auto"/>
          <w:spacing w:val="24"/>
          <w:sz w:val="24"/>
          <w:szCs w:val="24"/>
          <w:highlight w:val="none"/>
        </w:rPr>
        <w:t xml:space="preserve">3000元/人/次</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3.1.3.1.2.2</w:t>
      </w:r>
      <w:r>
        <w:rPr>
          <w:rFonts w:hint="eastAsia" w:ascii="宋体" w:hAnsi="宋体" w:cs="宋体"/>
          <w:color w:val="auto"/>
          <w:spacing w:val="24"/>
          <w:sz w:val="24"/>
          <w:szCs w:val="24"/>
          <w:highlight w:val="none"/>
        </w:rPr>
        <w:t xml:space="preserve">残疾用具费用（仅限于国内产品）15000元</w:t>
      </w:r>
      <w:r>
        <w:rPr>
          <w:rFonts w:hint="eastAsia" w:ascii="宋体" w:hAnsi="宋体" w:cs="宋体"/>
          <w:color w:val="auto"/>
          <w:spacing w:val="10"/>
          <w:sz w:val="24"/>
          <w:szCs w:val="24"/>
          <w:highlight w:val="none"/>
        </w:rPr>
        <w:t xml:space="preserve">/人/次</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3.1.3.1.2.3</w:t>
      </w:r>
      <w:r>
        <w:rPr>
          <w:rFonts w:hint="eastAsia" w:ascii="宋体" w:hAnsi="宋体" w:cs="宋体"/>
          <w:color w:val="auto"/>
          <w:spacing w:val="10"/>
          <w:sz w:val="24"/>
          <w:szCs w:val="24"/>
          <w:highlight w:val="none"/>
        </w:rPr>
        <w:t xml:space="preserve">骨折赔偿费：5000元/人/次</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3.1.3.1.2.4</w:t>
      </w:r>
      <w:r>
        <w:rPr>
          <w:rFonts w:hint="eastAsia" w:ascii="宋体" w:hAnsi="宋体" w:cs="宋体"/>
          <w:color w:val="auto"/>
          <w:spacing w:val="10"/>
          <w:sz w:val="24"/>
          <w:szCs w:val="24"/>
          <w:highlight w:val="none"/>
        </w:rPr>
        <w:t xml:space="preserve">医疗费用：40000</w:t>
      </w:r>
      <w:r>
        <w:rPr>
          <w:rFonts w:hint="eastAsia" w:ascii="宋体" w:hAnsi="宋体" w:cs="宋体"/>
          <w:color w:val="auto"/>
          <w:spacing w:val="26"/>
          <w:sz w:val="24"/>
          <w:szCs w:val="24"/>
          <w:highlight w:val="none"/>
        </w:rPr>
        <w:t xml:space="preserve">元/人/次</w:t>
      </w:r>
      <w:r>
        <w:rPr>
          <w:rFonts w:hint="eastAsia" w:ascii="宋体" w:hAnsi="宋体" w:cs="宋体"/>
          <w:color w:val="auto"/>
          <w:sz w:val="24"/>
          <w:szCs w:val="24"/>
          <w:highlight w:val="none"/>
        </w:rPr>
        <w:t xml:space="preserve">：</w:t>
      </w:r>
      <w:r/>
    </w:p>
    <w:p>
      <w:pPr>
        <w:ind w:firstLine="480"/>
        <w:spacing w:line="560" w:lineRule="exact"/>
        <w:rPr>
          <w:rFonts w:hint="eastAsia" w:ascii="宋体" w:hAnsi="宋体" w:cs="宋体"/>
          <w:color w:val="auto"/>
          <w:spacing w:val="26"/>
          <w:sz w:val="24"/>
          <w:szCs w:val="24"/>
          <w:highlight w:val="none"/>
        </w:rPr>
      </w:pPr>
      <w:r>
        <w:rPr>
          <w:rFonts w:hint="eastAsia" w:ascii="宋体" w:hAnsi="宋体" w:cs="宋体"/>
          <w:color w:val="auto"/>
          <w:sz w:val="24"/>
          <w:szCs w:val="24"/>
          <w:highlight w:val="none"/>
        </w:rPr>
        <w:t xml:space="preserve">3.1.3.1.2.5</w:t>
      </w:r>
      <w:r>
        <w:rPr>
          <w:rFonts w:hint="eastAsia" w:ascii="宋体" w:hAnsi="宋体" w:cs="宋体"/>
          <w:color w:val="auto"/>
          <w:spacing w:val="26"/>
          <w:sz w:val="24"/>
          <w:szCs w:val="24"/>
          <w:highlight w:val="none"/>
        </w:rPr>
        <w:t xml:space="preserve">住院补贴：30元/天，累计不超过180天；</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3.1.3.1.2.6</w:t>
      </w:r>
      <w:r>
        <w:rPr>
          <w:rFonts w:hint="eastAsia" w:ascii="宋体" w:hAnsi="宋体" w:cs="宋体"/>
          <w:color w:val="auto"/>
          <w:spacing w:val="11"/>
          <w:sz w:val="24"/>
          <w:szCs w:val="24"/>
          <w:highlight w:val="none"/>
        </w:rPr>
        <w:t xml:space="preserve">施救费用：500000元/次；</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3.1.3.2不需报价部分：本项目法律费用每次事故以实际赔偿金额的10%为上限。</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3.1.3.3其他事项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3.1.3.3.1因保险责任范围内事故的入住老人医疗费用，其中已参加社会医疗保险人员的医疗费用赔偿，先按社会医疗保险规定结算，个人自负部分在本项目医疗费用赔偿限额中最高赔偿4万元。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3.1.3.3.2未参加社会医疗保险人员的医疗费用赔偿，在本项目医疗费用赔偿限额内赔付。</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3.1.3.3.3医疗费用赔偿不包括陪护费、伙食费、美容费、营养费、交通费、取暖费、空调费及安装假肢、假牙、假眼和残疾用具等其他费用。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3.1.4每次事故及累计赔偿限额：本项目每次事故及累计赔偿限额不设上限。</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3.1.5免赔额：本保险不设免赔额。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3.2养老机构入住老年人意外伤害保险基本内容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保险险种：无锡市区养老机构入住老年人意外伤害保险项目的险种为“养老机构入住老年人意外伤害保险”，为“养老机构综合责任保险”的附加险，条款名称以最终中标单位向保险监管部门报备的条款名称为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3.2.3赔偿限额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3.2.3.1可竞争报价部分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3.2.3.1.1.意外身故保险金：5万元/人；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3.2.3.1.2其他分项不低于下列赔偿限额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3.2.3.1.2.1意外伤残保险金：按伤残程度赔付，最高限额5万元/人；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3.2.3.1.2.2意外医疗费用补偿保险金：每次事故门急诊限额500元，每次事故免赔限额100元，最高限额3000元/人；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3.2.3.1.2.3意外伤害住院补贴保险金：50元/天，累计不超过30天；</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3.2.3.1.2.4意外看护津贴保险金：50元/天，累计不超过30天；</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3.2.3.1.2.5意外救护车费用补偿：累计限额不超过500元。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3.3居家养老服务机构综合责任保险基本内容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3.3.1保险基本内容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3.3.1.1保险险种：无锡市区居家养老服务机构综合责任保险项目的险种为“居家养老服务机构综合责任保险”，条款名称以最终中标单位向保险监管部门报备的条款名称为准。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3.3.1.2保险责任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凡在居家养老服务机构内接受各种功能性服务及活动的老年人，因意外或由于居家养老服务机构的疏忽、过失或照护不当，造成老年人人身伤害，应由上述服务机构承担的经济赔偿责任，保险公司按照约定在载明的赔偿限额内负责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居家养老服务机构的护理人员在从事护理服务过程中因遭受意外事故造成人身损害或在上下班途中由于发生意外事故导致其人身伤害，应由上述服务机构承担经济赔偿责任的，保险公司按照约定在载明的赔偿限额内负责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3.3.1.2.1施救费用。保险事故发生后，被保险人为防止或减少服务对象的人身伤亡或财产损失所支付的合理的、必要的施救费用。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3.3.1.2相关法律费用。保险事故发生后，被保险人因保险事故而被提起仲裁或诉讼的，对应由被保险人支付的仲裁或诉讼费用以及其他必要的、合理的费用，经保险人事先书面同意，保险人按照保险合同约定也负责赔偿。</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3.3.2赔偿限额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3.3.2.1可竞争报价部分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3.3.2.1.1.死亡、伤残：70000元—100000元；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3.3.2.2其他分项不低于下列赔偿限额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3.3.2.2.1死亡丧葬费：20000元—40000元；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3.3.2.2.2残疾器具费：4000元—6000元；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3.3.2.2.3骨折赔付金：2000元—4000元；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3.3.2.2.4医疗费用：20000元—40000元；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3.3.2.2.5住院补贴：3500元—6500元。</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3.3.2.3其他事项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免赔额：本项目不设免赔额</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3.4保险期间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本项目保险期限为贰年，即2024年2月1日零时起，至2026年1月31日二十四时止。</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保险期分为两个独立且连续的保险周期完成，每个保险周期期限为</w:t>
      </w:r>
      <w:r>
        <w:rPr>
          <w:rFonts w:hint="eastAsia" w:ascii="宋体" w:hAnsi="宋体" w:cs="宋体"/>
          <w:color w:val="auto"/>
          <w:sz w:val="24"/>
          <w:szCs w:val="24"/>
          <w:highlight w:val="none"/>
          <w:lang w:eastAsia="zh-CN"/>
        </w:rPr>
        <w:t xml:space="preserve">一年</w:t>
      </w:r>
      <w:r>
        <w:rPr>
          <w:rFonts w:hint="eastAsia" w:ascii="宋体" w:hAnsi="宋体" w:cs="宋体"/>
          <w:color w:val="auto"/>
          <w:sz w:val="24"/>
          <w:szCs w:val="24"/>
          <w:highlight w:val="none"/>
        </w:rPr>
        <w:t xml:space="preserve">，自起保日的次日零时起至期满日的二十四时止。首个保险期限自2024年2月1日零时起至2025年1月31日二十四时止，第二个保险周期为2025年2月1日零时起至2026年1月31日二十四时止。第二年保险单截止日期超过本项目中标合同期的，以保险单载明的保险截止日为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对保险周期内的理赔申请进行勘察调查、核实评估和责任确认，对材料齐全、事实清楚，且属于保险责任范围的，及时作出赔付决定并支付赔款。保险人不得以任何理由推卸，拖延甚至拒绝被保险人索赔要求（包括2024年2月1日零时之后发生的保险案件），否则其行为构成违约并须承担违约责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4.保费交付</w:t>
      </w:r>
      <w:r/>
    </w:p>
    <w:p>
      <w:pPr>
        <w:ind w:firstLine="480"/>
        <w:spacing w:line="560" w:lineRule="exact"/>
        <w:rPr>
          <w:rFonts w:hint="eastAsia" w:ascii="宋体" w:hAnsi="宋体" w:cs="宋体"/>
          <w:color w:val="auto"/>
          <w:sz w:val="24"/>
          <w:szCs w:val="24"/>
          <w:highlight w:val="none"/>
        </w:rPr>
      </w:pPr>
      <w:r/>
      <w:bookmarkStart w:id="145" w:name="_Hlk156921020"/>
      <w:r>
        <w:rPr>
          <w:rFonts w:hint="eastAsia" w:ascii="宋体" w:hAnsi="宋体" w:cs="宋体"/>
          <w:color w:val="auto"/>
          <w:sz w:val="24"/>
          <w:szCs w:val="24"/>
          <w:highlight w:val="none"/>
        </w:rPr>
        <w:t xml:space="preserve">4.1养老机构综合责任保险</w:t>
      </w:r>
      <w:bookmarkEnd w:id="145"/>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首个保险周期保险费用，各养老机构于招标完成后30天内完成投保，并向中标保险公司支付保费的30%；经汇总统计后，市民政局于招标完成后90天内，向中标保险公司支付保费总额的70%。第二个保险周期保险费用，各养老机构于2026年1月1日至1月31日之间向中标保险公司支付保费的30%；经汇总统计后，市民政局于2026年3月底前向中标保险公司支付保费总额的70%。</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4.2养老机构入住老人意外伤害保险</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首个保险周期保险费用，各养老机构内自愿投保的入住老人于招标完成后30天内完成投保，并按机构向中标保险公司支付保费的77.78%；经汇总统计后，市民政局于招标完成后90天内，向中标保险公司支付保费总额的22.22%。第二个保险周期保险费用，各养老机构内自愿投保的入住老人于2026年1月1日至1月31日之间向中标保险公司支付保费的77.78%；经汇总统计后，市民政局于2026年3月底前向中标保险公司支付保费总额的22.22%。</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4.3居家养老服务机构综合责任保险</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首个保险周期保险费用，各区民政部门根据本区域内居家养老服务机构数量，于招标完成后30天内完成投保，并按区向中标保险公司支付保费的50%；经汇总统计后，市民政局于招标完成后90天内，向中标保险公司支付保费总额的50%。第二个保险周期保险费用，各区民政部门根据本区域内居家养老服务机构数量于2026年1月1日至1月31日之间向中标保险公司支付保费的77.78%；经汇总统计后，市民政局于2026年3月底前向中标保险公司支付保费总额的50%。</w:t>
      </w:r>
      <w:r/>
    </w:p>
    <w:p>
      <w:pPr>
        <w:pStyle w:val="913"/>
        <w:numPr>
          <w:ilvl w:val="0"/>
          <w:numId w:val="0"/>
        </w:numPr>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14:ligatures w14:val="standardContextual"/>
        </w:rPr>
        <w:t xml:space="preserve">（二）</w:t>
      </w:r>
      <w:r>
        <w:rPr>
          <w:rFonts w:hint="eastAsia" w:ascii="宋体" w:hAnsi="宋体" w:cs="宋体"/>
          <w:color w:val="auto"/>
          <w:sz w:val="24"/>
          <w:szCs w:val="24"/>
          <w:highlight w:val="none"/>
        </w:rPr>
        <w:t xml:space="preserve">保险方案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由投标人根据招标文件提供保险方案及合同范本</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（三）特别约定</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1.关于保费调整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1.1投标人同意：投保人将于前文规定时间内，分别付清保险费。投保人未付清保险费之前，不影响保险合同的有效；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1.2投标人同意：养老机构综合责任保险，每一个保险周期内，无论养老机构的投保人数增减，保险费不作调整；</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1.3投标人同意：居家养老服务机构综合责任保险，每个保险周期均按有关民政部门提供的上一年度年底正常运行的居家养老服务机构数支付投保费用，在每个保险周期内不论新增或注销机构数均不调整保险费。</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2.关于死亡、伤残、医疗费用等原始凭证复印件的认可</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投标人同意：死亡、伤残、医疗费用等原始凭证在社会医疗保险机构处理赔偿时已经留档不能分割的，该原始凭证复印件可用于本项目理赔时作为依据凭证。</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3.关于养老服务机构停业</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保险期间内养老机构、居家养老服务机构（简称：养老服务机构）停业的，自停业之日起退保，保险生效期间保费按照承保公司短期费率计算，不足一月的按一月计算，退保时养老服务机构自付的保费退至养老机构，市级、区级补贴的多余保费由保险公司清算后冲抵区域内其他养老服务机构当年新增养老服务机构，或扣减下一年度市级、区级相应补助部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（四）补充约定</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投标人理解，仅凭保险条款的约定并不能使得未来的被保险人获得完善的保险服务，为此投标人同意以下各条补充约定并将其视为未来保险合同的一部分，由保险双方共同遵守。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1.关于涉保信息披露</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1.1投标人同意，采购代理机构在本招标文件中披露的所有足以影响投标人判断风险的涉保信息是真实的，投标人据此提出己方作为未来保险人保险服务条件及服务承诺。</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1.2投标人同意，采购代理机构承诺，投标人对涉保信息的进一步了解都将获得采购代理机构的同意与配合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1.3投标人承诺，若中标，所有涉及城乡居民的投保信息、无锡市区居家养老服务机构的投保信息等都将严格保密，仅限内部操作使用，任何涉保信息的泄露，均为违约行为并承担相关法律责任。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赔偿处理：保险公司接到保险对象的理赔申请后，对材料齐全、事实清楚，确属养老机构或居家养老服务机构责任范围的，应在30天内给付保险金；对需进一步调查的事故，按服务承诺作出理赔决定；对明显不属于保险责任范围的，应作不予理赔的书面说明。保险公司同时将理赔情况报市民政局备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2.1基本原则：除非有合理和足够的证据证明，保险人不得以任何理由推卸，拖延甚至拒绝被保险人索赔要求，否则其行为构成违约并须承担违约责任；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2.2一旦接到被保险人通知，保险人代表应尽早赶赴事故现场开始初步调查并提出止损建议，被保险人及保险经纪人应予以配合；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2.3发生事故后，保险人应于3个工作日内向被保险人/保险经纪人提交一份针对本次事故完成理赔工作所需经过的程序及需要的事故/损失证明材料；</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2.4当确定事故责任属于赔偿范围，且可以估计损失金额，保险人应在10个工作日内完成至少50%的预付赔款。</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2.5对于虽经被保险人/保险经纪人努力仍无法完成的证据/证明材料提交工作，保险人须予以帮助并不得以此为由推卸、拖延甚至拒绝履行合同责任。</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3.报表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中标保险公司按季度统计汇总理赔数据，及时提交理赔季报和年报，报表格式需报采购人审定。</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中标公司应于每季次月递交理赔资料，包括“保险理赔通知书”和“理赔调查报告”复印件。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3.2相关服务。</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3.2.1投标供应商需要建立专项的服务团队并由专职工作人员负责上门服务，实现被保险人享受保险服务不出门；</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3.2.2制定并落实保险业务培训和宣传方案并做好业务指导。</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4关于保险合同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招标文件与保险单、今后可能产生的批单、书面询问/答疑问和双方往来函电等构成保险合同；构成保险合同的所有文件被认为是一个整体，相互说明、互为补充，如条文含义不明确时，按保险法有关规定办理，当文件间相互矛盾时，以保险合同及本招标文件为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4.2保险人对保险条款进行解释时，只是合同一方的理解，对争议或歧义的裁决应按保险法规定做出有利于被保险人的解释，若仍有争议则以法院判决为准。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4.3关于签订合同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中标单位应当自采购代理机构发出中标通知书起三十日内，与采购人签订书面合同。合同内容应符合采购人的具体要求，并不得对本招标文件有实质性改变。</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b/>
          <w:bCs/>
          <w:color w:val="auto"/>
          <w:sz w:val="24"/>
          <w:szCs w:val="24"/>
          <w:highlight w:val="none"/>
        </w:rPr>
        <w:t xml:space="preserve">.退出机制</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本项目建立风险控制机制，因违反合同约定，或发生其他严重损害被保险人权益的情况，可以提前终止或解除合同，由下一名递补，并依法追究原中标单位责任，退出保险公司应及时做好相关交接手续。</w:t>
      </w:r>
      <w:r/>
    </w:p>
    <w:p>
      <w:pPr>
        <w:ind w:firstLine="482"/>
        <w:spacing w:line="56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6.重新启动招标程序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中标保险公司皆因违反合同约定，严重损害被保险人权益，合同的继续履行将损害国家利益和社会公共利益的，采购人有权终止合同，本项目重新启动招标程序。</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（五）其他要求</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1.1关于保障对象、保险内容和保费标准，如遇政策调整，按照新政策执行。</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中标公司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w:t>
      </w:r>
      <w:r>
        <w:rPr>
          <w:rFonts w:hint="eastAsia" w:ascii="宋体" w:hAnsi="宋体" w:cs="宋体"/>
          <w:color w:val="auto"/>
          <w:sz w:val="24"/>
          <w:szCs w:val="24"/>
          <w:highlight w:val="none"/>
          <w:lang w:eastAsia="zh-CN"/>
        </w:rPr>
        <w:t xml:space="preserve">按照</w:t>
      </w:r>
      <w:r>
        <w:rPr>
          <w:rFonts w:hint="eastAsia" w:ascii="宋体" w:hAnsi="宋体" w:cs="宋体"/>
          <w:color w:val="auto"/>
          <w:sz w:val="24"/>
          <w:szCs w:val="24"/>
          <w:highlight w:val="none"/>
        </w:rPr>
        <w:t xml:space="preserve">《中华人民共和国政府采购法》第七十七条的相关办法处理。</w:t>
      </w:r>
      <w:bookmarkStart w:id="146" w:name="_Hlk62691437"/>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1.4中标公司不得将项目整体或部分进行转包或分包，且不得让第三方公司采用挂靠中标供应商的方式承担服务工作。</w:t>
      </w:r>
      <w:bookmarkEnd w:id="146"/>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p>
    <w:p>
      <w:pPr>
        <w:pStyle w:val="1160"/>
        <w:ind w:firstLine="602"/>
        <w:spacing w:before="0" w:after="0"/>
        <w:rPr>
          <w:rFonts w:cs="Arial"/>
          <w:b/>
          <w:color w:val="auto"/>
          <w:sz w:val="30"/>
          <w:szCs w:val="30"/>
          <w:highlight w:val="none"/>
        </w:rPr>
      </w:pPr>
      <w:r>
        <w:rPr>
          <w:rFonts w:hint="eastAsia" w:cs="Arial"/>
          <w:b/>
          <w:color w:val="auto"/>
          <w:sz w:val="30"/>
          <w:szCs w:val="30"/>
          <w:highlight w:val="none"/>
        </w:rPr>
        <w:t xml:space="preserve">第一部分评标方法</w:t>
      </w:r>
      <w:r/>
    </w:p>
    <w:p>
      <w:pPr>
        <w:pStyle w:val="1160"/>
        <w:spacing w:before="0" w:after="0"/>
        <w:rPr>
          <w:rFonts w:cs="Arial"/>
          <w:color w:val="auto"/>
          <w:highlight w:val="none"/>
        </w:rPr>
      </w:pPr>
      <w:r>
        <w:rPr>
          <w:rFonts w:hint="eastAsia" w:cs="Arial"/>
          <w:color w:val="auto"/>
          <w:highlight w:val="none"/>
        </w:rPr>
        <w:t xml:space="preserve">投标人通过初审的，方可进入比较与评价程序。</w:t>
      </w:r>
      <w:r/>
    </w:p>
    <w:p>
      <w:pPr>
        <w:pStyle w:val="1160"/>
        <w:spacing w:before="0" w:after="0"/>
        <w:rPr>
          <w:rFonts w:cs="Arial"/>
          <w:color w:val="auto"/>
          <w:highlight w:val="none"/>
        </w:rPr>
      </w:pPr>
      <w:r>
        <w:rPr>
          <w:rFonts w:hint="eastAsia" w:cs="Arial"/>
          <w:color w:val="auto"/>
          <w:highlight w:val="none"/>
        </w:rPr>
        <w:t xml:space="preserve">比较与评价采用综合评分法。</w:t>
      </w:r>
      <w:r/>
    </w:p>
    <w:p>
      <w:pPr>
        <w:pStyle w:val="1160"/>
        <w:spacing w:before="0" w:after="0"/>
        <w:rPr>
          <w:rFonts w:hint="eastAsia" w:ascii="宋体" w:hAnsi="宋体" w:eastAsia="宋体" w:cs="Times New Roman"/>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eastAsia="宋体" w:cs="Times New Roman"/>
          <w:bCs/>
          <w:color w:val="auto"/>
          <w:highlight w:val="none"/>
        </w:rPr>
        <w:t xml:space="preserve">3名中标候选人。</w:t>
      </w:r>
      <w:r/>
    </w:p>
    <w:p>
      <w:pPr>
        <w:pStyle w:val="1160"/>
        <w:spacing w:before="0" w:after="0"/>
        <w:rPr>
          <w:rFonts w:hint="eastAsia" w:ascii="宋体" w:hAnsi="宋体" w:eastAsia="宋体" w:cs="Times New Roman"/>
          <w:b/>
          <w:bCs w:val="0"/>
          <w:color w:val="auto"/>
          <w:highlight w:val="none"/>
        </w:rPr>
      </w:pPr>
      <w:r>
        <w:rPr>
          <w:rFonts w:hint="eastAsia" w:ascii="宋体" w:hAnsi="宋体" w:eastAsia="宋体" w:cs="Times New Roman"/>
          <w:b/>
          <w:bCs w:val="0"/>
          <w:color w:val="auto"/>
          <w:highlight w:val="none"/>
        </w:rPr>
        <w:t xml:space="preserve">投标人投一个标段或多个标段，最多只能中标其中一个标段，由经评审排名第一的作为中标供应商。多个标段经评审排名均第一的情况下，按投标人在投标文件中承诺的中标优先顺序确定中标标段。如某标段排名第一的投标人已经中标了其他标段，则该标段由排名第二的投标人中标，依次类推。</w:t>
      </w:r>
      <w:r/>
    </w:p>
    <w:p>
      <w:pPr>
        <w:pStyle w:val="1160"/>
        <w:spacing w:before="0" w:after="0"/>
        <w:rPr>
          <w:rFonts w:hint="eastAsia" w:ascii="宋体" w:hAnsi="宋体"/>
          <w:bCs/>
          <w:color w:val="auto"/>
          <w:highlight w:val="none"/>
        </w:rPr>
      </w:pPr>
      <w:r>
        <w:rPr>
          <w:rFonts w:hint="eastAsia" w:ascii="宋体" w:hAnsi="宋体" w:eastAsia="宋体" w:cs="Times New Roman"/>
          <w:bCs/>
          <w:color w:val="auto"/>
          <w:highlight w:val="none"/>
        </w:rPr>
        <w:t xml:space="preserve">提供相同品牌产品且</w:t>
      </w:r>
      <w:r>
        <w:rPr>
          <w:rFonts w:hint="eastAsia" w:ascii="宋体" w:hAnsi="宋体"/>
          <w:bCs/>
          <w:color w:val="auto"/>
          <w:highlight w:val="none"/>
        </w:rPr>
        <w:t xml:space="preserve">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60"/>
        <w:spacing w:before="0" w:after="0"/>
        <w:rPr>
          <w:rFonts w:hint="eastAsia" w:ascii="宋体" w:hAnsi="宋体"/>
          <w:bCs/>
          <w:color w:val="auto"/>
          <w:highlight w:val="none"/>
        </w:rPr>
      </w:pPr>
      <w:r>
        <w:rPr>
          <w:rFonts w:hint="eastAsia" w:ascii="宋体" w:hAnsi="宋体"/>
          <w:bCs/>
          <w:color w:val="auto"/>
          <w:highlight w:val="none"/>
        </w:rPr>
      </w:r>
      <w:r/>
    </w:p>
    <w:p>
      <w:pPr>
        <w:jc w:val="left"/>
        <w:spacing w:line="360" w:lineRule="auto"/>
        <w:widowControl/>
        <w:rPr>
          <w:rFonts w:ascii="Arial" w:hAnsi="Arial" w:eastAsia="宋体" w:cs="Arial"/>
          <w:b/>
          <w:color w:val="auto"/>
          <w:sz w:val="30"/>
          <w:szCs w:val="30"/>
          <w:highlight w:val="none"/>
        </w:rPr>
      </w:pPr>
      <w:r>
        <w:rPr>
          <w:rFonts w:cs="Arial"/>
          <w:b/>
          <w:color w:val="auto"/>
          <w:sz w:val="30"/>
          <w:szCs w:val="30"/>
          <w:highlight w:val="none"/>
        </w:rPr>
        <w:br w:type="page" w:clear="all"/>
      </w:r>
      <w:r/>
    </w:p>
    <w:p>
      <w:pPr>
        <w:pStyle w:val="1160"/>
        <w:ind w:firstLine="602"/>
        <w:spacing w:before="0" w:after="0"/>
        <w:rPr>
          <w:rFonts w:cs="Arial"/>
          <w:b/>
          <w:color w:val="auto"/>
          <w:sz w:val="30"/>
          <w:szCs w:val="30"/>
          <w:highlight w:val="none"/>
        </w:rPr>
      </w:pPr>
      <w:r>
        <w:rPr>
          <w:rFonts w:hint="eastAsia" w:cs="Arial"/>
          <w:b/>
          <w:color w:val="auto"/>
          <w:sz w:val="30"/>
          <w:szCs w:val="30"/>
          <w:highlight w:val="none"/>
        </w:rPr>
        <w:t xml:space="preserve">第二部分评标标准</w:t>
      </w:r>
      <w:r/>
    </w:p>
    <w:p>
      <w:pPr>
        <w:pStyle w:val="1160"/>
        <w:ind w:firstLine="562"/>
        <w:spacing w:before="0" w:after="0"/>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bCs/>
          <w:color w:val="auto"/>
          <w:sz w:val="24"/>
          <w:szCs w:val="24"/>
          <w:highlight w:val="none"/>
          <w:lang w:eastAsia="zh-CN"/>
        </w:rPr>
        <w:t xml:space="preserve">〔2014〕68号</w:t>
      </w:r>
      <w:r>
        <w:rPr>
          <w:rFonts w:hint="eastAsia" w:ascii="宋体" w:hAnsi="宋体"/>
          <w:bCs/>
          <w:color w:val="auto"/>
          <w:sz w:val="24"/>
          <w:szCs w:val="24"/>
          <w:highlight w:val="none"/>
        </w:rPr>
        <w:t xml:space="preserve">）的规定提供由省级以上监狱管理局、戒毒管理局</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含新疆生产建设兵团</w:t>
      </w:r>
      <w:r>
        <w:rPr>
          <w:rFonts w:hint="eastAsia" w:ascii="宋体" w:hAnsi="宋体" w:eastAsia="宋体"/>
          <w:bCs/>
          <w:color w:val="auto"/>
          <w:sz w:val="24"/>
          <w:szCs w:val="24"/>
          <w:highlight w:val="none"/>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jc w:val="left"/>
        <w:spacing w:line="360" w:lineRule="auto"/>
        <w:widowControl/>
        <w:rPr>
          <w:rFonts w:ascii="宋体" w:hAnsi="宋体" w:eastAsia="宋体" w:cs="Times New Roman"/>
          <w:b/>
          <w:color w:val="auto"/>
          <w:sz w:val="28"/>
          <w:szCs w:val="28"/>
          <w:highlight w:val="none"/>
        </w:rPr>
      </w:pPr>
      <w:r>
        <w:rPr>
          <w:rFonts w:ascii="宋体" w:hAnsi="宋体"/>
          <w:b/>
          <w:color w:val="auto"/>
          <w:sz w:val="28"/>
          <w:szCs w:val="28"/>
          <w:highlight w:val="none"/>
        </w:rPr>
        <w:br w:type="page" w:clear="all"/>
      </w:r>
      <w:r/>
    </w:p>
    <w:p>
      <w:pPr>
        <w:pStyle w:val="1160"/>
        <w:numPr>
          <w:ilvl w:val="0"/>
          <w:numId w:val="9"/>
        </w:numPr>
        <w:ind w:firstLine="360"/>
        <w:spacing w:before="0" w:after="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评分标准</w:t>
      </w:r>
      <w:r/>
    </w:p>
    <w:p>
      <w:pPr>
        <w:spacing w:line="5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（一）商务标部分（满分37分）</w:t>
      </w:r>
      <w:r/>
    </w:p>
    <w:p>
      <w:pPr>
        <w:ind w:firstLine="482"/>
        <w:spacing w:line="540" w:lineRule="exact"/>
        <w:tabs>
          <w:tab w:val="left" w:pos="426" w:leader="none"/>
        </w:tabs>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color w:val="auto"/>
          <w:sz w:val="24"/>
          <w:szCs w:val="24"/>
          <w:highlight w:val="none"/>
        </w:rPr>
        <w:t xml:space="preserve">价格分部分根据《政府采购货物和服务招标投标管理办法》财政部第87号令第五十五条规定，“执行国家统一定价标准和采用固定价格采购的项目，其价格不列为评分因素”。</w:t>
      </w:r>
      <w:r/>
    </w:p>
    <w:p>
      <w:pPr>
        <w:ind w:firstLine="480"/>
        <w:spacing w:line="540" w:lineRule="exact"/>
        <w:tabs>
          <w:tab w:val="left" w:pos="42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本项目保险保费为固定价格，即：养老机构综合责任保险保费100元/人/年；养老机构入住老年人意外伤害保险保费90元/人/保险周期，居家养老服务机构综合责任保险保费300元/家/年。</w:t>
      </w:r>
      <w:r/>
    </w:p>
    <w:p>
      <w:pPr>
        <w:ind w:firstLine="480"/>
        <w:spacing w:line="540" w:lineRule="exact"/>
        <w:tabs>
          <w:tab w:val="left" w:pos="42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2、业务经验（10分）</w:t>
      </w:r>
      <w:r/>
    </w:p>
    <w:p>
      <w:pPr>
        <w:ind w:firstLine="480"/>
        <w:spacing w:line="540" w:lineRule="exact"/>
        <w:tabs>
          <w:tab w:val="left" w:pos="42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1）2021年1月1日以来，投标单位总公司系统内已经完成或正在履行的类似保险类项目（5分）：</w:t>
      </w:r>
      <w:r/>
    </w:p>
    <w:p>
      <w:pPr>
        <w:ind w:firstLine="480"/>
        <w:spacing w:line="540" w:lineRule="exact"/>
        <w:tabs>
          <w:tab w:val="left" w:pos="42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以中标通知书或保险合同的扫描件为准，分支机构（含无锡市）每承保一个市级及以上项目得2分、县区级项目得1分，最高得5分，未提供不得分。</w:t>
      </w:r>
      <w:r/>
    </w:p>
    <w:p>
      <w:pPr>
        <w:ind w:firstLine="480"/>
        <w:spacing w:line="540" w:lineRule="exact"/>
        <w:tabs>
          <w:tab w:val="left" w:pos="42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2）2021年1月1日以来投标单位参与类似的社会民生保障类项目（5分）；</w:t>
      </w:r>
      <w:r/>
    </w:p>
    <w:p>
      <w:pPr>
        <w:ind w:firstLine="480"/>
        <w:spacing w:line="540" w:lineRule="exact"/>
        <w:tabs>
          <w:tab w:val="left" w:pos="42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以中标通知书或保险合同的扫描件为准，其中独家或首席承保的有一项得2分，作为共保体成员承保的得1分，最高得5分，未提供不得分</w:t>
      </w:r>
      <w:r/>
    </w:p>
    <w:p>
      <w:pPr>
        <w:ind w:firstLine="480"/>
        <w:spacing w:line="540" w:lineRule="exact"/>
        <w:tabs>
          <w:tab w:val="left" w:pos="42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同一项目不能重复得分。</w:t>
      </w:r>
      <w:r/>
    </w:p>
    <w:p>
      <w:pPr>
        <w:pStyle w:val="1194"/>
        <w:ind w:firstLine="482"/>
        <w:spacing w:line="540" w:lineRule="exact"/>
        <w:rPr>
          <w:rFonts w:hint="eastAsia" w:ascii="宋体" w:hAnsi="宋体" w:cs="宋体"/>
          <w:b/>
          <w:bCs/>
          <w:color w:val="auto"/>
          <w:sz w:val="24"/>
          <w:szCs w:val="24"/>
          <w:highlight w:val="none"/>
          <w:lang w:val="en-US"/>
        </w:rPr>
      </w:pPr>
      <w:r>
        <w:rPr>
          <w:rFonts w:hint="eastAsia" w:ascii="宋体" w:hAnsi="宋体" w:cs="宋体"/>
          <w:b/>
          <w:bCs/>
          <w:color w:val="auto"/>
          <w:sz w:val="24"/>
          <w:szCs w:val="24"/>
          <w:highlight w:val="none"/>
          <w:lang w:val="en-US"/>
        </w:rPr>
        <w:t xml:space="preserve">3、团队配置（5分）</w:t>
      </w:r>
      <w:r/>
    </w:p>
    <w:p>
      <w:pPr>
        <w:ind w:firstLine="506"/>
        <w:spacing w:line="5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拟为本项目配备的专职人员从事保险服务工作满5年的，有一人得1分，本项共5分。（投标文件中提供相关毕业证书及相关证明材料扫描件加盖投标供应商公章，并提供该人员与本企业签订的劳动合同和由有关部门出具的最近六个月中任意一个月的社保缴费证明，不提供或提供不全的不得分）</w:t>
      </w:r>
      <w:r/>
    </w:p>
    <w:p>
      <w:pPr>
        <w:contextualSpacing/>
        <w:ind w:firstLine="482"/>
        <w:spacing w:line="540" w:lineRule="exact"/>
        <w:tabs>
          <w:tab w:val="left" w:pos="840" w:leader="none"/>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4、偿付能力（6分）</w:t>
      </w:r>
      <w:r/>
    </w:p>
    <w:p>
      <w:pPr>
        <w:ind w:firstLine="506"/>
        <w:spacing w:line="5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总公司2023年度偿付能力充足率（6分）：偿付能力﹤100%，不得分；100%≤偿付能力﹤200%，得3分；偿付能力≥200%，得6分。投标时需提供相关证明材料扫描件加盖供应商公章放入响应文件内，不提供不得分。</w:t>
      </w:r>
      <w:r/>
    </w:p>
    <w:p>
      <w:pPr>
        <w:contextualSpacing/>
        <w:ind w:firstLine="482"/>
        <w:spacing w:line="540" w:lineRule="exact"/>
        <w:tabs>
          <w:tab w:val="left" w:pos="840" w:leader="none"/>
          <w:tab w:val="left" w:pos="105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5、网点分布（5分）</w:t>
      </w:r>
      <w:r/>
    </w:p>
    <w:p>
      <w:pPr>
        <w:contextualSpacing/>
        <w:ind w:firstLine="480"/>
        <w:spacing w:line="540" w:lineRule="exact"/>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以供应商提供的营业执照为准，分支机构有1个得1分，经营部有一个得1分，本项最高得5分。投标时须提供相关证明材料，</w:t>
      </w:r>
      <w:r>
        <w:rPr>
          <w:rFonts w:hint="eastAsia" w:ascii="宋体" w:hAnsi="宋体" w:cs="宋体"/>
          <w:color w:val="auto"/>
          <w:sz w:val="24"/>
          <w:szCs w:val="24"/>
          <w:highlight w:val="none"/>
        </w:rPr>
        <w:t xml:space="preserve">扫描件</w:t>
      </w:r>
      <w:r>
        <w:rPr>
          <w:rFonts w:hint="eastAsia" w:ascii="宋体" w:hAnsi="宋体" w:cs="宋体"/>
          <w:bCs/>
          <w:color w:val="auto"/>
          <w:sz w:val="24"/>
          <w:szCs w:val="24"/>
          <w:highlight w:val="none"/>
        </w:rPr>
        <w:t xml:space="preserve">加盖公章放入投标文件中，不提供或提供不符合要求均不得分。</w:t>
      </w:r>
      <w:r/>
    </w:p>
    <w:p>
      <w:pPr>
        <w:ind w:firstLine="482"/>
        <w:spacing w:line="5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6、保障限额（11分）</w:t>
      </w:r>
      <w:r/>
    </w:p>
    <w:p>
      <w:pPr>
        <w:pStyle w:val="746"/>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投标供应商在满足采购需求的理赔限额的基础上，对本项目三种保险的可竞争部分报价（即最高赔偿限额）做出承诺。</w:t>
      </w:r>
      <w:r/>
    </w:p>
    <w:p>
      <w:pPr>
        <w:pStyle w:val="746"/>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无锡市养老机构综合责任保险部分（4分）：针对死亡、伤残赔偿限额和其他分项赔偿限额，承诺赔偿限额每增加10%，得1分，本项最高得4分。</w:t>
      </w:r>
      <w:r/>
    </w:p>
    <w:p>
      <w:pPr>
        <w:pStyle w:val="746"/>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养老机构入住老年人意外伤害保险部分（4分）：针对意外身故保险金和其他分项赔偿限额，承诺赔偿限额每增加10%，得1分，本项最高得4分。</w:t>
      </w:r>
      <w:r/>
    </w:p>
    <w:p>
      <w:pPr>
        <w:pStyle w:val="746"/>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居家养老服务机构综合责任保险部分（3分）：针对死亡、伤残赔偿限额和其他分项赔偿限额，承诺赔偿限额每增加10%，得1分，本项最高得3分。</w:t>
      </w:r>
      <w:r/>
    </w:p>
    <w:p>
      <w:pPr>
        <w:pStyle w:val="746"/>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投标时须提供相应承诺书并加盖公章，承诺书格式自拟，承诺内容包括但不限于本项目内容（注：供应商如承诺增加最高赔偿限额，需写明险种名称和理赔限额），不提供或提供不符合要求均不得分。</w:t>
      </w:r>
      <w:r/>
    </w:p>
    <w:p>
      <w:pPr>
        <w:spacing w:line="5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（二）技术标服务方案部分（满分63分） </w:t>
      </w:r>
      <w:r/>
    </w:p>
    <w:p>
      <w:pPr>
        <w:pStyle w:val="747"/>
        <w:ind w:left="0" w:firstLine="723"/>
        <w:spacing w:line="54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1、总体方案（8分）</w:t>
      </w:r>
      <w:r/>
    </w:p>
    <w:p>
      <w:pPr>
        <w:pStyle w:val="747"/>
        <w:ind w:left="0" w:firstLine="720"/>
        <w:spacing w:line="54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包括</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三险的认识和分析（2分）、保险产品设计思路（2分）、保险采购模式（2分）、保障措施和分支机构落地服务方案（2分）等。</w:t>
      </w:r>
      <w:r>
        <w:rPr>
          <w:rFonts w:hint="default" w:ascii="宋体" w:hAnsi="宋体" w:cs="宋体"/>
          <w:color w:val="auto"/>
          <w:sz w:val="24"/>
          <w:szCs w:val="24"/>
          <w:highlight w:val="none"/>
          <w:lang w:val="en-US" w:eastAsia="zh-CN"/>
        </w:rPr>
        <w:t xml:space="preserve">内容需描述合理、详细、切实可行有效，每有一项内容进行了阐述且满足采购需求的得2分；内容描述比较合理详细，对每一项内容均进行基本的阐述的，得1.5分；内容描述有待完善，或内容描述有缺项漏项的得1分；未进行阐述或不满足采购需求的不得分。</w:t>
      </w:r>
      <w:r/>
    </w:p>
    <w:p>
      <w:pPr>
        <w:ind w:firstLine="482"/>
        <w:spacing w:line="540" w:lineRule="exact"/>
        <w:tabs>
          <w:tab w:val="left" w:pos="840" w:leader="none"/>
          <w:tab w:val="left" w:pos="1050" w:leader="none"/>
          <w:tab w:val="left" w:pos="1418"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2、承保服务方案（</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pStyle w:val="747"/>
        <w:ind w:left="0" w:firstLine="720"/>
        <w:spacing w:line="5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包括：承保</w:t>
      </w:r>
      <w:r>
        <w:rPr>
          <w:rFonts w:hint="eastAsia" w:ascii="宋体" w:hAnsi="宋体" w:cs="宋体"/>
          <w:color w:val="auto"/>
          <w:sz w:val="24"/>
          <w:szCs w:val="24"/>
          <w:highlight w:val="none"/>
        </w:rPr>
        <w:t xml:space="preserve">服务范围</w:t>
      </w:r>
      <w:r>
        <w:rPr>
          <w:rFonts w:hint="eastAsia" w:ascii="宋体" w:hAnsi="宋体" w:cs="宋体"/>
          <w:color w:val="auto"/>
          <w:sz w:val="24"/>
          <w:szCs w:val="24"/>
          <w:highlight w:val="none"/>
          <w:lang w:val="en-US" w:eastAsia="zh-CN"/>
        </w:rPr>
        <w:t xml:space="preserve">和</w:t>
      </w:r>
      <w:r>
        <w:rPr>
          <w:rFonts w:hint="eastAsia" w:ascii="宋体" w:hAnsi="宋体" w:cs="宋体"/>
          <w:color w:val="auto"/>
          <w:sz w:val="24"/>
          <w:szCs w:val="24"/>
          <w:highlight w:val="none"/>
        </w:rPr>
        <w:t xml:space="preserve">服务内容</w:t>
      </w:r>
      <w:r>
        <w:rPr>
          <w:rFonts w:hint="eastAsia" w:ascii="宋体" w:hAnsi="宋体" w:cs="宋体"/>
          <w:color w:val="auto"/>
          <w:sz w:val="24"/>
          <w:szCs w:val="24"/>
          <w:highlight w:val="none"/>
          <w:lang w:val="en-US" w:eastAsia="zh-CN"/>
        </w:rPr>
        <w:t xml:space="preserve">分析（3分）</w:t>
      </w:r>
      <w:r>
        <w:rPr>
          <w:rFonts w:hint="eastAsia" w:ascii="宋体" w:hAnsi="宋体" w:cs="宋体"/>
          <w:color w:val="auto"/>
          <w:sz w:val="24"/>
          <w:szCs w:val="24"/>
          <w:highlight w:val="none"/>
        </w:rPr>
        <w:t xml:space="preserve">、服务对象</w:t>
      </w:r>
      <w:r>
        <w:rPr>
          <w:rFonts w:hint="eastAsia" w:ascii="宋体" w:hAnsi="宋体" w:cs="宋体"/>
          <w:color w:val="auto"/>
          <w:sz w:val="24"/>
          <w:szCs w:val="24"/>
          <w:highlight w:val="none"/>
          <w:lang w:val="en-US" w:eastAsia="zh-CN"/>
        </w:rPr>
        <w:t xml:space="preserve">分析（3分）</w:t>
      </w: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报价供应商须针对每条内容进行阐述。</w:t>
      </w:r>
      <w:r/>
    </w:p>
    <w:p>
      <w:pPr>
        <w:ind w:firstLine="480"/>
        <w:spacing w:line="540" w:lineRule="exact"/>
        <w:tabs>
          <w:tab w:val="left" w:pos="840" w:leader="none"/>
          <w:tab w:val="left" w:pos="1050" w:leader="none"/>
          <w:tab w:val="left" w:pos="1418" w:leader="none"/>
        </w:tabs>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内容需描述合理、详细，每有一项内容进行了阐述且满足采购需求的得</w:t>
      </w:r>
      <w:r>
        <w:rPr>
          <w:rFonts w:hint="eastAsia" w:ascii="宋体" w:hAnsi="宋体" w:cs="宋体"/>
          <w:color w:val="auto"/>
          <w:sz w:val="24"/>
          <w:szCs w:val="24"/>
          <w:highlight w:val="none"/>
          <w:lang w:val="en-US" w:eastAsia="zh-CN"/>
        </w:rPr>
        <w:t xml:space="preserve">3</w:t>
      </w:r>
      <w:r>
        <w:rPr>
          <w:rFonts w:hint="default" w:ascii="宋体" w:hAnsi="宋体" w:cs="宋体"/>
          <w:color w:val="auto"/>
          <w:sz w:val="24"/>
          <w:szCs w:val="24"/>
          <w:highlight w:val="none"/>
          <w:lang w:val="en-US" w:eastAsia="zh-CN"/>
        </w:rPr>
        <w:t xml:space="preserve">分；内容描述比较合理详细，对每一项内容均进行基本的阐述的，得</w:t>
      </w:r>
      <w:r>
        <w:rPr>
          <w:rFonts w:hint="eastAsia" w:ascii="宋体" w:hAnsi="宋体" w:cs="宋体"/>
          <w:color w:val="auto"/>
          <w:sz w:val="24"/>
          <w:szCs w:val="24"/>
          <w:highlight w:val="none"/>
          <w:lang w:val="en-US" w:eastAsia="zh-CN"/>
        </w:rPr>
        <w:t xml:space="preserve">2</w:t>
      </w:r>
      <w:r>
        <w:rPr>
          <w:rFonts w:hint="default" w:ascii="宋体" w:hAnsi="宋体" w:cs="宋体"/>
          <w:color w:val="auto"/>
          <w:sz w:val="24"/>
          <w:szCs w:val="24"/>
          <w:highlight w:val="none"/>
          <w:lang w:val="en-US" w:eastAsia="zh-CN"/>
        </w:rPr>
        <w:t xml:space="preserve">分；内容描述有待完善，或内容描述有缺项漏项的得1分；未进行阐述或不满足采购需求的不得分。</w:t>
      </w:r>
      <w:r/>
    </w:p>
    <w:p>
      <w:pPr>
        <w:ind w:firstLine="482"/>
        <w:spacing w:line="540" w:lineRule="exact"/>
        <w:tabs>
          <w:tab w:val="left" w:pos="840" w:leader="none"/>
          <w:tab w:val="left" w:pos="1050" w:leader="none"/>
          <w:tab w:val="left" w:pos="1418"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3、理赔服务方案（</w:t>
      </w: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rPr>
        <w:t xml:space="preserve">分）</w:t>
      </w:r>
      <w:r/>
    </w:p>
    <w:p>
      <w:pPr>
        <w:ind w:firstLine="60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①理赔制度设置（5分）</w:t>
      </w:r>
      <w:r/>
    </w:p>
    <w:p>
      <w:pPr>
        <w:pStyle w:val="747"/>
        <w:ind w:left="0" w:firstLine="720"/>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理赔制度</w:t>
      </w:r>
      <w:r>
        <w:rPr>
          <w:rFonts w:hint="eastAsia" w:ascii="宋体" w:hAnsi="宋体" w:cs="宋体"/>
          <w:bCs/>
          <w:color w:val="auto"/>
          <w:sz w:val="24"/>
          <w:szCs w:val="24"/>
          <w:highlight w:val="none"/>
        </w:rPr>
        <w:t xml:space="preserve">设置</w:t>
      </w:r>
      <w:r>
        <w:rPr>
          <w:rFonts w:hint="eastAsia" w:ascii="宋体" w:hAnsi="宋体" w:cs="宋体"/>
          <w:color w:val="auto"/>
          <w:sz w:val="24"/>
          <w:szCs w:val="24"/>
          <w:highlight w:val="none"/>
        </w:rPr>
        <w:t xml:space="preserve">内容详尽，表述完全符合项目要求的得5分；</w:t>
      </w:r>
      <w:r/>
    </w:p>
    <w:p>
      <w:pPr>
        <w:pStyle w:val="747"/>
        <w:ind w:left="0" w:firstLine="720"/>
        <w:spacing w:line="5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理赔制度设置</w:t>
      </w:r>
      <w:r>
        <w:rPr>
          <w:rFonts w:hint="eastAsia" w:ascii="宋体" w:hAnsi="宋体" w:cs="宋体"/>
          <w:color w:val="auto"/>
          <w:sz w:val="24"/>
          <w:szCs w:val="24"/>
          <w:highlight w:val="none"/>
        </w:rPr>
        <w:t xml:space="preserve">内容较好，表述较符合项目要求的得3分；</w:t>
      </w:r>
      <w:r/>
    </w:p>
    <w:p>
      <w:pPr>
        <w:pStyle w:val="747"/>
        <w:ind w:left="0" w:firstLine="720"/>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理赔</w:t>
      </w:r>
      <w:r>
        <w:rPr>
          <w:rFonts w:hint="eastAsia" w:ascii="宋体" w:hAnsi="宋体" w:cs="宋体"/>
          <w:bCs/>
          <w:color w:val="auto"/>
          <w:sz w:val="24"/>
          <w:szCs w:val="24"/>
          <w:highlight w:val="none"/>
        </w:rPr>
        <w:t xml:space="preserve">制度设置</w:t>
      </w:r>
      <w:r>
        <w:rPr>
          <w:rFonts w:hint="eastAsia" w:ascii="宋体" w:hAnsi="宋体" w:cs="宋体"/>
          <w:color w:val="auto"/>
          <w:sz w:val="24"/>
          <w:szCs w:val="24"/>
          <w:highlight w:val="none"/>
        </w:rPr>
        <w:t xml:space="preserve">内容一般，表述与项目要求相比一般得1分；</w:t>
      </w:r>
      <w:r/>
    </w:p>
    <w:p>
      <w:pPr>
        <w:pStyle w:val="747"/>
        <w:ind w:left="0" w:firstLine="720"/>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未提供的不得分。</w:t>
      </w:r>
      <w:r/>
    </w:p>
    <w:p>
      <w:pPr>
        <w:ind w:firstLine="600"/>
        <w:spacing w:line="540" w:lineRule="exact"/>
        <w:tabs>
          <w:tab w:val="left" w:pos="840"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bCs/>
          <w:color w:val="auto"/>
          <w:sz w:val="24"/>
          <w:szCs w:val="24"/>
          <w:highlight w:val="none"/>
        </w:rPr>
        <w:t xml:space="preserve">理赔</w:t>
      </w:r>
      <w:r>
        <w:rPr>
          <w:rFonts w:hint="eastAsia" w:ascii="宋体" w:hAnsi="宋体" w:cs="宋体"/>
          <w:color w:val="auto"/>
          <w:sz w:val="24"/>
          <w:szCs w:val="24"/>
          <w:highlight w:val="none"/>
        </w:rPr>
        <w:t xml:space="preserve">服务团队</w:t>
      </w:r>
      <w:r>
        <w:rPr>
          <w:rFonts w:hint="eastAsia" w:ascii="宋体" w:hAnsi="宋体" w:cs="宋体"/>
          <w:color w:val="auto"/>
          <w:sz w:val="24"/>
          <w:szCs w:val="24"/>
          <w:highlight w:val="none"/>
          <w:lang w:val="en-US" w:eastAsia="zh-CN"/>
        </w:rPr>
        <w:t xml:space="preserve">配置</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ind w:firstLine="600"/>
        <w:spacing w:line="540" w:lineRule="exact"/>
        <w:tabs>
          <w:tab w:val="left" w:pos="840" w:leader="none"/>
          <w:tab w:val="left" w:pos="1050" w:leader="none"/>
        </w:tabs>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包括：</w:t>
      </w:r>
      <w:r>
        <w:rPr>
          <w:rFonts w:hint="eastAsia" w:ascii="宋体" w:hAnsi="宋体" w:cs="宋体"/>
          <w:color w:val="auto"/>
          <w:sz w:val="24"/>
          <w:szCs w:val="24"/>
          <w:highlight w:val="none"/>
        </w:rPr>
        <w:t xml:space="preserve">团队配置合理性</w:t>
      </w:r>
      <w:r>
        <w:rPr>
          <w:rFonts w:hint="eastAsia" w:ascii="宋体" w:hAnsi="宋体" w:cs="宋体"/>
          <w:color w:val="auto"/>
          <w:sz w:val="24"/>
          <w:szCs w:val="24"/>
          <w:highlight w:val="none"/>
          <w:lang w:val="en-US" w:eastAsia="zh-CN"/>
        </w:rPr>
        <w:t xml:space="preserve">（2分）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人员配置及职责安排（2分）</w:t>
      </w:r>
      <w:r/>
    </w:p>
    <w:p>
      <w:pPr>
        <w:ind w:left="0" w:right="0" w:firstLine="720"/>
        <w:jc w:val="both"/>
        <w:spacing w:before="210" w:after="21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理赔服务团队经验丰富、职责分工明确的，该项得2分；理赔服务团队经验较丰富、职责分工较明确的，该项得1.5分；理赔服务团队经验一般、职责分工一般的，该项得1分；未提供不得分。</w:t>
      </w:r>
      <w:r/>
      <w:r>
        <w:rPr>
          <w:rFonts w:hint="eastAsia" w:ascii="宋体" w:hAnsi="宋体" w:cs="宋体"/>
          <w:bCs/>
          <w:color w:val="auto"/>
          <w:sz w:val="24"/>
          <w:szCs w:val="24"/>
          <w:highlight w:val="none"/>
        </w:rPr>
      </w:r>
      <w:r/>
      <w:r>
        <w:rPr>
          <w:sz w:val="21"/>
        </w:rPr>
      </w:r>
    </w:p>
    <w:p>
      <w:pPr>
        <w:ind w:firstLine="600"/>
        <w:spacing w:line="560" w:lineRule="exact"/>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③</w:t>
      </w:r>
      <w:r>
        <w:rPr>
          <w:rFonts w:hint="eastAsia" w:ascii="宋体" w:hAnsi="宋体" w:cs="宋体"/>
          <w:bCs/>
          <w:color w:val="auto"/>
          <w:sz w:val="24"/>
          <w:szCs w:val="24"/>
          <w:highlight w:val="none"/>
        </w:rPr>
        <w:t xml:space="preserve">理赔服务承诺（5分）</w:t>
      </w:r>
      <w:r/>
    </w:p>
    <w:p>
      <w:pPr>
        <w:pStyle w:val="747"/>
        <w:ind w:left="1078" w:hanging="480"/>
        <w:spacing w:line="5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理赔服务承诺</w:t>
      </w:r>
      <w:r>
        <w:rPr>
          <w:rFonts w:hint="eastAsia" w:ascii="宋体" w:hAnsi="宋体" w:cs="宋体"/>
          <w:color w:val="auto"/>
          <w:sz w:val="24"/>
          <w:szCs w:val="24"/>
          <w:highlight w:val="none"/>
        </w:rPr>
        <w:t xml:space="preserve">内容详尽，表述完全符合项目要求的</w:t>
      </w:r>
      <w:r>
        <w:rPr>
          <w:rFonts w:hint="eastAsia" w:ascii="宋体" w:hAnsi="宋体" w:cs="宋体"/>
          <w:bCs/>
          <w:color w:val="auto"/>
          <w:sz w:val="24"/>
          <w:szCs w:val="24"/>
          <w:highlight w:val="none"/>
        </w:rPr>
        <w:t xml:space="preserve">得5分；</w:t>
      </w:r>
      <w:r/>
    </w:p>
    <w:p>
      <w:pPr>
        <w:pStyle w:val="747"/>
        <w:ind w:left="1078" w:hanging="480"/>
        <w:spacing w:line="5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理赔服务承诺</w:t>
      </w:r>
      <w:r>
        <w:rPr>
          <w:rFonts w:hint="eastAsia" w:ascii="宋体" w:hAnsi="宋体" w:cs="宋体"/>
          <w:color w:val="auto"/>
          <w:sz w:val="24"/>
          <w:szCs w:val="24"/>
          <w:highlight w:val="none"/>
        </w:rPr>
        <w:t xml:space="preserve">内容较好，表述较符合项目要求的</w:t>
      </w:r>
      <w:r>
        <w:rPr>
          <w:rFonts w:hint="eastAsia" w:ascii="宋体" w:hAnsi="宋体" w:cs="宋体"/>
          <w:bCs/>
          <w:color w:val="auto"/>
          <w:sz w:val="24"/>
          <w:szCs w:val="24"/>
          <w:highlight w:val="none"/>
        </w:rPr>
        <w:t xml:space="preserve">得3分；</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理赔服务承诺内容一般，表述较符合项目要求相比一般的得1分；</w:t>
      </w:r>
      <w:r/>
    </w:p>
    <w:p>
      <w:pPr>
        <w:ind w:firstLine="600"/>
        <w:spacing w:line="560" w:lineRule="exact"/>
        <w:tabs>
          <w:tab w:val="left" w:pos="840" w:leader="none"/>
          <w:tab w:val="left" w:pos="105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未提供不得分。</w:t>
      </w:r>
      <w:r/>
    </w:p>
    <w:p>
      <w:pPr>
        <w:ind w:firstLine="600"/>
        <w:spacing w:line="560" w:lineRule="exact"/>
        <w:tabs>
          <w:tab w:val="left" w:pos="840"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④理赔业务管理</w:t>
      </w:r>
      <w:r>
        <w:rPr>
          <w:rFonts w:hint="eastAsia" w:ascii="宋体" w:hAnsi="宋体" w:cs="宋体"/>
          <w:color w:val="auto"/>
          <w:sz w:val="24"/>
          <w:szCs w:val="24"/>
          <w:highlight w:val="none"/>
          <w:lang w:val="en-US" w:eastAsia="zh-CN"/>
        </w:rPr>
        <w:t xml:space="preserve">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pStyle w:val="747"/>
        <w:ind w:left="0" w:firstLine="720"/>
        <w:spacing w:line="5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理赔业务管理</w:t>
      </w:r>
      <w:r>
        <w:rPr>
          <w:rFonts w:hint="eastAsia" w:ascii="宋体" w:hAnsi="宋体" w:cs="宋体"/>
          <w:color w:val="auto"/>
          <w:sz w:val="24"/>
          <w:szCs w:val="24"/>
          <w:highlight w:val="none"/>
        </w:rPr>
        <w:t xml:space="preserve">内容详细完整的</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pStyle w:val="747"/>
        <w:ind w:left="0" w:firstLine="720"/>
        <w:spacing w:line="5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理赔业务管理</w:t>
      </w:r>
      <w:r>
        <w:rPr>
          <w:rFonts w:hint="eastAsia" w:ascii="宋体" w:hAnsi="宋体" w:cs="宋体"/>
          <w:color w:val="auto"/>
          <w:sz w:val="24"/>
          <w:szCs w:val="24"/>
          <w:highlight w:val="none"/>
        </w:rPr>
        <w:t xml:space="preserve">内容较完整的</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p>
    <w:p>
      <w:pPr>
        <w:pStyle w:val="747"/>
        <w:ind w:left="0" w:firstLine="720"/>
        <w:spacing w:line="5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理赔业务管理</w:t>
      </w:r>
      <w:r>
        <w:rPr>
          <w:rFonts w:hint="eastAsia" w:ascii="宋体" w:hAnsi="宋体" w:cs="宋体"/>
          <w:color w:val="auto"/>
          <w:sz w:val="24"/>
          <w:szCs w:val="24"/>
          <w:highlight w:val="none"/>
        </w:rPr>
        <w:t xml:space="preserve">内容</w:t>
      </w:r>
      <w:r>
        <w:rPr>
          <w:rFonts w:hint="eastAsia" w:ascii="宋体" w:hAnsi="宋体" w:cs="宋体"/>
          <w:bCs/>
          <w:color w:val="auto"/>
          <w:sz w:val="24"/>
          <w:szCs w:val="24"/>
          <w:highlight w:val="none"/>
        </w:rPr>
        <w:t xml:space="preserve">一般的得1分；</w:t>
      </w:r>
      <w:r/>
    </w:p>
    <w:p>
      <w:pPr>
        <w:pStyle w:val="747"/>
        <w:ind w:left="0" w:firstLine="72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未提供不得分。</w:t>
      </w:r>
      <w:r/>
    </w:p>
    <w:p>
      <w:pPr>
        <w:numPr>
          <w:ilvl w:val="0"/>
          <w:numId w:val="10"/>
        </w:numPr>
        <w:ind w:firstLine="482"/>
        <w:spacing w:line="540" w:lineRule="exact"/>
        <w:tabs>
          <w:tab w:val="left" w:pos="840" w:leader="none"/>
          <w:tab w:val="left" w:pos="1050" w:leader="none"/>
          <w:tab w:val="left" w:pos="1418"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信息</w:t>
      </w:r>
      <w:r>
        <w:rPr>
          <w:rFonts w:hint="eastAsia" w:ascii="宋体" w:hAnsi="宋体" w:cs="宋体"/>
          <w:b/>
          <w:bCs/>
          <w:color w:val="auto"/>
          <w:sz w:val="24"/>
          <w:szCs w:val="24"/>
          <w:highlight w:val="none"/>
          <w:lang w:val="en-US" w:eastAsia="zh-CN"/>
        </w:rPr>
        <w:t xml:space="preserve">安全</w:t>
      </w:r>
      <w:r>
        <w:rPr>
          <w:rFonts w:hint="eastAsia" w:ascii="宋体" w:hAnsi="宋体" w:cs="宋体"/>
          <w:b/>
          <w:bCs/>
          <w:color w:val="auto"/>
          <w:sz w:val="24"/>
          <w:szCs w:val="24"/>
          <w:highlight w:val="none"/>
        </w:rPr>
        <w:t xml:space="preserve">保障方案（</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rPr>
        <w:t xml:space="preserve">分）</w:t>
      </w:r>
      <w:r/>
    </w:p>
    <w:p>
      <w:pPr>
        <w:pStyle w:val="747"/>
        <w:ind w:left="1078" w:hanging="480"/>
        <w:spacing w:line="54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包括：</w:t>
      </w:r>
      <w:r>
        <w:rPr>
          <w:rFonts w:hint="default" w:ascii="宋体" w:hAnsi="宋体" w:cs="宋体"/>
          <w:color w:val="auto"/>
          <w:sz w:val="24"/>
          <w:szCs w:val="24"/>
          <w:highlight w:val="none"/>
          <w:lang w:val="en-US" w:eastAsia="zh-CN"/>
        </w:rPr>
        <w:t xml:space="preserve">针对本项目的符合国家法律法规的数据管理</w:t>
      </w:r>
      <w:r>
        <w:rPr>
          <w:rFonts w:hint="eastAsia" w:ascii="宋体" w:hAnsi="宋体" w:cs="宋体"/>
          <w:color w:val="auto"/>
          <w:sz w:val="24"/>
          <w:szCs w:val="24"/>
          <w:highlight w:val="none"/>
          <w:lang w:val="en-US" w:eastAsia="zh-CN"/>
        </w:rPr>
        <w:t xml:space="preserve">方案（3分）</w:t>
      </w:r>
      <w:r>
        <w:rPr>
          <w:rFonts w:hint="default" w:ascii="宋体" w:hAnsi="宋体" w:cs="宋体"/>
          <w:color w:val="auto"/>
          <w:sz w:val="24"/>
          <w:szCs w:val="24"/>
          <w:highlight w:val="none"/>
          <w:lang w:val="en-US" w:eastAsia="zh-CN"/>
        </w:rPr>
        <w:t xml:space="preserve">和</w:t>
      </w:r>
      <w:r>
        <w:rPr>
          <w:rFonts w:hint="eastAsia" w:ascii="宋体" w:hAnsi="宋体" w:cs="宋体"/>
          <w:color w:val="auto"/>
          <w:sz w:val="24"/>
          <w:szCs w:val="24"/>
          <w:highlight w:val="none"/>
          <w:lang w:val="en-US" w:eastAsia="zh-CN"/>
        </w:rPr>
        <w:t xml:space="preserve">信息</w:t>
      </w:r>
      <w:r>
        <w:rPr>
          <w:rFonts w:hint="default" w:ascii="宋体" w:hAnsi="宋体" w:cs="宋体"/>
          <w:color w:val="auto"/>
          <w:sz w:val="24"/>
          <w:szCs w:val="24"/>
          <w:highlight w:val="none"/>
          <w:lang w:val="en-US" w:eastAsia="zh-CN"/>
        </w:rPr>
        <w:t xml:space="preserve">保密方案</w:t>
      </w:r>
      <w:r>
        <w:rPr>
          <w:rFonts w:hint="eastAsia" w:ascii="宋体" w:hAnsi="宋体" w:cs="宋体"/>
          <w:color w:val="auto"/>
          <w:sz w:val="24"/>
          <w:szCs w:val="24"/>
          <w:highlight w:val="none"/>
          <w:lang w:val="en-US" w:eastAsia="zh-CN"/>
        </w:rPr>
        <w:t xml:space="preserve">（3分）</w:t>
      </w:r>
      <w:r>
        <w:rPr>
          <w:rFonts w:hint="default" w:ascii="宋体" w:hAnsi="宋体" w:cs="宋体"/>
          <w:color w:val="auto"/>
          <w:sz w:val="24"/>
          <w:szCs w:val="24"/>
          <w:highlight w:val="none"/>
          <w:lang w:val="en-US" w:eastAsia="zh-CN"/>
        </w:rPr>
        <w:t xml:space="preserve">。</w:t>
      </w:r>
      <w:r/>
    </w:p>
    <w:p>
      <w:pPr>
        <w:pStyle w:val="747"/>
        <w:ind w:left="598" w:firstLine="480"/>
        <w:keepLines w:val="0"/>
        <w:keepNext w:val="0"/>
        <w:pageBreakBefore w:val="0"/>
        <w:spacing w:line="540" w:lineRule="exact"/>
        <w:widowControl w:val="off"/>
        <w:rPr>
          <w:rFonts w:hint="eastAsia" w:ascii="宋体" w:hAnsi="宋体" w:cs="宋体"/>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方案合理、可操作性强且完善、规范、清晰，该项</w:t>
      </w:r>
      <w:r>
        <w:rPr>
          <w:rFonts w:hint="eastAsia" w:ascii="宋体" w:hAnsi="宋体" w:cs="宋体"/>
          <w:bCs/>
          <w:color w:val="auto"/>
          <w:sz w:val="24"/>
          <w:szCs w:val="24"/>
          <w:highlight w:val="none"/>
        </w:rPr>
        <w:t xml:space="preserve">得</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分；</w:t>
      </w:r>
      <w:r>
        <w:rPr>
          <w:rFonts w:hint="default" w:ascii="Times New Roman" w:hAnsi="Times New Roman" w:eastAsia="宋体" w:cs="Times New Roman"/>
          <w:color w:val="auto"/>
          <w:sz w:val="24"/>
          <w:szCs w:val="24"/>
          <w:highlight w:val="none"/>
          <w:lang w:val="en-US" w:eastAsia="zh-CN"/>
        </w:rPr>
        <w:t xml:space="preserve">方案合理性、可操作性一般，方案较为完善、规范、清晰，该项得</w:t>
      </w:r>
      <w:r>
        <w:rPr>
          <w:rFonts w:hint="eastAsia" w:ascii="宋体" w:hAnsi="宋体" w:cs="宋体"/>
          <w:bCs/>
          <w:color w:val="auto"/>
          <w:sz w:val="24"/>
          <w:szCs w:val="24"/>
          <w:highlight w:val="none"/>
        </w:rPr>
        <w:t xml:space="preserve">2分；</w:t>
      </w:r>
      <w:r>
        <w:rPr>
          <w:rFonts w:hint="default" w:ascii="Times New Roman" w:hAnsi="Times New Roman" w:eastAsia="宋体" w:cs="Times New Roman"/>
          <w:color w:val="auto"/>
          <w:sz w:val="24"/>
          <w:szCs w:val="24"/>
          <w:highlight w:val="none"/>
          <w:lang w:val="en-US" w:eastAsia="zh-CN"/>
        </w:rPr>
        <w:t xml:space="preserve">方案合理性、可操作性较差，方案的完善度、规范性、清晰度较差，该项得</w:t>
      </w:r>
      <w:r>
        <w:rPr>
          <w:rFonts w:hint="eastAsia" w:ascii="宋体" w:hAnsi="宋体" w:cs="宋体"/>
          <w:bCs/>
          <w:color w:val="auto"/>
          <w:sz w:val="24"/>
          <w:szCs w:val="24"/>
          <w:highlight w:val="none"/>
        </w:rPr>
        <w:t xml:space="preserve">1分；未提供的不得分。</w:t>
      </w:r>
      <w:r/>
    </w:p>
    <w:p>
      <w:pPr>
        <w:ind w:firstLine="482"/>
        <w:spacing w:line="540" w:lineRule="exact"/>
        <w:tabs>
          <w:tab w:val="left" w:pos="840" w:leader="none"/>
          <w:tab w:val="left" w:pos="1050" w:leader="none"/>
          <w:tab w:val="left" w:pos="1418"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5、宣传培训服务方案（8分）</w:t>
      </w:r>
      <w:r/>
    </w:p>
    <w:p>
      <w:pPr>
        <w:ind w:firstLine="480"/>
        <w:spacing w:line="540" w:lineRule="exact"/>
        <w:tabs>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宣传计划及措施（4分）</w:t>
      </w:r>
      <w:r/>
    </w:p>
    <w:p>
      <w:pPr>
        <w:pStyle w:val="747"/>
        <w:ind w:left="1078" w:hanging="48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宣传计划及措施针对性、可行性强的得4分；</w:t>
      </w:r>
      <w:r/>
    </w:p>
    <w:p>
      <w:pPr>
        <w:pStyle w:val="747"/>
        <w:ind w:left="1078" w:hanging="48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宣传计划及措施针对性、可行性较强的得2分；</w:t>
      </w:r>
      <w:r/>
    </w:p>
    <w:p>
      <w:pPr>
        <w:pStyle w:val="747"/>
        <w:ind w:left="1078" w:hanging="48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宣传计划及措施针对性、可行性一般的得1分；</w:t>
      </w:r>
      <w:r/>
    </w:p>
    <w:p>
      <w:pPr>
        <w:pStyle w:val="747"/>
        <w:ind w:left="1078" w:hanging="48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未提供的不得分。             </w:t>
      </w:r>
      <w:r/>
    </w:p>
    <w:p>
      <w:pPr>
        <w:ind w:firstLine="480"/>
        <w:spacing w:line="540" w:lineRule="exact"/>
        <w:tabs>
          <w:tab w:val="left" w:pos="1365"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2）人员</w:t>
      </w:r>
      <w:r>
        <w:rPr>
          <w:rFonts w:hint="eastAsia" w:ascii="宋体" w:hAnsi="宋体" w:cs="宋体"/>
          <w:bCs/>
          <w:color w:val="auto"/>
          <w:sz w:val="24"/>
          <w:szCs w:val="24"/>
          <w:highlight w:val="none"/>
        </w:rPr>
        <w:t xml:space="preserve">培训计划及</w:t>
      </w:r>
      <w:r>
        <w:rPr>
          <w:rFonts w:hint="eastAsia" w:ascii="宋体" w:hAnsi="宋体" w:cs="宋体"/>
          <w:bCs/>
          <w:color w:val="auto"/>
          <w:sz w:val="24"/>
          <w:szCs w:val="24"/>
          <w:highlight w:val="none"/>
          <w:lang w:val="en-US" w:eastAsia="zh-CN"/>
        </w:rPr>
        <w:t xml:space="preserve">实行方案</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分）</w:t>
      </w:r>
      <w:r/>
    </w:p>
    <w:p>
      <w:pPr>
        <w:ind w:firstLine="480"/>
        <w:spacing w:line="540" w:lineRule="exact"/>
        <w:tabs>
          <w:tab w:val="left" w:pos="1365" w:leader="none"/>
        </w:tabs>
        <w:rPr>
          <w:rFonts w:hint="eastAsia" w:ascii="宋体" w:hAnsi="宋体" w:cs="宋体"/>
          <w:bCs/>
          <w:color w:val="auto"/>
          <w:sz w:val="24"/>
          <w:szCs w:val="24"/>
          <w:highlight w:val="none"/>
        </w:rPr>
      </w:pPr>
      <w:r>
        <w:rPr>
          <w:rFonts w:hint="eastAsia" w:ascii="宋体" w:hAnsi="宋体" w:cs="宋体"/>
          <w:color w:val="auto"/>
          <w:sz w:val="24"/>
          <w:highlight w:val="none"/>
        </w:rPr>
        <w:t xml:space="preserve">包括：</w:t>
      </w:r>
      <w:r>
        <w:rPr>
          <w:rFonts w:hint="eastAsia" w:ascii="宋体" w:hAnsi="宋体" w:cs="宋体"/>
          <w:color w:val="auto"/>
          <w:sz w:val="24"/>
          <w:highlight w:val="none"/>
          <w:lang w:val="en-US" w:eastAsia="zh-CN"/>
        </w:rPr>
        <w:t xml:space="preserve">①</w:t>
      </w:r>
      <w:r>
        <w:rPr>
          <w:rFonts w:hint="eastAsia" w:ascii="宋体" w:hAnsi="宋体" w:cs="宋体"/>
          <w:color w:val="auto"/>
          <w:sz w:val="24"/>
          <w:highlight w:val="none"/>
        </w:rPr>
        <w:t xml:space="preserve">专业技术培训</w:t>
      </w:r>
      <w:r>
        <w:rPr>
          <w:rFonts w:hint="eastAsia" w:ascii="宋体" w:hAnsi="宋体" w:cs="宋体"/>
          <w:color w:val="auto"/>
          <w:sz w:val="24"/>
          <w:highlight w:val="none"/>
          <w:lang w:val="en-US" w:eastAsia="zh-CN"/>
        </w:rPr>
        <w:t xml:space="preserve">方案（2分）；②培训实施方案（2分）</w:t>
      </w:r>
      <w:r>
        <w:rPr>
          <w:rFonts w:hint="eastAsia" w:ascii="宋体" w:hAnsi="宋体" w:cs="宋体"/>
          <w:color w:val="auto"/>
          <w:sz w:val="24"/>
          <w:highlight w:val="none"/>
        </w:rPr>
        <w:t xml:space="preserve">。</w:t>
      </w:r>
      <w:r/>
    </w:p>
    <w:p>
      <w:pPr>
        <w:ind w:firstLine="480"/>
        <w:spacing w:line="540" w:lineRule="exact"/>
        <w:tabs>
          <w:tab w:val="left" w:pos="840" w:leader="none"/>
          <w:tab w:val="left" w:pos="1050" w:leader="none"/>
          <w:tab w:val="left" w:pos="1418" w:leader="none"/>
        </w:tabs>
        <w:rPr>
          <w:rFonts w:hint="eastAsia" w:ascii="宋体" w:hAnsi="宋体" w:cs="宋体"/>
          <w:color w:val="auto"/>
          <w:sz w:val="24"/>
          <w:szCs w:val="24"/>
          <w:highlight w:val="none"/>
        </w:rPr>
      </w:pPr>
      <w:r>
        <w:rPr>
          <w:rFonts w:hint="default" w:ascii="宋体" w:hAnsi="宋体" w:cs="宋体"/>
          <w:color w:val="auto"/>
          <w:sz w:val="24"/>
          <w:szCs w:val="24"/>
          <w:highlight w:val="none"/>
          <w:lang w:val="en-US" w:eastAsia="zh-CN"/>
        </w:rPr>
        <w:t xml:space="preserve">内容需描述合理、详细，每有一项内容进行了阐述且满足采购需求的得2分；内容描述比较合理详细，对每一项内容均进行基本的阐述的，得1.5分；内容描述有待完善，或内容描述有缺项漏项的得1分；未进行阐述或不满足采购需求的不得分。</w:t>
      </w:r>
      <w:r>
        <w:rPr>
          <w:rFonts w:hint="eastAsia" w:ascii="宋体" w:hAnsi="宋体" w:cs="宋体"/>
          <w:bCs/>
          <w:color w:val="auto"/>
          <w:sz w:val="24"/>
          <w:szCs w:val="24"/>
          <w:highlight w:val="none"/>
        </w:rPr>
        <w:t xml:space="preserve">     </w:t>
      </w:r>
      <w:r>
        <w:rPr>
          <w:rFonts w:hint="eastAsia" w:ascii="宋体" w:hAnsi="宋体" w:cs="宋体"/>
          <w:bCs/>
          <w:color w:val="auto"/>
          <w:sz w:val="24"/>
          <w:szCs w:val="24"/>
          <w:highlight w:val="none"/>
        </w:rPr>
        <w:t xml:space="preserve">        </w:t>
      </w:r>
      <w:r/>
    </w:p>
    <w:p>
      <w:pPr>
        <w:ind w:firstLine="482"/>
        <w:spacing w:line="540" w:lineRule="exact"/>
        <w:tabs>
          <w:tab w:val="left" w:pos="840" w:leader="none"/>
          <w:tab w:val="left" w:pos="1050" w:leader="none"/>
          <w:tab w:val="left" w:pos="1418"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6、内部业务管理方案（9分）</w:t>
      </w:r>
      <w:r/>
    </w:p>
    <w:p>
      <w:pPr>
        <w:ind w:firstLine="60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①档案管理（3分）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档案管理方案</w:t>
      </w:r>
      <w:r>
        <w:rPr>
          <w:rFonts w:hint="eastAsia" w:ascii="宋体" w:hAnsi="宋体" w:cs="宋体"/>
          <w:color w:val="auto"/>
          <w:sz w:val="24"/>
          <w:szCs w:val="24"/>
          <w:highlight w:val="none"/>
        </w:rPr>
        <w:t xml:space="preserve">内容十分完整的</w:t>
      </w:r>
      <w:r>
        <w:rPr>
          <w:rFonts w:hint="eastAsia" w:ascii="宋体" w:hAnsi="宋体" w:cs="宋体"/>
          <w:bCs/>
          <w:color w:val="auto"/>
          <w:sz w:val="24"/>
          <w:szCs w:val="24"/>
          <w:highlight w:val="none"/>
        </w:rPr>
        <w:t xml:space="preserve">得3分；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档案管理方案</w:t>
      </w:r>
      <w:r>
        <w:rPr>
          <w:rFonts w:hint="eastAsia" w:ascii="宋体" w:hAnsi="宋体" w:cs="宋体"/>
          <w:color w:val="auto"/>
          <w:sz w:val="24"/>
          <w:szCs w:val="24"/>
          <w:highlight w:val="none"/>
        </w:rPr>
        <w:t xml:space="preserve">内容较完整的</w:t>
      </w:r>
      <w:r>
        <w:rPr>
          <w:rFonts w:hint="eastAsia" w:ascii="宋体" w:hAnsi="宋体" w:cs="宋体"/>
          <w:bCs/>
          <w:color w:val="auto"/>
          <w:sz w:val="24"/>
          <w:szCs w:val="24"/>
          <w:highlight w:val="none"/>
        </w:rPr>
        <w:t xml:space="preserve">得2分；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档案管理方案</w:t>
      </w:r>
      <w:r>
        <w:rPr>
          <w:rFonts w:hint="eastAsia" w:ascii="宋体" w:hAnsi="宋体" w:cs="宋体"/>
          <w:color w:val="auto"/>
          <w:sz w:val="24"/>
          <w:szCs w:val="24"/>
          <w:highlight w:val="none"/>
        </w:rPr>
        <w:t xml:space="preserve">内容</w:t>
      </w:r>
      <w:r>
        <w:rPr>
          <w:rFonts w:hint="eastAsia" w:ascii="宋体" w:hAnsi="宋体" w:cs="宋体"/>
          <w:bCs/>
          <w:color w:val="auto"/>
          <w:sz w:val="24"/>
          <w:szCs w:val="24"/>
          <w:highlight w:val="none"/>
        </w:rPr>
        <w:t xml:space="preserve">一般的得1分；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未提供的不得分。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bCs/>
          <w:color w:val="auto"/>
          <w:sz w:val="24"/>
          <w:szCs w:val="24"/>
          <w:highlight w:val="none"/>
        </w:rPr>
        <w:t xml:space="preserve">资料报表报送方案（3分）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资料报表报送</w:t>
      </w:r>
      <w:r>
        <w:rPr>
          <w:rFonts w:hint="eastAsia" w:ascii="宋体" w:hAnsi="宋体" w:cs="宋体"/>
          <w:color w:val="auto"/>
          <w:sz w:val="24"/>
          <w:szCs w:val="24"/>
          <w:highlight w:val="none"/>
        </w:rPr>
        <w:t xml:space="preserve">内容详细完整、</w:t>
      </w:r>
      <w:r>
        <w:rPr>
          <w:rFonts w:hint="eastAsia" w:ascii="宋体" w:hAnsi="宋体" w:cs="宋体"/>
          <w:bCs/>
          <w:color w:val="auto"/>
          <w:sz w:val="24"/>
          <w:szCs w:val="24"/>
          <w:highlight w:val="none"/>
        </w:rPr>
        <w:t xml:space="preserve">时效性及时的得3分；</w:t>
      </w:r>
      <w:r/>
    </w:p>
    <w:p>
      <w:pPr>
        <w:ind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资料报表报送</w:t>
      </w:r>
      <w:r>
        <w:rPr>
          <w:rFonts w:hint="eastAsia" w:ascii="宋体" w:hAnsi="宋体" w:cs="宋体"/>
          <w:color w:val="auto"/>
          <w:sz w:val="24"/>
          <w:szCs w:val="24"/>
          <w:highlight w:val="none"/>
        </w:rPr>
        <w:t xml:space="preserve">内容较完整、</w:t>
      </w:r>
      <w:r>
        <w:rPr>
          <w:rFonts w:hint="eastAsia" w:ascii="宋体" w:hAnsi="宋体" w:cs="宋体"/>
          <w:bCs/>
          <w:color w:val="auto"/>
          <w:sz w:val="24"/>
          <w:szCs w:val="24"/>
          <w:highlight w:val="none"/>
        </w:rPr>
        <w:t xml:space="preserve">时效性较好的得2分；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资料报表报送</w:t>
      </w:r>
      <w:r>
        <w:rPr>
          <w:rFonts w:hint="eastAsia" w:ascii="宋体" w:hAnsi="宋体" w:cs="宋体"/>
          <w:color w:val="auto"/>
          <w:sz w:val="24"/>
          <w:szCs w:val="24"/>
          <w:highlight w:val="none"/>
        </w:rPr>
        <w:t xml:space="preserve">内容一般、</w:t>
      </w:r>
      <w:r>
        <w:rPr>
          <w:rFonts w:hint="eastAsia" w:ascii="宋体" w:hAnsi="宋体" w:cs="宋体"/>
          <w:bCs/>
          <w:color w:val="auto"/>
          <w:sz w:val="24"/>
          <w:szCs w:val="24"/>
          <w:highlight w:val="none"/>
        </w:rPr>
        <w:t xml:space="preserve">时效性一般的得1分；</w:t>
      </w:r>
      <w:r/>
    </w:p>
    <w:p>
      <w:pPr>
        <w:pStyle w:val="747"/>
        <w:ind w:left="0" w:firstLine="720"/>
        <w:spacing w:line="5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未提供的不得分。</w:t>
      </w:r>
      <w:r/>
    </w:p>
    <w:p>
      <w:pPr>
        <w:ind w:firstLine="600"/>
        <w:spacing w:line="54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③</w:t>
      </w:r>
      <w:r>
        <w:rPr>
          <w:rFonts w:hint="eastAsia" w:ascii="宋体" w:hAnsi="宋体" w:cs="宋体"/>
          <w:bCs/>
          <w:color w:val="auto"/>
          <w:sz w:val="24"/>
          <w:szCs w:val="24"/>
          <w:highlight w:val="none"/>
        </w:rPr>
        <w:t xml:space="preserve">专业团队（3分）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专业团队</w:t>
      </w:r>
      <w:r>
        <w:rPr>
          <w:rFonts w:hint="eastAsia" w:ascii="宋体" w:hAnsi="宋体" w:cs="宋体"/>
          <w:color w:val="auto"/>
          <w:sz w:val="24"/>
          <w:szCs w:val="24"/>
          <w:highlight w:val="none"/>
        </w:rPr>
        <w:t xml:space="preserve">经验丰富、职责分工明确的</w:t>
      </w:r>
      <w:r>
        <w:rPr>
          <w:rFonts w:hint="eastAsia" w:ascii="宋体" w:hAnsi="宋体" w:cs="宋体"/>
          <w:bCs/>
          <w:color w:val="auto"/>
          <w:sz w:val="24"/>
          <w:szCs w:val="24"/>
          <w:highlight w:val="none"/>
        </w:rPr>
        <w:t xml:space="preserve">得3分；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专业团队</w:t>
      </w:r>
      <w:r>
        <w:rPr>
          <w:rFonts w:hint="eastAsia" w:ascii="宋体" w:hAnsi="宋体" w:cs="宋体"/>
          <w:color w:val="auto"/>
          <w:sz w:val="24"/>
          <w:szCs w:val="24"/>
          <w:highlight w:val="none"/>
        </w:rPr>
        <w:t xml:space="preserve">经验较丰富、职责分工较明确的</w:t>
      </w:r>
      <w:r>
        <w:rPr>
          <w:rFonts w:hint="eastAsia" w:ascii="宋体" w:hAnsi="宋体" w:cs="宋体"/>
          <w:bCs/>
          <w:color w:val="auto"/>
          <w:sz w:val="24"/>
          <w:szCs w:val="24"/>
          <w:highlight w:val="none"/>
        </w:rPr>
        <w:t xml:space="preserve">得2分；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专业团队</w:t>
      </w:r>
      <w:r>
        <w:rPr>
          <w:rFonts w:hint="eastAsia" w:ascii="宋体" w:hAnsi="宋体" w:cs="宋体"/>
          <w:color w:val="auto"/>
          <w:sz w:val="24"/>
          <w:szCs w:val="24"/>
          <w:highlight w:val="none"/>
        </w:rPr>
        <w:t xml:space="preserve">经验一般、职责分工一般的</w:t>
      </w:r>
      <w:r>
        <w:rPr>
          <w:rFonts w:hint="eastAsia" w:ascii="宋体" w:hAnsi="宋体" w:cs="宋体"/>
          <w:bCs/>
          <w:color w:val="auto"/>
          <w:sz w:val="24"/>
          <w:szCs w:val="24"/>
          <w:highlight w:val="none"/>
        </w:rPr>
        <w:t xml:space="preserve">得1分；</w:t>
      </w:r>
      <w:r/>
    </w:p>
    <w:p>
      <w:pPr>
        <w:pStyle w:val="747"/>
        <w:ind w:left="0" w:firstLine="720"/>
        <w:spacing w:line="5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未提供的不得分。</w:t>
      </w:r>
      <w:r/>
    </w:p>
    <w:p>
      <w:pPr>
        <w:ind w:firstLine="480"/>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7、投标单位承保本项目的特色与优势（4分）</w:t>
      </w:r>
      <w:r/>
    </w:p>
    <w:p>
      <w:pPr>
        <w:pStyle w:val="746"/>
        <w:ind w:firstLine="72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供应商的</w:t>
      </w:r>
      <w:r>
        <w:rPr>
          <w:rFonts w:hint="eastAsia" w:ascii="宋体" w:hAnsi="宋体" w:eastAsia="宋体" w:cs="宋体"/>
          <w:color w:val="auto"/>
          <w:sz w:val="24"/>
          <w:szCs w:val="24"/>
          <w:highlight w:val="none"/>
        </w:rPr>
        <w:t xml:space="preserve">特色与优势</w:t>
      </w:r>
      <w:r>
        <w:rPr>
          <w:rFonts w:hint="eastAsia" w:ascii="宋体" w:hAnsi="宋体" w:eastAsia="宋体" w:cs="宋体"/>
          <w:color w:val="auto"/>
          <w:sz w:val="24"/>
          <w:szCs w:val="24"/>
          <w:highlight w:val="none"/>
          <w:lang w:val="en-US" w:eastAsia="zh-CN"/>
        </w:rPr>
        <w:t xml:space="preserve">与本项目服务</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密切相关，</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可行性强</w:t>
      </w:r>
      <w:r>
        <w:rPr>
          <w:rFonts w:hint="eastAsia" w:ascii="宋体" w:hAnsi="宋体" w:eastAsia="宋体" w:cs="宋体"/>
          <w:color w:val="auto"/>
          <w:sz w:val="24"/>
          <w:szCs w:val="24"/>
          <w:highlight w:val="none"/>
        </w:rPr>
        <w:t xml:space="preserve">的得4分；</w:t>
      </w:r>
      <w:r/>
    </w:p>
    <w:p>
      <w:pPr>
        <w:pStyle w:val="746"/>
        <w:ind w:firstLine="72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供应商的</w:t>
      </w:r>
      <w:r>
        <w:rPr>
          <w:rFonts w:hint="eastAsia" w:ascii="宋体" w:hAnsi="宋体" w:eastAsia="宋体" w:cs="宋体"/>
          <w:color w:val="auto"/>
          <w:sz w:val="24"/>
          <w:szCs w:val="24"/>
          <w:highlight w:val="none"/>
        </w:rPr>
        <w:t xml:space="preserve">特色与优势</w:t>
      </w:r>
      <w:r>
        <w:rPr>
          <w:rFonts w:hint="eastAsia" w:ascii="宋体" w:hAnsi="宋体" w:eastAsia="宋体" w:cs="宋体"/>
          <w:color w:val="auto"/>
          <w:sz w:val="24"/>
          <w:szCs w:val="24"/>
          <w:highlight w:val="none"/>
          <w:lang w:val="en-US" w:eastAsia="zh-CN"/>
        </w:rPr>
        <w:t xml:space="preserve">与本项目服务</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有关，</w:t>
      </w: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较强</w:t>
      </w:r>
      <w:r>
        <w:rPr>
          <w:rFonts w:hint="eastAsia" w:ascii="宋体" w:hAnsi="宋体" w:eastAsia="宋体" w:cs="宋体"/>
          <w:color w:val="auto"/>
          <w:sz w:val="24"/>
          <w:szCs w:val="24"/>
          <w:highlight w:val="none"/>
        </w:rPr>
        <w:t xml:space="preserve">、可行性较强的得3分；</w:t>
      </w:r>
      <w:r/>
    </w:p>
    <w:p>
      <w:pPr>
        <w:pStyle w:val="746"/>
        <w:ind w:firstLine="72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供应商的</w:t>
      </w:r>
      <w:r>
        <w:rPr>
          <w:rFonts w:hint="eastAsia" w:ascii="宋体" w:hAnsi="宋体" w:eastAsia="宋体" w:cs="宋体"/>
          <w:color w:val="auto"/>
          <w:sz w:val="24"/>
          <w:szCs w:val="24"/>
          <w:highlight w:val="none"/>
        </w:rPr>
        <w:t xml:space="preserve">特色与优势</w:t>
      </w:r>
      <w:r>
        <w:rPr>
          <w:rFonts w:hint="eastAsia" w:ascii="宋体" w:hAnsi="宋体" w:eastAsia="宋体" w:cs="宋体"/>
          <w:color w:val="auto"/>
          <w:sz w:val="24"/>
          <w:szCs w:val="24"/>
          <w:highlight w:val="none"/>
          <w:lang w:val="en-US" w:eastAsia="zh-CN"/>
        </w:rPr>
        <w:t xml:space="preserve">与本项目服务</w:t>
      </w:r>
      <w:r>
        <w:rPr>
          <w:rFonts w:hint="eastAsia" w:ascii="宋体" w:hAnsi="宋体" w:eastAsia="宋体" w:cs="宋体"/>
          <w:color w:val="auto"/>
          <w:sz w:val="24"/>
          <w:szCs w:val="24"/>
          <w:highlight w:val="none"/>
        </w:rPr>
        <w:t xml:space="preserve">内容</w:t>
      </w:r>
      <w:r>
        <w:rPr>
          <w:rFonts w:hint="eastAsia" w:ascii="宋体" w:hAnsi="宋体" w:eastAsia="宋体" w:cs="宋体"/>
          <w:color w:val="auto"/>
          <w:sz w:val="24"/>
          <w:szCs w:val="24"/>
          <w:highlight w:val="none"/>
          <w:lang w:val="en-US" w:eastAsia="zh-CN"/>
        </w:rPr>
        <w:t xml:space="preserve">关联性一般，</w:t>
      </w:r>
      <w:r>
        <w:rPr>
          <w:rFonts w:hint="eastAsia" w:ascii="宋体" w:hAnsi="宋体" w:eastAsia="宋体" w:cs="宋体"/>
          <w:color w:val="auto"/>
          <w:sz w:val="24"/>
          <w:szCs w:val="24"/>
          <w:highlight w:val="none"/>
        </w:rPr>
        <w:t xml:space="preserve">针对性、可行性较一般的得1分；</w:t>
      </w:r>
      <w:r/>
    </w:p>
    <w:p>
      <w:pPr>
        <w:pStyle w:val="747"/>
        <w:ind w:left="0" w:firstLine="720"/>
        <w:spacing w:line="54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未提供的不得分。</w:t>
      </w:r>
      <w:r/>
    </w:p>
    <w:p>
      <w:pPr>
        <w:pStyle w:val="746"/>
        <w:ind w:firstLine="48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优惠服务方案（4分）</w:t>
      </w:r>
      <w:r/>
    </w:p>
    <w:p>
      <w:pPr>
        <w:pStyle w:val="746"/>
        <w:ind w:firstLine="72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针对本项目提出的</w:t>
      </w:r>
      <w:r>
        <w:rPr>
          <w:rFonts w:hint="eastAsia" w:ascii="宋体" w:hAnsi="宋体" w:eastAsia="宋体" w:cs="宋体"/>
          <w:color w:val="auto"/>
          <w:sz w:val="24"/>
          <w:szCs w:val="24"/>
          <w:highlight w:val="none"/>
        </w:rPr>
        <w:t xml:space="preserve">优惠服务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符合实际的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能弥补项目实施中不足的，该项得4分</w:t>
      </w:r>
      <w:r>
        <w:rPr>
          <w:rFonts w:hint="eastAsia" w:ascii="宋体" w:hAnsi="宋体" w:eastAsia="宋体" w:cs="宋体"/>
          <w:color w:val="auto"/>
          <w:sz w:val="24"/>
          <w:szCs w:val="24"/>
          <w:highlight w:val="none"/>
        </w:rPr>
        <w:t xml:space="preserve">；</w:t>
      </w:r>
      <w:r/>
    </w:p>
    <w:p>
      <w:pPr>
        <w:pStyle w:val="746"/>
        <w:ind w:firstLine="72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针对本项目提供的</w:t>
      </w:r>
      <w:r>
        <w:rPr>
          <w:rFonts w:hint="eastAsia" w:ascii="宋体" w:hAnsi="宋体" w:eastAsia="宋体" w:cs="宋体"/>
          <w:color w:val="auto"/>
          <w:sz w:val="24"/>
          <w:szCs w:val="24"/>
          <w:highlight w:val="none"/>
        </w:rPr>
        <w:t xml:space="preserve">优惠服务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较符合实际的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能弥补项目大部分不足之处的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pStyle w:val="746"/>
        <w:ind w:firstLine="72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针对本项目提供的</w:t>
      </w:r>
      <w:r>
        <w:rPr>
          <w:rFonts w:hint="eastAsia" w:ascii="宋体" w:hAnsi="宋体" w:eastAsia="宋体" w:cs="宋体"/>
          <w:color w:val="auto"/>
          <w:sz w:val="24"/>
          <w:szCs w:val="24"/>
          <w:highlight w:val="none"/>
        </w:rPr>
        <w:t xml:space="preserve">优惠服务</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相较实际一般的得1分；</w:t>
      </w:r>
      <w:r/>
    </w:p>
    <w:p>
      <w:pPr>
        <w:pStyle w:val="746"/>
        <w:ind w:firstLine="720"/>
        <w:spacing w:line="54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未提供的不得分。</w:t>
      </w:r>
      <w:r/>
    </w:p>
    <w:p>
      <w:pPr>
        <w:ind w:firstLine="480"/>
        <w:spacing w:line="5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除技术文件编制粗糙、缺漏项较多或页数明显偏少的外，评委一般按照上述评分要求及服务方案实际内容酌情评分。</w:t>
      </w:r>
      <w:r>
        <w:rPr>
          <w:rFonts w:hint="eastAsia" w:ascii="宋体" w:hAnsi="宋体" w:cs="宋体"/>
          <w:color w:val="auto"/>
          <w:sz w:val="24"/>
          <w:szCs w:val="24"/>
          <w:highlight w:val="none"/>
          <w:lang w:val="zh-CN" w:bidi="ar"/>
        </w:rPr>
        <w:t xml:space="preserve">技术方案评分取所有专家的评分的平均值。</w:t>
      </w:r>
      <w:r/>
    </w:p>
    <w:p>
      <w:pPr>
        <w:ind w:firstLine="480"/>
        <w:keepLines w:val="0"/>
        <w:keepNext w:val="0"/>
        <w:pageBreakBefore w:val="0"/>
        <w:spacing w:line="360" w:lineRule="auto"/>
        <w:widowControl w:val="off"/>
        <w:tabs>
          <w:tab w:val="left" w:pos="945" w:leader="none"/>
        </w:tabs>
        <w:rPr>
          <w:rFonts w:hint="eastAsia" w:ascii="宋体" w:hAnsi="宋体"/>
          <w:bCs/>
          <w:color w:val="auto"/>
          <w:sz w:val="24"/>
          <w:highlight w:val="none"/>
        </w:rPr>
      </w:pPr>
      <w:r>
        <w:rPr>
          <w:rFonts w:hint="eastAsia" w:ascii="宋体" w:hAnsi="宋体"/>
          <w:bCs/>
          <w:color w:val="auto"/>
          <w:sz w:val="24"/>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center"/>
        <w:spacing w:line="360"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rPr>
          <w:rFonts w:hint="eastAsia" w:ascii="黑体" w:eastAsia="黑体"/>
          <w:bCs/>
          <w:color w:val="auto"/>
          <w:sz w:val="36"/>
          <w:szCs w:val="36"/>
          <w:highlight w:val="none"/>
        </w:rPr>
      </w:pPr>
      <w:r>
        <w:rPr>
          <w:rFonts w:hint="eastAsia" w:ascii="黑体" w:eastAsia="黑体"/>
          <w:bCs/>
          <w:color w:val="auto"/>
          <w:sz w:val="36"/>
          <w:szCs w:val="36"/>
          <w:highlight w:val="none"/>
        </w:rPr>
        <w:br w:type="page" w:clear="all"/>
      </w:r>
      <w:r/>
    </w:p>
    <w:p>
      <w:pPr>
        <w:jc w:val="center"/>
        <w:spacing w:line="360" w:lineRule="auto"/>
        <w:rPr>
          <w:rFonts w:ascii="黑体" w:eastAsia="黑体"/>
          <w:bCs/>
          <w:color w:val="auto"/>
          <w:sz w:val="36"/>
          <w:szCs w:val="36"/>
          <w:highlight w:val="none"/>
        </w:rPr>
      </w:pPr>
      <w:r>
        <w:rPr>
          <w:rFonts w:hint="eastAsia" w:ascii="黑体" w:eastAsia="黑体"/>
          <w:bCs/>
          <w:color w:val="auto"/>
          <w:sz w:val="36"/>
          <w:szCs w:val="36"/>
          <w:highlight w:val="none"/>
        </w:rPr>
        <w:t xml:space="preserve">第六章  </w:t>
      </w:r>
      <w:bookmarkEnd w:id="142"/>
      <w:r/>
      <w:bookmarkEnd w:id="143"/>
      <w:r/>
      <w:bookmarkEnd w:id="144"/>
      <w:r>
        <w:rPr>
          <w:rFonts w:hint="eastAsia" w:ascii="黑体" w:eastAsia="黑体"/>
          <w:bCs/>
          <w:color w:val="auto"/>
          <w:sz w:val="36"/>
          <w:szCs w:val="36"/>
          <w:highlight w:val="none"/>
        </w:rPr>
        <w:t xml:space="preserve">投标文件内容与格式</w:t>
      </w:r>
      <w:r/>
    </w:p>
    <w:p>
      <w:pPr>
        <w:pStyle w:val="1160"/>
        <w:ind w:firstLine="602"/>
        <w:spacing w:before="0" w:after="0"/>
        <w:rPr>
          <w:rFonts w:cs="Arial"/>
          <w:b/>
          <w:color w:val="auto"/>
          <w:sz w:val="30"/>
          <w:szCs w:val="30"/>
          <w:highlight w:val="none"/>
        </w:rPr>
      </w:pPr>
      <w:r/>
      <w:bookmarkStart w:id="147" w:name="_Hlt26955039"/>
      <w:r/>
      <w:bookmarkEnd w:id="147"/>
      <w:r/>
      <w:bookmarkStart w:id="148" w:name="_Hlt26671244"/>
      <w:r/>
      <w:bookmarkEnd w:id="148"/>
      <w:r>
        <w:rPr>
          <w:rFonts w:hint="eastAsia" w:cs="Arial"/>
          <w:b/>
          <w:color w:val="auto"/>
          <w:sz w:val="30"/>
          <w:szCs w:val="30"/>
          <w:highlight w:val="none"/>
        </w:rPr>
        <w:t xml:space="preserve">第一部分投标文件内容</w:t>
      </w:r>
      <w:r/>
    </w:p>
    <w:p>
      <w:pPr>
        <w:pStyle w:val="1160"/>
        <w:ind w:firstLine="0"/>
        <w:spacing w:before="0" w:after="0"/>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4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495"/>
        <w:gridCol w:w="2058"/>
      </w:tblGrid>
      <w:tr>
        <w:trPr>
          <w:jc w:val="center"/>
          <w:trHeight w:val="404"/>
        </w:trPr>
        <w:tc>
          <w:tcPr>
            <w:tcW w:w="719" w:type="dxa"/>
            <w:vAlign w:val="center"/>
            <w:textDirection w:val="lrTb"/>
            <w:noWrap w:val="false"/>
          </w:tcPr>
          <w:p>
            <w:pPr>
              <w:pStyle w:val="1160"/>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495" w:type="dxa"/>
            <w:vAlign w:val="center"/>
            <w:textDirection w:val="lrTb"/>
            <w:noWrap w:val="false"/>
          </w:tcPr>
          <w:p>
            <w:pPr>
              <w:pStyle w:val="1160"/>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058" w:type="dxa"/>
            <w:vAlign w:val="center"/>
            <w:textDirection w:val="lrTb"/>
            <w:noWrap w:val="false"/>
          </w:tcPr>
          <w:p>
            <w:pPr>
              <w:pStyle w:val="1160"/>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495"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eastAsia="宋体" w:cs="宋体"/>
                <w:b/>
                <w:bCs w:val="0"/>
                <w:color w:val="auto"/>
                <w:sz w:val="24"/>
                <w:highlight w:val="none"/>
              </w:rPr>
              <w:t xml:space="preserve">注：按照</w:t>
            </w:r>
            <w:r>
              <w:rPr>
                <w:rFonts w:hint="eastAsia" w:ascii="宋体" w:hAnsi="宋体" w:eastAsia="宋体" w:cs="宋体"/>
                <w:b/>
                <w:bCs w:val="0"/>
                <w:color w:val="auto"/>
                <w:sz w:val="24"/>
                <w:highlight w:val="none"/>
                <w:lang w:eastAsia="zh-CN"/>
              </w:rPr>
              <w:t xml:space="preserve">《中华人民共和国政府采购法实施条例释义》，</w:t>
            </w:r>
            <w:r>
              <w:rPr>
                <w:rFonts w:hint="eastAsia" w:ascii="宋体" w:hAnsi="宋体" w:eastAsia="宋体" w:cs="宋体"/>
                <w:b/>
                <w:bCs w:val="0"/>
                <w:color w:val="auto"/>
                <w:sz w:val="24"/>
                <w:highlight w:val="none"/>
              </w:rPr>
              <w:t xml:space="preserve">法人的分支机构由于其不能独立承担民事责任</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不能以分支机构的身份参加政府采购</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只能以法人身份参加</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但银行、保险、石油石化、电力、电信等有行业特殊情况的</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可以分支机构参加政府采购和签订合同</w:t>
            </w:r>
            <w:r>
              <w:rPr>
                <w:rFonts w:hint="eastAsia" w:ascii="宋体" w:hAnsi="宋体" w:eastAsia="宋体" w:cs="宋体"/>
                <w:b/>
                <w:bCs w:val="0"/>
                <w:color w:val="auto"/>
                <w:sz w:val="24"/>
                <w:highlight w:val="none"/>
                <w:lang w:eastAsia="zh-CN"/>
              </w:rPr>
              <w:t xml:space="preserve">。</w:t>
            </w:r>
            <w:r/>
          </w:p>
        </w:tc>
        <w:tc>
          <w:tcPr>
            <w:tcW w:w="2058" w:type="dxa"/>
            <w:vAlign w:val="center"/>
            <w:vMerge w:val="restart"/>
            <w:textDirection w:val="lrTb"/>
            <w:noWrap w:val="false"/>
          </w:tcPr>
          <w:p>
            <w:pPr>
              <w:pStyle w:val="1160"/>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60"/>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495"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058"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60"/>
              <w:ind w:firstLine="0"/>
              <w:jc w:val="center"/>
              <w:spacing w:before="0" w:after="0"/>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6495" w:type="dxa"/>
            <w:vAlign w:val="center"/>
            <w:textDirection w:val="lrTb"/>
            <w:noWrap w:val="false"/>
          </w:tcPr>
          <w:p>
            <w:pPr>
              <w:pStyle w:val="1160"/>
              <w:ind w:firstLine="0"/>
              <w:jc w:val="both"/>
              <w:spacing w:before="0" w:after="0"/>
              <w:rPr>
                <w:rFonts w:hint="eastAsia" w:ascii="宋体" w:hAnsi="宋体" w:cs="宋体"/>
                <w:color w:val="auto"/>
                <w:highlight w:val="none"/>
              </w:rPr>
            </w:pPr>
            <w:r>
              <w:rPr>
                <w:rFonts w:hint="eastAsia" w:ascii="宋体" w:hAnsi="宋体" w:eastAsia="宋体" w:cs="宋体"/>
                <w:bCs/>
                <w:color w:val="auto"/>
                <w:sz w:val="24"/>
                <w:highlight w:val="none"/>
                <w:lang w:val="en-US" w:eastAsia="zh-CN"/>
              </w:rPr>
              <w:t xml:space="preserve">被授权人</w:t>
            </w:r>
            <w:r>
              <w:rPr>
                <w:rFonts w:hint="eastAsia" w:ascii="宋体" w:hAnsi="宋体" w:cs="宋体"/>
                <w:bCs/>
                <w:color w:val="auto"/>
                <w:sz w:val="24"/>
                <w:highlight w:val="none"/>
              </w:rPr>
              <w:t xml:space="preserve">具有与本企业签订的劳动合同或供应商为其缴纳的由相关部门出具</w:t>
            </w:r>
            <w:r>
              <w:rPr>
                <w:rFonts w:hint="eastAsia" w:ascii="宋体" w:hAnsi="宋体" w:cs="宋体"/>
                <w:bCs/>
                <w:color w:val="auto"/>
                <w:sz w:val="24"/>
                <w:highlight w:val="none"/>
                <w:lang w:eastAsia="zh-CN"/>
              </w:rPr>
              <w:t xml:space="preserve">的最</w:t>
            </w:r>
            <w:r>
              <w:rPr>
                <w:rFonts w:hint="eastAsia" w:ascii="宋体" w:hAnsi="宋体" w:cs="宋体"/>
                <w:bCs/>
                <w:color w:val="auto"/>
                <w:sz w:val="24"/>
                <w:highlight w:val="none"/>
              </w:rPr>
              <w:t xml:space="preserve">近</w:t>
            </w:r>
            <w:r>
              <w:rPr>
                <w:rFonts w:hint="eastAsia" w:ascii="宋体" w:hAnsi="宋体" w:cs="宋体"/>
                <w:bCs/>
                <w:color w:val="auto"/>
                <w:sz w:val="24"/>
                <w:highlight w:val="none"/>
                <w:lang w:val="en-US" w:eastAsia="zh-CN"/>
              </w:rPr>
              <w:t xml:space="preserve">六</w:t>
            </w:r>
            <w:r>
              <w:rPr>
                <w:rFonts w:hint="eastAsia" w:ascii="宋体" w:hAnsi="宋体" w:cs="宋体"/>
                <w:bCs/>
                <w:color w:val="auto"/>
                <w:sz w:val="24"/>
                <w:highlight w:val="none"/>
              </w:rPr>
              <w:t xml:space="preserve">个月中任意一个月份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的社保缴费证明（新成立的企业若不满足</w:t>
            </w:r>
            <w:r>
              <w:rPr>
                <w:rFonts w:hint="eastAsia" w:ascii="宋体" w:hAnsi="宋体" w:cs="宋体"/>
                <w:bCs/>
                <w:color w:val="auto"/>
                <w:sz w:val="24"/>
                <w:highlight w:val="none"/>
                <w:lang w:val="en-US" w:eastAsia="zh-CN"/>
              </w:rPr>
              <w:t xml:space="preserve">六</w:t>
            </w:r>
            <w:r>
              <w:rPr>
                <w:rFonts w:hint="eastAsia" w:ascii="宋体" w:hAnsi="宋体" w:cs="宋体"/>
                <w:bCs/>
                <w:color w:val="auto"/>
                <w:sz w:val="24"/>
                <w:highlight w:val="none"/>
              </w:rPr>
              <w:t xml:space="preserve">个月，提供成立之后</w:t>
            </w:r>
            <w:r>
              <w:rPr>
                <w:rFonts w:hint="eastAsia" w:ascii="宋体" w:hAnsi="宋体" w:eastAsia="宋体" w:cs="宋体"/>
                <w:bCs/>
                <w:color w:val="auto"/>
                <w:sz w:val="24"/>
                <w:highlight w:val="none"/>
                <w:lang w:val="en-US" w:eastAsia="zh-CN"/>
              </w:rPr>
              <w:t xml:space="preserve">被授权人</w:t>
            </w:r>
            <w:r>
              <w:rPr>
                <w:rFonts w:hint="eastAsia" w:ascii="宋体" w:hAnsi="宋体"/>
                <w:bCs/>
                <w:color w:val="auto"/>
                <w:sz w:val="24"/>
                <w:highlight w:val="none"/>
              </w:rPr>
              <w:t xml:space="preserve">）</w:t>
            </w:r>
            <w:r>
              <w:rPr>
                <w:rFonts w:hint="eastAsia" w:ascii="宋体" w:hAnsi="宋体" w:cs="宋体"/>
                <w:bCs/>
                <w:color w:val="auto"/>
                <w:sz w:val="24"/>
                <w:highlight w:val="none"/>
              </w:rPr>
              <w:t xml:space="preserve">相关月份的社保缴费证明）；</w:t>
            </w:r>
            <w:r/>
          </w:p>
        </w:tc>
        <w:tc>
          <w:tcPr>
            <w:tcW w:w="2058"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60"/>
              <w:ind w:firstLine="0"/>
              <w:jc w:val="center"/>
              <w:spacing w:before="0" w:after="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4</w:t>
            </w:r>
            <w:r/>
          </w:p>
        </w:tc>
        <w:tc>
          <w:tcPr>
            <w:tcW w:w="6495"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w:t>
            </w:r>
            <w:r>
              <w:rPr>
                <w:rFonts w:hint="eastAsia" w:ascii="宋体" w:hAnsi="宋体" w:cs="宋体"/>
                <w:color w:val="auto"/>
                <w:highlight w:val="none"/>
                <w:lang w:val="en-US" w:eastAsia="zh-CN"/>
              </w:rPr>
              <w:t xml:space="preserve">六</w:t>
            </w:r>
            <w:r>
              <w:rPr>
                <w:rFonts w:hint="eastAsia" w:ascii="宋体" w:hAnsi="宋体" w:cs="宋体"/>
                <w:color w:val="auto"/>
                <w:highlight w:val="none"/>
              </w:rPr>
              <w:t xml:space="preserve">个月中任意一个月份（不含投标当月）的财务状况报告（资产负债表和利润表）或由会计师事务所出具的2022年度或2023年度的审计报告和所附已审财务报告（投标人如是自然人情形的，没有经审计的财务报告的，可以提供银行出具的资信证明）</w:t>
            </w:r>
            <w:r>
              <w:rPr>
                <w:rStyle w:val="1155"/>
                <w:rFonts w:hint="eastAsia" w:ascii="宋体" w:hAnsi="宋体" w:cs="宋体"/>
                <w:color w:val="auto"/>
                <w:highlight w:val="none"/>
              </w:rPr>
              <w:t xml:space="preserve">。</w:t>
            </w:r>
            <w:r/>
          </w:p>
        </w:tc>
        <w:tc>
          <w:tcPr>
            <w:tcW w:w="2058"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462"/>
        </w:trPr>
        <w:tc>
          <w:tcPr>
            <w:tcW w:w="719" w:type="dxa"/>
            <w:vAlign w:val="center"/>
            <w:textDirection w:val="lrTb"/>
            <w:noWrap w:val="false"/>
          </w:tcPr>
          <w:p>
            <w:pPr>
              <w:pStyle w:val="1160"/>
              <w:ind w:firstLine="0"/>
              <w:jc w:val="center"/>
              <w:spacing w:before="0" w:after="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5</w:t>
            </w:r>
            <w:r/>
          </w:p>
        </w:tc>
        <w:tc>
          <w:tcPr>
            <w:tcW w:w="6495"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w:t>
            </w:r>
            <w:r>
              <w:rPr>
                <w:rFonts w:hint="eastAsia" w:ascii="宋体" w:hAnsi="宋体" w:cs="宋体"/>
                <w:color w:val="auto"/>
                <w:highlight w:val="none"/>
                <w:lang w:eastAsia="zh-CN"/>
              </w:rPr>
              <w:t xml:space="preserve">人最</w:t>
            </w:r>
            <w:r>
              <w:rPr>
                <w:rFonts w:hint="eastAsia" w:ascii="宋体" w:hAnsi="宋体" w:cs="宋体"/>
                <w:color w:val="auto"/>
                <w:highlight w:val="none"/>
              </w:rPr>
              <w:t xml:space="preserve">近</w:t>
            </w:r>
            <w:r>
              <w:rPr>
                <w:rFonts w:hint="eastAsia" w:ascii="宋体" w:hAnsi="宋体" w:cs="宋体"/>
                <w:color w:val="auto"/>
                <w:highlight w:val="none"/>
                <w:lang w:val="en-US" w:eastAsia="zh-CN"/>
              </w:rPr>
              <w:t xml:space="preserve">六</w:t>
            </w:r>
            <w:r>
              <w:rPr>
                <w:rFonts w:hint="eastAsia" w:ascii="宋体" w:hAnsi="宋体" w:cs="宋体"/>
                <w:color w:val="auto"/>
                <w:highlight w:val="none"/>
              </w:rPr>
              <w:t xml:space="preserve">个月任意一个月份（不含投标当月）的依法缴纳税收的相关材料（提供相关主管部门证明或银行代扣证明）。</w:t>
            </w:r>
            <w:r/>
          </w:p>
        </w:tc>
        <w:tc>
          <w:tcPr>
            <w:tcW w:w="2058"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60"/>
              <w:ind w:firstLine="0"/>
              <w:jc w:val="center"/>
              <w:spacing w:before="0" w:after="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6</w:t>
            </w:r>
            <w:r/>
          </w:p>
        </w:tc>
        <w:tc>
          <w:tcPr>
            <w:tcW w:w="6495"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w:t>
            </w:r>
            <w:r>
              <w:rPr>
                <w:rFonts w:hint="eastAsia" w:ascii="宋体" w:hAnsi="宋体" w:cs="宋体"/>
                <w:color w:val="auto"/>
                <w:highlight w:val="none"/>
                <w:lang w:eastAsia="zh-CN"/>
              </w:rPr>
              <w:t xml:space="preserve">近</w:t>
            </w:r>
            <w:r>
              <w:rPr>
                <w:rFonts w:hint="eastAsia" w:ascii="宋体" w:hAnsi="宋体" w:cs="宋体"/>
                <w:color w:val="auto"/>
                <w:highlight w:val="none"/>
                <w:lang w:val="en-US" w:eastAsia="zh-CN"/>
              </w:rPr>
              <w:t xml:space="preserve">六</w:t>
            </w:r>
            <w:r>
              <w:rPr>
                <w:rFonts w:hint="eastAsia" w:ascii="宋体" w:hAnsi="宋体" w:cs="宋体"/>
                <w:color w:val="auto"/>
                <w:highlight w:val="none"/>
              </w:rPr>
              <w:t xml:space="preserve">个月中任意一个月份（不含投标当月）的依法缴纳社会保障资金的相关材料（提供相关主管部门证明或银行代扣证明）。</w:t>
            </w:r>
            <w:r/>
          </w:p>
        </w:tc>
        <w:tc>
          <w:tcPr>
            <w:tcW w:w="2058"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W w:w="719" w:type="dxa"/>
            <w:vAlign w:val="center"/>
            <w:textDirection w:val="lrTb"/>
            <w:noWrap w:val="false"/>
          </w:tcPr>
          <w:p>
            <w:pPr>
              <w:pStyle w:val="1160"/>
              <w:ind w:firstLine="0"/>
              <w:jc w:val="center"/>
              <w:spacing w:before="0" w:after="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6495" w:type="dxa"/>
            <w:vAlign w:val="center"/>
            <w:textDirection w:val="lrTb"/>
            <w:noWrap w:val="false"/>
          </w:tcPr>
          <w:p>
            <w:pPr>
              <w:pStyle w:val="1160"/>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058" w:type="dxa"/>
            <w:vAlign w:val="center"/>
            <w:vMerge w:val="continue"/>
            <w:textDirection w:val="lrTb"/>
            <w:noWrap w:val="false"/>
          </w:tcPr>
          <w:p>
            <w:pPr>
              <w:pStyle w:val="1160"/>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160"/>
              <w:ind w:firstLine="0"/>
              <w:jc w:val="center"/>
              <w:spacing w:before="0" w:after="0"/>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6495" w:type="dxa"/>
            <w:vAlign w:val="center"/>
            <w:textDirection w:val="lrTb"/>
            <w:noWrap w:val="false"/>
          </w:tcPr>
          <w:p>
            <w:pPr>
              <w:pStyle w:val="1160"/>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满足中小企业政策的证明文件（如有中小企业政策要求的）。</w:t>
            </w:r>
            <w:r/>
          </w:p>
        </w:tc>
        <w:tc>
          <w:tcPr>
            <w:tcW w:w="2058" w:type="dxa"/>
            <w:vAlign w:val="center"/>
            <w:textDirection w:val="lrTb"/>
            <w:noWrap w:val="false"/>
          </w:tcPr>
          <w:p>
            <w:pPr>
              <w:pStyle w:val="1160"/>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160"/>
              <w:ind w:firstLine="0"/>
              <w:jc w:val="center"/>
              <w:spacing w:before="0" w:after="0"/>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9</w:t>
            </w:r>
            <w:r/>
          </w:p>
        </w:tc>
        <w:tc>
          <w:tcPr>
            <w:tcW w:w="6495" w:type="dxa"/>
            <w:vAlign w:val="center"/>
            <w:textDirection w:val="lrTb"/>
            <w:noWrap w:val="false"/>
          </w:tcPr>
          <w:p>
            <w:pPr>
              <w:pStyle w:val="1160"/>
              <w:ind w:firstLine="0"/>
              <w:jc w:val="both"/>
              <w:spacing w:before="0" w:after="0"/>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p>
        </w:tc>
        <w:tc>
          <w:tcPr>
            <w:tcW w:w="2058" w:type="dxa"/>
            <w:vAlign w:val="center"/>
            <w:textDirection w:val="lrTb"/>
            <w:noWrap w:val="false"/>
          </w:tcPr>
          <w:p>
            <w:pPr>
              <w:pStyle w:val="1160"/>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160"/>
              <w:ind w:firstLine="0"/>
              <w:jc w:val="center"/>
              <w:spacing w:before="0" w:after="0"/>
              <w:rPr>
                <w:rFonts w:ascii="宋体" w:hAnsi="宋体" w:eastAsia="宋体" w:cs="宋体"/>
                <w:bCs/>
                <w:color w:val="auto"/>
                <w:highlight w:val="none"/>
                <w:lang w:val="en-US" w:eastAsia="zh-CN"/>
              </w:rPr>
            </w:pPr>
            <w:r>
              <w:rPr>
                <w:rFonts w:hint="eastAsia" w:ascii="宋体" w:hAnsi="宋体" w:cs="宋体"/>
                <w:bCs/>
                <w:color w:val="auto"/>
                <w:highlight w:val="none"/>
                <w:lang w:val="en-US" w:eastAsia="zh-CN"/>
              </w:rPr>
              <w:t xml:space="preserve">10</w:t>
            </w:r>
            <w:r/>
          </w:p>
        </w:tc>
        <w:tc>
          <w:tcPr>
            <w:gridSpan w:val="2"/>
            <w:tcW w:w="8553" w:type="dxa"/>
            <w:vAlign w:val="center"/>
            <w:textDirection w:val="lrTb"/>
            <w:noWrap w:val="false"/>
          </w:tcPr>
          <w:p>
            <w:pPr>
              <w:pStyle w:val="1160"/>
              <w:ind w:firstLine="0"/>
              <w:spacing w:before="0" w:after="0"/>
              <w:rPr>
                <w:rFonts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项，如本项目有特定资格要求的（详见第一章《投标邀请》），须提供相应的特定资格证明文件。</w:t>
      </w:r>
      <w:r/>
    </w:p>
    <w:p>
      <w:pPr>
        <w:numPr>
          <w:ilvl w:val="0"/>
          <w:numId w:val="11"/>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项可由联合体主体单位（即联合体牵头人）代表联合体提供；第1、</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（如有要求）项，联合体各方均须提供。</w:t>
      </w:r>
      <w:r/>
    </w:p>
    <w:p>
      <w:pPr>
        <w:spacing w:line="360" w:lineRule="auto"/>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43"/>
        <w:tblW w:w="9536"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0"/>
        <w:gridCol w:w="6333"/>
        <w:gridCol w:w="2213"/>
      </w:tblGrid>
      <w:tr>
        <w:trPr>
          <w:trHeight w:val="915"/>
        </w:trPr>
        <w:tc>
          <w:tcPr>
            <w:tcW w:w="99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633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评审项目及评审要求</w:t>
            </w:r>
            <w:r/>
          </w:p>
        </w:tc>
        <w:tc>
          <w:tcPr>
            <w:tcW w:w="22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审查因素</w:t>
            </w:r>
            <w:r/>
          </w:p>
        </w:tc>
      </w:tr>
      <w:tr>
        <w:trPr>
          <w:trHeight w:val="1102"/>
        </w:trPr>
        <w:tc>
          <w:tcPr>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633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投标函（给定格式）</w:t>
            </w:r>
            <w:r/>
          </w:p>
        </w:tc>
        <w:tc>
          <w:tcPr>
            <w:tcW w:w="22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商务符合性</w:t>
            </w:r>
            <w:r/>
          </w:p>
        </w:tc>
      </w:tr>
      <w:tr>
        <w:trPr>
          <w:trHeight w:val="1102"/>
        </w:trPr>
        <w:tc>
          <w:tcPr>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633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承诺书（给定格式）</w:t>
            </w:r>
            <w:r/>
          </w:p>
        </w:tc>
        <w:tc>
          <w:tcPr>
            <w:tcW w:w="22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02"/>
        </w:trPr>
        <w:tc>
          <w:tcPr>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633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开标一览表（给定格式）</w:t>
            </w:r>
            <w:r/>
          </w:p>
        </w:tc>
        <w:tc>
          <w:tcPr>
            <w:tcW w:w="22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报价符合性</w:t>
            </w:r>
            <w:r/>
          </w:p>
        </w:tc>
      </w:tr>
      <w:tr>
        <w:trPr>
          <w:trHeight w:val="1102"/>
        </w:trPr>
        <w:tc>
          <w:tcPr>
            <w:tcW w:w="990" w:type="dxa"/>
            <w:vAlign w:val="center"/>
            <w:textDirection w:val="lrTb"/>
            <w:noWrap w:val="false"/>
          </w:tcPr>
          <w:p>
            <w:pPr>
              <w:jc w:val="center"/>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6333" w:type="dxa"/>
            <w:vAlign w:val="center"/>
            <w:textDirection w:val="lrTb"/>
            <w:noWrap w:val="false"/>
          </w:tcPr>
          <w:p>
            <w:pPr>
              <w:jc w:val="both"/>
              <w:keepLines w:val="0"/>
              <w:keepNext w:val="0"/>
              <w:widowControl/>
              <w:rPr>
                <w:rFonts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分项报价一览表（给定格式）</w:t>
            </w:r>
            <w:r/>
          </w:p>
        </w:tc>
        <w:tc>
          <w:tcPr>
            <w:tcW w:w="2213"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r>
        <w:trPr>
          <w:trHeight w:val="1102"/>
        </w:trPr>
        <w:tc>
          <w:tcPr>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633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投标偏离表（给定格式）</w:t>
            </w:r>
            <w:r/>
          </w:p>
        </w:tc>
        <w:tc>
          <w:tcPr>
            <w:tcW w:w="22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技术符合性</w:t>
            </w:r>
            <w:r/>
          </w:p>
        </w:tc>
      </w:tr>
      <w:tr>
        <w:trPr>
          <w:trHeight w:val="1102"/>
        </w:trPr>
        <w:tc>
          <w:tcPr>
            <w:tcW w:w="99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6333"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《采购需求》中要求提供的证明材料（如有）</w:t>
            </w:r>
            <w:r/>
          </w:p>
        </w:tc>
        <w:tc>
          <w:tcPr>
            <w:tcW w:w="22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2"/>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项可由联合体主体单位（即联合体牵头人）代表联合体提供。</w:t>
      </w:r>
      <w:r/>
    </w:p>
    <w:p>
      <w:pPr>
        <w:ind w:firstLine="480"/>
        <w:spacing w:line="360" w:lineRule="auto"/>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160"/>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left"/>
        <w:spacing w:line="360" w:lineRule="auto"/>
        <w:widowControl/>
        <w:rPr>
          <w:rFonts w:ascii="宋体" w:hAnsi="宋体"/>
          <w:bCs/>
          <w:color w:val="auto"/>
          <w:sz w:val="32"/>
          <w:highlight w:val="none"/>
        </w:rPr>
      </w:pPr>
      <w:r>
        <w:rPr>
          <w:rFonts w:ascii="宋体" w:hAnsi="宋体"/>
          <w:bCs/>
          <w:color w:val="auto"/>
          <w:sz w:val="32"/>
          <w:highlight w:val="none"/>
        </w:rPr>
      </w:r>
      <w:r/>
    </w:p>
    <w:p>
      <w:pPr>
        <w:spacing w:line="360" w:lineRule="auto"/>
        <w:rPr>
          <w:rFonts w:ascii="宋体" w:hAnsi="宋体"/>
          <w:bCs/>
          <w:color w:val="auto"/>
          <w:sz w:val="32"/>
          <w:highlight w:val="none"/>
        </w:rPr>
      </w:pPr>
      <w:r>
        <w:rPr>
          <w:rFonts w:ascii="宋体" w:hAnsi="宋体"/>
          <w:bCs/>
          <w:color w:val="auto"/>
          <w:sz w:val="32"/>
          <w:highlight w:val="none"/>
        </w:rPr>
      </w:r>
      <w:r/>
    </w:p>
    <w:p>
      <w:pPr>
        <w:spacing w:line="360" w:lineRule="auto"/>
        <w:rPr>
          <w:rFonts w:ascii="宋体" w:hAnsi="宋体"/>
          <w:bCs/>
          <w:color w:val="auto"/>
          <w:sz w:val="32"/>
          <w:highlight w:val="none"/>
        </w:rPr>
      </w:pPr>
      <w:r>
        <w:rPr>
          <w:rFonts w:ascii="宋体" w:hAnsi="宋体"/>
          <w:bCs/>
          <w:color w:val="auto"/>
          <w:sz w:val="32"/>
          <w:highlight w:val="none"/>
        </w:rPr>
      </w:r>
      <w:r/>
    </w:p>
    <w:p>
      <w:pPr>
        <w:jc w:val="center"/>
        <w:spacing w:line="360" w:lineRule="auto"/>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spacing w:line="360" w:lineRule="auto"/>
        <w:rPr>
          <w:rFonts w:ascii="宋体" w:hAnsi="宋体"/>
          <w:bCs/>
          <w:color w:val="auto"/>
          <w:sz w:val="72"/>
          <w:highlight w:val="none"/>
        </w:rPr>
      </w:pPr>
      <w:r>
        <w:rPr>
          <w:rFonts w:ascii="宋体" w:hAnsi="宋体"/>
          <w:bCs/>
          <w:color w:val="auto"/>
          <w:sz w:val="72"/>
          <w:highlight w:val="none"/>
        </w:rPr>
      </w:r>
      <w:r/>
    </w:p>
    <w:p>
      <w:pPr>
        <w:jc w:val="center"/>
        <w:spacing w:line="360" w:lineRule="auto"/>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spacing w:line="360" w:lineRule="auto"/>
        <w:rPr>
          <w:rFonts w:ascii="宋体" w:hAnsi="宋体"/>
          <w:bCs/>
          <w:color w:val="auto"/>
          <w:sz w:val="72"/>
          <w:highlight w:val="none"/>
        </w:rPr>
      </w:pPr>
      <w:r>
        <w:rPr>
          <w:rFonts w:ascii="宋体" w:hAnsi="宋体"/>
          <w:bCs/>
          <w:color w:val="auto"/>
          <w:sz w:val="72"/>
          <w:highlight w:val="none"/>
        </w:rPr>
      </w:r>
      <w:r/>
    </w:p>
    <w:p>
      <w:pPr>
        <w:jc w:val="center"/>
        <w:spacing w:line="360" w:lineRule="auto"/>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spacing w:line="360" w:lineRule="auto"/>
        <w:rPr>
          <w:rFonts w:ascii="宋体" w:hAnsi="宋体"/>
          <w:bCs/>
          <w:color w:val="auto"/>
          <w:sz w:val="52"/>
          <w:szCs w:val="52"/>
          <w:highlight w:val="none"/>
        </w:rPr>
      </w:pPr>
      <w:r>
        <w:rPr>
          <w:rFonts w:ascii="宋体" w:hAnsi="宋体"/>
          <w:bCs/>
          <w:color w:val="auto"/>
          <w:sz w:val="52"/>
          <w:szCs w:val="52"/>
          <w:highlight w:val="none"/>
        </w:rPr>
      </w:r>
      <w:r/>
    </w:p>
    <w:p>
      <w:pPr>
        <w:jc w:val="center"/>
        <w:spacing w:line="360" w:lineRule="auto"/>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spacing w:line="360" w:lineRule="auto"/>
        <w:rPr>
          <w:rFonts w:ascii="宋体" w:hAnsi="宋体"/>
          <w:bCs/>
          <w:color w:val="auto"/>
          <w:sz w:val="28"/>
          <w:highlight w:val="none"/>
        </w:rPr>
      </w:pPr>
      <w:r>
        <w:rPr>
          <w:rFonts w:ascii="宋体" w:hAnsi="宋体"/>
          <w:bCs/>
          <w:color w:val="auto"/>
          <w:sz w:val="28"/>
          <w:highlight w:val="none"/>
        </w:rPr>
      </w:r>
      <w:r/>
    </w:p>
    <w:p>
      <w:pPr>
        <w:ind w:firstLine="2715"/>
        <w:spacing w:line="360" w:lineRule="auto"/>
        <w:rPr>
          <w:rFonts w:ascii="宋体" w:hAnsi="宋体"/>
          <w:bCs/>
          <w:color w:val="auto"/>
          <w:sz w:val="28"/>
          <w:szCs w:val="28"/>
          <w:highlight w:val="none"/>
        </w:rPr>
      </w:pPr>
      <w:r/>
      <w:bookmarkStart w:id="149" w:name="_Hlk165208193"/>
      <w:r>
        <w:rPr>
          <w:rFonts w:hint="eastAsia" w:ascii="宋体" w:hAnsi="宋体"/>
          <w:bCs/>
          <w:color w:val="auto"/>
          <w:sz w:val="28"/>
          <w:szCs w:val="28"/>
          <w:highlight w:val="none"/>
        </w:rPr>
        <w:t xml:space="preserve">采购项目编号： </w:t>
      </w:r>
      <w:r/>
    </w:p>
    <w:p>
      <w:pPr>
        <w:ind w:firstLine="2703"/>
        <w:spacing w:line="360" w:lineRule="auto"/>
        <w:rPr>
          <w:rFonts w:ascii="宋体" w:hAnsi="宋体"/>
          <w:bCs/>
          <w:color w:val="auto"/>
          <w:sz w:val="28"/>
          <w:szCs w:val="28"/>
          <w:highlight w:val="none"/>
        </w:rPr>
      </w:pPr>
      <w:r>
        <w:rPr>
          <w:rFonts w:hint="eastAsia" w:ascii="宋体" w:hAnsi="宋体"/>
          <w:bCs/>
          <w:color w:val="auto"/>
          <w:sz w:val="28"/>
          <w:szCs w:val="28"/>
          <w:highlight w:val="none"/>
        </w:rPr>
        <w:t xml:space="preserve">采购项目名称： </w:t>
      </w:r>
      <w:r/>
    </w:p>
    <w:p>
      <w:pPr>
        <w:ind w:firstLine="2703"/>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t xml:space="preserve">投标人： </w:t>
      </w:r>
      <w:r/>
    </w:p>
    <w:p>
      <w:pPr>
        <w:ind w:firstLine="2703"/>
        <w:spacing w:line="360" w:lineRule="auto"/>
        <w:rPr>
          <w:rFonts w:hint="eastAsia" w:ascii="宋体" w:hAnsi="宋体" w:eastAsia="宋体" w:cs="Times New Roman"/>
          <w:bCs/>
          <w:color w:val="auto"/>
          <w:sz w:val="28"/>
          <w:szCs w:val="28"/>
          <w:highlight w:val="none"/>
          <w:lang w:val="en-US" w:eastAsia="zh-CN" w:bidi="ar-SA"/>
        </w:rPr>
      </w:pPr>
      <w:r>
        <w:rPr>
          <w:rFonts w:hint="eastAsia" w:ascii="宋体" w:hAnsi="宋体" w:eastAsia="宋体" w:cs="Times New Roman"/>
          <w:bCs/>
          <w:color w:val="auto"/>
          <w:sz w:val="28"/>
          <w:szCs w:val="28"/>
          <w:highlight w:val="none"/>
          <w:lang w:val="en-US" w:eastAsia="zh-CN" w:bidi="ar-SA"/>
        </w:rPr>
        <w:t xml:space="preserve"> </w:t>
      </w:r>
      <w:r>
        <w:rPr>
          <w:rFonts w:hint="eastAsia" w:ascii="宋体" w:hAnsi="宋体" w:eastAsia="宋体" w:cs="Times New Roman"/>
          <w:bCs/>
          <w:color w:val="auto"/>
          <w:sz w:val="28"/>
          <w:szCs w:val="28"/>
          <w:highlight w:val="none"/>
          <w:lang w:val="en-US" w:eastAsia="zh-CN" w:bidi="ar-SA"/>
        </w:rPr>
        <w:t xml:space="preserve">    </w:t>
      </w:r>
      <w:r/>
    </w:p>
    <w:p>
      <w:pPr>
        <w:jc w:val="center"/>
        <w:spacing w:line="360" w:lineRule="auto"/>
        <w:rPr>
          <w:rFonts w:ascii="宋体" w:hAnsi="宋体"/>
          <w:bCs/>
          <w:color w:val="auto"/>
          <w:sz w:val="28"/>
          <w:szCs w:val="28"/>
          <w:highlight w:val="none"/>
        </w:rPr>
        <w:outlineLvl w:val="0"/>
      </w:pPr>
      <w:r>
        <w:rPr>
          <w:rFonts w:hint="eastAsia" w:ascii="宋体" w:hAnsi="宋体"/>
          <w:bCs/>
          <w:color w:val="auto"/>
          <w:sz w:val="28"/>
          <w:szCs w:val="28"/>
          <w:highlight w:val="none"/>
        </w:rPr>
        <w:t xml:space="preserve">20   年   月</w:t>
      </w:r>
      <w:bookmarkEnd w:id="149"/>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宋体" w:hAnsi="宋体"/>
          <w:color w:val="auto"/>
          <w:sz w:val="24"/>
          <w:szCs w:val="24"/>
          <w:highlight w:val="none"/>
        </w:rPr>
        <w:outlineLvl w:val="0"/>
      </w:pPr>
      <w:r>
        <w:rPr>
          <w:rFonts w:ascii="宋体" w:hAnsi="宋体"/>
          <w:color w:val="auto"/>
          <w:sz w:val="24"/>
          <w:szCs w:val="24"/>
          <w:highlight w:val="none"/>
        </w:rPr>
      </w:r>
      <w:r/>
    </w:p>
    <w:p>
      <w:pPr>
        <w:spacing w:line="360" w:lineRule="auto"/>
        <w:rPr>
          <w:rFonts w:ascii="黑体" w:eastAsia="黑体"/>
          <w:bCs/>
          <w:color w:val="auto"/>
          <w:sz w:val="28"/>
          <w:szCs w:val="28"/>
          <w:highlight w:val="none"/>
        </w:rPr>
      </w:pPr>
      <w:r>
        <w:rPr>
          <w:rFonts w:hint="eastAsia" w:ascii="宋体" w:hAnsi="宋体" w:cs="宋体"/>
          <w:b/>
          <w:color w:val="auto"/>
          <w:sz w:val="28"/>
          <w:szCs w:val="28"/>
          <w:highlight w:val="none"/>
        </w:rPr>
        <w:t xml:space="preserve">二、授权委托书（给定格式）：</w:t>
      </w:r>
      <w:r/>
    </w:p>
    <w:p>
      <w:pPr>
        <w:jc w:val="center"/>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授权委托书</w:t>
      </w:r>
      <w:r/>
    </w:p>
    <w:p>
      <w:pPr>
        <w:pStyle w:val="849"/>
        <w:rPr>
          <w:color w:val="auto"/>
          <w:highlight w:val="none"/>
        </w:rPr>
      </w:pPr>
      <w:r>
        <w:rPr>
          <w:color w:val="auto"/>
          <w:highlight w:val="none"/>
        </w:rPr>
      </w:r>
      <w:r/>
    </w:p>
    <w:p>
      <w:pPr>
        <w:pStyle w:val="115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w:t>
      </w:r>
      <w:r>
        <w:rPr>
          <w:rFonts w:hint="eastAsia" w:ascii="宋体" w:hAnsi="宋体" w:cs="宋体"/>
          <w:bCs/>
          <w:color w:val="auto"/>
          <w:sz w:val="24"/>
          <w:szCs w:val="24"/>
          <w:highlight w:val="none"/>
        </w:rPr>
        <w:t xml:space="preserve">兹授权：</w:t>
      </w:r>
      <w:r/>
    </w:p>
    <w:p>
      <w:pPr>
        <w:pStyle w:val="115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5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5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59"/>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59"/>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59"/>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59"/>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59"/>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rPr>
        <w:t xml:space="preserve">被授权人身份证原件扫描件附后</w:t>
      </w:r>
      <w:r>
        <w:rPr>
          <w:rFonts w:hint="eastAsia" w:ascii="宋体" w:hAnsi="宋体" w:cs="宋体"/>
          <w:b/>
          <w:color w:val="auto"/>
          <w:sz w:val="24"/>
          <w:szCs w:val="24"/>
          <w:highlight w:val="none"/>
          <w:lang w:eastAsia="zh-CN"/>
        </w:rPr>
        <w:t xml:space="preserve">）</w:t>
      </w:r>
      <w:r/>
    </w:p>
    <w:p>
      <w:pPr>
        <w:pStyle w:val="1159"/>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59"/>
        <w:numPr>
          <w:ilvl w:val="0"/>
          <w:numId w:val="13"/>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若投标人为事业单位或其他组织或分支机构（仅限招标文件注明允许分支机构投标情形的），则法定代表人处的签字人可为单位负责人。</w:t>
      </w:r>
      <w:r/>
    </w:p>
    <w:p>
      <w:pPr>
        <w:pStyle w:val="1159"/>
        <w:numPr>
          <w:ilvl w:val="0"/>
          <w:numId w:val="13"/>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59"/>
        <w:numPr>
          <w:ilvl w:val="0"/>
          <w:numId w:val="13"/>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59"/>
        <w:numPr>
          <w:ilvl w:val="0"/>
          <w:numId w:val="13"/>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 xml:space="preserve">其他</w:t>
      </w:r>
      <w:r>
        <w:rPr>
          <w:rFonts w:hint="eastAsia" w:ascii="宋体" w:hAnsi="宋体" w:cs="宋体"/>
          <w:bCs/>
          <w:color w:val="auto"/>
          <w:sz w:val="24"/>
          <w:szCs w:val="24"/>
          <w:highlight w:val="none"/>
        </w:rPr>
        <w:t xml:space="preserve">可在中国大陆有效居留的许可证明。</w:t>
      </w:r>
      <w:r/>
    </w:p>
    <w:p>
      <w:pPr>
        <w:pStyle w:val="1159"/>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50" w:name="报价方关于资格的声明函（格式）"/>
      <w:r/>
      <w:bookmarkEnd w:id="150"/>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无锡启扬项目管理有限公司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我公司（单位、联合体）针对本次项目</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进行投标，并作如下声明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3.本公司（单位、联合体）</w:t>
      </w:r>
      <w:r>
        <w:rPr>
          <w:rFonts w:hint="eastAsia" w:ascii="宋体" w:hAnsi="宋体" w:eastAsia="宋体"/>
          <w:bCs/>
          <w:color w:val="auto"/>
          <w:sz w:val="24"/>
          <w:szCs w:val="24"/>
          <w:highlight w:val="none"/>
        </w:rPr>
        <w:t xml:space="preserve">未</w:t>
      </w:r>
      <w:r>
        <w:rPr>
          <w:rFonts w:hint="eastAsia" w:ascii="宋体" w:hAnsi="宋体"/>
          <w:bCs/>
          <w:color w:val="auto"/>
          <w:sz w:val="24"/>
          <w:szCs w:val="24"/>
          <w:highlight w:val="none"/>
        </w:rPr>
        <w:t xml:space="preserve">被“信用中国”网站（www.creditchina.gov.cn）、中国政府采购网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w:t>
      </w:r>
      <w:r>
        <w:rPr>
          <w:rFonts w:hint="eastAsia" w:ascii="宋体" w:hAnsi="宋体" w:eastAsia="宋体"/>
          <w:bCs/>
          <w:color w:val="auto"/>
          <w:sz w:val="24"/>
          <w:szCs w:val="24"/>
          <w:highlight w:val="none"/>
        </w:rPr>
        <w:t xml:space="preserve">重大税收违法失信主体</w:t>
      </w:r>
      <w:r>
        <w:rPr>
          <w:rFonts w:hint="eastAsia" w:ascii="宋体" w:hAnsi="宋体"/>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jc w:val="left"/>
        <w:spacing w:line="360" w:lineRule="auto"/>
        <w:rPr>
          <w:rFonts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eastAsia="宋体" w:cs="宋体"/>
          <w:color w:val="auto"/>
          <w:sz w:val="24"/>
          <w:highlight w:val="none"/>
        </w:rPr>
        <w:t xml:space="preserve">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w:t>
      </w:r>
      <w:r>
        <w:rPr>
          <w:rFonts w:hint="eastAsia" w:ascii="宋体" w:hAnsi="宋体" w:cs="宋体"/>
          <w:bCs/>
          <w:color w:val="auto"/>
          <w:highlight w:val="none"/>
          <w:lang w:eastAsia="zh-CN"/>
        </w:rPr>
        <w:t xml:space="preserve">200万元</w:t>
      </w:r>
      <w:r>
        <w:rPr>
          <w:rFonts w:hint="eastAsia" w:ascii="宋体" w:hAnsi="宋体" w:eastAsia="宋体" w:cs="宋体"/>
          <w:bCs/>
          <w:color w:val="auto"/>
          <w:highlight w:val="none"/>
        </w:rPr>
        <w:t xml:space="preserve">以上的罚款，法律、行政法规以及国务院有关部门明确规定相关领域“较大数额罚款”标准高于</w:t>
      </w:r>
      <w:r>
        <w:rPr>
          <w:rFonts w:hint="eastAsia" w:ascii="宋体" w:hAnsi="宋体" w:cs="宋体"/>
          <w:bCs/>
          <w:color w:val="auto"/>
          <w:highlight w:val="none"/>
          <w:lang w:eastAsia="zh-CN"/>
        </w:rPr>
        <w:t xml:space="preserve">200万元</w:t>
      </w:r>
      <w:r>
        <w:rPr>
          <w:rFonts w:hint="eastAsia" w:ascii="宋体" w:hAnsi="宋体" w:eastAsia="宋体" w:cs="宋体"/>
          <w:bCs/>
          <w:color w:val="auto"/>
          <w:highlight w:val="none"/>
        </w:rPr>
        <w:t xml:space="preserve">的，从其规定。</w:t>
      </w: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万元</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color w:val="auto"/>
          <w:highlight w:val="none"/>
        </w:rPr>
        <w:t xml:space="preserve">只需按</w:t>
      </w:r>
      <w:r>
        <w:rPr>
          <w:rFonts w:hint="eastAsia"/>
          <w:color w:val="auto"/>
          <w:highlight w:val="none"/>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b/>
          <w:bCs/>
          <w:color w:val="auto"/>
          <w:sz w:val="28"/>
          <w:szCs w:val="28"/>
          <w:highlight w:val="none"/>
        </w:rPr>
      </w:pPr>
      <w:r>
        <w:rPr>
          <w:b/>
          <w:bCs/>
          <w:color w:val="auto"/>
          <w:sz w:val="28"/>
          <w:szCs w:val="28"/>
          <w:highlight w:val="none"/>
        </w:rPr>
      </w:r>
      <w:r/>
    </w:p>
    <w:p>
      <w:pPr>
        <w:spacing w:line="360" w:lineRule="auto"/>
        <w:rPr>
          <w:rFonts w:ascii="宋体" w:hAnsi="宋体" w:cs="宋体"/>
          <w:b/>
          <w:color w:val="auto"/>
          <w:sz w:val="28"/>
          <w:szCs w:val="28"/>
          <w:highlight w:val="none"/>
        </w:rPr>
      </w:pP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p>
    <w:p>
      <w:pPr>
        <w:spacing w:line="360" w:lineRule="auto"/>
        <w:rPr>
          <w:b/>
          <w:color w:val="auto"/>
          <w:sz w:val="30"/>
          <w:szCs w:val="30"/>
          <w:highlight w:val="none"/>
        </w:rPr>
      </w:pPr>
      <w:r>
        <w:rPr>
          <w:b/>
          <w:color w:val="auto"/>
          <w:sz w:val="30"/>
          <w:szCs w:val="30"/>
          <w:highlight w:val="none"/>
        </w:rPr>
      </w:r>
      <w:r/>
    </w:p>
    <w:p>
      <w:pPr>
        <w:jc w:val="center"/>
        <w:spacing w:line="360" w:lineRule="auto"/>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360" w:lineRule="auto"/>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无锡启扬项目管理有限公司</w:t>
      </w:r>
      <w:r>
        <w:rPr>
          <w:rFonts w:hint="eastAsia" w:ascii="宋体" w:hAnsi="宋体"/>
          <w:bCs/>
          <w:color w:val="auto"/>
          <w:sz w:val="24"/>
          <w:szCs w:val="24"/>
          <w:highlight w:val="none"/>
        </w:rPr>
        <w:t xml:space="preserve">：</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我方收到贵方编号</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153"/>
          <w:bCs/>
          <w:color w:val="auto"/>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无锡启扬项目管理有限公司</w:t>
      </w:r>
      <w:r>
        <w:rPr>
          <w:rFonts w:hint="eastAsia" w:ascii="宋体" w:hAnsi="宋体"/>
          <w:bCs/>
          <w:color w:val="auto"/>
          <w:sz w:val="24"/>
          <w:szCs w:val="24"/>
          <w:highlight w:val="none"/>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eastAsia="宋体"/>
          <w:bCs/>
          <w:color w:val="auto"/>
          <w:sz w:val="24"/>
          <w:szCs w:val="24"/>
          <w:highlight w:val="none"/>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w:t>
      </w:r>
      <w:r>
        <w:rPr>
          <w:rFonts w:hint="eastAsia" w:ascii="宋体" w:hAnsi="宋体" w:eastAsia="宋体"/>
          <w:bCs/>
          <w:color w:val="auto"/>
          <w:sz w:val="24"/>
          <w:szCs w:val="24"/>
          <w:highlight w:val="none"/>
        </w:rPr>
        <w:t xml:space="preserve">缴纳</w:t>
      </w:r>
      <w:r>
        <w:rPr>
          <w:rFonts w:hint="eastAsia" w:ascii="宋体" w:hAnsi="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bCs/>
          <w:color w:val="auto"/>
          <w:sz w:val="24"/>
          <w:szCs w:val="24"/>
          <w:highlight w:val="none"/>
        </w:rPr>
        <w:t xml:space="preserve">其他</w:t>
      </w:r>
      <w:r>
        <w:rPr>
          <w:rFonts w:hint="eastAsia" w:ascii="宋体" w:hAnsi="宋体"/>
          <w:bCs/>
          <w:color w:val="auto"/>
          <w:sz w:val="24"/>
          <w:szCs w:val="24"/>
          <w:highlight w:val="none"/>
        </w:rPr>
        <w:t xml:space="preserve">供应商或者</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恶意串通、决不向采购人、</w:t>
      </w:r>
      <w:r>
        <w:rPr>
          <w:rFonts w:hint="eastAsia" w:ascii="宋体" w:hAnsi="宋体" w:eastAsia="宋体"/>
          <w:bCs/>
          <w:color w:val="auto"/>
          <w:sz w:val="24"/>
          <w:szCs w:val="24"/>
          <w:highlight w:val="none"/>
        </w:rPr>
        <w:t xml:space="preserve">采购代理机构</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；传真：</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eastAsia="宋体"/>
          <w:bCs/>
          <w:color w:val="auto"/>
          <w:sz w:val="24"/>
          <w:szCs w:val="24"/>
          <w:highlight w:val="none"/>
          <w:u w:val="single"/>
        </w:rPr>
        <w:t xml:space="preserve">                                   </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p>
    <w:p>
      <w:pPr>
        <w:jc w:val="center"/>
        <w:spacing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240"/>
        <w:spacing w:line="360" w:lineRule="auto"/>
        <w:rPr>
          <w:rFonts w:ascii="宋体" w:hAnsi="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color w:val="auto"/>
          <w:sz w:val="24"/>
          <w:highlight w:val="none"/>
          <w:u w:val="single"/>
        </w:rPr>
        <w:t xml:space="preserve">投标人</w:t>
      </w:r>
      <w:r>
        <w:rPr>
          <w:rFonts w:hint="eastAsia" w:ascii="宋体" w:hAnsi="宋体"/>
          <w:color w:val="auto"/>
          <w:sz w:val="24"/>
          <w:szCs w:val="24"/>
          <w:highlight w:val="none"/>
          <w:u w:val="single"/>
        </w:rPr>
        <w:t xml:space="preserve">名称）</w:t>
      </w:r>
      <w:r>
        <w:rPr>
          <w:rFonts w:hint="eastAsia" w:ascii="宋体" w:hAnsi="宋体" w:eastAsia="宋体"/>
          <w:color w:val="auto"/>
          <w:sz w:val="24"/>
          <w:szCs w:val="24"/>
          <w:highlight w:val="none"/>
          <w:u w:val="single"/>
        </w:rPr>
        <w:t xml:space="preserve">    </w:t>
      </w:r>
      <w:r>
        <w:rPr>
          <w:rFonts w:hint="eastAsia" w:ascii="宋体" w:hAnsi="宋体"/>
          <w:color w:val="auto"/>
          <w:sz w:val="24"/>
          <w:szCs w:val="24"/>
          <w:highlight w:val="none"/>
        </w:rPr>
        <w:t xml:space="preserve">针对本项目在此承诺：</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eastAsia="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商品包装、快递包装要求的，本公司（单位）对于中标产品的包装将严格</w:t>
      </w:r>
      <w:r>
        <w:rPr>
          <w:rFonts w:hint="eastAsia" w:ascii="宋体" w:eastAsia="宋体"/>
          <w:bCs/>
          <w:color w:val="auto"/>
          <w:sz w:val="24"/>
          <w:szCs w:val="24"/>
          <w:highlight w:val="none"/>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w:t>
      </w:r>
      <w:r>
        <w:rPr>
          <w:rFonts w:hint="eastAsia" w:ascii="宋体" w:hAnsi="宋体"/>
          <w:color w:val="auto"/>
          <w:sz w:val="24"/>
          <w:szCs w:val="24"/>
          <w:highlight w:val="none"/>
          <w:lang w:eastAsia="zh-CN"/>
        </w:rPr>
        <w:t xml:space="preserve">按照</w:t>
      </w:r>
      <w:r>
        <w:rPr>
          <w:rFonts w:hint="eastAsia" w:ascii="宋体" w:hAnsi="宋体"/>
          <w:color w:val="auto"/>
          <w:sz w:val="24"/>
          <w:szCs w:val="24"/>
          <w:highlight w:val="none"/>
        </w:rPr>
        <w:t xml:space="preserve">《关于印发〈绿色数据中心政府采购需求标准（试行）〉的通知》（财办库〔2023〕7号）文件执行；所提供的数据中心相关设备、运维服务均符合《绿色数据中心政府采购需求标准（试行）》的指标及标准。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bCs/>
          <w:color w:val="auto"/>
          <w:sz w:val="24"/>
          <w:szCs w:val="24"/>
          <w:highlight w:val="none"/>
        </w:rPr>
        <w:t xml:space="preserve">4.</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360" w:lineRule="auto"/>
        <w:rPr>
          <w:rFonts w:ascii="宋体"/>
          <w:bCs/>
          <w:color w:val="auto"/>
          <w:sz w:val="24"/>
          <w:szCs w:val="24"/>
          <w:highlight w:val="none"/>
        </w:rPr>
      </w:pPr>
      <w:r>
        <w:rPr>
          <w:rFonts w:ascii="宋体"/>
          <w:bCs/>
          <w:color w:val="auto"/>
          <w:sz w:val="24"/>
          <w:szCs w:val="24"/>
          <w:highlight w:val="none"/>
        </w:rPr>
      </w:r>
      <w:r/>
    </w:p>
    <w:p>
      <w:p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b/>
          <w:color w:val="auto"/>
          <w:sz w:val="28"/>
          <w:szCs w:val="28"/>
          <w:highlight w:val="none"/>
        </w:rPr>
      </w:pPr>
      <w:r>
        <w:rPr>
          <w:rFonts w:hint="eastAsia"/>
          <w:b/>
          <w:color w:val="auto"/>
          <w:sz w:val="28"/>
          <w:szCs w:val="28"/>
          <w:highlight w:val="none"/>
        </w:rPr>
        <w:t xml:space="preserve">八、开标一览表（给定格式）：</w:t>
      </w:r>
      <w:r/>
    </w:p>
    <w:p>
      <w:pPr>
        <w:ind w:firstLine="482"/>
        <w:spacing w:line="360" w:lineRule="auto"/>
        <w:rPr>
          <w:rFonts w:ascii="Arial" w:hAnsi="Arial"/>
          <w:b/>
          <w:color w:val="auto"/>
          <w:sz w:val="24"/>
          <w:highlight w:val="none"/>
        </w:rPr>
      </w:pPr>
      <w:r>
        <w:rPr>
          <w:rFonts w:ascii="Arial" w:hAnsi="Arial"/>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u w:val="singl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p>
    <w:tbl>
      <w:tblPr>
        <w:tblStyle w:val="743"/>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hint="eastAsia" w:ascii="宋体" w:hAnsi="宋体" w:eastAsia="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eastAsia" w:ascii="宋体" w:hAnsi="宋体" w:eastAsia="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909"/>
              <w:jc w:val="center"/>
              <w:spacing w:line="360" w:lineRule="auto"/>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909"/>
              <w:spacing w:line="360" w:lineRule="auto"/>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spacing w:line="360" w:lineRule="auto"/>
              <w:rPr>
                <w:rFonts w:ascii="宋体" w:hAns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360" w:lineRule="auto"/>
        <w:rPr>
          <w:rFonts w:hint="eastAsia" w:ascii="黑体" w:eastAsia="黑体"/>
          <w:bCs/>
          <w:color w:val="auto"/>
          <w:sz w:val="24"/>
          <w:szCs w:val="24"/>
          <w:highlight w:val="none"/>
        </w:rPr>
      </w:pPr>
      <w:r/>
      <w:bookmarkStart w:id="157" w:name="_GoBack"/>
      <w:r/>
      <w:bookmarkEnd w:id="157"/>
      <w:r/>
      <w:r/>
    </w:p>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pStyle w:val="850"/>
        <w:rPr>
          <w:color w:val="auto"/>
          <w:highlight w:val="none"/>
        </w:rPr>
      </w:pPr>
      <w:r/>
      <w:bookmarkStart w:id="151" w:name="_Hlk165208335"/>
      <w:r/>
      <w:bookmarkEnd w:id="151"/>
      <w:r/>
    </w:p>
    <w:p>
      <w:pPr>
        <w:spacing w:line="360" w:lineRule="auto"/>
        <w:rPr>
          <w:rFonts w:hint="eastAsia"/>
          <w:b/>
          <w:color w:val="auto"/>
          <w:sz w:val="28"/>
          <w:szCs w:val="28"/>
          <w:highlight w:val="none"/>
          <w:lang w:val="en-US" w:eastAsia="zh-CN"/>
        </w:rPr>
      </w:pPr>
      <w:r>
        <w:rPr>
          <w:rFonts w:hint="eastAsia" w:ascii="黑体" w:eastAsia="黑体"/>
          <w:bCs/>
          <w:color w:val="auto"/>
          <w:sz w:val="24"/>
          <w:szCs w:val="24"/>
          <w:highlight w:val="none"/>
        </w:rPr>
        <w:br w:type="page" w:clear="all"/>
      </w:r>
      <w:bookmarkStart w:id="152" w:name="_Toc120614284"/>
      <w:r/>
      <w:r/>
    </w:p>
    <w:p>
      <w:pPr>
        <w:ind w:firstLine="482"/>
        <w:spacing w:line="360" w:lineRule="auto"/>
        <w:rPr>
          <w:rFonts w:ascii="Times New Roman" w:eastAsia="宋体"/>
          <w:b/>
          <w:color w:val="auto"/>
          <w:sz w:val="28"/>
          <w:szCs w:val="28"/>
          <w:highlight w:val="none"/>
        </w:rPr>
      </w:pPr>
      <w:r>
        <w:rPr>
          <w:rFonts w:hint="eastAsia"/>
          <w:b/>
          <w:color w:val="auto"/>
          <w:sz w:val="28"/>
          <w:szCs w:val="28"/>
          <w:highlight w:val="none"/>
          <w:lang w:val="en-US" w:eastAsia="zh-CN"/>
        </w:rPr>
        <w:t xml:space="preserve">九、</w:t>
      </w:r>
      <w:r>
        <w:rPr>
          <w:rFonts w:hint="eastAsia"/>
          <w:b/>
          <w:color w:val="auto"/>
          <w:sz w:val="28"/>
          <w:szCs w:val="28"/>
          <w:highlight w:val="none"/>
        </w:rPr>
        <w:t xml:space="preserve">分项</w:t>
      </w:r>
      <w:r>
        <w:rPr>
          <w:b/>
          <w:color w:val="auto"/>
          <w:sz w:val="28"/>
          <w:szCs w:val="28"/>
          <w:highlight w:val="none"/>
        </w:rPr>
        <w:t xml:space="preserve">报价表</w:t>
      </w:r>
      <w:r>
        <w:rPr>
          <w:rFonts w:hint="eastAsia"/>
          <w:b/>
          <w:color w:val="auto"/>
          <w:sz w:val="28"/>
          <w:szCs w:val="28"/>
          <w:highlight w:val="none"/>
        </w:rPr>
        <w:t xml:space="preserve">（给定格式）：</w:t>
      </w:r>
      <w:r/>
    </w:p>
    <w:p>
      <w:pPr>
        <w:ind w:firstLine="480"/>
        <w:spacing w:line="540" w:lineRule="exact"/>
        <w:tabs>
          <w:tab w:val="left" w:pos="426"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本项目保险保费为固定价格，即：养老机构综合责任保险保费100元/人/年；养老机构入住老年人意外伤害保险保费90元/人/保险周期，居家养老服务机构综合责任保险保费300元/家/年。</w:t>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spacing w:line="360" w:lineRule="auto"/>
        <w:rPr>
          <w:rFonts w:hint="eastAsia"/>
          <w:b/>
          <w:color w:val="auto"/>
          <w:sz w:val="28"/>
          <w:szCs w:val="28"/>
          <w:highlight w:val="none"/>
        </w:rPr>
      </w:pPr>
      <w:r>
        <w:rPr>
          <w:rFonts w:hint="eastAsia"/>
          <w:b/>
          <w:color w:val="auto"/>
          <w:sz w:val="28"/>
          <w:szCs w:val="28"/>
          <w:highlight w:val="none"/>
        </w:rPr>
      </w:r>
      <w:r/>
    </w:p>
    <w:p>
      <w:pPr>
        <w:rPr>
          <w:rFonts w:hint="eastAsia"/>
          <w:b/>
          <w:color w:val="auto"/>
          <w:sz w:val="28"/>
          <w:szCs w:val="28"/>
          <w:highlight w:val="none"/>
          <w:lang w:val="en-US" w:eastAsia="zh-CN"/>
        </w:rPr>
      </w:pPr>
      <w:r>
        <w:rPr>
          <w:rFonts w:hint="eastAsia"/>
          <w:b/>
          <w:color w:val="auto"/>
          <w:sz w:val="28"/>
          <w:szCs w:val="28"/>
          <w:highlight w:val="none"/>
          <w:lang w:val="en-US" w:eastAsia="zh-CN"/>
        </w:rPr>
        <w:br w:type="page" w:clear="all"/>
      </w:r>
      <w:r/>
    </w:p>
    <w:p>
      <w:pPr>
        <w:spacing w:line="360" w:lineRule="auto"/>
        <w:rPr>
          <w:b/>
          <w:color w:val="auto"/>
          <w:sz w:val="28"/>
          <w:szCs w:val="28"/>
          <w:highlight w:val="none"/>
        </w:rPr>
      </w:pPr>
      <w:r>
        <w:rPr>
          <w:rFonts w:hint="eastAsia"/>
          <w:b/>
          <w:color w:val="auto"/>
          <w:sz w:val="28"/>
          <w:szCs w:val="28"/>
          <w:highlight w:val="none"/>
          <w:lang w:val="en-US" w:eastAsia="zh-CN"/>
        </w:rPr>
        <w:t xml:space="preserve">十、</w:t>
      </w:r>
      <w:r>
        <w:rPr>
          <w:rFonts w:hint="eastAsia"/>
          <w:b/>
          <w:color w:val="auto"/>
          <w:sz w:val="28"/>
          <w:szCs w:val="28"/>
          <w:highlight w:val="none"/>
        </w:rPr>
        <w:t xml:space="preserve">投标偏离表（给定格式）：</w:t>
      </w:r>
      <w:r/>
    </w:p>
    <w:p>
      <w:pPr>
        <w:ind w:firstLine="490"/>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val="en-US" w:eastAsia="zh-CN"/>
        </w:rPr>
        <w:t xml:space="preserve">                                                    </w:t>
      </w:r>
      <w:r/>
    </w:p>
    <w:tbl>
      <w:tblPr>
        <w:tblStyle w:val="74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color w:val="auto"/>
                <w:highlight w:val="none"/>
              </w:rPr>
            </w:pPr>
            <w:r>
              <w:rPr>
                <w:rFonts w:ascii="宋体"/>
                <w:bCs/>
                <w:color w:val="auto"/>
                <w:highlight w:val="none"/>
              </w:rPr>
            </w:r>
            <w:r/>
          </w:p>
        </w:tc>
      </w:tr>
    </w:tbl>
    <w:p>
      <w:pPr>
        <w:spacing w:line="360" w:lineRule="auto"/>
        <w:rPr>
          <w:rFonts w:ascii="黑体" w:eastAsia="黑体"/>
          <w:bCs/>
          <w:color w:val="auto"/>
          <w:sz w:val="24"/>
          <w:szCs w:val="24"/>
          <w:highlight w:val="none"/>
        </w:rPr>
      </w:pPr>
      <w:r>
        <w:rPr>
          <w:rFonts w:ascii="黑体" w:eastAsia="黑体"/>
          <w:bCs/>
          <w:color w:val="auto"/>
          <w:sz w:val="24"/>
          <w:szCs w:val="24"/>
          <w:highlight w:val="none"/>
        </w:rPr>
      </w:r>
      <w:r/>
    </w:p>
    <w:p>
      <w:pPr>
        <w:spacing w:line="360" w:lineRule="auto"/>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96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p>
    <w:p>
      <w:pPr>
        <w:ind w:firstLine="42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   </w:t>
      </w:r>
      <w:r>
        <w:rPr>
          <w:rFonts w:hint="eastAsia" w:ascii="宋体" w:hAnsi="宋体" w:eastAsia="宋体"/>
          <w:bCs/>
          <w:color w:val="auto"/>
          <w:sz w:val="24"/>
          <w:szCs w:val="24"/>
          <w:highlight w:val="none"/>
        </w:rPr>
        <w:t xml:space="preserve"> </w:t>
      </w:r>
      <w:r>
        <w:rPr>
          <w:rFonts w:hint="eastAsia" w:ascii="宋体" w:hAnsi="宋体"/>
          <w:bCs/>
          <w:color w:val="auto"/>
          <w:sz w:val="24"/>
          <w:szCs w:val="24"/>
          <w:highlight w:val="none"/>
        </w:rPr>
        <w:t xml:space="preserve">（3）如有技术偏离项，请于本表中列明偏离内容，如需要可自行延长，其余无偏离内容不须赘述。</w:t>
      </w:r>
      <w:bookmarkEnd w:id="152"/>
      <w:r/>
      <w:bookmarkStart w:id="153" w:name="_Hlt26609389"/>
      <w:r/>
      <w:bookmarkEnd w:id="153"/>
      <w:r/>
      <w:bookmarkStart w:id="154" w:name="_Hlt26671374"/>
      <w:r/>
      <w:bookmarkEnd w:id="154"/>
      <w:r/>
      <w:bookmarkStart w:id="155" w:name="_格式2__法定代表人授权书"/>
      <w:r/>
      <w:bookmarkEnd w:id="155"/>
      <w:r/>
      <w:bookmarkStart w:id="156" w:name="_Hlt26955066"/>
      <w:r/>
      <w:bookmarkEnd w:id="156"/>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ind w:firstLine="420"/>
        <w:spacing w:line="360" w:lineRule="auto"/>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color w:val="auto"/>
          <w:highlight w:val="none"/>
        </w:rPr>
      </w:pPr>
      <w:r>
        <w:rPr>
          <w:color w:val="auto"/>
          <w:highlight w:val="none"/>
        </w:rPr>
      </w:r>
      <w:r/>
    </w:p>
    <w:p>
      <w:pPr>
        <w:spacing w:line="360" w:lineRule="auto"/>
        <w:rPr>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十</w:t>
      </w:r>
      <w:r>
        <w:rPr>
          <w:rFonts w:hint="eastAsia"/>
          <w:b/>
          <w:color w:val="auto"/>
          <w:sz w:val="28"/>
          <w:szCs w:val="28"/>
          <w:highlight w:val="none"/>
          <w:lang w:val="en-US" w:eastAsia="zh-CN"/>
        </w:rPr>
        <w:t xml:space="preserve">一</w:t>
      </w:r>
      <w:r>
        <w:rPr>
          <w:rFonts w:hint="eastAsia"/>
          <w:b/>
          <w:color w:val="auto"/>
          <w:sz w:val="28"/>
          <w:szCs w:val="28"/>
          <w:highlight w:val="none"/>
        </w:rPr>
        <w:t xml:space="preserve">、项目人员配置表（格式）</w:t>
      </w:r>
      <w:r/>
    </w:p>
    <w:p>
      <w:pPr>
        <w:ind w:firstLine="420"/>
        <w:spacing w:line="360" w:lineRule="auto"/>
        <w:rPr>
          <w:rFonts w:ascii="黑体" w:hAnsi="宋体" w:eastAsia="黑体"/>
          <w:bCs/>
          <w:color w:val="auto"/>
          <w:sz w:val="24"/>
          <w:szCs w:val="24"/>
          <w:highlight w:val="none"/>
        </w:rPr>
        <w:outlineLvl w:val="0"/>
      </w:pPr>
      <w:r>
        <w:rPr>
          <w:rFonts w:ascii="黑体" w:hAnsi="宋体" w:eastAsia="黑体"/>
          <w:bCs/>
          <w:color w:val="auto"/>
          <w:sz w:val="24"/>
          <w:szCs w:val="24"/>
          <w:highlight w:val="none"/>
        </w:rPr>
      </w:r>
      <w:r/>
    </w:p>
    <w:p>
      <w:pPr>
        <w:pStyle w:val="769"/>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拟派人员配置表及拟派项目负责人简历表</w:t>
      </w:r>
      <w:r/>
    </w:p>
    <w:p>
      <w:pPr>
        <w:jc w:val="center"/>
        <w:spacing w:line="360" w:lineRule="auto"/>
        <w:rPr>
          <w:rFonts w:hint="eastAsia" w:ascii="黑体" w:hAnsi="黑体" w:eastAsia="黑体" w:cs="黑体"/>
          <w:bCs/>
          <w:color w:val="auto"/>
          <w:sz w:val="24"/>
          <w:highlight w:val="none"/>
          <w:lang w:eastAsia="zh-CN"/>
        </w:rPr>
      </w:pPr>
      <w:r>
        <w:rPr>
          <w:rFonts w:hint="eastAsia" w:ascii="黑体" w:hAnsi="黑体" w:eastAsia="黑体" w:cs="黑体"/>
          <w:bCs/>
          <w:color w:val="auto"/>
          <w:sz w:val="24"/>
          <w:highlight w:val="none"/>
        </w:rPr>
        <w:t xml:space="preserve">（1）人员配置表</w:t>
      </w:r>
      <w:r/>
    </w:p>
    <w:p>
      <w:pPr>
        <w:rPr>
          <w:rFonts w:ascii="黑体" w:hAnsi="黑体" w:eastAsia="黑体" w:cs="黑体"/>
          <w:color w:val="auto"/>
          <w:highlight w:val="none"/>
        </w:rPr>
      </w:pPr>
      <w:r>
        <w:rPr>
          <w:rFonts w:ascii="黑体" w:hAnsi="黑体" w:eastAsia="黑体" w:cs="黑体"/>
          <w:color w:val="auto"/>
          <w:highlight w:val="none"/>
        </w:rPr>
      </w:r>
      <w:r/>
    </w:p>
    <w:tbl>
      <w:tblPr>
        <w:tblStyle w:val="7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1066"/>
        <w:gridCol w:w="1006"/>
        <w:gridCol w:w="2230"/>
      </w:tblGrid>
      <w:tr>
        <w:trPr>
          <w:jc w:val="center"/>
          <w:trHeight w:val="786"/>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序号</w:t>
            </w:r>
            <w:r/>
          </w:p>
        </w:tc>
        <w:tc>
          <w:tcPr>
            <w:tcW w:w="1506" w:type="dxa"/>
            <w:vAlign w:val="center"/>
            <w:textDirection w:val="lrTb"/>
            <w:noWrap w:val="false"/>
          </w:tcPr>
          <w:p>
            <w:pPr>
              <w:ind w:firstLine="240"/>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姓   名</w:t>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年龄</w:t>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性别</w:t>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学 历</w:t>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专业</w:t>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职称</w:t>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在本项目拟任职务</w:t>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5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5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5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5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5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5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786"/>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5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801"/>
        </w:trPr>
        <w:tc>
          <w:tcPr>
            <w:tcW w:w="70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5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7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853"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29"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6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06"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2230"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bl>
    <w:p>
      <w:pPr>
        <w:spacing w:line="480" w:lineRule="auto"/>
        <w:rPr>
          <w:rFonts w:ascii="黑体" w:hAnsi="黑体" w:eastAsia="黑体" w:cs="黑体"/>
          <w:bCs/>
          <w:color w:val="auto"/>
          <w:sz w:val="24"/>
          <w:highlight w:val="none"/>
        </w:rPr>
      </w:pPr>
      <w:r>
        <w:rPr>
          <w:rFonts w:ascii="黑体" w:hAnsi="黑体" w:eastAsia="黑体" w:cs="黑体"/>
          <w:bCs/>
          <w:color w:val="auto"/>
          <w:sz w:val="24"/>
          <w:highlight w:val="none"/>
        </w:rPr>
      </w:r>
      <w:r/>
    </w:p>
    <w:p>
      <w:pPr>
        <w:spacing w:line="480"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供应商（盖章）：</w:t>
      </w:r>
      <w:r/>
    </w:p>
    <w:p>
      <w:pPr>
        <w:spacing w:line="480"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法定代表人或法定代表人授权代表签字或盖章：</w:t>
      </w:r>
      <w:r/>
    </w:p>
    <w:p>
      <w:pPr>
        <w:spacing w:line="480" w:lineRule="auto"/>
        <w:rPr>
          <w:rFonts w:ascii="黑体" w:hAnsi="黑体" w:eastAsia="黑体" w:cs="黑体"/>
          <w:bCs/>
          <w:color w:val="auto"/>
          <w:sz w:val="24"/>
          <w:highlight w:val="none"/>
        </w:rPr>
      </w:pPr>
      <w:r>
        <w:rPr>
          <w:rFonts w:hint="eastAsia" w:ascii="黑体" w:hAnsi="黑体" w:eastAsia="黑体" w:cs="黑体"/>
          <w:bCs/>
          <w:color w:val="auto"/>
          <w:sz w:val="24"/>
          <w:highlight w:val="none"/>
        </w:rPr>
        <w:t xml:space="preserve">日期：</w:t>
      </w:r>
      <w:r/>
    </w:p>
    <w:p>
      <w:pPr>
        <w:ind w:right="480"/>
        <w:spacing w:line="360" w:lineRule="auto"/>
        <w:rPr>
          <w:rFonts w:ascii="黑体" w:hAnsi="黑体" w:eastAsia="黑体" w:cs="黑体"/>
          <w:color w:val="auto"/>
          <w:sz w:val="24"/>
          <w:highlight w:val="none"/>
        </w:rPr>
      </w:pPr>
      <w:r>
        <w:rPr>
          <w:rFonts w:ascii="黑体" w:hAnsi="黑体" w:eastAsia="黑体" w:cs="黑体"/>
          <w:color w:val="auto"/>
          <w:sz w:val="24"/>
          <w:highlight w:val="none"/>
        </w:rPr>
      </w:r>
      <w:r/>
    </w:p>
    <w:p>
      <w:pPr>
        <w:ind w:right="480"/>
        <w:spacing w:line="360" w:lineRule="auto"/>
        <w:rPr>
          <w:rFonts w:ascii="黑体" w:hAnsi="黑体" w:eastAsia="黑体" w:cs="黑体"/>
          <w:color w:val="auto"/>
          <w:sz w:val="24"/>
          <w:highlight w:val="none"/>
        </w:rPr>
      </w:pPr>
      <w:r>
        <w:rPr>
          <w:rFonts w:ascii="黑体" w:hAnsi="黑体" w:eastAsia="黑体" w:cs="黑体"/>
          <w:color w:val="auto"/>
          <w:sz w:val="24"/>
          <w:highlight w:val="none"/>
        </w:rPr>
      </w:r>
      <w:r/>
    </w:p>
    <w:p>
      <w:pPr>
        <w:ind w:right="480"/>
        <w:spacing w:line="360" w:lineRule="auto"/>
        <w:rPr>
          <w:rFonts w:ascii="黑体" w:hAnsi="黑体" w:eastAsia="黑体" w:cs="黑体"/>
          <w:color w:val="auto"/>
          <w:sz w:val="24"/>
          <w:highlight w:val="none"/>
        </w:rPr>
      </w:pPr>
      <w:r>
        <w:rPr>
          <w:rFonts w:ascii="黑体" w:hAnsi="黑体" w:eastAsia="黑体" w:cs="黑体"/>
          <w:color w:val="auto"/>
          <w:sz w:val="24"/>
          <w:highlight w:val="none"/>
        </w:rPr>
      </w:r>
      <w:r/>
    </w:p>
    <w:p>
      <w:pPr>
        <w:ind w:right="480"/>
        <w:spacing w:line="360" w:lineRule="auto"/>
        <w:rPr>
          <w:rFonts w:ascii="黑体" w:hAnsi="黑体" w:eastAsia="黑体" w:cs="黑体"/>
          <w:color w:val="auto"/>
          <w:sz w:val="24"/>
          <w:highlight w:val="none"/>
        </w:rPr>
      </w:pPr>
      <w:r>
        <w:rPr>
          <w:rFonts w:ascii="黑体" w:hAnsi="黑体" w:eastAsia="黑体" w:cs="黑体"/>
          <w:color w:val="auto"/>
          <w:sz w:val="24"/>
          <w:highlight w:val="none"/>
        </w:rPr>
      </w:r>
      <w:r/>
    </w:p>
    <w:p>
      <w:pPr>
        <w:ind w:right="480"/>
        <w:spacing w:line="360" w:lineRule="auto"/>
        <w:rPr>
          <w:rFonts w:ascii="黑体" w:hAnsi="黑体" w:eastAsia="黑体" w:cs="黑体"/>
          <w:color w:val="auto"/>
          <w:sz w:val="24"/>
          <w:highlight w:val="none"/>
        </w:rPr>
      </w:pPr>
      <w:r>
        <w:rPr>
          <w:rFonts w:ascii="黑体" w:hAnsi="黑体" w:eastAsia="黑体" w:cs="黑体"/>
          <w:color w:val="auto"/>
          <w:sz w:val="24"/>
          <w:highlight w:val="none"/>
        </w:rPr>
      </w:r>
      <w:r/>
    </w:p>
    <w:p>
      <w:pPr>
        <w:ind w:right="480"/>
        <w:spacing w:line="360" w:lineRule="auto"/>
        <w:rPr>
          <w:rFonts w:ascii="黑体" w:hAnsi="黑体" w:eastAsia="黑体" w:cs="黑体"/>
          <w:color w:val="auto"/>
          <w:sz w:val="24"/>
          <w:highlight w:val="none"/>
        </w:rPr>
      </w:pPr>
      <w:r>
        <w:rPr>
          <w:rFonts w:ascii="黑体" w:hAnsi="黑体" w:eastAsia="黑体" w:cs="黑体"/>
          <w:color w:val="auto"/>
          <w:sz w:val="24"/>
          <w:highlight w:val="none"/>
        </w:rPr>
      </w:r>
      <w:r/>
    </w:p>
    <w:p>
      <w:pPr>
        <w:pStyle w:val="916"/>
        <w:jc w:val="center"/>
        <w:rPr>
          <w:rFonts w:ascii="黑体" w:hAnsi="黑体" w:eastAsia="黑体" w:cs="黑体"/>
          <w:bCs/>
          <w:color w:val="auto"/>
          <w:sz w:val="24"/>
          <w:szCs w:val="24"/>
          <w:highlight w:val="none"/>
        </w:rPr>
      </w:pPr>
      <w:r>
        <w:rPr>
          <w:rFonts w:ascii="黑体" w:hAnsi="黑体" w:eastAsia="黑体" w:cs="黑体"/>
          <w:bCs/>
          <w:color w:val="auto"/>
          <w:sz w:val="24"/>
          <w:szCs w:val="24"/>
          <w:highlight w:val="none"/>
        </w:rPr>
      </w:r>
      <w:r/>
    </w:p>
    <w:p>
      <w:pPr>
        <w:pStyle w:val="916"/>
        <w:jc w:val="center"/>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（2）</w:t>
      </w:r>
      <w:r>
        <w:rPr>
          <w:rFonts w:hint="eastAsia" w:ascii="黑体" w:hAnsi="黑体" w:eastAsia="黑体" w:cs="黑体"/>
          <w:bCs/>
          <w:color w:val="auto"/>
          <w:sz w:val="24"/>
          <w:szCs w:val="24"/>
          <w:highlight w:val="none"/>
        </w:rPr>
        <w:t xml:space="preserve">拟派项目负责人简历表</w:t>
      </w:r>
      <w:r/>
    </w:p>
    <w:p>
      <w:pPr>
        <w:pStyle w:val="916"/>
        <w:rPr>
          <w:rFonts w:ascii="黑体" w:hAnsi="黑体" w:eastAsia="黑体" w:cs="黑体"/>
          <w:color w:val="auto"/>
          <w:highlight w:val="none"/>
        </w:rPr>
      </w:pPr>
      <w:r>
        <w:rPr>
          <w:rFonts w:ascii="黑体" w:hAnsi="黑体" w:eastAsia="黑体" w:cs="黑体"/>
          <w:color w:val="auto"/>
          <w:highlight w:val="none"/>
        </w:rPr>
      </w:r>
      <w:r/>
    </w:p>
    <w:p>
      <w:pPr>
        <w:pStyle w:val="916"/>
        <w:rPr>
          <w:rFonts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供应商名称（盖章）                    　  政府采购编号：</w:t>
      </w:r>
      <w:r/>
    </w:p>
    <w:tbl>
      <w:tblPr>
        <w:tblStyle w:val="74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789"/>
              <w:ind w:firstLine="0"/>
              <w:jc w:val="center"/>
              <w:rPr>
                <w:rFonts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1</w:t>
            </w:r>
            <w:r/>
          </w:p>
        </w:tc>
        <w:tc>
          <w:tcPr>
            <w:tcW w:w="1851"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姓名</w:t>
            </w:r>
            <w:r/>
          </w:p>
        </w:tc>
        <w:tc>
          <w:tcPr>
            <w:tcW w:w="2394"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083"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性别</w:t>
            </w:r>
            <w:r/>
          </w:p>
        </w:tc>
        <w:tc>
          <w:tcPr>
            <w:gridSpan w:val="2"/>
            <w:tcW w:w="3612"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r>
      <w:tr>
        <w:trPr>
          <w:jc w:val="center"/>
          <w:trHeight w:val="645"/>
        </w:trPr>
        <w:tc>
          <w:tcPr>
            <w:tcW w:w="775" w:type="dxa"/>
            <w:vAlign w:val="center"/>
            <w:textDirection w:val="lrTb"/>
            <w:noWrap w:val="false"/>
          </w:tcPr>
          <w:p>
            <w:pPr>
              <w:pStyle w:val="789"/>
              <w:ind w:firstLine="0"/>
              <w:jc w:val="center"/>
              <w:rPr>
                <w:rFonts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2</w:t>
            </w:r>
            <w:r/>
          </w:p>
        </w:tc>
        <w:tc>
          <w:tcPr>
            <w:tcW w:w="1851"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身份证号码</w:t>
            </w:r>
            <w:r/>
          </w:p>
        </w:tc>
        <w:tc>
          <w:tcPr>
            <w:gridSpan w:val="2"/>
            <w:tcW w:w="3477" w:type="dxa"/>
            <w:vAlign w:val="center"/>
            <w:textDirection w:val="lrTb"/>
            <w:noWrap w:val="false"/>
          </w:tcPr>
          <w:p>
            <w:pPr>
              <w:jc w:val="center"/>
              <w:spacing w:line="500" w:lineRule="exact"/>
              <w:rPr>
                <w:rFonts w:ascii="黑体" w:hAnsi="黑体" w:eastAsia="黑体" w:cs="黑体"/>
                <w:color w:val="auto"/>
                <w:sz w:val="24"/>
                <w:highlight w:val="none"/>
              </w:rPr>
            </w:pPr>
            <w:r>
              <w:rPr>
                <w:rFonts w:ascii="黑体" w:hAnsi="黑体" w:eastAsia="黑体" w:cs="黑体"/>
                <w:color w:val="auto"/>
                <w:sz w:val="24"/>
                <w:highlight w:val="none"/>
              </w:rPr>
            </w:r>
            <w:r/>
          </w:p>
        </w:tc>
        <w:tc>
          <w:tcPr>
            <w:tcW w:w="1254"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出生年月</w:t>
            </w:r>
            <w:r/>
          </w:p>
        </w:tc>
        <w:tc>
          <w:tcPr>
            <w:tcW w:w="2358"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年     月</w:t>
            </w:r>
            <w:r/>
          </w:p>
        </w:tc>
      </w:tr>
      <w:tr>
        <w:trPr>
          <w:cantSplit/>
          <w:jc w:val="center"/>
          <w:trHeight w:val="645"/>
        </w:trPr>
        <w:tc>
          <w:tcPr>
            <w:tcW w:w="775" w:type="dxa"/>
            <w:vAlign w:val="center"/>
            <w:textDirection w:val="lrTb"/>
            <w:noWrap w:val="false"/>
          </w:tcPr>
          <w:p>
            <w:pPr>
              <w:pStyle w:val="789"/>
              <w:ind w:firstLine="0"/>
              <w:jc w:val="center"/>
              <w:rPr>
                <w:rFonts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3</w:t>
            </w:r>
            <w:r/>
          </w:p>
        </w:tc>
        <w:tc>
          <w:tcPr>
            <w:gridSpan w:val="5"/>
            <w:tcW w:w="8940"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联系电话/传真： </w:t>
            </w:r>
            <w:r/>
          </w:p>
        </w:tc>
      </w:tr>
      <w:tr>
        <w:trPr>
          <w:cantSplit/>
          <w:jc w:val="center"/>
          <w:trHeight w:val="1964"/>
        </w:trPr>
        <w:tc>
          <w:tcPr>
            <w:tcW w:w="775" w:type="dxa"/>
            <w:vAlign w:val="center"/>
            <w:textDirection w:val="lrTb"/>
            <w:noWrap w:val="false"/>
          </w:tcPr>
          <w:p>
            <w:pPr>
              <w:pStyle w:val="789"/>
              <w:ind w:firstLine="0"/>
              <w:jc w:val="center"/>
              <w:rPr>
                <w:rFonts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4</w:t>
            </w:r>
            <w:r/>
          </w:p>
        </w:tc>
        <w:tc>
          <w:tcPr>
            <w:gridSpan w:val="5"/>
            <w:tcW w:w="8940" w:type="dxa"/>
            <w:vAlign w:val="top"/>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789"/>
              <w:ind w:firstLine="0"/>
              <w:jc w:val="center"/>
              <w:rPr>
                <w:rFonts w:ascii="黑体" w:hAnsi="黑体" w:eastAsia="黑体" w:cs="黑体"/>
                <w:color w:val="auto"/>
                <w:sz w:val="21"/>
                <w:szCs w:val="21"/>
                <w:highlight w:val="none"/>
              </w:rPr>
            </w:pPr>
            <w:r>
              <w:rPr>
                <w:rFonts w:hint="eastAsia" w:ascii="黑体" w:hAnsi="黑体" w:eastAsia="黑体" w:cs="黑体"/>
                <w:color w:val="auto"/>
                <w:sz w:val="21"/>
                <w:szCs w:val="21"/>
                <w:highlight w:val="none"/>
              </w:rPr>
              <w:t xml:space="preserve">5</w:t>
            </w:r>
            <w:r/>
          </w:p>
        </w:tc>
        <w:tc>
          <w:tcPr>
            <w:gridSpan w:val="5"/>
            <w:tcW w:w="8940"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6</w:t>
            </w:r>
            <w:r/>
          </w:p>
        </w:tc>
        <w:tc>
          <w:tcPr>
            <w:gridSpan w:val="5"/>
            <w:tcW w:w="8940"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7</w:t>
            </w:r>
            <w:r/>
          </w:p>
        </w:tc>
        <w:tc>
          <w:tcPr>
            <w:gridSpan w:val="5"/>
            <w:tcW w:w="8940" w:type="dxa"/>
            <w:vAlign w:val="top"/>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近3年内负责的相关项目：</w:t>
            </w:r>
            <w:r/>
          </w:p>
        </w:tc>
      </w:tr>
      <w:tr>
        <w:trPr>
          <w:cantSplit/>
          <w:jc w:val="center"/>
          <w:trHeight w:val="607"/>
        </w:trPr>
        <w:tc>
          <w:tcPr>
            <w:tcW w:w="775" w:type="dxa"/>
            <w:vAlign w:val="center"/>
            <w:textDirection w:val="lrTb"/>
            <w:noWrap w:val="false"/>
          </w:tcPr>
          <w:p>
            <w:pPr>
              <w:ind w:left="-2"/>
              <w:jc w:val="center"/>
              <w:spacing w:line="360" w:lineRule="auto"/>
              <w:rPr>
                <w:rFonts w:ascii="黑体" w:hAnsi="黑体" w:eastAsia="黑体" w:cs="黑体"/>
                <w:color w:val="auto"/>
                <w:szCs w:val="21"/>
                <w:highlight w:val="none"/>
              </w:rPr>
            </w:pPr>
            <w:r>
              <w:rPr>
                <w:rFonts w:hint="eastAsia" w:ascii="黑体" w:hAnsi="黑体" w:eastAsia="黑体" w:cs="黑体"/>
                <w:color w:val="auto"/>
                <w:szCs w:val="21"/>
                <w:highlight w:val="none"/>
              </w:rPr>
              <w:t xml:space="preserve">8</w:t>
            </w:r>
            <w:r/>
          </w:p>
        </w:tc>
        <w:tc>
          <w:tcPr>
            <w:gridSpan w:val="5"/>
            <w:tcW w:w="8940" w:type="dxa"/>
            <w:vAlign w:val="center"/>
            <w:textDirection w:val="lrTb"/>
            <w:noWrap w:val="false"/>
          </w:tcPr>
          <w:p>
            <w:pPr>
              <w:jc w:val="center"/>
              <w:spacing w:line="500" w:lineRule="exact"/>
              <w:rPr>
                <w:rFonts w:ascii="黑体" w:hAnsi="黑体" w:eastAsia="黑体" w:cs="黑体"/>
                <w:color w:val="auto"/>
                <w:sz w:val="24"/>
                <w:highlight w:val="none"/>
              </w:rPr>
            </w:pPr>
            <w:r>
              <w:rPr>
                <w:rFonts w:hint="eastAsia" w:ascii="黑体" w:hAnsi="黑体" w:eastAsia="黑体" w:cs="黑体"/>
                <w:color w:val="auto"/>
                <w:sz w:val="24"/>
                <w:highlight w:val="none"/>
              </w:rPr>
              <w:t xml:space="preserve">其他需要说明的情况</w:t>
            </w:r>
            <w:r/>
          </w:p>
        </w:tc>
      </w:tr>
    </w:tbl>
    <w:p>
      <w:pPr>
        <w:rPr>
          <w:rFonts w:ascii="黑体" w:hAnsi="黑体" w:eastAsia="黑体" w:cs="黑体"/>
          <w:bCs/>
          <w:color w:val="auto"/>
          <w:szCs w:val="21"/>
          <w:highlight w:val="none"/>
        </w:rPr>
        <w:outlineLvl w:val="0"/>
      </w:pPr>
      <w:r>
        <w:rPr>
          <w:rFonts w:hint="eastAsia" w:ascii="黑体" w:hAnsi="黑体" w:eastAsia="黑体" w:cs="黑体"/>
          <w:bCs/>
          <w:color w:val="auto"/>
          <w:sz w:val="24"/>
          <w:highlight w:val="none"/>
        </w:rPr>
        <w:t xml:space="preserve">法定代表人或法定代表人授权代表签字或盖章</w:t>
      </w:r>
      <w:r>
        <w:rPr>
          <w:rFonts w:hint="eastAsia" w:ascii="黑体" w:hAnsi="黑体" w:eastAsia="黑体" w:cs="黑体"/>
          <w:b/>
          <w:bCs/>
          <w:color w:val="auto"/>
          <w:sz w:val="24"/>
          <w:highlight w:val="none"/>
        </w:rPr>
        <w:t xml:space="preserve">：</w:t>
      </w:r>
      <w:r/>
    </w:p>
    <w:p>
      <w:pPr>
        <w:pStyle w:val="913"/>
        <w:numPr>
          <w:ilvl w:val="0"/>
          <w:numId w:val="0"/>
        </w:numPr>
        <w:spacing w:line="440" w:lineRule="exact"/>
        <w:rPr>
          <w:rFonts w:ascii="Times New Roman" w:hAnsi="Times New Roman" w:eastAsia="宋体"/>
          <w:color w:val="auto"/>
          <w:sz w:val="24"/>
          <w:highlight w:val="none"/>
        </w:rPr>
      </w:pPr>
      <w:r>
        <w:rPr>
          <w:rFonts w:ascii="Times New Roman" w:hAnsi="Times New Roman" w:eastAsia="宋体"/>
          <w:color w:val="auto"/>
          <w:sz w:val="24"/>
          <w:highlight w:val="none"/>
        </w:rPr>
      </w:r>
      <w:r/>
    </w:p>
    <w:p>
      <w:pPr>
        <w:spacing w:line="360" w:lineRule="auto"/>
        <w:rPr>
          <w:rFonts w:ascii="宋体" w:hAnsi="宋体"/>
          <w:bCs/>
          <w:color w:val="auto"/>
          <w:sz w:val="30"/>
          <w:highlight w:val="none"/>
        </w:rPr>
      </w:pPr>
      <w:r>
        <w:rPr>
          <w:rFonts w:ascii="宋体" w:hAnsi="宋体"/>
          <w:bCs/>
          <w:color w:val="auto"/>
          <w:sz w:val="30"/>
          <w:highlight w:val="none"/>
        </w:rPr>
      </w:r>
      <w:r/>
    </w:p>
    <w:sectPr>
      <w:footerReference w:type="default" r:id="rId14"/>
      <w:footerReference w:type="first" r:id="rId15"/>
      <w:footnotePr/>
      <w:endnotePr/>
      <w:type w:val="nextPage"/>
      <w:pgSz w:w="11906" w:h="16838" w:orient="portrait"/>
      <w:pgMar w:top="850" w:right="851" w:bottom="850" w:left="1134"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楷体_GB2312">
    <w:panose1 w:val="02010609060101010101"/>
  </w:font>
  <w:font w:name="仿宋_GB2312">
    <w:panose1 w:val="02010609060101010101"/>
  </w:font>
  <w:font w:name="华文中宋">
    <w:panose1 w:val="0201060004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rPr>
        <w:rStyle w:val="843"/>
      </w:rPr>
      <w:framePr w:wrap="around" w:vAnchor="text" w:hAnchor="margin" w:xAlign="center" w:y="1"/>
    </w:pPr>
    <w:r>
      <w:rPr>
        <w:rStyle w:val="843"/>
      </w:rPr>
      <w:fldChar w:fldCharType="begin"/>
    </w:r>
    <w:r>
      <w:rPr>
        <w:rStyle w:val="843"/>
      </w:rPr>
      <w:instrText xml:space="preserve">PAGE  </w:instrText>
    </w:r>
    <w:r>
      <w:rPr>
        <w:rStyle w:val="843"/>
      </w:rPr>
      <w:fldChar w:fldCharType="separate"/>
    </w:r>
    <w:r>
      <w:rPr>
        <w:rStyle w:val="843"/>
      </w:rPr>
      <w:t xml:space="preserve">1</w:t>
    </w:r>
    <w:r>
      <w:rPr>
        <w:rStyle w:val="843"/>
      </w:rPr>
      <w:fldChar w:fldCharType="end"/>
    </w:r>
    <w:r/>
  </w:p>
  <w:p>
    <w:pPr>
      <w:pStyle w:val="812"/>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5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japaneseCounting"/>
      <w:pStyle w:val="913"/>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6">
    <w:multiLevelType w:val="hybridMultilevel"/>
    <w:lvl w:ilvl="0">
      <w:start w:val="1"/>
      <w:numFmt w:val="upperLetter"/>
      <w:pStyle w:val="77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5"/>
      <w:isLgl w:val="false"/>
      <w:suff w:val="nothing"/>
      <w:lvlText w:val=""/>
      <w:lvlJc w:val="left"/>
      <w:pPr>
        <w:ind w:left="0" w:firstLine="0"/>
      </w:pPr>
      <w:rPr>
        <w:rFonts w:hint="eastAsia"/>
      </w:rPr>
    </w:lvl>
    <w:lvl w:ilvl="6">
      <w:start w:val="1"/>
      <w:numFmt w:val="decimal"/>
      <w:pStyle w:val="1097"/>
      <w:isLgl w:val="false"/>
      <w:suff w:val="nothing"/>
      <w:lvlText w:val=""/>
      <w:lvlJc w:val="left"/>
      <w:pPr>
        <w:ind w:left="0" w:firstLine="0"/>
      </w:pPr>
      <w:rPr>
        <w:rFonts w:hint="eastAsia"/>
      </w:rPr>
    </w:lvl>
    <w:lvl w:ilvl="7">
      <w:start w:val="1"/>
      <w:numFmt w:val="decimal"/>
      <w:pStyle w:val="1099"/>
      <w:isLgl w:val="false"/>
      <w:suff w:val="nothing"/>
      <w:lvlText w:val=""/>
      <w:lvlJc w:val="left"/>
      <w:pPr>
        <w:ind w:left="0" w:firstLine="0"/>
      </w:pPr>
      <w:rPr>
        <w:rFonts w:hint="eastAsia"/>
      </w:rPr>
    </w:lvl>
    <w:lvl w:ilvl="8">
      <w:start w:val="1"/>
      <w:numFmt w:val="decimal"/>
      <w:pStyle w:val="1101"/>
      <w:isLgl w:val="false"/>
      <w:suff w:val="nothing"/>
      <w:lvlText w:val=""/>
      <w:lvlJc w:val="left"/>
      <w:pPr>
        <w:ind w:left="0" w:firstLine="0"/>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3"/>
  </w:num>
  <w:num w:numId="5">
    <w:abstractNumId w:val="1"/>
  </w:num>
  <w:num w:numId="6">
    <w:abstractNumId w:val="7"/>
  </w:num>
  <w:num w:numId="7">
    <w:abstractNumId w:val="8"/>
  </w:num>
  <w:num w:numId="8">
    <w:abstractNumId w:val="13"/>
  </w:num>
  <w:num w:numId="9">
    <w:abstractNumId w:val="0"/>
  </w:num>
  <w:num w:numId="10">
    <w:abstractNumId w:val="2"/>
  </w:num>
  <w:num w:numId="11">
    <w:abstractNumId w:val="9"/>
  </w:num>
  <w:num w:numId="12">
    <w:abstractNumId w:val="12"/>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link w:val="1182"/>
    <w:uiPriority w:val="0"/>
    <w:qFormat/>
    <w:pPr>
      <w:jc w:val="both"/>
      <w:widowControl w:val="off"/>
    </w:pPr>
    <w:rPr>
      <w:rFonts w:hint="default" w:ascii="Calibri" w:hAnsi="Calibri" w:eastAsia="宋体" w:cs="Times New Roman"/>
      <w:sz w:val="21"/>
      <w:szCs w:val="22"/>
      <w:lang w:val="en-US" w:eastAsia="zh-CN" w:bidi="ar-SA"/>
    </w:rPr>
  </w:style>
  <w:style w:type="paragraph" w:styleId="733">
    <w:name w:val="Heading 1"/>
    <w:basedOn w:val="732"/>
    <w:next w:val="732"/>
    <w:uiPriority w:val="9"/>
    <w:qFormat/>
    <w:pPr>
      <w:keepLines/>
      <w:keepNext/>
      <w:spacing w:before="480" w:after="200"/>
      <w:outlineLvl w:val="0"/>
    </w:pPr>
    <w:rPr>
      <w:rFonts w:ascii="Arial" w:hAnsi="Arial" w:eastAsia="Arial" w:cs="Arial"/>
      <w:sz w:val="40"/>
      <w:szCs w:val="40"/>
    </w:rPr>
  </w:style>
  <w:style w:type="paragraph" w:styleId="734">
    <w:name w:val="Heading 2"/>
    <w:basedOn w:val="732"/>
    <w:next w:val="732"/>
    <w:uiPriority w:val="9"/>
    <w:unhideWhenUsed/>
    <w:qFormat/>
    <w:pPr>
      <w:keepLines/>
      <w:keepNext/>
      <w:spacing w:before="360" w:after="200"/>
      <w:outlineLvl w:val="1"/>
    </w:pPr>
    <w:rPr>
      <w:rFonts w:ascii="Arial" w:hAnsi="Arial" w:eastAsia="Arial" w:cs="Arial"/>
      <w:sz w:val="34"/>
    </w:rPr>
  </w:style>
  <w:style w:type="paragraph" w:styleId="735">
    <w:name w:val="Heading 3"/>
    <w:basedOn w:val="732"/>
    <w:next w:val="732"/>
    <w:uiPriority w:val="9"/>
    <w:unhideWhenUsed/>
    <w:qFormat/>
    <w:pPr>
      <w:keepLines/>
      <w:keepNext/>
      <w:spacing w:before="320" w:after="200"/>
      <w:outlineLvl w:val="2"/>
    </w:pPr>
    <w:rPr>
      <w:rFonts w:ascii="Arial" w:hAnsi="Arial" w:eastAsia="Arial" w:cs="Arial"/>
      <w:sz w:val="30"/>
      <w:szCs w:val="30"/>
    </w:rPr>
  </w:style>
  <w:style w:type="paragraph" w:styleId="736">
    <w:name w:val="Heading 4"/>
    <w:basedOn w:val="732"/>
    <w:next w:val="732"/>
    <w:uiPriority w:val="9"/>
    <w:unhideWhenUsed/>
    <w:qFormat/>
    <w:pPr>
      <w:keepLines/>
      <w:keepNext/>
      <w:spacing w:before="320" w:after="200"/>
      <w:outlineLvl w:val="3"/>
    </w:pPr>
    <w:rPr>
      <w:rFonts w:ascii="Arial" w:hAnsi="Arial" w:eastAsia="Arial" w:cs="Arial"/>
      <w:b/>
      <w:bCs/>
      <w:sz w:val="26"/>
      <w:szCs w:val="26"/>
    </w:rPr>
  </w:style>
  <w:style w:type="paragraph" w:styleId="737">
    <w:name w:val="Heading 5"/>
    <w:basedOn w:val="732"/>
    <w:next w:val="732"/>
    <w:uiPriority w:val="9"/>
    <w:unhideWhenUsed/>
    <w:qFormat/>
    <w:pPr>
      <w:keepLines/>
      <w:keepNext/>
      <w:spacing w:before="320" w:after="200"/>
      <w:outlineLvl w:val="4"/>
    </w:pPr>
    <w:rPr>
      <w:rFonts w:ascii="Arial" w:hAnsi="Arial" w:eastAsia="Arial" w:cs="Arial"/>
      <w:b/>
      <w:bCs/>
      <w:sz w:val="24"/>
      <w:szCs w:val="24"/>
    </w:rPr>
  </w:style>
  <w:style w:type="paragraph" w:styleId="738">
    <w:name w:val="Heading 6"/>
    <w:basedOn w:val="732"/>
    <w:next w:val="732"/>
    <w:uiPriority w:val="9"/>
    <w:unhideWhenUsed/>
    <w:qFormat/>
    <w:pPr>
      <w:keepLines/>
      <w:keepNext/>
      <w:spacing w:before="320" w:after="200"/>
      <w:outlineLvl w:val="5"/>
    </w:pPr>
    <w:rPr>
      <w:rFonts w:ascii="Arial" w:hAnsi="Arial" w:eastAsia="Arial" w:cs="Arial"/>
      <w:b/>
      <w:bCs/>
      <w:sz w:val="22"/>
      <w:szCs w:val="22"/>
    </w:rPr>
  </w:style>
  <w:style w:type="paragraph" w:styleId="739">
    <w:name w:val="Heading 7"/>
    <w:basedOn w:val="732"/>
    <w:next w:val="732"/>
    <w:uiPriority w:val="9"/>
    <w:unhideWhenUsed/>
    <w:qFormat/>
    <w:pPr>
      <w:keepLines/>
      <w:keepNext/>
      <w:spacing w:before="320" w:after="200"/>
      <w:outlineLvl w:val="6"/>
    </w:pPr>
    <w:rPr>
      <w:rFonts w:ascii="Arial" w:hAnsi="Arial" w:eastAsia="Arial" w:cs="Arial"/>
      <w:b/>
      <w:bCs/>
      <w:i/>
      <w:iCs/>
      <w:sz w:val="22"/>
      <w:szCs w:val="22"/>
    </w:rPr>
  </w:style>
  <w:style w:type="paragraph" w:styleId="740">
    <w:name w:val="Heading 8"/>
    <w:basedOn w:val="732"/>
    <w:next w:val="732"/>
    <w:uiPriority w:val="9"/>
    <w:unhideWhenUsed/>
    <w:qFormat/>
    <w:pPr>
      <w:keepLines/>
      <w:keepNext/>
      <w:spacing w:before="320" w:after="200"/>
      <w:outlineLvl w:val="7"/>
    </w:pPr>
    <w:rPr>
      <w:rFonts w:ascii="Arial" w:hAnsi="Arial" w:eastAsia="Arial" w:cs="Arial"/>
      <w:i/>
      <w:iCs/>
      <w:sz w:val="22"/>
      <w:szCs w:val="22"/>
    </w:rPr>
  </w:style>
  <w:style w:type="paragraph" w:styleId="741">
    <w:name w:val="Heading 9"/>
    <w:basedOn w:val="732"/>
    <w:next w:val="732"/>
    <w:uiPriority w:val="9"/>
    <w:unhideWhenUsed/>
    <w:qFormat/>
    <w:pPr>
      <w:keepLines/>
      <w:keepNext/>
      <w:spacing w:before="320" w:after="200"/>
      <w:outlineLvl w:val="8"/>
    </w:pPr>
    <w:rPr>
      <w:rFonts w:ascii="Arial" w:hAnsi="Arial" w:eastAsia="Arial" w:cs="Arial"/>
      <w:i/>
      <w:iCs/>
      <w:sz w:val="21"/>
      <w:szCs w:val="21"/>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toc 7"/>
    <w:basedOn w:val="732"/>
    <w:next w:val="732"/>
    <w:uiPriority w:val="39"/>
    <w:unhideWhenUsed/>
    <w:qFormat/>
    <w:pPr>
      <w:ind w:left="1701" w:right="0" w:firstLine="0"/>
      <w:spacing w:after="57"/>
    </w:pPr>
  </w:style>
  <w:style w:type="paragraph" w:styleId="745">
    <w:name w:val="Caption"/>
    <w:basedOn w:val="732"/>
    <w:next w:val="732"/>
    <w:uiPriority w:val="35"/>
    <w:semiHidden/>
    <w:unhideWhenUsed/>
    <w:qFormat/>
    <w:pPr>
      <w:spacing w:line="276" w:lineRule="auto"/>
    </w:pPr>
    <w:rPr>
      <w:b/>
      <w:bCs/>
      <w:color w:val="4f81bd" w:themeColor="accent1"/>
      <w:sz w:val="18"/>
      <w:szCs w:val="18"/>
    </w:rPr>
  </w:style>
  <w:style w:type="paragraph" w:styleId="746">
    <w:name w:val="Body Text"/>
    <w:basedOn w:val="732"/>
    <w:uiPriority w:val="0"/>
    <w:qFormat/>
    <w:rPr>
      <w:rFonts w:ascii="仿宋_GB2312" w:eastAsia="仿宋_GB2312"/>
      <w:sz w:val="28"/>
      <w:szCs w:val="20"/>
    </w:rPr>
  </w:style>
  <w:style w:type="paragraph" w:styleId="747">
    <w:name w:val="index 4"/>
    <w:basedOn w:val="732"/>
    <w:next w:val="732"/>
    <w:uiPriority w:val="0"/>
    <w:qFormat/>
    <w:pPr>
      <w:ind w:left="600"/>
    </w:pPr>
    <w:rPr>
      <w:szCs w:val="20"/>
    </w:rPr>
  </w:style>
  <w:style w:type="paragraph" w:styleId="748">
    <w:name w:val="toc 5"/>
    <w:basedOn w:val="732"/>
    <w:next w:val="732"/>
    <w:uiPriority w:val="39"/>
    <w:unhideWhenUsed/>
    <w:qFormat/>
    <w:pPr>
      <w:ind w:left="1134" w:right="0" w:firstLine="0"/>
      <w:spacing w:after="57"/>
    </w:pPr>
  </w:style>
  <w:style w:type="paragraph" w:styleId="749">
    <w:name w:val="toc 3"/>
    <w:basedOn w:val="732"/>
    <w:next w:val="732"/>
    <w:uiPriority w:val="39"/>
    <w:unhideWhenUsed/>
    <w:qFormat/>
    <w:pPr>
      <w:ind w:left="567" w:right="0" w:firstLine="0"/>
      <w:spacing w:after="57"/>
    </w:pPr>
  </w:style>
  <w:style w:type="paragraph" w:styleId="750">
    <w:name w:val="toc 8"/>
    <w:basedOn w:val="732"/>
    <w:next w:val="732"/>
    <w:uiPriority w:val="39"/>
    <w:unhideWhenUsed/>
    <w:qFormat/>
    <w:pPr>
      <w:ind w:left="1984" w:right="0" w:firstLine="0"/>
      <w:spacing w:after="57"/>
    </w:pPr>
  </w:style>
  <w:style w:type="paragraph" w:styleId="751">
    <w:name w:val="endnote text"/>
    <w:basedOn w:val="732"/>
    <w:uiPriority w:val="99"/>
    <w:semiHidden/>
    <w:unhideWhenUsed/>
    <w:qFormat/>
    <w:pPr>
      <w:spacing w:after="0" w:line="240" w:lineRule="auto"/>
    </w:pPr>
    <w:rPr>
      <w:sz w:val="20"/>
    </w:rPr>
  </w:style>
  <w:style w:type="paragraph" w:styleId="752">
    <w:name w:val="Footer"/>
    <w:basedOn w:val="732"/>
    <w:uiPriority w:val="99"/>
    <w:unhideWhenUsed/>
    <w:qFormat/>
    <w:pPr>
      <w:spacing w:after="0" w:line="240" w:lineRule="auto"/>
      <w:tabs>
        <w:tab w:val="center" w:pos="7143" w:leader="none"/>
        <w:tab w:val="right" w:pos="14287" w:leader="none"/>
      </w:tabs>
    </w:pPr>
  </w:style>
  <w:style w:type="paragraph" w:styleId="753">
    <w:name w:val="Header"/>
    <w:basedOn w:val="732"/>
    <w:uiPriority w:val="99"/>
    <w:unhideWhenUsed/>
    <w:qFormat/>
    <w:pPr>
      <w:spacing w:after="0" w:line="240" w:lineRule="auto"/>
      <w:tabs>
        <w:tab w:val="center" w:pos="7143" w:leader="none"/>
        <w:tab w:val="right" w:pos="14287" w:leader="none"/>
      </w:tabs>
    </w:pPr>
  </w:style>
  <w:style w:type="paragraph" w:styleId="754">
    <w:name w:val="toc 1"/>
    <w:basedOn w:val="732"/>
    <w:next w:val="732"/>
    <w:uiPriority w:val="39"/>
    <w:unhideWhenUsed/>
    <w:qFormat/>
    <w:pPr>
      <w:ind w:left="0" w:right="0" w:firstLine="0"/>
      <w:spacing w:after="57"/>
    </w:pPr>
  </w:style>
  <w:style w:type="paragraph" w:styleId="755">
    <w:name w:val="toc 4"/>
    <w:basedOn w:val="732"/>
    <w:next w:val="732"/>
    <w:uiPriority w:val="39"/>
    <w:unhideWhenUsed/>
    <w:qFormat/>
    <w:pPr>
      <w:ind w:left="850" w:right="0" w:firstLine="0"/>
      <w:spacing w:after="57"/>
    </w:pPr>
  </w:style>
  <w:style w:type="paragraph" w:styleId="756">
    <w:name w:val="Subtitle"/>
    <w:basedOn w:val="732"/>
    <w:next w:val="732"/>
    <w:uiPriority w:val="11"/>
    <w:qFormat/>
    <w:pPr>
      <w:spacing w:before="200" w:after="200"/>
    </w:pPr>
    <w:rPr>
      <w:sz w:val="24"/>
      <w:szCs w:val="24"/>
    </w:rPr>
  </w:style>
  <w:style w:type="paragraph" w:styleId="757">
    <w:name w:val="footnote text"/>
    <w:basedOn w:val="732"/>
    <w:uiPriority w:val="99"/>
    <w:semiHidden/>
    <w:unhideWhenUsed/>
    <w:qFormat/>
    <w:pPr>
      <w:spacing w:after="40" w:line="240" w:lineRule="auto"/>
    </w:pPr>
    <w:rPr>
      <w:sz w:val="18"/>
    </w:rPr>
  </w:style>
  <w:style w:type="paragraph" w:styleId="758">
    <w:name w:val="toc 6"/>
    <w:basedOn w:val="732"/>
    <w:next w:val="732"/>
    <w:uiPriority w:val="39"/>
    <w:unhideWhenUsed/>
    <w:qFormat/>
    <w:pPr>
      <w:ind w:left="1417" w:right="0" w:firstLine="0"/>
      <w:spacing w:after="57"/>
    </w:pPr>
  </w:style>
  <w:style w:type="paragraph" w:styleId="759">
    <w:name w:val="table of figures"/>
    <w:basedOn w:val="732"/>
    <w:next w:val="732"/>
    <w:uiPriority w:val="99"/>
    <w:unhideWhenUsed/>
    <w:qFormat/>
    <w:pPr>
      <w:spacing w:after="0" w:afterAutospacing="0"/>
    </w:pPr>
  </w:style>
  <w:style w:type="paragraph" w:styleId="760">
    <w:name w:val="toc 2"/>
    <w:basedOn w:val="732"/>
    <w:next w:val="732"/>
    <w:uiPriority w:val="39"/>
    <w:unhideWhenUsed/>
    <w:qFormat/>
    <w:pPr>
      <w:ind w:left="283" w:right="0" w:firstLine="0"/>
      <w:spacing w:after="57"/>
    </w:pPr>
  </w:style>
  <w:style w:type="paragraph" w:styleId="761">
    <w:name w:val="toc 9"/>
    <w:basedOn w:val="732"/>
    <w:next w:val="732"/>
    <w:uiPriority w:val="39"/>
    <w:unhideWhenUsed/>
    <w:qFormat/>
    <w:pPr>
      <w:ind w:left="2268" w:right="0" w:firstLine="0"/>
      <w:spacing w:after="57"/>
    </w:pPr>
  </w:style>
  <w:style w:type="paragraph" w:styleId="762">
    <w:name w:val="Title"/>
    <w:basedOn w:val="732"/>
    <w:next w:val="732"/>
    <w:uiPriority w:val="10"/>
    <w:qFormat/>
    <w:pPr>
      <w:contextualSpacing/>
      <w:spacing w:before="300" w:after="200"/>
    </w:pPr>
    <w:rPr>
      <w:sz w:val="48"/>
      <w:szCs w:val="48"/>
    </w:rPr>
  </w:style>
  <w:style w:type="table" w:styleId="7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4">
    <w:name w:val="endnote reference"/>
    <w:uiPriority w:val="99"/>
    <w:semiHidden/>
    <w:unhideWhenUsed/>
    <w:qFormat/>
    <w:rPr>
      <w:vertAlign w:val="superscript"/>
    </w:rPr>
  </w:style>
  <w:style w:type="character" w:styleId="765">
    <w:name w:val="Hyperlink"/>
    <w:uiPriority w:val="99"/>
    <w:unhideWhenUsed/>
    <w:qFormat/>
    <w:rPr>
      <w:color w:val="0000ff" w:themeColor="hyperlink"/>
      <w:u w:val="single"/>
    </w:rPr>
  </w:style>
  <w:style w:type="character" w:styleId="766">
    <w:name w:val="footnote reference"/>
    <w:uiPriority w:val="99"/>
    <w:unhideWhenUsed/>
    <w:qFormat/>
    <w:rPr>
      <w:vertAlign w:val="superscript"/>
    </w:rPr>
  </w:style>
  <w:style w:type="paragraph" w:styleId="767" w:customStyle="1">
    <w:name w:val="TOC Heading"/>
    <w:uiPriority w:val="39"/>
    <w:unhideWhenUsed/>
    <w:qFormat/>
    <w:rPr>
      <w:rFonts w:hint="default" w:ascii="Times New Roman" w:hAnsi="Times New Roman" w:eastAsia="宋体" w:cs="Times New Roman"/>
    </w:rPr>
  </w:style>
  <w:style w:type="paragraph" w:styleId="768" w:customStyle="1">
    <w:name w:val="标题 111"/>
    <w:basedOn w:val="732"/>
    <w:next w:val="732"/>
    <w:link w:val="779"/>
    <w:uiPriority w:val="9"/>
    <w:qFormat/>
    <w:pPr>
      <w:jc w:val="center"/>
      <w:keepNext/>
      <w:outlineLvl w:val="0"/>
    </w:pPr>
    <w:rPr>
      <w:rFonts w:ascii="楷体_GB2312" w:hAnsi="Times New Roman" w:eastAsia="楷体_GB2312" w:cs="Times New Roman"/>
      <w:b/>
      <w:sz w:val="28"/>
      <w:szCs w:val="20"/>
    </w:rPr>
  </w:style>
  <w:style w:type="paragraph" w:styleId="769" w:customStyle="1">
    <w:name w:val="标题 211"/>
    <w:basedOn w:val="732"/>
    <w:next w:val="732"/>
    <w:link w:val="780"/>
    <w:uiPriority w:val="9"/>
    <w:qFormat/>
    <w:pPr>
      <w:jc w:val="center"/>
      <w:keepNext/>
      <w:outlineLvl w:val="1"/>
    </w:pPr>
    <w:rPr>
      <w:rFonts w:ascii="楷体_GB2312" w:hAnsi="Times New Roman" w:eastAsia="楷体_GB2312" w:cs="Times New Roman"/>
      <w:b/>
      <w:bCs/>
      <w:sz w:val="18"/>
      <w:szCs w:val="20"/>
    </w:rPr>
  </w:style>
  <w:style w:type="paragraph" w:styleId="770" w:customStyle="1">
    <w:name w:val="标题 311"/>
    <w:basedOn w:val="732"/>
    <w:link w:val="781"/>
    <w:uiPriority w:val="9"/>
    <w:qFormat/>
    <w:pPr>
      <w:jc w:val="left"/>
      <w:keepNext/>
      <w:outlineLvl w:val="2"/>
    </w:pPr>
    <w:rPr>
      <w:rFonts w:ascii="宋体" w:hAnsi="宋体" w:eastAsia="宋体" w:cs="Times New Roman"/>
      <w:bCs/>
      <w:sz w:val="24"/>
      <w:szCs w:val="24"/>
      <w:lang w:eastAsia="zh-CN"/>
    </w:rPr>
  </w:style>
  <w:style w:type="paragraph" w:styleId="771" w:customStyle="1">
    <w:name w:val="标题 411"/>
    <w:basedOn w:val="732"/>
    <w:next w:val="732"/>
    <w:link w:val="782"/>
    <w:uiPriority w:val="9"/>
    <w:qFormat/>
    <w:pPr>
      <w:keepNext/>
      <w:outlineLvl w:val="3"/>
    </w:pPr>
    <w:rPr>
      <w:rFonts w:ascii="Times New Roman" w:hAnsi="Times New Roman" w:eastAsia="楷体_GB2312" w:cs="Times New Roman"/>
      <w:b/>
      <w:bCs/>
      <w:sz w:val="15"/>
      <w:szCs w:val="20"/>
    </w:rPr>
  </w:style>
  <w:style w:type="paragraph" w:styleId="772" w:customStyle="1">
    <w:name w:val="标题 511"/>
    <w:basedOn w:val="732"/>
    <w:next w:val="732"/>
    <w:link w:val="783"/>
    <w:uiPriority w:val="9"/>
    <w:qFormat/>
    <w:pPr>
      <w:numPr>
        <w:ilvl w:val="0"/>
        <w:numId w:val="1"/>
      </w:numPr>
      <w:keepNext/>
      <w:outlineLvl w:val="4"/>
    </w:pPr>
    <w:rPr>
      <w:rFonts w:ascii="楷体_GB2312" w:hAnsi="Times New Roman" w:eastAsia="楷体_GB2312" w:cs="Times New Roman"/>
      <w:bCs/>
      <w:sz w:val="28"/>
      <w:szCs w:val="20"/>
    </w:rPr>
  </w:style>
  <w:style w:type="paragraph" w:styleId="773" w:customStyle="1">
    <w:name w:val="标题 611"/>
    <w:basedOn w:val="732"/>
    <w:next w:val="732"/>
    <w:link w:val="784"/>
    <w:uiPriority w:val="9"/>
    <w:qFormat/>
    <w:pPr>
      <w:keepLines/>
      <w:keepNext/>
      <w:spacing w:before="320" w:after="200"/>
      <w:outlineLvl w:val="5"/>
    </w:pPr>
    <w:rPr>
      <w:rFonts w:ascii="Arial" w:hAnsi="Arial" w:eastAsia="Arial" w:cs="Arial"/>
      <w:b/>
      <w:bCs/>
      <w:sz w:val="22"/>
    </w:rPr>
  </w:style>
  <w:style w:type="paragraph" w:styleId="774" w:customStyle="1">
    <w:name w:val="标题 711"/>
    <w:basedOn w:val="732"/>
    <w:next w:val="732"/>
    <w:link w:val="785"/>
    <w:uiPriority w:val="9"/>
    <w:qFormat/>
    <w:pPr>
      <w:keepLines/>
      <w:keepNext/>
      <w:spacing w:before="320" w:after="200"/>
      <w:outlineLvl w:val="6"/>
    </w:pPr>
    <w:rPr>
      <w:rFonts w:ascii="Arial" w:hAnsi="Arial" w:eastAsia="Arial" w:cs="Arial"/>
      <w:b/>
      <w:bCs/>
      <w:i/>
      <w:iCs/>
      <w:sz w:val="22"/>
    </w:rPr>
  </w:style>
  <w:style w:type="paragraph" w:styleId="775" w:customStyle="1">
    <w:name w:val="标题 811"/>
    <w:basedOn w:val="732"/>
    <w:next w:val="732"/>
    <w:link w:val="786"/>
    <w:uiPriority w:val="9"/>
    <w:qFormat/>
    <w:pPr>
      <w:keepLines/>
      <w:keepNext/>
      <w:spacing w:before="320" w:after="200"/>
      <w:outlineLvl w:val="7"/>
    </w:pPr>
    <w:rPr>
      <w:rFonts w:ascii="Arial" w:hAnsi="Arial" w:eastAsia="Arial" w:cs="Arial"/>
      <w:i/>
      <w:iCs/>
      <w:sz w:val="22"/>
    </w:rPr>
  </w:style>
  <w:style w:type="paragraph" w:styleId="776" w:customStyle="1">
    <w:name w:val="标题 911"/>
    <w:basedOn w:val="732"/>
    <w:next w:val="732"/>
    <w:link w:val="787"/>
    <w:uiPriority w:val="9"/>
    <w:qFormat/>
    <w:pPr>
      <w:keepLines/>
      <w:keepNext/>
      <w:spacing w:before="320" w:after="200"/>
      <w:outlineLvl w:val="8"/>
    </w:pPr>
    <w:rPr>
      <w:rFonts w:ascii="Arial" w:hAnsi="Arial" w:eastAsia="Arial" w:cs="Arial"/>
      <w:i/>
      <w:iCs/>
      <w:szCs w:val="21"/>
    </w:rPr>
  </w:style>
  <w:style w:type="character" w:styleId="777" w:customStyle="1">
    <w:name w:val="默认段落字体11"/>
    <w:link w:val="732"/>
    <w:uiPriority w:val="1"/>
    <w:unhideWhenUsed/>
    <w:qFormat/>
  </w:style>
  <w:style w:type="table" w:styleId="778" w:customStyle="1">
    <w:name w:val="普通表格11"/>
    <w:uiPriority w:val="99"/>
    <w:unhideWhenUsed/>
    <w:qFormat/>
    <w:tblPr/>
  </w:style>
  <w:style w:type="character" w:styleId="779" w:customStyle="1">
    <w:name w:val="标题 1 Char1"/>
    <w:basedOn w:val="777"/>
    <w:link w:val="768"/>
    <w:uiPriority w:val="9"/>
    <w:qFormat/>
    <w:rPr>
      <w:rFonts w:ascii="楷体_GB2312" w:hAnsi="Times New Roman" w:eastAsia="楷体_GB2312" w:cs="Times New Roman"/>
      <w:b/>
      <w:sz w:val="28"/>
      <w:szCs w:val="20"/>
    </w:rPr>
  </w:style>
  <w:style w:type="character" w:styleId="780" w:customStyle="1">
    <w:name w:val="标题 2 Char1"/>
    <w:basedOn w:val="777"/>
    <w:link w:val="769"/>
    <w:uiPriority w:val="9"/>
    <w:qFormat/>
    <w:rPr>
      <w:rFonts w:ascii="楷体_GB2312" w:hAnsi="Times New Roman" w:eastAsia="楷体_GB2312" w:cs="Times New Roman"/>
      <w:b/>
      <w:bCs/>
      <w:sz w:val="18"/>
      <w:szCs w:val="20"/>
    </w:rPr>
  </w:style>
  <w:style w:type="character" w:styleId="781" w:customStyle="1">
    <w:name w:val="标题 3 Char1"/>
    <w:basedOn w:val="777"/>
    <w:link w:val="770"/>
    <w:uiPriority w:val="9"/>
    <w:qFormat/>
    <w:rPr>
      <w:rFonts w:ascii="宋体" w:hAnsi="宋体" w:eastAsia="宋体" w:cs="Times New Roman"/>
      <w:bCs/>
      <w:sz w:val="24"/>
      <w:szCs w:val="24"/>
      <w:lang w:eastAsia="zh-CN"/>
    </w:rPr>
  </w:style>
  <w:style w:type="character" w:styleId="782" w:customStyle="1">
    <w:name w:val="标题 4 Char1"/>
    <w:basedOn w:val="777"/>
    <w:link w:val="771"/>
    <w:uiPriority w:val="9"/>
    <w:qFormat/>
    <w:rPr>
      <w:rFonts w:ascii="Times New Roman" w:hAnsi="Times New Roman" w:eastAsia="楷体_GB2312" w:cs="Times New Roman"/>
      <w:b/>
      <w:bCs/>
      <w:sz w:val="15"/>
      <w:szCs w:val="20"/>
    </w:rPr>
  </w:style>
  <w:style w:type="character" w:styleId="783" w:customStyle="1">
    <w:name w:val="标题 5 Char1"/>
    <w:basedOn w:val="777"/>
    <w:link w:val="772"/>
    <w:uiPriority w:val="9"/>
    <w:qFormat/>
    <w:rPr>
      <w:rFonts w:ascii="楷体_GB2312" w:hAnsi="Times New Roman" w:eastAsia="楷体_GB2312" w:cs="Times New Roman"/>
      <w:bCs/>
      <w:sz w:val="28"/>
      <w:szCs w:val="20"/>
    </w:rPr>
  </w:style>
  <w:style w:type="character" w:styleId="784" w:customStyle="1">
    <w:name w:val="标题 6 Char1"/>
    <w:basedOn w:val="777"/>
    <w:link w:val="773"/>
    <w:uiPriority w:val="9"/>
    <w:qFormat/>
    <w:rPr>
      <w:rFonts w:ascii="Arial" w:hAnsi="Arial" w:eastAsia="Arial" w:cs="Arial"/>
      <w:b/>
      <w:bCs/>
      <w:sz w:val="22"/>
    </w:rPr>
  </w:style>
  <w:style w:type="character" w:styleId="785" w:customStyle="1">
    <w:name w:val="标题 7 Char1"/>
    <w:basedOn w:val="777"/>
    <w:link w:val="774"/>
    <w:uiPriority w:val="9"/>
    <w:qFormat/>
    <w:rPr>
      <w:rFonts w:ascii="Arial" w:hAnsi="Arial" w:eastAsia="Arial" w:cs="Arial"/>
      <w:b/>
      <w:bCs/>
      <w:i/>
      <w:iCs/>
      <w:sz w:val="22"/>
    </w:rPr>
  </w:style>
  <w:style w:type="character" w:styleId="786" w:customStyle="1">
    <w:name w:val="标题 8 Char1"/>
    <w:basedOn w:val="777"/>
    <w:link w:val="775"/>
    <w:uiPriority w:val="9"/>
    <w:qFormat/>
    <w:rPr>
      <w:rFonts w:ascii="Arial" w:hAnsi="Arial" w:eastAsia="Arial" w:cs="Arial"/>
      <w:i/>
      <w:iCs/>
      <w:sz w:val="22"/>
    </w:rPr>
  </w:style>
  <w:style w:type="character" w:styleId="787" w:customStyle="1">
    <w:name w:val="标题 9 Char1"/>
    <w:basedOn w:val="777"/>
    <w:link w:val="776"/>
    <w:uiPriority w:val="9"/>
    <w:qFormat/>
    <w:rPr>
      <w:rFonts w:ascii="Arial" w:hAnsi="Arial" w:eastAsia="Arial" w:cs="Arial"/>
      <w:i/>
      <w:iCs/>
      <w:szCs w:val="21"/>
    </w:rPr>
  </w:style>
  <w:style w:type="paragraph" w:styleId="788" w:customStyle="1">
    <w:name w:val="目录 7111"/>
    <w:basedOn w:val="732"/>
    <w:next w:val="732"/>
    <w:uiPriority w:val="39"/>
    <w:unhideWhenUsed/>
    <w:qFormat/>
    <w:pPr>
      <w:ind w:left="1701"/>
      <w:spacing w:after="57"/>
    </w:pPr>
    <w:rPr>
      <w:rFonts w:ascii="Times New Roman" w:hAnsi="Times New Roman" w:eastAsia="宋体" w:cs="Times New Roman"/>
      <w:szCs w:val="21"/>
    </w:rPr>
  </w:style>
  <w:style w:type="paragraph" w:styleId="789" w:customStyle="1">
    <w:name w:val="正文缩进11"/>
    <w:basedOn w:val="732"/>
    <w:uiPriority w:val="99"/>
    <w:qFormat/>
    <w:pPr>
      <w:ind w:firstLine="420"/>
    </w:pPr>
    <w:rPr>
      <w:rFonts w:ascii="Times New Roman" w:hAnsi="Times New Roman" w:eastAsia="宋体" w:cs="Times New Roman"/>
      <w:szCs w:val="20"/>
    </w:rPr>
  </w:style>
  <w:style w:type="paragraph" w:styleId="790" w:customStyle="1">
    <w:name w:val="题注1"/>
    <w:basedOn w:val="732"/>
    <w:next w:val="732"/>
    <w:uiPriority w:val="35"/>
    <w:qFormat/>
    <w:pPr>
      <w:spacing w:line="276" w:lineRule="auto"/>
    </w:pPr>
    <w:rPr>
      <w:rFonts w:ascii="Times New Roman" w:hAnsi="Times New Roman" w:eastAsia="宋体" w:cs="Times New Roman"/>
      <w:b/>
      <w:bCs/>
      <w:color w:val="4f81bd"/>
      <w:sz w:val="18"/>
      <w:szCs w:val="18"/>
    </w:rPr>
  </w:style>
  <w:style w:type="paragraph" w:styleId="791" w:customStyle="1">
    <w:name w:val="文档结构图11"/>
    <w:basedOn w:val="732"/>
    <w:link w:val="792"/>
    <w:uiPriority w:val="99"/>
    <w:semiHidden/>
    <w:qFormat/>
    <w:pPr>
      <w:shd w:val="clear" w:color="auto" w:fill="000080"/>
    </w:pPr>
    <w:rPr>
      <w:rFonts w:ascii="Times New Roman" w:hAnsi="Times New Roman" w:eastAsia="宋体" w:cs="Times New Roman"/>
      <w:sz w:val="20"/>
      <w:szCs w:val="20"/>
    </w:rPr>
  </w:style>
  <w:style w:type="character" w:styleId="792" w:customStyle="1">
    <w:name w:val="文档结构图 Char1"/>
    <w:basedOn w:val="777"/>
    <w:link w:val="791"/>
    <w:uiPriority w:val="99"/>
    <w:semiHidden/>
    <w:qFormat/>
    <w:rPr>
      <w:rFonts w:ascii="Times New Roman" w:hAnsi="Times New Roman" w:eastAsia="宋体" w:cs="Times New Roman"/>
      <w:sz w:val="20"/>
      <w:szCs w:val="20"/>
    </w:rPr>
  </w:style>
  <w:style w:type="paragraph" w:styleId="793" w:customStyle="1">
    <w:name w:val="批注文字11"/>
    <w:basedOn w:val="732"/>
    <w:link w:val="794"/>
    <w:uiPriority w:val="99"/>
    <w:unhideWhenUsed/>
    <w:qFormat/>
    <w:pPr>
      <w:jc w:val="left"/>
    </w:pPr>
  </w:style>
  <w:style w:type="character" w:styleId="794" w:customStyle="1">
    <w:name w:val="批注文字 Char1"/>
    <w:basedOn w:val="777"/>
    <w:link w:val="793"/>
    <w:uiPriority w:val="99"/>
    <w:semiHidden/>
    <w:qFormat/>
  </w:style>
  <w:style w:type="paragraph" w:styleId="795" w:customStyle="1">
    <w:name w:val="正文文本111"/>
    <w:basedOn w:val="732"/>
    <w:next w:val="732"/>
    <w:link w:val="796"/>
    <w:uiPriority w:val="99"/>
    <w:qFormat/>
    <w:rPr>
      <w:rFonts w:ascii="华文中宋" w:hAnsi="Times New Roman" w:eastAsia="华文中宋" w:cs="Times New Roman"/>
      <w:bCs/>
      <w:sz w:val="28"/>
      <w:szCs w:val="20"/>
    </w:rPr>
  </w:style>
  <w:style w:type="character" w:styleId="796" w:customStyle="1">
    <w:name w:val="正文文本 Char1"/>
    <w:basedOn w:val="777"/>
    <w:link w:val="795"/>
    <w:uiPriority w:val="99"/>
    <w:qFormat/>
    <w:rPr>
      <w:rFonts w:ascii="华文中宋" w:hAnsi="Times New Roman" w:eastAsia="华文中宋" w:cs="Times New Roman"/>
      <w:bCs/>
      <w:sz w:val="28"/>
      <w:szCs w:val="20"/>
    </w:rPr>
  </w:style>
  <w:style w:type="paragraph" w:styleId="797" w:customStyle="1">
    <w:name w:val="正文文本缩进11"/>
    <w:basedOn w:val="732"/>
    <w:link w:val="798"/>
    <w:uiPriority w:val="99"/>
    <w:qFormat/>
    <w:pPr>
      <w:ind w:firstLine="576"/>
    </w:pPr>
    <w:rPr>
      <w:rFonts w:ascii="Times New Roman" w:hAnsi="Times New Roman" w:eastAsia="宋体" w:cs="Times New Roman"/>
      <w:b/>
      <w:sz w:val="30"/>
      <w:szCs w:val="20"/>
    </w:rPr>
  </w:style>
  <w:style w:type="character" w:styleId="798" w:customStyle="1">
    <w:name w:val="正文文本缩进 Char1"/>
    <w:basedOn w:val="777"/>
    <w:link w:val="797"/>
    <w:uiPriority w:val="99"/>
    <w:qFormat/>
    <w:rPr>
      <w:rFonts w:ascii="Times New Roman" w:hAnsi="Times New Roman" w:eastAsia="宋体" w:cs="Times New Roman"/>
      <w:b/>
      <w:sz w:val="30"/>
      <w:szCs w:val="20"/>
    </w:rPr>
  </w:style>
  <w:style w:type="paragraph" w:styleId="799" w:customStyle="1">
    <w:name w:val="索引 411"/>
    <w:basedOn w:val="732"/>
    <w:next w:val="732"/>
    <w:uiPriority w:val="99"/>
    <w:qFormat/>
    <w:pPr>
      <w:ind w:left="600"/>
    </w:pPr>
    <w:rPr>
      <w:szCs w:val="24"/>
    </w:rPr>
  </w:style>
  <w:style w:type="paragraph" w:styleId="800" w:customStyle="1">
    <w:name w:val="目录 5111"/>
    <w:basedOn w:val="732"/>
    <w:next w:val="732"/>
    <w:uiPriority w:val="39"/>
    <w:unhideWhenUsed/>
    <w:qFormat/>
    <w:pPr>
      <w:ind w:left="1134"/>
      <w:spacing w:after="57"/>
    </w:pPr>
    <w:rPr>
      <w:rFonts w:ascii="Times New Roman" w:hAnsi="Times New Roman" w:eastAsia="宋体" w:cs="Times New Roman"/>
      <w:szCs w:val="21"/>
    </w:rPr>
  </w:style>
  <w:style w:type="paragraph" w:styleId="801" w:customStyle="1">
    <w:name w:val="目录 3111"/>
    <w:basedOn w:val="732"/>
    <w:next w:val="732"/>
    <w:uiPriority w:val="39"/>
    <w:unhideWhenUsed/>
    <w:qFormat/>
    <w:pPr>
      <w:ind w:left="567"/>
      <w:spacing w:after="57"/>
    </w:pPr>
    <w:rPr>
      <w:rFonts w:ascii="Times New Roman" w:hAnsi="Times New Roman" w:eastAsia="宋体" w:cs="Times New Roman"/>
      <w:szCs w:val="21"/>
    </w:rPr>
  </w:style>
  <w:style w:type="paragraph" w:styleId="802" w:customStyle="1">
    <w:name w:val="纯文本11"/>
    <w:basedOn w:val="732"/>
    <w:uiPriority w:val="0"/>
    <w:qFormat/>
    <w:rPr>
      <w:rFonts w:ascii="黑体" w:cs="Times New Roman"/>
      <w:szCs w:val="21"/>
    </w:rPr>
  </w:style>
  <w:style w:type="paragraph" w:styleId="803" w:customStyle="1">
    <w:name w:val="目录 8111"/>
    <w:basedOn w:val="732"/>
    <w:next w:val="732"/>
    <w:uiPriority w:val="39"/>
    <w:unhideWhenUsed/>
    <w:qFormat/>
    <w:pPr>
      <w:ind w:left="1984"/>
      <w:spacing w:after="57"/>
    </w:pPr>
    <w:rPr>
      <w:rFonts w:ascii="Times New Roman" w:hAnsi="Times New Roman" w:eastAsia="宋体" w:cs="Times New Roman"/>
      <w:szCs w:val="21"/>
    </w:rPr>
  </w:style>
  <w:style w:type="paragraph" w:styleId="804" w:customStyle="1">
    <w:name w:val="日期11"/>
    <w:basedOn w:val="732"/>
    <w:next w:val="732"/>
    <w:link w:val="805"/>
    <w:uiPriority w:val="99"/>
    <w:qFormat/>
    <w:rPr>
      <w:rFonts w:ascii="Times New Roman" w:hAnsi="Times New Roman" w:eastAsia="黑体" w:cs="Times New Roman"/>
      <w:b/>
      <w:sz w:val="36"/>
      <w:szCs w:val="20"/>
    </w:rPr>
  </w:style>
  <w:style w:type="character" w:styleId="805" w:customStyle="1">
    <w:name w:val="日期 Char1"/>
    <w:basedOn w:val="777"/>
    <w:link w:val="804"/>
    <w:uiPriority w:val="99"/>
    <w:qFormat/>
    <w:rPr>
      <w:rFonts w:ascii="Times New Roman" w:hAnsi="Times New Roman" w:eastAsia="黑体" w:cs="Times New Roman"/>
      <w:b/>
      <w:sz w:val="36"/>
      <w:szCs w:val="20"/>
    </w:rPr>
  </w:style>
  <w:style w:type="paragraph" w:styleId="806" w:customStyle="1">
    <w:name w:val="正文文本缩进 211"/>
    <w:basedOn w:val="732"/>
    <w:link w:val="807"/>
    <w:uiPriority w:val="99"/>
    <w:qFormat/>
    <w:pPr>
      <w:ind w:left="900"/>
    </w:pPr>
    <w:rPr>
      <w:rFonts w:ascii="楷体_GB2312" w:hAnsi="Times New Roman" w:eastAsia="楷体_GB2312" w:cs="Times New Roman"/>
      <w:b/>
      <w:sz w:val="28"/>
      <w:szCs w:val="20"/>
    </w:rPr>
  </w:style>
  <w:style w:type="character" w:styleId="807" w:customStyle="1">
    <w:name w:val="正文文本缩进 2 Char1"/>
    <w:basedOn w:val="777"/>
    <w:link w:val="806"/>
    <w:uiPriority w:val="99"/>
    <w:qFormat/>
    <w:rPr>
      <w:rFonts w:ascii="楷体_GB2312" w:hAnsi="Times New Roman" w:eastAsia="楷体_GB2312" w:cs="Times New Roman"/>
      <w:b/>
      <w:sz w:val="28"/>
      <w:szCs w:val="20"/>
    </w:rPr>
  </w:style>
  <w:style w:type="paragraph" w:styleId="808" w:customStyle="1">
    <w:name w:val="尾注文本1"/>
    <w:basedOn w:val="732"/>
    <w:link w:val="809"/>
    <w:uiPriority w:val="99"/>
    <w:unhideWhenUsed/>
    <w:qFormat/>
    <w:rPr>
      <w:rFonts w:ascii="Times New Roman" w:hAnsi="Times New Roman" w:eastAsia="宋体" w:cs="Times New Roman"/>
      <w:sz w:val="20"/>
      <w:szCs w:val="21"/>
    </w:rPr>
  </w:style>
  <w:style w:type="character" w:styleId="809" w:customStyle="1">
    <w:name w:val="尾注文本 Char"/>
    <w:basedOn w:val="777"/>
    <w:link w:val="808"/>
    <w:uiPriority w:val="99"/>
    <w:qFormat/>
    <w:rPr>
      <w:rFonts w:ascii="Times New Roman" w:hAnsi="Times New Roman" w:eastAsia="宋体" w:cs="Times New Roman"/>
      <w:sz w:val="20"/>
      <w:szCs w:val="21"/>
    </w:rPr>
  </w:style>
  <w:style w:type="paragraph" w:styleId="810" w:customStyle="1">
    <w:name w:val="批注框文本11"/>
    <w:basedOn w:val="732"/>
    <w:link w:val="811"/>
    <w:uiPriority w:val="99"/>
    <w:unhideWhenUsed/>
    <w:qFormat/>
    <w:rPr>
      <w:rFonts w:ascii="Times New Roman" w:hAnsi="Times New Roman" w:eastAsia="宋体" w:cs="Times New Roman"/>
      <w:sz w:val="18"/>
      <w:szCs w:val="18"/>
    </w:rPr>
  </w:style>
  <w:style w:type="character" w:styleId="811" w:customStyle="1">
    <w:name w:val="批注框文本 Char1"/>
    <w:basedOn w:val="777"/>
    <w:link w:val="810"/>
    <w:uiPriority w:val="99"/>
    <w:semiHidden/>
    <w:qFormat/>
    <w:rPr>
      <w:rFonts w:ascii="Times New Roman" w:hAnsi="Times New Roman" w:eastAsia="宋体" w:cs="Times New Roman"/>
      <w:sz w:val="18"/>
      <w:szCs w:val="18"/>
    </w:rPr>
  </w:style>
  <w:style w:type="paragraph" w:styleId="812" w:customStyle="1">
    <w:name w:val="页脚11"/>
    <w:basedOn w:val="732"/>
    <w:link w:val="813"/>
    <w:uiPriority w:val="99"/>
    <w:qFormat/>
    <w:pPr>
      <w:jc w:val="left"/>
      <w:tabs>
        <w:tab w:val="center" w:pos="4153" w:leader="none"/>
        <w:tab w:val="right" w:pos="8306" w:leader="none"/>
      </w:tabs>
    </w:pPr>
    <w:rPr>
      <w:rFonts w:ascii="Times New Roman" w:hAnsi="Times New Roman" w:eastAsia="宋体" w:cs="Times New Roman"/>
      <w:sz w:val="18"/>
      <w:szCs w:val="20"/>
    </w:rPr>
  </w:style>
  <w:style w:type="character" w:styleId="813" w:customStyle="1">
    <w:name w:val="页脚 Char1"/>
    <w:basedOn w:val="777"/>
    <w:link w:val="812"/>
    <w:uiPriority w:val="99"/>
    <w:qFormat/>
    <w:rPr>
      <w:rFonts w:ascii="Times New Roman" w:hAnsi="Times New Roman" w:eastAsia="宋体" w:cs="Times New Roman"/>
      <w:sz w:val="18"/>
      <w:szCs w:val="20"/>
    </w:rPr>
  </w:style>
  <w:style w:type="paragraph" w:styleId="814" w:customStyle="1">
    <w:name w:val="寄信人地址1"/>
    <w:basedOn w:val="732"/>
    <w:uiPriority w:val="99"/>
    <w:unhideWhenUsed/>
    <w:qFormat/>
    <w:rPr>
      <w:rFonts w:ascii="Arial" w:hAnsi="Arial"/>
    </w:rPr>
  </w:style>
  <w:style w:type="paragraph" w:styleId="815" w:customStyle="1">
    <w:name w:val="页眉11"/>
    <w:basedOn w:val="732"/>
    <w:link w:val="816"/>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816" w:customStyle="1">
    <w:name w:val="页眉 Char1"/>
    <w:basedOn w:val="777"/>
    <w:link w:val="815"/>
    <w:uiPriority w:val="99"/>
    <w:qFormat/>
    <w:rPr>
      <w:rFonts w:ascii="Times New Roman" w:hAnsi="Times New Roman" w:eastAsia="宋体" w:cs="Times New Roman"/>
      <w:sz w:val="18"/>
      <w:szCs w:val="20"/>
    </w:rPr>
  </w:style>
  <w:style w:type="paragraph" w:styleId="817" w:customStyle="1">
    <w:name w:val="目录 1112"/>
    <w:basedOn w:val="732"/>
    <w:next w:val="732"/>
    <w:uiPriority w:val="39"/>
    <w:unhideWhenUsed/>
    <w:qFormat/>
    <w:pPr>
      <w:spacing w:after="57"/>
    </w:pPr>
    <w:rPr>
      <w:rFonts w:ascii="Times New Roman" w:hAnsi="Times New Roman" w:eastAsia="宋体" w:cs="Times New Roman"/>
      <w:szCs w:val="21"/>
    </w:rPr>
  </w:style>
  <w:style w:type="paragraph" w:styleId="818" w:customStyle="1">
    <w:name w:val="目录 4111"/>
    <w:basedOn w:val="732"/>
    <w:next w:val="732"/>
    <w:uiPriority w:val="39"/>
    <w:unhideWhenUsed/>
    <w:qFormat/>
    <w:pPr>
      <w:ind w:left="850"/>
      <w:spacing w:after="57"/>
    </w:pPr>
    <w:rPr>
      <w:rFonts w:ascii="Times New Roman" w:hAnsi="Times New Roman" w:eastAsia="宋体" w:cs="Times New Roman"/>
      <w:szCs w:val="21"/>
    </w:rPr>
  </w:style>
  <w:style w:type="paragraph" w:styleId="819" w:customStyle="1">
    <w:name w:val="副标题1"/>
    <w:basedOn w:val="732"/>
    <w:next w:val="732"/>
    <w:link w:val="820"/>
    <w:uiPriority w:val="11"/>
    <w:qFormat/>
    <w:pPr>
      <w:ind w:firstLine="471"/>
      <w:jc w:val="center"/>
      <w:spacing w:before="240" w:after="60" w:line="312" w:lineRule="atLeast"/>
      <w:outlineLvl w:val="1"/>
    </w:pPr>
    <w:rPr>
      <w:rFonts w:ascii="Arial" w:hAnsi="Arial"/>
      <w:b/>
      <w:bCs/>
      <w:sz w:val="32"/>
      <w:szCs w:val="32"/>
    </w:rPr>
  </w:style>
  <w:style w:type="character" w:styleId="820" w:customStyle="1">
    <w:name w:val="副标题 Char"/>
    <w:link w:val="819"/>
    <w:uiPriority w:val="11"/>
    <w:qFormat/>
    <w:rPr>
      <w:rFonts w:ascii="Arial" w:hAnsi="Arial"/>
      <w:b/>
      <w:bCs/>
      <w:sz w:val="32"/>
      <w:szCs w:val="32"/>
    </w:rPr>
  </w:style>
  <w:style w:type="paragraph" w:styleId="821" w:customStyle="1">
    <w:name w:val="列表11"/>
    <w:basedOn w:val="732"/>
    <w:uiPriority w:val="0"/>
    <w:qFormat/>
    <w:pPr>
      <w:ind w:firstLine="480"/>
      <w:spacing w:after="20" w:line="360" w:lineRule="auto"/>
      <w:tabs>
        <w:tab w:val="left" w:pos="420" w:leader="none"/>
      </w:tabs>
    </w:pPr>
    <w:rPr>
      <w:rFonts w:ascii="宋体" w:hAnsi="宋体" w:eastAsia="宋体" w:cs="宋体"/>
      <w:sz w:val="24"/>
      <w:szCs w:val="24"/>
    </w:rPr>
  </w:style>
  <w:style w:type="paragraph" w:styleId="822" w:customStyle="1">
    <w:name w:val="脚注文本1"/>
    <w:basedOn w:val="732"/>
    <w:link w:val="823"/>
    <w:uiPriority w:val="99"/>
    <w:unhideWhenUsed/>
    <w:qFormat/>
    <w:pPr>
      <w:spacing w:after="40"/>
    </w:pPr>
    <w:rPr>
      <w:rFonts w:ascii="Times New Roman" w:hAnsi="Times New Roman" w:eastAsia="宋体" w:cs="Times New Roman"/>
      <w:sz w:val="18"/>
      <w:szCs w:val="21"/>
    </w:rPr>
  </w:style>
  <w:style w:type="character" w:styleId="823" w:customStyle="1">
    <w:name w:val="脚注文本 Char"/>
    <w:basedOn w:val="777"/>
    <w:link w:val="822"/>
    <w:uiPriority w:val="99"/>
    <w:qFormat/>
    <w:rPr>
      <w:rFonts w:ascii="Times New Roman" w:hAnsi="Times New Roman" w:eastAsia="宋体" w:cs="Times New Roman"/>
      <w:sz w:val="18"/>
      <w:szCs w:val="21"/>
    </w:rPr>
  </w:style>
  <w:style w:type="paragraph" w:styleId="824" w:customStyle="1">
    <w:name w:val="目录 6111"/>
    <w:basedOn w:val="732"/>
    <w:next w:val="732"/>
    <w:uiPriority w:val="39"/>
    <w:unhideWhenUsed/>
    <w:qFormat/>
    <w:pPr>
      <w:ind w:left="1417"/>
      <w:spacing w:after="57"/>
    </w:pPr>
    <w:rPr>
      <w:rFonts w:ascii="Times New Roman" w:hAnsi="Times New Roman" w:eastAsia="宋体" w:cs="Times New Roman"/>
      <w:szCs w:val="21"/>
    </w:rPr>
  </w:style>
  <w:style w:type="paragraph" w:styleId="825" w:customStyle="1">
    <w:name w:val="正文文本缩进 311"/>
    <w:basedOn w:val="732"/>
    <w:link w:val="826"/>
    <w:uiPriority w:val="99"/>
    <w:qFormat/>
    <w:pPr>
      <w:ind w:left="359" w:firstLine="359"/>
    </w:pPr>
    <w:rPr>
      <w:rFonts w:ascii="Times New Roman" w:hAnsi="Times New Roman" w:eastAsia="宋体" w:cs="Times New Roman"/>
      <w:sz w:val="20"/>
      <w:szCs w:val="20"/>
    </w:rPr>
  </w:style>
  <w:style w:type="character" w:styleId="826" w:customStyle="1">
    <w:name w:val="正文文本缩进 3 Char1"/>
    <w:basedOn w:val="777"/>
    <w:link w:val="825"/>
    <w:uiPriority w:val="99"/>
    <w:qFormat/>
    <w:rPr>
      <w:rFonts w:ascii="Times New Roman" w:hAnsi="Times New Roman" w:eastAsia="宋体" w:cs="Times New Roman"/>
      <w:sz w:val="20"/>
      <w:szCs w:val="20"/>
    </w:rPr>
  </w:style>
  <w:style w:type="paragraph" w:styleId="827" w:customStyle="1">
    <w:name w:val="图表目录11"/>
    <w:basedOn w:val="732"/>
    <w:next w:val="732"/>
    <w:uiPriority w:val="99"/>
    <w:unhideWhenUsed/>
    <w:qFormat/>
    <w:rPr>
      <w:rFonts w:ascii="Times New Roman" w:hAnsi="Times New Roman" w:eastAsia="宋体" w:cs="Times New Roman"/>
      <w:szCs w:val="21"/>
    </w:rPr>
  </w:style>
  <w:style w:type="paragraph" w:styleId="828" w:customStyle="1">
    <w:name w:val="目录 2111"/>
    <w:basedOn w:val="732"/>
    <w:next w:val="732"/>
    <w:uiPriority w:val="39"/>
    <w:unhideWhenUsed/>
    <w:qFormat/>
    <w:pPr>
      <w:ind w:left="283"/>
      <w:spacing w:after="57"/>
    </w:pPr>
    <w:rPr>
      <w:rFonts w:ascii="Times New Roman" w:hAnsi="Times New Roman" w:eastAsia="宋体" w:cs="Times New Roman"/>
      <w:szCs w:val="21"/>
    </w:rPr>
  </w:style>
  <w:style w:type="paragraph" w:styleId="829" w:customStyle="1">
    <w:name w:val="目录 9111"/>
    <w:basedOn w:val="732"/>
    <w:next w:val="732"/>
    <w:uiPriority w:val="39"/>
    <w:unhideWhenUsed/>
    <w:qFormat/>
    <w:pPr>
      <w:ind w:left="2268"/>
      <w:spacing w:after="57"/>
    </w:pPr>
    <w:rPr>
      <w:rFonts w:ascii="Times New Roman" w:hAnsi="Times New Roman" w:eastAsia="宋体" w:cs="Times New Roman"/>
      <w:szCs w:val="21"/>
    </w:rPr>
  </w:style>
  <w:style w:type="paragraph" w:styleId="830" w:customStyle="1">
    <w:name w:val="正文文本 211"/>
    <w:basedOn w:val="732"/>
    <w:link w:val="831"/>
    <w:uiPriority w:val="99"/>
    <w:qFormat/>
    <w:pPr>
      <w:spacing w:after="120" w:line="480" w:lineRule="auto"/>
    </w:pPr>
    <w:rPr>
      <w:rFonts w:ascii="Times New Roman" w:hAnsi="Times New Roman" w:eastAsia="宋体" w:cs="Times New Roman"/>
      <w:sz w:val="20"/>
      <w:szCs w:val="20"/>
    </w:rPr>
  </w:style>
  <w:style w:type="character" w:styleId="831" w:customStyle="1">
    <w:name w:val="正文文本 2 Char1"/>
    <w:basedOn w:val="777"/>
    <w:link w:val="830"/>
    <w:uiPriority w:val="99"/>
    <w:qFormat/>
    <w:rPr>
      <w:rFonts w:ascii="Times New Roman" w:hAnsi="Times New Roman" w:eastAsia="宋体" w:cs="Times New Roman"/>
      <w:sz w:val="20"/>
      <w:szCs w:val="20"/>
    </w:rPr>
  </w:style>
  <w:style w:type="paragraph" w:styleId="832" w:customStyle="1">
    <w:name w:val="普通(网站)11"/>
    <w:basedOn w:val="73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33" w:customStyle="1">
    <w:name w:val="标题11"/>
    <w:basedOn w:val="732"/>
    <w:next w:val="732"/>
    <w:link w:val="834"/>
    <w:uiPriority w:val="10"/>
    <w:qFormat/>
    <w:pPr>
      <w:contextualSpacing/>
      <w:spacing w:before="300" w:after="200"/>
    </w:pPr>
    <w:rPr>
      <w:rFonts w:ascii="Times New Roman" w:hAnsi="Times New Roman" w:eastAsia="宋体" w:cs="Times New Roman"/>
      <w:sz w:val="48"/>
      <w:szCs w:val="48"/>
    </w:rPr>
  </w:style>
  <w:style w:type="character" w:styleId="834" w:customStyle="1">
    <w:name w:val="标题 Char"/>
    <w:basedOn w:val="777"/>
    <w:link w:val="833"/>
    <w:uiPriority w:val="10"/>
    <w:qFormat/>
    <w:rPr>
      <w:rFonts w:ascii="Times New Roman" w:hAnsi="Times New Roman" w:eastAsia="宋体" w:cs="Times New Roman"/>
      <w:sz w:val="48"/>
      <w:szCs w:val="48"/>
    </w:rPr>
  </w:style>
  <w:style w:type="paragraph" w:styleId="835" w:customStyle="1">
    <w:name w:val="批注主题11"/>
    <w:basedOn w:val="793"/>
    <w:next w:val="793"/>
    <w:link w:val="836"/>
    <w:uiPriority w:val="99"/>
    <w:unhideWhenUsed/>
    <w:qFormat/>
    <w:rPr>
      <w:b/>
      <w:bCs/>
    </w:rPr>
  </w:style>
  <w:style w:type="character" w:styleId="836" w:customStyle="1">
    <w:name w:val="批注主题 Char1"/>
    <w:basedOn w:val="794"/>
    <w:link w:val="835"/>
    <w:uiPriority w:val="99"/>
    <w:semiHidden/>
    <w:qFormat/>
    <w:rPr>
      <w:b/>
      <w:bCs/>
    </w:rPr>
  </w:style>
  <w:style w:type="paragraph" w:styleId="837" w:customStyle="1">
    <w:name w:val="正文首行缩进11"/>
    <w:basedOn w:val="795"/>
    <w:uiPriority w:val="99"/>
    <w:unhideWhenUsed/>
    <w:qFormat/>
    <w:pPr>
      <w:ind w:firstLine="420"/>
      <w:spacing w:after="120"/>
    </w:pPr>
    <w:rPr>
      <w:rFonts w:ascii="Calibri" w:hAnsi="Calibri" w:eastAsia="宋体"/>
      <w:sz w:val="21"/>
      <w:szCs w:val="22"/>
    </w:rPr>
  </w:style>
  <w:style w:type="paragraph" w:styleId="838" w:customStyle="1">
    <w:name w:val="正文首行缩进 211"/>
    <w:basedOn w:val="797"/>
    <w:next w:val="732"/>
    <w:link w:val="839"/>
    <w:uiPriority w:val="99"/>
    <w:unhideWhenUsed/>
    <w:qFormat/>
    <w:pPr>
      <w:ind w:left="420" w:firstLine="420"/>
      <w:spacing w:after="120"/>
    </w:pPr>
    <w:rPr>
      <w:rFonts w:ascii="Calibri" w:hAnsi="Calibri" w:eastAsia="宋体" w:cs="Times New Roman"/>
      <w:b w:val="0"/>
      <w:sz w:val="21"/>
      <w:szCs w:val="22"/>
    </w:rPr>
  </w:style>
  <w:style w:type="character" w:styleId="839" w:customStyle="1">
    <w:name w:val="正文首行缩进 2 Char1"/>
    <w:basedOn w:val="798"/>
    <w:link w:val="838"/>
    <w:uiPriority w:val="99"/>
    <w:semiHidden/>
    <w:qFormat/>
    <w:rPr>
      <w:rFonts w:ascii="Calibri" w:hAnsi="Calibri" w:eastAsia="宋体" w:cs="Times New Roman"/>
      <w:b w:val="0"/>
      <w:sz w:val="21"/>
      <w:szCs w:val="22"/>
    </w:rPr>
  </w:style>
  <w:style w:type="table" w:styleId="840" w:customStyle="1">
    <w:name w:val="网格型11"/>
    <w:basedOn w:val="778"/>
    <w:uiPriority w:val="59"/>
    <w:qFormat/>
    <w:rPr>
      <w:rFonts w:eastAsia="Times New Roman"/>
    </w:rPr>
    <w:tblPr/>
  </w:style>
  <w:style w:type="character" w:styleId="841" w:customStyle="1">
    <w:name w:val="要点11"/>
    <w:link w:val="732"/>
    <w:uiPriority w:val="99"/>
    <w:qFormat/>
    <w:rPr>
      <w:rFonts w:cs="Times New Roman"/>
      <w:b/>
      <w:bCs/>
    </w:rPr>
  </w:style>
  <w:style w:type="character" w:styleId="842" w:customStyle="1">
    <w:name w:val="尾注引用1"/>
    <w:link w:val="732"/>
    <w:uiPriority w:val="99"/>
    <w:unhideWhenUsed/>
    <w:qFormat/>
    <w:rPr>
      <w:vertAlign w:val="superscript"/>
    </w:rPr>
  </w:style>
  <w:style w:type="character" w:styleId="843" w:customStyle="1">
    <w:name w:val="页码11"/>
    <w:link w:val="732"/>
    <w:uiPriority w:val="99"/>
    <w:qFormat/>
    <w:rPr>
      <w:rFonts w:cs="Times New Roman"/>
    </w:rPr>
  </w:style>
  <w:style w:type="character" w:styleId="844" w:customStyle="1">
    <w:name w:val="已访问的超链接11"/>
    <w:link w:val="732"/>
    <w:uiPriority w:val="99"/>
    <w:unhideWhenUsed/>
    <w:qFormat/>
    <w:rPr>
      <w:color w:val="800080"/>
      <w:u w:val="single"/>
    </w:rPr>
  </w:style>
  <w:style w:type="character" w:styleId="845" w:customStyle="1">
    <w:name w:val="HTML 打字机11"/>
    <w:link w:val="732"/>
    <w:uiPriority w:val="99"/>
    <w:qFormat/>
    <w:rPr>
      <w:rFonts w:ascii="宋体" w:hAnsi="宋体" w:eastAsia="宋体" w:cs="宋体"/>
      <w:sz w:val="24"/>
      <w:szCs w:val="24"/>
    </w:rPr>
  </w:style>
  <w:style w:type="character" w:styleId="846" w:customStyle="1">
    <w:name w:val="超链接11"/>
    <w:link w:val="732"/>
    <w:uiPriority w:val="99"/>
    <w:qFormat/>
    <w:rPr>
      <w:rFonts w:cs="Times New Roman"/>
      <w:color w:val="000000"/>
      <w:u w:val="none"/>
    </w:rPr>
  </w:style>
  <w:style w:type="character" w:styleId="847" w:customStyle="1">
    <w:name w:val="批注引用11"/>
    <w:basedOn w:val="777"/>
    <w:link w:val="732"/>
    <w:uiPriority w:val="0"/>
    <w:unhideWhenUsed/>
    <w:qFormat/>
    <w:rPr>
      <w:sz w:val="21"/>
      <w:szCs w:val="21"/>
    </w:rPr>
  </w:style>
  <w:style w:type="character" w:styleId="848" w:customStyle="1">
    <w:name w:val="脚注引用1"/>
    <w:link w:val="732"/>
    <w:uiPriority w:val="99"/>
    <w:unhideWhenUsed/>
    <w:qFormat/>
    <w:rPr>
      <w:vertAlign w:val="superscript"/>
    </w:rPr>
  </w:style>
  <w:style w:type="paragraph" w:styleId="849" w:customStyle="1">
    <w:name w:val="索引 41"/>
    <w:basedOn w:val="732"/>
    <w:next w:val="732"/>
    <w:uiPriority w:val="99"/>
    <w:qFormat/>
    <w:pPr>
      <w:ind w:left="600"/>
    </w:pPr>
    <w:rPr>
      <w:szCs w:val="24"/>
    </w:rPr>
  </w:style>
  <w:style w:type="paragraph" w:styleId="850" w:customStyle="1">
    <w:name w:val="正文文本1"/>
    <w:basedOn w:val="732"/>
    <w:next w:val="732"/>
    <w:link w:val="851"/>
    <w:uiPriority w:val="0"/>
    <w:qFormat/>
    <w:rPr>
      <w:rFonts w:ascii="楷体_GB2312" w:hAnsi="Arial" w:eastAsia="楷体_GB2312" w:cs="Times New Roman"/>
      <w:sz w:val="28"/>
      <w:szCs w:val="28"/>
      <w:lang w:eastAsia="en-US"/>
    </w:rPr>
  </w:style>
  <w:style w:type="character" w:styleId="851" w:customStyle="1">
    <w:name w:val="正文文本 Char"/>
    <w:link w:val="850"/>
    <w:uiPriority w:val="0"/>
    <w:qFormat/>
    <w:rPr>
      <w:rFonts w:ascii="楷体_GB2312" w:hAnsi="Arial" w:eastAsia="楷体_GB2312" w:cs="Times New Roman"/>
      <w:sz w:val="28"/>
      <w:szCs w:val="28"/>
      <w:lang w:eastAsia="en-US"/>
    </w:rPr>
  </w:style>
  <w:style w:type="paragraph" w:styleId="852" w:customStyle="1">
    <w:name w:val="Cn Heading3"/>
    <w:basedOn w:val="853"/>
    <w:uiPriority w:val="0"/>
    <w:qFormat/>
    <w:pPr>
      <w:ind w:firstLine="0"/>
      <w:spacing w:line="480" w:lineRule="auto"/>
      <w:outlineLvl w:val="2"/>
    </w:pPr>
    <w:rPr>
      <w:rFonts w:ascii="微软雅黑" w:hAnsi="微软雅黑" w:eastAsia="微软雅黑"/>
      <w:b/>
      <w:sz w:val="28"/>
      <w:szCs w:val="28"/>
      <w:lang w:eastAsia="ja-JP"/>
    </w:rPr>
  </w:style>
  <w:style w:type="paragraph" w:styleId="853" w:customStyle="1">
    <w:name w:val="列出段落1"/>
    <w:basedOn w:val="732"/>
    <w:link w:val="854"/>
    <w:uiPriority w:val="0"/>
    <w:qFormat/>
    <w:pPr>
      <w:ind w:firstLine="420"/>
      <w:spacing w:before="120" w:after="120" w:line="360" w:lineRule="auto"/>
    </w:pPr>
    <w:rPr>
      <w:rFonts w:ascii="Calibri" w:hAnsi="Calibri" w:eastAsia="宋体" w:cs="Times New Roman"/>
      <w:sz w:val="24"/>
    </w:rPr>
  </w:style>
  <w:style w:type="character" w:styleId="854" w:customStyle="1">
    <w:name w:val="列出段落 Char"/>
    <w:link w:val="853"/>
    <w:uiPriority w:val="0"/>
    <w:qFormat/>
    <w:rPr>
      <w:rFonts w:ascii="Calibri" w:hAnsi="Calibri" w:eastAsia="宋体" w:cs="Times New Roman"/>
      <w:sz w:val="24"/>
    </w:rPr>
  </w:style>
  <w:style w:type="paragraph" w:styleId="855" w:customStyle="1">
    <w:name w:val="明显引用1"/>
    <w:next w:val="73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56" w:customStyle="1">
    <w:name w:val="段"/>
    <w:next w:val="732"/>
    <w:uiPriority w:val="0"/>
    <w:qFormat/>
    <w:pPr>
      <w:ind w:firstLine="200"/>
      <w:jc w:val="both"/>
    </w:pPr>
    <w:rPr>
      <w:rFonts w:hint="default" w:ascii="宋体" w:hAnsi="Times New Roman" w:eastAsia="宋体" w:cs="Times New Roman"/>
      <w:sz w:val="21"/>
      <w:lang w:val="en-US" w:eastAsia="zh-CN" w:bidi="ar-SA"/>
    </w:rPr>
  </w:style>
  <w:style w:type="paragraph" w:styleId="857" w:customStyle="1">
    <w:name w:val="TOC 标题1"/>
    <w:uiPriority w:val="39"/>
    <w:unhideWhenUsed/>
    <w:qFormat/>
    <w:rPr>
      <w:rFonts w:hint="default" w:ascii="Calibri" w:hAnsi="Calibri" w:eastAsia="宋体" w:cs="Times New Roman"/>
      <w:lang w:val="en-US" w:eastAsia="zh-CN" w:bidi="ar-SA"/>
    </w:rPr>
  </w:style>
  <w:style w:type="paragraph" w:styleId="858" w:customStyle="1">
    <w:name w:val="font5"/>
    <w:basedOn w:val="732"/>
    <w:uiPriority w:val="0"/>
    <w:qFormat/>
    <w:pPr>
      <w:jc w:val="left"/>
      <w:spacing w:before="100" w:beforeAutospacing="1" w:after="100" w:afterAutospacing="1"/>
      <w:widowControl/>
    </w:pPr>
    <w:rPr>
      <w:rFonts w:ascii="宋体" w:hAnsi="宋体" w:eastAsia="宋体" w:cs="Times New Roman"/>
      <w:sz w:val="18"/>
      <w:szCs w:val="18"/>
    </w:rPr>
  </w:style>
  <w:style w:type="paragraph" w:styleId="859" w:customStyle="1">
    <w:name w:val="font6"/>
    <w:basedOn w:val="732"/>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860" w:customStyle="1">
    <w:name w:val="font7"/>
    <w:basedOn w:val="732"/>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61" w:customStyle="1">
    <w:name w:val="font8"/>
    <w:basedOn w:val="732"/>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862" w:customStyle="1">
    <w:name w:val="font9"/>
    <w:basedOn w:val="732"/>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863" w:customStyle="1">
    <w:name w:val="xl24"/>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4" w:customStyle="1">
    <w:name w:val="xl25"/>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5" w:customStyle="1">
    <w:name w:val="xl26"/>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6" w:customStyle="1">
    <w:name w:val="xl27"/>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7" w:customStyle="1">
    <w:name w:val="xl28"/>
    <w:basedOn w:val="7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8" w:customStyle="1">
    <w:name w:val="xl29"/>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9" w:customStyle="1">
    <w:name w:val="xl30"/>
    <w:basedOn w:val="73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70" w:customStyle="1">
    <w:name w:val="xl31"/>
    <w:basedOn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871" w:customStyle="1">
    <w:name w:val="xl32"/>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2" w:customStyle="1">
    <w:name w:val="xl33"/>
    <w:basedOn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3" w:customStyle="1">
    <w:name w:val="xl34"/>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4" w:customStyle="1">
    <w:name w:val="xl35"/>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75" w:customStyle="1">
    <w:name w:val="xl36"/>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6" w:customStyle="1">
    <w:name w:val="xl37"/>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77" w:customStyle="1">
    <w:name w:val="xl38"/>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8" w:customStyle="1">
    <w:name w:val="xl39"/>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9" w:customStyle="1">
    <w:name w:val="xl40"/>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80" w:customStyle="1">
    <w:name w:val="xl41"/>
    <w:basedOn w:val="73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1" w:customStyle="1">
    <w:name w:val="xl42"/>
    <w:basedOn w:val="73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2" w:customStyle="1">
    <w:name w:val="xl43"/>
    <w:basedOn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3" w:customStyle="1">
    <w:name w:val="xl44"/>
    <w:basedOn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84" w:customStyle="1">
    <w:name w:val="xl45"/>
    <w:basedOn w:val="73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885" w:customStyle="1">
    <w:name w:val="xl46"/>
    <w:basedOn w:val="73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886" w:customStyle="1">
    <w:name w:val="xl47"/>
    <w:basedOn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7" w:customStyle="1">
    <w:name w:val="xl48"/>
    <w:basedOn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888" w:customStyle="1">
    <w:name w:val="xl49"/>
    <w:basedOn w:val="73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889" w:customStyle="1">
    <w:name w:val="xl50"/>
    <w:basedOn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90" w:customStyle="1">
    <w:name w:val="xl51"/>
    <w:basedOn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91" w:customStyle="1">
    <w:name w:val="xl52"/>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92" w:customStyle="1">
    <w:name w:val="xl53"/>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3" w:customStyle="1">
    <w:name w:val="xl54"/>
    <w:basedOn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94" w:customStyle="1">
    <w:name w:val="xl55"/>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895" w:customStyle="1">
    <w:name w:val="xl56"/>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96" w:customStyle="1">
    <w:name w:val="xl57"/>
    <w:basedOn w:val="73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897" w:customStyle="1">
    <w:name w:val="xl58"/>
    <w:basedOn w:val="73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898" w:customStyle="1">
    <w:name w:val="xl59"/>
    <w:basedOn w:val="73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9" w:customStyle="1">
    <w:name w:val="xl60"/>
    <w:basedOn w:val="73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900" w:customStyle="1">
    <w:name w:val="xl61"/>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901" w:customStyle="1">
    <w:name w:val="xl62"/>
    <w:basedOn w:val="73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02" w:customStyle="1">
    <w:name w:val="xl63"/>
    <w:basedOn w:val="73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903" w:customStyle="1">
    <w:name w:val="font10"/>
    <w:basedOn w:val="732"/>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904" w:customStyle="1">
    <w:name w:val="font11"/>
    <w:basedOn w:val="732"/>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05" w:customStyle="1">
    <w:name w:val="font12"/>
    <w:basedOn w:val="732"/>
    <w:uiPriority w:val="99"/>
    <w:qFormat/>
    <w:pPr>
      <w:jc w:val="left"/>
      <w:spacing w:before="100" w:beforeAutospacing="1" w:after="100" w:afterAutospacing="1"/>
      <w:widowControl/>
    </w:pPr>
    <w:rPr>
      <w:rFonts w:ascii="宋体" w:hAnsi="宋体" w:eastAsia="宋体" w:cs="Times New Roman"/>
      <w:sz w:val="36"/>
      <w:szCs w:val="36"/>
    </w:rPr>
  </w:style>
  <w:style w:type="paragraph" w:styleId="906" w:customStyle="1">
    <w:name w:val="font13"/>
    <w:basedOn w:val="732"/>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07" w:customStyle="1">
    <w:name w:val="font14"/>
    <w:basedOn w:val="732"/>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908" w:customStyle="1">
    <w:name w:val="case31"/>
    <w:link w:val="732"/>
    <w:uiPriority w:val="99"/>
    <w:qFormat/>
    <w:rPr>
      <w:rFonts w:cs="Times New Roman"/>
      <w:spacing w:val="390"/>
      <w:sz w:val="21"/>
      <w:szCs w:val="21"/>
    </w:rPr>
  </w:style>
  <w:style w:type="paragraph" w:styleId="909" w:customStyle="1">
    <w:name w:val="普通文字"/>
    <w:basedOn w:val="732"/>
    <w:next w:val="732"/>
    <w:uiPriority w:val="99"/>
    <w:qFormat/>
    <w:rPr>
      <w:rFonts w:ascii="宋体" w:hAnsi="Times New Roman" w:eastAsia="宋体" w:cs="Times New Roman"/>
      <w:sz w:val="24"/>
      <w:szCs w:val="20"/>
    </w:rPr>
  </w:style>
  <w:style w:type="paragraph" w:styleId="910" w:customStyle="1">
    <w:name w:val="默认段落字体 Para Char"/>
    <w:basedOn w:val="732"/>
    <w:uiPriority w:val="99"/>
    <w:qFormat/>
    <w:pPr>
      <w:ind w:left="552" w:hanging="420"/>
      <w:tabs>
        <w:tab w:val="left" w:pos="552" w:leader="none"/>
      </w:tabs>
    </w:pPr>
    <w:rPr>
      <w:rFonts w:ascii="Times New Roman" w:hAnsi="Times New Roman" w:eastAsia="宋体" w:cs="Times New Roman"/>
      <w:sz w:val="24"/>
      <w:szCs w:val="24"/>
    </w:rPr>
  </w:style>
  <w:style w:type="paragraph" w:styleId="911" w:customStyle="1">
    <w:name w:val="Char Char Char Char"/>
    <w:basedOn w:val="791"/>
    <w:uiPriority w:val="0"/>
    <w:qFormat/>
    <w:pPr>
      <w:spacing w:line="360" w:lineRule="auto"/>
    </w:pPr>
    <w:rPr>
      <w:rFonts w:ascii="Tahoma" w:hAnsi="Tahoma"/>
      <w:sz w:val="24"/>
      <w:szCs w:val="24"/>
    </w:rPr>
  </w:style>
  <w:style w:type="paragraph" w:styleId="912" w:customStyle="1">
    <w:name w:val="Char Char1 Char Char Char Char"/>
    <w:basedOn w:val="791"/>
    <w:uiPriority w:val="99"/>
    <w:qFormat/>
    <w:pPr>
      <w:ind w:left="357"/>
      <w:jc w:val="left"/>
      <w:spacing w:line="436" w:lineRule="exact"/>
      <w:outlineLvl w:val="3"/>
    </w:pPr>
    <w:rPr>
      <w:rFonts w:ascii="Tahoma" w:hAnsi="Tahoma"/>
      <w:b/>
      <w:sz w:val="24"/>
      <w:szCs w:val="24"/>
    </w:rPr>
  </w:style>
  <w:style w:type="paragraph" w:styleId="913">
    <w:name w:val="List Paragraph"/>
    <w:basedOn w:val="732"/>
    <w:uiPriority w:val="34"/>
    <w:qFormat/>
    <w:pPr>
      <w:numPr>
        <w:ilvl w:val="0"/>
        <w:numId w:val="2"/>
      </w:numPr>
      <w:spacing w:line="360" w:lineRule="auto"/>
    </w:pPr>
    <w:rPr>
      <w:rFonts w:ascii="宋体" w:hAnsi="宋体" w:eastAsia="宋体" w:cs="宋体"/>
      <w:b/>
      <w:sz w:val="24"/>
      <w:szCs w:val="20"/>
    </w:rPr>
  </w:style>
  <w:style w:type="paragraph" w:styleId="914" w:customStyle="1">
    <w:name w:val="修订1"/>
    <w:uiPriority w:val="99"/>
    <w:semiHidden/>
    <w:qFormat/>
    <w:rPr>
      <w:rFonts w:hint="default" w:ascii="Times New Roman" w:hAnsi="Times New Roman" w:eastAsia="宋体" w:cs="Times New Roman"/>
      <w:sz w:val="21"/>
      <w:lang w:val="en-US" w:eastAsia="zh-CN" w:bidi="ar-SA"/>
    </w:rPr>
  </w:style>
  <w:style w:type="paragraph" w:styleId="915" w:customStyle="1">
    <w:name w:val="列表段落1"/>
    <w:basedOn w:val="732"/>
    <w:uiPriority w:val="34"/>
    <w:qFormat/>
    <w:pPr>
      <w:ind w:firstLine="420"/>
    </w:pPr>
  </w:style>
  <w:style w:type="paragraph" w:styleId="916" w:customStyle="1">
    <w:name w:val="样式 小四 段前: 5 磅 段后: 5 磅 首行缩进:  2 字符"/>
    <w:basedOn w:val="732"/>
    <w:uiPriority w:val="0"/>
    <w:qFormat/>
    <w:pPr>
      <w:spacing w:line="360" w:lineRule="auto"/>
    </w:pPr>
    <w:rPr>
      <w:rFonts w:ascii="宋体" w:hAnsi="宋体"/>
      <w:szCs w:val="21"/>
    </w:rPr>
  </w:style>
  <w:style w:type="table" w:styleId="917" w:customStyle="1">
    <w:name w:val="网格型1"/>
    <w:basedOn w:val="778"/>
    <w:uiPriority w:val="59"/>
    <w:qFormat/>
    <w:tblPr/>
  </w:style>
  <w:style w:type="table" w:styleId="918" w:customStyle="1">
    <w:name w:val="网格型2"/>
    <w:basedOn w:val="778"/>
    <w:uiPriority w:val="39"/>
    <w:qFormat/>
    <w:tblPr/>
  </w:style>
  <w:style w:type="table" w:styleId="919" w:customStyle="1">
    <w:name w:val="网格型3"/>
    <w:basedOn w:val="778"/>
    <w:uiPriority w:val="39"/>
    <w:qFormat/>
    <w:tblPr/>
  </w:style>
  <w:style w:type="table" w:styleId="920" w:customStyle="1">
    <w:name w:val="网格型4"/>
    <w:basedOn w:val="778"/>
    <w:uiPriority w:val="39"/>
    <w:qFormat/>
    <w:tblPr/>
  </w:style>
  <w:style w:type="paragraph" w:styleId="921" w:customStyle="1">
    <w:name w:val="List Paragraph1"/>
    <w:basedOn w:val="732"/>
    <w:uiPriority w:val="0"/>
    <w:qFormat/>
    <w:pPr>
      <w:ind w:firstLine="420"/>
    </w:pPr>
    <w:rPr>
      <w:szCs w:val="21"/>
    </w:rPr>
  </w:style>
  <w:style w:type="paragraph" w:styleId="922" w:customStyle="1">
    <w:name w:val="标题 31"/>
    <w:basedOn w:val="732"/>
    <w:next w:val="732"/>
    <w:link w:val="923"/>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23" w:customStyle="1">
    <w:name w:val="标题 3 Char"/>
    <w:link w:val="922"/>
    <w:uiPriority w:val="0"/>
    <w:qFormat/>
    <w:rPr>
      <w:rFonts w:ascii="Times New Roman" w:hAnsi="Times New Roman" w:eastAsia="宋体" w:cs="Times New Roman"/>
      <w:b/>
      <w:bCs/>
      <w:sz w:val="32"/>
      <w:szCs w:val="32"/>
      <w:lang w:eastAsia="en-US"/>
    </w:rPr>
  </w:style>
  <w:style w:type="character" w:styleId="924" w:customStyle="1">
    <w:name w:val="Heading 1 Char"/>
    <w:link w:val="732"/>
    <w:uiPriority w:val="9"/>
    <w:qFormat/>
    <w:rPr>
      <w:rFonts w:ascii="Arial" w:hAnsi="Arial" w:eastAsia="Arial" w:cs="Arial"/>
      <w:sz w:val="40"/>
      <w:szCs w:val="40"/>
    </w:rPr>
  </w:style>
  <w:style w:type="character" w:styleId="925" w:customStyle="1">
    <w:name w:val="Heading 2 Char"/>
    <w:link w:val="732"/>
    <w:uiPriority w:val="9"/>
    <w:qFormat/>
    <w:rPr>
      <w:rFonts w:ascii="Arial" w:hAnsi="Arial" w:eastAsia="Arial" w:cs="Arial"/>
      <w:sz w:val="34"/>
    </w:rPr>
  </w:style>
  <w:style w:type="character" w:styleId="926" w:customStyle="1">
    <w:name w:val="Heading 3 Char"/>
    <w:link w:val="732"/>
    <w:uiPriority w:val="9"/>
    <w:qFormat/>
    <w:rPr>
      <w:rFonts w:ascii="Arial" w:hAnsi="Arial" w:eastAsia="Arial" w:cs="Arial"/>
      <w:sz w:val="30"/>
      <w:szCs w:val="30"/>
    </w:rPr>
  </w:style>
  <w:style w:type="character" w:styleId="927" w:customStyle="1">
    <w:name w:val="Heading 4 Char"/>
    <w:link w:val="732"/>
    <w:uiPriority w:val="9"/>
    <w:qFormat/>
    <w:rPr>
      <w:rFonts w:ascii="Arial" w:hAnsi="Arial" w:eastAsia="Arial" w:cs="Arial"/>
      <w:b/>
      <w:bCs/>
      <w:sz w:val="26"/>
      <w:szCs w:val="26"/>
    </w:rPr>
  </w:style>
  <w:style w:type="character" w:styleId="928" w:customStyle="1">
    <w:name w:val="Heading 5 Char"/>
    <w:link w:val="732"/>
    <w:uiPriority w:val="9"/>
    <w:qFormat/>
    <w:rPr>
      <w:rFonts w:ascii="Arial" w:hAnsi="Arial" w:eastAsia="Arial" w:cs="Arial"/>
      <w:b/>
      <w:bCs/>
      <w:sz w:val="24"/>
      <w:szCs w:val="24"/>
    </w:rPr>
  </w:style>
  <w:style w:type="character" w:styleId="929" w:customStyle="1">
    <w:name w:val="Heading 6 Char"/>
    <w:link w:val="732"/>
    <w:uiPriority w:val="9"/>
    <w:qFormat/>
    <w:rPr>
      <w:rFonts w:ascii="Arial" w:hAnsi="Arial" w:eastAsia="Arial" w:cs="Arial"/>
      <w:b/>
      <w:bCs/>
      <w:sz w:val="22"/>
      <w:szCs w:val="22"/>
    </w:rPr>
  </w:style>
  <w:style w:type="character" w:styleId="930" w:customStyle="1">
    <w:name w:val="Heading 7 Char"/>
    <w:link w:val="732"/>
    <w:uiPriority w:val="9"/>
    <w:qFormat/>
    <w:rPr>
      <w:rFonts w:ascii="Arial" w:hAnsi="Arial" w:eastAsia="Arial" w:cs="Arial"/>
      <w:b/>
      <w:bCs/>
      <w:i/>
      <w:iCs/>
      <w:sz w:val="22"/>
      <w:szCs w:val="22"/>
    </w:rPr>
  </w:style>
  <w:style w:type="character" w:styleId="931" w:customStyle="1">
    <w:name w:val="Heading 8 Char"/>
    <w:link w:val="732"/>
    <w:uiPriority w:val="9"/>
    <w:qFormat/>
    <w:rPr>
      <w:rFonts w:ascii="Arial" w:hAnsi="Arial" w:eastAsia="Arial" w:cs="Arial"/>
      <w:i/>
      <w:iCs/>
      <w:sz w:val="22"/>
      <w:szCs w:val="22"/>
    </w:rPr>
  </w:style>
  <w:style w:type="character" w:styleId="932" w:customStyle="1">
    <w:name w:val="Heading 9 Char"/>
    <w:link w:val="732"/>
    <w:uiPriority w:val="9"/>
    <w:qFormat/>
    <w:rPr>
      <w:rFonts w:ascii="Arial" w:hAnsi="Arial" w:eastAsia="Arial" w:cs="Arial"/>
      <w:i/>
      <w:iCs/>
      <w:sz w:val="21"/>
      <w:szCs w:val="21"/>
    </w:rPr>
  </w:style>
  <w:style w:type="paragraph" w:styleId="933">
    <w:name w:val="No Spacing"/>
    <w:uiPriority w:val="1"/>
    <w:qFormat/>
    <w:rPr>
      <w:rFonts w:hint="default" w:ascii="Calibri" w:hAnsi="Calibri" w:eastAsia="宋体" w:cs="Times New Roman"/>
      <w:lang w:val="en-US" w:eastAsia="zh-CN" w:bidi="ar-SA"/>
    </w:rPr>
  </w:style>
  <w:style w:type="character" w:styleId="934" w:customStyle="1">
    <w:name w:val="Title Char"/>
    <w:link w:val="732"/>
    <w:uiPriority w:val="10"/>
    <w:qFormat/>
    <w:rPr>
      <w:sz w:val="48"/>
      <w:szCs w:val="48"/>
    </w:rPr>
  </w:style>
  <w:style w:type="character" w:styleId="935" w:customStyle="1">
    <w:name w:val="Subtitle Char"/>
    <w:link w:val="732"/>
    <w:uiPriority w:val="11"/>
    <w:qFormat/>
    <w:rPr>
      <w:sz w:val="24"/>
      <w:szCs w:val="24"/>
    </w:rPr>
  </w:style>
  <w:style w:type="paragraph" w:styleId="936">
    <w:name w:val="Quote"/>
    <w:basedOn w:val="732"/>
    <w:next w:val="732"/>
    <w:link w:val="937"/>
    <w:uiPriority w:val="29"/>
    <w:qFormat/>
    <w:pPr>
      <w:ind w:left="720" w:right="720"/>
    </w:pPr>
    <w:rPr>
      <w:rFonts w:ascii="Times New Roman" w:hAnsi="Times New Roman" w:eastAsia="宋体" w:cs="Times New Roman"/>
      <w:i/>
      <w:szCs w:val="21"/>
    </w:rPr>
  </w:style>
  <w:style w:type="character" w:styleId="937" w:customStyle="1">
    <w:name w:val="引用 Char"/>
    <w:basedOn w:val="777"/>
    <w:link w:val="936"/>
    <w:uiPriority w:val="29"/>
    <w:qFormat/>
    <w:rPr>
      <w:rFonts w:ascii="Times New Roman" w:hAnsi="Times New Roman" w:eastAsia="宋体" w:cs="Times New Roman"/>
      <w:i/>
      <w:szCs w:val="21"/>
    </w:rPr>
  </w:style>
  <w:style w:type="character" w:styleId="938" w:customStyle="1">
    <w:name w:val="Quote Char"/>
    <w:link w:val="732"/>
    <w:uiPriority w:val="29"/>
    <w:qFormat/>
    <w:rPr>
      <w:i/>
    </w:rPr>
  </w:style>
  <w:style w:type="paragraph" w:styleId="939">
    <w:name w:val="Intense Quote"/>
    <w:basedOn w:val="732"/>
    <w:next w:val="732"/>
    <w:link w:val="9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40" w:customStyle="1">
    <w:name w:val="明显引用 Char"/>
    <w:basedOn w:val="777"/>
    <w:link w:val="939"/>
    <w:uiPriority w:val="30"/>
    <w:qFormat/>
    <w:rPr>
      <w:rFonts w:ascii="Times New Roman" w:hAnsi="Times New Roman" w:eastAsia="宋体" w:cs="Times New Roman"/>
      <w:i/>
      <w:szCs w:val="21"/>
    </w:rPr>
  </w:style>
  <w:style w:type="character" w:styleId="941" w:customStyle="1">
    <w:name w:val="Intense Quote Char"/>
    <w:link w:val="732"/>
    <w:uiPriority w:val="30"/>
    <w:qFormat/>
    <w:rPr>
      <w:i/>
    </w:rPr>
  </w:style>
  <w:style w:type="character" w:styleId="942" w:customStyle="1">
    <w:name w:val="Header Char"/>
    <w:link w:val="732"/>
    <w:uiPriority w:val="99"/>
    <w:qFormat/>
  </w:style>
  <w:style w:type="character" w:styleId="943" w:customStyle="1">
    <w:name w:val="Footer Char"/>
    <w:link w:val="732"/>
    <w:uiPriority w:val="99"/>
    <w:qFormat/>
  </w:style>
  <w:style w:type="character" w:styleId="944" w:customStyle="1">
    <w:name w:val="Caption Char"/>
    <w:link w:val="732"/>
    <w:uiPriority w:val="99"/>
    <w:qFormat/>
  </w:style>
  <w:style w:type="character" w:styleId="945" w:customStyle="1">
    <w:name w:val="Footnote Text Char"/>
    <w:link w:val="732"/>
    <w:uiPriority w:val="99"/>
    <w:qFormat/>
    <w:rPr>
      <w:sz w:val="18"/>
    </w:rPr>
  </w:style>
  <w:style w:type="character" w:styleId="946" w:customStyle="1">
    <w:name w:val="Endnote Text Char"/>
    <w:link w:val="732"/>
    <w:uiPriority w:val="99"/>
    <w:qFormat/>
    <w:rPr>
      <w:sz w:val="20"/>
    </w:rPr>
  </w:style>
  <w:style w:type="paragraph" w:styleId="947" w:customStyle="1">
    <w:name w:val="目录 71"/>
    <w:basedOn w:val="732"/>
    <w:next w:val="732"/>
    <w:uiPriority w:val="39"/>
    <w:unhideWhenUsed/>
    <w:qFormat/>
    <w:pPr>
      <w:ind w:left="1701"/>
      <w:spacing w:after="57"/>
    </w:pPr>
    <w:rPr>
      <w:rFonts w:ascii="Times New Roman" w:hAnsi="Times New Roman" w:eastAsia="宋体" w:cs="Times New Roman"/>
      <w:szCs w:val="21"/>
    </w:rPr>
  </w:style>
  <w:style w:type="paragraph" w:styleId="948" w:customStyle="1">
    <w:name w:val="目录 51"/>
    <w:basedOn w:val="732"/>
    <w:next w:val="732"/>
    <w:uiPriority w:val="39"/>
    <w:unhideWhenUsed/>
    <w:qFormat/>
    <w:pPr>
      <w:ind w:left="1134"/>
      <w:spacing w:after="57"/>
    </w:pPr>
    <w:rPr>
      <w:rFonts w:ascii="Times New Roman" w:hAnsi="Times New Roman" w:eastAsia="宋体" w:cs="Times New Roman"/>
      <w:szCs w:val="21"/>
    </w:rPr>
  </w:style>
  <w:style w:type="paragraph" w:styleId="949" w:customStyle="1">
    <w:name w:val="目录 31"/>
    <w:basedOn w:val="732"/>
    <w:next w:val="732"/>
    <w:uiPriority w:val="39"/>
    <w:unhideWhenUsed/>
    <w:qFormat/>
    <w:pPr>
      <w:ind w:left="567"/>
      <w:spacing w:after="57"/>
    </w:pPr>
    <w:rPr>
      <w:rFonts w:ascii="Times New Roman" w:hAnsi="Times New Roman" w:eastAsia="宋体" w:cs="Times New Roman"/>
      <w:szCs w:val="21"/>
    </w:rPr>
  </w:style>
  <w:style w:type="paragraph" w:styleId="950" w:customStyle="1">
    <w:name w:val="目录 81"/>
    <w:basedOn w:val="732"/>
    <w:next w:val="732"/>
    <w:uiPriority w:val="39"/>
    <w:unhideWhenUsed/>
    <w:qFormat/>
    <w:pPr>
      <w:ind w:left="1984"/>
      <w:spacing w:after="57"/>
    </w:pPr>
    <w:rPr>
      <w:rFonts w:ascii="Times New Roman" w:hAnsi="Times New Roman" w:eastAsia="宋体" w:cs="Times New Roman"/>
      <w:szCs w:val="21"/>
    </w:rPr>
  </w:style>
  <w:style w:type="character" w:styleId="951" w:customStyle="1">
    <w:name w:val="页脚 字符1"/>
    <w:link w:val="732"/>
    <w:uiPriority w:val="99"/>
    <w:qFormat/>
  </w:style>
  <w:style w:type="paragraph" w:styleId="952" w:customStyle="1">
    <w:name w:val="目录 11"/>
    <w:basedOn w:val="732"/>
    <w:next w:val="732"/>
    <w:uiPriority w:val="39"/>
    <w:unhideWhenUsed/>
    <w:qFormat/>
    <w:pPr>
      <w:spacing w:after="57"/>
    </w:pPr>
    <w:rPr>
      <w:rFonts w:ascii="Times New Roman" w:hAnsi="Times New Roman" w:eastAsia="宋体" w:cs="Times New Roman"/>
      <w:szCs w:val="21"/>
    </w:rPr>
  </w:style>
  <w:style w:type="paragraph" w:styleId="953" w:customStyle="1">
    <w:name w:val="目录 41"/>
    <w:basedOn w:val="732"/>
    <w:next w:val="732"/>
    <w:uiPriority w:val="39"/>
    <w:unhideWhenUsed/>
    <w:qFormat/>
    <w:pPr>
      <w:ind w:left="850"/>
      <w:spacing w:after="57"/>
    </w:pPr>
    <w:rPr>
      <w:rFonts w:ascii="Times New Roman" w:hAnsi="Times New Roman" w:eastAsia="宋体" w:cs="Times New Roman"/>
      <w:szCs w:val="21"/>
    </w:rPr>
  </w:style>
  <w:style w:type="paragraph" w:styleId="954" w:customStyle="1">
    <w:name w:val="目录 61"/>
    <w:basedOn w:val="732"/>
    <w:next w:val="732"/>
    <w:uiPriority w:val="39"/>
    <w:unhideWhenUsed/>
    <w:qFormat/>
    <w:pPr>
      <w:ind w:left="1417"/>
      <w:spacing w:after="57"/>
    </w:pPr>
    <w:rPr>
      <w:rFonts w:ascii="Times New Roman" w:hAnsi="Times New Roman" w:eastAsia="宋体" w:cs="Times New Roman"/>
      <w:szCs w:val="21"/>
    </w:rPr>
  </w:style>
  <w:style w:type="paragraph" w:styleId="955" w:customStyle="1">
    <w:name w:val="目录 21"/>
    <w:basedOn w:val="732"/>
    <w:next w:val="732"/>
    <w:uiPriority w:val="39"/>
    <w:unhideWhenUsed/>
    <w:qFormat/>
    <w:pPr>
      <w:ind w:left="283"/>
      <w:spacing w:after="57"/>
    </w:pPr>
    <w:rPr>
      <w:rFonts w:ascii="Times New Roman" w:hAnsi="Times New Roman" w:eastAsia="宋体" w:cs="Times New Roman"/>
      <w:szCs w:val="21"/>
    </w:rPr>
  </w:style>
  <w:style w:type="paragraph" w:styleId="956" w:customStyle="1">
    <w:name w:val="目录 91"/>
    <w:basedOn w:val="732"/>
    <w:next w:val="732"/>
    <w:uiPriority w:val="39"/>
    <w:unhideWhenUsed/>
    <w:qFormat/>
    <w:pPr>
      <w:ind w:left="2268"/>
      <w:spacing w:after="57"/>
    </w:pPr>
    <w:rPr>
      <w:rFonts w:ascii="Times New Roman" w:hAnsi="Times New Roman" w:eastAsia="宋体" w:cs="Times New Roman"/>
      <w:szCs w:val="21"/>
    </w:rPr>
  </w:style>
  <w:style w:type="character" w:styleId="957" w:customStyle="1">
    <w:name w:val="font5 Char"/>
    <w:link w:val="732"/>
    <w:uiPriority w:val="0"/>
    <w:qFormat/>
    <w:rPr>
      <w:rFonts w:ascii="宋体" w:hAnsi="宋体" w:eastAsia="宋体"/>
      <w:sz w:val="28"/>
      <w:szCs w:val="28"/>
      <w:lang w:val="en-US" w:eastAsia="zh-CN" w:bidi="ar-SA"/>
    </w:rPr>
  </w:style>
  <w:style w:type="paragraph" w:styleId="958" w:customStyle="1">
    <w:name w:val="列出段落2"/>
    <w:basedOn w:val="732"/>
    <w:uiPriority w:val="34"/>
    <w:qFormat/>
    <w:pPr>
      <w:contextualSpacing/>
      <w:ind w:left="720"/>
    </w:pPr>
    <w:rPr>
      <w:rFonts w:ascii="Times New Roman" w:hAnsi="Times New Roman" w:eastAsia="宋体" w:cs="Times New Roman"/>
      <w:szCs w:val="21"/>
    </w:rPr>
  </w:style>
  <w:style w:type="table" w:styleId="959" w:customStyle="1">
    <w:name w:val="Table Grid Light"/>
    <w:uiPriority w:val="59"/>
    <w:qFormat/>
    <w:rPr>
      <w:rFonts w:ascii="Calibri" w:hAnsi="Calibri"/>
    </w:rPr>
    <w:tblPr/>
  </w:style>
  <w:style w:type="table" w:styleId="960" w:customStyle="1">
    <w:name w:val="Plain Table 1"/>
    <w:uiPriority w:val="59"/>
    <w:qFormat/>
    <w:rPr>
      <w:rFonts w:ascii="Calibri" w:hAnsi="Calibri"/>
    </w:rPr>
    <w:tblPr/>
  </w:style>
  <w:style w:type="table" w:styleId="961" w:customStyle="1">
    <w:name w:val="Plain Table 2"/>
    <w:uiPriority w:val="59"/>
    <w:qFormat/>
    <w:rPr>
      <w:rFonts w:ascii="Calibri" w:hAnsi="Calibri"/>
    </w:rPr>
    <w:tblPr/>
  </w:style>
  <w:style w:type="table" w:styleId="962" w:customStyle="1">
    <w:name w:val="Plain Table 3"/>
    <w:uiPriority w:val="99"/>
    <w:qFormat/>
    <w:rPr>
      <w:rFonts w:ascii="Calibri" w:hAnsi="Calibri"/>
    </w:rPr>
    <w:tblPr/>
  </w:style>
  <w:style w:type="table" w:styleId="963" w:customStyle="1">
    <w:name w:val="Plain Table 4"/>
    <w:uiPriority w:val="99"/>
    <w:qFormat/>
    <w:rPr>
      <w:rFonts w:ascii="Calibri" w:hAnsi="Calibri"/>
    </w:rPr>
    <w:tblPr/>
  </w:style>
  <w:style w:type="table" w:styleId="964" w:customStyle="1">
    <w:name w:val="Plain Table 5"/>
    <w:uiPriority w:val="99"/>
    <w:qFormat/>
    <w:rPr>
      <w:rFonts w:ascii="Calibri" w:hAnsi="Calibri"/>
    </w:rPr>
    <w:tblPr/>
  </w:style>
  <w:style w:type="table" w:styleId="965" w:customStyle="1">
    <w:name w:val="Grid Table 1 Light"/>
    <w:uiPriority w:val="99"/>
    <w:qFormat/>
    <w:rPr>
      <w:rFonts w:ascii="Calibri" w:hAnsi="Calibri"/>
    </w:rPr>
    <w:tblPr/>
  </w:style>
  <w:style w:type="table" w:styleId="966" w:customStyle="1">
    <w:name w:val="Grid Table 1 Light - Accent 1"/>
    <w:uiPriority w:val="99"/>
    <w:qFormat/>
    <w:rPr>
      <w:rFonts w:ascii="Calibri" w:hAnsi="Calibri"/>
    </w:rPr>
    <w:tblPr/>
  </w:style>
  <w:style w:type="table" w:styleId="967" w:customStyle="1">
    <w:name w:val="Grid Table 1 Light - Accent 2"/>
    <w:uiPriority w:val="99"/>
    <w:qFormat/>
    <w:rPr>
      <w:rFonts w:ascii="Calibri" w:hAnsi="Calibri"/>
    </w:rPr>
    <w:tblPr/>
  </w:style>
  <w:style w:type="table" w:styleId="968" w:customStyle="1">
    <w:name w:val="Grid Table 1 Light - Accent 3"/>
    <w:uiPriority w:val="99"/>
    <w:qFormat/>
    <w:rPr>
      <w:rFonts w:ascii="Calibri" w:hAnsi="Calibri"/>
    </w:rPr>
    <w:tblPr/>
  </w:style>
  <w:style w:type="table" w:styleId="969" w:customStyle="1">
    <w:name w:val="Grid Table 1 Light - Accent 4"/>
    <w:uiPriority w:val="99"/>
    <w:qFormat/>
    <w:rPr>
      <w:rFonts w:ascii="Calibri" w:hAnsi="Calibri"/>
    </w:rPr>
    <w:tblPr/>
  </w:style>
  <w:style w:type="table" w:styleId="970" w:customStyle="1">
    <w:name w:val="Grid Table 1 Light - Accent 5"/>
    <w:uiPriority w:val="99"/>
    <w:qFormat/>
    <w:rPr>
      <w:rFonts w:ascii="Calibri" w:hAnsi="Calibri"/>
    </w:rPr>
    <w:tblPr/>
  </w:style>
  <w:style w:type="table" w:styleId="971" w:customStyle="1">
    <w:name w:val="Grid Table 1 Light - Accent 6"/>
    <w:uiPriority w:val="99"/>
    <w:qFormat/>
    <w:rPr>
      <w:rFonts w:ascii="Calibri" w:hAnsi="Calibri"/>
    </w:rPr>
    <w:tblPr/>
  </w:style>
  <w:style w:type="table" w:styleId="972" w:customStyle="1">
    <w:name w:val="Grid Table 2"/>
    <w:uiPriority w:val="99"/>
    <w:qFormat/>
    <w:rPr>
      <w:rFonts w:ascii="Calibri" w:hAnsi="Calibri"/>
    </w:rPr>
    <w:tblPr/>
  </w:style>
  <w:style w:type="table" w:styleId="973" w:customStyle="1">
    <w:name w:val="Grid Table 2 - Accent 1"/>
    <w:uiPriority w:val="99"/>
    <w:qFormat/>
    <w:rPr>
      <w:rFonts w:ascii="Calibri" w:hAnsi="Calibri"/>
    </w:rPr>
    <w:tblPr/>
  </w:style>
  <w:style w:type="table" w:styleId="974" w:customStyle="1">
    <w:name w:val="Grid Table 2 - Accent 2"/>
    <w:uiPriority w:val="99"/>
    <w:qFormat/>
    <w:rPr>
      <w:rFonts w:ascii="Calibri" w:hAnsi="Calibri"/>
    </w:rPr>
    <w:tblPr/>
  </w:style>
  <w:style w:type="table" w:styleId="975" w:customStyle="1">
    <w:name w:val="Grid Table 2 - Accent 3"/>
    <w:uiPriority w:val="99"/>
    <w:qFormat/>
    <w:rPr>
      <w:rFonts w:ascii="Calibri" w:hAnsi="Calibri"/>
    </w:rPr>
    <w:tblPr/>
  </w:style>
  <w:style w:type="table" w:styleId="976" w:customStyle="1">
    <w:name w:val="Grid Table 2 - Accent 4"/>
    <w:uiPriority w:val="99"/>
    <w:qFormat/>
    <w:rPr>
      <w:rFonts w:ascii="Calibri" w:hAnsi="Calibri"/>
    </w:rPr>
    <w:tblPr/>
  </w:style>
  <w:style w:type="table" w:styleId="977" w:customStyle="1">
    <w:name w:val="Grid Table 2 - Accent 5"/>
    <w:uiPriority w:val="99"/>
    <w:qFormat/>
    <w:rPr>
      <w:rFonts w:ascii="Calibri" w:hAnsi="Calibri"/>
    </w:rPr>
    <w:tblPr/>
  </w:style>
  <w:style w:type="table" w:styleId="978" w:customStyle="1">
    <w:name w:val="Grid Table 2 - Accent 6"/>
    <w:uiPriority w:val="99"/>
    <w:qFormat/>
    <w:rPr>
      <w:rFonts w:ascii="Calibri" w:hAnsi="Calibri"/>
    </w:rPr>
    <w:tblPr/>
  </w:style>
  <w:style w:type="table" w:styleId="979" w:customStyle="1">
    <w:name w:val="Grid Table 3"/>
    <w:uiPriority w:val="99"/>
    <w:qFormat/>
    <w:rPr>
      <w:rFonts w:ascii="Calibri" w:hAnsi="Calibri"/>
    </w:rPr>
    <w:tblPr/>
  </w:style>
  <w:style w:type="table" w:styleId="980" w:customStyle="1">
    <w:name w:val="Grid Table 3 - Accent 1"/>
    <w:uiPriority w:val="99"/>
    <w:qFormat/>
    <w:rPr>
      <w:rFonts w:ascii="Calibri" w:hAnsi="Calibri"/>
    </w:rPr>
    <w:tblPr/>
  </w:style>
  <w:style w:type="table" w:styleId="981" w:customStyle="1">
    <w:name w:val="Grid Table 3 - Accent 2"/>
    <w:uiPriority w:val="99"/>
    <w:qFormat/>
    <w:rPr>
      <w:rFonts w:ascii="Calibri" w:hAnsi="Calibri"/>
    </w:rPr>
    <w:tblPr/>
  </w:style>
  <w:style w:type="table" w:styleId="982" w:customStyle="1">
    <w:name w:val="Grid Table 3 - Accent 3"/>
    <w:uiPriority w:val="99"/>
    <w:qFormat/>
    <w:rPr>
      <w:rFonts w:ascii="Calibri" w:hAnsi="Calibri"/>
    </w:rPr>
    <w:tblPr/>
  </w:style>
  <w:style w:type="table" w:styleId="983" w:customStyle="1">
    <w:name w:val="Grid Table 3 - Accent 4"/>
    <w:uiPriority w:val="99"/>
    <w:qFormat/>
    <w:rPr>
      <w:rFonts w:ascii="Calibri" w:hAnsi="Calibri"/>
    </w:rPr>
    <w:tblPr/>
  </w:style>
  <w:style w:type="table" w:styleId="984" w:customStyle="1">
    <w:name w:val="Grid Table 3 - Accent 5"/>
    <w:uiPriority w:val="99"/>
    <w:qFormat/>
    <w:rPr>
      <w:rFonts w:ascii="Calibri" w:hAnsi="Calibri"/>
    </w:rPr>
    <w:tblPr/>
  </w:style>
  <w:style w:type="table" w:styleId="985" w:customStyle="1">
    <w:name w:val="Grid Table 3 - Accent 6"/>
    <w:uiPriority w:val="99"/>
    <w:qFormat/>
    <w:rPr>
      <w:rFonts w:ascii="Calibri" w:hAnsi="Calibri"/>
    </w:rPr>
    <w:tblPr/>
  </w:style>
  <w:style w:type="table" w:styleId="986" w:customStyle="1">
    <w:name w:val="Grid Table 4"/>
    <w:uiPriority w:val="59"/>
    <w:qFormat/>
    <w:rPr>
      <w:rFonts w:ascii="Calibri" w:hAnsi="Calibri"/>
    </w:rPr>
    <w:tblPr/>
  </w:style>
  <w:style w:type="table" w:styleId="987" w:customStyle="1">
    <w:name w:val="Grid Table 4 - Accent 1"/>
    <w:uiPriority w:val="59"/>
    <w:qFormat/>
    <w:rPr>
      <w:rFonts w:ascii="Calibri" w:hAnsi="Calibri"/>
    </w:rPr>
    <w:tblPr/>
  </w:style>
  <w:style w:type="table" w:styleId="988" w:customStyle="1">
    <w:name w:val="Grid Table 4 - Accent 2"/>
    <w:uiPriority w:val="59"/>
    <w:qFormat/>
    <w:rPr>
      <w:rFonts w:ascii="Calibri" w:hAnsi="Calibri"/>
    </w:rPr>
    <w:tblPr/>
  </w:style>
  <w:style w:type="table" w:styleId="989" w:customStyle="1">
    <w:name w:val="Grid Table 4 - Accent 3"/>
    <w:uiPriority w:val="59"/>
    <w:qFormat/>
    <w:rPr>
      <w:rFonts w:ascii="Calibri" w:hAnsi="Calibri"/>
    </w:rPr>
    <w:tblPr/>
  </w:style>
  <w:style w:type="table" w:styleId="990" w:customStyle="1">
    <w:name w:val="Grid Table 4 - Accent 4"/>
    <w:uiPriority w:val="59"/>
    <w:qFormat/>
    <w:rPr>
      <w:rFonts w:ascii="Calibri" w:hAnsi="Calibri"/>
    </w:rPr>
    <w:tblPr/>
  </w:style>
  <w:style w:type="table" w:styleId="991" w:customStyle="1">
    <w:name w:val="Grid Table 4 - Accent 5"/>
    <w:uiPriority w:val="59"/>
    <w:qFormat/>
    <w:rPr>
      <w:rFonts w:ascii="Calibri" w:hAnsi="Calibri"/>
    </w:rPr>
    <w:tblPr/>
  </w:style>
  <w:style w:type="table" w:styleId="992" w:customStyle="1">
    <w:name w:val="Grid Table 4 - Accent 6"/>
    <w:uiPriority w:val="59"/>
    <w:qFormat/>
    <w:rPr>
      <w:rFonts w:ascii="Calibri" w:hAnsi="Calibri"/>
    </w:rPr>
    <w:tblPr/>
  </w:style>
  <w:style w:type="table" w:styleId="993" w:customStyle="1">
    <w:name w:val="Grid Table 5 Dark"/>
    <w:uiPriority w:val="99"/>
    <w:qFormat/>
    <w:rPr>
      <w:rFonts w:ascii="Calibri" w:hAnsi="Calibri"/>
    </w:rPr>
    <w:tblPr/>
  </w:style>
  <w:style w:type="table" w:styleId="994" w:customStyle="1">
    <w:name w:val="Grid Table 5 Dark- Accent 1"/>
    <w:uiPriority w:val="99"/>
    <w:qFormat/>
    <w:rPr>
      <w:rFonts w:ascii="Calibri" w:hAnsi="Calibri"/>
    </w:rPr>
    <w:tblPr/>
  </w:style>
  <w:style w:type="table" w:styleId="995" w:customStyle="1">
    <w:name w:val="Grid Table 5 Dark - Accent 2"/>
    <w:uiPriority w:val="99"/>
    <w:qFormat/>
    <w:rPr>
      <w:rFonts w:ascii="Calibri" w:hAnsi="Calibri"/>
    </w:rPr>
    <w:tblPr/>
  </w:style>
  <w:style w:type="table" w:styleId="996" w:customStyle="1">
    <w:name w:val="Grid Table 5 Dark - Accent 3"/>
    <w:uiPriority w:val="99"/>
    <w:qFormat/>
    <w:rPr>
      <w:rFonts w:ascii="Calibri" w:hAnsi="Calibri"/>
    </w:rPr>
    <w:tblPr/>
  </w:style>
  <w:style w:type="table" w:styleId="997" w:customStyle="1">
    <w:name w:val="Grid Table 5 Dark- Accent 4"/>
    <w:uiPriority w:val="99"/>
    <w:qFormat/>
    <w:rPr>
      <w:rFonts w:ascii="Calibri" w:hAnsi="Calibri"/>
    </w:rPr>
    <w:tblPr/>
  </w:style>
  <w:style w:type="table" w:styleId="998" w:customStyle="1">
    <w:name w:val="Grid Table 5 Dark - Accent 5"/>
    <w:uiPriority w:val="99"/>
    <w:qFormat/>
    <w:rPr>
      <w:rFonts w:ascii="Calibri" w:hAnsi="Calibri"/>
    </w:rPr>
    <w:tblPr/>
  </w:style>
  <w:style w:type="table" w:styleId="999" w:customStyle="1">
    <w:name w:val="Grid Table 5 Dark - Accent 6"/>
    <w:uiPriority w:val="99"/>
    <w:qFormat/>
    <w:rPr>
      <w:rFonts w:ascii="Calibri" w:hAnsi="Calibri"/>
    </w:rPr>
    <w:tblPr/>
  </w:style>
  <w:style w:type="table" w:styleId="1000" w:customStyle="1">
    <w:name w:val="Grid Table 6 Colorful"/>
    <w:uiPriority w:val="99"/>
    <w:qFormat/>
    <w:rPr>
      <w:rFonts w:ascii="Calibri" w:hAnsi="Calibri"/>
    </w:rPr>
    <w:tblPr/>
  </w:style>
  <w:style w:type="table" w:styleId="1001" w:customStyle="1">
    <w:name w:val="Grid Table 6 Colorful - Accent 1"/>
    <w:uiPriority w:val="99"/>
    <w:qFormat/>
    <w:rPr>
      <w:rFonts w:ascii="Calibri" w:hAnsi="Calibri"/>
    </w:rPr>
    <w:tblPr/>
  </w:style>
  <w:style w:type="table" w:styleId="1002" w:customStyle="1">
    <w:name w:val="Grid Table 6 Colorful - Accent 2"/>
    <w:uiPriority w:val="99"/>
    <w:qFormat/>
    <w:rPr>
      <w:rFonts w:ascii="Calibri" w:hAnsi="Calibri"/>
    </w:rPr>
    <w:tblPr/>
  </w:style>
  <w:style w:type="table" w:styleId="1003" w:customStyle="1">
    <w:name w:val="Grid Table 6 Colorful - Accent 3"/>
    <w:uiPriority w:val="99"/>
    <w:qFormat/>
    <w:rPr>
      <w:rFonts w:ascii="Calibri" w:hAnsi="Calibri"/>
    </w:rPr>
    <w:tblPr/>
  </w:style>
  <w:style w:type="table" w:styleId="1004" w:customStyle="1">
    <w:name w:val="Grid Table 6 Colorful - Accent 4"/>
    <w:uiPriority w:val="99"/>
    <w:qFormat/>
    <w:rPr>
      <w:rFonts w:ascii="Calibri" w:hAnsi="Calibri"/>
    </w:rPr>
    <w:tblPr/>
  </w:style>
  <w:style w:type="table" w:styleId="1005" w:customStyle="1">
    <w:name w:val="Grid Table 6 Colorful - Accent 5"/>
    <w:uiPriority w:val="99"/>
    <w:qFormat/>
    <w:rPr>
      <w:rFonts w:ascii="Calibri" w:hAnsi="Calibri"/>
    </w:rPr>
    <w:tblPr/>
  </w:style>
  <w:style w:type="table" w:styleId="1006" w:customStyle="1">
    <w:name w:val="Grid Table 6 Colorful - Accent 6"/>
    <w:uiPriority w:val="99"/>
    <w:qFormat/>
    <w:rPr>
      <w:rFonts w:ascii="Calibri" w:hAnsi="Calibri"/>
    </w:rPr>
    <w:tblPr/>
  </w:style>
  <w:style w:type="table" w:styleId="1007" w:customStyle="1">
    <w:name w:val="Grid Table 7 Colorful"/>
    <w:uiPriority w:val="99"/>
    <w:qFormat/>
    <w:rPr>
      <w:rFonts w:ascii="Calibri" w:hAnsi="Calibri"/>
    </w:rPr>
    <w:tblPr/>
  </w:style>
  <w:style w:type="table" w:styleId="1008" w:customStyle="1">
    <w:name w:val="Grid Table 7 Colorful - Accent 1"/>
    <w:uiPriority w:val="99"/>
    <w:qFormat/>
    <w:rPr>
      <w:rFonts w:ascii="Calibri" w:hAnsi="Calibri"/>
    </w:rPr>
    <w:tblPr/>
  </w:style>
  <w:style w:type="table" w:styleId="1009" w:customStyle="1">
    <w:name w:val="Grid Table 7 Colorful - Accent 2"/>
    <w:uiPriority w:val="99"/>
    <w:qFormat/>
    <w:rPr>
      <w:rFonts w:ascii="Calibri" w:hAnsi="Calibri"/>
    </w:rPr>
    <w:tblPr/>
  </w:style>
  <w:style w:type="table" w:styleId="1010" w:customStyle="1">
    <w:name w:val="Grid Table 7 Colorful - Accent 3"/>
    <w:uiPriority w:val="99"/>
    <w:qFormat/>
    <w:rPr>
      <w:rFonts w:ascii="Calibri" w:hAnsi="Calibri"/>
    </w:rPr>
    <w:tblPr/>
  </w:style>
  <w:style w:type="table" w:styleId="1011" w:customStyle="1">
    <w:name w:val="Grid Table 7 Colorful - Accent 4"/>
    <w:uiPriority w:val="99"/>
    <w:qFormat/>
    <w:rPr>
      <w:rFonts w:ascii="Calibri" w:hAnsi="Calibri"/>
    </w:rPr>
    <w:tblPr/>
  </w:style>
  <w:style w:type="table" w:styleId="1012" w:customStyle="1">
    <w:name w:val="Grid Table 7 Colorful - Accent 5"/>
    <w:uiPriority w:val="99"/>
    <w:qFormat/>
    <w:rPr>
      <w:rFonts w:ascii="Calibri" w:hAnsi="Calibri"/>
    </w:rPr>
    <w:tblPr/>
  </w:style>
  <w:style w:type="table" w:styleId="1013" w:customStyle="1">
    <w:name w:val="Grid Table 7 Colorful - Accent 6"/>
    <w:uiPriority w:val="99"/>
    <w:qFormat/>
    <w:rPr>
      <w:rFonts w:ascii="Calibri" w:hAnsi="Calibri"/>
    </w:rPr>
    <w:tblPr/>
  </w:style>
  <w:style w:type="table" w:styleId="1014" w:customStyle="1">
    <w:name w:val="List Table 1 Light"/>
    <w:uiPriority w:val="99"/>
    <w:qFormat/>
    <w:rPr>
      <w:rFonts w:ascii="Calibri" w:hAnsi="Calibri"/>
    </w:rPr>
    <w:tblPr/>
  </w:style>
  <w:style w:type="table" w:styleId="1015" w:customStyle="1">
    <w:name w:val="List Table 1 Light - Accent 1"/>
    <w:uiPriority w:val="99"/>
    <w:qFormat/>
    <w:rPr>
      <w:rFonts w:ascii="Calibri" w:hAnsi="Calibri"/>
    </w:rPr>
    <w:tblPr/>
  </w:style>
  <w:style w:type="table" w:styleId="1016" w:customStyle="1">
    <w:name w:val="List Table 1 Light - Accent 2"/>
    <w:uiPriority w:val="99"/>
    <w:qFormat/>
    <w:rPr>
      <w:rFonts w:ascii="Calibri" w:hAnsi="Calibri"/>
    </w:rPr>
    <w:tblPr/>
  </w:style>
  <w:style w:type="table" w:styleId="1017" w:customStyle="1">
    <w:name w:val="List Table 1 Light - Accent 3"/>
    <w:uiPriority w:val="99"/>
    <w:qFormat/>
    <w:rPr>
      <w:rFonts w:ascii="Calibri" w:hAnsi="Calibri"/>
    </w:rPr>
    <w:tblPr/>
  </w:style>
  <w:style w:type="table" w:styleId="1018" w:customStyle="1">
    <w:name w:val="List Table 1 Light - Accent 4"/>
    <w:uiPriority w:val="99"/>
    <w:qFormat/>
    <w:rPr>
      <w:rFonts w:ascii="Calibri" w:hAnsi="Calibri"/>
    </w:rPr>
    <w:tblPr/>
  </w:style>
  <w:style w:type="table" w:styleId="1019" w:customStyle="1">
    <w:name w:val="List Table 1 Light - Accent 5"/>
    <w:uiPriority w:val="99"/>
    <w:qFormat/>
    <w:rPr>
      <w:rFonts w:ascii="Calibri" w:hAnsi="Calibri"/>
    </w:rPr>
    <w:tblPr/>
  </w:style>
  <w:style w:type="table" w:styleId="1020" w:customStyle="1">
    <w:name w:val="List Table 1 Light - Accent 6"/>
    <w:uiPriority w:val="99"/>
    <w:qFormat/>
    <w:rPr>
      <w:rFonts w:ascii="Calibri" w:hAnsi="Calibri"/>
    </w:rPr>
    <w:tblPr/>
  </w:style>
  <w:style w:type="table" w:styleId="1021" w:customStyle="1">
    <w:name w:val="List Table 2"/>
    <w:uiPriority w:val="99"/>
    <w:qFormat/>
    <w:rPr>
      <w:rFonts w:ascii="Calibri" w:hAnsi="Calibri"/>
    </w:rPr>
    <w:tblPr/>
  </w:style>
  <w:style w:type="table" w:styleId="1022" w:customStyle="1">
    <w:name w:val="List Table 2 - Accent 1"/>
    <w:uiPriority w:val="99"/>
    <w:qFormat/>
    <w:rPr>
      <w:rFonts w:ascii="Calibri" w:hAnsi="Calibri"/>
    </w:rPr>
    <w:tblPr/>
  </w:style>
  <w:style w:type="table" w:styleId="1023" w:customStyle="1">
    <w:name w:val="List Table 2 - Accent 2"/>
    <w:uiPriority w:val="99"/>
    <w:qFormat/>
    <w:rPr>
      <w:rFonts w:ascii="Calibri" w:hAnsi="Calibri"/>
    </w:rPr>
    <w:tblPr/>
  </w:style>
  <w:style w:type="table" w:styleId="1024" w:customStyle="1">
    <w:name w:val="List Table 2 - Accent 3"/>
    <w:uiPriority w:val="99"/>
    <w:qFormat/>
    <w:rPr>
      <w:rFonts w:ascii="Calibri" w:hAnsi="Calibri"/>
    </w:rPr>
    <w:tblPr/>
  </w:style>
  <w:style w:type="table" w:styleId="1025" w:customStyle="1">
    <w:name w:val="List Table 2 - Accent 4"/>
    <w:uiPriority w:val="99"/>
    <w:qFormat/>
    <w:rPr>
      <w:rFonts w:ascii="Calibri" w:hAnsi="Calibri"/>
    </w:rPr>
    <w:tblPr/>
  </w:style>
  <w:style w:type="table" w:styleId="1026" w:customStyle="1">
    <w:name w:val="List Table 2 - Accent 5"/>
    <w:uiPriority w:val="99"/>
    <w:qFormat/>
    <w:rPr>
      <w:rFonts w:ascii="Calibri" w:hAnsi="Calibri"/>
    </w:rPr>
    <w:tblPr/>
  </w:style>
  <w:style w:type="table" w:styleId="1027" w:customStyle="1">
    <w:name w:val="List Table 2 - Accent 6"/>
    <w:uiPriority w:val="99"/>
    <w:qFormat/>
    <w:rPr>
      <w:rFonts w:ascii="Calibri" w:hAnsi="Calibri"/>
    </w:rPr>
    <w:tblPr/>
  </w:style>
  <w:style w:type="table" w:styleId="1028" w:customStyle="1">
    <w:name w:val="List Table 3"/>
    <w:uiPriority w:val="99"/>
    <w:qFormat/>
    <w:rPr>
      <w:rFonts w:ascii="Calibri" w:hAnsi="Calibri"/>
    </w:rPr>
    <w:tblPr/>
  </w:style>
  <w:style w:type="table" w:styleId="1029" w:customStyle="1">
    <w:name w:val="List Table 3 - Accent 1"/>
    <w:uiPriority w:val="99"/>
    <w:qFormat/>
    <w:rPr>
      <w:rFonts w:ascii="Calibri" w:hAnsi="Calibri"/>
    </w:rPr>
    <w:tblPr/>
  </w:style>
  <w:style w:type="table" w:styleId="1030" w:customStyle="1">
    <w:name w:val="List Table 3 - Accent 2"/>
    <w:uiPriority w:val="99"/>
    <w:qFormat/>
    <w:rPr>
      <w:rFonts w:ascii="Calibri" w:hAnsi="Calibri"/>
    </w:rPr>
    <w:tblPr/>
  </w:style>
  <w:style w:type="table" w:styleId="1031" w:customStyle="1">
    <w:name w:val="List Table 3 - Accent 3"/>
    <w:uiPriority w:val="99"/>
    <w:qFormat/>
    <w:rPr>
      <w:rFonts w:ascii="Calibri" w:hAnsi="Calibri"/>
    </w:rPr>
    <w:tblPr/>
  </w:style>
  <w:style w:type="table" w:styleId="1032" w:customStyle="1">
    <w:name w:val="List Table 3 - Accent 4"/>
    <w:uiPriority w:val="99"/>
    <w:qFormat/>
    <w:rPr>
      <w:rFonts w:ascii="Calibri" w:hAnsi="Calibri"/>
    </w:rPr>
    <w:tblPr/>
  </w:style>
  <w:style w:type="table" w:styleId="1033" w:customStyle="1">
    <w:name w:val="List Table 3 - Accent 5"/>
    <w:uiPriority w:val="99"/>
    <w:qFormat/>
    <w:rPr>
      <w:rFonts w:ascii="Calibri" w:hAnsi="Calibri"/>
    </w:rPr>
    <w:tblPr/>
  </w:style>
  <w:style w:type="table" w:styleId="1034" w:customStyle="1">
    <w:name w:val="List Table 3 - Accent 6"/>
    <w:uiPriority w:val="99"/>
    <w:qFormat/>
    <w:rPr>
      <w:rFonts w:ascii="Calibri" w:hAnsi="Calibri"/>
    </w:rPr>
    <w:tblPr/>
  </w:style>
  <w:style w:type="table" w:styleId="1035" w:customStyle="1">
    <w:name w:val="List Table 4"/>
    <w:uiPriority w:val="99"/>
    <w:qFormat/>
    <w:rPr>
      <w:rFonts w:ascii="Calibri" w:hAnsi="Calibri"/>
    </w:rPr>
    <w:tblPr/>
  </w:style>
  <w:style w:type="table" w:styleId="1036" w:customStyle="1">
    <w:name w:val="List Table 4 - Accent 1"/>
    <w:uiPriority w:val="99"/>
    <w:qFormat/>
    <w:rPr>
      <w:rFonts w:ascii="Calibri" w:hAnsi="Calibri"/>
    </w:rPr>
    <w:tblPr/>
  </w:style>
  <w:style w:type="table" w:styleId="1037" w:customStyle="1">
    <w:name w:val="List Table 4 - Accent 2"/>
    <w:uiPriority w:val="99"/>
    <w:qFormat/>
    <w:rPr>
      <w:rFonts w:ascii="Calibri" w:hAnsi="Calibri"/>
    </w:rPr>
    <w:tblPr/>
  </w:style>
  <w:style w:type="table" w:styleId="1038" w:customStyle="1">
    <w:name w:val="List Table 4 - Accent 3"/>
    <w:uiPriority w:val="99"/>
    <w:qFormat/>
    <w:rPr>
      <w:rFonts w:ascii="Calibri" w:hAnsi="Calibri"/>
    </w:rPr>
    <w:tblPr/>
  </w:style>
  <w:style w:type="table" w:styleId="1039" w:customStyle="1">
    <w:name w:val="List Table 4 - Accent 4"/>
    <w:uiPriority w:val="99"/>
    <w:qFormat/>
    <w:rPr>
      <w:rFonts w:ascii="Calibri" w:hAnsi="Calibri"/>
    </w:rPr>
    <w:tblPr/>
  </w:style>
  <w:style w:type="table" w:styleId="1040" w:customStyle="1">
    <w:name w:val="List Table 4 - Accent 5"/>
    <w:uiPriority w:val="99"/>
    <w:qFormat/>
    <w:rPr>
      <w:rFonts w:ascii="Calibri" w:hAnsi="Calibri"/>
    </w:rPr>
    <w:tblPr/>
  </w:style>
  <w:style w:type="table" w:styleId="1041" w:customStyle="1">
    <w:name w:val="List Table 4 - Accent 6"/>
    <w:uiPriority w:val="99"/>
    <w:qFormat/>
    <w:rPr>
      <w:rFonts w:ascii="Calibri" w:hAnsi="Calibri"/>
    </w:rPr>
    <w:tblPr/>
  </w:style>
  <w:style w:type="table" w:styleId="1042" w:customStyle="1">
    <w:name w:val="List Table 5 Dark"/>
    <w:uiPriority w:val="99"/>
    <w:qFormat/>
    <w:rPr>
      <w:rFonts w:ascii="Calibri" w:hAnsi="Calibri"/>
    </w:rPr>
    <w:tblPr/>
  </w:style>
  <w:style w:type="table" w:styleId="1043" w:customStyle="1">
    <w:name w:val="List Table 5 Dark - Accent 1"/>
    <w:uiPriority w:val="99"/>
    <w:qFormat/>
    <w:rPr>
      <w:rFonts w:ascii="Calibri" w:hAnsi="Calibri"/>
    </w:rPr>
    <w:tblPr/>
  </w:style>
  <w:style w:type="table" w:styleId="1044" w:customStyle="1">
    <w:name w:val="List Table 5 Dark - Accent 2"/>
    <w:uiPriority w:val="99"/>
    <w:qFormat/>
    <w:rPr>
      <w:rFonts w:ascii="Calibri" w:hAnsi="Calibri"/>
    </w:rPr>
    <w:tblPr/>
  </w:style>
  <w:style w:type="table" w:styleId="1045" w:customStyle="1">
    <w:name w:val="List Table 5 Dark - Accent 3"/>
    <w:uiPriority w:val="99"/>
    <w:qFormat/>
    <w:rPr>
      <w:rFonts w:ascii="Calibri" w:hAnsi="Calibri"/>
    </w:rPr>
    <w:tblPr/>
  </w:style>
  <w:style w:type="table" w:styleId="1046" w:customStyle="1">
    <w:name w:val="List Table 5 Dark - Accent 4"/>
    <w:uiPriority w:val="99"/>
    <w:qFormat/>
    <w:rPr>
      <w:rFonts w:ascii="Calibri" w:hAnsi="Calibri"/>
    </w:rPr>
    <w:tblPr/>
  </w:style>
  <w:style w:type="table" w:styleId="1047" w:customStyle="1">
    <w:name w:val="List Table 5 Dark - Accent 5"/>
    <w:uiPriority w:val="99"/>
    <w:qFormat/>
    <w:rPr>
      <w:rFonts w:ascii="Calibri" w:hAnsi="Calibri"/>
    </w:rPr>
    <w:tblPr/>
  </w:style>
  <w:style w:type="table" w:styleId="1048" w:customStyle="1">
    <w:name w:val="List Table 5 Dark - Accent 6"/>
    <w:uiPriority w:val="99"/>
    <w:qFormat/>
    <w:rPr>
      <w:rFonts w:ascii="Calibri" w:hAnsi="Calibri"/>
    </w:rPr>
    <w:tblPr/>
  </w:style>
  <w:style w:type="table" w:styleId="1049" w:customStyle="1">
    <w:name w:val="List Table 6 Colorful"/>
    <w:uiPriority w:val="99"/>
    <w:qFormat/>
    <w:rPr>
      <w:rFonts w:ascii="Calibri" w:hAnsi="Calibri"/>
    </w:rPr>
    <w:tblPr/>
  </w:style>
  <w:style w:type="table" w:styleId="1050" w:customStyle="1">
    <w:name w:val="List Table 6 Colorful - Accent 1"/>
    <w:uiPriority w:val="99"/>
    <w:qFormat/>
    <w:rPr>
      <w:rFonts w:ascii="Calibri" w:hAnsi="Calibri"/>
    </w:rPr>
    <w:tblPr/>
  </w:style>
  <w:style w:type="table" w:styleId="1051" w:customStyle="1">
    <w:name w:val="List Table 6 Colorful - Accent 2"/>
    <w:uiPriority w:val="99"/>
    <w:qFormat/>
    <w:rPr>
      <w:rFonts w:ascii="Calibri" w:hAnsi="Calibri"/>
    </w:rPr>
    <w:tblPr/>
  </w:style>
  <w:style w:type="table" w:styleId="1052" w:customStyle="1">
    <w:name w:val="List Table 6 Colorful - Accent 3"/>
    <w:uiPriority w:val="99"/>
    <w:qFormat/>
    <w:rPr>
      <w:rFonts w:ascii="Calibri" w:hAnsi="Calibri"/>
    </w:rPr>
    <w:tblPr/>
  </w:style>
  <w:style w:type="table" w:styleId="1053" w:customStyle="1">
    <w:name w:val="List Table 6 Colorful - Accent 4"/>
    <w:uiPriority w:val="99"/>
    <w:qFormat/>
    <w:rPr>
      <w:rFonts w:ascii="Calibri" w:hAnsi="Calibri"/>
    </w:rPr>
    <w:tblPr/>
  </w:style>
  <w:style w:type="table" w:styleId="1054" w:customStyle="1">
    <w:name w:val="List Table 6 Colorful - Accent 5"/>
    <w:uiPriority w:val="99"/>
    <w:qFormat/>
    <w:rPr>
      <w:rFonts w:ascii="Calibri" w:hAnsi="Calibri"/>
    </w:rPr>
    <w:tblPr/>
  </w:style>
  <w:style w:type="table" w:styleId="1055" w:customStyle="1">
    <w:name w:val="List Table 6 Colorful - Accent 6"/>
    <w:uiPriority w:val="99"/>
    <w:qFormat/>
    <w:rPr>
      <w:rFonts w:ascii="Calibri" w:hAnsi="Calibri"/>
    </w:rPr>
    <w:tblPr/>
  </w:style>
  <w:style w:type="table" w:styleId="1056" w:customStyle="1">
    <w:name w:val="List Table 7 Colorful"/>
    <w:uiPriority w:val="99"/>
    <w:qFormat/>
    <w:rPr>
      <w:rFonts w:ascii="Calibri" w:hAnsi="Calibri"/>
    </w:rPr>
    <w:tblPr/>
  </w:style>
  <w:style w:type="table" w:styleId="1057" w:customStyle="1">
    <w:name w:val="List Table 7 Colorful - Accent 1"/>
    <w:uiPriority w:val="99"/>
    <w:qFormat/>
    <w:rPr>
      <w:rFonts w:ascii="Calibri" w:hAnsi="Calibri"/>
    </w:rPr>
    <w:tblPr/>
  </w:style>
  <w:style w:type="table" w:styleId="1058" w:customStyle="1">
    <w:name w:val="List Table 7 Colorful - Accent 2"/>
    <w:uiPriority w:val="99"/>
    <w:qFormat/>
    <w:rPr>
      <w:rFonts w:ascii="Calibri" w:hAnsi="Calibri"/>
    </w:rPr>
    <w:tblPr/>
  </w:style>
  <w:style w:type="table" w:styleId="1059" w:customStyle="1">
    <w:name w:val="List Table 7 Colorful - Accent 3"/>
    <w:uiPriority w:val="99"/>
    <w:qFormat/>
    <w:rPr>
      <w:rFonts w:ascii="Calibri" w:hAnsi="Calibri"/>
    </w:rPr>
    <w:tblPr/>
  </w:style>
  <w:style w:type="table" w:styleId="1060" w:customStyle="1">
    <w:name w:val="List Table 7 Colorful - Accent 4"/>
    <w:uiPriority w:val="99"/>
    <w:qFormat/>
    <w:rPr>
      <w:rFonts w:ascii="Calibri" w:hAnsi="Calibri"/>
    </w:rPr>
    <w:tblPr/>
  </w:style>
  <w:style w:type="table" w:styleId="1061" w:customStyle="1">
    <w:name w:val="List Table 7 Colorful - Accent 5"/>
    <w:uiPriority w:val="99"/>
    <w:qFormat/>
    <w:rPr>
      <w:rFonts w:ascii="Calibri" w:hAnsi="Calibri"/>
    </w:rPr>
    <w:tblPr/>
  </w:style>
  <w:style w:type="table" w:styleId="1062" w:customStyle="1">
    <w:name w:val="List Table 7 Colorful - Accent 6"/>
    <w:uiPriority w:val="99"/>
    <w:qFormat/>
    <w:rPr>
      <w:rFonts w:ascii="Calibri" w:hAnsi="Calibri"/>
    </w:rPr>
    <w:tblPr/>
  </w:style>
  <w:style w:type="table" w:styleId="1063" w:customStyle="1">
    <w:name w:val="Lined - Accent"/>
    <w:uiPriority w:val="99"/>
    <w:qFormat/>
    <w:rPr>
      <w:rFonts w:ascii="Calibri" w:hAnsi="Calibri"/>
      <w:color w:val="404040"/>
    </w:rPr>
    <w:tblPr/>
  </w:style>
  <w:style w:type="table" w:styleId="1064" w:customStyle="1">
    <w:name w:val="Lined - Accent 1"/>
    <w:uiPriority w:val="99"/>
    <w:qFormat/>
    <w:rPr>
      <w:rFonts w:ascii="Calibri" w:hAnsi="Calibri"/>
      <w:color w:val="404040"/>
    </w:rPr>
    <w:tblPr/>
  </w:style>
  <w:style w:type="table" w:styleId="1065" w:customStyle="1">
    <w:name w:val="Lined - Accent 2"/>
    <w:uiPriority w:val="99"/>
    <w:qFormat/>
    <w:rPr>
      <w:rFonts w:ascii="Calibri" w:hAnsi="Calibri"/>
      <w:color w:val="404040"/>
    </w:rPr>
    <w:tblPr/>
  </w:style>
  <w:style w:type="table" w:styleId="1066" w:customStyle="1">
    <w:name w:val="Lined - Accent 3"/>
    <w:uiPriority w:val="99"/>
    <w:qFormat/>
    <w:rPr>
      <w:rFonts w:ascii="Calibri" w:hAnsi="Calibri"/>
      <w:color w:val="404040"/>
    </w:rPr>
    <w:tblPr/>
  </w:style>
  <w:style w:type="table" w:styleId="1067" w:customStyle="1">
    <w:name w:val="Lined - Accent 4"/>
    <w:uiPriority w:val="99"/>
    <w:qFormat/>
    <w:rPr>
      <w:rFonts w:ascii="Calibri" w:hAnsi="Calibri"/>
      <w:color w:val="404040"/>
    </w:rPr>
    <w:tblPr/>
  </w:style>
  <w:style w:type="table" w:styleId="1068" w:customStyle="1">
    <w:name w:val="Lined - Accent 5"/>
    <w:uiPriority w:val="99"/>
    <w:qFormat/>
    <w:rPr>
      <w:rFonts w:ascii="Calibri" w:hAnsi="Calibri"/>
      <w:color w:val="404040"/>
    </w:rPr>
    <w:tblPr/>
  </w:style>
  <w:style w:type="table" w:styleId="1069" w:customStyle="1">
    <w:name w:val="Lined - Accent 6"/>
    <w:uiPriority w:val="99"/>
    <w:qFormat/>
    <w:rPr>
      <w:rFonts w:ascii="Calibri" w:hAnsi="Calibri"/>
      <w:color w:val="404040"/>
    </w:rPr>
    <w:tblPr/>
  </w:style>
  <w:style w:type="table" w:styleId="1070" w:customStyle="1">
    <w:name w:val="Bordered &amp; Lined - Accent"/>
    <w:uiPriority w:val="99"/>
    <w:qFormat/>
    <w:rPr>
      <w:rFonts w:ascii="Calibri" w:hAnsi="Calibri"/>
      <w:color w:val="404040"/>
    </w:rPr>
    <w:tblPr/>
  </w:style>
  <w:style w:type="table" w:styleId="1071" w:customStyle="1">
    <w:name w:val="Bordered &amp; Lined - Accent 1"/>
    <w:uiPriority w:val="99"/>
    <w:qFormat/>
    <w:rPr>
      <w:rFonts w:ascii="Calibri" w:hAnsi="Calibri"/>
      <w:color w:val="404040"/>
    </w:rPr>
    <w:tblPr/>
  </w:style>
  <w:style w:type="table" w:styleId="1072" w:customStyle="1">
    <w:name w:val="Bordered &amp; Lined - Accent 2"/>
    <w:uiPriority w:val="99"/>
    <w:qFormat/>
    <w:rPr>
      <w:rFonts w:ascii="Calibri" w:hAnsi="Calibri"/>
      <w:color w:val="404040"/>
    </w:rPr>
    <w:tblPr/>
  </w:style>
  <w:style w:type="table" w:styleId="1073" w:customStyle="1">
    <w:name w:val="Bordered &amp; Lined - Accent 3"/>
    <w:uiPriority w:val="99"/>
    <w:qFormat/>
    <w:rPr>
      <w:rFonts w:ascii="Calibri" w:hAnsi="Calibri"/>
      <w:color w:val="404040"/>
    </w:rPr>
    <w:tblPr/>
  </w:style>
  <w:style w:type="table" w:styleId="1074" w:customStyle="1">
    <w:name w:val="Bordered &amp; Lined - Accent 4"/>
    <w:uiPriority w:val="99"/>
    <w:qFormat/>
    <w:rPr>
      <w:rFonts w:ascii="Calibri" w:hAnsi="Calibri"/>
      <w:color w:val="404040"/>
    </w:rPr>
    <w:tblPr/>
  </w:style>
  <w:style w:type="table" w:styleId="1075" w:customStyle="1">
    <w:name w:val="Bordered &amp; Lined - Accent 5"/>
    <w:uiPriority w:val="99"/>
    <w:qFormat/>
    <w:rPr>
      <w:rFonts w:ascii="Calibri" w:hAnsi="Calibri"/>
      <w:color w:val="404040"/>
    </w:rPr>
    <w:tblPr/>
  </w:style>
  <w:style w:type="table" w:styleId="1076" w:customStyle="1">
    <w:name w:val="Bordered &amp; Lined - Accent 6"/>
    <w:uiPriority w:val="99"/>
    <w:qFormat/>
    <w:rPr>
      <w:rFonts w:ascii="Calibri" w:hAnsi="Calibri"/>
      <w:color w:val="404040"/>
    </w:rPr>
    <w:tblPr/>
  </w:style>
  <w:style w:type="table" w:styleId="1077" w:customStyle="1">
    <w:name w:val="Bordered"/>
    <w:uiPriority w:val="99"/>
    <w:qFormat/>
    <w:rPr>
      <w:rFonts w:ascii="Calibri" w:hAnsi="Calibri"/>
    </w:rPr>
    <w:tblPr/>
  </w:style>
  <w:style w:type="table" w:styleId="1078" w:customStyle="1">
    <w:name w:val="Bordered - Accent 1"/>
    <w:uiPriority w:val="99"/>
    <w:qFormat/>
    <w:rPr>
      <w:rFonts w:ascii="Calibri" w:hAnsi="Calibri"/>
    </w:rPr>
    <w:tblPr/>
  </w:style>
  <w:style w:type="table" w:styleId="1079" w:customStyle="1">
    <w:name w:val="Bordered - Accent 2"/>
    <w:uiPriority w:val="99"/>
    <w:qFormat/>
    <w:rPr>
      <w:rFonts w:ascii="Calibri" w:hAnsi="Calibri"/>
    </w:rPr>
    <w:tblPr/>
  </w:style>
  <w:style w:type="table" w:styleId="1080" w:customStyle="1">
    <w:name w:val="Bordered - Accent 3"/>
    <w:uiPriority w:val="99"/>
    <w:qFormat/>
    <w:rPr>
      <w:rFonts w:ascii="Calibri" w:hAnsi="Calibri"/>
    </w:rPr>
    <w:tblPr/>
  </w:style>
  <w:style w:type="table" w:styleId="1081" w:customStyle="1">
    <w:name w:val="Bordered - Accent 4"/>
    <w:uiPriority w:val="99"/>
    <w:qFormat/>
    <w:rPr>
      <w:rFonts w:ascii="Calibri" w:hAnsi="Calibri"/>
    </w:rPr>
    <w:tblPr/>
  </w:style>
  <w:style w:type="table" w:styleId="1082" w:customStyle="1">
    <w:name w:val="Bordered - Accent 5"/>
    <w:uiPriority w:val="99"/>
    <w:qFormat/>
    <w:rPr>
      <w:rFonts w:ascii="Calibri" w:hAnsi="Calibri"/>
    </w:rPr>
    <w:tblPr/>
  </w:style>
  <w:style w:type="table" w:styleId="1083" w:customStyle="1">
    <w:name w:val="Bordered - Accent 6"/>
    <w:uiPriority w:val="99"/>
    <w:qFormat/>
    <w:rPr>
      <w:rFonts w:ascii="Calibri" w:hAnsi="Calibri"/>
    </w:rPr>
    <w:tblPr/>
  </w:style>
  <w:style w:type="paragraph" w:styleId="1084" w:customStyle="1">
    <w:name w:val="TOC 标题11"/>
    <w:uiPriority w:val="39"/>
    <w:unhideWhenUsed/>
    <w:qFormat/>
    <w:rPr>
      <w:rFonts w:hint="default" w:ascii="Calibri" w:hAnsi="Calibri" w:eastAsia="宋体" w:cs="Times New Roman"/>
      <w:lang w:val="en-US" w:eastAsia="zh-CN" w:bidi="ar-SA"/>
    </w:rPr>
  </w:style>
  <w:style w:type="paragraph" w:styleId="1085" w:customStyle="1">
    <w:name w:val="标题 11"/>
    <w:basedOn w:val="732"/>
    <w:next w:val="732"/>
    <w:link w:val="1086"/>
    <w:uiPriority w:val="0"/>
    <w:qFormat/>
    <w:pPr>
      <w:jc w:val="center"/>
      <w:keepNext/>
      <w:outlineLvl w:val="0"/>
    </w:pPr>
    <w:rPr>
      <w:rFonts w:ascii="楷体_GB2312" w:hAnsi="Times New Roman" w:eastAsia="楷体_GB2312" w:cs="Times New Roman"/>
      <w:sz w:val="28"/>
      <w:szCs w:val="28"/>
      <w:lang w:eastAsia="en-US"/>
    </w:rPr>
  </w:style>
  <w:style w:type="character" w:styleId="1086" w:customStyle="1">
    <w:name w:val="标题 1 Char"/>
    <w:link w:val="1085"/>
    <w:uiPriority w:val="0"/>
    <w:qFormat/>
    <w:rPr>
      <w:rFonts w:ascii="楷体_GB2312" w:hAnsi="Times New Roman" w:eastAsia="楷体_GB2312" w:cs="Times New Roman"/>
      <w:sz w:val="28"/>
      <w:szCs w:val="28"/>
      <w:lang w:eastAsia="en-US"/>
    </w:rPr>
  </w:style>
  <w:style w:type="paragraph" w:styleId="1087" w:customStyle="1">
    <w:name w:val="标题 21"/>
    <w:basedOn w:val="732"/>
    <w:next w:val="1088"/>
    <w:link w:val="1089"/>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088" w:customStyle="1">
    <w:name w:val="正文缩进1"/>
    <w:basedOn w:val="732"/>
    <w:link w:val="1090"/>
    <w:uiPriority w:val="0"/>
    <w:qFormat/>
    <w:pPr>
      <w:ind w:firstLine="420"/>
    </w:pPr>
    <w:rPr>
      <w:rFonts w:ascii="Times New Roman" w:hAnsi="Times New Roman" w:eastAsia="宋体" w:cs="Times New Roman"/>
      <w:sz w:val="20"/>
      <w:szCs w:val="21"/>
      <w:lang w:eastAsia="en-US"/>
    </w:rPr>
  </w:style>
  <w:style w:type="character" w:styleId="1089" w:customStyle="1">
    <w:name w:val="标题 2 Char"/>
    <w:link w:val="1087"/>
    <w:uiPriority w:val="0"/>
    <w:qFormat/>
    <w:rPr>
      <w:rFonts w:ascii="Arial" w:hAnsi="Arial" w:eastAsia="幼圆" w:cs="Times New Roman"/>
      <w:b/>
      <w:bCs/>
      <w:sz w:val="44"/>
      <w:szCs w:val="44"/>
      <w:lang w:eastAsia="en-US"/>
    </w:rPr>
  </w:style>
  <w:style w:type="character" w:styleId="1090" w:customStyle="1">
    <w:name w:val="正文缩进 Char"/>
    <w:link w:val="1088"/>
    <w:uiPriority w:val="0"/>
    <w:qFormat/>
    <w:rPr>
      <w:rFonts w:ascii="Times New Roman" w:hAnsi="Times New Roman" w:eastAsia="宋体" w:cs="Times New Roman"/>
      <w:sz w:val="20"/>
      <w:szCs w:val="21"/>
      <w:lang w:eastAsia="en-US"/>
    </w:rPr>
  </w:style>
  <w:style w:type="paragraph" w:styleId="1091" w:customStyle="1">
    <w:name w:val="标题 41"/>
    <w:basedOn w:val="732"/>
    <w:next w:val="1088"/>
    <w:link w:val="1092"/>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092" w:customStyle="1">
    <w:name w:val="标题 4 Char"/>
    <w:link w:val="1091"/>
    <w:uiPriority w:val="0"/>
    <w:qFormat/>
    <w:rPr>
      <w:rFonts w:ascii="Arial" w:hAnsi="Arial" w:eastAsia="黑体" w:cs="Times New Roman"/>
      <w:b/>
      <w:bCs/>
      <w:sz w:val="28"/>
      <w:szCs w:val="28"/>
      <w:lang w:eastAsia="en-US"/>
    </w:rPr>
  </w:style>
  <w:style w:type="paragraph" w:styleId="1093" w:customStyle="1">
    <w:name w:val="标题 51"/>
    <w:basedOn w:val="732"/>
    <w:next w:val="1088"/>
    <w:link w:val="1094"/>
    <w:uiPriority w:val="0"/>
    <w:qFormat/>
    <w:pPr>
      <w:keepNext/>
      <w:outlineLvl w:val="4"/>
    </w:pPr>
    <w:rPr>
      <w:rFonts w:ascii="宋体" w:hAnsi="Times New Roman" w:eastAsia="宋体" w:cs="Times New Roman"/>
      <w:color w:val="000000"/>
      <w:sz w:val="28"/>
      <w:szCs w:val="28"/>
      <w:lang w:eastAsia="en-US"/>
    </w:rPr>
  </w:style>
  <w:style w:type="character" w:styleId="1094" w:customStyle="1">
    <w:name w:val="标题 5 Char"/>
    <w:link w:val="1093"/>
    <w:uiPriority w:val="0"/>
    <w:qFormat/>
    <w:rPr>
      <w:rFonts w:ascii="宋体" w:hAnsi="Times New Roman" w:eastAsia="宋体" w:cs="Times New Roman"/>
      <w:color w:val="000000"/>
      <w:sz w:val="28"/>
      <w:szCs w:val="28"/>
      <w:lang w:eastAsia="en-US"/>
    </w:rPr>
  </w:style>
  <w:style w:type="paragraph" w:styleId="1095" w:customStyle="1">
    <w:name w:val="标题 61"/>
    <w:basedOn w:val="732"/>
    <w:next w:val="732"/>
    <w:link w:val="1096"/>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096" w:customStyle="1">
    <w:name w:val="标题 6 Char"/>
    <w:link w:val="1095"/>
    <w:uiPriority w:val="0"/>
    <w:qFormat/>
    <w:rPr>
      <w:rFonts w:ascii="Arial" w:hAnsi="Arial" w:eastAsia="黑体" w:cs="Times New Roman"/>
      <w:b/>
      <w:bCs/>
      <w:sz w:val="24"/>
      <w:szCs w:val="24"/>
      <w:lang w:eastAsia="en-US"/>
    </w:rPr>
  </w:style>
  <w:style w:type="paragraph" w:styleId="1097" w:customStyle="1">
    <w:name w:val="标题 71"/>
    <w:basedOn w:val="732"/>
    <w:next w:val="732"/>
    <w:link w:val="1098"/>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98" w:customStyle="1">
    <w:name w:val="标题 7 Char"/>
    <w:link w:val="1097"/>
    <w:uiPriority w:val="0"/>
    <w:qFormat/>
    <w:rPr>
      <w:rFonts w:ascii="Times New Roman" w:hAnsi="Times New Roman" w:eastAsia="宋体" w:cs="Times New Roman"/>
      <w:b/>
      <w:bCs/>
      <w:sz w:val="24"/>
      <w:szCs w:val="24"/>
      <w:lang w:eastAsia="en-US"/>
    </w:rPr>
  </w:style>
  <w:style w:type="paragraph" w:styleId="1099" w:customStyle="1">
    <w:name w:val="标题 81"/>
    <w:basedOn w:val="732"/>
    <w:next w:val="732"/>
    <w:link w:val="1100"/>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100" w:customStyle="1">
    <w:name w:val="标题 8 Char"/>
    <w:link w:val="1099"/>
    <w:uiPriority w:val="0"/>
    <w:qFormat/>
    <w:rPr>
      <w:rFonts w:ascii="Arial" w:hAnsi="Arial" w:eastAsia="黑体" w:cs="Times New Roman"/>
      <w:sz w:val="24"/>
      <w:szCs w:val="24"/>
      <w:lang w:eastAsia="en-US"/>
    </w:rPr>
  </w:style>
  <w:style w:type="paragraph" w:styleId="1101" w:customStyle="1">
    <w:name w:val="标题 91"/>
    <w:basedOn w:val="732"/>
    <w:next w:val="732"/>
    <w:link w:val="1102"/>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102" w:customStyle="1">
    <w:name w:val="标题 9 Char"/>
    <w:link w:val="1101"/>
    <w:uiPriority w:val="0"/>
    <w:qFormat/>
    <w:rPr>
      <w:rFonts w:ascii="Arial" w:hAnsi="Arial" w:eastAsia="黑体" w:cs="Times New Roman"/>
      <w:sz w:val="20"/>
      <w:szCs w:val="21"/>
      <w:lang w:eastAsia="en-US"/>
    </w:rPr>
  </w:style>
  <w:style w:type="character" w:styleId="1103" w:customStyle="1">
    <w:name w:val="默认段落字体1"/>
    <w:link w:val="732"/>
    <w:uiPriority w:val="1"/>
    <w:unhideWhenUsed/>
    <w:qFormat/>
  </w:style>
  <w:style w:type="table" w:styleId="1104" w:customStyle="1">
    <w:name w:val="普通表格1"/>
    <w:uiPriority w:val="99"/>
    <w:unhideWhenUsed/>
    <w:qFormat/>
    <w:rPr>
      <w:rFonts w:ascii="Calibri" w:hAnsi="Calibri"/>
    </w:rPr>
    <w:tblPr/>
  </w:style>
  <w:style w:type="paragraph" w:styleId="1105" w:customStyle="1">
    <w:name w:val="列表 31"/>
    <w:basedOn w:val="732"/>
    <w:uiPriority w:val="0"/>
    <w:qFormat/>
    <w:pPr>
      <w:ind w:left="100" w:hanging="200"/>
    </w:pPr>
    <w:rPr>
      <w:rFonts w:ascii="Times New Roman" w:hAnsi="Times New Roman" w:eastAsia="宋体" w:cs="Times New Roman"/>
      <w:szCs w:val="21"/>
    </w:rPr>
  </w:style>
  <w:style w:type="paragraph" w:styleId="1106" w:customStyle="1">
    <w:name w:val="目录 711"/>
    <w:basedOn w:val="732"/>
    <w:next w:val="732"/>
    <w:uiPriority w:val="0"/>
    <w:semiHidden/>
    <w:qFormat/>
    <w:pPr>
      <w:ind w:left="1260"/>
      <w:jc w:val="left"/>
    </w:pPr>
    <w:rPr>
      <w:rFonts w:ascii="Times New Roman" w:hAnsi="Times New Roman" w:eastAsia="宋体" w:cs="Times New Roman"/>
      <w:szCs w:val="21"/>
    </w:rPr>
  </w:style>
  <w:style w:type="paragraph" w:styleId="1107" w:customStyle="1">
    <w:name w:val="文档结构图1"/>
    <w:basedOn w:val="732"/>
    <w:link w:val="1108"/>
    <w:uiPriority w:val="0"/>
    <w:semiHidden/>
    <w:qFormat/>
    <w:pPr>
      <w:shd w:val="clear" w:color="auto" w:fill="000080"/>
    </w:pPr>
    <w:rPr>
      <w:rFonts w:ascii="Times New Roman" w:hAnsi="Times New Roman" w:eastAsia="宋体" w:cs="Times New Roman"/>
      <w:sz w:val="20"/>
      <w:szCs w:val="21"/>
      <w:lang w:eastAsia="en-US"/>
    </w:rPr>
  </w:style>
  <w:style w:type="character" w:styleId="1108" w:customStyle="1">
    <w:name w:val="文档结构图 Char"/>
    <w:link w:val="1107"/>
    <w:uiPriority w:val="0"/>
    <w:semiHidden/>
    <w:qFormat/>
    <w:rPr>
      <w:rFonts w:ascii="Times New Roman" w:hAnsi="Times New Roman" w:eastAsia="宋体" w:cs="Times New Roman"/>
      <w:sz w:val="20"/>
      <w:szCs w:val="21"/>
      <w:lang w:eastAsia="en-US"/>
    </w:rPr>
  </w:style>
  <w:style w:type="paragraph" w:styleId="1109" w:customStyle="1">
    <w:name w:val="批注文字1"/>
    <w:basedOn w:val="732"/>
    <w:link w:val="1110"/>
    <w:uiPriority w:val="0"/>
    <w:semiHidden/>
    <w:qFormat/>
    <w:pPr>
      <w:jc w:val="left"/>
    </w:pPr>
    <w:rPr>
      <w:rFonts w:ascii="Times New Roman" w:hAnsi="Times New Roman" w:eastAsia="宋体" w:cs="Times New Roman"/>
      <w:sz w:val="20"/>
      <w:szCs w:val="21"/>
      <w:lang w:eastAsia="en-US"/>
    </w:rPr>
  </w:style>
  <w:style w:type="character" w:styleId="1110" w:customStyle="1">
    <w:name w:val="批注文字 Char"/>
    <w:link w:val="1109"/>
    <w:uiPriority w:val="0"/>
    <w:semiHidden/>
    <w:qFormat/>
    <w:rPr>
      <w:rFonts w:ascii="Times New Roman" w:hAnsi="Times New Roman" w:eastAsia="宋体" w:cs="Times New Roman"/>
      <w:sz w:val="20"/>
      <w:szCs w:val="21"/>
      <w:lang w:eastAsia="en-US"/>
    </w:rPr>
  </w:style>
  <w:style w:type="paragraph" w:styleId="1111" w:customStyle="1">
    <w:name w:val="正文文本 31"/>
    <w:basedOn w:val="732"/>
    <w:link w:val="1112"/>
    <w:uiPriority w:val="0"/>
    <w:qFormat/>
    <w:rPr>
      <w:rFonts w:ascii="仿宋_GB2312" w:hAnsi="Arial" w:eastAsia="仿宋_GB2312" w:cs="Times New Roman"/>
      <w:sz w:val="32"/>
      <w:szCs w:val="32"/>
      <w:lang w:eastAsia="en-US"/>
    </w:rPr>
  </w:style>
  <w:style w:type="character" w:styleId="1112" w:customStyle="1">
    <w:name w:val="正文文本 3 Char"/>
    <w:link w:val="1111"/>
    <w:uiPriority w:val="0"/>
    <w:qFormat/>
    <w:rPr>
      <w:rFonts w:ascii="仿宋_GB2312" w:hAnsi="Arial" w:eastAsia="仿宋_GB2312" w:cs="Times New Roman"/>
      <w:sz w:val="32"/>
      <w:szCs w:val="32"/>
      <w:lang w:eastAsia="en-US"/>
    </w:rPr>
  </w:style>
  <w:style w:type="paragraph" w:styleId="1113" w:customStyle="1">
    <w:name w:val="正文文本缩进1"/>
    <w:basedOn w:val="732"/>
    <w:link w:val="1114"/>
    <w:uiPriority w:val="0"/>
    <w:qFormat/>
    <w:pPr>
      <w:ind w:firstLine="645"/>
    </w:pPr>
    <w:rPr>
      <w:rFonts w:ascii="楷体_GB2312" w:hAnsi="Times New Roman" w:eastAsia="楷体_GB2312" w:cs="Times New Roman"/>
      <w:sz w:val="32"/>
      <w:szCs w:val="32"/>
      <w:lang w:eastAsia="en-US"/>
    </w:rPr>
  </w:style>
  <w:style w:type="character" w:styleId="1114" w:customStyle="1">
    <w:name w:val="正文文本缩进 Char"/>
    <w:link w:val="1113"/>
    <w:uiPriority w:val="0"/>
    <w:qFormat/>
    <w:rPr>
      <w:rFonts w:ascii="楷体_GB2312" w:hAnsi="Times New Roman" w:eastAsia="楷体_GB2312" w:cs="Times New Roman"/>
      <w:sz w:val="32"/>
      <w:szCs w:val="32"/>
      <w:lang w:eastAsia="en-US"/>
    </w:rPr>
  </w:style>
  <w:style w:type="paragraph" w:styleId="1115" w:customStyle="1">
    <w:name w:val="列表 21"/>
    <w:basedOn w:val="732"/>
    <w:uiPriority w:val="0"/>
    <w:qFormat/>
    <w:pPr>
      <w:ind w:left="100" w:hanging="200"/>
    </w:pPr>
    <w:rPr>
      <w:rFonts w:ascii="Times New Roman" w:hAnsi="Times New Roman" w:eastAsia="宋体" w:cs="Times New Roman"/>
      <w:szCs w:val="21"/>
    </w:rPr>
  </w:style>
  <w:style w:type="paragraph" w:styleId="1116" w:customStyle="1">
    <w:name w:val="目录 511"/>
    <w:basedOn w:val="732"/>
    <w:next w:val="732"/>
    <w:uiPriority w:val="0"/>
    <w:semiHidden/>
    <w:qFormat/>
    <w:pPr>
      <w:ind w:left="840"/>
      <w:jc w:val="left"/>
    </w:pPr>
    <w:rPr>
      <w:rFonts w:ascii="Times New Roman" w:hAnsi="Times New Roman" w:eastAsia="宋体" w:cs="Times New Roman"/>
      <w:szCs w:val="21"/>
    </w:rPr>
  </w:style>
  <w:style w:type="paragraph" w:styleId="1117" w:customStyle="1">
    <w:name w:val="目录 311"/>
    <w:basedOn w:val="732"/>
    <w:next w:val="732"/>
    <w:uiPriority w:val="0"/>
    <w:semiHidden/>
    <w:qFormat/>
    <w:pPr>
      <w:ind w:left="420"/>
      <w:jc w:val="left"/>
    </w:pPr>
    <w:rPr>
      <w:rFonts w:ascii="Times New Roman" w:hAnsi="Times New Roman" w:eastAsia="宋体" w:cs="Times New Roman"/>
      <w:i/>
      <w:iCs/>
      <w:szCs w:val="24"/>
    </w:rPr>
  </w:style>
  <w:style w:type="paragraph" w:styleId="1118" w:customStyle="1">
    <w:name w:val="纯文本1"/>
    <w:basedOn w:val="732"/>
    <w:link w:val="1119"/>
    <w:uiPriority w:val="0"/>
    <w:qFormat/>
    <w:rPr>
      <w:rFonts w:ascii="宋体" w:hAnsi="Courier New" w:eastAsia="宋体" w:cs="Times New Roman"/>
      <w:sz w:val="20"/>
      <w:szCs w:val="21"/>
      <w:lang w:eastAsia="en-US"/>
    </w:rPr>
  </w:style>
  <w:style w:type="character" w:styleId="1119" w:customStyle="1">
    <w:name w:val="纯文本 Char"/>
    <w:link w:val="1118"/>
    <w:uiPriority w:val="0"/>
    <w:qFormat/>
    <w:rPr>
      <w:rFonts w:ascii="宋体" w:hAnsi="Courier New" w:eastAsia="宋体" w:cs="Times New Roman"/>
      <w:sz w:val="20"/>
      <w:szCs w:val="21"/>
      <w:lang w:eastAsia="en-US"/>
    </w:rPr>
  </w:style>
  <w:style w:type="paragraph" w:styleId="1120" w:customStyle="1">
    <w:name w:val="目录 811"/>
    <w:basedOn w:val="732"/>
    <w:next w:val="732"/>
    <w:uiPriority w:val="0"/>
    <w:semiHidden/>
    <w:qFormat/>
    <w:pPr>
      <w:ind w:left="1470"/>
      <w:jc w:val="left"/>
    </w:pPr>
    <w:rPr>
      <w:rFonts w:ascii="Times New Roman" w:hAnsi="Times New Roman" w:eastAsia="宋体" w:cs="Times New Roman"/>
      <w:szCs w:val="21"/>
    </w:rPr>
  </w:style>
  <w:style w:type="paragraph" w:styleId="1121" w:customStyle="1">
    <w:name w:val="日期1"/>
    <w:basedOn w:val="732"/>
    <w:next w:val="732"/>
    <w:link w:val="1122"/>
    <w:uiPriority w:val="0"/>
    <w:qFormat/>
    <w:rPr>
      <w:rFonts w:ascii="Times New Roman" w:hAnsi="Times New Roman" w:eastAsia="宋体" w:cs="Times New Roman"/>
      <w:sz w:val="24"/>
      <w:szCs w:val="24"/>
      <w:lang w:eastAsia="en-US"/>
    </w:rPr>
  </w:style>
  <w:style w:type="character" w:styleId="1122" w:customStyle="1">
    <w:name w:val="日期 Char"/>
    <w:link w:val="1121"/>
    <w:uiPriority w:val="0"/>
    <w:qFormat/>
    <w:rPr>
      <w:rFonts w:ascii="Times New Roman" w:hAnsi="Times New Roman" w:eastAsia="宋体" w:cs="Times New Roman"/>
      <w:sz w:val="24"/>
      <w:szCs w:val="24"/>
      <w:lang w:eastAsia="en-US"/>
    </w:rPr>
  </w:style>
  <w:style w:type="paragraph" w:styleId="1123" w:customStyle="1">
    <w:name w:val="正文文本缩进 21"/>
    <w:basedOn w:val="732"/>
    <w:link w:val="1124"/>
    <w:uiPriority w:val="0"/>
    <w:qFormat/>
    <w:pPr>
      <w:ind w:left="630" w:firstLine="645"/>
    </w:pPr>
    <w:rPr>
      <w:rFonts w:ascii="Arial" w:hAnsi="Arial" w:eastAsia="仿宋_GB2312" w:cs="Times New Roman"/>
      <w:sz w:val="32"/>
      <w:szCs w:val="32"/>
      <w:lang w:eastAsia="en-US"/>
    </w:rPr>
  </w:style>
  <w:style w:type="character" w:styleId="1124" w:customStyle="1">
    <w:name w:val="正文文本缩进 2 Char"/>
    <w:link w:val="1123"/>
    <w:uiPriority w:val="0"/>
    <w:qFormat/>
    <w:rPr>
      <w:rFonts w:ascii="Arial" w:hAnsi="Arial" w:eastAsia="仿宋_GB2312" w:cs="Times New Roman"/>
      <w:sz w:val="32"/>
      <w:szCs w:val="32"/>
      <w:lang w:eastAsia="en-US"/>
    </w:rPr>
  </w:style>
  <w:style w:type="paragraph" w:styleId="1125" w:customStyle="1">
    <w:name w:val="批注框文本1"/>
    <w:basedOn w:val="732"/>
    <w:link w:val="1126"/>
    <w:uiPriority w:val="0"/>
    <w:semiHidden/>
    <w:qFormat/>
    <w:rPr>
      <w:rFonts w:ascii="Times New Roman" w:hAnsi="Times New Roman" w:eastAsia="宋体" w:cs="Times New Roman"/>
      <w:sz w:val="18"/>
      <w:szCs w:val="18"/>
      <w:lang w:eastAsia="en-US"/>
    </w:rPr>
  </w:style>
  <w:style w:type="character" w:styleId="1126" w:customStyle="1">
    <w:name w:val="批注框文本 Char"/>
    <w:link w:val="1125"/>
    <w:uiPriority w:val="0"/>
    <w:semiHidden/>
    <w:qFormat/>
    <w:rPr>
      <w:rFonts w:ascii="Times New Roman" w:hAnsi="Times New Roman" w:eastAsia="宋体" w:cs="Times New Roman"/>
      <w:sz w:val="18"/>
      <w:szCs w:val="18"/>
      <w:lang w:eastAsia="en-US"/>
    </w:rPr>
  </w:style>
  <w:style w:type="paragraph" w:styleId="1127" w:customStyle="1">
    <w:name w:val="页脚1"/>
    <w:basedOn w:val="732"/>
    <w:link w:val="1128"/>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28" w:customStyle="1">
    <w:name w:val="页脚 Char"/>
    <w:link w:val="1127"/>
    <w:uiPriority w:val="0"/>
    <w:qFormat/>
    <w:rPr>
      <w:rFonts w:ascii="Times New Roman" w:hAnsi="Times New Roman" w:eastAsia="宋体" w:cs="Times New Roman"/>
      <w:sz w:val="18"/>
      <w:szCs w:val="18"/>
      <w:lang w:eastAsia="en-US"/>
    </w:rPr>
  </w:style>
  <w:style w:type="paragraph" w:styleId="1129" w:customStyle="1">
    <w:name w:val="页眉1"/>
    <w:basedOn w:val="732"/>
    <w:link w:val="1130"/>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30" w:customStyle="1">
    <w:name w:val="页眉 Char"/>
    <w:link w:val="1129"/>
    <w:uiPriority w:val="99"/>
    <w:qFormat/>
    <w:rPr>
      <w:rFonts w:ascii="Times New Roman" w:hAnsi="Times New Roman" w:eastAsia="宋体" w:cs="Times New Roman"/>
      <w:sz w:val="18"/>
      <w:szCs w:val="18"/>
      <w:lang w:eastAsia="en-US"/>
    </w:rPr>
  </w:style>
  <w:style w:type="paragraph" w:styleId="1131" w:customStyle="1">
    <w:name w:val="目录 1111"/>
    <w:basedOn w:val="732"/>
    <w:next w:val="73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32" w:customStyle="1">
    <w:name w:val="目录 411"/>
    <w:basedOn w:val="732"/>
    <w:next w:val="732"/>
    <w:uiPriority w:val="0"/>
    <w:semiHidden/>
    <w:qFormat/>
    <w:pPr>
      <w:ind w:left="630"/>
      <w:jc w:val="left"/>
    </w:pPr>
    <w:rPr>
      <w:rFonts w:ascii="Times New Roman" w:hAnsi="Times New Roman" w:eastAsia="宋体" w:cs="Times New Roman"/>
      <w:szCs w:val="21"/>
    </w:rPr>
  </w:style>
  <w:style w:type="paragraph" w:styleId="1133" w:customStyle="1">
    <w:name w:val="列表1"/>
    <w:basedOn w:val="732"/>
    <w:uiPriority w:val="0"/>
    <w:qFormat/>
    <w:pPr>
      <w:ind w:left="200" w:hanging="200"/>
    </w:pPr>
    <w:rPr>
      <w:rFonts w:ascii="Times New Roman" w:hAnsi="Times New Roman" w:eastAsia="宋体" w:cs="Times New Roman"/>
      <w:szCs w:val="21"/>
    </w:rPr>
  </w:style>
  <w:style w:type="paragraph" w:styleId="1134" w:customStyle="1">
    <w:name w:val="目录 611"/>
    <w:basedOn w:val="732"/>
    <w:next w:val="732"/>
    <w:uiPriority w:val="0"/>
    <w:semiHidden/>
    <w:qFormat/>
    <w:pPr>
      <w:ind w:left="1050"/>
      <w:jc w:val="left"/>
    </w:pPr>
    <w:rPr>
      <w:rFonts w:ascii="Times New Roman" w:hAnsi="Times New Roman" w:eastAsia="宋体" w:cs="Times New Roman"/>
      <w:szCs w:val="21"/>
    </w:rPr>
  </w:style>
  <w:style w:type="paragraph" w:styleId="1135" w:customStyle="1">
    <w:name w:val="正文文本缩进 31"/>
    <w:basedOn w:val="732"/>
    <w:link w:val="1136"/>
    <w:uiPriority w:val="0"/>
    <w:qFormat/>
    <w:pPr>
      <w:ind w:left="645" w:firstLine="645"/>
    </w:pPr>
    <w:rPr>
      <w:rFonts w:ascii="Arial" w:hAnsi="Arial" w:eastAsia="仿宋_GB2312" w:cs="Times New Roman"/>
      <w:color w:val="ffff00"/>
      <w:sz w:val="32"/>
      <w:szCs w:val="32"/>
      <w:lang w:eastAsia="en-US"/>
    </w:rPr>
  </w:style>
  <w:style w:type="character" w:styleId="1136" w:customStyle="1">
    <w:name w:val="正文文本缩进 3 Char"/>
    <w:link w:val="1135"/>
    <w:uiPriority w:val="0"/>
    <w:qFormat/>
    <w:rPr>
      <w:rFonts w:ascii="Arial" w:hAnsi="Arial" w:eastAsia="仿宋_GB2312" w:cs="Times New Roman"/>
      <w:color w:val="ffff00"/>
      <w:sz w:val="32"/>
      <w:szCs w:val="32"/>
      <w:lang w:eastAsia="en-US"/>
    </w:rPr>
  </w:style>
  <w:style w:type="paragraph" w:styleId="1137" w:customStyle="1">
    <w:name w:val="图表目录1"/>
    <w:basedOn w:val="732"/>
    <w:next w:val="732"/>
    <w:uiPriority w:val="0"/>
    <w:semiHidden/>
    <w:qFormat/>
    <w:pPr>
      <w:ind w:left="840" w:hanging="420"/>
    </w:pPr>
    <w:rPr>
      <w:rFonts w:ascii="Times New Roman" w:hAnsi="Times New Roman" w:eastAsia="宋体" w:cs="Times New Roman"/>
      <w:szCs w:val="21"/>
    </w:rPr>
  </w:style>
  <w:style w:type="paragraph" w:styleId="1138" w:customStyle="1">
    <w:name w:val="目录 211"/>
    <w:basedOn w:val="732"/>
    <w:next w:val="732"/>
    <w:uiPriority w:val="0"/>
    <w:semiHidden/>
    <w:qFormat/>
    <w:pPr>
      <w:ind w:left="210"/>
      <w:jc w:val="left"/>
    </w:pPr>
    <w:rPr>
      <w:rFonts w:ascii="Times New Roman" w:hAnsi="Times New Roman" w:eastAsia="宋体" w:cs="Times New Roman"/>
      <w:smallCaps/>
      <w:szCs w:val="24"/>
    </w:rPr>
  </w:style>
  <w:style w:type="paragraph" w:styleId="1139" w:customStyle="1">
    <w:name w:val="目录 911"/>
    <w:basedOn w:val="732"/>
    <w:next w:val="732"/>
    <w:uiPriority w:val="0"/>
    <w:semiHidden/>
    <w:qFormat/>
    <w:pPr>
      <w:ind w:left="1680"/>
      <w:jc w:val="left"/>
    </w:pPr>
    <w:rPr>
      <w:rFonts w:ascii="Times New Roman" w:hAnsi="Times New Roman" w:eastAsia="宋体" w:cs="Times New Roman"/>
      <w:szCs w:val="21"/>
    </w:rPr>
  </w:style>
  <w:style w:type="paragraph" w:styleId="1140" w:customStyle="1">
    <w:name w:val="正文文本 21"/>
    <w:basedOn w:val="732"/>
    <w:link w:val="1141"/>
    <w:uiPriority w:val="0"/>
    <w:qFormat/>
    <w:pPr>
      <w:jc w:val="center"/>
      <w:widowControl/>
    </w:pPr>
    <w:rPr>
      <w:rFonts w:ascii="楷体_GB2312" w:hAnsi="Times New Roman" w:eastAsia="楷体_GB2312" w:cs="Times New Roman"/>
      <w:sz w:val="28"/>
      <w:szCs w:val="28"/>
      <w:lang w:eastAsia="en-US"/>
    </w:rPr>
  </w:style>
  <w:style w:type="character" w:styleId="1141" w:customStyle="1">
    <w:name w:val="正文文本 2 Char"/>
    <w:link w:val="1140"/>
    <w:uiPriority w:val="0"/>
    <w:qFormat/>
    <w:rPr>
      <w:rFonts w:ascii="楷体_GB2312" w:hAnsi="Times New Roman" w:eastAsia="楷体_GB2312" w:cs="Times New Roman"/>
      <w:sz w:val="28"/>
      <w:szCs w:val="28"/>
      <w:lang w:eastAsia="en-US"/>
    </w:rPr>
  </w:style>
  <w:style w:type="paragraph" w:styleId="1142" w:customStyle="1">
    <w:name w:val="普通(网站)1"/>
    <w:basedOn w:val="732"/>
    <w:uiPriority w:val="99"/>
    <w:qFormat/>
    <w:pPr>
      <w:jc w:val="left"/>
      <w:spacing w:before="100" w:beforeAutospacing="1" w:after="100" w:afterAutospacing="1"/>
      <w:widowControl/>
    </w:pPr>
    <w:rPr>
      <w:rFonts w:ascii="宋体" w:hAnsi="宋体" w:eastAsia="宋体" w:cs="宋体"/>
      <w:sz w:val="24"/>
      <w:szCs w:val="24"/>
    </w:rPr>
  </w:style>
  <w:style w:type="paragraph" w:styleId="1143" w:customStyle="1">
    <w:name w:val="索引 11"/>
    <w:basedOn w:val="732"/>
    <w:next w:val="732"/>
    <w:uiPriority w:val="0"/>
    <w:semiHidden/>
    <w:qFormat/>
    <w:pPr>
      <w:spacing w:line="240" w:lineRule="atLeast"/>
    </w:pPr>
    <w:rPr>
      <w:rFonts w:ascii="Times New Roman" w:hAnsi="Times New Roman" w:eastAsia="宋体" w:cs="Times New Roman"/>
      <w:b/>
      <w:bCs/>
      <w:szCs w:val="21"/>
    </w:rPr>
  </w:style>
  <w:style w:type="paragraph" w:styleId="1144" w:customStyle="1">
    <w:name w:val="批注主题1"/>
    <w:basedOn w:val="1109"/>
    <w:next w:val="1109"/>
    <w:link w:val="1145"/>
    <w:uiPriority w:val="0"/>
    <w:semiHidden/>
    <w:qFormat/>
    <w:rPr>
      <w:b/>
      <w:bCs/>
    </w:rPr>
  </w:style>
  <w:style w:type="character" w:styleId="1145" w:customStyle="1">
    <w:name w:val="批注主题 Char"/>
    <w:link w:val="1144"/>
    <w:uiPriority w:val="0"/>
    <w:semiHidden/>
    <w:qFormat/>
    <w:rPr>
      <w:b/>
      <w:bCs/>
    </w:rPr>
  </w:style>
  <w:style w:type="paragraph" w:styleId="1146" w:customStyle="1">
    <w:name w:val="正文首行缩进1"/>
    <w:basedOn w:val="732"/>
    <w:link w:val="1147"/>
    <w:uiPriority w:val="0"/>
    <w:qFormat/>
    <w:pPr>
      <w:ind w:firstLine="200"/>
      <w:spacing w:line="360" w:lineRule="auto"/>
    </w:pPr>
    <w:rPr>
      <w:rFonts w:ascii="仿宋_GB2312" w:hAnsi="Times New Roman" w:eastAsia="仿宋_GB2312" w:cs="Times New Roman"/>
      <w:sz w:val="30"/>
      <w:szCs w:val="30"/>
      <w:lang w:eastAsia="en-US"/>
    </w:rPr>
  </w:style>
  <w:style w:type="character" w:styleId="1147" w:customStyle="1">
    <w:name w:val="正文首行缩进 Char"/>
    <w:link w:val="1146"/>
    <w:uiPriority w:val="0"/>
    <w:qFormat/>
    <w:rPr>
      <w:rFonts w:ascii="仿宋_GB2312" w:hAnsi="Times New Roman" w:eastAsia="仿宋_GB2312" w:cs="Times New Roman"/>
      <w:sz w:val="30"/>
      <w:szCs w:val="30"/>
      <w:lang w:eastAsia="en-US"/>
    </w:rPr>
  </w:style>
  <w:style w:type="paragraph" w:styleId="1148" w:customStyle="1">
    <w:name w:val="正文首行缩进 21"/>
    <w:basedOn w:val="1113"/>
    <w:link w:val="1149"/>
    <w:uiPriority w:val="0"/>
    <w:qFormat/>
    <w:pPr>
      <w:ind w:firstLine="420"/>
      <w:spacing w:line="360" w:lineRule="auto"/>
    </w:pPr>
    <w:rPr>
      <w:rFonts w:ascii="宋体" w:hAnsi="宋体" w:eastAsia="宋体"/>
      <w:szCs w:val="20"/>
    </w:rPr>
  </w:style>
  <w:style w:type="character" w:styleId="1149" w:customStyle="1">
    <w:name w:val="正文首行缩进 2 Char"/>
    <w:link w:val="1148"/>
    <w:uiPriority w:val="0"/>
    <w:qFormat/>
    <w:rPr>
      <w:rFonts w:ascii="宋体" w:hAnsi="宋体" w:eastAsia="宋体"/>
      <w:szCs w:val="20"/>
    </w:rPr>
  </w:style>
  <w:style w:type="character" w:styleId="1150" w:customStyle="1">
    <w:name w:val="要点1"/>
    <w:link w:val="732"/>
    <w:uiPriority w:val="0"/>
    <w:qFormat/>
    <w:rPr>
      <w:b/>
      <w:bCs/>
    </w:rPr>
  </w:style>
  <w:style w:type="character" w:styleId="1151" w:customStyle="1">
    <w:name w:val="页码1"/>
    <w:link w:val="732"/>
    <w:uiPriority w:val="0"/>
    <w:qFormat/>
  </w:style>
  <w:style w:type="character" w:styleId="1152" w:customStyle="1">
    <w:name w:val="已访问的超链接1"/>
    <w:link w:val="732"/>
    <w:uiPriority w:val="0"/>
    <w:qFormat/>
    <w:rPr>
      <w:color w:val="800080"/>
      <w:u w:val="single"/>
    </w:rPr>
  </w:style>
  <w:style w:type="character" w:styleId="1153" w:customStyle="1">
    <w:name w:val="HTML 打字机1"/>
    <w:link w:val="732"/>
    <w:uiPriority w:val="99"/>
    <w:qFormat/>
    <w:rPr>
      <w:rFonts w:ascii="宋体" w:hAnsi="宋体" w:eastAsia="宋体" w:cs="宋体"/>
      <w:sz w:val="24"/>
      <w:szCs w:val="24"/>
    </w:rPr>
  </w:style>
  <w:style w:type="character" w:styleId="1154" w:customStyle="1">
    <w:name w:val="超链接1"/>
    <w:link w:val="732"/>
    <w:uiPriority w:val="0"/>
    <w:qFormat/>
    <w:rPr>
      <w:color w:val="0000ff"/>
      <w:u w:val="single"/>
    </w:rPr>
  </w:style>
  <w:style w:type="character" w:styleId="1155" w:customStyle="1">
    <w:name w:val="批注引用1"/>
    <w:link w:val="732"/>
    <w:uiPriority w:val="0"/>
    <w:semiHidden/>
    <w:qFormat/>
    <w:rPr>
      <w:rFonts w:ascii="Calibri" w:hAnsi="Calibri" w:eastAsia="宋体" w:cs="Times New Roman"/>
      <w:sz w:val="21"/>
      <w:szCs w:val="22"/>
    </w:rPr>
  </w:style>
  <w:style w:type="character" w:styleId="1156" w:customStyle="1">
    <w:name w:val="二级目录 Char"/>
    <w:link w:val="1157"/>
    <w:uiPriority w:val="0"/>
    <w:qFormat/>
    <w:rPr>
      <w:rFonts w:ascii="Calibri" w:hAnsi="Calibri" w:eastAsia="宋体" w:cs="Times New Roman"/>
      <w:b/>
      <w:sz w:val="30"/>
      <w:szCs w:val="28"/>
    </w:rPr>
  </w:style>
  <w:style w:type="paragraph" w:styleId="1157" w:customStyle="1">
    <w:name w:val="二级目录"/>
    <w:next w:val="732"/>
    <w:link w:val="1156"/>
    <w:uiPriority w:val="0"/>
    <w:qFormat/>
    <w:pPr>
      <w:numPr>
        <w:ilvl w:val="0"/>
        <w:numId w:val="4"/>
      </w:numPr>
      <w:tabs>
        <w:tab w:val="left" w:pos="1145" w:leader="none"/>
      </w:tabs>
      <w:outlineLvl w:val="1"/>
    </w:pPr>
    <w:rPr>
      <w:rFonts w:hint="default" w:ascii="Calibri" w:hAnsi="Calibri" w:eastAsia="宋体" w:cs="Times New Roman"/>
      <w:b/>
      <w:sz w:val="30"/>
      <w:szCs w:val="28"/>
    </w:rPr>
  </w:style>
  <w:style w:type="paragraph" w:styleId="1158" w:customStyle="1">
    <w:name w:val="Body Text(ch)"/>
    <w:basedOn w:val="732"/>
    <w:next w:val="850"/>
    <w:uiPriority w:val="0"/>
    <w:qFormat/>
    <w:pPr>
      <w:spacing w:after="120"/>
    </w:pPr>
    <w:rPr>
      <w:rFonts w:ascii="宋体" w:hAnsi="Arial" w:eastAsia="宋体" w:cs="Times New Roman"/>
      <w:bCs/>
      <w:iCs/>
      <w:szCs w:val="24"/>
    </w:rPr>
  </w:style>
  <w:style w:type="paragraph" w:styleId="1159" w:customStyle="1">
    <w:name w:val="Char"/>
    <w:basedOn w:val="732"/>
    <w:uiPriority w:val="0"/>
    <w:qFormat/>
    <w:pPr>
      <w:ind w:firstLine="200"/>
      <w:tabs>
        <w:tab w:val="left" w:pos="360" w:leader="none"/>
      </w:tabs>
    </w:pPr>
    <w:rPr>
      <w:rFonts w:ascii="Times New Roman" w:hAnsi="Times New Roman" w:eastAsia="宋体" w:cs="Times New Roman"/>
      <w:sz w:val="28"/>
      <w:szCs w:val="30"/>
    </w:rPr>
  </w:style>
  <w:style w:type="paragraph" w:styleId="1160" w:customStyle="1">
    <w:name w:val="普通正文"/>
    <w:basedOn w:val="732"/>
    <w:uiPriority w:val="0"/>
    <w:qFormat/>
    <w:pPr>
      <w:ind w:firstLine="480"/>
      <w:jc w:val="left"/>
      <w:spacing w:before="120" w:after="120" w:line="360" w:lineRule="auto"/>
    </w:pPr>
    <w:rPr>
      <w:rFonts w:ascii="Arial" w:hAnsi="Arial" w:eastAsia="宋体" w:cs="Times New Roman"/>
      <w:sz w:val="24"/>
      <w:szCs w:val="24"/>
    </w:rPr>
  </w:style>
  <w:style w:type="paragraph" w:styleId="1161" w:customStyle="1">
    <w:name w:val="table_lines"/>
    <w:basedOn w:val="732"/>
    <w:uiPriority w:val="0"/>
    <w:qFormat/>
    <w:pPr>
      <w:jc w:val="left"/>
      <w:widowControl/>
    </w:pPr>
    <w:rPr>
      <w:rFonts w:ascii="Times New Roman" w:hAnsi="Times New Roman" w:eastAsia="宋体" w:cs="Times New Roman"/>
      <w:sz w:val="20"/>
      <w:szCs w:val="20"/>
      <w:lang w:val="de-DE" w:eastAsia="de-DE"/>
    </w:rPr>
  </w:style>
  <w:style w:type="paragraph" w:styleId="116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63" w:customStyle="1">
    <w:name w:val="列出段落21"/>
    <w:basedOn w:val="732"/>
    <w:uiPriority w:val="99"/>
    <w:qFormat/>
    <w:pPr>
      <w:contextualSpacing/>
      <w:ind w:left="720"/>
      <w:jc w:val="left"/>
      <w:widowControl/>
    </w:pPr>
    <w:rPr>
      <w:rFonts w:ascii="Calibri" w:hAnsi="Calibri" w:eastAsia="宋体" w:cs="Times New Roman"/>
      <w:sz w:val="24"/>
      <w:szCs w:val="24"/>
      <w:lang w:eastAsia="en-US" w:bidi="en-US"/>
    </w:rPr>
  </w:style>
  <w:style w:type="paragraph" w:styleId="1164" w:customStyle="1">
    <w:name w:val="4"/>
    <w:basedOn w:val="732"/>
    <w:next w:val="1135"/>
    <w:uiPriority w:val="0"/>
    <w:qFormat/>
    <w:pPr>
      <w:ind w:firstLine="420"/>
      <w:spacing w:line="360" w:lineRule="auto"/>
    </w:pPr>
    <w:rPr>
      <w:rFonts w:ascii="Times New Roman" w:hAnsi="Times New Roman" w:eastAsia="宋体" w:cs="Times New Roman"/>
      <w:color w:val="ff0000"/>
      <w:sz w:val="24"/>
      <w:szCs w:val="24"/>
    </w:rPr>
  </w:style>
  <w:style w:type="paragraph" w:styleId="1165" w:customStyle="1">
    <w:name w:val="普通 (Web)"/>
    <w:basedOn w:val="732"/>
    <w:uiPriority w:val="0"/>
    <w:qFormat/>
    <w:pPr>
      <w:jc w:val="left"/>
      <w:spacing w:before="100" w:beforeAutospacing="1" w:after="100" w:afterAutospacing="1"/>
      <w:widowControl/>
    </w:pPr>
    <w:rPr>
      <w:rFonts w:ascii="宋体" w:hAnsi="宋体" w:eastAsia="宋体" w:cs="Times New Roman"/>
      <w:sz w:val="24"/>
      <w:szCs w:val="24"/>
    </w:rPr>
  </w:style>
  <w:style w:type="paragraph" w:styleId="1166" w:customStyle="1">
    <w:name w:val="Char Char Char Char Char Char Char Char Char Char"/>
    <w:basedOn w:val="732"/>
    <w:uiPriority w:val="0"/>
    <w:qFormat/>
    <w:pPr>
      <w:spacing w:line="360" w:lineRule="auto"/>
    </w:pPr>
    <w:rPr>
      <w:rFonts w:ascii="Times New Roman" w:hAnsi="Times New Roman" w:eastAsia="宋体" w:cs="Times New Roman"/>
      <w:sz w:val="24"/>
      <w:szCs w:val="20"/>
    </w:rPr>
  </w:style>
  <w:style w:type="paragraph" w:styleId="1167" w:customStyle="1">
    <w:name w:val="样式1"/>
    <w:basedOn w:val="732"/>
    <w:uiPriority w:val="0"/>
    <w:qFormat/>
    <w:pPr>
      <w:numPr>
        <w:ilvl w:val="0"/>
        <w:numId w:val="5"/>
      </w:numPr>
    </w:pPr>
    <w:rPr>
      <w:rFonts w:ascii="宋体" w:hAnsi="宋体" w:eastAsia="宋体" w:cs="Times New Roman"/>
      <w:szCs w:val="21"/>
    </w:rPr>
  </w:style>
  <w:style w:type="paragraph" w:styleId="1168" w:customStyle="1">
    <w:name w:val="图标"/>
    <w:basedOn w:val="732"/>
    <w:next w:val="73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69" w:customStyle="1">
    <w:name w:val="标题3"/>
    <w:basedOn w:val="732"/>
    <w:next w:val="732"/>
    <w:uiPriority w:val="0"/>
    <w:qFormat/>
    <w:pPr>
      <w:ind w:firstLine="624"/>
      <w:spacing w:line="590" w:lineRule="atLeast"/>
    </w:pPr>
    <w:rPr>
      <w:rFonts w:ascii="方正黑体_GBK" w:hAnsi="Times New Roman" w:eastAsia="方正黑体_GBK" w:cs="Times New Roman"/>
      <w:sz w:val="32"/>
      <w:szCs w:val="32"/>
    </w:rPr>
  </w:style>
  <w:style w:type="paragraph" w:styleId="1170" w:customStyle="1">
    <w:name w:val="Char Char Char Char Char Char Char Char"/>
    <w:basedOn w:val="732"/>
    <w:uiPriority w:val="0"/>
    <w:qFormat/>
    <w:pPr>
      <w:jc w:val="left"/>
      <w:spacing w:after="160" w:line="240" w:lineRule="exact"/>
      <w:widowControl/>
    </w:pPr>
    <w:rPr>
      <w:rFonts w:ascii="Verdana" w:hAnsi="Verdana" w:eastAsia="宋体" w:cs="Times New Roman"/>
      <w:sz w:val="20"/>
      <w:szCs w:val="20"/>
      <w:lang w:eastAsia="en-US"/>
    </w:rPr>
  </w:style>
  <w:style w:type="paragraph" w:styleId="1171" w:customStyle="1">
    <w:name w:val="table_1stline"/>
    <w:basedOn w:val="732"/>
    <w:uiPriority w:val="0"/>
    <w:qFormat/>
    <w:pPr>
      <w:jc w:val="left"/>
      <w:spacing w:before="120"/>
      <w:widowControl/>
    </w:pPr>
    <w:rPr>
      <w:rFonts w:ascii="Times New Roman" w:hAnsi="Times New Roman" w:eastAsia="宋体" w:cs="Times New Roman"/>
      <w:bCs/>
      <w:sz w:val="20"/>
      <w:szCs w:val="20"/>
      <w:lang w:val="de-DE" w:eastAsia="de-DE"/>
    </w:rPr>
  </w:style>
  <w:style w:type="paragraph" w:styleId="1172" w:customStyle="1">
    <w:name w:val="标题1"/>
    <w:basedOn w:val="732"/>
    <w:next w:val="73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73"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7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75" w:customStyle="1">
    <w:name w:val="目录 111"/>
    <w:basedOn w:val="732"/>
    <w:next w:val="732"/>
    <w:uiPriority w:val="39"/>
    <w:unhideWhenUsed/>
    <w:qFormat/>
    <w:pPr>
      <w:jc w:val="left"/>
      <w:spacing w:after="100" w:line="259" w:lineRule="auto"/>
      <w:widowControl/>
    </w:pPr>
    <w:rPr>
      <w:rFonts w:ascii="Calibri" w:hAnsi="Calibri" w:eastAsia="宋体" w:cs="Times New Roman"/>
      <w:sz w:val="22"/>
    </w:rPr>
  </w:style>
  <w:style w:type="table" w:styleId="1176" w:customStyle="1">
    <w:name w:val="网格型5"/>
    <w:basedOn w:val="778"/>
    <w:uiPriority w:val="0"/>
    <w:qFormat/>
    <w:pPr>
      <w:jc w:val="both"/>
      <w:widowControl w:val="off"/>
    </w:pPr>
    <w:tblPr/>
  </w:style>
  <w:style w:type="paragraph" w:styleId="1177" w:customStyle="1">
    <w:name w:val="a0"/>
    <w:basedOn w:val="732"/>
    <w:uiPriority w:val="0"/>
    <w:qFormat/>
    <w:pPr>
      <w:jc w:val="left"/>
      <w:spacing w:before="100" w:beforeAutospacing="1" w:after="100" w:afterAutospacing="1"/>
      <w:widowControl/>
    </w:pPr>
    <w:rPr>
      <w:rFonts w:ascii="宋体" w:hAnsi="宋体" w:cs="宋体"/>
    </w:rPr>
  </w:style>
  <w:style w:type="character" w:styleId="1178" w:customStyle="1">
    <w:name w:val="NormalCharacter1"/>
    <w:link w:val="732"/>
    <w:uiPriority w:val="0"/>
    <w:qFormat/>
  </w:style>
  <w:style w:type="paragraph" w:styleId="1179" w:customStyle="1">
    <w:name w:val="_Style 1"/>
    <w:basedOn w:val="732"/>
    <w:uiPriority w:val="34"/>
    <w:qFormat/>
    <w:pPr>
      <w:ind w:firstLine="420"/>
    </w:pPr>
    <w:rPr>
      <w:rFonts w:ascii="Calibri" w:hAnsi="Calibri"/>
    </w:rPr>
  </w:style>
  <w:style w:type="paragraph" w:styleId="1180" w:customStyle="1">
    <w:name w:val="UserStyle_0"/>
    <w:basedOn w:val="732"/>
    <w:uiPriority w:val="0"/>
    <w:qFormat/>
    <w:pPr>
      <w:ind w:left="420" w:firstLine="420"/>
      <w:spacing w:after="120"/>
      <w:widowControl/>
    </w:pPr>
    <w:rPr>
      <w:rFonts w:ascii="Times New Roman" w:hAnsi="Times New Roman"/>
      <w:szCs w:val="20"/>
    </w:rPr>
  </w:style>
  <w:style w:type="paragraph" w:styleId="1181" w:customStyle="1">
    <w:name w:val="UserStyle_87"/>
    <w:basedOn w:val="732"/>
    <w:uiPriority w:val="0"/>
    <w:qFormat/>
    <w:pPr>
      <w:ind w:firstLine="420"/>
      <w:widowControl/>
    </w:pPr>
  </w:style>
  <w:style w:type="character" w:styleId="1182" w:customStyle="1">
    <w:name w:val="UserStyle_88"/>
    <w:link w:val="732"/>
    <w:uiPriority w:val="0"/>
    <w:qFormat/>
  </w:style>
  <w:style w:type="paragraph" w:styleId="1183" w:customStyle="1">
    <w:name w:val="BodyText1I21"/>
    <w:basedOn w:val="732"/>
    <w:uiPriority w:val="0"/>
    <w:qFormat/>
    <w:pPr>
      <w:ind w:left="420" w:firstLine="420"/>
      <w:spacing w:after="120"/>
    </w:pPr>
    <w:rPr>
      <w:rFonts w:ascii="Times New Roman" w:hAnsi="Times New Roman"/>
      <w:szCs w:val="20"/>
    </w:rPr>
  </w:style>
  <w:style w:type="paragraph" w:styleId="1184" w:customStyle="1">
    <w:name w:val="msolistparagraph"/>
    <w:basedOn w:val="732"/>
    <w:uiPriority w:val="0"/>
    <w:qFormat/>
    <w:pPr>
      <w:ind w:firstLine="420"/>
    </w:pPr>
    <w:rPr>
      <w:rFonts w:ascii="Calibri" w:hAnsi="Calibri" w:eastAsia="宋体" w:cs="Times New Roman"/>
      <w:szCs w:val="24"/>
    </w:rPr>
  </w:style>
  <w:style w:type="paragraph" w:styleId="1185" w:customStyle="1">
    <w:name w:val="_Style 3"/>
    <w:uiPriority w:val="1"/>
    <w:qFormat/>
    <w:pPr>
      <w:jc w:val="both"/>
      <w:widowControl w:val="off"/>
    </w:pPr>
    <w:rPr>
      <w:rFonts w:hint="default" w:ascii="Times New Roman" w:hAnsi="Times New Roman" w:eastAsia="Arial" w:cs="Times New Roman"/>
      <w:sz w:val="21"/>
      <w:szCs w:val="22"/>
      <w:lang w:val="en-US" w:eastAsia="zh-CN" w:bidi="ar-SA"/>
    </w:rPr>
  </w:style>
  <w:style w:type="paragraph" w:styleId="1186" w:customStyle="1">
    <w:name w:val="Body text|2"/>
    <w:basedOn w:val="732"/>
    <w:uiPriority w:val="0"/>
    <w:qFormat/>
    <w:pPr>
      <w:ind w:firstLine="540"/>
      <w:spacing w:line="487" w:lineRule="exact"/>
    </w:pPr>
    <w:rPr>
      <w:rFonts w:ascii="宋体" w:hAnsi="宋体" w:eastAsia="宋体" w:cs="宋体"/>
      <w:lang w:val="zh-TW" w:eastAsia="zh-TW" w:bidi="zh-TW"/>
    </w:rPr>
  </w:style>
  <w:style w:type="paragraph" w:styleId="1187" w:customStyle="1">
    <w:name w:val="BodyText1I1"/>
    <w:basedOn w:val="732"/>
    <w:uiPriority w:val="0"/>
    <w:qFormat/>
    <w:pPr>
      <w:ind w:firstLine="420"/>
      <w:spacing w:after="120" w:line="440" w:lineRule="exact"/>
    </w:pPr>
    <w:rPr>
      <w:rFonts w:ascii="宋体" w:hAnsi="Calibri" w:eastAsia="宋体" w:cs="Times New Roman"/>
      <w:sz w:val="24"/>
      <w:szCs w:val="28"/>
    </w:rPr>
  </w:style>
  <w:style w:type="paragraph" w:styleId="1188" w:customStyle="1">
    <w:name w:val="缺省文本"/>
    <w:basedOn w:val="732"/>
    <w:uiPriority w:val="0"/>
    <w:qFormat/>
    <w:pPr>
      <w:jc w:val="left"/>
    </w:pPr>
    <w:rPr>
      <w:rFonts w:ascii="Times New Roman" w:hAnsi="Times New Roman"/>
      <w:sz w:val="24"/>
    </w:rPr>
  </w:style>
  <w:style w:type="table" w:styleId="1189" w:customStyle="1">
    <w:name w:val="Table Normal"/>
    <w:uiPriority w:val="0"/>
    <w:unhideWhenUsed/>
    <w:qFormat/>
    <w:tblPr/>
  </w:style>
  <w:style w:type="paragraph" w:styleId="1190" w:customStyle="1">
    <w:name w:val="内容块-28-a"/>
    <w:basedOn w:val="732"/>
    <w:next w:val="732"/>
    <w:uiPriority w:val="0"/>
    <w:qFormat/>
    <w:pPr>
      <w:ind w:left="357" w:right="357"/>
      <w:pBdr>
        <w:top w:val="single" w:color="8064A2" w:sz="12" w:space="10"/>
        <w:left w:val="single" w:color="8064A2" w:sz="12" w:space="16"/>
        <w:bottom w:val="single" w:color="8064A2" w:sz="12" w:space="10"/>
        <w:right w:val="single" w:color="8064A2" w:sz="12" w:space="16"/>
      </w:pBdr>
    </w:pPr>
    <w:rPr>
      <w:rFonts w:ascii="Calibri" w:hAnsi="Calibri"/>
      <w:szCs w:val="21"/>
    </w:rPr>
  </w:style>
  <w:style w:type="paragraph" w:styleId="1191" w:customStyle="1">
    <w:name w:val="正文文本11"/>
    <w:basedOn w:val="732"/>
    <w:uiPriority w:val="0"/>
    <w:qFormat/>
    <w:rPr>
      <w:rFonts w:ascii="仿宋_GB2312" w:eastAsia="仿宋_GB2312"/>
      <w:sz w:val="28"/>
      <w:szCs w:val="20"/>
    </w:rPr>
  </w:style>
  <w:style w:type="paragraph" w:styleId="1192" w:customStyle="1">
    <w:name w:val="default"/>
    <w:basedOn w:val="732"/>
    <w:uiPriority w:val="0"/>
    <w:qFormat/>
    <w:pPr>
      <w:jc w:val="both"/>
      <w:spacing w:after="0" w:line="360" w:lineRule="auto"/>
      <w:widowControl w:val="off"/>
    </w:pPr>
    <w:rPr>
      <w:rFonts w:ascii="Arial" w:hAnsi="Arial" w:eastAsia="宋体" w:cs="Arial"/>
      <w:sz w:val="21"/>
      <w:szCs w:val="24"/>
    </w:rPr>
  </w:style>
  <w:style w:type="paragraph" w:styleId="1193" w:customStyle="1">
    <w:name w:val="BodyText"/>
    <w:basedOn w:val="732"/>
    <w:uiPriority w:val="99"/>
    <w:qFormat/>
    <w:rPr>
      <w:rFonts w:ascii="仿宋_GB2312" w:eastAsia="仿宋_GB2312" w:cs="仿宋_GB2312"/>
      <w:sz w:val="28"/>
      <w:szCs w:val="28"/>
    </w:rPr>
  </w:style>
  <w:style w:type="paragraph" w:styleId="1194" w:customStyle="1">
    <w:name w:val="首行缩进"/>
    <w:uiPriority w:val="0"/>
    <w:qFormat/>
    <w:pPr>
      <w:ind w:firstLine="480"/>
      <w:jc w:val="both"/>
      <w:widowControl w:val="off"/>
    </w:pPr>
    <w:rPr>
      <w:rFonts w:ascii="Calibri" w:hAnsi="Calibri" w:eastAsia="宋体" w:cs="Times New Roman"/>
      <w:sz w:val="21"/>
      <w:lang w:val="zh-CN" w:eastAsia="zh-CN" w:bidi="ar-SA"/>
    </w:rPr>
  </w:style>
  <w:style w:type="numbering" w:styleId="8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胡缘</cp:lastModifiedBy>
  <cp:revision>5</cp:revision>
  <dcterms:created xsi:type="dcterms:W3CDTF">2024-04-28T03:01:00Z</dcterms:created>
  <dcterms:modified xsi:type="dcterms:W3CDTF">2025-03-04T05:39:51Z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eyJoZGlkIjoiYWM5YjhkMDk1NDZjMzA1OTM1NGJmOGJkOTc5MzU5NGUiLCJ1c2VySWQiOiIxMzM0NDQ5MDU0In0=</vt:lpwstr>
  </property>
  <property fmtid="{D5CDD505-2E9C-101B-9397-08002B2CF9AE}" pid="3" name="KSOProductBuildVer">
    <vt:lpwstr>2052-12.1.0.20305</vt:lpwstr>
  </property>
  <property fmtid="{D5CDD505-2E9C-101B-9397-08002B2CF9AE}" pid="4" name="ICV">
    <vt:lpwstr>258384F39B7C44FAA21E13E60DE960C0_12</vt:lpwstr>
  </property>
</Properties>
</file>