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sz w:val="30"/>
          <w:highlight w:val="none"/>
        </w:rPr>
      </w:pPr>
      <w:r>
        <w:rPr>
          <w:rFonts w:ascii="楷体_GB2312" w:eastAsia="楷体_GB2312"/>
          <w:bCs/>
          <w:sz w:val="30"/>
          <w:highlight w:val="none"/>
        </w:rPr>
      </w:r>
      <w:r/>
    </w:p>
    <w:p>
      <w:pPr>
        <w:pStyle w:val="1512"/>
        <w:rPr>
          <w:highlight w:val="none"/>
        </w:rPr>
      </w:pPr>
      <w:r>
        <w:rPr>
          <w:highlight w:val="none"/>
        </w:rPr>
      </w:r>
      <w:r/>
    </w:p>
    <w:p>
      <w:pPr>
        <w:ind w:left="660"/>
        <w:rPr>
          <w:rFonts w:ascii="楷体_GB2312" w:eastAsia="楷体_GB2312"/>
          <w:bCs/>
          <w:sz w:val="30"/>
          <w:highlight w:val="none"/>
        </w:rPr>
      </w:pPr>
      <w:r>
        <w:rPr>
          <w:rFonts w:ascii="楷体_GB2312" w:eastAsia="楷体_GB2312"/>
          <w:bCs/>
          <w:sz w:val="30"/>
          <w:highlight w:val="none"/>
        </w:rPr>
      </w:r>
      <w:r/>
    </w:p>
    <w:p>
      <w:pPr>
        <w:pStyle w:val="1512"/>
        <w:rPr>
          <w:highlight w:val="none"/>
        </w:rPr>
      </w:pPr>
      <w:r>
        <w:rPr>
          <w:highlight w:val="none"/>
        </w:rPr>
      </w:r>
      <w:r/>
    </w:p>
    <w:p>
      <w:pPr>
        <w:jc w:val="center"/>
        <w:rPr>
          <w:b/>
          <w:sz w:val="96"/>
          <w:szCs w:val="96"/>
          <w:highlight w:val="none"/>
        </w:rPr>
      </w:pPr>
      <w:r/>
      <w:bookmarkStart w:id="0" w:name="_Toc24222"/>
      <w:r/>
      <w:bookmarkStart w:id="1" w:name="_Toc20707"/>
      <w:r>
        <w:rPr>
          <w:rFonts w:hint="eastAsia"/>
          <w:b/>
          <w:sz w:val="96"/>
          <w:szCs w:val="96"/>
          <w:highlight w:val="none"/>
          <w:lang w:val="en-US" w:eastAsia="zh-CN"/>
        </w:rPr>
        <w:t xml:space="preserve">无锡市</w:t>
      </w:r>
      <w:r>
        <w:rPr>
          <w:b/>
          <w:sz w:val="96"/>
          <w:szCs w:val="96"/>
          <w:highlight w:val="none"/>
        </w:rPr>
        <w:t xml:space="preserve">政府采购</w:t>
      </w:r>
      <w:bookmarkEnd w:id="0"/>
      <w:r/>
      <w:bookmarkEnd w:id="1"/>
      <w:r/>
      <w:r/>
    </w:p>
    <w:p>
      <w:pPr>
        <w:rPr>
          <w:rFonts w:hint="eastAsia"/>
          <w:b/>
          <w:sz w:val="28"/>
          <w:szCs w:val="28"/>
          <w:highlight w:val="none"/>
        </w:rPr>
      </w:pPr>
      <w:r>
        <w:rPr>
          <w:rFonts w:hint="eastAsia"/>
          <w:b/>
          <w:sz w:val="28"/>
          <w:szCs w:val="28"/>
          <w:highlight w:val="none"/>
        </w:rPr>
      </w:r>
      <w:r/>
    </w:p>
    <w:p>
      <w:pPr>
        <w:pStyle w:val="1527"/>
        <w:rPr>
          <w:rFonts w:hint="eastAsia"/>
          <w:b/>
          <w:sz w:val="28"/>
          <w:szCs w:val="28"/>
          <w:highlight w:val="none"/>
        </w:rPr>
      </w:pPr>
      <w:r>
        <w:rPr>
          <w:rFonts w:hint="eastAsia"/>
          <w:b/>
          <w:sz w:val="28"/>
          <w:szCs w:val="28"/>
          <w:highlight w:val="none"/>
        </w:rPr>
      </w:r>
      <w:r/>
    </w:p>
    <w:p>
      <w:pPr>
        <w:rPr>
          <w:rFonts w:hint="eastAsia"/>
          <w:b/>
          <w:sz w:val="28"/>
          <w:szCs w:val="28"/>
          <w:highlight w:val="none"/>
        </w:rPr>
      </w:pPr>
      <w:r>
        <w:rPr>
          <w:rFonts w:hint="eastAsia"/>
          <w:b/>
          <w:sz w:val="28"/>
          <w:szCs w:val="28"/>
          <w:highlight w:val="none"/>
        </w:rPr>
      </w:r>
      <w:r/>
    </w:p>
    <w:p>
      <w:pPr>
        <w:pStyle w:val="1527"/>
        <w:rPr>
          <w:rFonts w:hint="eastAsia"/>
          <w:highlight w:val="none"/>
        </w:rPr>
      </w:pPr>
      <w:r>
        <w:rPr>
          <w:rFonts w:hint="eastAsia"/>
          <w:highlight w:val="none"/>
        </w:rPr>
      </w:r>
      <w:r/>
    </w:p>
    <w:p>
      <w:pPr>
        <w:pStyle w:val="1527"/>
        <w:rPr>
          <w:rFonts w:hint="eastAsia"/>
          <w:highlight w:val="none"/>
        </w:rPr>
      </w:pPr>
      <w:r>
        <w:rPr>
          <w:rFonts w:hint="eastAsia"/>
          <w:highlight w:val="none"/>
        </w:rPr>
      </w:r>
      <w:r/>
    </w:p>
    <w:p>
      <w:pPr>
        <w:jc w:val="center"/>
        <w:rPr>
          <w:b/>
          <w:sz w:val="28"/>
          <w:szCs w:val="28"/>
          <w:highlight w:val="none"/>
        </w:rPr>
      </w:pPr>
      <w:r/>
      <w:bookmarkStart w:id="2" w:name="_Toc8186"/>
      <w:r/>
      <w:bookmarkStart w:id="3" w:name="_Toc6267"/>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bookmarkEnd w:id="2"/>
      <w:r/>
      <w:bookmarkEnd w:id="3"/>
      <w:r/>
      <w:r/>
    </w:p>
    <w:p>
      <w:pPr>
        <w:rPr>
          <w:bCs/>
          <w:sz w:val="28"/>
          <w:szCs w:val="28"/>
          <w:highlight w:val="none"/>
        </w:rPr>
      </w:pPr>
      <w:r>
        <w:rPr>
          <w:bCs/>
          <w:sz w:val="28"/>
          <w:szCs w:val="28"/>
          <w:highlight w:val="none"/>
        </w:rPr>
      </w:r>
      <w:r/>
    </w:p>
    <w:p>
      <w:pPr>
        <w:pStyle w:val="1518"/>
        <w:ind w:left="1260"/>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rFonts w:hint="eastAsia"/>
          <w:b/>
          <w:sz w:val="28"/>
          <w:szCs w:val="28"/>
          <w:highlight w:val="none"/>
        </w:rPr>
      </w:pPr>
      <w:r/>
      <w:bookmarkStart w:id="4" w:name="_Toc607"/>
      <w:r/>
      <w:bookmarkStart w:id="5" w:name="_Toc9350"/>
      <w:r>
        <w:rPr>
          <w:rFonts w:hint="eastAsia"/>
          <w:b/>
          <w:sz w:val="28"/>
          <w:szCs w:val="28"/>
          <w:highlight w:val="none"/>
        </w:rPr>
        <w:t xml:space="preserve">（全流程电子化）</w:t>
      </w:r>
      <w:bookmarkEnd w:id="4"/>
      <w:r/>
      <w:bookmarkEnd w:id="5"/>
      <w:r/>
      <w:r/>
    </w:p>
    <w:p>
      <w:pPr>
        <w:pStyle w:val="1569"/>
        <w:ind w:firstLine="0"/>
        <w:rPr>
          <w:highlight w:val="none"/>
        </w:rPr>
      </w:pPr>
      <w:r>
        <w:rPr>
          <w:highlight w:val="none"/>
        </w:rPr>
      </w:r>
      <w:r/>
    </w:p>
    <w:p>
      <w:pPr>
        <w:pStyle w:val="1569"/>
        <w:ind w:firstLine="0"/>
        <w:rPr>
          <w:highlight w:val="none"/>
        </w:rPr>
      </w:pPr>
      <w:r>
        <w:rPr>
          <w:highlight w:val="none"/>
        </w:rPr>
      </w:r>
      <w:r/>
    </w:p>
    <w:p>
      <w:pPr>
        <w:pStyle w:val="1569"/>
        <w:ind w:firstLine="0"/>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eastAsia="宋体" w:cs="宋体"/>
          <w:sz w:val="30"/>
          <w:szCs w:val="30"/>
          <w:highlight w:val="none"/>
          <w:lang w:eastAsia="zh-CN"/>
        </w:rPr>
      </w:pPr>
      <w:r/>
      <w:bookmarkStart w:id="6" w:name="_Toc158"/>
      <w:r/>
      <w:bookmarkStart w:id="7" w:name="_Toc30450"/>
      <w:r>
        <w:rPr>
          <w:rFonts w:hint="eastAsia" w:ascii="宋体" w:hAnsi="宋体" w:cs="宋体"/>
          <w:sz w:val="30"/>
          <w:szCs w:val="30"/>
          <w:highlight w:val="none"/>
        </w:rPr>
        <w:t xml:space="preserve">采购项目编号：</w:t>
      </w:r>
      <w:bookmarkEnd w:id="6"/>
      <w:r/>
      <w:bookmarkEnd w:id="7"/>
      <w:r>
        <w:rPr>
          <w:rFonts w:hint="eastAsia" w:ascii="宋体" w:hAnsi="宋体" w:cs="宋体"/>
          <w:sz w:val="30"/>
          <w:szCs w:val="30"/>
          <w:highlight w:val="none"/>
          <w:lang w:eastAsia="zh-CN"/>
        </w:rPr>
        <w:t xml:space="preserve">JSZC-320200-JDGS-G2024-0086</w:t>
      </w:r>
      <w:r/>
    </w:p>
    <w:p>
      <w:pPr>
        <w:ind w:left="2100" w:hanging="2100"/>
        <w:spacing w:line="360" w:lineRule="auto"/>
        <w:rPr>
          <w:rFonts w:ascii="宋体" w:hAnsi="宋体" w:eastAsia="宋体"/>
          <w:bCs/>
          <w:sz w:val="30"/>
          <w:szCs w:val="30"/>
          <w:highlight w:val="none"/>
          <w:lang w:val="en-US"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val="en-US" w:eastAsia="zh-CN"/>
        </w:rPr>
        <w:t xml:space="preserve">生态环境辅助执法第三方综合服务</w:t>
      </w:r>
      <w:r/>
    </w:p>
    <w:p>
      <w:pPr>
        <w:jc w:val="left"/>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   购   人：</w:t>
      </w:r>
      <w:r>
        <w:rPr>
          <w:rFonts w:hint="eastAsia" w:ascii="宋体" w:hAnsi="宋体" w:cs="宋体"/>
          <w:sz w:val="30"/>
          <w:szCs w:val="30"/>
          <w:highlight w:val="none"/>
          <w:lang w:eastAsia="zh-CN"/>
        </w:rPr>
        <w:t xml:space="preserve">无锡市生态环境综合行政执法局</w:t>
      </w:r>
      <w:r/>
    </w:p>
    <w:p>
      <w:pPr>
        <w:spacing w:line="360" w:lineRule="auto"/>
        <w:rPr>
          <w:rFonts w:hint="eastAsia" w:ascii="宋体" w:hAnsi="宋体" w:eastAsia="宋体" w:cs="宋体"/>
          <w:sz w:val="30"/>
          <w:szCs w:val="30"/>
          <w:highlight w:val="none"/>
          <w:lang w:eastAsia="zh-CN"/>
        </w:rPr>
      </w:pPr>
      <w:r/>
      <w:bookmarkStart w:id="8" w:name="_Toc22627"/>
      <w:r/>
      <w:bookmarkStart w:id="9" w:name="_Toc12700"/>
      <w:r>
        <w:rPr>
          <w:rFonts w:hint="eastAsia" w:ascii="宋体" w:hAnsi="宋体" w:cs="宋体"/>
          <w:sz w:val="30"/>
          <w:szCs w:val="30"/>
          <w:highlight w:val="none"/>
        </w:rPr>
        <w:t xml:space="preserve">采购代理机构：</w:t>
      </w:r>
      <w:bookmarkEnd w:id="8"/>
      <w:r/>
      <w:bookmarkEnd w:id="9"/>
      <w:r>
        <w:rPr>
          <w:rFonts w:hint="eastAsia" w:ascii="宋体" w:hAnsi="宋体" w:cs="宋体"/>
          <w:sz w:val="30"/>
          <w:szCs w:val="30"/>
          <w:highlight w:val="none"/>
          <w:lang w:eastAsia="zh-CN"/>
        </w:rPr>
        <w:t xml:space="preserve">江苏建达全过程工程咨询有限公司</w:t>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Style w:val="1548"/>
          <w:rFonts w:eastAsia="黑体"/>
          <w:bCs/>
          <w:sz w:val="48"/>
          <w:highlight w:val="none"/>
        </w:rPr>
      </w:pPr>
      <w:r>
        <w:rPr>
          <w:rFonts w:hint="eastAsia" w:ascii="黑体" w:hAnsi="华文中宋" w:eastAsia="黑体"/>
          <w:bCs/>
          <w:sz w:val="32"/>
          <w:szCs w:val="32"/>
          <w:highlight w:val="none"/>
        </w:rPr>
        <w:t xml:space="preserve">二○二四年</w:t>
      </w:r>
      <w:r>
        <w:rPr>
          <w:rFonts w:hint="eastAsia" w:ascii="黑体" w:hAnsi="华文中宋" w:eastAsia="黑体"/>
          <w:bCs/>
          <w:sz w:val="32"/>
          <w:szCs w:val="32"/>
          <w:highlight w:val="none"/>
          <w:lang w:val="en-US" w:eastAsia="zh-CN"/>
        </w:rPr>
        <w:t xml:space="preserve">十一</w:t>
      </w:r>
      <w:r>
        <w:rPr>
          <w:rFonts w:hint="eastAsia" w:ascii="黑体" w:hAnsi="华文中宋" w:eastAsia="黑体"/>
          <w:bCs/>
          <w:sz w:val="32"/>
          <w:szCs w:val="32"/>
          <w:highlight w:val="none"/>
        </w:rPr>
        <w:t xml:space="preserve">月</w:t>
      </w:r>
      <w:r/>
    </w:p>
    <w:p>
      <w:pPr>
        <w:jc w:val="center"/>
        <w:rPr>
          <w:rStyle w:val="1548"/>
          <w:rFonts w:hint="eastAsia" w:eastAsia="黑体"/>
          <w:bCs/>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0" w:name="_Toc27240"/>
      <w:r/>
      <w:r/>
    </w:p>
    <w:p>
      <w:pPr>
        <w:pStyle w:val="1527"/>
        <w:rPr>
          <w:rFonts w:hint="eastAsia"/>
          <w:highlight w:val="none"/>
        </w:rPr>
      </w:pPr>
      <w:r>
        <w:rPr>
          <w:rFonts w:hint="eastAsia"/>
          <w:highlight w:val="none"/>
        </w:rPr>
      </w:r>
      <w:r/>
    </w:p>
    <w:p>
      <w:pPr>
        <w:pStyle w:val="1528"/>
        <w:rPr>
          <w:rFonts w:hint="eastAsia"/>
          <w:highlight w:val="none"/>
        </w:rPr>
      </w:pPr>
      <w:r>
        <w:rPr>
          <w:rFonts w:hint="eastAsia"/>
          <w:highlight w:val="none"/>
        </w:rPr>
      </w:r>
      <w:r/>
    </w:p>
    <w:p>
      <w:pPr>
        <w:jc w:val="center"/>
        <w:rPr>
          <w:rStyle w:val="1548"/>
          <w:rFonts w:hint="eastAsia" w:ascii="宋体" w:hAnsi="宋体" w:cs="宋体"/>
          <w:b/>
          <w:sz w:val="44"/>
          <w:szCs w:val="44"/>
          <w:highlight w:val="none"/>
        </w:rPr>
      </w:pPr>
      <w:r/>
      <w:bookmarkStart w:id="11" w:name="_Toc15618"/>
      <w:r/>
      <w:bookmarkStart w:id="12" w:name="_Toc23032"/>
      <w:r/>
      <w:bookmarkStart w:id="13" w:name="_Toc32576"/>
      <w:r>
        <w:rPr>
          <w:rStyle w:val="1548"/>
          <w:rFonts w:hint="eastAsia" w:ascii="宋体" w:hAnsi="宋体" w:cs="宋体"/>
          <w:b/>
          <w:sz w:val="44"/>
          <w:szCs w:val="44"/>
          <w:highlight w:val="none"/>
        </w:rPr>
        <w:t xml:space="preserve">目     录</w:t>
      </w:r>
      <w:bookmarkEnd w:id="10"/>
      <w:r/>
      <w:bookmarkEnd w:id="11"/>
      <w:r/>
      <w:bookmarkEnd w:id="12"/>
      <w:r/>
      <w:bookmarkEnd w:id="13"/>
      <w:r/>
      <w:r/>
    </w:p>
    <w:p>
      <w:pPr>
        <w:rPr>
          <w:highlight w:val="none"/>
        </w:rPr>
      </w:pPr>
      <w:r>
        <w:rPr>
          <w:highlight w:val="none"/>
        </w:rPr>
      </w:r>
      <w:r/>
    </w:p>
    <w:p>
      <w:pPr>
        <w:pStyle w:val="1532"/>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_Toc622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一、投标邀请函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_Toc622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532"/>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_Toc24863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二、投标人须知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_Toc24863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5</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532"/>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_Toc19762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三、项目技术要求和有关说明</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_Toc19762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18</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532"/>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_Toc12214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四、合同书（格式文本）</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_Toc12214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532"/>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_Toc5730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五、附件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_Toc5730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w:t>
      </w:r>
      <w:r>
        <w:rPr>
          <w:rFonts w:hint="eastAsia" w:ascii="宋体" w:hAnsi="宋体" w:cs="宋体"/>
          <w:sz w:val="28"/>
          <w:szCs w:val="28"/>
          <w:highlight w:val="none"/>
          <w:lang w:val="en-US" w:eastAsia="zh-CN"/>
        </w:rPr>
        <w:t xml:space="preserve">0</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bookmarkStart w:id="59" w:name="_GoBack"/>
      <w:r/>
      <w:bookmarkEnd w:id="59"/>
      <w:r/>
      <w:r/>
    </w:p>
    <w:p>
      <w:pPr>
        <w:ind w:firstLine="420"/>
        <w:spacing w:line="360" w:lineRule="auto"/>
        <w:rPr>
          <w:rFonts w:ascii="宋体" w:hAnsi="宋体"/>
          <w:bCs/>
          <w:sz w:val="24"/>
          <w:szCs w:val="24"/>
          <w:highlight w:val="none"/>
        </w:rPr>
      </w:pPr>
      <w:r>
        <w:rPr>
          <w:rFonts w:hint="eastAsia" w:ascii="宋体" w:hAnsi="宋体" w:cs="宋体"/>
          <w:bCs/>
          <w:sz w:val="28"/>
          <w:szCs w:val="28"/>
          <w:highlight w:val="none"/>
        </w:rPr>
        <w:fldChar w:fldCharType="end"/>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hint="eastAsia" w:ascii="宋体"/>
          <w:bCs/>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
    </w:p>
    <w:p>
      <w:pPr>
        <w:jc w:val="center"/>
        <w:spacing w:line="360" w:lineRule="auto"/>
        <w:rPr>
          <w:rFonts w:hint="eastAsia" w:hAnsi="宋体" w:cs="宋体"/>
          <w:b/>
          <w:bCs/>
          <w:sz w:val="32"/>
          <w:szCs w:val="32"/>
          <w:highlight w:val="none"/>
        </w:rPr>
        <w:outlineLvl w:val="0"/>
      </w:pPr>
      <w:r/>
      <w:bookmarkStart w:id="16" w:name="_Toc622"/>
      <w:r/>
      <w:bookmarkStart w:id="17" w:name="_Toc13603"/>
      <w:r>
        <w:rPr>
          <w:rFonts w:hint="eastAsia" w:hAnsi="宋体" w:cs="宋体"/>
          <w:b/>
          <w:bCs/>
          <w:sz w:val="32"/>
          <w:szCs w:val="32"/>
          <w:highlight w:val="none"/>
        </w:rPr>
        <w:t xml:space="preserve">一、投标邀请函</w:t>
      </w:r>
      <w:bookmarkEnd w:id="15"/>
      <w:r/>
      <w:bookmarkEnd w:id="16"/>
      <w:r/>
      <w:bookmarkEnd w:id="17"/>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受</w:t>
      </w:r>
      <w:r>
        <w:rPr>
          <w:rFonts w:hint="eastAsia" w:ascii="宋体" w:hAnsi="宋体" w:cs="宋体"/>
          <w:bCs/>
          <w:sz w:val="24"/>
          <w:szCs w:val="24"/>
          <w:highlight w:val="none"/>
          <w:lang w:eastAsia="zh-CN"/>
        </w:rPr>
        <w:t xml:space="preserve">无锡市生态环境综合行政执法局</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生态环境辅助执法第三方综合服务</w:t>
      </w:r>
      <w:r>
        <w:rPr>
          <w:rFonts w:hint="eastAsia" w:ascii="宋体" w:hAnsi="宋体" w:cs="宋体"/>
          <w:bCs/>
          <w:sz w:val="24"/>
          <w:szCs w:val="24"/>
          <w:highlight w:val="none"/>
        </w:rPr>
        <w:t xml:space="preserve">进行公开招标采购，欢迎符合相关条件的供应商参加投标并提请注意下列相关事项：</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（一）招标项目信息</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生态环境辅助执法第三方综合服务</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JSZC-320200-JDGS-G2024-0086</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3、项目投标预算价：</w:t>
      </w:r>
      <w:r>
        <w:rPr>
          <w:rFonts w:hint="eastAsia" w:ascii="宋体" w:hAnsi="宋体" w:cs="宋体"/>
          <w:bCs/>
          <w:sz w:val="24"/>
          <w:szCs w:val="24"/>
          <w:highlight w:val="none"/>
          <w:lang w:val="en-US" w:eastAsia="zh-CN"/>
        </w:rPr>
        <w:t xml:space="preserve">191</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191</w:t>
      </w:r>
      <w:r>
        <w:rPr>
          <w:rFonts w:hint="eastAsia" w:ascii="宋体" w:hAnsi="宋体" w:cs="宋体"/>
          <w:bCs/>
          <w:sz w:val="24"/>
          <w:szCs w:val="24"/>
          <w:highlight w:val="none"/>
        </w:rPr>
        <w:t xml:space="preserve">万元；投标报价不得超过最高限价，否则作无效响应文件处理。</w:t>
      </w:r>
      <w:r/>
    </w:p>
    <w:p>
      <w:pPr>
        <w:ind w:firstLine="480"/>
        <w:spacing w:line="360" w:lineRule="auto"/>
        <w:rPr>
          <w:rFonts w:hint="default" w:ascii="宋体" w:hAnsi="宋体" w:cs="宋体"/>
          <w:bCs/>
          <w:sz w:val="24"/>
          <w:szCs w:val="24"/>
          <w:highlight w:val="none"/>
          <w:lang w:val="en-US"/>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服务期</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1年</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6、采购方式：公开招标</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7、采购人：</w:t>
      </w:r>
      <w:r>
        <w:rPr>
          <w:rFonts w:hint="eastAsia" w:ascii="宋体" w:hAnsi="宋体" w:cs="宋体"/>
          <w:bCs/>
          <w:sz w:val="24"/>
          <w:szCs w:val="24"/>
          <w:highlight w:val="none"/>
          <w:lang w:eastAsia="zh-CN"/>
        </w:rPr>
        <w:t xml:space="preserve">无锡市生态环境综合行政执法局</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8、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9、本项目是否专门面向</w:t>
      </w:r>
      <w:r>
        <w:rPr>
          <w:rFonts w:hint="eastAsia" w:cs="宋体"/>
          <w:bCs/>
          <w:sz w:val="24"/>
          <w:szCs w:val="24"/>
          <w:highlight w:val="none"/>
          <w:lang w:val="en-US" w:eastAsia="zh-CN"/>
        </w:rPr>
        <w:t xml:space="preserve">中小</w:t>
      </w:r>
      <w:r>
        <w:rPr>
          <w:rFonts w:hint="eastAsia" w:ascii="宋体" w:hAnsi="宋体" w:cs="宋体"/>
          <w:bCs/>
          <w:sz w:val="24"/>
          <w:szCs w:val="24"/>
          <w:highlight w:val="none"/>
        </w:rPr>
        <w:t xml:space="preserve">企业：</w:t>
      </w:r>
      <w:r>
        <w:rPr>
          <w:rFonts w:hint="eastAsia" w:cs="宋体"/>
          <w:bCs/>
          <w:sz w:val="24"/>
          <w:szCs w:val="24"/>
          <w:highlight w:val="none"/>
          <w:lang w:val="en-US" w:eastAsia="zh-CN"/>
        </w:rPr>
        <w:t xml:space="preserve">否</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10、本项目</w:t>
      </w:r>
      <w:r>
        <w:rPr>
          <w:rFonts w:hint="eastAsia" w:ascii="宋体" w:hAnsi="宋体" w:cs="宋体"/>
          <w:b/>
          <w:bCs w:val="0"/>
          <w:sz w:val="24"/>
          <w:szCs w:val="24"/>
          <w:highlight w:val="none"/>
          <w:u w:val="single"/>
          <w:lang w:val="en-US" w:eastAsia="zh-CN"/>
        </w:rPr>
        <w:t xml:space="preserve">不</w:t>
      </w:r>
      <w:r>
        <w:rPr>
          <w:rFonts w:hint="eastAsia" w:ascii="宋体" w:hAnsi="宋体" w:cs="宋体"/>
          <w:b/>
          <w:bCs w:val="0"/>
          <w:sz w:val="24"/>
          <w:szCs w:val="24"/>
          <w:highlight w:val="none"/>
          <w:u w:val="single"/>
        </w:rPr>
        <w:t xml:space="preserve">接受</w:t>
      </w:r>
      <w:r>
        <w:rPr>
          <w:rFonts w:hint="eastAsia" w:ascii="宋体" w:hAnsi="宋体" w:cs="宋体"/>
          <w:bCs/>
          <w:sz w:val="24"/>
          <w:szCs w:val="24"/>
          <w:highlight w:val="none"/>
        </w:rPr>
        <w:t xml:space="preserve">联合体投标</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（二）供应商资格要求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3、落实政府采购政策需满足的资格要求：</w:t>
      </w:r>
      <w:r>
        <w:rPr>
          <w:rFonts w:hint="eastAsia" w:ascii="宋体" w:hAnsi="宋体" w:cs="宋体"/>
          <w:bCs/>
          <w:sz w:val="24"/>
          <w:szCs w:val="24"/>
          <w:highlight w:val="none"/>
          <w:lang w:val="en-US" w:eastAsia="zh-CN"/>
        </w:rPr>
        <w:t xml:space="preserve">无</w:t>
      </w:r>
      <w:r>
        <w:rPr>
          <w:rFonts w:hint="eastAsia" w:ascii="宋体" w:hAnsi="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4、本项目的特定资格要求：</w:t>
      </w:r>
      <w:r>
        <w:rPr>
          <w:rFonts w:hint="eastAsia" w:ascii="宋体" w:hAnsi="宋体" w:cs="宋体"/>
          <w:bCs/>
          <w:sz w:val="24"/>
          <w:szCs w:val="24"/>
          <w:highlight w:val="none"/>
          <w:lang w:val="en-US" w:eastAsia="zh-CN"/>
        </w:rPr>
        <w:t xml:space="preserve">无</w:t>
      </w:r>
      <w:r>
        <w:rPr>
          <w:rFonts w:hint="eastAsia" w:ascii="宋体" w:hAnsi="宋体" w:cs="宋体"/>
          <w:bCs/>
          <w:sz w:val="24"/>
          <w:szCs w:val="24"/>
          <w:highlight w:val="none"/>
          <w:lang w:eastAsia="zh-CN"/>
        </w:rPr>
        <w:t xml:space="preserve">；</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（三）供应商主体信息库注册</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1、请有意参加本项目投标的供应商按以下流程进行操作：</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（2）办理并领取CA和电子签章（办理地址：无锡市观山路市民中心12号楼2楼公共资源交易大厅9号10号窗口）。</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（3）“苏采云”系统供应商操作手册链接：</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（4）CA驱动下载链接（政务CA方正签章控件驱动）：</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http://cz.wuxi.gov.cn/ztzl/zfcg/zlxz/scy/index.shtml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技术服务QQ：3071474382（服务时间：工作日9:00-17:00）</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2、完成注册的供应商方可绑定CA，并使用CA登录苏采云平台，参与项目，上传投标文件，进行投标。</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3、如供应商未按上述要求操作，由此所产生的损失及风险由供应商自行承担。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（四）获取采购文件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供应商可在财政部门指定媒体发布的公告附件中查看公开招标文件，如确定参加本次采购活</w:t>
      </w:r>
      <w:r>
        <w:rPr>
          <w:rFonts w:hint="eastAsia" w:ascii="宋体" w:hAnsi="宋体" w:cs="宋体"/>
          <w:bCs/>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将以电话咨询、邮箱（</w:t>
      </w:r>
      <w:r>
        <w:rPr>
          <w:rFonts w:hint="eastAsia" w:ascii="宋体" w:hAnsi="宋体" w:cs="宋体"/>
          <w:bCs/>
          <w:sz w:val="24"/>
          <w:szCs w:val="24"/>
          <w:highlight w:val="none"/>
          <w:lang w:eastAsia="zh-CN"/>
        </w:rPr>
        <w:t xml:space="preserve">962737536@qq.com</w:t>
      </w:r>
      <w:r>
        <w:rPr>
          <w:rFonts w:hint="eastAsia" w:ascii="宋体" w:hAnsi="宋体" w:cs="宋体"/>
          <w:bCs/>
          <w:sz w:val="24"/>
          <w:szCs w:val="24"/>
          <w:highlight w:val="none"/>
        </w:rPr>
        <w:t xml:space="preserve">）等方式开展线上不见面答疑服务。截止至</w:t>
      </w:r>
      <w:r>
        <w:rPr>
          <w:rFonts w:hint="eastAsia" w:ascii="宋体" w:hAnsi="宋体" w:cs="宋体"/>
          <w:bCs/>
          <w:color w:val="auto"/>
          <w:sz w:val="24"/>
          <w:szCs w:val="24"/>
          <w:highlight w:val="none"/>
        </w:rPr>
        <w:t xml:space="preserve">2024年</w:t>
      </w: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  19</w:t>
      </w:r>
      <w:r>
        <w:rPr>
          <w:rFonts w:hint="eastAsia" w:ascii="宋体" w:hAnsi="宋体" w:cs="宋体"/>
          <w:bCs/>
          <w:color w:val="auto"/>
          <w:sz w:val="24"/>
          <w:szCs w:val="24"/>
          <w:highlight w:val="none"/>
        </w:rPr>
        <w:t xml:space="preserve">日10:00前</w:t>
      </w:r>
      <w:r>
        <w:rPr>
          <w:rFonts w:hint="eastAsia" w:ascii="宋体" w:hAnsi="宋体" w:cs="宋体"/>
          <w:bCs/>
          <w:sz w:val="24"/>
          <w:szCs w:val="24"/>
          <w:highlight w:val="none"/>
        </w:rPr>
        <w:t xml:space="preserve">，有关单位对于招标文件的相关事项如有疑问可通过上述方式咨询；供应商如有需要对招标文件要求澄清的问题，请以书面形式（必须加盖供应商公章，也请务必留下联系方式，以便回复）提出“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sz w:val="24"/>
          <w:szCs w:val="24"/>
          <w:highlight w:val="none"/>
          <w:lang w:eastAsia="zh-CN"/>
        </w:rPr>
        <w:t xml:space="preserve">JSZC-320200-JDGS-G2024-0086</w:t>
      </w:r>
      <w:r>
        <w:rPr>
          <w:rFonts w:hint="eastAsia" w:ascii="宋体" w:hAnsi="宋体" w:cs="宋体"/>
          <w:bCs/>
          <w:sz w:val="24"/>
          <w:szCs w:val="24"/>
          <w:highlight w:val="none"/>
        </w:rPr>
        <w:t xml:space="preserve">项目需澄清问题”，并于答疑截止时间前邮箱（</w:t>
      </w:r>
      <w:r>
        <w:rPr>
          <w:rFonts w:hint="eastAsia" w:ascii="宋体" w:hAnsi="宋体" w:cs="宋体"/>
          <w:bCs/>
          <w:sz w:val="24"/>
          <w:szCs w:val="24"/>
          <w:highlight w:val="none"/>
          <w:lang w:eastAsia="zh-CN"/>
        </w:rPr>
        <w:t xml:space="preserve">962737536@qq.com</w:t>
      </w:r>
      <w:r>
        <w:rPr>
          <w:rFonts w:hint="eastAsia" w:ascii="宋体" w:hAnsi="宋体" w:cs="宋体"/>
          <w:bCs/>
          <w:sz w:val="24"/>
          <w:szCs w:val="24"/>
          <w:highlight w:val="none"/>
        </w:rPr>
        <w:t xml:space="preserve">）给项目联系人。若未在法定时间内提出澄清，由此造成的损失及风险由供应商自行承担。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（六）现场踏勘</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w:t>
      </w:r>
      <w:r>
        <w:rPr>
          <w:rFonts w:hint="eastAsia" w:ascii="宋体" w:hAnsi="宋体" w:cs="宋体"/>
          <w:bCs/>
          <w:color w:val="000000" w:themeColor="text1"/>
          <w:sz w:val="24"/>
          <w:szCs w:val="24"/>
          <w:highlight w:val="none"/>
        </w:rPr>
        <w:t xml:space="preserve">活动。</w:t>
      </w:r>
      <w:r>
        <w:rPr>
          <w:color w:val="000000" w:themeColor="text1"/>
        </w:rPr>
      </w: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投标截止时间（网上投标截止时间苏采云投标客户端投标）：2024年</w:t>
      </w:r>
      <w:r>
        <w:rPr>
          <w:rFonts w:hint="eastAsia" w:ascii="宋体" w:hAnsi="宋体" w:cs="宋体"/>
          <w:bCs/>
          <w:color w:val="000000" w:themeColor="text1"/>
          <w:sz w:val="24"/>
          <w:szCs w:val="24"/>
          <w:highlight w:val="none"/>
          <w:lang w:val="en-US" w:eastAsia="zh-CN"/>
        </w:rPr>
        <w:t xml:space="preserve">12</w:t>
      </w:r>
      <w:r>
        <w:rPr>
          <w:rFonts w:hint="eastAsia" w:ascii="宋体" w:hAnsi="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rPr>
        <w:t xml:space="preserve">日09:30，投标截止时间后的投标文件恕不接受。</w:t>
      </w:r>
      <w:r>
        <w:rPr>
          <w:color w:val="000000" w:themeColor="text1"/>
        </w:rPr>
      </w: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开标时间：2024年</w:t>
      </w:r>
      <w:r>
        <w:rPr>
          <w:rFonts w:hint="eastAsia" w:ascii="宋体" w:hAnsi="宋体" w:cs="宋体"/>
          <w:bCs/>
          <w:color w:val="000000" w:themeColor="text1"/>
          <w:sz w:val="24"/>
          <w:szCs w:val="24"/>
          <w:highlight w:val="none"/>
          <w:lang w:val="en-US" w:eastAsia="zh-CN"/>
        </w:rPr>
        <w:t xml:space="preserve">12</w:t>
      </w:r>
      <w:r>
        <w:rPr>
          <w:rFonts w:hint="eastAsia" w:ascii="宋体" w:hAnsi="宋体" w:cs="宋体"/>
          <w:bCs/>
          <w:color w:val="000000" w:themeColor="text1"/>
          <w:sz w:val="24"/>
          <w:szCs w:val="24"/>
          <w:highlight w:val="none"/>
        </w:rPr>
        <w:t xml:space="preserve">月</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rPr>
        <w:t xml:space="preserve">日09:30。</w:t>
      </w:r>
      <w:r>
        <w:rPr>
          <w:color w:val="000000" w:themeColor="text1"/>
        </w:rPr>
      </w: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投标及开标地点：江苏省政府采购（苏采云）平台。</w:t>
      </w:r>
      <w:r>
        <w:rPr>
          <w:color w:val="000000" w:themeColor="text1"/>
        </w:rPr>
      </w: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定标时间：评标结束</w:t>
      </w:r>
      <w:r>
        <w:rPr>
          <w:color w:val="000000" w:themeColor="text1"/>
        </w:rPr>
      </w:r>
      <w:r/>
    </w:p>
    <w:p>
      <w:p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定标地点：</w:t>
      </w:r>
      <w:r>
        <w:rPr>
          <w:rFonts w:hint="eastAsia" w:ascii="宋体" w:hAnsi="宋体" w:cs="宋体"/>
          <w:bCs/>
          <w:color w:val="000000" w:themeColor="text1"/>
          <w:sz w:val="24"/>
          <w:szCs w:val="24"/>
          <w:highlight w:val="none"/>
          <w:lang w:val="en-US" w:eastAsia="zh-CN"/>
        </w:rPr>
        <w:t xml:space="preserve"> 无锡市滨湖区太湖西大道2168号中锐佳诚国际大厦A栋606室</w:t>
      </w:r>
      <w:r>
        <w:rPr>
          <w:color w:val="000000" w:themeColor="text1"/>
        </w:rPr>
      </w:r>
      <w:r/>
    </w:p>
    <w:p>
      <w:pPr>
        <w:ind w:firstLine="482"/>
        <w:spacing w:line="360" w:lineRule="auto"/>
        <w:rPr>
          <w:rFonts w:hint="eastAsia" w:ascii="宋体" w:hAnsi="宋体" w:cs="宋体"/>
          <w:bCs/>
          <w:color w:val="000000" w:themeColor="text1"/>
          <w:sz w:val="24"/>
          <w:szCs w:val="24"/>
          <w:highlight w:val="none"/>
        </w:rPr>
        <w:outlineLvl w:val="1"/>
      </w:pPr>
      <w:r>
        <w:rPr>
          <w:rFonts w:hint="eastAsia" w:ascii="宋体" w:hAnsi="宋体" w:cs="宋体"/>
          <w:b/>
          <w:color w:val="000000" w:themeColor="text1"/>
          <w:sz w:val="24"/>
          <w:szCs w:val="24"/>
          <w:highlight w:val="none"/>
        </w:rPr>
        <w:t xml:space="preserve">（八）投标文件份数：</w:t>
      </w:r>
      <w:r>
        <w:rPr>
          <w:rFonts w:hint="eastAsia" w:ascii="宋体" w:hAnsi="宋体" w:cs="宋体"/>
          <w:bCs/>
          <w:color w:val="000000" w:themeColor="text1"/>
          <w:sz w:val="24"/>
          <w:szCs w:val="24"/>
          <w:highlight w:val="none"/>
        </w:rPr>
        <w:t xml:space="preserve">请按规定上传电子响应文件，不接收纸质投标文件</w:t>
      </w:r>
      <w:r>
        <w:rPr>
          <w:color w:val="000000" w:themeColor="text1"/>
        </w:rPr>
      </w:r>
      <w:r/>
    </w:p>
    <w:p>
      <w:pPr>
        <w:ind w:firstLine="482"/>
        <w:spacing w:line="360" w:lineRule="auto"/>
        <w:rPr>
          <w:rFonts w:hint="eastAsia" w:ascii="宋体" w:hAnsi="宋体" w:cs="宋体"/>
          <w:bCs/>
          <w:color w:val="000000" w:themeColor="text1"/>
          <w:sz w:val="24"/>
          <w:szCs w:val="24"/>
          <w:highlight w:val="none"/>
        </w:rPr>
        <w:outlineLvl w:val="1"/>
      </w:pPr>
      <w:r>
        <w:rPr>
          <w:rFonts w:hint="eastAsia" w:ascii="宋体" w:hAnsi="宋体" w:cs="宋体"/>
          <w:b/>
          <w:color w:val="000000" w:themeColor="text1"/>
          <w:sz w:val="24"/>
          <w:szCs w:val="24"/>
          <w:highlight w:val="none"/>
        </w:rPr>
        <w:t xml:space="preserve">（九）投标有效期：</w:t>
      </w:r>
      <w:r>
        <w:rPr>
          <w:rFonts w:hint="eastAsia" w:ascii="宋体" w:hAnsi="宋体" w:cs="宋体"/>
          <w:bCs/>
          <w:color w:val="000000" w:themeColor="text1"/>
          <w:sz w:val="24"/>
          <w:szCs w:val="24"/>
          <w:highlight w:val="none"/>
        </w:rPr>
        <w:t xml:space="preserve">开标之日起90天</w:t>
      </w:r>
      <w:r>
        <w:rPr>
          <w:color w:val="000000" w:themeColor="text1"/>
        </w:rPr>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（十）采购方法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w:t>
      </w:r>
      <w:r>
        <w:rPr>
          <w:rFonts w:hint="eastAsia" w:ascii="宋体" w:hAnsi="宋体" w:cs="宋体"/>
          <w:b/>
          <w:sz w:val="24"/>
          <w:szCs w:val="24"/>
          <w:highlight w:val="none"/>
          <w:lang w:eastAsia="zh-CN"/>
        </w:rPr>
        <w:t xml:space="preserve">其他</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无锡市生态环境综合行政执法局</w:t>
      </w:r>
      <w:r/>
    </w:p>
    <w:p>
      <w:pPr>
        <w:ind w:firstLine="480"/>
        <w:spacing w:line="360" w:lineRule="auto"/>
        <w:rPr>
          <w:rFonts w:ascii="宋体" w:hAnsi="宋体" w:cs="宋体"/>
          <w:bCs/>
          <w:color w:val="auto"/>
          <w:sz w:val="24"/>
          <w:szCs w:val="24"/>
          <w:highlight w:val="none"/>
          <w:lang w:val="en-US" w:eastAsia="zh-CN"/>
        </w:rPr>
      </w:pPr>
      <w:r>
        <w:rPr>
          <w:rFonts w:hint="eastAsia" w:ascii="宋体" w:hAnsi="宋体" w:cs="宋体"/>
          <w:bCs/>
          <w:color w:val="auto"/>
          <w:sz w:val="24"/>
          <w:szCs w:val="24"/>
          <w:highlight w:val="none"/>
        </w:rPr>
        <w:t xml:space="preserve">联系人：无锡市滨湖区周新东路123号</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采购机构：</w:t>
      </w:r>
      <w:r>
        <w:rPr>
          <w:rFonts w:hint="eastAsia" w:ascii="宋体" w:hAnsi="宋体" w:cs="宋体"/>
          <w:bCs/>
          <w:sz w:val="24"/>
          <w:szCs w:val="24"/>
          <w:highlight w:val="none"/>
          <w:lang w:eastAsia="zh-CN"/>
        </w:rPr>
        <w:t xml:space="preserve">江苏建达全过程工程咨询有限公司</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地址：无锡市梁溪区锡澄路260号-1圆融发展中心801</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张工、王工</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电  话：</w:t>
      </w:r>
      <w:r>
        <w:rPr>
          <w:rFonts w:hint="eastAsia" w:ascii="宋体" w:hAnsi="宋体" w:cs="宋体"/>
          <w:bCs/>
          <w:sz w:val="24"/>
          <w:szCs w:val="24"/>
          <w:highlight w:val="none"/>
          <w:lang w:val="en-US" w:eastAsia="zh-CN"/>
        </w:rPr>
        <w:t xml:space="preserve">17805101320</w:t>
      </w:r>
      <w:r/>
    </w:p>
    <w:p>
      <w:pPr>
        <w:ind w:firstLine="480"/>
        <w:spacing w:line="360" w:lineRule="auto"/>
        <w:rPr>
          <w:rFonts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邮  编：214000</w:t>
      </w:r>
      <w:r/>
    </w:p>
    <w:p>
      <w:pPr>
        <w:ind w:firstLine="480"/>
        <w:spacing w:line="360" w:lineRule="auto"/>
        <w:rPr>
          <w:rFonts w:hint="eastAsia" w:ascii="宋体" w:hAnsi="宋体" w:cs="宋体"/>
          <w:bCs/>
          <w:sz w:val="24"/>
          <w:szCs w:val="24"/>
          <w:highlight w:val="none"/>
        </w:rPr>
        <w:sectPr>
          <w:footerReference w:type="default" r:id="rId18"/>
          <w:footnotePr/>
          <w:endnotePr/>
          <w:type w:val="nextPage"/>
          <w:pgSz w:w="11906" w:h="16838" w:orient="portrait"/>
          <w:pgMar w:top="1440" w:right="1800" w:bottom="1440" w:left="1800" w:header="851" w:footer="992" w:gutter="0"/>
          <w:cols w:num="1" w:sep="0" w:space="1701" w:equalWidth="1"/>
          <w:docGrid w:linePitch="360"/>
        </w:sectPr>
      </w:pPr>
      <w:r/>
      <w:bookmarkStart w:id="18" w:name="_Toc23923"/>
      <w:r/>
      <w:r/>
    </w:p>
    <w:p>
      <w:pPr>
        <w:jc w:val="center"/>
        <w:spacing w:line="360" w:lineRule="auto"/>
        <w:rPr>
          <w:rFonts w:hint="eastAsia" w:hAnsi="宋体" w:cs="宋体"/>
          <w:b/>
          <w:bCs/>
          <w:sz w:val="32"/>
          <w:szCs w:val="32"/>
          <w:highlight w:val="none"/>
        </w:rPr>
        <w:outlineLvl w:val="0"/>
      </w:pPr>
      <w:r/>
      <w:bookmarkStart w:id="19" w:name="_Toc24863"/>
      <w:r>
        <w:rPr>
          <w:rFonts w:hint="eastAsia" w:hAnsi="宋体" w:cs="宋体"/>
          <w:b/>
          <w:bCs/>
          <w:sz w:val="32"/>
          <w:szCs w:val="32"/>
          <w:highlight w:val="none"/>
        </w:rPr>
        <w:t xml:space="preserve">二、投标人须知</w:t>
      </w:r>
      <w:bookmarkEnd w:id="18"/>
      <w:r/>
      <w:bookmarkEnd w:id="19"/>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一</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遵循原则：</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二</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招标文件：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1．招标文件包括本文件目录所列全部内容，投标人应仔细阅读，并在投标文件中充分响应招标文件的所有要求。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3．投标人一旦参加本项目投标，即表明承诺接受了本招标文件中的所有条件和规定。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4．招标文件仅作为本次招投标使用。</w:t>
      </w:r>
      <w:r/>
    </w:p>
    <w:p>
      <w:pPr>
        <w:pStyle w:val="1576"/>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三</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招标文件的解释：</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本文件的最终解释权归采购人及</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四</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招标文件的补充或修正：</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1．采购人或采购代理机构可在投标截止时间15日前对招标文件进行必要的澄清或者修改，不足15日的，将顺延提交投标文件的截止时间。</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2．如需对招标文件进行澄清或修正，</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对无效质疑不予受理。</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五</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投标文件的组成（相应内容上传至投标客户端）：</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2．资格、资信证明文件：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（2）具有独立承担民事责任能力的投标人营业执照或相关部门的登记证明文件扫描件；</w:t>
      </w:r>
      <w:r/>
    </w:p>
    <w:p>
      <w:pPr>
        <w:ind w:firstLine="480"/>
        <w:spacing w:line="360" w:lineRule="auto"/>
        <w:tabs>
          <w:tab w:val="left" w:pos="945"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（3）投标人法定代表人授权委托书</w:t>
      </w:r>
      <w:r>
        <w:rPr>
          <w:rFonts w:hint="eastAsia" w:ascii="宋体" w:hAnsi="宋体" w:cs="宋体"/>
          <w:b/>
          <w:bCs/>
          <w:sz w:val="24"/>
          <w:szCs w:val="24"/>
          <w:highlight w:val="none"/>
        </w:rPr>
        <w:t xml:space="preserve">（格式见附件，法定代表人亲自参加投标的除外）</w:t>
      </w:r>
      <w:r>
        <w:rPr>
          <w:rFonts w:hint="eastAsia" w:ascii="宋体" w:hAnsi="宋体" w:cs="宋体"/>
          <w:bCs/>
          <w:sz w:val="24"/>
          <w:szCs w:val="24"/>
          <w:highlight w:val="none"/>
        </w:rPr>
        <w:t xml:space="preserve">；</w:t>
      </w:r>
      <w:r/>
    </w:p>
    <w:p>
      <w:pPr>
        <w:ind w:firstLine="480"/>
        <w:spacing w:line="360" w:lineRule="auto"/>
        <w:tabs>
          <w:tab w:val="left" w:pos="945" w:leader="none"/>
          <w:tab w:val="left" w:pos="127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（4）投标人法定代表人身份证扫描件（正、反面）；</w:t>
      </w:r>
      <w:r/>
    </w:p>
    <w:p>
      <w:pPr>
        <w:ind w:firstLine="480"/>
        <w:spacing w:line="360" w:lineRule="auto"/>
        <w:tabs>
          <w:tab w:val="left" w:pos="945" w:leader="none"/>
          <w:tab w:val="left" w:pos="127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（5）投标人法定代表人授权代表身份证</w:t>
      </w:r>
      <w:r>
        <w:rPr>
          <w:rFonts w:hint="eastAsia" w:ascii="宋体" w:hAnsi="宋体" w:cs="宋体"/>
          <w:sz w:val="24"/>
          <w:szCs w:val="24"/>
          <w:highlight w:val="none"/>
        </w:rPr>
        <w:t xml:space="preserve">扫描件</w:t>
      </w:r>
      <w:r>
        <w:rPr>
          <w:rFonts w:hint="eastAsia" w:ascii="宋体" w:hAnsi="宋体" w:cs="宋体"/>
          <w:bCs/>
          <w:sz w:val="24"/>
          <w:szCs w:val="24"/>
          <w:highlight w:val="none"/>
        </w:rPr>
        <w:t xml:space="preserve">（正、反面，法定代表人亲自参加投标的除外）；</w:t>
      </w:r>
      <w:r/>
    </w:p>
    <w:p>
      <w:pPr>
        <w:ind w:firstLine="480"/>
        <w:spacing w:line="360" w:lineRule="auto"/>
        <w:tabs>
          <w:tab w:val="left" w:pos="1050" w:leader="none"/>
        </w:tabs>
        <w:rPr>
          <w:rFonts w:hint="eastAsia" w:ascii="宋体" w:hAnsi="宋体" w:cs="宋体"/>
          <w:bCs/>
          <w:sz w:val="24"/>
          <w:szCs w:val="24"/>
          <w:highlight w:val="none"/>
        </w:rPr>
      </w:pPr>
      <w:r/>
      <w:bookmarkStart w:id="20" w:name="_Hlk39128912"/>
      <w:r>
        <w:rPr>
          <w:rFonts w:hint="eastAsia" w:ascii="宋体" w:hAnsi="宋体" w:cs="宋体"/>
          <w:bCs/>
          <w:sz w:val="24"/>
          <w:szCs w:val="24"/>
          <w:highlight w:val="none"/>
        </w:rPr>
        <w:t xml:space="preserve">（6）投标人近三个月中任意一个月份（不含开标当月）的财务状况报告（资产负债表和利润表）或由会计师事务所出具的近两年中任意一个年度的审计报告和所附已审财务报告扫描件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新成立的公司</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企业</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除外；</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（7）投标人近三个月中任意一个月份（不含开标当月）的依法缴纳税收的相关材料（提供相关主管部门证明或银行代扣证明）扫描件</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新成立的公司（企业）除外；</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（8）投标人近三个月中任意一个月份（不含开标当月）的依法缴纳社会保障资金的相关材料（提供相关主管部门证明或银行代扣证明）扫描件</w:t>
      </w:r>
      <w:bookmarkEnd w:id="20"/>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新成立的公司（企业）除外；</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（9）承诺书</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）采购人要求的特定资质证明扫描件</w:t>
      </w:r>
      <w:r>
        <w:rPr>
          <w:rFonts w:hint="eastAsia" w:ascii="宋体" w:hAnsi="宋体" w:cs="宋体"/>
          <w:b/>
          <w:bCs w:val="0"/>
          <w:sz w:val="24"/>
          <w:szCs w:val="24"/>
          <w:highlight w:val="none"/>
        </w:rPr>
        <w:t xml:space="preserve">（详见“投标邀请函”-“供应商资格要求”之</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rPr>
        <w:t xml:space="preserve">中要求）</w:t>
      </w:r>
      <w:r>
        <w:rPr>
          <w:rFonts w:hint="eastAsia" w:ascii="宋体" w:hAnsi="宋体" w:cs="宋体"/>
          <w:bCs/>
          <w:sz w:val="24"/>
          <w:szCs w:val="24"/>
          <w:highlight w:val="none"/>
          <w:lang w:eastAsia="zh-CN"/>
        </w:rPr>
        <w:t xml:space="preserve">；</w:t>
      </w:r>
      <w:r/>
    </w:p>
    <w:p>
      <w:pPr>
        <w:ind w:firstLine="480"/>
        <w:spacing w:line="360" w:lineRule="auto"/>
        <w:tabs>
          <w:tab w:val="left" w:pos="1050"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．服务保障承诺</w:t>
      </w:r>
      <w:r>
        <w:rPr>
          <w:rFonts w:hint="eastAsia" w:ascii="宋体" w:hAnsi="宋体" w:cs="宋体"/>
          <w:b/>
          <w:bCs/>
          <w:sz w:val="24"/>
          <w:szCs w:val="24"/>
          <w:highlight w:val="none"/>
        </w:rPr>
        <w:t xml:space="preserve">（格式见附件）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．投标供应商基本情况表</w:t>
      </w:r>
      <w:r>
        <w:rPr>
          <w:rFonts w:hint="eastAsia" w:ascii="宋体" w:hAnsi="宋体" w:cs="宋体"/>
          <w:b/>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w:t>
      </w:r>
      <w:r>
        <w:rPr>
          <w:rFonts w:hint="eastAsia" w:ascii="宋体" w:hAnsi="宋体" w:cs="宋体"/>
          <w:bCs/>
          <w:color w:val="000000"/>
          <w:sz w:val="24"/>
          <w:szCs w:val="24"/>
          <w:highlight w:val="none"/>
        </w:rPr>
        <w:t xml:space="preserve">主要人员配置表</w:t>
      </w:r>
      <w:r>
        <w:rPr>
          <w:rFonts w:hint="eastAsia" w:ascii="宋体" w:hAnsi="宋体" w:cs="宋体"/>
          <w:b/>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．中小企业声明函或残疾人福利性单位声明函（格式见附件）或由省级以上监狱管理局、戒毒管理局出具的属于监狱企业的证明文件</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如有，</w:t>
      </w:r>
      <w:r>
        <w:rPr>
          <w:rFonts w:hint="eastAsia" w:ascii="宋体" w:hAnsi="宋体" w:cs="宋体"/>
          <w:b/>
          <w:sz w:val="24"/>
          <w:szCs w:val="24"/>
          <w:highlight w:val="none"/>
        </w:rPr>
        <w:t xml:space="preserve">格式见附件</w:t>
      </w:r>
      <w:r>
        <w:rPr>
          <w:rFonts w:hint="eastAsia" w:ascii="宋体" w:hAnsi="宋体" w:cs="宋体"/>
          <w:b/>
          <w:sz w:val="24"/>
          <w:szCs w:val="24"/>
          <w:highlight w:val="none"/>
          <w:lang w:eastAsia="zh-CN"/>
        </w:rPr>
        <w:t xml:space="preserve">）</w:t>
      </w:r>
      <w:r>
        <w:rPr>
          <w:rFonts w:hint="eastAsia" w:ascii="宋体" w:hAnsi="宋体" w:cs="宋体"/>
          <w:bCs/>
          <w:sz w:val="24"/>
          <w:szCs w:val="24"/>
          <w:highlight w:val="none"/>
        </w:rPr>
        <w:t xml:space="preserve">；</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提供第三章项目需求和有关要求需提供的相关证明材料（如有，格式自拟并自行添加）</w:t>
      </w:r>
      <w:r/>
    </w:p>
    <w:p>
      <w:pPr>
        <w:ind w:firstLine="480"/>
        <w:spacing w:line="360" w:lineRule="auto"/>
        <w:tabs>
          <w:tab w:val="left" w:pos="1260"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10</w:t>
      </w:r>
      <w:r>
        <w:rPr>
          <w:rFonts w:hint="eastAsia" w:ascii="宋体" w:hAnsi="宋体" w:eastAsia="宋体" w:cs="宋体"/>
          <w:bCs/>
          <w:sz w:val="24"/>
          <w:szCs w:val="24"/>
          <w:highlight w:val="none"/>
          <w:lang w:val="en-US" w:eastAsia="zh-CN"/>
        </w:rPr>
        <w:t xml:space="preserve">．技术方案</w:t>
      </w:r>
      <w:r/>
    </w:p>
    <w:p>
      <w:pPr>
        <w:ind w:firstLine="480"/>
        <w:spacing w:line="360" w:lineRule="auto"/>
        <w:tabs>
          <w:tab w:val="left" w:pos="1260"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rPr>
        <w:t xml:space="preserve">评分标准中对应的所需证明材料（如有自行添加，格式自拟）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．要求采购人提供的配合（如有自行添加，格式自拟）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六</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投标文件的制作：</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2．投标文件由投标人按给定格式如实填写</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编写</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，须有法人</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盖章</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3．如无特别说明，投标人报价一律以人民币为投标结算货币，结算单位为“元”。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4．投标文件格式部分，应由投标人按给定格式提供，不得更改。</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6．投标费用自理。</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七</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网上投标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2.投标人应对CA数字证书妥善保管，如被他人盗用投标，后果自负。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6.供应商进行网上投标请参照《政府采购项目电子交易管理操作指南</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供应商》。</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八</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无效投标文件的确认：</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供应商有下列情况之一者，投标文件无效：</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1.电子投标文件未按规定期限上传（递交）的；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2.电子投标文件未按招标文件要求签章的；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3.供应商未按招标文件要求解密电子投标文件的；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4.供应商的法定代表人授权代表，无法定代表人授权委托书的；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5.供应商的法定代表人或被授权代表，未准时参加开标会议的；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6.不具备招标文件中规定的资格要求或未按招标文件规定的要求提供资格、资信证明文件的；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7.被“信用中国”网站（www.creditchina.gov.cn）、中国政府采购网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www.ccgp.gov.cn</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列入失信被执行人、重大税收违法案件当事人名单、政府采购严重违法失信行为记录名单的；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8.投标文件未按招标文件规定的内容和要求填写的；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9.投标文件书写潦草、字迹模糊不清、无法辨认的；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10.投标文件中有招标文件未允许提供的选择性内容；</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11.不同供应商委托同一单位或者个人办理投标事宜的；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12.不同供应商的单位负责人为同一人或者存在直接控股、管理关系的；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13.不同供应商的投标文件存在明显的相似性或一致性，特征显示由同一单位或者同一个人编制的；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16.供应商提交两个（含）以上不同的投标报价或项目（标段）投标总价超过本项目（标段）预算或最高限价的；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17.提供虚假材料的（包括工商营业执照、财务报表、资格证明文件等）；</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18.投标文件含有供应商不能接受的附加条件的；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19.评标委员会认定供应商的报价明显低于其他通过符合性审查供应商的报价，有可能影响产品质量或者不能诚信履约，应当要求其在合理的时间（半小时）内通过苏采云平台（使用“CA数字证书”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加盖电子签章）提供书面说明，必要时提交相关证明材料；供应商不能证明其报价合理性的，评审小组应当将其作为无效响应处理；</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20.除单一来源采购项目外，为采购项目提供整体设计、规范编制或者项目管理、监理、检测等服务的；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21.未通过符合性审查的；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22.投标文件内容不全或不符合招标文件中规定的其他实质性要求的；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23.未按要求提供第三章项目要求和有关说明中须提供的相关证明材料的；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24.暗标未按招标文件要求编制的；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25.法律法规和招标文件规定的其他无效情形。</w:t>
      </w:r>
      <w:r/>
    </w:p>
    <w:p>
      <w:pPr>
        <w:ind w:firstLine="482"/>
        <w:spacing w:line="360" w:lineRule="auto"/>
        <w:rPr>
          <w:rFonts w:hint="eastAsia" w:ascii="宋体" w:hAnsi="宋体" w:cs="宋体"/>
          <w:b/>
          <w:sz w:val="24"/>
          <w:szCs w:val="24"/>
          <w:highlight w:val="none"/>
        </w:rPr>
        <w:outlineLvl w:val="1"/>
      </w:pPr>
      <w:r/>
      <w:bookmarkStart w:id="21" w:name="_Toc14884"/>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九</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开标、评标：</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2．投标截止时间后参加投标的供应商或解密投标文件的供应商不足三家的，不开标；不进行开评标。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3.投标文件的审查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1</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投标文件报价出现前后不一致的，按照下列规定修正：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2</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3</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投标人未参加开标的，视同认可开标结果。</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4．评标程序</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1</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投标文件初审。初审分为资格性检查和符合性检查。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b/>
          <w:sz w:val="24"/>
          <w:highlight w:val="none"/>
        </w:rPr>
        <w:t xml:space="preserve">资格性审查表</w:t>
      </w:r>
      <w:r/>
    </w:p>
    <w:tbl>
      <w:tblPr>
        <w:tblStyle w:val="1324"/>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jc w:val="center"/>
        </w:trPr>
        <w:tc>
          <w:tcPr>
            <w:tcW w:w="923" w:type="dxa"/>
            <w:vAlign w:val="center"/>
            <w:textDirection w:val="lrTb"/>
            <w:noWrap w:val="false"/>
          </w:tcPr>
          <w:p>
            <w:pPr>
              <w:jc w:val="center"/>
              <w:spacing w:line="360" w:lineRule="auto"/>
              <w:tabs>
                <w:tab w:val="left" w:pos="525" w:leader="none"/>
                <w:tab w:val="left" w:pos="1050" w:leader="none"/>
              </w:tabs>
              <w:rPr>
                <w:rFonts w:hint="eastAsia" w:ascii="宋体" w:hAnsi="宋体" w:cs="宋体"/>
                <w:bCs/>
                <w:sz w:val="24"/>
                <w:szCs w:val="24"/>
                <w:highlight w:val="none"/>
              </w:rPr>
            </w:pPr>
            <w:r>
              <w:rPr>
                <w:rFonts w:ascii="宋体" w:hAnsi="宋体"/>
                <w:b/>
                <w:bCs/>
                <w:sz w:val="24"/>
                <w:szCs w:val="24"/>
                <w:highlight w:val="none"/>
              </w:rPr>
              <w:t xml:space="preserve">序号</w:t>
            </w:r>
            <w:r/>
          </w:p>
        </w:tc>
        <w:tc>
          <w:tcPr>
            <w:gridSpan w:val="2"/>
            <w:tcW w:w="8556" w:type="dxa"/>
            <w:vAlign w:val="center"/>
            <w:textDirection w:val="lrTb"/>
            <w:noWrap w:val="false"/>
          </w:tcPr>
          <w:p>
            <w:pPr>
              <w:jc w:val="center"/>
              <w:spacing w:line="360" w:lineRule="auto"/>
              <w:tabs>
                <w:tab w:val="left" w:pos="525" w:leader="none"/>
                <w:tab w:val="left" w:pos="1050" w:leader="none"/>
              </w:tabs>
              <w:rPr>
                <w:rFonts w:hint="eastAsia" w:ascii="宋体" w:hAnsi="宋体" w:cs="宋体"/>
                <w:bCs/>
                <w:sz w:val="24"/>
                <w:szCs w:val="24"/>
                <w:highlight w:val="none"/>
              </w:rPr>
            </w:pPr>
            <w:r>
              <w:rPr>
                <w:rFonts w:ascii="宋体" w:hAnsi="宋体"/>
                <w:b/>
                <w:bCs/>
                <w:sz w:val="24"/>
                <w:szCs w:val="24"/>
                <w:highlight w:val="none"/>
              </w:rPr>
              <w:t xml:space="preserve">资格审查内容</w:t>
            </w:r>
            <w:r/>
          </w:p>
        </w:tc>
      </w:tr>
      <w:tr>
        <w:trPr>
          <w:jc w:val="center"/>
          <w:trHeight w:val="632"/>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1</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关于资格的声明函</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格式见附件</w:t>
            </w:r>
            <w:r/>
          </w:p>
        </w:tc>
      </w:tr>
      <w:tr>
        <w:trPr>
          <w:jc w:val="center"/>
          <w:trHeight w:val="966"/>
        </w:trPr>
        <w:tc>
          <w:tcPr>
            <w:tcW w:w="923" w:type="dxa"/>
            <w:vAlign w:val="center"/>
            <w:textDirection w:val="lrTb"/>
            <w:noWrap w:val="false"/>
          </w:tcPr>
          <w:p>
            <w:pPr>
              <w:jc w:val="center"/>
              <w:rPr>
                <w:rFonts w:hint="eastAsia" w:ascii="宋体" w:hAnsi="宋体" w:cs="宋体"/>
                <w:bCs/>
                <w:sz w:val="24"/>
                <w:szCs w:val="24"/>
                <w:highlight w:val="none"/>
              </w:rPr>
            </w:pPr>
            <w:r>
              <w:rPr>
                <w:rFonts w:ascii="宋体" w:hAnsi="宋体"/>
                <w:sz w:val="24"/>
                <w:szCs w:val="24"/>
                <w:highlight w:val="none"/>
              </w:rPr>
              <w:t xml:space="preserve">2</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具有独立承担民事责任的能力</w:t>
            </w:r>
            <w:r/>
          </w:p>
        </w:tc>
        <w:tc>
          <w:tcPr>
            <w:tcW w:w="4911" w:type="dxa"/>
            <w:vAlign w:val="center"/>
            <w:textDirection w:val="lrTb"/>
            <w:noWrap w:val="false"/>
          </w:tcPr>
          <w:p>
            <w:pPr>
              <w:jc w:val="left"/>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具有独立承担民事责任能力的供应商营业执照或相关部门的登记证明文件扫描件</w:t>
            </w:r>
            <w:r/>
          </w:p>
        </w:tc>
      </w:tr>
      <w:tr>
        <w:trPr>
          <w:jc w:val="center"/>
          <w:trHeight w:val="794"/>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3</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供应商法定代表人授权委托书</w:t>
            </w:r>
            <w:r/>
          </w:p>
        </w:tc>
        <w:tc>
          <w:tcPr>
            <w:tcW w:w="4911" w:type="dxa"/>
            <w:vAlign w:val="center"/>
            <w:textDirection w:val="lrTb"/>
            <w:noWrap w:val="false"/>
          </w:tcPr>
          <w:p>
            <w:pPr>
              <w:jc w:val="left"/>
              <w:tabs>
                <w:tab w:val="left" w:pos="1050" w:leader="none"/>
              </w:tabs>
              <w:rPr>
                <w:rFonts w:hint="eastAsia" w:ascii="宋体" w:hAnsi="宋体" w:cs="宋体"/>
                <w:bCs/>
                <w:sz w:val="24"/>
                <w:szCs w:val="24"/>
                <w:highlight w:val="none"/>
              </w:rPr>
            </w:pPr>
            <w:r>
              <w:rPr>
                <w:rFonts w:hint="eastAsia" w:ascii="宋体" w:hAnsi="宋体" w:cs="宋体"/>
                <w:b/>
                <w:bCs/>
                <w:sz w:val="24"/>
                <w:szCs w:val="24"/>
                <w:highlight w:val="none"/>
              </w:rPr>
              <w:t xml:space="preserve">法定代表人亲自参与投标的除外，格式见附件</w:t>
            </w:r>
            <w:r/>
          </w:p>
        </w:tc>
      </w:tr>
      <w:tr>
        <w:trPr>
          <w:jc w:val="center"/>
          <w:trHeight w:val="572"/>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4</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供应商法定代表人身份证扫描件</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身份证应为正、反面</w:t>
            </w:r>
            <w:r/>
          </w:p>
        </w:tc>
      </w:tr>
      <w:tr>
        <w:trPr>
          <w:jc w:val="center"/>
          <w:trHeight w:val="884"/>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5</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供应商法定代表人授权代表身份证扫描件</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身份证应为正、反面，法定代表人亲自参加投标的除外</w:t>
            </w:r>
            <w:r/>
          </w:p>
        </w:tc>
      </w:tr>
      <w:tr>
        <w:trPr>
          <w:jc w:val="center"/>
          <w:trHeight w:val="1765"/>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6</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具有良好的商业信誉和健全的财务会计制度</w:t>
            </w:r>
            <w:r/>
          </w:p>
        </w:tc>
        <w:tc>
          <w:tcPr>
            <w:tcW w:w="4911" w:type="dxa"/>
            <w:vAlign w:val="center"/>
            <w:textDirection w:val="lrTb"/>
            <w:noWrap w:val="false"/>
          </w:tcPr>
          <w:p>
            <w:pPr>
              <w:jc w:val="left"/>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供应商近三个月中任意一个月份（不含开标当月）的财务状况报告（资产负债表和利润表）或由会计师事务所出具的近两年中任意一个年度的审计报告和所附已审财务报告扫描件</w:t>
            </w:r>
            <w:r>
              <w:rPr>
                <w:rFonts w:hint="eastAsia" w:ascii="宋体" w:hAnsi="宋体" w:cs="宋体"/>
                <w:sz w:val="24"/>
                <w:szCs w:val="24"/>
                <w:highlight w:val="none"/>
              </w:rPr>
              <w:t xml:space="preserve">，新成立的公司（企业）除外</w:t>
            </w:r>
            <w:r/>
          </w:p>
        </w:tc>
      </w:tr>
      <w:tr>
        <w:trPr>
          <w:jc w:val="center"/>
          <w:trHeight w:val="1508"/>
        </w:trPr>
        <w:tc>
          <w:tcPr>
            <w:tcW w:w="923" w:type="dxa"/>
            <w:vAlign w:val="center"/>
            <w:textDirection w:val="lrTb"/>
            <w:noWrap w:val="false"/>
          </w:tcPr>
          <w:p>
            <w:pPr>
              <w:jc w:val="center"/>
              <w:rPr>
                <w:rFonts w:hint="eastAsia" w:ascii="宋体" w:hAnsi="宋体" w:cs="宋体"/>
                <w:bCs/>
                <w:sz w:val="24"/>
                <w:szCs w:val="24"/>
                <w:highlight w:val="none"/>
              </w:rPr>
            </w:pPr>
            <w:r>
              <w:rPr>
                <w:rFonts w:ascii="宋体" w:hAnsi="宋体"/>
                <w:sz w:val="24"/>
                <w:szCs w:val="24"/>
                <w:highlight w:val="none"/>
              </w:rPr>
              <w:t xml:space="preserve">7</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具有依法缴纳税收的良好记录</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供应商近三个月中任意一个月份（不含开标当月）的依法缴纳税收的相关材料（提供相关主管部门证明或银行代扣证明）扫描件</w:t>
            </w:r>
            <w:r>
              <w:rPr>
                <w:rFonts w:hint="eastAsia" w:ascii="宋体" w:hAnsi="宋体" w:cs="宋体"/>
                <w:sz w:val="24"/>
                <w:szCs w:val="24"/>
                <w:highlight w:val="none"/>
              </w:rPr>
              <w:t xml:space="preserve">，新成立的公司（企业）除外</w:t>
            </w:r>
            <w:r/>
          </w:p>
        </w:tc>
      </w:tr>
      <w:tr>
        <w:trPr>
          <w:jc w:val="center"/>
          <w:trHeight w:val="1498"/>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8</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具有依法缴纳社会保障资金的良好记录</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供应商近三个月中任意一个月份（不含开标当月）的依法缴纳社会保障资金的相关材料（提供相关主管部门证明或银行代扣证明）扫描件</w:t>
            </w:r>
            <w:r>
              <w:rPr>
                <w:rFonts w:hint="eastAsia" w:ascii="宋体" w:hAnsi="宋体" w:cs="宋体"/>
                <w:sz w:val="24"/>
                <w:szCs w:val="24"/>
                <w:highlight w:val="none"/>
              </w:rPr>
              <w:t xml:space="preserve">，新成立的公司（企业）除外</w:t>
            </w:r>
            <w:r/>
          </w:p>
        </w:tc>
      </w:tr>
      <w:tr>
        <w:trPr>
          <w:jc w:val="center"/>
          <w:trHeight w:val="672"/>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9</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承诺书</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格式见附件</w:t>
            </w:r>
            <w:r/>
          </w:p>
        </w:tc>
      </w:tr>
      <w:tr>
        <w:trPr>
          <w:jc w:val="center"/>
          <w:trHeight w:val="719"/>
        </w:trPr>
        <w:tc>
          <w:tcPr>
            <w:tcW w:w="923" w:type="dxa"/>
            <w:vAlign w:val="center"/>
            <w:textDirection w:val="lrTb"/>
            <w:noWrap w:val="false"/>
          </w:tcPr>
          <w:p>
            <w:pPr>
              <w:jc w:val="center"/>
              <w:rPr>
                <w:rFonts w:hint="eastAsia" w:ascii="宋体" w:hAnsi="宋体" w:cs="宋体"/>
                <w:bCs/>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0</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落实政府采购政策需满足的资格要求</w:t>
            </w:r>
            <w:r/>
          </w:p>
        </w:tc>
        <w:tc>
          <w:tcPr>
            <w:tcW w:w="4911" w:type="dxa"/>
            <w:vAlign w:val="center"/>
            <w:textDirection w:val="lrTb"/>
            <w:noWrap w:val="false"/>
          </w:tcPr>
          <w:p>
            <w:pPr>
              <w:jc w:val="left"/>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 xml:space="preserve">无</w:t>
            </w:r>
            <w:r/>
          </w:p>
        </w:tc>
      </w:tr>
      <w:tr>
        <w:trPr>
          <w:jc w:val="center"/>
          <w:trHeight w:val="828"/>
        </w:trPr>
        <w:tc>
          <w:tcPr>
            <w:tcW w:w="92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11</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rPr>
              <w:t xml:space="preserve">特定资格要求</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无</w:t>
            </w:r>
            <w:r/>
          </w:p>
        </w:tc>
      </w:tr>
      <w:tr>
        <w:trPr>
          <w:jc w:val="center"/>
          <w:trHeight w:val="2923"/>
        </w:trPr>
        <w:tc>
          <w:tcPr>
            <w:tcW w:w="92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12</w:t>
            </w:r>
            <w:r/>
          </w:p>
        </w:tc>
        <w:tc>
          <w:tcPr>
            <w:tcW w:w="3645" w:type="dxa"/>
            <w:vAlign w:val="center"/>
            <w:textDirection w:val="lrTb"/>
            <w:noWrap w:val="false"/>
          </w:tcPr>
          <w:p>
            <w:pPr>
              <w:jc w:val="left"/>
              <w:rPr>
                <w:rFonts w:hint="eastAsia" w:ascii="宋体" w:hAnsi="宋体" w:cs="宋体"/>
                <w:sz w:val="24"/>
                <w:szCs w:val="24"/>
                <w:highlight w:val="none"/>
              </w:rPr>
            </w:pPr>
            <w:r>
              <w:rPr>
                <w:rFonts w:hint="eastAsia" w:ascii="宋体" w:hAnsi="宋体" w:cs="宋体"/>
                <w:sz w:val="24"/>
                <w:szCs w:val="24"/>
                <w:highlight w:val="none"/>
              </w:rPr>
              <w:t xml:space="preserve">信用记录</w:t>
            </w:r>
            <w:r/>
          </w:p>
          <w:p>
            <w:pPr>
              <w:pStyle w:val="1527"/>
              <w:rPr>
                <w:rFonts w:hint="eastAsia" w:ascii="宋体" w:hAnsi="宋体" w:cs="宋体"/>
                <w:bCs/>
                <w:sz w:val="24"/>
                <w:szCs w:val="24"/>
                <w:highlight w:val="none"/>
              </w:rPr>
            </w:pPr>
            <w:r>
              <w:rPr>
                <w:rFonts w:hint="eastAsia" w:ascii="宋体" w:hAnsi="宋体" w:cs="宋体"/>
                <w:color w:val="000000"/>
                <w:sz w:val="24"/>
                <w:szCs w:val="24"/>
                <w:highlight w:val="none"/>
              </w:rPr>
              <w:t xml:space="preserve">（由网上直接查询，供应商无需提供证明材料）</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供应商未被列入“信用中国”网站（www.creditchina.gov.cn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“失信被执行人或重大税收违法失信主体或政府采购严重违法失信行为”记录名单；不处于中国政府采购网（www.ccgp.gov.cn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“政府采购严重违法失信行为信息记录”中的禁止参加政府采购活动期间。（有上述处罚记录但处罚期已届满的，视为无记录，以代理机构评标当日查询结果为准）</w:t>
            </w:r>
            <w:r/>
          </w:p>
        </w:tc>
      </w:tr>
      <w:tr>
        <w:trPr>
          <w:jc w:val="center"/>
          <w:trHeight w:val="834"/>
        </w:trPr>
        <w:tc>
          <w:tcPr>
            <w:tcW w:w="923"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13</w:t>
            </w:r>
            <w:r/>
          </w:p>
        </w:tc>
        <w:tc>
          <w:tcPr>
            <w:tcW w:w="3645"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关于联合体投标</w:t>
            </w:r>
            <w:r/>
          </w:p>
        </w:tc>
        <w:tc>
          <w:tcPr>
            <w:tcW w:w="4911" w:type="dxa"/>
            <w:vAlign w:val="center"/>
            <w:textDirection w:val="lrTb"/>
            <w:noWrap w:val="false"/>
          </w:tcPr>
          <w:p>
            <w:pPr>
              <w:jc w:val="left"/>
              <w:rPr>
                <w:rFonts w:hint="eastAsia" w:ascii="宋体" w:hAnsi="宋体" w:cs="宋体"/>
                <w:bCs/>
                <w:sz w:val="24"/>
                <w:szCs w:val="24"/>
                <w:highlight w:val="none"/>
              </w:rPr>
            </w:pP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lang w:val="en-US" w:eastAsia="zh-CN"/>
              </w:rPr>
              <w:t xml:space="preserve">不</w:t>
            </w:r>
            <w:r>
              <w:rPr>
                <w:rFonts w:hint="eastAsia" w:ascii="宋体" w:hAnsi="宋体" w:cs="宋体"/>
                <w:b/>
                <w:bCs/>
                <w:sz w:val="24"/>
                <w:szCs w:val="24"/>
                <w:highlight w:val="none"/>
                <w:u w:val="single"/>
              </w:rPr>
              <w:t xml:space="preserve">接受</w:t>
            </w:r>
            <w:r>
              <w:rPr>
                <w:rFonts w:hint="eastAsia" w:ascii="宋体" w:hAnsi="宋体" w:cs="宋体"/>
                <w:sz w:val="24"/>
                <w:szCs w:val="24"/>
                <w:highlight w:val="none"/>
              </w:rPr>
              <w:t xml:space="preserve">联合体投标；不允许分包、转包</w:t>
            </w:r>
            <w:r/>
          </w:p>
        </w:tc>
      </w:tr>
    </w:tbl>
    <w:p>
      <w:pPr>
        <w:ind w:firstLine="482"/>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
          <w:sz w:val="24"/>
          <w:szCs w:val="24"/>
          <w:highlight w:val="none"/>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hint="eastAsia" w:ascii="宋体" w:hAnsi="宋体"/>
          <w:b/>
          <w:sz w:val="24"/>
          <w:highlight w:val="none"/>
        </w:rPr>
      </w:pPr>
      <w:r>
        <w:rPr>
          <w:rFonts w:hint="eastAsia" w:ascii="宋体" w:hAnsi="宋体"/>
          <w:b/>
          <w:sz w:val="24"/>
          <w:highlight w:val="none"/>
        </w:rPr>
        <w:t xml:space="preserve">符合性审查表</w:t>
      </w:r>
      <w:r/>
    </w:p>
    <w:tbl>
      <w:tblPr>
        <w:tblStyle w:val="1324"/>
        <w:tblW w:w="929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jc w:val="center"/>
          <w:trHeight w:val="459"/>
        </w:trPr>
        <w:tc>
          <w:tcPr>
            <w:tcW w:w="822"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序号</w:t>
            </w:r>
            <w:r/>
          </w:p>
        </w:tc>
        <w:tc>
          <w:tcPr>
            <w:tcW w:w="2992"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评审点要求概况</w:t>
            </w:r>
            <w:r/>
          </w:p>
        </w:tc>
        <w:tc>
          <w:tcPr>
            <w:tcW w:w="5485"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评审点具体描述</w:t>
            </w:r>
            <w:r/>
          </w:p>
        </w:tc>
      </w:tr>
      <w:tr>
        <w:trPr>
          <w:jc w:val="center"/>
          <w:trHeight w:val="648"/>
        </w:trPr>
        <w:tc>
          <w:tcPr>
            <w:tcW w:w="82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1</w:t>
            </w:r>
            <w:r/>
          </w:p>
        </w:tc>
        <w:tc>
          <w:tcPr>
            <w:tcW w:w="2992" w:type="dxa"/>
            <w:vAlign w:val="center"/>
            <w:textDirection w:val="lrTb"/>
            <w:noWrap w:val="false"/>
          </w:tcPr>
          <w:p>
            <w:pPr>
              <w:jc w:val="center"/>
              <w:rPr>
                <w:rFonts w:hint="eastAsia" w:ascii="宋体" w:hAnsi="宋体"/>
                <w:b/>
                <w:bCs/>
                <w:sz w:val="24"/>
                <w:szCs w:val="24"/>
                <w:highlight w:val="none"/>
              </w:rPr>
            </w:pPr>
            <w:r>
              <w:rPr>
                <w:rFonts w:hint="eastAsia" w:ascii="宋体" w:hAnsi="宋体"/>
                <w:sz w:val="24"/>
                <w:szCs w:val="24"/>
                <w:highlight w:val="none"/>
              </w:rPr>
              <w:t xml:space="preserve">投标函</w:t>
            </w:r>
            <w:r/>
          </w:p>
        </w:tc>
        <w:tc>
          <w:tcPr>
            <w:tcW w:w="5485" w:type="dxa"/>
            <w:vAlign w:val="center"/>
            <w:textDirection w:val="lrTb"/>
            <w:noWrap w:val="false"/>
          </w:tcPr>
          <w:p>
            <w:pPr>
              <w:jc w:val="left"/>
              <w:rPr>
                <w:rFonts w:ascii="宋体" w:hAnsi="宋体"/>
                <w:b/>
                <w:bCs/>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2</w:t>
            </w:r>
            <w:r/>
          </w:p>
        </w:tc>
        <w:tc>
          <w:tcPr>
            <w:tcW w:w="2992" w:type="dxa"/>
            <w:vAlign w:val="center"/>
            <w:textDirection w:val="lrTb"/>
            <w:noWrap w:val="false"/>
          </w:tcPr>
          <w:p>
            <w:pPr>
              <w:jc w:val="center"/>
              <w:rPr>
                <w:rFonts w:hint="eastAsia" w:ascii="宋体" w:hAnsi="宋体"/>
                <w:sz w:val="24"/>
                <w:szCs w:val="24"/>
                <w:highlight w:val="none"/>
              </w:rPr>
            </w:pPr>
            <w:r>
              <w:rPr>
                <w:rFonts w:hint="eastAsia" w:ascii="宋体" w:hAnsi="宋体" w:cs="宋体"/>
                <w:bCs/>
                <w:sz w:val="24"/>
                <w:szCs w:val="24"/>
                <w:highlight w:val="none"/>
              </w:rPr>
              <w:t xml:space="preserve">开标一览表</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本表无需上传，评审时以苏采云系统自带的开标一览表为准</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服务保障承诺书</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投标偏离表</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投标供应商基本情况表</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6</w:t>
            </w:r>
            <w:r/>
          </w:p>
        </w:tc>
        <w:tc>
          <w:tcPr>
            <w:tcW w:w="2992"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主要人员配置表</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p>
        </w:tc>
        <w:tc>
          <w:tcPr>
            <w:tcW w:w="2992"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sz w:val="24"/>
                <w:szCs w:val="24"/>
                <w:highlight w:val="none"/>
              </w:rPr>
              <w:t xml:space="preserve">满足采购文件第三章项目技术要求和有关说明</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cs="宋体"/>
                <w:bCs/>
                <w:sz w:val="24"/>
                <w:szCs w:val="24"/>
                <w:highlight w:val="none"/>
              </w:rPr>
              <w:t xml:space="preserve">按招标文件要求</w:t>
            </w:r>
            <w:r>
              <w:rPr>
                <w:rFonts w:hint="eastAsia" w:ascii="宋体" w:hAnsi="宋体" w:cs="宋体"/>
                <w:sz w:val="24"/>
                <w:szCs w:val="24"/>
                <w:highlight w:val="none"/>
              </w:rPr>
              <w:t xml:space="preserve">提供相关证明材料</w:t>
            </w:r>
            <w:r/>
          </w:p>
        </w:tc>
      </w:tr>
      <w:tr>
        <w:trPr>
          <w:jc w:val="center"/>
          <w:trHeight w:val="653"/>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8</w:t>
            </w:r>
            <w:r/>
          </w:p>
        </w:tc>
        <w:tc>
          <w:tcPr>
            <w:tcW w:w="299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投标文件内容</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不存在供应商须知第八条中的情形</w:t>
            </w:r>
            <w:r/>
          </w:p>
        </w:tc>
      </w:tr>
    </w:tbl>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2</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3</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5．评标方法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评标委员会遵循公平、公正、择优原则，独立按照评分标准分别评定供应商的分值</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6．评标标准：详见附件。</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十</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定标：</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1．评标委员会根据招标文件规定的评标方法和评标标准进行评审，按评审得分由高到低的原则推荐中标候选人，</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将在无锡市公共资源交易中心锡山分中心政府采购专栏、无锡市公共资源交易中心政府采购专栏、无锡政府采购网和江苏政府采购网上发布中标公告。</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和评标委员会对未中标原因不作解释。</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2．在发布中标公告的同时，</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十一</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废标的确认：</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4．因重大变故，采购任务取消。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十二</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中标无效的确认：</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提供虚假材料谋取中标的；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②</w:t>
      </w:r>
      <w:r>
        <w:rPr>
          <w:rFonts w:hint="eastAsia" w:ascii="宋体" w:hAnsi="宋体" w:cs="宋体"/>
          <w:bCs/>
          <w:sz w:val="24"/>
          <w:szCs w:val="24"/>
          <w:highlight w:val="none"/>
        </w:rPr>
        <w:t xml:space="preserve">采取不正当手段诋毁、排挤其他投标人的；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③</w:t>
      </w:r>
      <w:r>
        <w:rPr>
          <w:rFonts w:hint="eastAsia" w:ascii="宋体" w:hAnsi="宋体" w:cs="宋体"/>
          <w:bCs/>
          <w:sz w:val="24"/>
          <w:szCs w:val="24"/>
          <w:highlight w:val="none"/>
        </w:rPr>
        <w:t xml:space="preserve">与招标采购单位、其他投标人恶意串通的；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④</w:t>
      </w:r>
      <w:r>
        <w:rPr>
          <w:rFonts w:hint="eastAsia" w:ascii="宋体" w:hAnsi="宋体" w:cs="宋体"/>
          <w:bCs/>
          <w:sz w:val="24"/>
          <w:szCs w:val="24"/>
          <w:highlight w:val="none"/>
        </w:rPr>
        <w:t xml:space="preserve">向招标采购单位行贿或者提供其他不正当利益的；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⑥</w:t>
      </w:r>
      <w:r>
        <w:rPr>
          <w:rFonts w:hint="eastAsia" w:ascii="宋体" w:hAnsi="宋体" w:cs="宋体"/>
          <w:bCs/>
          <w:sz w:val="24"/>
          <w:szCs w:val="24"/>
          <w:highlight w:val="none"/>
        </w:rPr>
        <w:t xml:space="preserve">拒绝有关部门监督检查或者提供虚假情况的。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投标人有上述</w:t>
      </w: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至</w:t>
      </w:r>
      <w:r>
        <w:rPr>
          <w:rFonts w:hint="eastAsia" w:ascii="宋体" w:hAnsi="宋体" w:cs="宋体"/>
          <w:bCs/>
          <w:sz w:val="24"/>
          <w:szCs w:val="24"/>
          <w:highlight w:val="none"/>
          <w:lang w:val="en-US" w:eastAsia="zh-CN"/>
        </w:rPr>
        <w:t xml:space="preserve">⑤</w:t>
      </w:r>
      <w:r>
        <w:rPr>
          <w:rFonts w:hint="eastAsia" w:ascii="宋体" w:hAnsi="宋体" w:cs="宋体"/>
          <w:bCs/>
          <w:sz w:val="24"/>
          <w:szCs w:val="24"/>
          <w:highlight w:val="none"/>
        </w:rPr>
        <w:t xml:space="preserve">项情形之一的，中标无效。有上述</w:t>
      </w:r>
      <w:r>
        <w:rPr>
          <w:rFonts w:hint="eastAsia" w:ascii="宋体" w:hAnsi="宋体" w:cs="宋体"/>
          <w:bCs/>
          <w:sz w:val="24"/>
          <w:szCs w:val="24"/>
          <w:highlight w:val="none"/>
          <w:lang w:val="en-US" w:eastAsia="zh-CN"/>
        </w:rPr>
        <w:t xml:space="preserve">①</w:t>
      </w:r>
      <w:r>
        <w:rPr>
          <w:rFonts w:hint="eastAsia" w:ascii="宋体" w:hAnsi="宋体" w:cs="宋体"/>
          <w:bCs/>
          <w:sz w:val="24"/>
          <w:szCs w:val="24"/>
          <w:highlight w:val="none"/>
        </w:rPr>
        <w:t xml:space="preserve">至</w:t>
      </w:r>
      <w:r>
        <w:rPr>
          <w:rFonts w:hint="eastAsia" w:ascii="宋体" w:hAnsi="宋体" w:cs="宋体"/>
          <w:bCs/>
          <w:sz w:val="24"/>
          <w:szCs w:val="24"/>
          <w:highlight w:val="none"/>
          <w:lang w:val="en-US" w:eastAsia="zh-CN"/>
        </w:rPr>
        <w:t xml:space="preserve">⑥</w:t>
      </w:r>
      <w:r>
        <w:rPr>
          <w:rFonts w:hint="eastAsia" w:ascii="宋体" w:hAnsi="宋体" w:cs="宋体"/>
          <w:bCs/>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cs="宋体"/>
          <w:bCs/>
          <w:sz w:val="24"/>
          <w:szCs w:val="24"/>
          <w:highlight w:val="none"/>
        </w:rPr>
        <w:t xml:space="preserve">2．</w:t>
      </w:r>
      <w:r>
        <w:rPr>
          <w:rFonts w:hint="eastAsia" w:ascii="宋体" w:hAnsi="宋体" w:eastAsia="宋体" w:cs="宋体"/>
          <w:bCs/>
          <w:sz w:val="24"/>
          <w:szCs w:val="24"/>
          <w:highlight w:val="none"/>
        </w:rPr>
        <w:t xml:space="preserve">有下列情形之一的，视为投标人串通投标，投标无效：</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w:t>
      </w:r>
      <w:r>
        <w:rPr>
          <w:rFonts w:hint="eastAsia" w:ascii="宋体" w:hAnsi="宋体" w:eastAsia="宋体" w:cs="宋体"/>
          <w:bCs/>
          <w:sz w:val="24"/>
          <w:szCs w:val="24"/>
          <w:highlight w:val="none"/>
        </w:rPr>
        <w:t xml:space="preserve">不同投标人的投标文件由同一单位或者个人编制。</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不同投标人委托同一单位或者个人办理投标事宜。</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不同投标人的投标文件异常一致或者投标报价呈规律性差异。</w:t>
      </w:r>
      <w:r/>
    </w:p>
    <w:p>
      <w:pPr>
        <w:ind w:firstLine="482"/>
        <w:spacing w:line="360" w:lineRule="auto"/>
        <w:rPr>
          <w:rFonts w:hint="eastAsia" w:ascii="宋体" w:hAnsi="宋体" w:cs="宋体"/>
          <w:b/>
          <w:sz w:val="24"/>
          <w:szCs w:val="24"/>
          <w:highlight w:val="none"/>
        </w:rPr>
        <w:outlineLvl w:val="1"/>
      </w:pPr>
      <w:r/>
      <w:bookmarkStart w:id="22" w:name="_Toc32174"/>
      <w:r/>
      <w:bookmarkStart w:id="23" w:name="_Toc21337"/>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十三</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签订、履行合同：</w:t>
      </w:r>
      <w:bookmarkEnd w:id="22"/>
      <w:r/>
      <w:bookmarkEnd w:id="23"/>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3．中标供应商非因不可抗力未履行招、投标文件和合同规定的义务，一经查实，</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将根据具体情况提请政府采购管理部门作出相应处理。</w:t>
      </w:r>
      <w:r/>
    </w:p>
    <w:p>
      <w:pPr>
        <w:ind w:firstLine="482"/>
        <w:spacing w:line="360" w:lineRule="auto"/>
        <w:rPr>
          <w:rFonts w:hint="eastAsia" w:ascii="宋体" w:hAnsi="宋体" w:cs="宋体"/>
          <w:b/>
          <w:sz w:val="24"/>
          <w:szCs w:val="24"/>
          <w:highlight w:val="none"/>
        </w:rPr>
        <w:outlineLvl w:val="1"/>
      </w:pPr>
      <w:r/>
      <w:bookmarkStart w:id="24" w:name="_Toc598"/>
      <w:r/>
      <w:bookmarkStart w:id="25" w:name="_Toc28715"/>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十四</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注意事项：</w:t>
      </w:r>
      <w:bookmarkEnd w:id="24"/>
      <w:r/>
      <w:bookmarkEnd w:id="25"/>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（3）拒绝履行合同义务的。</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十五</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质疑处理：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1.提出质疑的供应商应当是参与所</w:t>
      </w:r>
      <w:r>
        <w:rPr>
          <w:rFonts w:hint="eastAsia" w:ascii="宋体" w:hAnsi="宋体" w:cs="宋体"/>
          <w:bCs/>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（3）对中标或者成交结果提出质疑的，为中标或者成交结果公告期限届满之日。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采购人、采购代理只接收以纸质原件形式送达的质疑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质疑供应商可通过面交或邮寄方式送达（采购人和采购代理不接受未填写快递运单的快件）。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采购人、采购代理联系人、联系方式、通信地址见招标文件第一章。</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5.以下情形的质疑不予受理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（1）内容不符合《政府采购质疑和投诉办法》第十二条规定的质疑。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（2）超出政府采购法定期限的质疑。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（3）以传真、电子邮件等方式递交的非原件形式的质疑。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（4）未参加投标活动的供应商或在投标活动中自身权益未受到损害的供应商所提出的质疑。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十六</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代理服务费：</w:t>
      </w:r>
      <w:r/>
    </w:p>
    <w:p>
      <w:pPr>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本项目代理费由采购人支付。</w:t>
      </w:r>
      <w:r>
        <w:rPr>
          <w:rFonts w:hint="eastAsia" w:ascii="宋体" w:hAnsi="宋体" w:eastAsia="宋体" w:cs="宋体"/>
          <w:b w:val="0"/>
          <w:bCs w:val="0"/>
          <w:color w:val="000000"/>
          <w:sz w:val="24"/>
          <w:szCs w:val="24"/>
          <w:highlight w:val="none"/>
        </w:rPr>
        <w:t xml:space="preserve">采购代理服务费收费标准为：按以下规定的标准和差额定率累进法进行计算收取，100万以下费率为1.5%；</w:t>
      </w:r>
      <w:r>
        <w:rPr>
          <w:rFonts w:hint="eastAsia" w:ascii="宋体" w:hAnsi="宋体" w:eastAsia="宋体" w:cs="宋体"/>
          <w:b w:val="0"/>
          <w:bCs w:val="0"/>
          <w:color w:val="000000"/>
          <w:sz w:val="24"/>
          <w:szCs w:val="24"/>
          <w:highlight w:val="none"/>
        </w:rPr>
        <w:t xml:space="preserve">100万</w:t>
      </w:r>
      <w:r/>
      <w:r>
        <w:rPr>
          <w:rFonts w:hint="eastAsia" w:ascii="宋体" w:hAnsi="宋体" w:eastAsia="宋体" w:cs="宋体"/>
          <w:b w:val="0"/>
          <w:bCs w:val="0"/>
          <w:color w:val="000000"/>
          <w:sz w:val="24"/>
          <w:szCs w:val="24"/>
          <w:highlight w:val="none"/>
        </w:rPr>
        <w:t xml:space="preserve">-500</w:t>
      </w:r>
      <w:r>
        <w:rPr>
          <w:rFonts w:hint="eastAsia" w:ascii="宋体" w:hAnsi="宋体" w:eastAsia="宋体" w:cs="宋体"/>
          <w:b w:val="0"/>
          <w:bCs w:val="0"/>
          <w:color w:val="000000"/>
          <w:sz w:val="24"/>
          <w:szCs w:val="24"/>
          <w:highlight w:val="none"/>
        </w:rPr>
        <w:t xml:space="preserve">万</w:t>
      </w:r>
      <w:r>
        <w:rPr>
          <w:rFonts w:hint="eastAsia" w:ascii="宋体" w:hAnsi="宋体" w:eastAsia="宋体" w:cs="宋体"/>
          <w:b w:val="0"/>
          <w:bCs w:val="0"/>
          <w:color w:val="000000"/>
          <w:sz w:val="24"/>
          <w:szCs w:val="24"/>
          <w:highlight w:val="none"/>
        </w:rPr>
        <w:t xml:space="preserve">费率为</w:t>
      </w:r>
      <w:r/>
      <w:r>
        <w:rPr>
          <w:rFonts w:hint="eastAsia" w:ascii="宋体" w:hAnsi="宋体" w:eastAsia="宋体" w:cs="宋体"/>
          <w:b w:val="0"/>
          <w:bCs w:val="0"/>
          <w:color w:val="000000"/>
          <w:sz w:val="24"/>
          <w:szCs w:val="24"/>
          <w:highlight w:val="none"/>
        </w:rPr>
      </w:r>
      <w:r>
        <w:rPr>
          <w:rFonts w:hint="eastAsia" w:ascii="宋体" w:hAnsi="宋体" w:eastAsia="宋体" w:cs="宋体"/>
          <w:b w:val="0"/>
          <w:bCs w:val="0"/>
          <w:color w:val="000000"/>
          <w:sz w:val="24"/>
          <w:szCs w:val="24"/>
          <w:highlight w:val="none"/>
        </w:rPr>
        <w:t xml:space="preserve">0.8%</w:t>
      </w:r>
      <w:r>
        <w:rPr>
          <w:rFonts w:hint="eastAsia" w:ascii="宋体" w:hAnsi="宋体" w:eastAsia="宋体" w:cs="宋体"/>
          <w:b w:val="0"/>
          <w:bCs w:val="0"/>
          <w:color w:val="000000"/>
          <w:sz w:val="24"/>
          <w:szCs w:val="24"/>
          <w:highlight w:val="none"/>
        </w:rPr>
        <w:t xml:space="preserve">计取</w:t>
      </w:r>
      <w:r>
        <w:rPr>
          <w:rFonts w:hint="eastAsia" w:ascii="宋体" w:hAnsi="宋体" w:eastAsia="宋体" w:cs="宋体"/>
          <w:b w:val="0"/>
          <w:bCs w:val="0"/>
          <w:color w:val="000000"/>
          <w:sz w:val="24"/>
          <w:szCs w:val="24"/>
          <w:highlight w:val="none"/>
        </w:rPr>
        <w:t xml:space="preserve">，以中标价作为计算基数。</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十七</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其他：</w:t>
      </w:r>
      <w:r/>
    </w:p>
    <w:p>
      <w:pPr>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151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center"/>
        <w:spacing w:line="360" w:lineRule="auto"/>
        <w:rPr>
          <w:rFonts w:hint="eastAsia" w:ascii="宋体" w:hAnsi="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6" w:name="_Toc27586"/>
      <w:r/>
      <w:r/>
    </w:p>
    <w:p>
      <w:pPr>
        <w:jc w:val="center"/>
        <w:spacing w:line="360" w:lineRule="auto"/>
        <w:rPr>
          <w:rFonts w:hint="eastAsia" w:hAnsi="宋体" w:cs="宋体"/>
          <w:b/>
          <w:bCs/>
          <w:sz w:val="32"/>
          <w:szCs w:val="32"/>
          <w:highlight w:val="none"/>
        </w:rPr>
        <w:outlineLvl w:val="0"/>
      </w:pPr>
      <w:r/>
      <w:bookmarkStart w:id="27" w:name="_Toc19762"/>
      <w:r>
        <w:rPr>
          <w:rFonts w:hint="eastAsia" w:hAnsi="宋体" w:cs="宋体"/>
          <w:b/>
          <w:bCs/>
          <w:sz w:val="32"/>
          <w:szCs w:val="32"/>
          <w:highlight w:val="none"/>
        </w:rPr>
        <w:t xml:space="preserve">三、项目技术要求和有关说明</w:t>
      </w:r>
      <w:bookmarkEnd w:id="21"/>
      <w:r/>
      <w:bookmarkEnd w:id="26"/>
      <w:r/>
      <w:bookmarkEnd w:id="27"/>
      <w:r/>
      <w:r/>
    </w:p>
    <w:p>
      <w:pPr>
        <w:ind w:firstLine="482"/>
        <w:jc w:val="left"/>
        <w:keepLines w:val="0"/>
        <w:keepNext w:val="0"/>
        <w:pageBreakBefore w:val="0"/>
        <w:spacing w:line="360" w:lineRule="auto"/>
        <w:rPr>
          <w:rFonts w:hint="eastAsia" w:ascii="宋体" w:hAnsi="宋体" w:eastAsia="宋体" w:cs="宋体"/>
          <w:b/>
          <w:bCs/>
          <w:sz w:val="24"/>
          <w:szCs w:val="24"/>
          <w:highlight w:val="none"/>
        </w:rPr>
        <w:outlineLvl w:val="1"/>
      </w:pPr>
      <w:r/>
      <w:bookmarkStart w:id="28" w:name="_Toc26"/>
      <w:r>
        <w:rPr>
          <w:rFonts w:hint="eastAsia" w:ascii="宋体" w:hAnsi="宋体" w:eastAsia="宋体" w:cs="宋体"/>
          <w:b/>
          <w:bCs/>
          <w:sz w:val="24"/>
          <w:szCs w:val="24"/>
          <w:highlight w:val="none"/>
        </w:rPr>
        <w:t xml:space="preserve">一、项目背景</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本项目旨在进一步借助第三方辅助力量，提高执法效率，加强对环境违法行为的监管和打击，提高执法的权威性和威慑力，改善环境质量，推动生态文明建设，实现可持续发展目标。</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重点围绕突出环境问题、信访调查等工作开展执法辅助排查，尤其是为高效办理重大案件提供有效支撑；提供技术力量协助参与对企业污染防治设施、自动监测监控设备运行情况、自动监测设备监测数据、企业环评、自主验收、排污许可证等执法检查。</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同时提供专家力量、专业设备协助参与环保比武、异地交叉检查等各类事项，壮大无锡市环保系统专业力量。</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项目也将为我市非现场执法提供数据服务，聚焦数据分析研判及自动监控违法线索排查，为精准发现生态环境违法问题、环境税核定等工作提供技术支持。</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二、</w:t>
      </w:r>
      <w:r>
        <w:rPr>
          <w:rFonts w:hint="eastAsia" w:ascii="宋体" w:hAnsi="宋体" w:eastAsia="宋体" w:cs="宋体"/>
          <w:b/>
          <w:bCs/>
          <w:sz w:val="24"/>
          <w:szCs w:val="24"/>
          <w:highlight w:val="none"/>
          <w:lang w:val="en-US" w:eastAsia="zh-CN"/>
        </w:rPr>
        <w:t xml:space="preserve">技术依据</w:t>
      </w:r>
      <w:r>
        <w:rPr>
          <w:rFonts w:hint="eastAsia" w:ascii="宋体" w:hAnsi="宋体" w:eastAsia="宋体" w:cs="宋体"/>
          <w:b/>
          <w:bCs/>
          <w:sz w:val="24"/>
          <w:szCs w:val="24"/>
          <w:highlight w:val="none"/>
          <w:lang w:val="en-US" w:eastAsia="zh-CN"/>
        </w:rPr>
        <w:br/>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《中华人民共和国环境保护法》</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《中华人民共和国水污染防治法》</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《中华人民共和国大气污染防治法》</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《中华人民共和国固体废物污染环境防治法》</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《中华人民共和国环境保护税法》</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《大气污染物综合排放标准》（GB16297-1996)</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《信访工作条例》</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《中华人民共和国环境保护税法实施条例》</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《污水综合排放标准》（GB8978-1996）</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《污水排入城镇下水道水质标准》（GB T31962-2015）</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《太湖地区城镇污水处理厂及重点工业行业主要水污染物排放限值》（DB 32/ 1072-2018）</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《挥发性有机物无组织排放控制标准》（GB37822-2019）</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《吸附法工业有机废气治理工程技术规范》(HJ 2026—2013)</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《催化燃烧法工业有机废气治理工程技术规范》(HJ 2027—2013)</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《蓄热燃烧法工业有机废气治理工程技术规范》（HJ1093—2020）</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《工业污染源现场检查技术规范》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HJ 606</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《固定污染源烟气（SO2、NOX、颗粒物）排放连续监测技术规范》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HJ 75</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《固定污染源废气 非甲烷总烃连续监测技术规范》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HJ 1286</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《污染源在线自动监控（监测）系统数据传输标准》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HJ 212</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《水污染源在线监测系统安装技术规范》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HJ 353</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《水污染源自动监测系统验收技术规范》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HJ 354</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《水污染源在线监测系统运行与考核技术规范》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HJ 355</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其他相关法律、法规及政策性文件等</w:t>
      </w:r>
      <w:r/>
    </w:p>
    <w:p>
      <w:pPr>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lang w:val="en-US" w:eastAsia="zh-CN"/>
        </w:rPr>
        <w:t xml:space="preserve">、工作内容</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（一）污染源企业环境问题排查服务</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包括日常巡查服务、专项检查服务、执法线索研判服务、数据信息管理服务、多气体移动监测设备租赁及大气巡查服务、管道探查测绘服务、专家服务。</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 环境信访管理辅助处置服务</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包括信访核查服务、信访数据信息管理服务、便携式餐饮油烟监测设备租赁服务。</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（三）自动监测监控排查服务</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利用各类监测监控系统，开展异常线索非现场核查，开展非现场执法稽查相关日常数据分析、通报工作；承担数据分析及</w:t>
      </w:r>
      <w:r>
        <w:rPr>
          <w:rFonts w:hint="eastAsia" w:ascii="宋体" w:hAnsi="宋体" w:cs="宋体"/>
          <w:sz w:val="24"/>
          <w:szCs w:val="24"/>
          <w:highlight w:val="none"/>
          <w:lang w:val="en-US" w:eastAsia="zh-CN"/>
        </w:rPr>
        <w:t xml:space="preserve">其他的</w:t>
      </w:r>
      <w:r>
        <w:rPr>
          <w:rFonts w:hint="eastAsia" w:ascii="宋体" w:hAnsi="宋体" w:eastAsia="宋体" w:cs="宋体"/>
          <w:sz w:val="24"/>
          <w:szCs w:val="24"/>
          <w:highlight w:val="none"/>
          <w:lang w:val="en-US" w:eastAsia="zh-CN"/>
        </w:rPr>
        <w:t xml:space="preserve">培训工作，</w:t>
      </w:r>
      <w:r>
        <w:rPr>
          <w:rFonts w:hint="eastAsia" w:ascii="宋体" w:hAnsi="宋体" w:cs="宋体"/>
          <w:sz w:val="24"/>
          <w:szCs w:val="24"/>
          <w:highlight w:val="none"/>
          <w:lang w:val="en-US" w:eastAsia="zh-CN"/>
        </w:rPr>
        <w:t xml:space="preserve">为</w:t>
      </w:r>
      <w:r>
        <w:rPr>
          <w:rFonts w:hint="eastAsia" w:ascii="宋体" w:hAnsi="宋体" w:eastAsia="宋体" w:cs="宋体"/>
          <w:sz w:val="24"/>
          <w:szCs w:val="24"/>
          <w:highlight w:val="none"/>
          <w:lang w:val="en-US" w:eastAsia="zh-CN"/>
        </w:rPr>
        <w:t xml:space="preserve">重大案件提供数据及技术支撑；协助执法部门开展违法和风险排查，排查企业数量，并出具排查报告</w:t>
      </w:r>
      <w:r>
        <w:rPr>
          <w:rFonts w:hint="eastAsia" w:ascii="宋体" w:hAnsi="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（四）非现场执法辅助、数据处理、核定服务</w:t>
      </w:r>
      <w:r/>
    </w:p>
    <w:p>
      <w:pPr>
        <w:ind w:firstLine="482"/>
        <w:jc w:val="left"/>
        <w:keepLines w:val="0"/>
        <w:keepNext w:val="0"/>
        <w:pageBreakBefore w:val="0"/>
        <w:spacing w:line="360" w:lineRule="auto"/>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包括非现场执法辅助服务、非现场数据处理服务、环境税核定服务。</w:t>
      </w:r>
      <w:r/>
    </w:p>
    <w:p>
      <w:pPr>
        <w:ind w:firstLine="482"/>
        <w:jc w:val="left"/>
        <w:keepLines w:val="0"/>
        <w:keepNext w:val="0"/>
        <w:pageBreakBefore w:val="0"/>
        <w:spacing w:line="360" w:lineRule="auto"/>
        <w:rPr>
          <w:rFonts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五、</w:t>
      </w:r>
      <w:r>
        <w:rPr>
          <w:rFonts w:hint="eastAsia" w:ascii="宋体" w:hAnsi="宋体" w:cs="宋体"/>
          <w:b/>
          <w:bCs/>
          <w:sz w:val="24"/>
          <w:szCs w:val="24"/>
          <w:highlight w:val="none"/>
          <w:lang w:val="en-US" w:eastAsia="zh-CN"/>
        </w:rPr>
        <w:t xml:space="preserve">服务</w:t>
      </w:r>
      <w:r>
        <w:rPr>
          <w:rFonts w:hint="eastAsia" w:ascii="宋体" w:hAnsi="宋体" w:eastAsia="宋体" w:cs="宋体"/>
          <w:b/>
          <w:bCs/>
          <w:sz w:val="24"/>
          <w:szCs w:val="24"/>
          <w:highlight w:val="none"/>
          <w:lang w:val="en-US" w:eastAsia="zh-CN"/>
        </w:rPr>
        <w:t xml:space="preserve">要求</w:t>
      </w:r>
      <w:r/>
    </w:p>
    <w:p>
      <w:pPr>
        <w:ind w:firstLine="482"/>
        <w:jc w:val="left"/>
        <w:keepLines w:val="0"/>
        <w:keepNext w:val="0"/>
        <w:pageBreakBefore w:val="0"/>
        <w:spacing w:line="360" w:lineRule="auto"/>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）预算金额：</w:t>
      </w:r>
      <w:r>
        <w:rPr>
          <w:rFonts w:hint="eastAsia" w:ascii="宋体" w:hAnsi="宋体" w:cs="宋体"/>
          <w:sz w:val="24"/>
          <w:szCs w:val="24"/>
          <w:highlight w:val="none"/>
          <w:lang w:val="en-US" w:eastAsia="zh-CN"/>
        </w:rPr>
        <w:t xml:space="preserve">191</w:t>
      </w:r>
      <w:r>
        <w:rPr>
          <w:rFonts w:hint="eastAsia" w:ascii="宋体" w:hAnsi="宋体" w:eastAsia="宋体" w:cs="宋体"/>
          <w:sz w:val="24"/>
          <w:szCs w:val="24"/>
          <w:highlight w:val="none"/>
          <w:lang w:val="en-US" w:eastAsia="zh-CN"/>
        </w:rPr>
        <w:t xml:space="preserve">万元。</w:t>
      </w:r>
      <w:r/>
    </w:p>
    <w:p>
      <w:pPr>
        <w:ind w:firstLine="482"/>
        <w:jc w:val="left"/>
        <w:keepLines w:val="0"/>
        <w:keepNext w:val="0"/>
        <w:pageBreakBefore w:val="0"/>
        <w:spacing w:line="360" w:lineRule="auto"/>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）服务期限：一年。</w:t>
      </w:r>
      <w:r/>
    </w:p>
    <w:p>
      <w:pPr>
        <w:ind w:firstLine="482"/>
        <w:jc w:val="left"/>
        <w:keepLines w:val="0"/>
        <w:keepNext w:val="0"/>
        <w:pageBreakBefore w:val="0"/>
        <w:spacing w:line="360" w:lineRule="auto"/>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）服务质量要求：符合国家、省、市相关工作要求。</w:t>
      </w:r>
      <w:r/>
    </w:p>
    <w:p>
      <w:pPr>
        <w:ind w:firstLine="482"/>
        <w:jc w:val="left"/>
        <w:keepLines w:val="0"/>
        <w:keepNext w:val="0"/>
        <w:pageBreakBefore w:val="0"/>
        <w:spacing w:line="360" w:lineRule="auto"/>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）质量违约金：合同价的5%。</w:t>
      </w:r>
      <w:r/>
    </w:p>
    <w:p>
      <w:pPr>
        <w:ind w:firstLine="482"/>
        <w:jc w:val="left"/>
        <w:keepLines w:val="0"/>
        <w:keepNext w:val="0"/>
        <w:pageBreakBefore w:val="0"/>
        <w:spacing w:line="360" w:lineRule="auto"/>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）误期违约金：合同价款的5‰/天。</w:t>
      </w:r>
      <w:r/>
    </w:p>
    <w:p>
      <w:pPr>
        <w:ind w:firstLine="482"/>
        <w:jc w:val="left"/>
        <w:keepLines w:val="0"/>
        <w:keepNext w:val="0"/>
        <w:pageBreakBefore w:val="0"/>
        <w:spacing w:line="360" w:lineRule="auto"/>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）验收标准：本项目严格按国家、省、市现行的相关质量评定标准进行验收。</w:t>
      </w:r>
      <w:r/>
    </w:p>
    <w:p>
      <w:pPr>
        <w:ind w:firstLine="482"/>
        <w:jc w:val="left"/>
        <w:keepLines w:val="0"/>
        <w:keepNext w:val="0"/>
        <w:pageBreakBefore w:val="0"/>
        <w:spacing w:line="360" w:lineRule="auto"/>
        <w:rPr>
          <w:rFonts w:hint="eastAsia" w:ascii="宋体" w:hAnsi="宋体" w:eastAsia="宋体" w:cs="宋体"/>
          <w:sz w:val="24"/>
          <w:szCs w:val="24"/>
          <w:highlight w:val="none"/>
          <w:lang w:val="en-US" w:eastAsia="zh-CN"/>
        </w:rPr>
        <w:outlineLvl w:val="1"/>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）服务范围：无锡市范围内。</w:t>
      </w:r>
      <w:r/>
    </w:p>
    <w:p>
      <w:pPr>
        <w:ind w:firstLine="482"/>
        <w:jc w:val="left"/>
        <w:keepLines w:val="0"/>
        <w:keepNext w:val="0"/>
        <w:pageBreakBefore w:val="0"/>
        <w:spacing w:line="360" w:lineRule="auto"/>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六、其他要求</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保密：中标（成交）供应商未经采购人审批同意，不得将项目成果、采购人提供的所有内部资料、技术文档和信息用于与本项目无关的其他场合。因中标（成交）供应商原因发生泄密事件，中标（成交）供应商需承担相关法律责任。</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（2）付款方式：合同签订后，支付合同总金额的30%；6个月后支付合同总金额的40%。项目验收完成后支付合同总金额的30%。</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本项目不需要履约保证金。</w:t>
      </w:r>
      <w:r/>
    </w:p>
    <w:p>
      <w:pPr>
        <w:ind w:firstLine="480"/>
        <w:jc w:val="left"/>
        <w:keepLines w:val="0"/>
        <w:keepNext w:val="0"/>
        <w:pageBreakBefore w:val="0"/>
        <w:spacing w:line="360" w:lineRule="auto"/>
        <w:rPr>
          <w:rFonts w:ascii="宋体" w:hAnsi="宋体" w:eastAsia="宋体" w:cs="宋体"/>
          <w:sz w:val="24"/>
          <w:szCs w:val="24"/>
          <w:highlight w:val="none"/>
          <w:lang w:val="en-US" w:eastAsia="zh-CN"/>
        </w:rPr>
      </w:pPr>
      <w:r>
        <w:rPr>
          <w:rFonts w:ascii="宋体" w:hAnsi="宋体" w:eastAsia="宋体" w:cs="宋体"/>
          <w:sz w:val="24"/>
          <w:szCs w:val="24"/>
          <w:highlight w:val="none"/>
          <w:lang w:val="en-US" w:eastAsia="zh-CN"/>
        </w:rPr>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left"/>
        <w:keepLines w:val="0"/>
        <w:keepNext w:val="0"/>
        <w:pageBreakBefore w:val="0"/>
        <w:spacing w:line="360" w:lineRule="auto"/>
        <w:rPr>
          <w:rFonts w:hint="eastAsia" w:ascii="宋体" w:hAnsi="宋体" w:eastAsia="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24"/>
          <w:szCs w:val="24"/>
          <w:highlight w:val="none"/>
        </w:rPr>
      </w:r>
      <w:r/>
    </w:p>
    <w:p>
      <w:pPr>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附：政府采购政策（包括但不限于下列具体政策要求）</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3.采购产品属于《节能产品政府采购品目清单</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b/>
          <w:sz w:val="32"/>
          <w:szCs w:val="32"/>
          <w:highlight w:val="none"/>
        </w:rPr>
      </w:pPr>
      <w:r>
        <w:rPr>
          <w:rFonts w:hint="eastAsia" w:ascii="宋体" w:hAnsi="宋体" w:cs="宋体"/>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6.中标、成交供应商可采用合同融资形式，中标人可凭政府采购合同办理融资贷款，详见政府采购网“政采贷”专栏。</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8.本项目中如有涉及数据库、操作系</w:t>
      </w:r>
      <w:r>
        <w:rPr>
          <w:rFonts w:hint="eastAsia" w:ascii="宋体" w:hAnsi="宋体" w:cs="宋体"/>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lang w:val="en"/>
        </w:rPr>
        <w:t xml:space="preserve">采购人原则上应当自收到发票后10个工作日内将资金支付到合同约定的供应商账户。</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 w:val="24"/>
          <w:szCs w:val="24"/>
          <w:highlight w:val="none"/>
        </w:rPr>
      </w:r>
      <w:r/>
    </w:p>
    <w:p>
      <w:pPr>
        <w:jc w:val="center"/>
        <w:spacing w:line="360" w:lineRule="auto"/>
        <w:rPr>
          <w:rFonts w:hint="eastAsia" w:hAnsi="宋体" w:cs="宋体"/>
          <w:b/>
          <w:bCs/>
          <w:sz w:val="32"/>
          <w:szCs w:val="32"/>
          <w:highlight w:val="none"/>
        </w:rPr>
        <w:outlineLvl w:val="0"/>
      </w:pPr>
      <w:r/>
      <w:bookmarkStart w:id="29" w:name="_Toc12214"/>
      <w:r/>
      <w:bookmarkStart w:id="30" w:name="_Toc21985"/>
      <w:r>
        <w:rPr>
          <w:rFonts w:hint="eastAsia" w:hAnsi="宋体" w:cs="宋体"/>
          <w:b/>
          <w:bCs/>
          <w:sz w:val="32"/>
          <w:szCs w:val="32"/>
          <w:highlight w:val="none"/>
        </w:rPr>
        <w:t xml:space="preserve">四、合同书（格式文本）</w:t>
      </w:r>
      <w:bookmarkEnd w:id="28"/>
      <w:r/>
      <w:bookmarkEnd w:id="29"/>
      <w:r/>
      <w:bookmarkEnd w:id="30"/>
      <w:r/>
      <w:r/>
    </w:p>
    <w:p>
      <w:pPr>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bookmarkStart w:id="31" w:name="_Toc17918"/>
      <w:r/>
      <w:bookmarkStart w:id="32" w:name="_Toc4709"/>
      <w:r/>
      <w:r/>
    </w:p>
    <w:p>
      <w:pPr>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r>
      <w:r/>
    </w:p>
    <w:p>
      <w:pPr>
        <w:jc w:val="center"/>
        <w:spacing w:line="360" w:lineRule="auto"/>
        <w:tabs>
          <w:tab w:val="center" w:pos="4882" w:leader="none"/>
          <w:tab w:val="left" w:pos="8205" w:leader="none"/>
        </w:tabs>
        <w:rPr>
          <w:rFonts w:ascii="Times New Roman" w:hAnsi="Arial" w:eastAsia="宋体" w:cs="Times New Roman"/>
          <w:b/>
          <w:color w:val="000000"/>
          <w:sz w:val="72"/>
          <w:szCs w:val="24"/>
          <w:highlight w:val="none"/>
        </w:rPr>
        <w:outlineLvl w:val="9"/>
      </w:pPr>
      <w:r>
        <w:rPr>
          <w:rFonts w:ascii="Times New Roman" w:hAnsi="Arial" w:eastAsia="宋体" w:cs="Times New Roman"/>
          <w:b/>
          <w:color w:val="000000"/>
          <w:sz w:val="72"/>
          <w:szCs w:val="24"/>
          <w:highlight w:val="none"/>
        </w:rPr>
        <w:t xml:space="preserve">合 同 书</w:t>
      </w:r>
      <w:r/>
    </w:p>
    <w:p>
      <w:pPr>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jc w:val="center"/>
        <w:spacing w:line="360" w:lineRule="auto"/>
        <w:rPr>
          <w:rFonts w:hint="eastAsia" w:ascii="Times New Roman" w:hAnsi="Times New Roman" w:eastAsia="宋体" w:cs="Times New Roman"/>
          <w:color w:val="000000"/>
          <w:sz w:val="24"/>
          <w:szCs w:val="24"/>
          <w:highlight w:val="none"/>
        </w:rPr>
        <w:outlineLvl w:val="9"/>
      </w:pPr>
      <w:r>
        <w:rPr>
          <w:rFonts w:hint="eastAsia"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jc w:val="cente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spacing w:line="360" w:lineRule="auto"/>
        <w:rPr>
          <w:rFonts w:ascii="Times New Roman" w:hAnsi="Times New Roman" w:eastAsia="宋体" w:cs="Times New Roman"/>
          <w:color w:val="000000"/>
          <w:sz w:val="24"/>
          <w:szCs w:val="24"/>
          <w:highlight w:val="none"/>
        </w:rPr>
        <w:outlineLvl w:val="9"/>
      </w:pPr>
      <w:r>
        <w:rPr>
          <w:rFonts w:ascii="Times New Roman" w:hAnsi="Times New Roman" w:eastAsia="宋体" w:cs="Times New Roman"/>
          <w:color w:val="000000"/>
          <w:sz w:val="24"/>
          <w:szCs w:val="24"/>
          <w:highlight w:val="none"/>
        </w:rPr>
      </w:r>
      <w:r/>
    </w:p>
    <w:p>
      <w:pPr>
        <w:ind w:firstLine="1446"/>
        <w:spacing w:line="360" w:lineRule="auto"/>
        <w:rPr>
          <w:rFonts w:hint="eastAsia" w:ascii="宋体" w:hAnsi="宋体" w:eastAsia="宋体" w:cs="Times New Roman"/>
          <w:b/>
          <w:color w:val="000000"/>
          <w:sz w:val="24"/>
          <w:szCs w:val="24"/>
          <w:highlight w:val="none"/>
          <w:lang w:eastAsia="zh-CN"/>
        </w:rPr>
        <w:outlineLvl w:val="9"/>
      </w:pPr>
      <w:r>
        <w:rPr>
          <w:rFonts w:ascii="宋体" w:hAnsi="宋体" w:eastAsia="宋体" w:cs="Times New Roman"/>
          <w:b/>
          <w:color w:val="000000"/>
          <w:sz w:val="24"/>
          <w:szCs w:val="24"/>
          <w:highlight w:val="none"/>
        </w:rPr>
        <w:t xml:space="preserve">项目名称</w:t>
      </w:r>
      <w:r>
        <w:rPr>
          <w:rFonts w:hint="eastAsia" w:ascii="宋体" w:hAnsi="宋体" w:eastAsia="宋体" w:cs="Times New Roman"/>
          <w:b/>
          <w:color w:val="000000"/>
          <w:sz w:val="24"/>
          <w:szCs w:val="24"/>
          <w:highlight w:val="none"/>
          <w:lang w:eastAsia="zh-CN"/>
        </w:rPr>
        <w:t xml:space="preserve">：</w:t>
      </w:r>
      <w:r>
        <w:rPr>
          <w:rFonts w:hint="eastAsia" w:ascii="宋体" w:hAnsi="宋体" w:cs="Times New Roman"/>
          <w:b/>
          <w:color w:val="000000"/>
          <w:sz w:val="24"/>
          <w:szCs w:val="24"/>
          <w:highlight w:val="none"/>
          <w:u w:val="single"/>
          <w:lang w:eastAsia="zh-CN"/>
        </w:rPr>
        <w:t xml:space="preserve">生态环境辅助执法第三方综合服务</w:t>
      </w:r>
      <w:r/>
    </w:p>
    <w:p>
      <w:pPr>
        <w:ind w:firstLine="1446"/>
        <w:spacing w:line="360" w:lineRule="auto"/>
        <w:rPr>
          <w:rFonts w:hint="eastAsia" w:ascii="宋体" w:hAnsi="宋体" w:eastAsia="宋体" w:cs="Times New Roman"/>
          <w:b/>
          <w:color w:val="000000"/>
          <w:sz w:val="24"/>
          <w:szCs w:val="24"/>
          <w:highlight w:val="none"/>
          <w:lang w:eastAsia="zh-CN"/>
        </w:rPr>
        <w:outlineLvl w:val="9"/>
      </w:pPr>
      <w:r>
        <w:rPr>
          <w:rFonts w:hint="eastAsia" w:ascii="宋体" w:hAnsi="宋体" w:eastAsia="宋体" w:cs="Times New Roman"/>
          <w:b/>
          <w:color w:val="000000"/>
          <w:sz w:val="24"/>
          <w:szCs w:val="24"/>
          <w:highlight w:val="none"/>
        </w:rPr>
        <w:t xml:space="preserve">甲方（采购人）</w:t>
      </w:r>
      <w:r>
        <w:rPr>
          <w:rFonts w:hint="eastAsia" w:ascii="宋体" w:hAnsi="宋体" w:eastAsia="宋体" w:cs="Times New Roman"/>
          <w:b/>
          <w:color w:val="000000"/>
          <w:sz w:val="24"/>
          <w:szCs w:val="24"/>
          <w:highlight w:val="none"/>
          <w:lang w:eastAsia="zh-CN"/>
        </w:rPr>
        <w:t xml:space="preserve">：</w:t>
      </w:r>
      <w:r>
        <w:rPr>
          <w:rFonts w:hint="eastAsia" w:ascii="宋体" w:hAnsi="宋体" w:cs="Times New Roman"/>
          <w:b/>
          <w:color w:val="000000"/>
          <w:sz w:val="24"/>
          <w:szCs w:val="24"/>
          <w:highlight w:val="none"/>
          <w:u w:val="single"/>
          <w:lang w:eastAsia="zh-CN"/>
        </w:rPr>
        <w:t xml:space="preserve">无锡市生态环境综合行政执法局</w:t>
      </w:r>
      <w:r/>
    </w:p>
    <w:p>
      <w:pPr>
        <w:ind w:firstLine="1446"/>
        <w:spacing w:line="360" w:lineRule="auto"/>
        <w:rPr>
          <w:rFonts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乙方（中标人）</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p>
    <w:p>
      <w:pPr>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ind w:firstLine="1446"/>
        <w:spacing w:line="360" w:lineRule="auto"/>
        <w:rPr>
          <w:rFonts w:hint="eastAsia" w:ascii="宋体" w:hAnsi="宋体" w:eastAsia="宋体" w:cs="Times New Roman"/>
          <w:b/>
          <w:color w:val="000000"/>
          <w:sz w:val="24"/>
          <w:szCs w:val="24"/>
          <w:highlight w:val="none"/>
        </w:rPr>
        <w:outlineLvl w:val="9"/>
      </w:pPr>
      <w:r>
        <w:rPr>
          <w:rFonts w:hint="eastAsia" w:ascii="宋体" w:hAnsi="宋体" w:eastAsia="宋体" w:cs="Times New Roman"/>
          <w:b/>
          <w:color w:val="000000"/>
          <w:sz w:val="24"/>
          <w:szCs w:val="24"/>
          <w:highlight w:val="none"/>
        </w:rPr>
        <w:t xml:space="preserve">签约日期</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u w:val="single"/>
        </w:rPr>
        <w:t xml:space="preserve">                                  </w:t>
      </w:r>
      <w:r/>
    </w:p>
    <w:p>
      <w:pPr>
        <w:ind w:firstLine="1928"/>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spacing w:line="360" w:lineRule="auto"/>
        <w:rPr>
          <w:rFonts w:hint="eastAsia" w:ascii="宋体" w:hAnsi="宋体" w:eastAsia="宋体" w:cs="Times New Roman"/>
          <w:b/>
          <w:color w:val="000000"/>
          <w:sz w:val="24"/>
          <w:szCs w:val="24"/>
          <w:highlight w:val="none"/>
          <w:u w:val="single"/>
        </w:rPr>
        <w:outlineLvl w:val="9"/>
      </w:pPr>
      <w:r>
        <w:rPr>
          <w:rFonts w:hint="eastAsia" w:ascii="宋体" w:hAnsi="宋体" w:eastAsia="宋体" w:cs="Times New Roman"/>
          <w:b/>
          <w:color w:val="000000"/>
          <w:sz w:val="24"/>
          <w:szCs w:val="24"/>
          <w:highlight w:val="none"/>
          <w:u w:val="single"/>
        </w:rPr>
      </w:r>
      <w:r/>
    </w:p>
    <w:p>
      <w:pPr>
        <w:ind w:firstLine="1928"/>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jc w:val="center"/>
        <w:spacing w:line="360" w:lineRule="auto"/>
        <w:rPr>
          <w:rFonts w:ascii="黑体" w:hAnsi="宋体" w:eastAsia="黑体"/>
          <w:b/>
          <w:color w:val="auto"/>
          <w:sz w:val="28"/>
          <w:szCs w:val="28"/>
          <w:highlight w:val="none"/>
        </w:rPr>
      </w:pPr>
      <w:r>
        <w:rPr>
          <w:rFonts w:hint="eastAsia" w:ascii="黑体" w:hAnsi="宋体" w:eastAsia="黑体"/>
          <w:b/>
          <w:color w:val="auto"/>
          <w:sz w:val="28"/>
          <w:szCs w:val="28"/>
          <w:highlight w:val="none"/>
        </w:rPr>
        <w:t xml:space="preserve">合同书（服务）格式条款</w:t>
      </w:r>
      <w:r/>
    </w:p>
    <w:p>
      <w:pPr>
        <w:ind w:firstLine="482"/>
        <w:spacing w:line="360" w:lineRule="auto"/>
        <w:rPr>
          <w:rFonts w:ascii="黑体" w:hAnsi="Calibri"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360" w:lineRule="auto"/>
        <w:rPr>
          <w:rFonts w:ascii="宋体" w:hAnsi="Calibri"/>
          <w:bCs/>
          <w:color w:val="auto"/>
          <w:sz w:val="24"/>
          <w:szCs w:val="24"/>
          <w:highlight w:val="none"/>
          <w:u w:val="single"/>
        </w:rPr>
      </w:pPr>
      <w:r>
        <w:rPr>
          <w:rFonts w:hint="eastAsia" w:ascii="宋体" w:hAnsi="宋体"/>
          <w:bCs/>
          <w:color w:val="auto"/>
          <w:sz w:val="24"/>
          <w:szCs w:val="24"/>
          <w:highlight w:val="none"/>
        </w:rPr>
        <w:t xml:space="preserve">需方（采购人）：</w:t>
      </w:r>
      <w:r/>
    </w:p>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供方（中标方）：</w:t>
      </w:r>
      <w:r/>
    </w:p>
    <w:p>
      <w:pPr>
        <w:spacing w:line="360" w:lineRule="auto"/>
        <w:rPr>
          <w:rFonts w:ascii="宋体" w:hAnsi="Calibri"/>
          <w:bCs/>
          <w:color w:val="auto"/>
          <w:sz w:val="24"/>
          <w:szCs w:val="24"/>
          <w:highlight w:val="none"/>
          <w:u w:val="single"/>
        </w:rPr>
      </w:pPr>
      <w:r>
        <w:rPr>
          <w:rFonts w:hint="eastAsia" w:ascii="宋体" w:hAnsi="宋体"/>
          <w:bCs/>
          <w:color w:val="auto"/>
          <w:sz w:val="24"/>
          <w:szCs w:val="24"/>
          <w:highlight w:val="none"/>
        </w:rPr>
        <w:t xml:space="preserve">一、采购项目编号：</w:t>
      </w:r>
      <w:r/>
    </w:p>
    <w:p>
      <w:pPr>
        <w:spacing w:line="360" w:lineRule="auto"/>
        <w:tabs>
          <w:tab w:val="left" w:pos="210" w:leader="none"/>
          <w:tab w:val="left" w:pos="450" w:leader="none"/>
          <w:tab w:val="left" w:pos="840" w:leader="none"/>
          <w:tab w:val="left" w:pos="1260" w:leader="none"/>
        </w:tabs>
        <w:rPr>
          <w:rFonts w:ascii="宋体" w:hAnsi="Calibri"/>
          <w:bCs/>
          <w:color w:val="auto"/>
          <w:sz w:val="24"/>
          <w:szCs w:val="24"/>
          <w:highlight w:val="none"/>
        </w:rPr>
      </w:pPr>
      <w:r>
        <w:rPr>
          <w:rFonts w:hint="eastAsia" w:ascii="宋体" w:hAnsi="宋体"/>
          <w:bCs/>
          <w:color w:val="auto"/>
          <w:sz w:val="24"/>
          <w:szCs w:val="24"/>
          <w:highlight w:val="none"/>
        </w:rPr>
        <w:t xml:space="preserve">二、采购项目名称：</w:t>
      </w:r>
      <w:r/>
    </w:p>
    <w:p>
      <w:pPr>
        <w:spacing w:line="360" w:lineRule="auto"/>
        <w:tabs>
          <w:tab w:val="left" w:pos="210" w:leader="none"/>
          <w:tab w:val="left" w:pos="840" w:leader="none"/>
          <w:tab w:val="left" w:pos="1260" w:leader="none"/>
        </w:tabs>
        <w:rPr>
          <w:rFonts w:ascii="宋体" w:hAnsi="Calibri"/>
          <w:bCs/>
          <w:color w:val="auto"/>
          <w:sz w:val="24"/>
          <w:szCs w:val="24"/>
          <w:highlight w:val="none"/>
        </w:rPr>
      </w:pPr>
      <w:r>
        <w:rPr>
          <w:rFonts w:hint="eastAsia" w:ascii="宋体" w:hAnsi="宋体"/>
          <w:bCs/>
          <w:color w:val="auto"/>
          <w:sz w:val="24"/>
          <w:szCs w:val="24"/>
          <w:highlight w:val="none"/>
        </w:rPr>
        <w:t xml:space="preserve">三、中标（成交）金额：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（大写）；</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（小写）；</w:t>
      </w:r>
      <w:r/>
    </w:p>
    <w:p>
      <w:pPr>
        <w:spacing w:line="360" w:lineRule="auto"/>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四、项目服务期限：</w:t>
      </w:r>
      <w:r/>
    </w:p>
    <w:p>
      <w:pPr>
        <w:spacing w:line="360" w:lineRule="auto"/>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五、项目整体免费服务期：</w:t>
      </w:r>
      <w:r/>
    </w:p>
    <w:p>
      <w:pPr>
        <w:spacing w:line="360" w:lineRule="auto"/>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六、货款支付步骤和办法：</w:t>
      </w:r>
      <w:r/>
    </w:p>
    <w:p>
      <w:pPr>
        <w:spacing w:line="360" w:lineRule="auto"/>
        <w:tabs>
          <w:tab w:val="left" w:pos="210" w:leader="none"/>
          <w:tab w:val="left" w:pos="450" w:leader="none"/>
          <w:tab w:val="left" w:pos="84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七、合同书不可分割部分：</w:t>
      </w:r>
      <w:r/>
    </w:p>
    <w:p>
      <w:pPr>
        <w:ind w:firstLine="480"/>
        <w:spacing w:line="360" w:lineRule="auto"/>
        <w:tabs>
          <w:tab w:val="left" w:pos="210" w:leader="none"/>
          <w:tab w:val="left" w:pos="42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招标（采购）文件、投标（报价）文件、合同条款及中标</w:t>
      </w:r>
      <w:r>
        <w:rPr>
          <w:rFonts w:hint="eastAsia" w:ascii="宋体" w:hAnsi="宋体"/>
          <w:color w:val="auto"/>
          <w:sz w:val="24"/>
          <w:szCs w:val="24"/>
          <w:highlight w:val="none"/>
        </w:rPr>
        <w:t xml:space="preserve">（成交）</w:t>
      </w:r>
      <w:r>
        <w:rPr>
          <w:rFonts w:hint="eastAsia" w:ascii="宋体" w:hAnsi="宋体"/>
          <w:bCs/>
          <w:color w:val="auto"/>
          <w:sz w:val="24"/>
          <w:szCs w:val="24"/>
          <w:highlight w:val="none"/>
        </w:rPr>
        <w:t xml:space="preserve">通知书，供方在投标（响应）、评标（评审）过程中所作其它有关承诺、声明、书面澄清等均为合同不可分割的部分，与主合同具有同等法律效力。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八、合同书组成：</w:t>
      </w:r>
      <w:r/>
    </w:p>
    <w:p>
      <w:pPr>
        <w:ind w:firstLine="480"/>
        <w:spacing w:line="360" w:lineRule="auto"/>
        <w:tabs>
          <w:tab w:val="left" w:pos="210" w:leader="none"/>
          <w:tab w:val="left" w:pos="73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合同书由格式条款</w:t>
      </w:r>
      <w:r>
        <w:rPr>
          <w:rFonts w:hint="eastAsia" w:ascii="宋体" w:hAnsi="宋体"/>
          <w:bCs/>
          <w:color w:val="auto"/>
          <w:sz w:val="24"/>
          <w:szCs w:val="24"/>
          <w:highlight w:val="none"/>
        </w:rPr>
        <w:t xml:space="preserve">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ascii="宋体" w:hAnsi="宋体" w:cs="宋体"/>
          <w:color w:val="auto"/>
          <w:sz w:val="24"/>
          <w:szCs w:val="24"/>
          <w:highlight w:val="none"/>
        </w:rPr>
        <w:t xml:space="preserve">与履约验收挂钩的资金支付条件及时间</w:t>
      </w:r>
      <w:r>
        <w:rPr>
          <w:rFonts w:hint="eastAsia" w:ascii="宋体" w:hAnsi="宋体"/>
          <w:bCs/>
          <w:color w:val="auto"/>
          <w:sz w:val="24"/>
          <w:szCs w:val="24"/>
          <w:highlight w:val="none"/>
        </w:rPr>
        <w:t xml:space="preserve">，验收、交付标准和方法，质量保修范围和保修期，违约责任与解决争议的方法，供需双方权利与义务，合同分包要求，</w:t>
      </w:r>
      <w:r>
        <w:rPr>
          <w:rFonts w:hint="eastAsia" w:ascii="宋体" w:hAnsi="宋体"/>
          <w:color w:val="auto"/>
          <w:sz w:val="24"/>
          <w:szCs w:val="24"/>
          <w:highlight w:val="none"/>
        </w:rPr>
        <w:t xml:space="preserve">合同类型</w:t>
      </w:r>
      <w:r>
        <w:rPr>
          <w:rFonts w:hint="eastAsia" w:ascii="宋体" w:hAnsi="宋体"/>
          <w:bCs/>
          <w:color w:val="auto"/>
          <w:sz w:val="24"/>
          <w:szCs w:val="24"/>
          <w:highlight w:val="none"/>
        </w:rPr>
        <w:t xml:space="preserve">等。</w:t>
      </w:r>
      <w:r/>
    </w:p>
    <w:p>
      <w:pPr>
        <w:ind w:firstLine="480"/>
        <w:spacing w:line="360" w:lineRule="auto"/>
        <w:tabs>
          <w:tab w:val="left" w:pos="210" w:leader="none"/>
          <w:tab w:val="left" w:pos="84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九、合同书生效及注意事项：</w:t>
      </w:r>
      <w:r/>
    </w:p>
    <w:p>
      <w:pPr>
        <w:ind w:firstLine="480"/>
        <w:spacing w:line="360" w:lineRule="auto"/>
        <w:tabs>
          <w:tab w:val="left" w:pos="210" w:leader="none"/>
          <w:tab w:val="left" w:pos="84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r/>
    </w:p>
    <w:p>
      <w:pPr>
        <w:numPr>
          <w:ilvl w:val="0"/>
          <w:numId w:val="0"/>
        </w:numPr>
        <w:ind w:firstLine="480"/>
        <w:spacing w:line="360" w:lineRule="auto"/>
        <w:tabs>
          <w:tab w:val="left" w:pos="210" w:leader="none"/>
          <w:tab w:val="left" w:pos="84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十、供需双方如有其它要求，可参照招标（采购）文件、投标（报价）文件（采购人不得向供应商提出超出招标文件以外的任何要求作为签订合同的条件，不得与中标供应商订立背离招标文件确定的合同文本以及采购标的、规格型号、采购金额、采购数量、技术和服务要求等实质性内容的协议），并在不违反本合同条款的前提下，供需双方自行拟定补充条款。</w:t>
      </w:r>
      <w:r/>
    </w:p>
    <w:p>
      <w:pPr>
        <w:numPr>
          <w:ilvl w:val="0"/>
          <w:numId w:val="0"/>
        </w:numPr>
        <w:ind w:firstLine="480"/>
        <w:spacing w:line="360" w:lineRule="auto"/>
        <w:tabs>
          <w:tab w:val="left" w:pos="210" w:leader="none"/>
          <w:tab w:val="left" w:pos="840"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十一、根据《政府采购法》第四十九、五十条规定，供需双方不得擅自变更、中止或终止合同。</w:t>
      </w:r>
      <w:r/>
    </w:p>
    <w:p>
      <w:pPr>
        <w:jc w:val="righ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见证方：</w:t>
      </w:r>
      <w:r>
        <w:rPr>
          <w:rFonts w:hint="eastAsia" w:ascii="宋体" w:hAnsi="宋体" w:eastAsia="宋体" w:cs="宋体"/>
          <w:color w:val="auto"/>
          <w:sz w:val="24"/>
          <w:szCs w:val="24"/>
          <w:highlight w:val="none"/>
          <w:u w:val="single"/>
          <w:lang w:val="en-US" w:eastAsia="zh-CN" w:bidi="ar"/>
        </w:rPr>
        <w:t xml:space="preserve">江苏建达全过程工程咨询有限公司</w:t>
      </w:r>
      <w:r>
        <w:rPr>
          <w:rFonts w:hint="eastAsia" w:ascii="宋体" w:hAnsi="宋体" w:eastAsia="宋体" w:cs="宋体"/>
          <w:color w:val="auto"/>
          <w:sz w:val="24"/>
          <w:szCs w:val="24"/>
          <w:highlight w:val="none"/>
          <w:lang w:val="en-US" w:eastAsia="zh-CN" w:bidi="ar"/>
        </w:rPr>
        <w:t xml:space="preserve"> （签章）  </w:t>
      </w:r>
      <w:r/>
    </w:p>
    <w:p>
      <w:pPr>
        <w:ind w:firstLine="1680"/>
        <w:jc w:val="center"/>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 年       月       日 </w:t>
      </w:r>
      <w:r/>
    </w:p>
    <w:p>
      <w:pPr>
        <w:ind w:firstLine="240"/>
        <w:jc w:val="center"/>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注： 江苏建达全过程工程咨询有限公司 仅对一至七项条款予以见证。</w:t>
      </w:r>
      <w:r/>
    </w:p>
    <w:p>
      <w:pPr>
        <w:ind w:firstLine="240"/>
        <w:jc w:val="center"/>
        <w:spacing w:line="360" w:lineRule="auto"/>
        <w:rPr>
          <w:rFonts w:hint="eastAsia" w:ascii="宋体" w:hAnsi="宋体" w:cs="宋体"/>
          <w:b/>
          <w:bCs/>
          <w:color w:val="auto"/>
          <w:sz w:val="44"/>
          <w:szCs w:val="44"/>
          <w:highlight w:val="none"/>
        </w:rPr>
      </w:pPr>
      <w:r>
        <w:rPr>
          <w:rFonts w:hint="eastAsia" w:ascii="宋体" w:hAnsi="宋体" w:eastAsia="宋体" w:cs="宋体"/>
          <w:color w:val="auto"/>
          <w:sz w:val="24"/>
          <w:szCs w:val="24"/>
          <w:highlight w:val="none"/>
          <w:lang w:val="en-US" w:eastAsia="zh-CN" w:bidi="ar"/>
        </w:rPr>
        <w:br w:type="page" w:clear="all"/>
      </w:r>
      <w:r>
        <w:rPr>
          <w:rFonts w:hint="eastAsia"/>
          <w:b/>
          <w:color w:val="auto"/>
          <w:sz w:val="32"/>
          <w:szCs w:val="32"/>
          <w:highlight w:val="none"/>
        </w:rPr>
        <w:t xml:space="preserve">合同条款</w:t>
      </w:r>
      <w:r/>
    </w:p>
    <w:p>
      <w:pPr>
        <w:ind w:firstLine="480"/>
        <w:jc w:val="center"/>
        <w:spacing w:line="336" w:lineRule="auto"/>
        <w:rPr>
          <w:rFonts w:ascii="宋体" w:hAnsi="宋体"/>
          <w:bCs/>
          <w:color w:val="auto"/>
          <w:sz w:val="24"/>
          <w:szCs w:val="24"/>
          <w:highlight w:val="none"/>
        </w:rPr>
      </w:pPr>
      <w:r>
        <w:rPr>
          <w:rFonts w:hint="eastAsia" w:ascii="宋体" w:hAnsi="宋体"/>
          <w:bCs/>
          <w:color w:val="auto"/>
          <w:sz w:val="24"/>
          <w:szCs w:val="24"/>
          <w:highlight w:val="none"/>
        </w:rPr>
        <w:t xml:space="preserve">（根据相关法律规定以及招标文件确定事项订立）</w:t>
      </w:r>
      <w:r/>
    </w:p>
    <w:p>
      <w:pPr>
        <w:ind w:firstLine="525"/>
        <w:spacing w:line="336" w:lineRule="auto"/>
        <w:rPr>
          <w:rFonts w:ascii="宋体"/>
          <w:bCs/>
          <w:color w:val="auto"/>
          <w:sz w:val="24"/>
          <w:szCs w:val="24"/>
          <w:highlight w:val="none"/>
        </w:rPr>
      </w:pPr>
      <w:r>
        <w:rPr>
          <w:rFonts w:hint="eastAsia" w:ascii="宋体" w:hAnsi="宋体"/>
          <w:bCs/>
          <w:color w:val="auto"/>
          <w:sz w:val="24"/>
          <w:szCs w:val="24"/>
          <w:highlight w:val="none"/>
        </w:rPr>
        <w:t xml:space="preserve">（一）合同内容：需方向供方购买。</w:t>
      </w:r>
      <w:r/>
    </w:p>
    <w:p>
      <w:pPr>
        <w:ind w:firstLine="525"/>
        <w:spacing w:line="336" w:lineRule="auto"/>
        <w:rPr>
          <w:rFonts w:ascii="宋体"/>
          <w:bCs/>
          <w:color w:val="auto"/>
          <w:sz w:val="24"/>
          <w:szCs w:val="24"/>
          <w:highlight w:val="none"/>
        </w:rPr>
      </w:pPr>
      <w:r>
        <w:rPr>
          <w:rFonts w:hint="eastAsia" w:ascii="宋体" w:hAnsi="宋体"/>
          <w:bCs/>
          <w:color w:val="auto"/>
          <w:sz w:val="24"/>
          <w:szCs w:val="24"/>
          <w:highlight w:val="none"/>
        </w:rPr>
        <w:t xml:space="preserve">（二）价格及支付：</w:t>
      </w:r>
      <w:r/>
    </w:p>
    <w:p>
      <w:pPr>
        <w:ind w:firstLine="523"/>
        <w:spacing w:line="336" w:lineRule="auto"/>
        <w:tabs>
          <w:tab w:val="left" w:pos="525" w:leader="none"/>
          <w:tab w:val="left" w:pos="1050" w:leader="none"/>
          <w:tab w:val="left" w:pos="1155" w:leader="none"/>
        </w:tabs>
        <w:rPr>
          <w:rFonts w:asci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按此次中标价格执行，合同总标的额为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numPr>
          <w:ilvl w:val="1"/>
          <w:numId w:val="0"/>
        </w:numPr>
        <w:ind w:left="0" w:firstLine="525"/>
        <w:spacing w:line="336" w:lineRule="auto"/>
        <w:tabs>
          <w:tab w:val="left" w:pos="945" w:leader="none"/>
          <w:tab w:val="left" w:pos="2100" w:leader="none"/>
        </w:tabs>
        <w:rPr>
          <w:rFonts w:hint="eastAsia" w:ascii="宋体" w:hAnsi="宋体" w:eastAsia="宋体" w:cs="宋体"/>
          <w:b w:val="0"/>
          <w:bCs w:val="0"/>
          <w:color w:val="auto"/>
          <w:sz w:val="24"/>
          <w:szCs w:val="24"/>
          <w:highlight w:val="none"/>
          <w:u w:val="single"/>
          <w:lang w:val="en-US" w:eastAsia="zh-CN"/>
        </w:rPr>
      </w:pPr>
      <w:r>
        <w:rPr>
          <w:rFonts w:hint="default" w:ascii="宋体" w:hAnsi="宋体" w:eastAsia="宋体" w:cs="Times New Roman"/>
          <w:b w:val="0"/>
          <w:bCs w:val="0"/>
          <w:color w:val="auto"/>
          <w:sz w:val="24"/>
          <w:szCs w:val="24"/>
          <w:highlight w:val="none"/>
          <w:lang w:val="en-US" w:eastAsia="zh-CN" w:bidi="ar-SA"/>
        </w:rPr>
        <w:t xml:space="preserve">2.</w:t>
      </w:r>
      <w:r>
        <w:rPr>
          <w:rFonts w:hint="eastAsia" w:ascii="宋体" w:hAnsi="宋体"/>
          <w:bCs/>
          <w:color w:val="auto"/>
          <w:sz w:val="24"/>
          <w:szCs w:val="24"/>
          <w:highlight w:val="none"/>
        </w:rPr>
        <w:t xml:space="preserve">付款方式：</w:t>
      </w:r>
      <w:r>
        <w:rPr>
          <w:rFonts w:hint="eastAsia" w:ascii="宋体" w:hAnsi="宋体" w:eastAsia="宋体" w:cs="宋体"/>
          <w:b w:val="0"/>
          <w:bCs w:val="0"/>
          <w:color w:val="auto"/>
          <w:sz w:val="24"/>
          <w:szCs w:val="24"/>
          <w:highlight w:val="none"/>
          <w:u w:val="single"/>
          <w:lang w:val="en-US" w:eastAsia="zh-CN"/>
        </w:rPr>
        <w:t xml:space="preserve">合同签订后，支付合同总金额的30%；6个月后支付合同总金额的40%。项目验收完成后支付合同总金额的30%。</w:t>
      </w:r>
      <w:r/>
    </w:p>
    <w:p>
      <w:pPr>
        <w:numPr>
          <w:ilvl w:val="1"/>
          <w:numId w:val="0"/>
        </w:numPr>
        <w:ind w:left="0" w:firstLine="525"/>
        <w:spacing w:line="336" w:lineRule="auto"/>
        <w:tabs>
          <w:tab w:val="left" w:pos="945" w:leader="none"/>
          <w:tab w:val="left" w:pos="2100" w:leader="none"/>
        </w:tabs>
        <w:rPr>
          <w:rFonts w:ascii="宋体"/>
          <w:bCs/>
          <w:color w:val="auto"/>
          <w:sz w:val="24"/>
          <w:szCs w:val="24"/>
          <w:highlight w:val="none"/>
        </w:rPr>
      </w:pPr>
      <w:r>
        <w:rPr>
          <w:rFonts w:hint="default" w:ascii="宋体" w:hAnsi="Times New Roman"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履约保证金的缴纳和退付：</w:t>
      </w:r>
      <w:r/>
    </w:p>
    <w:p>
      <w:pPr>
        <w:ind w:firstLine="480"/>
        <w:spacing w:line="336" w:lineRule="auto"/>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本项目是</w:t>
      </w:r>
      <w:r>
        <w:rPr>
          <w:rFonts w:ascii="宋体" w:hAnsi="宋体"/>
          <w:bCs/>
          <w:color w:val="auto"/>
          <w:sz w:val="24"/>
          <w:szCs w:val="24"/>
          <w:highlight w:val="none"/>
        </w:rPr>
        <w:t xml:space="preserve">/否向采购人缴纳履约保证金：</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p>
    <w:p>
      <w:pPr>
        <w:ind w:firstLine="480"/>
        <w:spacing w:line="336" w:lineRule="auto"/>
        <w:tabs>
          <w:tab w:val="left" w:pos="945" w:leader="none"/>
          <w:tab w:val="left" w:pos="21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元。</w:t>
      </w:r>
      <w:r/>
    </w:p>
    <w:p>
      <w:pPr>
        <w:ind w:firstLine="480"/>
        <w:spacing w:line="336" w:lineRule="auto"/>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36" w:lineRule="auto"/>
        <w:tabs>
          <w:tab w:val="left" w:pos="945" w:leader="none"/>
          <w:tab w:val="left" w:pos="2100" w:leader="none"/>
        </w:tabs>
        <w:rPr>
          <w:rFonts w:ascii="宋体" w:hAnsi="宋体"/>
          <w:bCs/>
          <w:color w:val="auto"/>
          <w:sz w:val="24"/>
          <w:highlight w:val="none"/>
        </w:rPr>
      </w:pPr>
      <w:r>
        <w:rPr>
          <w:rFonts w:hint="eastAsia" w:ascii="宋体" w:hAnsi="宋体"/>
          <w:bCs/>
          <w:color w:val="auto"/>
          <w:sz w:val="24"/>
          <w:szCs w:val="24"/>
          <w:highlight w:val="none"/>
        </w:rPr>
        <w:t xml:space="preserve">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，退付办法：</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 xml:space="preserve">。</w:t>
      </w:r>
      <w:r/>
    </w:p>
    <w:p>
      <w:pPr>
        <w:ind w:firstLine="480"/>
        <w:spacing w:line="336" w:lineRule="auto"/>
        <w:tabs>
          <w:tab w:val="left" w:pos="945" w:leader="none"/>
          <w:tab w:val="left" w:pos="2100" w:leader="none"/>
        </w:tabs>
        <w:rPr>
          <w:rFonts w:ascii="宋体" w:hAnsi="宋体"/>
          <w:bCs/>
          <w:color w:val="auto"/>
          <w:sz w:val="24"/>
          <w:highlight w:val="none"/>
        </w:rPr>
      </w:pPr>
      <w:r>
        <w:rPr>
          <w:rFonts w:hint="eastAsia" w:ascii="宋体" w:hAnsi="宋体"/>
          <w:bCs/>
          <w:color w:val="auto"/>
          <w:sz w:val="24"/>
          <w:highlight w:val="none"/>
        </w:rPr>
        <w:t xml:space="preserve">履约保证金不予退还的情形：</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336" w:lineRule="auto"/>
        <w:tabs>
          <w:tab w:val="left" w:pos="945" w:leader="none"/>
          <w:tab w:val="left" w:pos="2100" w:leader="none"/>
        </w:tabs>
        <w:rPr>
          <w:rFonts w:ascii="宋体"/>
          <w:bCs/>
          <w:color w:val="auto"/>
          <w:sz w:val="24"/>
          <w:szCs w:val="24"/>
          <w:highlight w:val="none"/>
        </w:rPr>
      </w:pPr>
      <w:r>
        <w:rPr>
          <w:rFonts w:hint="eastAsia" w:ascii="宋体" w:hAnsi="宋体"/>
          <w:bCs/>
          <w:color w:val="auto"/>
          <w:sz w:val="24"/>
          <w:highlight w:val="none"/>
        </w:rPr>
        <w:t xml:space="preserve">逾期退还履约保证金的违约责任：</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336" w:lineRule="auto"/>
        <w:tabs>
          <w:tab w:val="left" w:pos="0" w:leader="none"/>
          <w:tab w:val="left" w:pos="1365" w:leader="none"/>
        </w:tabs>
        <w:rPr>
          <w:rFonts w:ascii="宋体"/>
          <w:bCs/>
          <w:color w:val="auto"/>
          <w:sz w:val="24"/>
          <w:szCs w:val="24"/>
          <w:highlight w:val="none"/>
        </w:rPr>
      </w:pPr>
      <w:r>
        <w:rPr>
          <w:rFonts w:hint="eastAsia" w:ascii="宋体" w:hAnsi="宋体"/>
          <w:bCs/>
          <w:color w:val="auto"/>
          <w:sz w:val="24"/>
          <w:szCs w:val="24"/>
          <w:highlight w:val="none"/>
        </w:rPr>
        <w:t xml:space="preserve">（三）知识产权</w:t>
      </w:r>
      <w:r/>
    </w:p>
    <w:p>
      <w:pPr>
        <w:ind w:firstLine="480"/>
        <w:spacing w:line="336"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36" w:lineRule="auto"/>
        <w:tabs>
          <w:tab w:val="left" w:pos="735" w:leader="none"/>
        </w:tabs>
        <w:rPr>
          <w:rFonts w:ascii="宋体"/>
          <w:bCs/>
          <w:color w:val="auto"/>
          <w:sz w:val="24"/>
          <w:szCs w:val="24"/>
          <w:highlight w:val="none"/>
        </w:rPr>
      </w:pPr>
      <w:r>
        <w:rPr>
          <w:rFonts w:hint="eastAsia" w:ascii="宋体" w:hAnsi="宋体"/>
          <w:bCs/>
          <w:color w:val="auto"/>
          <w:sz w:val="24"/>
          <w:szCs w:val="24"/>
          <w:highlight w:val="none"/>
        </w:rPr>
        <w:t xml:space="preserve">（四）质量要求与检验：</w:t>
      </w:r>
      <w:r/>
    </w:p>
    <w:p>
      <w:pPr>
        <w:ind w:firstLine="480"/>
        <w:spacing w:line="336" w:lineRule="auto"/>
        <w:tabs>
          <w:tab w:val="left" w:pos="525" w:leader="none"/>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1.供方应严格按照招标文件的有关规定和供方投标文件提供合格的货物及服务。</w:t>
      </w:r>
      <w:r/>
    </w:p>
    <w:p>
      <w:pPr>
        <w:ind w:firstLine="480"/>
        <w:spacing w:line="336"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36" w:lineRule="auto"/>
        <w:tabs>
          <w:tab w:val="left" w:pos="420" w:leader="none"/>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4.货物和系统调试验收标准：按行业通行标准、厂方出厂标准、招标文件要求和供方投标文件的承诺，并不低于国家相关标准。</w:t>
      </w:r>
      <w:r/>
    </w:p>
    <w:p>
      <w:pPr>
        <w:ind w:firstLine="480"/>
        <w:spacing w:line="336"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5.货物运到需方指定地点并经需方验证签收后，由于需方保管不善造成的质量问题，供方应负责修理，但有关费用由需方承担。</w:t>
      </w:r>
      <w:r/>
    </w:p>
    <w:p>
      <w:pPr>
        <w:ind w:firstLine="480"/>
        <w:spacing w:line="336"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36" w:lineRule="auto"/>
        <w:tabs>
          <w:tab w:val="left" w:pos="105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36" w:lineRule="auto"/>
        <w:rPr>
          <w:rFonts w:ascii="宋体"/>
          <w:bCs/>
          <w:color w:val="auto"/>
          <w:sz w:val="24"/>
          <w:szCs w:val="24"/>
          <w:highlight w:val="none"/>
        </w:rPr>
      </w:pPr>
      <w:r>
        <w:rPr>
          <w:rFonts w:hint="eastAsia" w:ascii="宋体" w:hAnsi="宋体"/>
          <w:bCs/>
          <w:color w:val="auto"/>
          <w:sz w:val="24"/>
          <w:szCs w:val="24"/>
          <w:highlight w:val="none"/>
        </w:rPr>
        <w:t xml:space="preserve">（五）交货条件：</w:t>
      </w:r>
      <w:r/>
    </w:p>
    <w:p>
      <w:pPr>
        <w:ind w:firstLine="480"/>
        <w:spacing w:line="336" w:lineRule="auto"/>
        <w:tabs>
          <w:tab w:val="left" w:pos="42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1.交货日期（或完工期）：</w:t>
      </w:r>
      <w:r/>
    </w:p>
    <w:p>
      <w:pPr>
        <w:ind w:firstLine="480"/>
        <w:spacing w:line="336" w:lineRule="auto"/>
        <w:tabs>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2.供方在验收时应先用信函、传真、电子邮件等书面方式通知需方。</w:t>
      </w:r>
      <w:r/>
    </w:p>
    <w:p>
      <w:pPr>
        <w:ind w:firstLine="480"/>
        <w:spacing w:line="336" w:lineRule="auto"/>
        <w:tabs>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36" w:lineRule="auto"/>
        <w:tabs>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4.货物交货时，所有货物必须带有货物质量检验合格证书、中文质保单、装箱单、中文货物安装使用说明书。其它附件所有部件必须原包装。</w:t>
      </w:r>
      <w:r/>
    </w:p>
    <w:p>
      <w:pPr>
        <w:ind w:left="2" w:firstLine="480"/>
        <w:spacing w:line="336" w:lineRule="auto"/>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5.运输及到货地点：由供方负责办理运输并承担所有费用，直接送到需方指定地点，即：以合同书上的地点为准。</w:t>
      </w:r>
      <w:r/>
    </w:p>
    <w:p>
      <w:pPr>
        <w:ind w:firstLine="480"/>
        <w:spacing w:line="336" w:lineRule="auto"/>
        <w:rPr>
          <w:rFonts w:ascii="宋体"/>
          <w:bCs/>
          <w:color w:val="auto"/>
          <w:sz w:val="24"/>
          <w:szCs w:val="24"/>
          <w:highlight w:val="none"/>
        </w:rPr>
      </w:pPr>
      <w:r>
        <w:rPr>
          <w:rFonts w:hint="eastAsia" w:ascii="宋体" w:hAnsi="宋体"/>
          <w:bCs/>
          <w:color w:val="auto"/>
          <w:sz w:val="24"/>
          <w:szCs w:val="24"/>
          <w:highlight w:val="none"/>
        </w:rPr>
        <w:t xml:space="preserve">（六）安装调试及售后服务：</w:t>
      </w:r>
      <w:r/>
    </w:p>
    <w:p>
      <w:pPr>
        <w:ind w:firstLine="480"/>
        <w:spacing w:line="336" w:lineRule="auto"/>
        <w:tabs>
          <w:tab w:val="left" w:pos="525" w:leader="none"/>
          <w:tab w:val="left" w:pos="840" w:leader="none"/>
          <w:tab w:val="left" w:pos="945"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1.供方负责本项目的安装和调试，并保证其提供的货物符合国家、行业、地方、招投标文件及合同规定的质量、性能和标准，并正确且安全地安装。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2.供方提供的服务全部按照国家有关法律法规规章和“三包”规定以及按招标文件要求和供方投标文件中的承诺执行。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3.质保期后的货物维护由双方协商再定。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4.需方应向供方现场调试的技术人员及维修人员提供方便条件，有关费用由供方负责。</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bCs/>
          <w:color w:val="auto"/>
          <w:sz w:val="24"/>
          <w:szCs w:val="24"/>
          <w:highlight w:val="none"/>
        </w:rPr>
      </w:pPr>
      <w:r>
        <w:rPr>
          <w:rFonts w:hint="eastAsia" w:ascii="宋体" w:hAnsi="宋体"/>
          <w:bCs/>
          <w:color w:val="auto"/>
          <w:sz w:val="24"/>
          <w:szCs w:val="24"/>
          <w:highlight w:val="none"/>
        </w:rPr>
        <w:t xml:space="preserve">5.需方如要求供方提供招标文件及供方投标文件以外的其它服务，其费用另定。</w:t>
      </w:r>
      <w:r/>
    </w:p>
    <w:p>
      <w:pPr>
        <w:ind w:firstLine="480"/>
        <w:spacing w:line="336" w:lineRule="auto"/>
        <w:rPr>
          <w:rFonts w:ascii="宋体"/>
          <w:bCs/>
          <w:color w:val="auto"/>
          <w:sz w:val="24"/>
          <w:szCs w:val="24"/>
          <w:highlight w:val="none"/>
        </w:rPr>
      </w:pPr>
      <w:r>
        <w:rPr>
          <w:rFonts w:hint="eastAsia" w:ascii="宋体" w:hAnsi="宋体"/>
          <w:bCs/>
          <w:color w:val="auto"/>
          <w:sz w:val="24"/>
          <w:szCs w:val="24"/>
          <w:highlight w:val="none"/>
        </w:rPr>
        <w:t xml:space="preserve">（七）违约责任：</w:t>
      </w:r>
      <w:r/>
    </w:p>
    <w:p>
      <w:pPr>
        <w:ind w:firstLine="480"/>
        <w:spacing w:line="336" w:lineRule="auto"/>
        <w:tabs>
          <w:tab w:val="left" w:pos="0"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36" w:lineRule="auto"/>
        <w:tabs>
          <w:tab w:val="left" w:pos="0"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2.如供方逾期交货且未经需方同意延长交货时间，除不可抗力外，每逾期一日，供方应按照逾期交货金额的</w:t>
      </w:r>
      <w:r>
        <w:rPr>
          <w:rFonts w:hint="eastAsia" w:ascii="宋体" w:hAnsi="宋体"/>
          <w:bCs/>
          <w:color w:val="auto"/>
          <w:sz w:val="24"/>
          <w:szCs w:val="24"/>
          <w:highlight w:val="none"/>
        </w:rPr>
        <w:t xml:space="preserve">千</w:t>
      </w:r>
      <w:r>
        <w:rPr>
          <w:rFonts w:hint="eastAsia" w:ascii="宋体" w:hAnsi="宋体"/>
          <w:bCs/>
          <w:color w:val="auto"/>
          <w:sz w:val="24"/>
          <w:szCs w:val="24"/>
          <w:highlight w:val="none"/>
        </w:rPr>
        <w:t xml:space="preserve">分之五的标准累计计算向需方支付违约金。逾期超过</w:t>
      </w:r>
      <w:r>
        <w:rPr>
          <w:rFonts w:ascii="宋体" w:hAnsi="宋体"/>
          <w:bCs/>
          <w:color w:val="auto"/>
          <w:sz w:val="24"/>
          <w:szCs w:val="24"/>
          <w:highlight w:val="none"/>
        </w:rPr>
        <w:t xml:space="preserve">20</w:t>
      </w:r>
      <w:r>
        <w:rPr>
          <w:rFonts w:hint="eastAsia" w:ascii="宋体" w:hAnsi="宋体"/>
          <w:bCs/>
          <w:color w:val="auto"/>
          <w:sz w:val="24"/>
          <w:szCs w:val="24"/>
          <w:highlight w:val="none"/>
        </w:rPr>
        <w:t xml:space="preserve">个工作日的，需方有权依照法律程序解除合同，需方如已支付费用的，供方全部返还，且供方应按照合同总价的</w:t>
      </w: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向需方支付违约金，如给需方造成损失的，还应赔偿损失。</w:t>
      </w:r>
      <w:r/>
    </w:p>
    <w:p>
      <w:pPr>
        <w:ind w:firstLine="480"/>
        <w:spacing w:line="336"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3.需方无正当理由逾期付款时，每逾期一日，需方应按照逾期付款金额的</w:t>
      </w:r>
      <w:r>
        <w:rPr>
          <w:rFonts w:hint="eastAsia" w:ascii="宋体" w:hAnsi="宋体"/>
          <w:bCs/>
          <w:color w:val="auto"/>
          <w:sz w:val="24"/>
          <w:szCs w:val="24"/>
          <w:highlight w:val="none"/>
        </w:rPr>
        <w:t xml:space="preserve">万</w:t>
      </w:r>
      <w:r>
        <w:rPr>
          <w:rFonts w:hint="eastAsia" w:ascii="宋体" w:hAnsi="宋体"/>
          <w:bCs/>
          <w:color w:val="auto"/>
          <w:sz w:val="24"/>
          <w:szCs w:val="24"/>
          <w:highlight w:val="none"/>
        </w:rPr>
        <w:t xml:space="preserve">分之五的标准累计计算向供方支付违约金。</w:t>
      </w:r>
      <w:r/>
    </w:p>
    <w:p>
      <w:pPr>
        <w:ind w:firstLine="480"/>
        <w:spacing w:line="336"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4.由于需方的原因要求延期交货，需方应按规定承付货款，并承担供方提供的代为保管费。（有关仓储规定另议）</w:t>
      </w:r>
      <w:r/>
    </w:p>
    <w:p>
      <w:pPr>
        <w:ind w:firstLine="480"/>
        <w:spacing w:line="336"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5.供方如无不可抗力，又未履行招标文件、投标文件和合同条款的，一经查实，由供方赔偿由此给需方造成的损失，并按照合同总价的</w:t>
      </w:r>
      <w:r>
        <w:rPr>
          <w:rFonts w:ascii="宋体" w:hAnsi="宋体"/>
          <w:bCs/>
          <w:color w:val="auto"/>
          <w:sz w:val="24"/>
          <w:szCs w:val="24"/>
          <w:highlight w:val="none"/>
        </w:rPr>
        <w:t xml:space="preserve">30%</w:t>
      </w:r>
      <w:r>
        <w:rPr>
          <w:rFonts w:hint="eastAsia" w:ascii="宋体" w:hAnsi="宋体"/>
          <w:bCs/>
          <w:color w:val="auto"/>
          <w:sz w:val="24"/>
          <w:szCs w:val="24"/>
          <w:highlight w:val="none"/>
        </w:rPr>
        <w:t xml:space="preserve">向需方支付违约金，因招、投标产生的其他责任及后果按招标文件的相关要求及处理方式执行。</w:t>
      </w:r>
      <w:r/>
    </w:p>
    <w:p>
      <w:pPr>
        <w:ind w:firstLine="480"/>
        <w:spacing w:line="336"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color w:val="auto"/>
          <w:sz w:val="24"/>
          <w:szCs w:val="24"/>
          <w:highlight w:val="none"/>
        </w:rPr>
        <w:t xml:space="preserve">20%</w:t>
      </w:r>
      <w:r>
        <w:rPr>
          <w:rFonts w:hint="eastAsia" w:ascii="宋体" w:hAnsi="宋体"/>
          <w:bCs/>
          <w:color w:val="auto"/>
          <w:sz w:val="24"/>
          <w:szCs w:val="24"/>
          <w:highlight w:val="none"/>
        </w:rPr>
        <w:t xml:space="preserve">向需方支付违约金，如给需方造成其他损失的，供方还应负责赔偿。</w:t>
      </w:r>
      <w:r/>
    </w:p>
    <w:p>
      <w:pPr>
        <w:ind w:firstLine="480"/>
        <w:spacing w:line="336"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36" w:lineRule="auto"/>
        <w:tabs>
          <w:tab w:val="left" w:pos="105"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8.招标文件及合同中所述之“不可抗力”系指不可预见、不可避免、不可克服的事件，包括但不限于：战争、洪水、台风、地震及其他法律、法规规定的事件。</w:t>
      </w:r>
      <w:r/>
    </w:p>
    <w:p>
      <w:pPr>
        <w:pStyle w:val="1576"/>
        <w:numPr>
          <w:ilvl w:val="0"/>
          <w:numId w:val="2"/>
        </w:numPr>
        <w:spacing w:line="336" w:lineRule="auto"/>
        <w:rPr>
          <w:rFonts w:ascii="宋体"/>
          <w:bCs/>
          <w:color w:val="auto"/>
          <w:sz w:val="24"/>
          <w:szCs w:val="24"/>
          <w:highlight w:val="none"/>
        </w:rPr>
      </w:pPr>
      <w:r>
        <w:rPr>
          <w:rFonts w:hint="eastAsia" w:ascii="宋体" w:hAnsi="宋体"/>
          <w:bCs/>
          <w:color w:val="auto"/>
          <w:sz w:val="24"/>
          <w:szCs w:val="24"/>
          <w:highlight w:val="none"/>
        </w:rPr>
        <w:t xml:space="preserve">合同生效及其它：</w:t>
      </w:r>
      <w:r/>
    </w:p>
    <w:p>
      <w:pPr>
        <w:ind w:firstLine="480"/>
        <w:spacing w:line="336" w:lineRule="auto"/>
        <w:tabs>
          <w:tab w:val="left" w:pos="0"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1.</w:t>
      </w:r>
      <w:r>
        <w:rPr>
          <w:rFonts w:hint="eastAsia"/>
          <w:color w:val="auto"/>
          <w:highlight w:val="none"/>
        </w:rPr>
        <w:t xml:space="preserve"> </w:t>
      </w:r>
      <w:r>
        <w:rPr>
          <w:rFonts w:hint="eastAsia" w:ascii="宋体" w:hAnsi="宋体"/>
          <w:bCs/>
          <w:color w:val="auto"/>
          <w:sz w:val="24"/>
          <w:szCs w:val="24"/>
          <w:highlight w:val="none"/>
        </w:rPr>
        <w:t xml:space="preserve">合同经</w:t>
      </w:r>
      <w:r>
        <w:rPr>
          <w:rFonts w:hint="eastAsia" w:ascii="宋体" w:hAnsi="宋体"/>
          <w:bCs/>
          <w:color w:val="auto"/>
          <w:sz w:val="24"/>
          <w:szCs w:val="24"/>
          <w:highlight w:val="none"/>
          <w:lang w:val="en-US" w:eastAsia="zh-CN"/>
        </w:rPr>
        <w:t xml:space="preserve">江苏建达全过程工程咨询有限公司</w:t>
      </w:r>
      <w:r>
        <w:rPr>
          <w:rFonts w:hint="eastAsia" w:ascii="宋体" w:hAnsi="宋体"/>
          <w:bCs/>
          <w:color w:val="auto"/>
          <w:sz w:val="24"/>
          <w:szCs w:val="24"/>
          <w:highlight w:val="none"/>
        </w:rPr>
        <w:t xml:space="preserve">对《合同书（格式条款）》见证后，供需双方代表需签字并盖章后生效。</w:t>
      </w:r>
      <w:r/>
    </w:p>
    <w:p>
      <w:pPr>
        <w:ind w:firstLine="480"/>
        <w:spacing w:line="336" w:lineRule="auto"/>
        <w:tabs>
          <w:tab w:val="left" w:pos="0" w:leader="none"/>
          <w:tab w:val="left" w:pos="315"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 xml:space="preserve">由供需双方协商处理，若协商不成，</w:t>
      </w:r>
      <w:r>
        <w:rPr>
          <w:rFonts w:hint="eastAsia" w:ascii="宋体" w:hAnsi="宋体"/>
          <w:bCs/>
          <w:color w:val="auto"/>
          <w:sz w:val="24"/>
          <w:szCs w:val="24"/>
          <w:highlight w:val="none"/>
        </w:rPr>
        <w:t xml:space="preserve">可选择以下方式处理：</w:t>
      </w:r>
      <w:r/>
    </w:p>
    <w:p>
      <w:pPr>
        <w:ind w:firstLine="480"/>
        <w:spacing w:line="336" w:lineRule="auto"/>
        <w:tabs>
          <w:tab w:val="left" w:pos="0" w:leader="none"/>
          <w:tab w:val="left" w:pos="315" w:leader="none"/>
          <w:tab w:val="left" w:pos="525"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（1）向无锡仲裁委员会申请仲裁。</w:t>
      </w:r>
      <w:r/>
    </w:p>
    <w:p>
      <w:pPr>
        <w:ind w:firstLine="480"/>
        <w:spacing w:line="336" w:lineRule="auto"/>
        <w:tabs>
          <w:tab w:val="left" w:pos="0" w:leader="none"/>
          <w:tab w:val="left" w:pos="315" w:leader="none"/>
          <w:tab w:val="left" w:pos="525" w:leader="none"/>
          <w:tab w:val="left" w:pos="945" w:leader="none"/>
        </w:tabs>
        <w:rPr>
          <w:rFonts w:ascii="宋体"/>
          <w:color w:val="auto"/>
          <w:sz w:val="24"/>
          <w:szCs w:val="24"/>
          <w:highlight w:val="none"/>
        </w:rPr>
      </w:pPr>
      <w:r>
        <w:rPr>
          <w:rFonts w:hint="eastAsia" w:ascii="宋体" w:hAnsi="宋体"/>
          <w:color w:val="auto"/>
          <w:sz w:val="24"/>
          <w:szCs w:val="24"/>
          <w:highlight w:val="none"/>
        </w:rPr>
        <w:t xml:space="preserve">（2）向需方所在地法院提起诉讼。</w:t>
      </w:r>
      <w:r/>
    </w:p>
    <w:p>
      <w:pPr>
        <w:ind w:firstLine="480"/>
        <w:spacing w:line="336" w:lineRule="auto"/>
        <w:tabs>
          <w:tab w:val="left" w:pos="0"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36" w:lineRule="auto"/>
        <w:tabs>
          <w:tab w:val="left" w:pos="0" w:leader="none"/>
          <w:tab w:val="left" w:pos="315" w:leader="none"/>
          <w:tab w:val="left" w:pos="525"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4.合同中未有约定的按照有关的法律法规以及国家行业标准或技术文件规定予以解决。</w:t>
      </w:r>
      <w:r/>
    </w:p>
    <w:p>
      <w:pPr>
        <w:ind w:firstLine="480"/>
        <w:spacing w:line="336" w:lineRule="auto"/>
        <w:tabs>
          <w:tab w:val="left" w:pos="0" w:leader="none"/>
          <w:tab w:val="left" w:pos="315"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5.供需双方确认：对本合同条款及后果均已知悉，一致确认不存在欺诈、胁迫、乘人之危、重大误解、显失公平等任何可能导致合同无效或被撤销的情形。</w:t>
      </w:r>
      <w:r/>
    </w:p>
    <w:p>
      <w:pPr>
        <w:jc w:val="both"/>
        <w:spacing w:line="336" w:lineRule="auto"/>
        <w:rPr>
          <w:rFonts w:ascii="宋体" w:hAnsi="宋体"/>
          <w:bCs/>
          <w:color w:val="auto"/>
          <w:sz w:val="24"/>
          <w:szCs w:val="24"/>
          <w:highlight w:val="none"/>
        </w:rPr>
      </w:pPr>
      <w:r>
        <w:rPr>
          <w:rFonts w:ascii="宋体" w:hAnsi="宋体"/>
          <w:bCs/>
          <w:color w:val="auto"/>
          <w:sz w:val="24"/>
          <w:szCs w:val="24"/>
          <w:highlight w:val="none"/>
        </w:rPr>
      </w:r>
      <w:r/>
    </w:p>
    <w:p>
      <w:pPr>
        <w:spacing w:line="336" w:lineRule="auto"/>
        <w:rPr>
          <w:rFonts w:ascii="宋体"/>
          <w:bCs/>
          <w:color w:val="auto"/>
          <w:sz w:val="24"/>
          <w:szCs w:val="24"/>
          <w:highlight w:val="none"/>
          <w:u w:val="single"/>
        </w:rPr>
      </w:pPr>
      <w:r>
        <w:rPr>
          <w:rFonts w:hint="eastAsia" w:ascii="宋体" w:hAnsi="宋体"/>
          <w:bCs/>
          <w:color w:val="auto"/>
          <w:sz w:val="24"/>
          <w:szCs w:val="24"/>
          <w:highlight w:val="none"/>
        </w:rPr>
        <w:t xml:space="preserve">需方（采购人）：（签章）</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供方（中标方）：（签章）</w:t>
      </w:r>
      <w:r/>
    </w:p>
    <w:p>
      <w:pPr>
        <w:spacing w:line="336"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法定（授权）代表人：</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法定（授权）代表人：</w:t>
      </w:r>
      <w:r/>
    </w:p>
    <w:p>
      <w:pPr>
        <w:spacing w:line="336"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地址：</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地址：</w:t>
      </w:r>
      <w:r/>
    </w:p>
    <w:p>
      <w:pPr>
        <w:ind w:firstLine="480"/>
        <w:spacing w:line="336" w:lineRule="auto"/>
        <w:rPr>
          <w:rFonts w:ascii="宋体"/>
          <w:bCs/>
          <w:color w:val="auto"/>
          <w:sz w:val="24"/>
          <w:szCs w:val="24"/>
          <w:highlight w:val="none"/>
          <w:u w:val="single"/>
        </w:rPr>
      </w:pPr>
      <w:r>
        <w:rPr>
          <w:rFonts w:hint="eastAsia" w:ascii="宋体" w:hAnsi="宋体"/>
          <w:bCs/>
          <w:color w:val="auto"/>
          <w:sz w:val="24"/>
          <w:szCs w:val="24"/>
          <w:highlight w:val="none"/>
        </w:rPr>
        <w:t xml:space="preserve">年</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年</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w:t>
      </w:r>
      <w:r/>
    </w:p>
    <w:p>
      <w:pPr>
        <w:ind w:firstLine="480"/>
        <w:spacing w:line="336" w:lineRule="auto"/>
        <w:rPr>
          <w:rFonts w:ascii="宋体" w:hAnsi="宋体"/>
          <w:bCs/>
          <w:color w:val="auto"/>
          <w:sz w:val="24"/>
          <w:szCs w:val="24"/>
          <w:highlight w:val="none"/>
          <w:u w:val="singl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供方户名：</w:t>
      </w:r>
      <w:r/>
    </w:p>
    <w:p>
      <w:pPr>
        <w:spacing w:line="336" w:lineRule="auto"/>
        <w:rPr>
          <w:rFonts w:ascii="宋体" w:hAnsi="宋体"/>
          <w:bCs/>
          <w:color w:val="auto"/>
          <w:sz w:val="24"/>
          <w:szCs w:val="24"/>
          <w:highlight w:val="none"/>
          <w:u w:val="singl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供方开户银行：</w:t>
      </w:r>
      <w:r/>
    </w:p>
    <w:p>
      <w:pPr>
        <w:ind w:firstLine="480"/>
        <w:spacing w:line="336" w:lineRule="auto"/>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供方帐号：</w:t>
      </w:r>
      <w:r/>
    </w:p>
    <w:p>
      <w:pPr>
        <w:keepLines w:val="0"/>
        <w:keepNext w:val="0"/>
        <w:pageBreakBefore w:val="0"/>
        <w:spacing w:line="360" w:lineRule="auto"/>
        <w:widowControl/>
        <w:rPr>
          <w:rFonts w:hint="eastAsia" w:ascii="宋体" w:hAnsi="宋体" w:eastAsia="宋体" w:cs="宋体"/>
          <w:color w:val="000000"/>
          <w:sz w:val="24"/>
          <w:szCs w:val="24"/>
          <w:highlight w:val="none"/>
          <w:lang w:val="zh-TW" w:eastAsia="zh-CN"/>
        </w:rPr>
        <w:outlineLvl w:val="9"/>
      </w:pPr>
      <w:r>
        <w:rPr>
          <w:rFonts w:hint="eastAsia" w:ascii="宋体" w:hAnsi="宋体" w:eastAsia="宋体" w:cs="宋体"/>
          <w:color w:val="000000"/>
          <w:sz w:val="24"/>
          <w:szCs w:val="24"/>
          <w:highlight w:val="none"/>
          <w:lang w:val="zh-TW" w:eastAsia="zh-CN"/>
        </w:rPr>
      </w:r>
      <w:r/>
    </w:p>
    <w:p>
      <w:pPr>
        <w:keepLines w:val="0"/>
        <w:keepNext w:val="0"/>
        <w:pageBreakBefore w:val="0"/>
        <w:spacing w:line="360" w:lineRule="auto"/>
        <w:widowControl/>
        <w:rPr>
          <w:rFonts w:hint="eastAsia" w:ascii="宋体" w:hAnsi="宋体" w:eastAsia="宋体" w:cs="宋体"/>
          <w:color w:val="000000"/>
          <w:sz w:val="24"/>
          <w:szCs w:val="24"/>
          <w:highlight w:val="none"/>
          <w:lang w:val="zh-TW" w:eastAsia="zh-CN"/>
        </w:rPr>
        <w:outlineLvl w:val="9"/>
      </w:pPr>
      <w:r>
        <w:rPr>
          <w:rFonts w:hint="eastAsia" w:ascii="宋体" w:hAnsi="宋体" w:eastAsia="宋体" w:cs="宋体"/>
          <w:color w:val="000000"/>
          <w:sz w:val="24"/>
          <w:szCs w:val="24"/>
          <w:highlight w:val="none"/>
          <w:lang w:val="zh-TW" w:eastAsia="zh-CN"/>
        </w:rPr>
      </w:r>
      <w:r/>
    </w:p>
    <w:p>
      <w:pPr>
        <w:spacing w:line="360" w:lineRule="auto"/>
        <w:rPr>
          <w:rFonts w:hint="eastAsia" w:ascii="宋体" w:hAnsi="宋体"/>
          <w:b/>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pPr>
      <w:r>
        <w:rPr>
          <w:rFonts w:hint="eastAsia" w:ascii="宋体" w:hAnsi="宋体"/>
          <w:b/>
          <w:sz w:val="24"/>
          <w:szCs w:val="24"/>
          <w:highlight w:val="none"/>
          <w:u w:val="single"/>
        </w:rPr>
      </w:r>
      <w:r/>
    </w:p>
    <w:p>
      <w:pPr>
        <w:jc w:val="center"/>
        <w:spacing w:line="360" w:lineRule="auto"/>
        <w:rPr>
          <w:rFonts w:hint="eastAsia" w:hAnsi="宋体" w:cs="宋体"/>
          <w:b/>
          <w:bCs/>
          <w:sz w:val="32"/>
          <w:szCs w:val="32"/>
          <w:highlight w:val="none"/>
        </w:rPr>
        <w:outlineLvl w:val="0"/>
      </w:pPr>
      <w:r/>
      <w:bookmarkStart w:id="33" w:name="_Toc5730"/>
      <w:r>
        <w:rPr>
          <w:rFonts w:hint="eastAsia" w:hAnsi="宋体" w:cs="宋体"/>
          <w:b/>
          <w:bCs/>
          <w:sz w:val="32"/>
          <w:szCs w:val="32"/>
          <w:highlight w:val="none"/>
        </w:rPr>
        <w:t xml:space="preserve">五、附件</w:t>
      </w:r>
      <w:bookmarkEnd w:id="31"/>
      <w:r/>
      <w:bookmarkEnd w:id="32"/>
      <w:r/>
      <w:bookmarkEnd w:id="33"/>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附件一：</w:t>
      </w:r>
      <w:r/>
    </w:p>
    <w:p>
      <w:pPr>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一、评标方法</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二、评分标准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（一）评分项目及分值（总分100分）</w:t>
      </w:r>
      <w:r/>
    </w:p>
    <w:p>
      <w:pPr>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cs="宋体"/>
          <w:b/>
          <w:bCs/>
          <w:sz w:val="24"/>
          <w:szCs w:val="24"/>
          <w:highlight w:val="none"/>
        </w:rPr>
        <w:t xml:space="preserve">价格分</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20</w:t>
      </w:r>
      <w:r>
        <w:rPr>
          <w:rFonts w:hint="eastAsia" w:ascii="宋体" w:hAnsi="宋体" w:cs="宋体"/>
          <w:b/>
          <w:sz w:val="24"/>
          <w:szCs w:val="24"/>
          <w:highlight w:val="none"/>
        </w:rPr>
        <w:t xml:space="preserve">分</w:t>
      </w:r>
      <w:r/>
    </w:p>
    <w:p>
      <w:pPr>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2、投标供应商综合情况                       </w:t>
      </w:r>
      <w:r>
        <w:rPr>
          <w:rFonts w:hint="eastAsia" w:ascii="宋体" w:hAnsi="宋体" w:cs="宋体"/>
          <w:b/>
          <w:sz w:val="24"/>
          <w:szCs w:val="24"/>
          <w:highlight w:val="none"/>
          <w:lang w:val="en-US" w:eastAsia="zh-CN"/>
        </w:rPr>
        <w:t xml:space="preserve">20</w:t>
      </w:r>
      <w:r>
        <w:rPr>
          <w:rFonts w:hint="eastAsia" w:ascii="宋体" w:hAnsi="宋体" w:cs="宋体"/>
          <w:b/>
          <w:sz w:val="24"/>
          <w:szCs w:val="24"/>
          <w:highlight w:val="none"/>
        </w:rPr>
        <w:t xml:space="preserve">分</w:t>
      </w:r>
      <w:r/>
    </w:p>
    <w:p>
      <w:pPr>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3、技术方案                                 </w:t>
      </w:r>
      <w:r>
        <w:rPr>
          <w:rFonts w:hint="eastAsia" w:ascii="宋体" w:hAnsi="宋体" w:cs="宋体"/>
          <w:b/>
          <w:sz w:val="24"/>
          <w:szCs w:val="24"/>
          <w:highlight w:val="none"/>
          <w:lang w:val="en-US" w:eastAsia="zh-CN"/>
        </w:rPr>
        <w:t xml:space="preserve">60</w:t>
      </w:r>
      <w:r>
        <w:rPr>
          <w:rFonts w:hint="eastAsia" w:ascii="宋体" w:hAnsi="宋体" w:cs="宋体"/>
          <w:b/>
          <w:sz w:val="24"/>
          <w:szCs w:val="24"/>
          <w:highlight w:val="none"/>
        </w:rPr>
        <w:t xml:space="preserve">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各项目评分标准</w:t>
      </w:r>
      <w:r/>
    </w:p>
    <w:p>
      <w:pPr>
        <w:pStyle w:val="1542"/>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1、价格分（</w:t>
      </w:r>
      <w:r>
        <w:rPr>
          <w:rFonts w:hint="eastAsia" w:ascii="宋体" w:hAnsi="宋体" w:cs="宋体"/>
          <w:b/>
          <w:sz w:val="24"/>
          <w:highlight w:val="none"/>
          <w:lang w:val="en-US" w:eastAsia="zh-CN"/>
        </w:rPr>
        <w:t xml:space="preserve">2</w:t>
      </w:r>
      <w:r>
        <w:rPr>
          <w:rFonts w:hint="eastAsia" w:ascii="宋体" w:hAnsi="宋体" w:cs="宋体"/>
          <w:b/>
          <w:sz w:val="24"/>
          <w:highlight w:val="none"/>
        </w:rPr>
        <w:t xml:space="preserve">0分）</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投标报价得分=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评标基准价／投标报价)×价格权值×100。</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hAnsi="宋体"/>
          <w:b/>
          <w:sz w:val="24"/>
          <w:szCs w:val="24"/>
        </w:rPr>
        <w:t xml:space="preserve">价格扣除：本项目不专门面向中小企业，执行《政府采购促进中小企业发展暂行办法》（财库〔2020〕46号）第九条规定，对小型和微型企业产品的价格给予10%的扣除，用扣除后的价格参与评审。执行《关</w:t>
      </w:r>
      <w:r>
        <w:rPr>
          <w:rFonts w:hint="eastAsia" w:hAnsi="宋体"/>
          <w:b/>
          <w:sz w:val="24"/>
          <w:szCs w:val="24"/>
        </w:rPr>
        <w:t xml:space="preserve">于政府采购支持监狱企业发展有关问题的通知》（财库[2014]68号）第二条规定，监狱企业视同小型、微型企业，享受预留份额、评审中价格扣除等政府采购促进中小企业发展的政府采购政策。 执行《财政部、民政部、中国残疾人联合会关于促进残疾人就业政府采购政策的通知》（财库〔2017〕141号）的规定，落实支持残疾人福利性单位发展政策，在政府采购活动中，残疾人福利性单位视同小型、微型企业，享受预留份额、评审中价格扣除等促进中小企业发展的政府采购政策。但监狱企业、残疾人福利性单位本身属于小型、微型企业的，不重复享受政策。</w:t>
      </w:r>
      <w:r/>
    </w:p>
    <w:p>
      <w:pPr>
        <w:ind w:firstLine="480"/>
        <w:spacing w:line="360" w:lineRule="auto"/>
        <w:tabs>
          <w:tab w:val="left" w:pos="840" w:leader="none"/>
          <w:tab w:val="left" w:pos="1050" w:leader="none"/>
        </w:tabs>
        <w:rPr>
          <w:rFonts w:hint="eastAsia" w:ascii="宋体" w:hAnsi="宋体" w:cs="宋体"/>
          <w:sz w:val="24"/>
          <w:szCs w:val="24"/>
          <w:highlight w:val="none"/>
        </w:rPr>
      </w:pPr>
      <w:r>
        <w:rPr>
          <w:rFonts w:hint="eastAsia" w:ascii="宋体" w:hAnsi="宋体" w:cs="宋体"/>
          <w:b/>
          <w:sz w:val="24"/>
          <w:szCs w:val="24"/>
          <w:highlight w:val="none"/>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1542"/>
        <w:ind w:firstLine="480"/>
        <w:jc w:val="left"/>
        <w:spacing w:after="0" w:line="360" w:lineRule="auto"/>
        <w:rPr>
          <w:rFonts w:hint="eastAsia" w:ascii="宋体" w:hAnsi="宋体" w:cs="宋体"/>
          <w:b/>
          <w:sz w:val="24"/>
          <w:highlight w:val="none"/>
          <w:lang w:val="zh-CN"/>
        </w:rPr>
        <w:outlineLvl w:val="3"/>
      </w:pPr>
      <w:r>
        <w:rPr>
          <w:rFonts w:hint="eastAsia" w:ascii="宋体" w:hAnsi="宋体" w:cs="宋体"/>
          <w:b/>
          <w:sz w:val="24"/>
          <w:highlight w:val="none"/>
        </w:rPr>
        <w:t xml:space="preserve">2、</w:t>
      </w:r>
      <w:r>
        <w:rPr>
          <w:rFonts w:hint="eastAsia" w:ascii="宋体" w:hAnsi="宋体" w:cs="宋体"/>
          <w:b/>
          <w:sz w:val="24"/>
          <w:highlight w:val="none"/>
          <w:lang w:val="zh-CN"/>
        </w:rPr>
        <w:t xml:space="preserve">投标供应商综合情况（</w:t>
      </w:r>
      <w:r>
        <w:rPr>
          <w:rFonts w:hint="eastAsia" w:ascii="宋体" w:hAnsi="宋体" w:eastAsia="宋体" w:cs="宋体"/>
          <w:b/>
          <w:bCs w:val="0"/>
          <w:color w:val="000000"/>
          <w:sz w:val="24"/>
          <w:szCs w:val="24"/>
          <w:highlight w:val="none"/>
          <w:lang w:val="en-US" w:eastAsia="zh-CN"/>
        </w:rPr>
        <w:t xml:space="preserve">20</w:t>
      </w:r>
      <w:r>
        <w:rPr>
          <w:rFonts w:hint="eastAsia" w:ascii="宋体" w:hAnsi="宋体" w:cs="宋体"/>
          <w:b/>
          <w:sz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val="zh-CN"/>
        </w:rPr>
      </w:pPr>
      <w:r>
        <w:rPr>
          <w:rFonts w:hint="eastAsia" w:ascii="宋体" w:hAnsi="宋体" w:eastAsia="宋体" w:cs="宋体"/>
          <w:b/>
          <w:bCs w:val="0"/>
          <w:sz w:val="24"/>
          <w:szCs w:val="24"/>
          <w:highlight w:val="none"/>
          <w:lang w:val="zh-CN"/>
        </w:rPr>
        <w:t xml:space="preserve">（</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lang w:val="zh-CN"/>
        </w:rPr>
        <w:t xml:space="preserve">）企业业绩（</w:t>
      </w:r>
      <w:r>
        <w:rPr>
          <w:rFonts w:hint="eastAsia" w:ascii="宋体" w:hAnsi="宋体" w:cs="宋体"/>
          <w:b/>
          <w:bCs w:val="0"/>
          <w:sz w:val="24"/>
          <w:szCs w:val="24"/>
          <w:highlight w:val="none"/>
          <w:lang w:val="en-US" w:eastAsia="zh-CN"/>
        </w:rPr>
        <w:t xml:space="preserve">4</w:t>
      </w:r>
      <w:r>
        <w:rPr>
          <w:rFonts w:hint="eastAsia" w:ascii="宋体" w:hAnsi="宋体" w:eastAsia="宋体" w:cs="宋体"/>
          <w:b/>
          <w:bCs w:val="0"/>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投标供应商自2021年1月1日至今（以合同签订日期为准）具有与本项目类似项目业绩的，每有一个得2分，最高4分。</w:t>
      </w:r>
      <w:r/>
    </w:p>
    <w:p>
      <w:pPr>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注：提供有效合同扫描件上传至投标文件并电子签章，未按要求提供不得分</w:t>
      </w:r>
      <w:r>
        <w:rPr>
          <w:rFonts w:hint="eastAsia" w:ascii="宋体" w:hAnsi="宋体" w:eastAsia="宋体" w:cs="宋体"/>
          <w:b/>
          <w:bCs w:val="0"/>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zh-CN"/>
        </w:rPr>
      </w:pPr>
      <w:r>
        <w:rPr>
          <w:rFonts w:hint="eastAsia" w:ascii="宋体" w:hAnsi="宋体" w:cs="宋体"/>
          <w:b/>
          <w:sz w:val="24"/>
          <w:szCs w:val="24"/>
          <w:highlight w:val="none"/>
          <w:lang w:val="zh-CN"/>
        </w:rPr>
        <w:t xml:space="preserve">（</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lang w:val="zh-CN"/>
        </w:rPr>
        <w:t xml:space="preserve">）</w:t>
      </w:r>
      <w:r>
        <w:rPr>
          <w:rFonts w:hint="eastAsia" w:ascii="宋体" w:hAnsi="宋体" w:eastAsia="宋体" w:cs="宋体"/>
          <w:b/>
          <w:bCs w:val="0"/>
          <w:color w:val="000000"/>
          <w:sz w:val="24"/>
          <w:szCs w:val="24"/>
          <w:highlight w:val="none"/>
          <w:lang w:val="en-US" w:eastAsia="zh-CN"/>
        </w:rPr>
        <w:t xml:space="preserve">企业</w:t>
      </w:r>
      <w:r>
        <w:rPr>
          <w:rFonts w:hint="eastAsia" w:ascii="宋体" w:hAnsi="宋体" w:cs="宋体"/>
          <w:b/>
          <w:bCs w:val="0"/>
          <w:color w:val="000000"/>
          <w:sz w:val="24"/>
          <w:szCs w:val="24"/>
          <w:highlight w:val="none"/>
          <w:lang w:val="en-US" w:eastAsia="zh-CN"/>
        </w:rPr>
        <w:t xml:space="preserve">实力</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en-US" w:eastAsia="zh-CN"/>
        </w:rPr>
        <w:t xml:space="preserve">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投标供应商具有有效的：质量管理体系认证证书、信息安全管理体系认证证书、职业健康安全管理体系认证证书、环境管理体系认证证书的，每有上述一种体系认证证书的得1分，最高4分。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zh-CN"/>
        </w:rPr>
      </w:pPr>
      <w:r>
        <w:rPr>
          <w:rFonts w:hint="eastAsia" w:ascii="宋体" w:hAnsi="宋体" w:eastAsia="宋体" w:cs="宋体"/>
          <w:b/>
          <w:bCs w:val="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提供有效期内的证书</w:t>
      </w:r>
      <w:r>
        <w:rPr>
          <w:rFonts w:hint="eastAsia" w:ascii="宋体" w:hAnsi="宋体" w:eastAsia="宋体" w:cs="宋体"/>
          <w:b/>
          <w:bCs w:val="0"/>
          <w:sz w:val="24"/>
          <w:szCs w:val="24"/>
          <w:highlight w:val="none"/>
        </w:rPr>
        <w:t xml:space="preserve">证明扫描件上传至投标文件并电子签章，未按要求提供不得分</w:t>
      </w:r>
      <w:r>
        <w:rPr>
          <w:rFonts w:hint="eastAsia" w:ascii="宋体" w:hAnsi="宋体" w:eastAsia="宋体" w:cs="宋体"/>
          <w:b/>
          <w:bCs w:val="0"/>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w:t>
      </w:r>
      <w:r>
        <w:rPr>
          <w:rFonts w:hint="eastAsia" w:ascii="宋体" w:hAnsi="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）现场项目管理机构（</w:t>
      </w:r>
      <w:r>
        <w:rPr>
          <w:rFonts w:hint="eastAsia" w:ascii="宋体" w:hAnsi="宋体" w:cs="宋体"/>
          <w:b/>
          <w:bCs w:val="0"/>
          <w:sz w:val="24"/>
          <w:szCs w:val="24"/>
          <w:highlight w:val="none"/>
          <w:lang w:val="en-US" w:eastAsia="zh-CN"/>
        </w:rPr>
        <w:t xml:space="preserve">12</w:t>
      </w:r>
      <w:r>
        <w:rPr>
          <w:rFonts w:hint="eastAsia" w:ascii="宋体" w:hAnsi="宋体" w:eastAsia="宋体" w:cs="宋体"/>
          <w:b/>
          <w:bCs w:val="0"/>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1）项目经理（4分）：投标供应商为本项目配备项目经理一名，该项目经理具有高级信息系统项目管理师证书的得1分、ITSS IT服务项目经理证书的得1分、注册信息安全专业人员（CISP）证书的得1分、密码技术应用员（四级）及以上证书的得1分，本项目最高得4分。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2）项目技术负责人（3分）：投标供应商为本项目配备项目技术负责人一名，该项目技术负责人具有信息安全管理（高级）的得1分、注册信息安全专业人员（CISP）证书的得1分、ITSS IT服务工程师证书的得1分，本项目最高得</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3）项目组其他成员（除项目经理和技术负责人外）（5分）：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①具备环保工程师（高级）证书的得1分，本项最高得1分。 </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②具备系统集成项目管理工程师的每有一个得1分，本项最高得2分。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③具备高级工程师职称证书的每有一个得2分，本项最高得2分。</w:t>
      </w:r>
      <w:r/>
    </w:p>
    <w:p>
      <w:pPr>
        <w:ind w:firstLine="480"/>
        <w:jc w:val="left"/>
        <w:spacing w:line="360" w:lineRule="auto"/>
        <w:tabs>
          <w:tab w:val="left" w:pos="945" w:leader="none"/>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注：</w:t>
      </w:r>
      <w:r>
        <w:rPr>
          <w:rFonts w:hint="eastAsia" w:ascii="宋体" w:hAnsi="宋体" w:cs="宋体"/>
          <w:b/>
          <w:bCs w:val="0"/>
          <w:sz w:val="24"/>
          <w:szCs w:val="24"/>
          <w:highlight w:val="none"/>
          <w:lang w:val="en-US" w:eastAsia="zh-CN"/>
        </w:rPr>
        <w:t xml:space="preserve">本项</w:t>
      </w:r>
      <w:r>
        <w:rPr>
          <w:rFonts w:hint="eastAsia" w:ascii="宋体" w:hAnsi="宋体" w:eastAsia="宋体" w:cs="宋体"/>
          <w:b/>
          <w:bCs w:val="0"/>
          <w:sz w:val="24"/>
          <w:szCs w:val="24"/>
          <w:highlight w:val="none"/>
          <w:lang w:val="en-US" w:eastAsia="zh-CN"/>
        </w:rPr>
        <w:t xml:space="preserve">考察投标供应商为本项目配备的人员情况，人员以填列的《主要人员配置表》为准。同一人不可重复得分。</w:t>
      </w:r>
      <w:r>
        <w:rPr>
          <w:rFonts w:hint="eastAsia" w:ascii="宋体" w:hAnsi="宋体" w:eastAsia="宋体" w:cs="宋体"/>
          <w:b/>
          <w:bCs w:val="0"/>
          <w:color w:val="000000"/>
          <w:sz w:val="24"/>
          <w:szCs w:val="24"/>
          <w:highlight w:val="none"/>
          <w:lang w:val="en-US" w:eastAsia="zh-CN"/>
        </w:rPr>
        <w:t xml:space="preserve">提供</w:t>
      </w:r>
      <w:r>
        <w:rPr>
          <w:rFonts w:hint="eastAsia" w:ascii="宋体" w:hAnsi="宋体" w:eastAsia="宋体" w:cs="宋体"/>
          <w:b/>
          <w:bCs w:val="0"/>
          <w:sz w:val="24"/>
          <w:szCs w:val="24"/>
          <w:highlight w:val="none"/>
          <w:lang w:val="en-US" w:eastAsia="zh-CN"/>
        </w:rPr>
        <w:t xml:space="preserve">以上人员相关证书等证明材料扫描件</w:t>
      </w:r>
      <w:r>
        <w:rPr>
          <w:rFonts w:hint="eastAsia" w:ascii="宋体" w:hAnsi="宋体" w:eastAsia="宋体" w:cs="宋体"/>
          <w:b/>
          <w:bCs w:val="0"/>
          <w:sz w:val="24"/>
          <w:szCs w:val="24"/>
          <w:highlight w:val="none"/>
        </w:rPr>
        <w:t xml:space="preserve">上传至投标文件并电子签章</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同时提供由法定的社保收缴部门出具的近三个月（不含开标当月）的社保缴费证明扫描件上传至投标文件并电子签章，否则不得分。</w:t>
      </w:r>
      <w:r/>
    </w:p>
    <w:p>
      <w:pPr>
        <w:pStyle w:val="1542"/>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3、技术方案（</w:t>
      </w:r>
      <w:r>
        <w:rPr>
          <w:rFonts w:hint="eastAsia" w:ascii="宋体" w:hAnsi="宋体" w:cs="宋体"/>
          <w:b/>
          <w:sz w:val="24"/>
          <w:highlight w:val="none"/>
          <w:lang w:val="en-US" w:eastAsia="zh-CN"/>
        </w:rPr>
        <w:t xml:space="preserve">60</w:t>
      </w:r>
      <w:r>
        <w:rPr>
          <w:rFonts w:hint="eastAsia" w:ascii="宋体" w:hAnsi="宋体" w:cs="宋体"/>
          <w:b/>
          <w:sz w:val="24"/>
          <w:highlight w:val="none"/>
        </w:rPr>
        <w:t xml:space="preserve">分）无方案不得分</w:t>
      </w:r>
      <w:r/>
    </w:p>
    <w:p>
      <w:pPr>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（1）污染源企业环境问题排查方案（</w:t>
      </w:r>
      <w:r>
        <w:rPr>
          <w:rFonts w:hint="eastAsia" w:ascii="宋体" w:hAnsi="宋体" w:cs="宋体"/>
          <w:b/>
          <w:sz w:val="24"/>
          <w:szCs w:val="24"/>
          <w:highlight w:val="none"/>
          <w:lang w:val="en-US" w:eastAsia="zh-CN"/>
        </w:rPr>
        <w:t xml:space="preserve">15</w:t>
      </w:r>
      <w:r>
        <w:rPr>
          <w:rFonts w:hint="eastAsia" w:ascii="宋体" w:hAnsi="宋体" w:cs="宋体"/>
          <w:b/>
          <w:sz w:val="24"/>
          <w:szCs w:val="24"/>
          <w:highlight w:val="none"/>
        </w:rPr>
        <w:t xml:space="preserve">分），包含</w:t>
      </w:r>
      <w:r>
        <w:rPr>
          <w:rFonts w:hint="eastAsia" w:ascii="宋体" w:hAnsi="宋体" w:cs="宋体"/>
          <w:b/>
          <w:sz w:val="24"/>
          <w:szCs w:val="24"/>
          <w:highlight w:val="none"/>
          <w:lang w:val="en-US" w:eastAsia="zh-CN"/>
        </w:rPr>
        <w:t xml:space="preserve">但不限于</w:t>
      </w:r>
      <w:r>
        <w:rPr>
          <w:rFonts w:hint="eastAsia" w:ascii="宋体" w:hAnsi="宋体" w:cs="宋体"/>
          <w:b/>
          <w:sz w:val="24"/>
          <w:szCs w:val="24"/>
          <w:highlight w:val="none"/>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①污染源企业环境问题排查的目的和原则（</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分）；②污染源企业环境问题排查的组织、职责（</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分）；③污染源企业环境问题排查的内容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3分</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④</w:t>
      </w:r>
      <w:r>
        <w:rPr>
          <w:rFonts w:hint="eastAsia" w:ascii="宋体" w:hAnsi="宋体" w:eastAsia="宋体" w:cs="宋体"/>
          <w:bCs/>
          <w:sz w:val="24"/>
          <w:szCs w:val="24"/>
          <w:highlight w:val="none"/>
        </w:rPr>
        <w:t xml:space="preserve">污染源企业环境问题排查的方法（</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rPr>
          <w:rFonts w:hint="eastAsia" w:ascii="宋体" w:hAnsi="宋体" w:cs="宋体"/>
          <w:bCs/>
          <w:sz w:val="24"/>
          <w:szCs w:val="24"/>
          <w:highlight w:val="none"/>
          <w:lang w:val="en-US" w:eastAsia="zh-CN"/>
        </w:rPr>
        <w:t xml:space="preserve">⑤</w:t>
      </w:r>
      <w:r>
        <w:rPr>
          <w:rFonts w:hint="eastAsia" w:ascii="宋体" w:hAnsi="宋体" w:eastAsia="宋体" w:cs="宋体"/>
          <w:bCs/>
          <w:sz w:val="24"/>
          <w:szCs w:val="24"/>
          <w:highlight w:val="none"/>
        </w:rPr>
        <w:t xml:space="preserve">污染源企业环境问题排查的结果处理及整改措施制定（</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投标人针对上述内容进行阐述，要求方案详细完整，针对性强、可操作性强，思路合理。以上内容不存在瑕疵的该条得</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15</w:t>
      </w:r>
      <w:r>
        <w:rPr>
          <w:rFonts w:hint="eastAsia" w:ascii="宋体" w:hAnsi="宋体" w:eastAsia="宋体" w:cs="宋体"/>
          <w:bCs/>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）环境信访管理辅助处置方案（</w:t>
      </w:r>
      <w:r>
        <w:rPr>
          <w:rFonts w:hint="eastAsia" w:ascii="宋体" w:hAnsi="宋体" w:cs="宋体"/>
          <w:b/>
          <w:sz w:val="24"/>
          <w:szCs w:val="24"/>
          <w:highlight w:val="none"/>
          <w:lang w:val="en-US" w:eastAsia="zh-CN"/>
        </w:rPr>
        <w:t xml:space="preserve">12</w:t>
      </w:r>
      <w:r>
        <w:rPr>
          <w:rFonts w:hint="eastAsia" w:ascii="宋体" w:hAnsi="宋体" w:cs="宋体"/>
          <w:b/>
          <w:sz w:val="24"/>
          <w:szCs w:val="24"/>
          <w:highlight w:val="none"/>
        </w:rPr>
        <w:t xml:space="preserve">分），包含</w:t>
      </w:r>
      <w:r>
        <w:rPr>
          <w:rFonts w:hint="eastAsia" w:ascii="宋体" w:hAnsi="宋体" w:cs="宋体"/>
          <w:b/>
          <w:sz w:val="24"/>
          <w:szCs w:val="24"/>
          <w:highlight w:val="none"/>
          <w:lang w:val="en-US" w:eastAsia="zh-CN"/>
        </w:rPr>
        <w:t xml:space="preserve">但不限于</w:t>
      </w:r>
      <w:r>
        <w:rPr>
          <w:rFonts w:hint="eastAsia" w:ascii="宋体" w:hAnsi="宋体" w:cs="宋体"/>
          <w:b/>
          <w:sz w:val="24"/>
          <w:szCs w:val="24"/>
          <w:highlight w:val="none"/>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bCs/>
          <w:sz w:val="24"/>
          <w:szCs w:val="24"/>
          <w:highlight w:val="none"/>
        </w:rPr>
        <w:outlineLvl w:val="9"/>
      </w:pPr>
      <w:r>
        <w:rPr>
          <w:rFonts w:hint="eastAsia" w:ascii="宋体" w:hAnsi="宋体" w:cs="宋体"/>
          <w:bCs/>
          <w:sz w:val="24"/>
          <w:szCs w:val="24"/>
          <w:highlight w:val="none"/>
        </w:rPr>
        <w:t xml:space="preserve">①环境信访管理辅助处置的目的、原则和目标（</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分）；②环境信访管理辅助处置的主要内容（</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分）；③环境信访管理辅助处置的</w:t>
      </w:r>
      <w:r>
        <w:rPr>
          <w:rFonts w:hint="eastAsia" w:ascii="宋体" w:hAnsi="宋体" w:cs="宋体"/>
          <w:bCs/>
          <w:sz w:val="24"/>
          <w:szCs w:val="24"/>
          <w:highlight w:val="none"/>
          <w:lang w:val="en-US" w:eastAsia="zh-CN"/>
        </w:rPr>
        <w:t xml:space="preserve">方法；④</w:t>
      </w:r>
      <w:r>
        <w:rPr>
          <w:rFonts w:hint="eastAsia" w:ascii="宋体" w:hAnsi="宋体" w:cs="宋体"/>
          <w:bCs/>
          <w:sz w:val="24"/>
          <w:szCs w:val="24"/>
          <w:highlight w:val="none"/>
        </w:rPr>
        <w:t xml:space="preserve">环境信访管理辅助处置的主要措施（</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bCs/>
          <w:sz w:val="24"/>
          <w:szCs w:val="24"/>
          <w:highlight w:val="none"/>
        </w:rPr>
        <w:outlineLvl w:val="9"/>
      </w:pPr>
      <w:r>
        <w:rPr>
          <w:rFonts w:hint="eastAsia" w:ascii="宋体" w:hAnsi="宋体" w:cs="宋体"/>
          <w:bCs/>
          <w:sz w:val="24"/>
          <w:szCs w:val="24"/>
          <w:highlight w:val="none"/>
        </w:rPr>
        <w:t xml:space="preserve">投标人针对上述内容进行阐述，要求方案详细完整，针对性强、可操作性强，思路合理。以上内容不存在瑕疵的该条得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cs="宋体"/>
          <w:bCs/>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lang w:val="en-US" w:eastAsia="zh-CN"/>
        </w:rPr>
        <w:t xml:space="preserve">）自动监测监控排查方案（</w:t>
      </w:r>
      <w:r>
        <w:rPr>
          <w:rFonts w:hint="eastAsia" w:ascii="宋体" w:hAnsi="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cs="宋体"/>
          <w:b/>
          <w:bCs w:val="0"/>
          <w:sz w:val="24"/>
          <w:szCs w:val="24"/>
          <w:highlight w:val="none"/>
        </w:rPr>
        <w:t xml:space="preserve">，</w:t>
      </w:r>
      <w:r>
        <w:rPr>
          <w:rFonts w:hint="eastAsia" w:ascii="宋体" w:hAnsi="宋体" w:cs="宋体"/>
          <w:b/>
          <w:sz w:val="24"/>
          <w:szCs w:val="24"/>
          <w:highlight w:val="none"/>
        </w:rPr>
        <w:t xml:space="preserve">包含</w:t>
      </w:r>
      <w:r>
        <w:rPr>
          <w:rFonts w:hint="eastAsia" w:ascii="宋体" w:hAnsi="宋体" w:cs="宋体"/>
          <w:b/>
          <w:sz w:val="24"/>
          <w:szCs w:val="24"/>
          <w:highlight w:val="none"/>
          <w:lang w:val="en-US" w:eastAsia="zh-CN"/>
        </w:rPr>
        <w:t xml:space="preserve">但不限于</w:t>
      </w:r>
      <w:r>
        <w:rPr>
          <w:rFonts w:hint="eastAsia" w:ascii="宋体" w:hAnsi="宋体" w:cs="宋体"/>
          <w:b/>
          <w:sz w:val="24"/>
          <w:szCs w:val="24"/>
          <w:highlight w:val="none"/>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①自动监测监控排查内容（</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rPr>
          <w:rFonts w:hint="eastAsia" w:ascii="宋体" w:hAnsi="宋体" w:cs="宋体"/>
          <w:bCs/>
          <w:sz w:val="24"/>
          <w:szCs w:val="24"/>
          <w:highlight w:val="none"/>
          <w:lang w:val="en-US" w:eastAsia="zh-CN"/>
        </w:rPr>
        <w:t xml:space="preserve">②</w:t>
      </w:r>
      <w:r>
        <w:rPr>
          <w:rFonts w:hint="eastAsia" w:ascii="宋体" w:hAnsi="宋体" w:eastAsia="宋体" w:cs="宋体"/>
          <w:bCs/>
          <w:sz w:val="24"/>
          <w:szCs w:val="24"/>
          <w:highlight w:val="none"/>
        </w:rPr>
        <w:t xml:space="preserve">自动监测监控排查方法（</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rPr>
          <w:rFonts w:hint="eastAsia" w:ascii="宋体" w:hAnsi="宋体" w:cs="宋体"/>
          <w:bCs/>
          <w:sz w:val="24"/>
          <w:szCs w:val="24"/>
          <w:highlight w:val="none"/>
          <w:lang w:val="en-US" w:eastAsia="zh-CN"/>
        </w:rPr>
        <w:t xml:space="preserve">③</w:t>
      </w:r>
      <w:r>
        <w:rPr>
          <w:rFonts w:hint="eastAsia" w:ascii="宋体" w:hAnsi="宋体" w:eastAsia="宋体" w:cs="宋体"/>
          <w:bCs/>
          <w:sz w:val="24"/>
          <w:szCs w:val="24"/>
          <w:highlight w:val="none"/>
        </w:rPr>
        <w:t xml:space="preserve">自动监测监控排查处置措施（</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投标人针对上述内容进行阐述，要求方案详细完整，针对性强、可操作性强，思路合理。以上内容不存在瑕疵的该条得</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en-US" w:eastAsia="zh-CN"/>
        </w:rPr>
        <w:t xml:space="preserve">）非现场执法辅助、数据处理、核定服务方案（</w:t>
      </w:r>
      <w:r>
        <w:rPr>
          <w:rFonts w:hint="eastAsia" w:ascii="宋体" w:hAnsi="宋体" w:cs="宋体"/>
          <w:b/>
          <w:bCs w:val="0"/>
          <w:color w:val="000000"/>
          <w:sz w:val="24"/>
          <w:szCs w:val="24"/>
          <w:highlight w:val="none"/>
          <w:lang w:val="en-US" w:eastAsia="zh-CN"/>
        </w:rPr>
        <w:t xml:space="preserve">18</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cs="宋体"/>
          <w:b/>
          <w:bCs w:val="0"/>
          <w:sz w:val="24"/>
          <w:szCs w:val="24"/>
          <w:highlight w:val="none"/>
        </w:rPr>
        <w:t xml:space="preserve">，</w:t>
      </w:r>
      <w:r>
        <w:rPr>
          <w:rFonts w:hint="eastAsia" w:ascii="宋体" w:hAnsi="宋体" w:cs="宋体"/>
          <w:b/>
          <w:sz w:val="24"/>
          <w:szCs w:val="24"/>
          <w:highlight w:val="none"/>
        </w:rPr>
        <w:t xml:space="preserve">包含</w:t>
      </w:r>
      <w:r>
        <w:rPr>
          <w:rFonts w:hint="eastAsia" w:ascii="宋体" w:hAnsi="宋体" w:cs="宋体"/>
          <w:b/>
          <w:sz w:val="24"/>
          <w:szCs w:val="24"/>
          <w:highlight w:val="none"/>
          <w:lang w:val="en-US" w:eastAsia="zh-CN"/>
        </w:rPr>
        <w:t xml:space="preserve">但不限于</w:t>
      </w:r>
      <w:r>
        <w:rPr>
          <w:rFonts w:hint="eastAsia" w:ascii="宋体" w:hAnsi="宋体" w:cs="宋体"/>
          <w:b/>
          <w:sz w:val="24"/>
          <w:szCs w:val="24"/>
          <w:highlight w:val="none"/>
        </w:rPr>
        <w:t xml:space="preserve">：</w:t>
      </w:r>
      <w:r/>
    </w:p>
    <w:p>
      <w:pPr>
        <w:ind w:firstLine="480"/>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对现有非现场执法平台远端维护方案（3分）；②非现场执法平台数据处理架构现状描述（3分）；③新增8个涉及污染源废水、废气的数据处理规则（3分）；④新增8个涉及污染源废水、废气数据源描述及数据对接方案（3分）；⑤环境税核定服务数据筛查、补遗、错误修正规则（3分）；⑥环境税核定服务方案（3分）；</w:t>
      </w:r>
      <w:r/>
    </w:p>
    <w:p>
      <w:pPr>
        <w:ind w:firstLine="480"/>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投标人针对上述内容进行阐述，要求</w:t>
      </w:r>
      <w:r>
        <w:rPr>
          <w:rFonts w:hint="eastAsia" w:ascii="宋体" w:hAnsi="宋体" w:eastAsia="宋体" w:cs="宋体"/>
          <w:bCs/>
          <w:sz w:val="24"/>
          <w:szCs w:val="24"/>
          <w:highlight w:val="none"/>
        </w:rPr>
        <w:t xml:space="preserve">方案详细完整，针对性强、可操作性强，思路合理</w:t>
      </w:r>
      <w:r>
        <w:rPr>
          <w:rFonts w:hint="eastAsia" w:ascii="宋体" w:hAnsi="宋体" w:cs="宋体"/>
          <w:bCs/>
          <w:sz w:val="24"/>
          <w:szCs w:val="24"/>
          <w:highlight w:val="none"/>
        </w:rPr>
        <w:t xml:space="preserve">。以上内容不存在瑕疵的该条得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分；以上内容存在1处瑕疵的该条得</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rPr>
        <w:t xml:space="preserve">分；以上内容存在2处瑕疵的该条得</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18</w:t>
      </w:r>
      <w:r>
        <w:rPr>
          <w:rFonts w:hint="eastAsia" w:ascii="宋体" w:hAnsi="宋体" w:cs="宋体"/>
          <w:bCs/>
          <w:sz w:val="24"/>
          <w:szCs w:val="24"/>
          <w:highlight w:val="none"/>
        </w:rPr>
        <w:t xml:space="preserve">分。</w:t>
      </w:r>
      <w:r/>
    </w:p>
    <w:p>
      <w:pPr>
        <w:ind w:firstLine="480"/>
        <w:keepLines w:val="0"/>
        <w:keepNext w:val="0"/>
        <w:pageBreakBefore w:val="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tabs>
          <w:tab w:val="left" w:pos="525" w:leader="none"/>
          <w:tab w:val="left" w:pos="945"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w:t>
      </w:r>
      <w:r>
        <w:rPr>
          <w:rFonts w:hint="eastAsia" w:ascii="宋体" w:hAnsi="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en-US" w:eastAsia="zh-CN"/>
        </w:rPr>
        <w:t xml:space="preserve">）综合协调方案（</w:t>
      </w:r>
      <w:r>
        <w:rPr>
          <w:rFonts w:hint="eastAsia" w:ascii="宋体" w:hAnsi="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cs="宋体"/>
          <w:b/>
          <w:bCs w:val="0"/>
          <w:sz w:val="24"/>
          <w:szCs w:val="24"/>
          <w:highlight w:val="none"/>
        </w:rPr>
        <w:t xml:space="preserve">，</w:t>
      </w:r>
      <w:r>
        <w:rPr>
          <w:rFonts w:hint="eastAsia" w:ascii="宋体" w:hAnsi="宋体" w:cs="宋体"/>
          <w:b/>
          <w:sz w:val="24"/>
          <w:szCs w:val="24"/>
          <w:highlight w:val="none"/>
        </w:rPr>
        <w:t xml:space="preserve">包含</w:t>
      </w:r>
      <w:r>
        <w:rPr>
          <w:rFonts w:hint="eastAsia" w:ascii="宋体" w:hAnsi="宋体" w:cs="宋体"/>
          <w:b/>
          <w:sz w:val="24"/>
          <w:szCs w:val="24"/>
          <w:highlight w:val="none"/>
          <w:lang w:val="en-US" w:eastAsia="zh-CN"/>
        </w:rPr>
        <w:t xml:space="preserve">但不限于</w:t>
      </w:r>
      <w:r>
        <w:rPr>
          <w:rFonts w:hint="eastAsia" w:ascii="宋体" w:hAnsi="宋体" w:cs="宋体"/>
          <w:b/>
          <w:sz w:val="24"/>
          <w:szCs w:val="24"/>
          <w:highlight w:val="none"/>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bCs/>
          <w:sz w:val="24"/>
          <w:szCs w:val="24"/>
          <w:highlight w:val="none"/>
        </w:rPr>
        <w:outlineLvl w:val="9"/>
      </w:pPr>
      <w:r>
        <w:rPr>
          <w:rFonts w:hint="eastAsia" w:ascii="宋体" w:hAnsi="宋体" w:cs="宋体"/>
          <w:bCs/>
          <w:sz w:val="24"/>
          <w:szCs w:val="24"/>
          <w:highlight w:val="none"/>
        </w:rPr>
        <w:t xml:space="preserve">①供应商提供的与采购人在服务实施过程中的综合协调方案（</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分）；②供应商提供的与被监管单位在服务实施过程中的综合协调方案（</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cs="宋体"/>
          <w:bCs/>
          <w:sz w:val="24"/>
          <w:szCs w:val="24"/>
          <w:highlight w:val="none"/>
        </w:rPr>
        <w:outlineLvl w:val="9"/>
      </w:pPr>
      <w:r>
        <w:rPr>
          <w:rFonts w:hint="eastAsia" w:ascii="宋体" w:hAnsi="宋体" w:cs="宋体"/>
          <w:bCs/>
          <w:sz w:val="24"/>
          <w:szCs w:val="24"/>
          <w:highlight w:val="none"/>
        </w:rPr>
        <w:t xml:space="preserve">投标人针对上述内容进行阐述，要求协调方案详细完整，针对性强、可操作性强，思路合理。以上内容不存在瑕疵的该条得</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分；以上内容存在1处瑕疵的该条得2分；以上内容存在2处瑕疵的该条得1分；未进行阐述或不满足采购需求或内容存在3处及以上瑕疵的该条得0分；本项最高得</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cs="宋体"/>
          <w:bCs/>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技术标评委在5人及5人以上的，取所有成员的平均值。评分办法及评分细则的解释权属采购人。未列入本评分细则的其他条件不作为评分内容。</w:t>
      </w:r>
      <w:r/>
    </w:p>
    <w:p>
      <w:pPr>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附件二：投标文件格式</w:t>
      </w:r>
      <w:r/>
    </w:p>
    <w:p>
      <w:pPr>
        <w:rPr>
          <w:rFonts w:ascii="黑体" w:eastAsia="黑体"/>
          <w:bCs/>
          <w:sz w:val="32"/>
          <w:highlight w:val="none"/>
        </w:rPr>
      </w:pPr>
      <w:r>
        <w:rPr>
          <w:rFonts w:ascii="黑体" w:eastAsia="黑体"/>
          <w:bCs/>
          <w:sz w:val="3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投</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标</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文</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件</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527"/>
        <w:jc w:val="center"/>
        <w:rPr>
          <w:rFonts w:hint="eastAsia" w:ascii="宋体" w:hAnsi="宋体" w:cs="宋体"/>
          <w:bCs/>
          <w:sz w:val="52"/>
          <w:szCs w:val="52"/>
          <w:highlight w:val="none"/>
        </w:rPr>
      </w:pPr>
      <w:r>
        <w:rPr>
          <w:rFonts w:hint="eastAsia" w:ascii="宋体" w:hAnsi="宋体" w:cs="宋体"/>
          <w:bCs/>
          <w:sz w:val="52"/>
          <w:szCs w:val="52"/>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eastAsia="宋体" w:cs="宋体"/>
          <w:bCs/>
          <w:sz w:val="30"/>
          <w:szCs w:val="30"/>
          <w:highlight w:val="none"/>
          <w:lang w:eastAsia="zh-CN"/>
        </w:rPr>
      </w:pPr>
      <w:r/>
      <w:bookmarkStart w:id="34" w:name="_Toc31708"/>
      <w:r/>
      <w:bookmarkStart w:id="35" w:name="_Toc3725"/>
      <w:r>
        <w:rPr>
          <w:rFonts w:hint="eastAsia" w:ascii="宋体" w:hAnsi="宋体" w:cs="宋体"/>
          <w:bCs/>
          <w:sz w:val="30"/>
          <w:szCs w:val="30"/>
          <w:highlight w:val="none"/>
        </w:rPr>
        <w:t xml:space="preserve">采购项目编号：</w:t>
      </w:r>
      <w:bookmarkEnd w:id="34"/>
      <w:r/>
      <w:bookmarkEnd w:id="35"/>
      <w:r>
        <w:rPr>
          <w:rFonts w:hint="eastAsia" w:ascii="宋体" w:hAnsi="宋体" w:cs="宋体"/>
          <w:sz w:val="30"/>
          <w:szCs w:val="30"/>
          <w:highlight w:val="none"/>
          <w:lang w:eastAsia="zh-CN"/>
        </w:rPr>
        <w:t xml:space="preserve">JSZC-320200-JDGS-G2024-0086</w:t>
      </w:r>
      <w:r/>
    </w:p>
    <w:p>
      <w:pPr>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生态环境辅助执法第三方综合服务</w:t>
      </w:r>
      <w:r/>
    </w:p>
    <w:p>
      <w:pPr>
        <w:rPr>
          <w:rFonts w:hint="eastAsia" w:ascii="宋体" w:hAnsi="宋体" w:cs="宋体"/>
          <w:bCs/>
          <w:sz w:val="28"/>
          <w:szCs w:val="28"/>
          <w:highlight w:val="none"/>
        </w:rPr>
      </w:pPr>
      <w:r>
        <w:rPr>
          <w:rFonts w:hint="eastAsia" w:ascii="宋体" w:hAnsi="宋体" w:cs="宋体"/>
          <w:bCs/>
          <w:sz w:val="28"/>
          <w:szCs w:val="28"/>
          <w:highlight w:val="none"/>
        </w:rPr>
        <w:t xml:space="preserve">投标人：</w:t>
      </w:r>
      <w:r/>
    </w:p>
    <w:p>
      <w:pPr>
        <w:jc w:val="center"/>
        <w:rPr>
          <w:rFonts w:hint="eastAsia" w:ascii="宋体" w:hAnsi="宋体" w:cs="宋体"/>
          <w:bCs/>
          <w:sz w:val="28"/>
          <w:szCs w:val="28"/>
          <w:highlight w:val="none"/>
        </w:rPr>
      </w:pPr>
      <w:r>
        <w:rPr>
          <w:rFonts w:hint="eastAsia" w:ascii="宋体" w:hAnsi="宋体" w:cs="宋体"/>
          <w:bCs/>
          <w:sz w:val="28"/>
          <w:szCs w:val="28"/>
          <w:highlight w:val="none"/>
        </w:rPr>
        <w:t xml:space="preserve">年  月  日</w:t>
      </w:r>
      <w:bookmarkStart w:id="36" w:name="一．报价函（格式）"/>
      <w:r/>
      <w:bookmarkEnd w:id="36"/>
      <w:r/>
      <w:r/>
    </w:p>
    <w:p>
      <w:pPr>
        <w:jc w:val="center"/>
        <w:rPr>
          <w:rFonts w:hint="eastAsia" w:ascii="宋体" w:hAnsi="宋体" w:cs="宋体"/>
          <w:bCs/>
          <w:sz w:val="28"/>
          <w:szCs w:val="28"/>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8"/>
          <w:szCs w:val="28"/>
          <w:highlight w:val="none"/>
        </w:rPr>
      </w:r>
      <w:r/>
    </w:p>
    <w:p>
      <w:pPr>
        <w:rPr>
          <w:rFonts w:hint="eastAsia"/>
          <w:highlight w:val="none"/>
        </w:rPr>
        <w:outlineLvl w:val="2"/>
      </w:pPr>
      <w:r>
        <w:rPr>
          <w:rFonts w:hint="eastAsia" w:ascii="宋体" w:hAnsi="宋体" w:cs="宋体"/>
          <w:b/>
          <w:sz w:val="24"/>
          <w:szCs w:val="24"/>
          <w:highlight w:val="none"/>
        </w:rPr>
        <w:t xml:space="preserve">（一）投标函（格式）：</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spacing w:line="360" w:lineRule="auto"/>
        <w:rPr>
          <w:rFonts w:hint="eastAsia"/>
          <w:highlight w:val="none"/>
        </w:rPr>
      </w:pPr>
      <w:r>
        <w:rPr>
          <w:rFonts w:hint="eastAsia" w:ascii="宋体" w:hAnsi="宋体" w:cs="宋体"/>
          <w:bCs/>
          <w:sz w:val="24"/>
          <w:szCs w:val="24"/>
          <w:highlight w:val="none"/>
        </w:rPr>
        <w:t xml:space="preserve">投标函</w:t>
      </w:r>
      <w:r/>
    </w:p>
    <w:p>
      <w:pPr>
        <w:spacing w:line="360" w:lineRule="auto"/>
        <w:rPr>
          <w:rFonts w:hint="eastAsia" w:ascii="宋体" w:hAnsi="宋体" w:eastAsia="宋体" w:cs="宋体"/>
          <w:bCs/>
          <w:sz w:val="24"/>
          <w:szCs w:val="24"/>
          <w:highlight w:val="none"/>
          <w:u w:val="single"/>
          <w:lang w:eastAsia="zh-CN"/>
        </w:rPr>
      </w:pPr>
      <w:r>
        <w:rPr>
          <w:rFonts w:hint="eastAsia" w:ascii="宋体" w:hAnsi="宋体" w:cs="宋体"/>
          <w:bCs/>
          <w:sz w:val="24"/>
          <w:szCs w:val="24"/>
          <w:highlight w:val="none"/>
        </w:rPr>
        <w:t xml:space="preserve">致：</w:t>
      </w:r>
      <w:r>
        <w:rPr>
          <w:rFonts w:hint="eastAsia" w:ascii="宋体" w:hAnsi="宋体" w:cs="宋体"/>
          <w:bCs/>
          <w:sz w:val="24"/>
          <w:szCs w:val="24"/>
          <w:highlight w:val="none"/>
          <w:u w:val="single"/>
          <w:lang w:eastAsia="zh-CN"/>
        </w:rPr>
        <w:t xml:space="preserve">江苏建达全过程工程咨询有限公司</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招标文件，经仔细阅读和研究，我方决定参加此次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580"/>
          <w:rFonts w:hint="eastAsia"/>
          <w:bCs/>
          <w:highlight w:val="none"/>
        </w:rPr>
      </w:pPr>
      <w:r>
        <w:rPr>
          <w:rFonts w:hint="eastAsia" w:ascii="宋体" w:hAnsi="宋体" w:cs="宋体"/>
          <w:bCs/>
          <w:sz w:val="24"/>
          <w:szCs w:val="24"/>
          <w:highlight w:val="none"/>
        </w:rPr>
        <w:t xml:space="preserve">二、我方愿意提供</w:t>
      </w: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cs="宋体"/>
          <w:sz w:val="24"/>
          <w:szCs w:val="24"/>
          <w:highlight w:val="none"/>
        </w:rPr>
        <w:t xml:space="preserve">和</w:t>
      </w:r>
      <w:r>
        <w:rPr>
          <w:rFonts w:hint="eastAsia" w:ascii="宋体" w:hAnsi="宋体" w:cs="宋体"/>
          <w:bCs/>
          <w:sz w:val="24"/>
          <w:szCs w:val="24"/>
          <w:highlight w:val="none"/>
        </w:rPr>
        <w:t xml:space="preserve">合同条款履行自己的全部责任。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十一、我方承诺不非法转包、分包。</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以上条款，如有违反，愿依照国家相关法律处理，并承担由此给采购人带来的损失。</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投标人（盖章）：     </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电话：                              传真：</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通讯地址：                          邮编：</w:t>
      </w:r>
      <w:r/>
    </w:p>
    <w:p>
      <w:pP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（二）（投标人）关于资格的声明函（格式）：</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pPr>
      <w:r/>
      <w:bookmarkStart w:id="37" w:name="报价方关于资格的声明函（格式）"/>
      <w:r/>
      <w:bookmarkEnd w:id="37"/>
      <w:r>
        <w:rPr>
          <w:rFonts w:hint="eastAsia" w:ascii="宋体" w:hAnsi="宋体" w:cs="宋体"/>
          <w:bCs/>
          <w:sz w:val="24"/>
          <w:szCs w:val="24"/>
          <w:highlight w:val="none"/>
        </w:rPr>
        <w:t xml:space="preserve">关于资格的声明函</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righ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政府采购编号：       </w:t>
      </w:r>
      <w:r/>
    </w:p>
    <w:p>
      <w:pPr>
        <w:jc w:val="right"/>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日期：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我公司(单位)愿针对本次项目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进行投标。</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w:t>
      </w:r>
      <w:r>
        <w:rPr>
          <w:rFonts w:hint="eastAsia" w:ascii="宋体" w:hAnsi="宋体" w:cs="宋体"/>
          <w:bCs/>
          <w:sz w:val="24"/>
          <w:szCs w:val="24"/>
          <w:highlight w:val="none"/>
        </w:rPr>
        <w:t xml:space="preserve">(单位)</w:t>
      </w:r>
      <w:r>
        <w:rPr>
          <w:rFonts w:hint="eastAsia" w:ascii="宋体" w:hAnsi="宋体" w:cs="宋体"/>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(一)具有独立承担民事责任的能力；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(二)具有良好的商业信誉和健全的财务会计制度；</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(三)具有履行合同所必需的设备和专业技术能力；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(四)有依法缴纳税收和社会保障资金的良好记录；</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(五)近三年内，在经营活动中没有重大违法记录；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若有违背，我公司(单位)愿意承担由此而产生的一切后果。</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p>
    <w:p>
      <w:pPr>
        <w:ind w:firstLine="36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518"/>
        <w:ind w:left="0"/>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（三）（投标人）法定代表人授权委托书（格式）：</w:t>
      </w:r>
      <w:r/>
    </w:p>
    <w:p>
      <w:pPr>
        <w:spacing w:line="360" w:lineRule="auto"/>
        <w:rPr>
          <w:rFonts w:hint="eastAsia" w:ascii="宋体" w:hAnsi="宋体" w:cs="宋体"/>
          <w:bCs/>
          <w:sz w:val="24"/>
          <w:szCs w:val="24"/>
          <w:highlight w:val="none"/>
        </w:rPr>
      </w:pPr>
      <w:r/>
      <w:bookmarkStart w:id="38" w:name="_Toc32348"/>
      <w:r/>
      <w:bookmarkStart w:id="39" w:name="_Toc2444"/>
      <w:r/>
      <w:r/>
    </w:p>
    <w:p>
      <w:pPr>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法定代表人授权委托书</w:t>
      </w:r>
      <w:bookmarkEnd w:id="38"/>
      <w:r/>
      <w:bookmarkEnd w:id="39"/>
      <w:r/>
      <w:r/>
    </w:p>
    <w:p>
      <w:pPr>
        <w:ind w:firstLine="480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p>
    <w:p>
      <w:pPr>
        <w:ind w:firstLine="480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日期：</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江苏建达全过程工程咨询有限公司</w:t>
      </w:r>
      <w:r>
        <w:rPr>
          <w:rFonts w:hint="eastAsia" w:ascii="宋体" w:hAnsi="宋体" w:cs="宋体"/>
          <w:bCs/>
          <w:sz w:val="24"/>
          <w:szCs w:val="24"/>
          <w:highlight w:val="none"/>
        </w:rPr>
        <w:t xml:space="preserve">：</w:t>
      </w:r>
      <w:r/>
    </w:p>
    <w:p>
      <w:pPr>
        <w:ind w:firstLine="24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系中华人民共和国合法企业（单位），特授权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代表我公司(单位)全权办理针对本项目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我公司(单位)对被授权人的签名负全部责任。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被授权人情况：</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姓名：          性别：        电话：</w:t>
      </w:r>
      <w:r/>
    </w:p>
    <w:p>
      <w:pPr>
        <w:ind w:firstLine="50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40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rPr>
          <w:rFonts w:hint="eastAsia" w:ascii="宋体" w:hAnsi="宋体" w:cs="宋体"/>
          <w:bCs/>
          <w:sz w:val="24"/>
          <w:szCs w:val="24"/>
          <w:highlight w:val="none"/>
        </w:rPr>
      </w:pPr>
      <w:r>
        <w:rPr>
          <w:rFonts w:hint="eastAsia" w:ascii="宋体" w:hAnsi="宋体" w:cs="宋体"/>
          <w:bCs/>
          <w:sz w:val="24"/>
          <w:szCs w:val="24"/>
          <w:highlight w:val="none"/>
        </w:rPr>
        <w:t xml:space="preserve">投标人法定代表人身份证扫描件：</w:t>
      </w:r>
      <w:r/>
    </w:p>
    <w:p>
      <w:pPr>
        <w:ind w:firstLine="240"/>
        <w:rPr>
          <w:rFonts w:hint="eastAsia" w:ascii="宋体" w:hAnsi="宋体" w:cs="宋体"/>
          <w:bCs/>
          <w:sz w:val="24"/>
          <w:szCs w:val="24"/>
          <w:highlight w:val="none"/>
        </w:rPr>
      </w:pPr>
      <w:r>
        <w:rPr>
          <w:rFonts w:hint="eastAsia" w:ascii="宋体" w:hAnsi="宋体" w:cs="宋体"/>
          <w:bCs/>
          <w:sz w:val="24"/>
          <w:szCs w:val="24"/>
          <w:highlight w:val="none"/>
        </w:rPr>
        <mc:AlternateContent>
          <mc:Choice Requires="wpg">
            <w:drawing>
              <wp:inline xmlns:wp="http://schemas.openxmlformats.org/drawingml/2006/wordprocessingDrawing" distT="0" distB="0" distL="0" distR="0">
                <wp:extent cx="2251075" cy="1287780"/>
                <wp:effectExtent l="0" t="0" r="0" b="0"/>
                <wp:docPr id="19" name="文本框 19"/>
                <wp:cNvGraphicFramePr/>
                <a:graphic xmlns:a="http://schemas.openxmlformats.org/drawingml/2006/main">
                  <a:graphicData uri="http://schemas.microsoft.com/office/word/2010/wordprocessingShape">
                    <wps:wsp>
                      <wps:cNvPr id="0" name=""/>
                      <wps:cNvSpPr txBox="1"/>
                      <wps:spPr bwMode="auto">
                        <a:xfrm>
                          <a:off x="0" y="0"/>
                          <a:ext cx="2251075" cy="128778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8" o:spid="_x0000_s18" o:spt="202" type="#_x0000_t202" style="width:177.2pt;height:101.4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sz w:val="24"/>
          <w:szCs w:val="24"/>
          <w:highlight w:val="none"/>
        </w:rPr>
        <w:t xml:space="preserve">    </w:t>
      </w:r>
      <w:r>
        <w:rPr>
          <w:rFonts w:hint="eastAsia" w:ascii="宋体" w:hAnsi="宋体" w:cs="宋体"/>
          <w:bCs/>
          <w:sz w:val="24"/>
          <w:szCs w:val="24"/>
          <w:highlight w:val="none"/>
        </w:rPr>
        <mc:AlternateContent>
          <mc:Choice Requires="wpg">
            <w:drawing>
              <wp:inline xmlns:wp="http://schemas.openxmlformats.org/drawingml/2006/wordprocessingDrawing" distT="0" distB="0" distL="0" distR="0">
                <wp:extent cx="2249805" cy="1289050"/>
                <wp:effectExtent l="0" t="0" r="0" b="0"/>
                <wp:docPr id="20" name="文本框 20"/>
                <wp:cNvGraphicFramePr/>
                <a:graphic xmlns:a="http://schemas.openxmlformats.org/drawingml/2006/main">
                  <a:graphicData uri="http://schemas.microsoft.com/office/word/2010/wordprocessingShape">
                    <wps:wsp>
                      <wps:cNvPr id="0" name=""/>
                      <wps:cNvSpPr txBox="1"/>
                      <wps:spPr bwMode="auto">
                        <a:xfrm>
                          <a:off x="0" y="0"/>
                          <a:ext cx="2249805" cy="128905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9" o:spid="_x0000_s19" o:spt="202" type="#_x0000_t202" style="width:177.1pt;height:101.5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highlight w:val="none"/>
        </w:rPr>
      </w:pPr>
      <w:r>
        <w:rPr>
          <w:rFonts w:hint="eastAsia" w:ascii="宋体" w:hAnsi="宋体" w:cs="宋体"/>
          <w:bCs/>
          <w:sz w:val="24"/>
          <w:szCs w:val="24"/>
          <w:highlight w:val="none"/>
        </w:rPr>
        <w:t xml:space="preserve">法定代表人授权代表身份证扫描件：</w:t>
      </w:r>
      <w:r>
        <w:rPr>
          <w:rFonts w:hint="eastAsia" w:ascii="宋体" w:hAnsi="宋体" w:cs="宋体"/>
          <w:b/>
          <w:sz w:val="24"/>
          <w:szCs w:val="24"/>
          <w:highlight w:val="none"/>
        </w:rPr>
        <w:t xml:space="preserve">（</w:t>
      </w:r>
      <w:r>
        <w:rPr>
          <w:rFonts w:hint="eastAsia" w:ascii="宋体" w:hAnsi="宋体" w:cs="宋体"/>
          <w:b/>
          <w:bCs/>
          <w:sz w:val="24"/>
          <w:szCs w:val="24"/>
          <w:highlight w:val="none"/>
        </w:rPr>
        <w:t xml:space="preserve">法定代表人亲自参与投标的除外）</w:t>
      </w:r>
      <w:r/>
    </w:p>
    <w:p>
      <w:pPr>
        <w:ind w:firstLine="240"/>
        <w:rPr>
          <w:rFonts w:hint="eastAsia" w:ascii="宋体" w:hAnsi="宋体" w:cs="宋体"/>
          <w:bCs/>
          <w:sz w:val="24"/>
          <w:szCs w:val="24"/>
          <w:highlight w:val="none"/>
        </w:rPr>
      </w:pPr>
      <w:r>
        <w:rPr>
          <w:rFonts w:hint="eastAsia" w:ascii="宋体" w:hAnsi="宋体" w:cs="宋体"/>
          <w:bCs/>
          <w:sz w:val="24"/>
          <w:szCs w:val="24"/>
          <w:highlight w:val="none"/>
        </w:rPr>
        <mc:AlternateContent>
          <mc:Choice Requires="wpg">
            <w:drawing>
              <wp:inline xmlns:wp="http://schemas.openxmlformats.org/drawingml/2006/wordprocessingDrawing" distT="0" distB="0" distL="0" distR="0">
                <wp:extent cx="2249805" cy="1289050"/>
                <wp:effectExtent l="0" t="0" r="0" b="0"/>
                <wp:docPr id="21" name="文本框 21"/>
                <wp:cNvGraphicFramePr/>
                <a:graphic xmlns:a="http://schemas.openxmlformats.org/drawingml/2006/main">
                  <a:graphicData uri="http://schemas.microsoft.com/office/word/2010/wordprocessingShape">
                    <wps:wsp>
                      <wps:cNvPr id="0" name=""/>
                      <wps:cNvSpPr txBox="1"/>
                      <wps:spPr bwMode="auto">
                        <a:xfrm>
                          <a:off x="0" y="0"/>
                          <a:ext cx="2249805" cy="128905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0" o:spid="_x0000_s20" o:spt="202" type="#_x0000_t202" style="width:177.1pt;height:101.5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sz w:val="24"/>
          <w:szCs w:val="24"/>
          <w:highlight w:val="none"/>
        </w:rPr>
        <w:t xml:space="preserve">    </w:t>
      </w:r>
      <w:r>
        <w:rPr>
          <w:rFonts w:hint="eastAsia" w:ascii="宋体" w:hAnsi="宋体" w:cs="宋体"/>
          <w:bCs/>
          <w:sz w:val="24"/>
          <w:szCs w:val="24"/>
          <w:highlight w:val="none"/>
        </w:rPr>
        <mc:AlternateContent>
          <mc:Choice Requires="wpg">
            <w:drawing>
              <wp:inline xmlns:wp="http://schemas.openxmlformats.org/drawingml/2006/wordprocessingDrawing" distT="0" distB="0" distL="0" distR="0">
                <wp:extent cx="2249805" cy="1289050"/>
                <wp:effectExtent l="0" t="0" r="0" b="0"/>
                <wp:docPr id="22" name="文本框 22"/>
                <wp:cNvGraphicFramePr/>
                <a:graphic xmlns:a="http://schemas.openxmlformats.org/drawingml/2006/main">
                  <a:graphicData uri="http://schemas.microsoft.com/office/word/2010/wordprocessingShape">
                    <wps:wsp>
                      <wps:cNvPr id="0" name=""/>
                      <wps:cNvSpPr txBox="1"/>
                      <wps:spPr bwMode="auto">
                        <a:xfrm>
                          <a:off x="0" y="0"/>
                          <a:ext cx="2249805" cy="128905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1" o:spid="_x0000_s21" o:spt="202" type="#_x0000_t202" style="width:177.1pt;height:101.5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 xml:space="preserve">                                    </w:t>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p>
      <w:pPr>
        <w:rPr>
          <w:rFonts w:hint="eastAsia" w:ascii="宋体" w:hAnsi="宋体" w:cs="宋体"/>
          <w:bCs/>
          <w:sz w:val="24"/>
          <w:szCs w:val="24"/>
          <w:highlight w:val="none"/>
        </w:rPr>
      </w:pPr>
      <w:r/>
      <w:bookmarkStart w:id="40" w:name="_Toc19047"/>
      <w:r/>
      <w:bookmarkStart w:id="41" w:name="_Toc7396"/>
      <w:r>
        <w:rPr>
          <w:rFonts w:hint="eastAsia" w:ascii="宋体" w:hAnsi="宋体" w:cs="宋体"/>
          <w:bCs/>
          <w:sz w:val="24"/>
          <w:szCs w:val="24"/>
          <w:highlight w:val="none"/>
        </w:rPr>
        <w:t xml:space="preserve">投标人法定代表人身份证扫描件：</w:t>
      </w:r>
      <w:r/>
    </w:p>
    <w:p>
      <w:pPr>
        <w:ind w:firstLine="240"/>
        <w:rPr>
          <w:rFonts w:hint="eastAsia" w:ascii="宋体" w:hAnsi="宋体" w:cs="宋体"/>
          <w:bCs/>
          <w:sz w:val="24"/>
          <w:szCs w:val="24"/>
          <w:highlight w:val="none"/>
        </w:rPr>
      </w:pPr>
      <w:r>
        <w:rPr>
          <w:rFonts w:hint="eastAsia" w:ascii="宋体" w:hAnsi="宋体" w:cs="宋体"/>
          <w:bCs/>
          <w:sz w:val="24"/>
          <w:szCs w:val="24"/>
          <w:highlight w:val="none"/>
        </w:rPr>
        <mc:AlternateContent>
          <mc:Choice Requires="wpg">
            <w:drawing>
              <wp:inline xmlns:wp="http://schemas.openxmlformats.org/drawingml/2006/wordprocessingDrawing" distT="0" distB="0" distL="0" distR="0">
                <wp:extent cx="2251075" cy="1287780"/>
                <wp:effectExtent l="4445" t="5080" r="15240" b="17780"/>
                <wp:docPr id="23" name="文本框 23"/>
                <wp:cNvGraphicFramePr/>
                <a:graphic xmlns:a="http://schemas.openxmlformats.org/drawingml/2006/main">
                  <a:graphicData uri="http://schemas.microsoft.com/office/word/2010/wordprocessingShape">
                    <wps:wsp>
                      <wps:cNvPr id="0" name=""/>
                      <wps:cNvSpPr txBox="1"/>
                      <wps:spPr bwMode="auto">
                        <a:xfrm>
                          <a:off x="0" y="0"/>
                          <a:ext cx="2251075" cy="1287780"/>
                        </a:xfrm>
                        <a:prstGeom prst="rect">
                          <a:avLst/>
                        </a:prstGeom>
                        <a:solidFill>
                          <a:srgbClr val="FFFFFF"/>
                        </a:solidFill>
                        <a:ln>
                          <a:solidFill>
                            <a:srgbClr val="000000"/>
                          </a:solidFill>
                          <a:round/>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22" o:spid="_x0000_s22" o:spt="202" type="#_x0000_t202" style="width:177.2pt;height:101.4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s="宋体"/>
          <w:bCs/>
          <w:sz w:val="24"/>
          <w:szCs w:val="24"/>
          <w:highlight w:val="none"/>
        </w:rPr>
        <w:t xml:space="preserve">    </w:t>
      </w:r>
      <w:r>
        <w:rPr>
          <w:rFonts w:hint="eastAsia" w:ascii="宋体" w:hAnsi="宋体" w:cs="宋体"/>
          <w:bCs/>
          <w:sz w:val="24"/>
          <w:szCs w:val="24"/>
          <w:highlight w:val="none"/>
        </w:rPr>
        <mc:AlternateContent>
          <mc:Choice Requires="wpg">
            <w:drawing>
              <wp:inline xmlns:wp="http://schemas.openxmlformats.org/drawingml/2006/wordprocessingDrawing" distT="0" distB="0" distL="0" distR="0">
                <wp:extent cx="2249805" cy="1289050"/>
                <wp:effectExtent l="4445" t="4445" r="16510" b="17145"/>
                <wp:docPr id="24" name="文本框 24"/>
                <wp:cNvGraphicFramePr/>
                <a:graphic xmlns:a="http://schemas.openxmlformats.org/drawingml/2006/main">
                  <a:graphicData uri="http://schemas.microsoft.com/office/word/2010/wordprocessingShape">
                    <wps:wsp>
                      <wps:cNvPr id="0" name=""/>
                      <wps:cNvSpPr txBox="1"/>
                      <wps:spPr bwMode="auto">
                        <a:xfrm>
                          <a:off x="0" y="0"/>
                          <a:ext cx="2249805" cy="1289050"/>
                        </a:xfrm>
                        <a:prstGeom prst="rect">
                          <a:avLst/>
                        </a:prstGeom>
                        <a:solidFill>
                          <a:srgbClr val="FFFFFF"/>
                        </a:solidFill>
                        <a:ln>
                          <a:solidFill>
                            <a:srgbClr val="000000"/>
                          </a:solidFill>
                        </a:ln>
                      </wps:spPr>
                      <wps:txbx>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3" o:spid="_x0000_s23" o:spt="202" type="#_x0000_t202" style="width:177.1pt;height:101.5pt;mso-wrap-distance-left:0.0pt;mso-wrap-distance-top:0.0pt;mso-wrap-distance-right:0.0pt;mso-wrap-distance-bottom:0.0pt;visibility:visible;" fillcolor="#FFFFFF" strokecolor="#000000">
                <v:textbox inset="0,0,0,0">
                  <w:txbxContent>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cs="宋体"/>
          <w:b/>
          <w:sz w:val="24"/>
          <w:szCs w:val="24"/>
          <w:highlight w:val="none"/>
        </w:rPr>
      </w:pPr>
      <w:r>
        <w:rPr>
          <w:rFonts w:hint="eastAsia" w:ascii="宋体" w:hAnsi="宋体" w:cs="宋体"/>
          <w:b/>
          <w:sz w:val="24"/>
          <w:szCs w:val="24"/>
          <w:highlight w:val="none"/>
        </w:rPr>
        <w:br w:type="page" w:clear="all"/>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（四）承诺书</w:t>
      </w:r>
      <w:bookmarkEnd w:id="40"/>
      <w:r/>
      <w:bookmarkEnd w:id="41"/>
      <w:r>
        <w:rPr>
          <w:rFonts w:hint="eastAsia" w:ascii="宋体" w:hAnsi="宋体" w:cs="宋体"/>
          <w:b/>
          <w:sz w:val="24"/>
          <w:szCs w:val="24"/>
          <w:highlight w:val="none"/>
        </w:rPr>
        <w:t xml:space="preserve">（格式）：</w:t>
      </w:r>
      <w:r/>
    </w:p>
    <w:p>
      <w:pP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承诺书</w:t>
      </w:r>
      <w:r/>
    </w:p>
    <w:p>
      <w:pPr>
        <w:pStyle w:val="1518"/>
        <w:ind w:left="1260"/>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spacing w:line="48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（投标人名称）  </w:t>
      </w:r>
      <w:r>
        <w:rPr>
          <w:rFonts w:hint="eastAsia" w:ascii="宋体" w:hAnsi="宋体" w:cs="宋体"/>
          <w:sz w:val="24"/>
          <w:szCs w:val="24"/>
          <w:highlight w:val="none"/>
        </w:rPr>
        <w:t xml:space="preserve">在此承诺：</w:t>
      </w:r>
      <w:r/>
    </w:p>
    <w:p>
      <w:pPr>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具备履行合同所必需的设备和专业技术能力；</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网站（www.creditchina.gov.cn）、中国政府采购网</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www.ccgp.gov.cn</w:t>
      </w:r>
      <w:r>
        <w:rPr>
          <w:rFonts w:hint="eastAsia" w:ascii="宋体" w:hAnsi="宋体" w:cs="宋体"/>
          <w:bCs/>
          <w:sz w:val="24"/>
          <w:szCs w:val="24"/>
          <w:highlight w:val="none"/>
          <w:lang w:eastAsia="zh-CN"/>
        </w:rPr>
        <w:t xml:space="preserve">）</w:t>
      </w:r>
      <w:r>
        <w:rPr>
          <w:rFonts w:hint="eastAsia" w:ascii="宋体" w:hAnsi="宋体" w:cs="宋体"/>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5400"/>
        <w:spacing w:line="48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372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80" w:lineRule="auto"/>
        <w:rPr>
          <w:rFonts w:hint="eastAsia" w:ascii="宋体" w:hAnsi="宋体" w:eastAsia="宋体" w:cs="宋体"/>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cols w:num="1" w:sep="0" w:space="1701" w:equalWidth="1"/>
          <w:docGrid w:linePitch="360"/>
          <w:titlePg/>
        </w:sectPr>
      </w:pPr>
      <w:r>
        <w:rPr>
          <w:rFonts w:hint="eastAsia" w:ascii="宋体" w:hAnsi="宋体" w:eastAsia="宋体" w:cs="宋体"/>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五</w:t>
      </w:r>
      <w:r>
        <w:rPr>
          <w:rFonts w:hint="eastAsia" w:ascii="宋体" w:hAnsi="宋体" w:cs="宋体"/>
          <w:b/>
          <w:sz w:val="24"/>
          <w:szCs w:val="24"/>
          <w:highlight w:val="none"/>
        </w:rPr>
        <w:t xml:space="preserve">）开标一览表（格式）：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p>
    <w:p>
      <w:pPr>
        <w:pStyle w:val="1512"/>
        <w:rPr>
          <w:rFonts w:hint="eastAsia"/>
          <w:color w:val="000000"/>
          <w:highlight w:val="none"/>
        </w:rPr>
        <w:outlineLvl w:val="9"/>
      </w:pPr>
      <w:r>
        <w:rPr>
          <w:rFonts w:hint="eastAsia"/>
          <w:color w:val="000000"/>
          <w:highlight w:val="none"/>
        </w:rPr>
      </w:r>
      <w:r/>
    </w:p>
    <w:p>
      <w:pPr>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rPr>
        <w:t xml:space="preserve">采购项目编号：</w:t>
      </w:r>
      <w:r>
        <w:rPr>
          <w:rFonts w:hint="eastAsia" w:ascii="宋体" w:hAnsi="宋体" w:cs="宋体"/>
          <w:b w:val="0"/>
          <w:bCs/>
          <w:color w:val="000000"/>
          <w:sz w:val="24"/>
          <w:szCs w:val="24"/>
          <w:highlight w:val="none"/>
          <w:lang w:eastAsia="zh-CN"/>
        </w:rPr>
        <w:t xml:space="preserve">JSZC-320200-JDGS-G2024-0086</w:t>
      </w:r>
      <w:r/>
    </w:p>
    <w:p>
      <w:pPr>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p>
    <w:p>
      <w:pPr>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Style w:val="1324"/>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tc>
        <w:tc>
          <w:tcPr>
            <w:tcW w:w="3712" w:type="dxa"/>
            <w:vAlign w:val="center"/>
            <w:textDirection w:val="lrTb"/>
            <w:noWrap w:val="false"/>
          </w:tcPr>
          <w:p>
            <w:pPr>
              <w:jc w:val="center"/>
              <w:spacing w:line="360" w:lineRule="auto"/>
              <w:rPr>
                <w:rFonts w:ascii="宋体" w:hAnsi="宋体" w:eastAsia="宋体" w:cs="宋体"/>
                <w:color w:val="000000"/>
                <w:sz w:val="24"/>
                <w:szCs w:val="24"/>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p>
        </w:tc>
        <w:tc>
          <w:tcPr>
            <w:tcW w:w="3712" w:type="dxa"/>
            <w:vAlign w:val="center"/>
            <w:textDirection w:val="lrTb"/>
            <w:noWrap w:val="false"/>
          </w:tcPr>
          <w:p>
            <w:pPr>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3712"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总价（大写）</w:t>
            </w:r>
            <w:r/>
          </w:p>
        </w:tc>
        <w:tc>
          <w:tcPr>
            <w:gridSpan w:val="2"/>
            <w:tcW w:w="7424"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p>
    <w:p>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512"/>
        <w:ind w:left="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1512"/>
        <w:ind w:left="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lang w:eastAsia="zh-CN"/>
        </w:rPr>
        <w:t xml:space="preserve">江苏建达全过程工程咨询有限公司</w:t>
      </w:r>
      <w:r>
        <w:rPr>
          <w:rFonts w:hint="eastAsia" w:ascii="宋体" w:hAnsi="宋体" w:cs="宋体"/>
          <w:b/>
          <w:color w:val="000000"/>
          <w:sz w:val="24"/>
          <w:szCs w:val="24"/>
          <w:highlight w:val="none"/>
          <w:u w:val="single"/>
        </w:rPr>
        <w:t xml:space="preserve">有权将相关内容进行公示。</w:t>
      </w:r>
      <w:r/>
    </w:p>
    <w:p>
      <w:pPr>
        <w:pStyle w:val="1571"/>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before="5"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left="720" w:hanging="720"/>
        <w:spacing w:line="400" w:lineRule="exact"/>
        <w:rPr>
          <w:rFonts w:hint="eastAsia" w:ascii="宋体" w:hAnsi="宋体" w:cs="宋体"/>
          <w:bCs/>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bookmarkStart w:id="42" w:name="_Toc17818"/>
      <w:r/>
      <w:bookmarkStart w:id="43" w:name="_Toc11575"/>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）服务保障承诺书</w:t>
      </w:r>
      <w:bookmarkEnd w:id="42"/>
      <w:r/>
      <w:bookmarkEnd w:id="43"/>
      <w:r>
        <w:rPr>
          <w:rFonts w:hint="eastAsia" w:ascii="宋体" w:hAnsi="宋体" w:cs="宋体"/>
          <w:b/>
          <w:sz w:val="24"/>
          <w:szCs w:val="24"/>
          <w:highlight w:val="none"/>
        </w:rPr>
        <w:t xml:space="preserve">（格式）：</w:t>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服务保障承诺</w:t>
      </w:r>
      <w:r/>
    </w:p>
    <w:p>
      <w:pPr>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u w:val="single"/>
        </w:rPr>
        <w:t xml:space="preserve">                   (投标人)</w:t>
      </w:r>
      <w:r>
        <w:rPr>
          <w:rFonts w:hint="eastAsia" w:ascii="宋体" w:hAnsi="宋体" w:cs="宋体"/>
          <w:bCs/>
          <w:sz w:val="24"/>
          <w:szCs w:val="24"/>
          <w:highlight w:val="none"/>
        </w:rPr>
        <w:t xml:space="preserve">针对本项目</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在此承诺：</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2、本公司愿意接受本合同要求的作业质量和</w:t>
      </w:r>
      <w:r>
        <w:rPr>
          <w:rFonts w:hint="eastAsia" w:ascii="宋体" w:hAnsi="宋体" w:cs="宋体"/>
          <w:bCs/>
          <w:sz w:val="24"/>
          <w:szCs w:val="24"/>
          <w:highlight w:val="none"/>
          <w:lang w:val="en-US" w:eastAsia="zh-CN"/>
        </w:rPr>
        <w:t xml:space="preserve">服务</w:t>
      </w:r>
      <w:r>
        <w:rPr>
          <w:rFonts w:hint="eastAsia" w:ascii="宋体" w:hAnsi="宋体" w:cs="宋体"/>
          <w:bCs/>
          <w:sz w:val="24"/>
          <w:szCs w:val="24"/>
          <w:highlight w:val="none"/>
        </w:rPr>
        <w:t xml:space="preserve">要求；自觉按照国家有关规定，按时足额缴纳各项税费和为本项目中投入人员缴纳社会保险金（养老保险金、医疗保险金、工伤保险金、生育保险金、失业保险金）；</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、本公司承诺保质保量按时完成主管部门安排的指令性任务。</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、本公司承诺中标之后人员要求配置到位。</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ind w:firstLine="576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（盖章）：</w:t>
      </w:r>
      <w:r/>
    </w:p>
    <w:p>
      <w:pPr>
        <w:ind w:firstLine="264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pStyle w:val="1512"/>
        <w:ind w:firstLine="6720"/>
        <w:rPr>
          <w:rFonts w:hint="eastAsia" w:eastAsia="宋体"/>
          <w:highlight w:val="none"/>
        </w:rPr>
      </w:pPr>
      <w:r>
        <w:rPr>
          <w:rFonts w:hint="eastAsia" w:ascii="宋体" w:hAnsi="宋体" w:eastAsia="宋体" w:cs="宋体"/>
          <w:sz w:val="24"/>
          <w:szCs w:val="24"/>
          <w:highlight w:val="none"/>
        </w:rPr>
        <w:t xml:space="preserve">日  期：</w:t>
      </w:r>
      <w:r/>
    </w:p>
    <w:p>
      <w:pPr>
        <w:ind w:firstLine="480"/>
        <w:spacing w:line="480" w:lineRule="auto"/>
        <w:rPr>
          <w:rFonts w:hint="eastAsia" w:ascii="宋体" w:hAnsi="宋体" w:cs="宋体"/>
          <w:b/>
          <w:sz w:val="24"/>
          <w:szCs w:val="24"/>
          <w:highlight w:val="none"/>
        </w:rPr>
      </w:pPr>
      <w:r>
        <w:rPr>
          <w:rFonts w:hint="eastAsia" w:ascii="宋体" w:hAnsi="宋体" w:cs="宋体"/>
          <w:b/>
          <w:sz w:val="24"/>
          <w:szCs w:val="24"/>
          <w:highlight w:val="none"/>
        </w:rPr>
        <w:t xml:space="preserve">注：以上内容由投标单位根据采购要求自行完善。</w:t>
      </w:r>
      <w:r/>
    </w:p>
    <w:p>
      <w:pPr>
        <w:pStyle w:val="1512"/>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542"/>
        <w:ind w:firstLine="241"/>
        <w:rPr>
          <w:rFonts w:hint="eastAsia" w:ascii="宋体" w:hAnsi="宋体" w:cs="宋体"/>
          <w:b/>
          <w:sz w:val="24"/>
          <w:highlight w:val="none"/>
        </w:rPr>
      </w:pPr>
      <w:r>
        <w:rPr>
          <w:rFonts w:hint="eastAsia" w:ascii="宋体" w:hAnsi="宋体" w:cs="宋体"/>
          <w:b/>
          <w:sz w:val="24"/>
          <w:highlight w:val="none"/>
        </w:rPr>
      </w:r>
      <w:r/>
    </w:p>
    <w:p>
      <w:pPr>
        <w:pStyle w:val="1542"/>
        <w:ind w:firstLine="241"/>
        <w:rPr>
          <w:rFonts w:hint="eastAsia" w:ascii="宋体" w:hAnsi="宋体" w:cs="宋体"/>
          <w:b/>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
          <w:sz w:val="24"/>
          <w:highlight w:val="none"/>
        </w:rPr>
      </w:r>
      <w:r/>
    </w:p>
    <w:p>
      <w:pPr>
        <w:rPr>
          <w:rFonts w:hint="eastAsia" w:ascii="宋体" w:hAnsi="宋体" w:cs="宋体"/>
          <w:b/>
          <w:sz w:val="24"/>
          <w:szCs w:val="24"/>
          <w:highlight w:val="none"/>
        </w:rPr>
        <w:outlineLvl w:val="2"/>
      </w:pPr>
      <w:r/>
      <w:bookmarkStart w:id="44" w:name="_Toc28479"/>
      <w:r/>
      <w:bookmarkStart w:id="45" w:name="_Toc4377"/>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）投标偏离表</w:t>
      </w:r>
      <w:bookmarkEnd w:id="44"/>
      <w:r/>
      <w:bookmarkEnd w:id="45"/>
      <w:r>
        <w:rPr>
          <w:rFonts w:hint="eastAsia" w:ascii="宋体" w:hAnsi="宋体" w:cs="宋体"/>
          <w:b/>
          <w:sz w:val="24"/>
          <w:szCs w:val="24"/>
          <w:highlight w:val="none"/>
        </w:rPr>
        <w:t xml:space="preserve">（格式）：</w:t>
      </w:r>
      <w:r/>
    </w:p>
    <w:p>
      <w:pPr>
        <w:ind w:firstLine="420"/>
        <w:jc w:val="left"/>
        <w:rPr>
          <w:rFonts w:hint="eastAsia" w:ascii="宋体" w:hAnsi="宋体" w:cs="宋体"/>
          <w:bCs/>
          <w:sz w:val="24"/>
          <w:szCs w:val="24"/>
          <w:highlight w:val="none"/>
        </w:rPr>
      </w:pPr>
      <w:r>
        <w:rPr>
          <w:rFonts w:hint="eastAsia" w:ascii="宋体" w:hAnsi="宋体" w:cs="宋体"/>
          <w:bCs/>
          <w:sz w:val="24"/>
          <w:szCs w:val="24"/>
          <w:highlight w:val="none"/>
        </w:rPr>
      </w:r>
      <w:r/>
    </w:p>
    <w:p>
      <w:pPr>
        <w:ind w:firstLine="420"/>
        <w:jc w:val="center"/>
        <w:rPr>
          <w:rFonts w:hint="eastAsia" w:ascii="宋体" w:hAnsi="宋体" w:cs="宋体"/>
          <w:bCs/>
          <w:sz w:val="24"/>
          <w:szCs w:val="24"/>
          <w:highlight w:val="none"/>
        </w:rPr>
      </w:pPr>
      <w:r/>
      <w:bookmarkStart w:id="46" w:name="_Toc27971"/>
      <w:r/>
      <w:bookmarkStart w:id="47" w:name="_Toc25155"/>
      <w:r>
        <w:rPr>
          <w:rFonts w:hint="eastAsia" w:ascii="宋体" w:hAnsi="宋体" w:cs="宋体"/>
          <w:bCs/>
          <w:sz w:val="24"/>
          <w:szCs w:val="24"/>
          <w:highlight w:val="none"/>
        </w:rPr>
        <w:t xml:space="preserve">投标偏离表</w:t>
      </w:r>
      <w:bookmarkEnd w:id="46"/>
      <w:r/>
      <w:bookmarkEnd w:id="47"/>
      <w:r/>
      <w:r/>
    </w:p>
    <w:p>
      <w:pPr>
        <w:jc w:val="center"/>
        <w:spacing w:line="400" w:lineRule="exact"/>
        <w:rPr>
          <w:rFonts w:hint="eastAsia" w:ascii="宋体" w:hAnsi="宋体" w:cs="宋体"/>
          <w:bCs/>
          <w:sz w:val="24"/>
          <w:szCs w:val="24"/>
          <w:highlight w:val="none"/>
        </w:rPr>
      </w:pPr>
      <w:r>
        <w:rPr>
          <w:rFonts w:hint="eastAsia" w:ascii="宋体" w:hAnsi="宋体" w:cs="宋体"/>
          <w:bCs/>
          <w:sz w:val="24"/>
          <w:szCs w:val="24"/>
          <w:highlight w:val="none"/>
        </w:rPr>
      </w:r>
      <w:r/>
    </w:p>
    <w:p>
      <w:pPr>
        <w:spacing w:line="400" w:lineRule="exact"/>
        <w:rPr>
          <w:rFonts w:hint="eastAsia" w:ascii="宋体" w:hAnsi="宋体" w:cs="宋体"/>
          <w:bCs/>
          <w:sz w:val="24"/>
          <w:szCs w:val="24"/>
          <w:highlight w:val="none"/>
        </w:rPr>
      </w:pPr>
      <w:r>
        <w:rPr>
          <w:rFonts w:hint="eastAsia" w:ascii="宋体" w:hAnsi="宋体"/>
          <w:bCs/>
          <w:sz w:val="24"/>
          <w:szCs w:val="24"/>
          <w:highlight w:val="none"/>
        </w:rPr>
        <w:t xml:space="preserve">项目名称：</w:t>
      </w:r>
      <w:r/>
    </w:p>
    <w:p>
      <w:pP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p>
    <w:tbl>
      <w:tblPr>
        <w:tblStyle w:val="1324"/>
        <w:tblW w:w="0" w:type="auto"/>
        <w:jc w:val="center"/>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bl>
    <w:p>
      <w:pPr>
        <w:rPr>
          <w:rFonts w:hint="eastAsia" w:ascii="宋体" w:hAnsi="宋体" w:cs="宋体"/>
          <w:bCs/>
          <w:sz w:val="24"/>
          <w:szCs w:val="24"/>
          <w:highlight w:val="none"/>
        </w:rPr>
      </w:pPr>
      <w:r>
        <w:rPr>
          <w:rFonts w:hint="eastAsia" w:ascii="宋体" w:hAnsi="宋体" w:cs="宋体"/>
          <w:bCs/>
          <w:sz w:val="24"/>
          <w:szCs w:val="24"/>
          <w:highlight w:val="none"/>
        </w:rPr>
      </w:r>
      <w:r/>
    </w:p>
    <w:p>
      <w:pPr>
        <w:ind w:firstLine="3120"/>
        <w:rPr>
          <w:rFonts w:hint="eastAsia" w:ascii="宋体" w:hAnsi="宋体" w:cs="宋体"/>
          <w:b/>
          <w:bCs/>
          <w:sz w:val="24"/>
          <w:szCs w:val="24"/>
          <w:highlight w:val="none"/>
        </w:rPr>
      </w:pPr>
      <w:r/>
      <w:bookmarkStart w:id="48" w:name="_Toc24453"/>
      <w:r/>
      <w:bookmarkStart w:id="49" w:name="_Toc31759"/>
      <w:r>
        <w:rPr>
          <w:rFonts w:hint="eastAsia" w:ascii="宋体" w:hAnsi="宋体" w:cs="宋体"/>
          <w:b/>
          <w:bCs/>
          <w:sz w:val="24"/>
          <w:szCs w:val="24"/>
          <w:highlight w:val="none"/>
        </w:rPr>
        <w:t xml:space="preserve">法定代表人或法定代表人授权代表签字或盖章：</w:t>
      </w:r>
      <w:bookmarkEnd w:id="48"/>
      <w:r/>
      <w:bookmarkEnd w:id="49"/>
      <w:r/>
      <w:r/>
    </w:p>
    <w:p>
      <w:pPr>
        <w:pStyle w:val="1512"/>
        <w:ind w:left="7228" w:hanging="7200"/>
        <w:rPr>
          <w:rFonts w:eastAsia="宋体"/>
          <w:highlight w:val="none"/>
        </w:rPr>
      </w:pPr>
      <w:r>
        <w:rPr>
          <w:rFonts w:hint="eastAsia" w:ascii="宋体" w:hAnsi="宋体" w:eastAsia="宋体" w:cs="宋体"/>
          <w:b/>
          <w:sz w:val="24"/>
          <w:szCs w:val="24"/>
          <w:highlight w:val="none"/>
        </w:rPr>
        <w:t xml:space="preserve">                                                                  日  期：</w:t>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bookmarkStart w:id="50" w:name="_Toc8176"/>
      <w:r/>
      <w:bookmarkStart w:id="51" w:name="_Toc2067"/>
      <w:r>
        <w:rPr>
          <w:rFonts w:hint="eastAsia" w:ascii="宋体" w:hAnsi="宋体" w:cs="宋体"/>
          <w:bCs/>
          <w:sz w:val="24"/>
          <w:szCs w:val="24"/>
          <w:highlight w:val="none"/>
        </w:rPr>
        <w:t xml:space="preserve">注：（1）本表不得删除，可自行延长；</w:t>
      </w:r>
      <w:bookmarkEnd w:id="50"/>
      <w:r/>
      <w:bookmarkEnd w:id="51"/>
      <w:r/>
      <w:r/>
    </w:p>
    <w:p>
      <w:pPr>
        <w:ind w:left="-214" w:firstLine="720"/>
        <w:rPr>
          <w:rFonts w:hint="eastAsia" w:ascii="宋体" w:hAnsi="宋体" w:cs="宋体"/>
          <w:bCs/>
          <w:sz w:val="24"/>
          <w:szCs w:val="24"/>
          <w:highlight w:val="none"/>
        </w:rPr>
      </w:pPr>
      <w:r/>
      <w:bookmarkStart w:id="52" w:name="_Toc22220"/>
      <w:r/>
      <w:bookmarkStart w:id="53" w:name="_Toc511"/>
      <w:r>
        <w:rPr>
          <w:rFonts w:hint="eastAsia" w:ascii="宋体" w:hAnsi="宋体" w:cs="宋体"/>
          <w:bCs/>
          <w:sz w:val="24"/>
          <w:szCs w:val="24"/>
          <w:highlight w:val="none"/>
        </w:rPr>
        <w:t xml:space="preserve">（2）如无任何服务偏离，请于本表“偏离说明”中注明“无偏离”；</w:t>
      </w:r>
      <w:bookmarkEnd w:id="52"/>
      <w:r/>
      <w:bookmarkEnd w:id="53"/>
      <w:r/>
      <w:r/>
    </w:p>
    <w:p>
      <w:pPr>
        <w:ind w:firstLine="480"/>
        <w:rPr>
          <w:rFonts w:hint="eastAsia" w:ascii="宋体" w:hAnsi="宋体" w:cs="宋体"/>
          <w:bCs/>
          <w:sz w:val="24"/>
          <w:szCs w:val="24"/>
          <w:highlight w:val="none"/>
        </w:rPr>
      </w:pPr>
      <w:r/>
      <w:bookmarkStart w:id="54" w:name="_Toc10188"/>
      <w:r/>
      <w:bookmarkStart w:id="55" w:name="_Toc9412"/>
      <w:r>
        <w:rPr>
          <w:rFonts w:hint="eastAsia" w:ascii="宋体" w:hAnsi="宋体" w:cs="宋体"/>
          <w:bCs/>
          <w:sz w:val="24"/>
          <w:szCs w:val="24"/>
          <w:highlight w:val="none"/>
        </w:rPr>
        <w:t xml:space="preserve">（3）如有服务偏离项，请于本表中列明偏离内容以及相关证明材料，如需要可自行延长，其余无偏离内容不须赘述。</w:t>
      </w:r>
      <w:bookmarkEnd w:id="54"/>
      <w:r/>
      <w:bookmarkEnd w:id="55"/>
      <w:r/>
      <w:r/>
    </w:p>
    <w:p>
      <w:pPr>
        <w:pStyle w:val="1571"/>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71"/>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571"/>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）投标供应商基本情况表（格式）：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投标供应商基本情况表</w:t>
      </w:r>
      <w:r/>
    </w:p>
    <w:p>
      <w:pPr>
        <w:rPr>
          <w:rFonts w:hint="eastAsia" w:ascii="宋体" w:hAnsi="宋体" w:cs="宋体"/>
          <w:szCs w:val="22"/>
          <w:highlight w:val="none"/>
        </w:rPr>
        <w:outlineLvl w:val="9"/>
      </w:pPr>
      <w:r>
        <w:rPr>
          <w:rFonts w:hint="eastAsia" w:ascii="宋体" w:hAnsi="宋体" w:cs="宋体"/>
          <w:bCs/>
          <w:sz w:val="24"/>
          <w:szCs w:val="24"/>
          <w:highlight w:val="none"/>
        </w:rPr>
        <w:t xml:space="preserve">单位名称：（公章）</w:t>
      </w:r>
      <w:r/>
    </w:p>
    <w:tbl>
      <w:tblPr>
        <w:tblStyle w:val="132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2023年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2023年 万元</w:t>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自有面积平方米</w:t>
            </w:r>
            <w:r/>
          </w:p>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bl>
    <w:p>
      <w:pP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bCs/>
          <w:sz w:val="24"/>
          <w:szCs w:val="24"/>
          <w:highlight w:val="none"/>
        </w:rPr>
      </w:r>
      <w:r/>
    </w:p>
    <w:p>
      <w:pPr>
        <w:rPr>
          <w:rFonts w:hint="eastAsia" w:ascii="宋体" w:hAnsi="宋体" w:cs="宋体"/>
          <w:bCs/>
          <w:sz w:val="24"/>
          <w:szCs w:val="24"/>
          <w:highlight w:val="none"/>
        </w:rPr>
        <w:outlineLvl w:val="2"/>
      </w:pP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九</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主要人员配置表（格式）：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
          <w:sz w:val="24"/>
          <w:szCs w:val="24"/>
          <w:highlight w:val="none"/>
        </w:rPr>
      </w:pPr>
      <w:r>
        <w:rPr>
          <w:rFonts w:hint="eastAsia" w:ascii="宋体" w:hAnsi="宋体" w:cs="宋体"/>
          <w:bCs/>
          <w:sz w:val="24"/>
          <w:szCs w:val="24"/>
          <w:highlight w:val="none"/>
        </w:rPr>
        <w:t xml:space="preserve">主要人员配置表</w:t>
      </w:r>
      <w:r/>
    </w:p>
    <w:p>
      <w:pPr>
        <w:ind w:left="1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投标人（盖章）：                      政府采购编号：</w:t>
      </w:r>
      <w:r/>
    </w:p>
    <w:tbl>
      <w:tblPr>
        <w:tblStyle w:val="13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jc w:val="center"/>
        </w:trPr>
        <w:tc>
          <w:tcPr>
            <w:tcW w:w="556"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序号</w:t>
            </w:r>
            <w:r/>
          </w:p>
        </w:tc>
        <w:tc>
          <w:tcPr>
            <w:tcW w:w="1103"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姓名</w:t>
            </w:r>
            <w:r/>
          </w:p>
        </w:tc>
        <w:tc>
          <w:tcPr>
            <w:tcW w:w="602"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性别</w:t>
            </w:r>
            <w:r/>
          </w:p>
        </w:tc>
        <w:tc>
          <w:tcPr>
            <w:tcW w:w="602"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年龄</w:t>
            </w:r>
            <w:r/>
          </w:p>
        </w:tc>
        <w:tc>
          <w:tcPr>
            <w:tcW w:w="1075"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岗位</w:t>
            </w:r>
            <w:r/>
          </w:p>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p>
        </w:tc>
        <w:tc>
          <w:tcPr>
            <w:tcW w:w="765" w:type="dxa"/>
            <w:vAlign w:val="center"/>
            <w:textDirection w:val="lrTb"/>
            <w:noWrap w:val="false"/>
          </w:tcPr>
          <w:p>
            <w:pPr>
              <w:jc w:val="center"/>
              <w:spacing w:line="420" w:lineRule="exact"/>
              <w:rPr>
                <w:rFonts w:hint="eastAsia" w:ascii="宋体" w:hAnsi="宋体" w:eastAsia="宋体" w:cs="宋体"/>
                <w:b/>
                <w:bCs/>
                <w:sz w:val="22"/>
                <w:szCs w:val="22"/>
                <w:highlight w:val="none"/>
                <w:lang w:eastAsia="zh-CN"/>
              </w:rPr>
            </w:pPr>
            <w:r>
              <w:rPr>
                <w:rFonts w:hint="eastAsia" w:ascii="宋体" w:hAnsi="宋体" w:cs="宋体"/>
                <w:b/>
                <w:bCs/>
                <w:sz w:val="22"/>
                <w:szCs w:val="22"/>
                <w:highlight w:val="none"/>
                <w:lang w:val="en-US" w:eastAsia="zh-CN"/>
              </w:rPr>
              <w:t xml:space="preserve">职称</w:t>
            </w:r>
            <w:r/>
          </w:p>
        </w:tc>
        <w:tc>
          <w:tcPr>
            <w:tcW w:w="1015"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证书</w:t>
            </w:r>
            <w:r/>
          </w:p>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p>
        </w:tc>
        <w:tc>
          <w:tcPr>
            <w:tcW w:w="1194"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工作经验</w:t>
            </w:r>
            <w:r/>
          </w:p>
        </w:tc>
        <w:tc>
          <w:tcPr>
            <w:tcW w:w="1343"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备注</w:t>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393"/>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26"/>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ind w:left="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3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法定代表人或法定代表人授权代表签字或盖章：</w:t>
      </w:r>
      <w:r/>
    </w:p>
    <w:p>
      <w:pPr>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备注：1.表格不够可自行延长。</w:t>
      </w:r>
      <w:r/>
    </w:p>
    <w:p>
      <w:pPr>
        <w:ind w:left="120"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2.相关材料请附本表之后。</w:t>
      </w:r>
      <w:r/>
    </w:p>
    <w:p>
      <w:pPr>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518"/>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518"/>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518"/>
        <w:ind w:left="1260"/>
        <w:rPr>
          <w:rFonts w:hint="eastAsia" w:ascii="宋体" w:hAnsi="宋体" w:cs="宋体"/>
          <w:sz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（十）中小企业声明函（格式）：</w:t>
      </w:r>
      <w:r/>
    </w:p>
    <w:p>
      <w:pPr>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bCs/>
          <w:color w:val="000000"/>
          <w:sz w:val="24"/>
          <w:szCs w:val="24"/>
          <w:highlight w:val="none"/>
        </w:rPr>
        <w:outlineLvl w:val="9"/>
      </w:pPr>
      <w:r/>
      <w:bookmarkStart w:id="56" w:name="OLE_LINK13"/>
      <w:r/>
      <w:bookmarkStart w:id="57" w:name="OLE_LINK14"/>
      <w:r/>
      <w:bookmarkStart w:id="58" w:name="_Hlk6917152"/>
      <w:r>
        <w:rPr>
          <w:rFonts w:hint="eastAsia" w:ascii="宋体" w:hAnsi="宋体" w:cs="宋体"/>
          <w:color w:val="000000"/>
          <w:sz w:val="24"/>
          <w:szCs w:val="24"/>
          <w:highlight w:val="none"/>
        </w:rPr>
        <w:t xml:space="preserve">中小企业声明函（服务）</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p>
    <w:p>
      <w:pPr>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p>
    <w:p>
      <w:pPr>
        <w:pStyle w:val="1527"/>
        <w:rPr>
          <w:rFonts w:hint="eastAsia"/>
          <w:color w:val="000000"/>
          <w:highlight w:val="none"/>
        </w:rPr>
        <w:outlineLvl w:val="9"/>
      </w:pPr>
      <w:r>
        <w:rPr>
          <w:rFonts w:hint="eastAsia"/>
          <w:color w:val="000000"/>
          <w:highlight w:val="none"/>
        </w:rPr>
      </w: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p>
    <w:p>
      <w:pPr>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供应商根据《工业和信息化部、国家统计局、国家发展和改革委员会、财政部关于印发中小企业划型标准规定的通知》（工信部联企业[2011]300 号）规定的划分标准填写中小企业声明函。</w:t>
      </w:r>
      <w:r/>
    </w:p>
    <w:p>
      <w:pPr>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.供应商提供的声明函与事实不符的，依照《</w:t>
      </w:r>
      <w:r>
        <w:rPr>
          <w:rFonts w:hint="eastAsia" w:ascii="宋体" w:hAnsi="宋体" w:cs="宋体"/>
          <w:color w:val="000000"/>
          <w:sz w:val="24"/>
          <w:highlight w:val="none"/>
          <w:lang w:eastAsia="zh-CN"/>
        </w:rPr>
        <w:t xml:space="preserve">中华人民共和国政府采购法</w:t>
      </w:r>
      <w:r>
        <w:rPr>
          <w:rFonts w:hint="eastAsia" w:ascii="宋体" w:hAnsi="宋体" w:cs="宋体"/>
          <w:color w:val="000000"/>
          <w:sz w:val="24"/>
          <w:highlight w:val="none"/>
        </w:rPr>
        <w:t xml:space="preserve">》第七十七条第一款的规定追究法律责任。</w:t>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（投标人）残疾人福利性单位声明函（格式）：</w:t>
      </w:r>
      <w:bookmarkEnd w:id="56"/>
      <w:r/>
      <w:bookmarkEnd w:id="57"/>
      <w:r/>
      <w:r/>
    </w:p>
    <w:p>
      <w:pPr>
        <w:spacing w:line="588" w:lineRule="exact"/>
        <w:rPr>
          <w:rFonts w:hint="eastAsia" w:ascii="宋体" w:hAnsi="宋体" w:cs="宋体"/>
          <w:b/>
          <w:spacing w:val="6"/>
          <w:sz w:val="24"/>
          <w:szCs w:val="24"/>
          <w:highlight w:val="none"/>
        </w:rPr>
      </w:pPr>
      <w:r>
        <w:rPr>
          <w:rFonts w:hint="eastAsia" w:ascii="宋体" w:hAnsi="宋体" w:cs="宋体"/>
          <w:b/>
          <w:spacing w:val="6"/>
          <w:sz w:val="24"/>
          <w:szCs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残疾人福利性单位声明函</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单位的</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jc w:val="right"/>
        <w:spacing w:line="580" w:lineRule="exact"/>
        <w:rPr>
          <w:rFonts w:hint="eastAsia" w:ascii="宋体" w:hAnsi="宋体" w:cs="宋体"/>
          <w:bCs/>
          <w:sz w:val="24"/>
          <w:szCs w:val="24"/>
          <w:highlight w:val="none"/>
        </w:rPr>
      </w:pPr>
      <w:r>
        <w:rPr>
          <w:rFonts w:hint="eastAsia" w:ascii="宋体" w:hAnsi="宋体" w:eastAsia="宋体" w:cs="宋体"/>
          <w:bCs/>
          <w:sz w:val="24"/>
          <w:szCs w:val="24"/>
          <w:highlight w:val="none"/>
        </w:rPr>
        <w:t xml:space="preserve">单位名称（盖章）</w:t>
      </w:r>
      <w:r>
        <w:rPr>
          <w:rFonts w:hint="eastAsia" w:ascii="宋体" w:hAnsi="宋体" w:cs="宋体"/>
          <w:bCs/>
          <w:sz w:val="24"/>
          <w:szCs w:val="24"/>
          <w:highlight w:val="none"/>
        </w:rPr>
        <w:t xml:space="preserve">：</w:t>
      </w:r>
      <w:r/>
    </w:p>
    <w:p>
      <w:pPr>
        <w:ind w:firstLine="6720"/>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日  期：</w:t>
      </w:r>
      <w:bookmarkEnd w:id="58"/>
      <w:r/>
      <w:r/>
    </w:p>
    <w:p>
      <w:pPr>
        <w:pStyle w:val="1571"/>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71"/>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71"/>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571"/>
        <w:ind w:firstLine="480"/>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一</w:t>
      </w:r>
      <w:r>
        <w:rPr>
          <w:rFonts w:hint="eastAsia" w:ascii="宋体" w:hAnsi="宋体" w:cs="宋体"/>
          <w:b/>
          <w:sz w:val="24"/>
          <w:szCs w:val="24"/>
          <w:highlight w:val="none"/>
        </w:rPr>
        <w:t xml:space="preserve">）技术方案：</w:t>
      </w:r>
      <w:r/>
    </w:p>
    <w:p>
      <w:pPr>
        <w:pStyle w:val="1571"/>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571"/>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571"/>
        <w:ind w:firstLine="480"/>
        <w:jc w:val="center"/>
        <w:rPr>
          <w:rFonts w:hint="eastAsia" w:ascii="宋体" w:hAnsi="宋体" w:cs="宋体"/>
          <w:bCs/>
          <w:sz w:val="24"/>
          <w:szCs w:val="24"/>
          <w:highlight w:val="none"/>
        </w:rPr>
      </w:pPr>
      <w:r>
        <w:rPr>
          <w:rFonts w:hint="eastAsia" w:ascii="宋体" w:hAnsi="宋体" w:cs="宋体"/>
          <w:bCs/>
          <w:sz w:val="24"/>
          <w:szCs w:val="24"/>
          <w:highlight w:val="none"/>
        </w:rPr>
        <w:t xml:space="preserve">技术方案</w:t>
      </w:r>
      <w:r/>
    </w:p>
    <w:p>
      <w:pPr>
        <w:pStyle w:val="1571"/>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571"/>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投标人应按评分点编制完整的技术方案，以便评审。</w:t>
      </w:r>
      <w:r/>
    </w:p>
    <w:p>
      <w:pPr>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pPr>
      <w:r>
        <w:rPr>
          <w:rFonts w:hint="eastAsia" w:ascii="宋体" w:hAnsi="宋体" w:cs="宋体"/>
          <w:sz w:val="24"/>
          <w:szCs w:val="24"/>
          <w:highlight w:val="none"/>
        </w:rPr>
      </w:r>
      <w:r/>
    </w:p>
    <w:p>
      <w:pPr>
        <w:rPr>
          <w:rFonts w:hint="eastAsia" w:ascii="宋体" w:hAnsi="宋体" w:cs="宋体"/>
          <w:b/>
          <w:sz w:val="30"/>
          <w:szCs w:val="30"/>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）其他</w:t>
      </w:r>
      <w:r>
        <w:rPr>
          <w:rFonts w:hint="eastAsia" w:ascii="宋体" w:hAnsi="宋体" w:cs="宋体"/>
          <w:b/>
          <w:bCs/>
          <w:sz w:val="24"/>
          <w:szCs w:val="24"/>
          <w:highlight w:val="none"/>
        </w:rPr>
        <w:t xml:space="preserve">（投标人认为有必要提供的声明和文件，如有格式自拟）：</w:t>
      </w:r>
      <w:r/>
    </w:p>
    <w:p>
      <w:pPr>
        <w:pStyle w:val="1512"/>
        <w:rPr>
          <w:rFonts w:hint="eastAsia"/>
          <w:highlight w:val="none"/>
        </w:rPr>
      </w:pPr>
      <w:r>
        <w:rPr>
          <w:rFonts w:hint="eastAsia"/>
          <w:highlight w:val="none"/>
        </w:rPr>
      </w:r>
      <w:r/>
    </w:p>
    <w:p>
      <w:pPr>
        <w:pStyle w:val="1513"/>
        <w:rPr>
          <w:rFonts w:hint="eastAsia"/>
          <w:highlight w:val="none"/>
        </w:rPr>
      </w:pPr>
      <w:r>
        <w:rPr>
          <w:rFonts w:hint="eastAsia"/>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供应商认为有必要提供的声明和文件，如有自拟并自行添加</w:t>
      </w:r>
      <w:r/>
    </w:p>
    <w:p>
      <w:pPr>
        <w:pStyle w:val="1513"/>
        <w:rPr>
          <w:rFonts w:hint="eastAsia"/>
          <w:highlight w:val="none"/>
        </w:rPr>
      </w:pPr>
      <w:r>
        <w:rPr>
          <w:rFonts w:hint="eastAsia"/>
          <w:highlight w:val="none"/>
        </w:rPr>
      </w:r>
      <w:r/>
    </w:p>
    <w:p>
      <w:pPr>
        <w:pStyle w:val="1513"/>
        <w:rPr>
          <w:rFonts w:hint="eastAsia"/>
          <w:highlight w:val="none"/>
        </w:rPr>
      </w:pPr>
      <w:r>
        <w:rPr>
          <w:rFonts w:hint="eastAsia"/>
          <w:highlight w:val="none"/>
        </w:rPr>
      </w:r>
      <w:r/>
    </w:p>
    <w:p>
      <w:pPr>
        <w:pStyle w:val="1513"/>
        <w:rPr>
          <w:rFonts w:hint="eastAsia"/>
          <w:highlight w:val="none"/>
        </w:rPr>
      </w:pPr>
      <w:r>
        <w:rPr>
          <w:rFonts w:hint="eastAsia"/>
          <w:highlight w:val="none"/>
        </w:rPr>
      </w:r>
      <w:r/>
    </w:p>
    <w:p>
      <w:pPr>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供应商名称(公章)：</w:t>
      </w:r>
      <w:r/>
    </w:p>
    <w:p>
      <w:pPr>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法定代表人或授权委托人(签字)：</w:t>
      </w:r>
      <w:r/>
    </w:p>
    <w:p>
      <w:pPr>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sectPr>
      <w:footerReference w:type="default" r:id="rId25"/>
      <w:footerReference w:type="even" r:id="rId26"/>
      <w:footnotePr/>
      <w:endnotePr/>
      <w:type w:val="nextPage"/>
      <w:pgSz w:w="11906" w:h="16838" w:orient="portrait"/>
      <w:pgMar w:top="1440" w:right="1800" w:bottom="1440" w:left="1800" w:header="567" w:footer="28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rPr>
        <w:rStyle w:val="1547"/>
      </w:rPr>
      <w:framePr w:wrap="around" w:vAnchor="text" w:hAnchor="margin" w:xAlign="center" w:y="1"/>
    </w:pPr>
    <w:r>
      <w:fldChar w:fldCharType="begin"/>
    </w:r>
    <w:r>
      <w:rPr>
        <w:rStyle w:val="1547"/>
      </w:rPr>
      <w:instrText xml:space="preserve">PAGE  </w:instrText>
    </w:r>
    <w:r>
      <w:fldChar w:fldCharType="separate"/>
    </w:r>
    <w:r>
      <w:rPr>
        <w:rStyle w:val="1547"/>
      </w:rPr>
      <w:t xml:space="preserve">1</w:t>
    </w:r>
    <w:r>
      <w:fldChar w:fldCharType="end"/>
    </w:r>
    <w:r/>
  </w:p>
  <w:p>
    <w:pPr>
      <w:pStyle w:val="152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8" o:spid="_x0000_s8"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1" o:spid="_x0000_s11"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2" o:spid="_x0000_s1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3" o:spid="_x0000_s1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4" o:spid="_x0000_s1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5" o:spid="_x0000_s15" o:spt="202" type="#_x0000_t202" style="position:absolute;z-index:251661312;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p>
                          <w:r/>
                          <w:r/>
                        </w:p>
                      </w:txbxContent>
                    </wps:txbx>
                    <wps:bodyPr wrap="none" lIns="0" tIns="0" rIns="0" bIns="0" upright="1">
                      <a:spAutoFit/>
                    </wps:bodyPr>
                  </wps:wsp>
                </a:graphicData>
              </a:graphic>
            </wp:anchor>
          </w:drawing>
        </mc:Choice>
        <mc:Fallback>
          <w:pict>
            <v:shape id="shape 16" o:spid="_x0000_s1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p>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spacing w:after="240"/>
      <w:tabs>
        <w:tab w:val="left" w:pos="780"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17" o:spid="_x0000_s1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27"/>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7"/>
      <w:spacing w:after="240"/>
      <w:rPr>
        <w:rStyle w:val="1547"/>
      </w:rPr>
      <w:framePr w:wrap="around" w:vAnchor="text" w:hAnchor="margin" w:xAlign="center" w:y="1"/>
    </w:pPr>
    <w:r>
      <w:fldChar w:fldCharType="begin"/>
    </w:r>
    <w:r>
      <w:rPr>
        <w:rStyle w:val="1547"/>
      </w:rPr>
      <w:instrText xml:space="preserve">PAGE  </w:instrText>
    </w:r>
    <w:r>
      <w:fldChar w:fldCharType="end"/>
    </w:r>
    <w:r/>
  </w:p>
  <w:p>
    <w:pPr>
      <w:pStyle w:val="1527"/>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both"/>
      <w:rPr>
        <w:rFonts w:hint="eastAsia" w:eastAsia="楷体_GB2312"/>
        <w:sz w:val="20"/>
      </w:rPr>
      <w:pBdr>
        <w:bottom w:val="none" w:color="000000"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both"/>
      <w:rPr>
        <w:rFonts w:hint="eastAsia" w:eastAsia="楷体_GB2312"/>
      </w:rPr>
      <w:pBdr>
        <w:bottom w:val="none" w:color="000000"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jc w:val="both"/>
      <w:rPr>
        <w:rFonts w:hint="eastAsia" w:ascii="等线" w:hAnsi="等线" w:eastAsia="楷体_GB2312"/>
      </w:rPr>
      <w:pBdr>
        <w:bottom w:val="none" w:color="000000"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0"/>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49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8"/>
      <w:numFmt w:val="japaneseCounting"/>
      <w:isLgl w:val="false"/>
      <w:suff w:val="tab"/>
      <w:lvlText w:val="（%1）"/>
      <w:lvlJc w:val="left"/>
      <w:pPr>
        <w:ind w:left="1239" w:hanging="720"/>
      </w:pPr>
      <w:rPr>
        <w:rFonts w:hint="default"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13" w:default="1">
    <w:name w:val="Normal"/>
    <w:link w:val="1580"/>
    <w:uiPriority w:val="0"/>
    <w:qFormat/>
    <w:pPr>
      <w:jc w:val="both"/>
      <w:widowControl w:val="off"/>
    </w:pPr>
    <w:rPr>
      <w:rFonts w:hint="default" w:ascii="Times New Roman" w:hAnsi="Times New Roman" w:eastAsia="宋体" w:cs="Times New Roman"/>
      <w:sz w:val="21"/>
      <w:lang w:val="en-US" w:eastAsia="zh-CN" w:bidi="ar-SA"/>
    </w:rPr>
  </w:style>
  <w:style w:type="paragraph" w:styleId="1314">
    <w:name w:val="Heading 1"/>
    <w:basedOn w:val="1313"/>
    <w:next w:val="1313"/>
    <w:link w:val="1347"/>
    <w:uiPriority w:val="9"/>
    <w:qFormat/>
    <w:pPr>
      <w:keepLines/>
      <w:keepNext/>
      <w:spacing w:before="480" w:after="200"/>
      <w:outlineLvl w:val="0"/>
    </w:pPr>
    <w:rPr>
      <w:rFonts w:ascii="Arial" w:hAnsi="Arial" w:eastAsia="Arial" w:cs="Arial"/>
      <w:sz w:val="40"/>
      <w:szCs w:val="40"/>
    </w:rPr>
  </w:style>
  <w:style w:type="paragraph" w:styleId="1315">
    <w:name w:val="Heading 2"/>
    <w:basedOn w:val="1313"/>
    <w:next w:val="1313"/>
    <w:link w:val="1348"/>
    <w:uiPriority w:val="9"/>
    <w:unhideWhenUsed/>
    <w:qFormat/>
    <w:pPr>
      <w:keepLines/>
      <w:keepNext/>
      <w:spacing w:before="360" w:after="200"/>
      <w:outlineLvl w:val="1"/>
    </w:pPr>
    <w:rPr>
      <w:rFonts w:ascii="Arial" w:hAnsi="Arial" w:eastAsia="Arial" w:cs="Arial"/>
      <w:sz w:val="34"/>
    </w:rPr>
  </w:style>
  <w:style w:type="paragraph" w:styleId="1316">
    <w:name w:val="Heading 3"/>
    <w:basedOn w:val="1313"/>
    <w:next w:val="1313"/>
    <w:link w:val="1349"/>
    <w:uiPriority w:val="9"/>
    <w:unhideWhenUsed/>
    <w:qFormat/>
    <w:pPr>
      <w:keepLines/>
      <w:keepNext/>
      <w:spacing w:before="320" w:after="200"/>
      <w:outlineLvl w:val="2"/>
    </w:pPr>
    <w:rPr>
      <w:rFonts w:ascii="Arial" w:hAnsi="Arial" w:eastAsia="Arial" w:cs="Arial"/>
      <w:sz w:val="30"/>
      <w:szCs w:val="30"/>
    </w:rPr>
  </w:style>
  <w:style w:type="paragraph" w:styleId="1317">
    <w:name w:val="Heading 4"/>
    <w:basedOn w:val="1313"/>
    <w:next w:val="1313"/>
    <w:link w:val="1350"/>
    <w:uiPriority w:val="9"/>
    <w:unhideWhenUsed/>
    <w:qFormat/>
    <w:pPr>
      <w:keepLines/>
      <w:keepNext/>
      <w:spacing w:before="320" w:after="200"/>
      <w:outlineLvl w:val="3"/>
    </w:pPr>
    <w:rPr>
      <w:rFonts w:ascii="Arial" w:hAnsi="Arial" w:eastAsia="Arial" w:cs="Arial"/>
      <w:b/>
      <w:bCs/>
      <w:sz w:val="26"/>
      <w:szCs w:val="26"/>
    </w:rPr>
  </w:style>
  <w:style w:type="paragraph" w:styleId="1318">
    <w:name w:val="Heading 5"/>
    <w:basedOn w:val="1313"/>
    <w:next w:val="1313"/>
    <w:link w:val="1351"/>
    <w:uiPriority w:val="9"/>
    <w:unhideWhenUsed/>
    <w:qFormat/>
    <w:pPr>
      <w:keepLines/>
      <w:keepNext/>
      <w:spacing w:before="320" w:after="200"/>
      <w:outlineLvl w:val="4"/>
    </w:pPr>
    <w:rPr>
      <w:rFonts w:ascii="Arial" w:hAnsi="Arial" w:eastAsia="Arial" w:cs="Arial"/>
      <w:b/>
      <w:bCs/>
      <w:sz w:val="24"/>
      <w:szCs w:val="24"/>
    </w:rPr>
  </w:style>
  <w:style w:type="paragraph" w:styleId="1319">
    <w:name w:val="Heading 6"/>
    <w:basedOn w:val="1313"/>
    <w:next w:val="1313"/>
    <w:link w:val="1352"/>
    <w:uiPriority w:val="9"/>
    <w:unhideWhenUsed/>
    <w:qFormat/>
    <w:pPr>
      <w:keepLines/>
      <w:keepNext/>
      <w:spacing w:before="320" w:after="200"/>
      <w:outlineLvl w:val="5"/>
    </w:pPr>
    <w:rPr>
      <w:rFonts w:ascii="Arial" w:hAnsi="Arial" w:eastAsia="Arial" w:cs="Arial"/>
      <w:b/>
      <w:bCs/>
      <w:sz w:val="22"/>
      <w:szCs w:val="22"/>
    </w:rPr>
  </w:style>
  <w:style w:type="paragraph" w:styleId="1320">
    <w:name w:val="Heading 7"/>
    <w:basedOn w:val="1313"/>
    <w:next w:val="1313"/>
    <w:link w:val="1353"/>
    <w:uiPriority w:val="9"/>
    <w:unhideWhenUsed/>
    <w:qFormat/>
    <w:pPr>
      <w:keepLines/>
      <w:keepNext/>
      <w:spacing w:before="320" w:after="200"/>
      <w:outlineLvl w:val="6"/>
    </w:pPr>
    <w:rPr>
      <w:rFonts w:ascii="Arial" w:hAnsi="Arial" w:eastAsia="Arial" w:cs="Arial"/>
      <w:b/>
      <w:bCs/>
      <w:i/>
      <w:iCs/>
      <w:sz w:val="22"/>
      <w:szCs w:val="22"/>
    </w:rPr>
  </w:style>
  <w:style w:type="paragraph" w:styleId="1321">
    <w:name w:val="Heading 8"/>
    <w:basedOn w:val="1313"/>
    <w:next w:val="1313"/>
    <w:link w:val="1354"/>
    <w:uiPriority w:val="9"/>
    <w:unhideWhenUsed/>
    <w:qFormat/>
    <w:pPr>
      <w:keepLines/>
      <w:keepNext/>
      <w:spacing w:before="320" w:after="200"/>
      <w:outlineLvl w:val="7"/>
    </w:pPr>
    <w:rPr>
      <w:rFonts w:ascii="Arial" w:hAnsi="Arial" w:eastAsia="Arial" w:cs="Arial"/>
      <w:i/>
      <w:iCs/>
      <w:sz w:val="22"/>
      <w:szCs w:val="22"/>
    </w:rPr>
  </w:style>
  <w:style w:type="paragraph" w:styleId="1322">
    <w:name w:val="Heading 9"/>
    <w:basedOn w:val="1313"/>
    <w:next w:val="1313"/>
    <w:link w:val="1355"/>
    <w:uiPriority w:val="9"/>
    <w:unhideWhenUsed/>
    <w:qFormat/>
    <w:pPr>
      <w:keepLines/>
      <w:keepNext/>
      <w:spacing w:before="320" w:after="200"/>
      <w:outlineLvl w:val="8"/>
    </w:pPr>
    <w:rPr>
      <w:rFonts w:ascii="Arial" w:hAnsi="Arial" w:eastAsia="Arial" w:cs="Arial"/>
      <w:i/>
      <w:iCs/>
      <w:sz w:val="21"/>
      <w:szCs w:val="21"/>
    </w:rPr>
  </w:style>
  <w:style w:type="character" w:styleId="1323" w:default="1">
    <w:name w:val="Default Paragraph Font"/>
    <w:uiPriority w:val="1"/>
    <w:semiHidden/>
    <w:unhideWhenUsed/>
    <w:qFormat/>
  </w:style>
  <w:style w:type="table" w:styleId="1324" w:default="1">
    <w:name w:val="Normal Table"/>
    <w:uiPriority w:val="99"/>
    <w:semiHidden/>
    <w:unhideWhenUsed/>
    <w:qFormat/>
    <w:tblPr>
      <w:tblCellMar>
        <w:left w:w="108" w:type="dxa"/>
        <w:top w:w="0" w:type="dxa"/>
        <w:right w:w="108" w:type="dxa"/>
        <w:bottom w:w="0" w:type="dxa"/>
      </w:tblCellMar>
    </w:tblPr>
  </w:style>
  <w:style w:type="paragraph" w:styleId="1325">
    <w:name w:val="toc 7"/>
    <w:basedOn w:val="1313"/>
    <w:next w:val="1313"/>
    <w:uiPriority w:val="39"/>
    <w:unhideWhenUsed/>
    <w:qFormat/>
    <w:pPr>
      <w:ind w:left="1701" w:right="0" w:firstLine="0"/>
      <w:spacing w:after="57"/>
    </w:pPr>
  </w:style>
  <w:style w:type="paragraph" w:styleId="1326">
    <w:name w:val="Caption"/>
    <w:basedOn w:val="1313"/>
    <w:next w:val="13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327">
    <w:name w:val="annotation text"/>
    <w:basedOn w:val="1313"/>
    <w:uiPriority w:val="99"/>
    <w:semiHidden/>
    <w:unhideWhenUsed/>
    <w:qFormat/>
    <w:pPr>
      <w:jc w:val="left"/>
    </w:pPr>
  </w:style>
  <w:style w:type="paragraph" w:styleId="1328">
    <w:name w:val="toc 5"/>
    <w:basedOn w:val="1313"/>
    <w:next w:val="1313"/>
    <w:uiPriority w:val="39"/>
    <w:unhideWhenUsed/>
    <w:qFormat/>
    <w:pPr>
      <w:ind w:left="1134" w:right="0" w:firstLine="0"/>
      <w:spacing w:after="57"/>
    </w:pPr>
  </w:style>
  <w:style w:type="paragraph" w:styleId="1329">
    <w:name w:val="toc 3"/>
    <w:basedOn w:val="1313"/>
    <w:next w:val="1313"/>
    <w:uiPriority w:val="39"/>
    <w:unhideWhenUsed/>
    <w:qFormat/>
    <w:pPr>
      <w:ind w:left="567" w:right="0" w:firstLine="0"/>
      <w:spacing w:after="57"/>
    </w:pPr>
  </w:style>
  <w:style w:type="paragraph" w:styleId="1330">
    <w:name w:val="toc 8"/>
    <w:basedOn w:val="1313"/>
    <w:next w:val="1313"/>
    <w:uiPriority w:val="39"/>
    <w:unhideWhenUsed/>
    <w:qFormat/>
    <w:pPr>
      <w:ind w:left="1984" w:right="0" w:firstLine="0"/>
      <w:spacing w:after="57"/>
    </w:pPr>
  </w:style>
  <w:style w:type="paragraph" w:styleId="1331">
    <w:name w:val="endnote text"/>
    <w:basedOn w:val="1313"/>
    <w:link w:val="1492"/>
    <w:uiPriority w:val="99"/>
    <w:semiHidden/>
    <w:unhideWhenUsed/>
    <w:qFormat/>
    <w:pPr>
      <w:spacing w:after="0" w:line="240" w:lineRule="auto"/>
    </w:pPr>
    <w:rPr>
      <w:sz w:val="20"/>
    </w:rPr>
  </w:style>
  <w:style w:type="paragraph" w:styleId="1332">
    <w:name w:val="Footer"/>
    <w:basedOn w:val="1313"/>
    <w:link w:val="1365"/>
    <w:uiPriority w:val="99"/>
    <w:unhideWhenUsed/>
    <w:qFormat/>
    <w:pPr>
      <w:spacing w:after="0" w:line="240" w:lineRule="auto"/>
      <w:tabs>
        <w:tab w:val="center" w:pos="7143" w:leader="none"/>
        <w:tab w:val="right" w:pos="14287" w:leader="none"/>
      </w:tabs>
    </w:pPr>
  </w:style>
  <w:style w:type="paragraph" w:styleId="1333">
    <w:name w:val="Header"/>
    <w:basedOn w:val="1313"/>
    <w:link w:val="1363"/>
    <w:uiPriority w:val="99"/>
    <w:unhideWhenUsed/>
    <w:qFormat/>
    <w:pPr>
      <w:spacing w:after="0" w:line="240" w:lineRule="auto"/>
      <w:tabs>
        <w:tab w:val="center" w:pos="7143" w:leader="none"/>
        <w:tab w:val="right" w:pos="14287" w:leader="none"/>
      </w:tabs>
    </w:pPr>
  </w:style>
  <w:style w:type="paragraph" w:styleId="1334">
    <w:name w:val="toc 1"/>
    <w:basedOn w:val="1313"/>
    <w:next w:val="1313"/>
    <w:uiPriority w:val="39"/>
    <w:unhideWhenUsed/>
    <w:qFormat/>
    <w:pPr>
      <w:ind w:left="0" w:right="0" w:firstLine="0"/>
      <w:spacing w:after="57"/>
    </w:pPr>
  </w:style>
  <w:style w:type="paragraph" w:styleId="1335">
    <w:name w:val="toc 4"/>
    <w:basedOn w:val="1313"/>
    <w:next w:val="1313"/>
    <w:uiPriority w:val="39"/>
    <w:unhideWhenUsed/>
    <w:qFormat/>
    <w:pPr>
      <w:ind w:left="850" w:right="0" w:firstLine="0"/>
      <w:spacing w:after="57"/>
    </w:pPr>
  </w:style>
  <w:style w:type="paragraph" w:styleId="1336">
    <w:name w:val="Subtitle"/>
    <w:basedOn w:val="1313"/>
    <w:next w:val="1313"/>
    <w:link w:val="1358"/>
    <w:uiPriority w:val="11"/>
    <w:qFormat/>
    <w:pPr>
      <w:spacing w:before="200" w:after="200"/>
    </w:pPr>
    <w:rPr>
      <w:sz w:val="24"/>
      <w:szCs w:val="24"/>
    </w:rPr>
  </w:style>
  <w:style w:type="paragraph" w:styleId="1337">
    <w:name w:val="footnote text"/>
    <w:basedOn w:val="1313"/>
    <w:link w:val="1491"/>
    <w:uiPriority w:val="99"/>
    <w:semiHidden/>
    <w:unhideWhenUsed/>
    <w:qFormat/>
    <w:pPr>
      <w:spacing w:after="40" w:line="240" w:lineRule="auto"/>
    </w:pPr>
    <w:rPr>
      <w:sz w:val="18"/>
    </w:rPr>
  </w:style>
  <w:style w:type="paragraph" w:styleId="1338">
    <w:name w:val="toc 6"/>
    <w:basedOn w:val="1313"/>
    <w:next w:val="1313"/>
    <w:uiPriority w:val="39"/>
    <w:unhideWhenUsed/>
    <w:qFormat/>
    <w:pPr>
      <w:ind w:left="1417" w:right="0" w:firstLine="0"/>
      <w:spacing w:after="57"/>
    </w:pPr>
  </w:style>
  <w:style w:type="paragraph" w:styleId="1339">
    <w:name w:val="table of figures"/>
    <w:basedOn w:val="1313"/>
    <w:next w:val="1313"/>
    <w:uiPriority w:val="99"/>
    <w:unhideWhenUsed/>
    <w:qFormat/>
    <w:pPr>
      <w:spacing w:after="0" w:afterAutospacing="0"/>
    </w:pPr>
  </w:style>
  <w:style w:type="paragraph" w:styleId="1340">
    <w:name w:val="toc 2"/>
    <w:basedOn w:val="1313"/>
    <w:next w:val="1313"/>
    <w:uiPriority w:val="39"/>
    <w:unhideWhenUsed/>
    <w:qFormat/>
    <w:pPr>
      <w:ind w:left="283" w:right="0" w:firstLine="0"/>
      <w:spacing w:after="57"/>
    </w:pPr>
  </w:style>
  <w:style w:type="paragraph" w:styleId="1341">
    <w:name w:val="toc 9"/>
    <w:basedOn w:val="1313"/>
    <w:next w:val="1313"/>
    <w:uiPriority w:val="39"/>
    <w:unhideWhenUsed/>
    <w:qFormat/>
    <w:pPr>
      <w:ind w:left="2268" w:right="0" w:firstLine="0"/>
      <w:spacing w:after="57"/>
    </w:pPr>
  </w:style>
  <w:style w:type="paragraph" w:styleId="1342">
    <w:name w:val="Title"/>
    <w:basedOn w:val="1313"/>
    <w:next w:val="1313"/>
    <w:link w:val="1357"/>
    <w:uiPriority w:val="10"/>
    <w:qFormat/>
    <w:pPr>
      <w:contextualSpacing/>
      <w:spacing w:before="300" w:after="200"/>
    </w:pPr>
    <w:rPr>
      <w:sz w:val="48"/>
      <w:szCs w:val="48"/>
    </w:rPr>
  </w:style>
  <w:style w:type="table" w:styleId="13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44">
    <w:name w:val="endnote reference"/>
    <w:uiPriority w:val="99"/>
    <w:semiHidden/>
    <w:unhideWhenUsed/>
    <w:qFormat/>
    <w:rPr>
      <w:vertAlign w:val="superscript"/>
    </w:rPr>
  </w:style>
  <w:style w:type="character" w:styleId="1345">
    <w:name w:val="Hyperlink"/>
    <w:uiPriority w:val="99"/>
    <w:unhideWhenUsed/>
    <w:qFormat/>
    <w:rPr>
      <w:color w:val="0000ff" w:themeColor="hyperlink"/>
      <w:u w:val="single"/>
      <w14:textFill>
        <w14:solidFill>
          <w14:schemeClr w14:val="hlink"/>
        </w14:solidFill>
      </w14:textFill>
    </w:rPr>
  </w:style>
  <w:style w:type="character" w:styleId="1346">
    <w:name w:val="footnote reference"/>
    <w:uiPriority w:val="99"/>
    <w:unhideWhenUsed/>
    <w:qFormat/>
    <w:rPr>
      <w:vertAlign w:val="superscript"/>
    </w:rPr>
  </w:style>
  <w:style w:type="character" w:styleId="1347" w:customStyle="1">
    <w:name w:val="Heading 1 Char"/>
    <w:link w:val="1314"/>
    <w:uiPriority w:val="9"/>
    <w:qFormat/>
    <w:rPr>
      <w:rFonts w:ascii="Arial" w:hAnsi="Arial" w:eastAsia="Arial" w:cs="Arial"/>
      <w:sz w:val="40"/>
      <w:szCs w:val="40"/>
    </w:rPr>
  </w:style>
  <w:style w:type="character" w:styleId="1348" w:customStyle="1">
    <w:name w:val="Heading 2 Char"/>
    <w:link w:val="1315"/>
    <w:uiPriority w:val="9"/>
    <w:qFormat/>
    <w:rPr>
      <w:rFonts w:ascii="Arial" w:hAnsi="Arial" w:eastAsia="Arial" w:cs="Arial"/>
      <w:sz w:val="34"/>
    </w:rPr>
  </w:style>
  <w:style w:type="character" w:styleId="1349" w:customStyle="1">
    <w:name w:val="Heading 3 Char"/>
    <w:link w:val="1316"/>
    <w:uiPriority w:val="9"/>
    <w:qFormat/>
    <w:rPr>
      <w:rFonts w:ascii="Arial" w:hAnsi="Arial" w:eastAsia="Arial" w:cs="Arial"/>
      <w:sz w:val="30"/>
      <w:szCs w:val="30"/>
    </w:rPr>
  </w:style>
  <w:style w:type="character" w:styleId="1350" w:customStyle="1">
    <w:name w:val="Heading 4 Char"/>
    <w:link w:val="1317"/>
    <w:uiPriority w:val="9"/>
    <w:qFormat/>
    <w:rPr>
      <w:rFonts w:ascii="Arial" w:hAnsi="Arial" w:eastAsia="Arial" w:cs="Arial"/>
      <w:b/>
      <w:bCs/>
      <w:sz w:val="26"/>
      <w:szCs w:val="26"/>
    </w:rPr>
  </w:style>
  <w:style w:type="character" w:styleId="1351" w:customStyle="1">
    <w:name w:val="Heading 5 Char"/>
    <w:link w:val="1318"/>
    <w:uiPriority w:val="9"/>
    <w:qFormat/>
    <w:rPr>
      <w:rFonts w:ascii="Arial" w:hAnsi="Arial" w:eastAsia="Arial" w:cs="Arial"/>
      <w:b/>
      <w:bCs/>
      <w:sz w:val="24"/>
      <w:szCs w:val="24"/>
    </w:rPr>
  </w:style>
  <w:style w:type="character" w:styleId="1352" w:customStyle="1">
    <w:name w:val="Heading 6 Char"/>
    <w:link w:val="1319"/>
    <w:uiPriority w:val="9"/>
    <w:qFormat/>
    <w:rPr>
      <w:rFonts w:ascii="Arial" w:hAnsi="Arial" w:eastAsia="Arial" w:cs="Arial"/>
      <w:b/>
      <w:bCs/>
      <w:sz w:val="22"/>
      <w:szCs w:val="22"/>
    </w:rPr>
  </w:style>
  <w:style w:type="character" w:styleId="1353" w:customStyle="1">
    <w:name w:val="Heading 7 Char"/>
    <w:link w:val="1320"/>
    <w:uiPriority w:val="9"/>
    <w:qFormat/>
    <w:rPr>
      <w:rFonts w:ascii="Arial" w:hAnsi="Arial" w:eastAsia="Arial" w:cs="Arial"/>
      <w:b/>
      <w:bCs/>
      <w:i/>
      <w:iCs/>
      <w:sz w:val="22"/>
      <w:szCs w:val="22"/>
    </w:rPr>
  </w:style>
  <w:style w:type="character" w:styleId="1354" w:customStyle="1">
    <w:name w:val="Heading 8 Char"/>
    <w:link w:val="1321"/>
    <w:uiPriority w:val="9"/>
    <w:qFormat/>
    <w:rPr>
      <w:rFonts w:ascii="Arial" w:hAnsi="Arial" w:eastAsia="Arial" w:cs="Arial"/>
      <w:i/>
      <w:iCs/>
      <w:sz w:val="22"/>
      <w:szCs w:val="22"/>
    </w:rPr>
  </w:style>
  <w:style w:type="character" w:styleId="1355" w:customStyle="1">
    <w:name w:val="Heading 9 Char"/>
    <w:link w:val="1322"/>
    <w:uiPriority w:val="9"/>
    <w:qFormat/>
    <w:rPr>
      <w:rFonts w:ascii="Arial" w:hAnsi="Arial" w:eastAsia="Arial" w:cs="Arial"/>
      <w:i/>
      <w:iCs/>
      <w:sz w:val="21"/>
      <w:szCs w:val="21"/>
    </w:rPr>
  </w:style>
  <w:style w:type="paragraph" w:styleId="1356">
    <w:name w:val="No Spacing"/>
    <w:uiPriority w:val="1"/>
    <w:qFormat/>
    <w:pPr>
      <w:spacing w:before="0" w:after="0" w:line="240" w:lineRule="auto"/>
    </w:pPr>
    <w:rPr>
      <w:rFonts w:hint="default" w:ascii="Times New Roman" w:hAnsi="Times New Roman" w:eastAsia="宋体" w:cs="Times New Roman"/>
    </w:rPr>
  </w:style>
  <w:style w:type="character" w:styleId="1357" w:customStyle="1">
    <w:name w:val="Title Char"/>
    <w:link w:val="1342"/>
    <w:uiPriority w:val="10"/>
    <w:qFormat/>
    <w:rPr>
      <w:sz w:val="48"/>
      <w:szCs w:val="48"/>
    </w:rPr>
  </w:style>
  <w:style w:type="character" w:styleId="1358" w:customStyle="1">
    <w:name w:val="Subtitle Char"/>
    <w:link w:val="1336"/>
    <w:uiPriority w:val="11"/>
    <w:qFormat/>
    <w:rPr>
      <w:sz w:val="24"/>
      <w:szCs w:val="24"/>
    </w:rPr>
  </w:style>
  <w:style w:type="paragraph" w:styleId="1359">
    <w:name w:val="Quote"/>
    <w:basedOn w:val="1313"/>
    <w:next w:val="1313"/>
    <w:link w:val="1360"/>
    <w:uiPriority w:val="29"/>
    <w:qFormat/>
    <w:pPr>
      <w:ind w:left="720" w:right="720"/>
    </w:pPr>
    <w:rPr>
      <w:i/>
    </w:rPr>
  </w:style>
  <w:style w:type="character" w:styleId="1360" w:customStyle="1">
    <w:name w:val="Quote Char"/>
    <w:link w:val="1359"/>
    <w:uiPriority w:val="29"/>
    <w:qFormat/>
    <w:rPr>
      <w:i/>
    </w:rPr>
  </w:style>
  <w:style w:type="paragraph" w:styleId="1361">
    <w:name w:val="Intense Quote"/>
    <w:basedOn w:val="1313"/>
    <w:next w:val="1313"/>
    <w:link w:val="13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62" w:customStyle="1">
    <w:name w:val="Intense Quote Char"/>
    <w:link w:val="1361"/>
    <w:uiPriority w:val="30"/>
    <w:qFormat/>
    <w:rPr>
      <w:i/>
    </w:rPr>
  </w:style>
  <w:style w:type="character" w:styleId="1363" w:customStyle="1">
    <w:name w:val="Header Char"/>
    <w:link w:val="1333"/>
    <w:uiPriority w:val="99"/>
    <w:qFormat/>
  </w:style>
  <w:style w:type="character" w:styleId="1364" w:customStyle="1">
    <w:name w:val="Footer Char"/>
    <w:link w:val="1332"/>
    <w:uiPriority w:val="99"/>
    <w:qFormat/>
  </w:style>
  <w:style w:type="character" w:styleId="1365" w:customStyle="1">
    <w:name w:val="Caption Char"/>
    <w:link w:val="1332"/>
    <w:uiPriority w:val="99"/>
    <w:qFormat/>
  </w:style>
  <w:style w:type="table" w:styleId="13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4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4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4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4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4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4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4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4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4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4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4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4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4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4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91" w:customStyle="1">
    <w:name w:val="Footnote Text Char"/>
    <w:link w:val="1337"/>
    <w:uiPriority w:val="99"/>
    <w:qFormat/>
    <w:rPr>
      <w:sz w:val="18"/>
    </w:rPr>
  </w:style>
  <w:style w:type="character" w:styleId="1492" w:customStyle="1">
    <w:name w:val="Endnote Text Char"/>
    <w:link w:val="1331"/>
    <w:uiPriority w:val="99"/>
    <w:qFormat/>
    <w:rPr>
      <w:sz w:val="20"/>
    </w:rPr>
  </w:style>
  <w:style w:type="paragraph" w:styleId="1493" w:customStyle="1">
    <w:name w:val="TOC Heading"/>
    <w:uiPriority w:val="39"/>
    <w:unhideWhenUsed/>
    <w:qFormat/>
    <w:rPr>
      <w:rFonts w:hint="default" w:ascii="Times New Roman" w:hAnsi="Times New Roman" w:eastAsia="宋体" w:cs="Times New Roman"/>
    </w:rPr>
  </w:style>
  <w:style w:type="paragraph" w:styleId="1494" w:customStyle="1">
    <w:name w:val="标题 11"/>
    <w:basedOn w:val="1313"/>
    <w:next w:val="1313"/>
    <w:link w:val="1501"/>
    <w:uiPriority w:val="0"/>
    <w:qFormat/>
    <w:pPr>
      <w:jc w:val="center"/>
      <w:keepNext/>
      <w:outlineLvl w:val="0"/>
    </w:pPr>
    <w:rPr>
      <w:rFonts w:ascii="楷体_GB2312" w:hAnsi="楷体_GB2312" w:eastAsia="宋体"/>
      <w:b/>
      <w:sz w:val="28"/>
      <w:szCs w:val="32"/>
    </w:rPr>
  </w:style>
  <w:style w:type="paragraph" w:styleId="1495" w:customStyle="1">
    <w:name w:val="标题 21"/>
    <w:basedOn w:val="1313"/>
    <w:next w:val="1313"/>
    <w:link w:val="1502"/>
    <w:uiPriority w:val="0"/>
    <w:qFormat/>
    <w:pPr>
      <w:jc w:val="center"/>
      <w:keepNext/>
      <w:outlineLvl w:val="1"/>
    </w:pPr>
    <w:rPr>
      <w:rFonts w:ascii="楷体_GB2312" w:eastAsia="楷体_GB2312"/>
      <w:b/>
      <w:bCs/>
      <w:sz w:val="18"/>
    </w:rPr>
  </w:style>
  <w:style w:type="paragraph" w:styleId="1496" w:customStyle="1">
    <w:name w:val="标题 31"/>
    <w:basedOn w:val="1313"/>
    <w:next w:val="1313"/>
    <w:link w:val="1503"/>
    <w:uiPriority w:val="0"/>
    <w:qFormat/>
    <w:pPr>
      <w:jc w:val="center"/>
      <w:keepNext/>
      <w:outlineLvl w:val="2"/>
    </w:pPr>
    <w:rPr>
      <w:rFonts w:eastAsia="楷体_GB2312"/>
      <w:b/>
      <w:bCs/>
      <w:sz w:val="15"/>
    </w:rPr>
  </w:style>
  <w:style w:type="paragraph" w:styleId="1497" w:customStyle="1">
    <w:name w:val="标题 411"/>
    <w:basedOn w:val="1313"/>
    <w:next w:val="1313"/>
    <w:link w:val="1504"/>
    <w:uiPriority w:val="0"/>
    <w:qFormat/>
    <w:pPr>
      <w:jc w:val="center"/>
      <w:keepNext/>
      <w:outlineLvl w:val="3"/>
    </w:pPr>
    <w:rPr>
      <w:rFonts w:eastAsia="楷体_GB2312"/>
      <w:b/>
      <w:bCs/>
      <w:sz w:val="13"/>
    </w:rPr>
  </w:style>
  <w:style w:type="paragraph" w:styleId="1498" w:customStyle="1">
    <w:name w:val="标题 51"/>
    <w:basedOn w:val="1313"/>
    <w:next w:val="1313"/>
    <w:link w:val="1505"/>
    <w:uiPriority w:val="0"/>
    <w:qFormat/>
    <w:pPr>
      <w:numPr>
        <w:ilvl w:val="0"/>
        <w:numId w:val="1"/>
      </w:numPr>
      <w:keepNext/>
      <w:outlineLvl w:val="4"/>
    </w:pPr>
    <w:rPr>
      <w:rFonts w:ascii="楷体_GB2312" w:eastAsia="楷体_GB2312"/>
      <w:bCs/>
      <w:sz w:val="28"/>
    </w:rPr>
  </w:style>
  <w:style w:type="character" w:styleId="1499" w:customStyle="1">
    <w:name w:val="默认段落字体1"/>
    <w:link w:val="1313"/>
    <w:uiPriority w:val="1"/>
    <w:unhideWhenUsed/>
    <w:qFormat/>
  </w:style>
  <w:style w:type="table" w:styleId="1500" w:customStyle="1">
    <w:name w:val="普通表格1"/>
    <w:uiPriority w:val="99"/>
    <w:unhideWhenUsed/>
    <w:qFormat/>
    <w:tblPr/>
  </w:style>
  <w:style w:type="character" w:styleId="1501" w:customStyle="1">
    <w:name w:val="标题 1 字符"/>
    <w:link w:val="1494"/>
    <w:uiPriority w:val="0"/>
    <w:qFormat/>
    <w:rPr>
      <w:rFonts w:ascii="楷体_GB2312" w:hAnsi="楷体_GB2312" w:eastAsia="宋体" w:cs="Times New Roman"/>
      <w:b/>
      <w:sz w:val="28"/>
      <w:szCs w:val="32"/>
    </w:rPr>
  </w:style>
  <w:style w:type="character" w:styleId="1502" w:customStyle="1">
    <w:name w:val="标题 2 字符"/>
    <w:link w:val="1495"/>
    <w:uiPriority w:val="0"/>
    <w:qFormat/>
    <w:rPr>
      <w:rFonts w:ascii="楷体_GB2312" w:hAnsi="Times New Roman" w:eastAsia="楷体_GB2312" w:cs="Times New Roman"/>
      <w:b/>
      <w:bCs/>
      <w:sz w:val="18"/>
      <w:szCs w:val="20"/>
    </w:rPr>
  </w:style>
  <w:style w:type="character" w:styleId="1503" w:customStyle="1">
    <w:name w:val="标题 3 字符"/>
    <w:link w:val="1496"/>
    <w:uiPriority w:val="0"/>
    <w:qFormat/>
    <w:rPr>
      <w:rFonts w:ascii="Times New Roman" w:hAnsi="Times New Roman" w:eastAsia="楷体_GB2312" w:cs="Times New Roman"/>
      <w:b/>
      <w:bCs/>
      <w:sz w:val="15"/>
      <w:szCs w:val="20"/>
    </w:rPr>
  </w:style>
  <w:style w:type="character" w:styleId="1504" w:customStyle="1">
    <w:name w:val="标题 4 字符"/>
    <w:link w:val="1497"/>
    <w:uiPriority w:val="0"/>
    <w:qFormat/>
    <w:rPr>
      <w:rFonts w:ascii="Times New Roman" w:hAnsi="Times New Roman" w:eastAsia="楷体_GB2312" w:cs="Times New Roman"/>
      <w:b/>
      <w:bCs/>
      <w:sz w:val="13"/>
      <w:szCs w:val="20"/>
    </w:rPr>
  </w:style>
  <w:style w:type="character" w:styleId="1505" w:customStyle="1">
    <w:name w:val="标题 5 字符"/>
    <w:link w:val="1498"/>
    <w:uiPriority w:val="0"/>
    <w:qFormat/>
    <w:rPr>
      <w:rFonts w:ascii="楷体_GB2312" w:hAnsi="Times New Roman" w:eastAsia="楷体_GB2312" w:cs="Times New Roman"/>
      <w:bCs/>
      <w:sz w:val="28"/>
      <w:szCs w:val="20"/>
    </w:rPr>
  </w:style>
  <w:style w:type="paragraph" w:styleId="1506" w:customStyle="1">
    <w:name w:val="正文缩进11"/>
    <w:basedOn w:val="1313"/>
    <w:link w:val="1507"/>
    <w:uiPriority w:val="0"/>
    <w:unhideWhenUsed/>
    <w:qFormat/>
    <w:pPr>
      <w:ind w:firstLine="420"/>
    </w:pPr>
  </w:style>
  <w:style w:type="character" w:styleId="1507" w:customStyle="1">
    <w:name w:val="正文缩进 字符"/>
    <w:link w:val="1506"/>
    <w:uiPriority w:val="0"/>
    <w:semiHidden/>
    <w:qFormat/>
    <w:rPr>
      <w:rFonts w:ascii="Times New Roman" w:hAnsi="Times New Roman"/>
      <w:sz w:val="21"/>
    </w:rPr>
  </w:style>
  <w:style w:type="paragraph" w:styleId="1508" w:customStyle="1">
    <w:name w:val="文档结构图1"/>
    <w:basedOn w:val="1313"/>
    <w:link w:val="1509"/>
    <w:uiPriority w:val="0"/>
    <w:semiHidden/>
    <w:qFormat/>
    <w:pPr>
      <w:shd w:val="clear" w:color="auto" w:fill="000080"/>
    </w:pPr>
    <w:rPr>
      <w:sz w:val="20"/>
    </w:rPr>
  </w:style>
  <w:style w:type="character" w:styleId="1509" w:customStyle="1">
    <w:name w:val="文档结构图 字符"/>
    <w:link w:val="1508"/>
    <w:uiPriority w:val="0"/>
    <w:semiHidden/>
    <w:qFormat/>
    <w:rPr>
      <w:rFonts w:ascii="Times New Roman" w:hAnsi="Times New Roman" w:eastAsia="宋体" w:cs="Times New Roman"/>
      <w:szCs w:val="20"/>
      <w:shd w:val="clear" w:color="auto" w:fill="000080"/>
    </w:rPr>
  </w:style>
  <w:style w:type="paragraph" w:styleId="1510" w:customStyle="1">
    <w:name w:val="批注文字1"/>
    <w:basedOn w:val="1313"/>
    <w:link w:val="1511"/>
    <w:uiPriority w:val="99"/>
    <w:semiHidden/>
    <w:qFormat/>
    <w:pPr>
      <w:jc w:val="left"/>
    </w:pPr>
    <w:rPr>
      <w:sz w:val="20"/>
      <w:szCs w:val="24"/>
    </w:rPr>
  </w:style>
  <w:style w:type="character" w:styleId="1511" w:customStyle="1">
    <w:name w:val="批注文字 字符"/>
    <w:link w:val="1510"/>
    <w:uiPriority w:val="99"/>
    <w:semiHidden/>
    <w:qFormat/>
    <w:rPr>
      <w:rFonts w:ascii="Times New Roman" w:hAnsi="Times New Roman" w:eastAsia="宋体" w:cs="Times New Roman"/>
      <w:szCs w:val="24"/>
    </w:rPr>
  </w:style>
  <w:style w:type="paragraph" w:styleId="1512" w:customStyle="1">
    <w:name w:val="正文文本11"/>
    <w:basedOn w:val="1313"/>
    <w:next w:val="1513"/>
    <w:link w:val="1514"/>
    <w:uiPriority w:val="99"/>
    <w:qFormat/>
    <w:rPr>
      <w:rFonts w:ascii="华文中宋" w:eastAsia="华文中宋"/>
      <w:bCs/>
      <w:sz w:val="28"/>
    </w:rPr>
  </w:style>
  <w:style w:type="paragraph" w:styleId="1513" w:customStyle="1">
    <w:name w:val="列表1"/>
    <w:basedOn w:val="1313"/>
    <w:uiPriority w:val="0"/>
    <w:qFormat/>
    <w:pPr>
      <w:ind w:left="420" w:hanging="420"/>
      <w:spacing w:after="20" w:line="288" w:lineRule="auto"/>
      <w:tabs>
        <w:tab w:val="left" w:pos="420" w:leader="none"/>
      </w:tabs>
    </w:pPr>
    <w:rPr>
      <w:szCs w:val="20"/>
      <w:lang w:val="en-GB"/>
    </w:rPr>
  </w:style>
  <w:style w:type="character" w:styleId="1514" w:customStyle="1">
    <w:name w:val="正文文本 字符"/>
    <w:link w:val="1512"/>
    <w:uiPriority w:val="99"/>
    <w:qFormat/>
    <w:rPr>
      <w:rFonts w:ascii="华文中宋" w:hAnsi="Times New Roman" w:eastAsia="华文中宋" w:cs="Times New Roman"/>
      <w:bCs/>
      <w:sz w:val="28"/>
      <w:szCs w:val="20"/>
    </w:rPr>
  </w:style>
  <w:style w:type="paragraph" w:styleId="1515" w:customStyle="1">
    <w:name w:val="正文文本缩进1"/>
    <w:basedOn w:val="1313"/>
    <w:next w:val="1516"/>
    <w:link w:val="1517"/>
    <w:uiPriority w:val="0"/>
    <w:qFormat/>
    <w:pPr>
      <w:ind w:firstLine="576"/>
    </w:pPr>
    <w:rPr>
      <w:b/>
      <w:sz w:val="30"/>
    </w:rPr>
  </w:style>
  <w:style w:type="paragraph" w:styleId="1516" w:customStyle="1">
    <w:name w:val="寄信人地址1"/>
    <w:basedOn w:val="1313"/>
    <w:uiPriority w:val="0"/>
    <w:qFormat/>
    <w:rPr>
      <w:rFonts w:ascii="Arial" w:hAnsi="Arial"/>
    </w:rPr>
  </w:style>
  <w:style w:type="character" w:styleId="1517" w:customStyle="1">
    <w:name w:val="正文文本缩进 字符"/>
    <w:link w:val="1515"/>
    <w:uiPriority w:val="0"/>
    <w:qFormat/>
    <w:rPr>
      <w:rFonts w:ascii="Times New Roman" w:hAnsi="Times New Roman" w:eastAsia="宋体" w:cs="Times New Roman"/>
      <w:b/>
      <w:sz w:val="30"/>
      <w:szCs w:val="20"/>
    </w:rPr>
  </w:style>
  <w:style w:type="paragraph" w:styleId="1518" w:customStyle="1">
    <w:name w:val="索引 41"/>
    <w:basedOn w:val="1313"/>
    <w:next w:val="1313"/>
    <w:uiPriority w:val="99"/>
    <w:qFormat/>
    <w:pPr>
      <w:ind w:left="600"/>
    </w:pPr>
    <w:rPr>
      <w:szCs w:val="24"/>
    </w:rPr>
  </w:style>
  <w:style w:type="paragraph" w:styleId="1519" w:customStyle="1">
    <w:name w:val="纯文本1"/>
    <w:basedOn w:val="1313"/>
    <w:link w:val="1520"/>
    <w:uiPriority w:val="0"/>
    <w:qFormat/>
    <w:rPr>
      <w:rFonts w:ascii="宋体" w:hAnsi="Courier New"/>
    </w:rPr>
  </w:style>
  <w:style w:type="character" w:styleId="1520" w:customStyle="1">
    <w:name w:val="纯文本 字符"/>
    <w:link w:val="1519"/>
    <w:uiPriority w:val="0"/>
    <w:qFormat/>
    <w:rPr>
      <w:rFonts w:ascii="宋体" w:hAnsi="Courier New"/>
      <w:sz w:val="21"/>
    </w:rPr>
  </w:style>
  <w:style w:type="paragraph" w:styleId="1521" w:customStyle="1">
    <w:name w:val="日期1"/>
    <w:basedOn w:val="1313"/>
    <w:next w:val="1313"/>
    <w:link w:val="1522"/>
    <w:uiPriority w:val="0"/>
    <w:qFormat/>
    <w:rPr>
      <w:rFonts w:eastAsia="黑体"/>
      <w:b/>
      <w:sz w:val="36"/>
    </w:rPr>
  </w:style>
  <w:style w:type="character" w:styleId="1522" w:customStyle="1">
    <w:name w:val="日期 字符"/>
    <w:link w:val="1521"/>
    <w:uiPriority w:val="0"/>
    <w:qFormat/>
    <w:rPr>
      <w:rFonts w:ascii="Times New Roman" w:hAnsi="Times New Roman" w:eastAsia="黑体" w:cs="Times New Roman"/>
      <w:b/>
      <w:sz w:val="36"/>
      <w:szCs w:val="20"/>
    </w:rPr>
  </w:style>
  <w:style w:type="paragraph" w:styleId="1523" w:customStyle="1">
    <w:name w:val="正文文本缩进 21"/>
    <w:basedOn w:val="1313"/>
    <w:link w:val="1524"/>
    <w:uiPriority w:val="0"/>
    <w:qFormat/>
    <w:pPr>
      <w:ind w:left="900"/>
    </w:pPr>
    <w:rPr>
      <w:rFonts w:ascii="楷体_GB2312" w:eastAsia="楷体_GB2312"/>
      <w:b/>
      <w:sz w:val="28"/>
    </w:rPr>
  </w:style>
  <w:style w:type="character" w:styleId="1524" w:customStyle="1">
    <w:name w:val="正文文本缩进 2 字符"/>
    <w:link w:val="1523"/>
    <w:uiPriority w:val="0"/>
    <w:qFormat/>
    <w:rPr>
      <w:rFonts w:ascii="楷体_GB2312" w:hAnsi="Times New Roman" w:eastAsia="楷体_GB2312" w:cs="Times New Roman"/>
      <w:b/>
      <w:sz w:val="28"/>
      <w:szCs w:val="20"/>
    </w:rPr>
  </w:style>
  <w:style w:type="paragraph" w:styleId="1525" w:customStyle="1">
    <w:name w:val="批注框文本1"/>
    <w:basedOn w:val="1313"/>
    <w:link w:val="1526"/>
    <w:uiPriority w:val="99"/>
    <w:unhideWhenUsed/>
    <w:qFormat/>
    <w:rPr>
      <w:sz w:val="18"/>
      <w:szCs w:val="18"/>
    </w:rPr>
  </w:style>
  <w:style w:type="character" w:styleId="1526" w:customStyle="1">
    <w:name w:val="批注框文本 字符"/>
    <w:link w:val="1525"/>
    <w:uiPriority w:val="99"/>
    <w:semiHidden/>
    <w:qFormat/>
    <w:rPr>
      <w:rFonts w:ascii="Times New Roman" w:hAnsi="Times New Roman" w:eastAsia="宋体" w:cs="Times New Roman"/>
      <w:sz w:val="18"/>
      <w:szCs w:val="18"/>
    </w:rPr>
  </w:style>
  <w:style w:type="paragraph" w:styleId="1527" w:customStyle="1">
    <w:name w:val="页脚1"/>
    <w:basedOn w:val="1313"/>
    <w:next w:val="1528"/>
    <w:link w:val="1529"/>
    <w:uiPriority w:val="0"/>
    <w:unhideWhenUsed/>
    <w:qFormat/>
    <w:pPr>
      <w:jc w:val="left"/>
      <w:tabs>
        <w:tab w:val="center" w:pos="4153" w:leader="none"/>
        <w:tab w:val="right" w:pos="8306" w:leader="none"/>
      </w:tabs>
    </w:pPr>
    <w:rPr>
      <w:sz w:val="18"/>
      <w:szCs w:val="18"/>
    </w:rPr>
  </w:style>
  <w:style w:type="paragraph" w:styleId="1528" w:customStyle="1">
    <w:name w:val="TOC Heading1"/>
    <w:next w:val="1313"/>
    <w:uiPriority w:val="0"/>
    <w:qFormat/>
    <w:rPr>
      <w:rFonts w:hint="default" w:ascii="Times New Roman" w:hAnsi="Times New Roman" w:eastAsia="宋体" w:cs="Times New Roman"/>
      <w:sz w:val="32"/>
      <w:lang w:val="en-US" w:eastAsia="zh-CN" w:bidi="ar-SA"/>
    </w:rPr>
  </w:style>
  <w:style w:type="character" w:styleId="1529" w:customStyle="1">
    <w:name w:val="页脚 字符"/>
    <w:link w:val="1527"/>
    <w:uiPriority w:val="0"/>
    <w:qFormat/>
    <w:rPr>
      <w:sz w:val="18"/>
      <w:szCs w:val="18"/>
    </w:rPr>
  </w:style>
  <w:style w:type="paragraph" w:styleId="1530" w:customStyle="1">
    <w:name w:val="页眉1"/>
    <w:basedOn w:val="1313"/>
    <w:link w:val="1531"/>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531" w:customStyle="1">
    <w:name w:val="页眉 字符"/>
    <w:link w:val="1530"/>
    <w:uiPriority w:val="0"/>
    <w:qFormat/>
    <w:rPr>
      <w:sz w:val="18"/>
      <w:szCs w:val="18"/>
    </w:rPr>
  </w:style>
  <w:style w:type="paragraph" w:styleId="1532" w:customStyle="1">
    <w:name w:val="目录 11"/>
    <w:basedOn w:val="1313"/>
    <w:next w:val="1313"/>
    <w:uiPriority w:val="39"/>
    <w:unhideWhenUsed/>
    <w:qFormat/>
  </w:style>
  <w:style w:type="paragraph" w:styleId="1533" w:customStyle="1">
    <w:name w:val="副标题1"/>
    <w:basedOn w:val="1313"/>
    <w:next w:val="1313"/>
    <w:uiPriority w:val="11"/>
    <w:qFormat/>
    <w:pPr>
      <w:spacing w:before="200" w:after="200"/>
    </w:pPr>
    <w:rPr>
      <w:sz w:val="24"/>
      <w:szCs w:val="24"/>
    </w:rPr>
  </w:style>
  <w:style w:type="paragraph" w:styleId="1534" w:customStyle="1">
    <w:name w:val="正文文本缩进 31"/>
    <w:basedOn w:val="1313"/>
    <w:link w:val="1535"/>
    <w:uiPriority w:val="0"/>
    <w:qFormat/>
    <w:pPr>
      <w:ind w:left="359" w:firstLine="359"/>
    </w:pPr>
    <w:rPr>
      <w:sz w:val="20"/>
    </w:rPr>
  </w:style>
  <w:style w:type="character" w:styleId="1535" w:customStyle="1">
    <w:name w:val="正文文本缩进 3 字符"/>
    <w:link w:val="1534"/>
    <w:uiPriority w:val="0"/>
    <w:qFormat/>
    <w:rPr>
      <w:rFonts w:ascii="Times New Roman" w:hAnsi="Times New Roman" w:eastAsia="宋体" w:cs="Times New Roman"/>
      <w:szCs w:val="20"/>
    </w:rPr>
  </w:style>
  <w:style w:type="paragraph" w:styleId="1536" w:customStyle="1">
    <w:name w:val="目录 21"/>
    <w:basedOn w:val="1313"/>
    <w:next w:val="1313"/>
    <w:uiPriority w:val="39"/>
    <w:qFormat/>
    <w:pPr>
      <w:ind w:left="210" w:firstLine="150"/>
      <w:jc w:val="left"/>
      <w:tabs>
        <w:tab w:val="right" w:pos="9170" w:leader="dot"/>
      </w:tabs>
    </w:pPr>
    <w:rPr>
      <w:smallCaps/>
      <w:sz w:val="20"/>
    </w:rPr>
  </w:style>
  <w:style w:type="paragraph" w:styleId="1537" w:customStyle="1">
    <w:name w:val="正文文本 21"/>
    <w:basedOn w:val="1313"/>
    <w:link w:val="1538"/>
    <w:uiPriority w:val="0"/>
    <w:qFormat/>
    <w:pPr>
      <w:spacing w:after="120" w:line="480" w:lineRule="auto"/>
    </w:pPr>
    <w:rPr>
      <w:sz w:val="20"/>
    </w:rPr>
  </w:style>
  <w:style w:type="character" w:styleId="1538" w:customStyle="1">
    <w:name w:val="正文文本 2 字符"/>
    <w:link w:val="1537"/>
    <w:uiPriority w:val="0"/>
    <w:qFormat/>
    <w:rPr>
      <w:rFonts w:ascii="Times New Roman" w:hAnsi="Times New Roman" w:eastAsia="宋体" w:cs="Times New Roman"/>
      <w:szCs w:val="20"/>
    </w:rPr>
  </w:style>
  <w:style w:type="paragraph" w:styleId="1539" w:customStyle="1">
    <w:name w:val="普通(网站)1"/>
    <w:basedOn w:val="1313"/>
    <w:uiPriority w:val="99"/>
    <w:qFormat/>
    <w:pPr>
      <w:jc w:val="left"/>
      <w:spacing w:before="100" w:beforeAutospacing="1" w:after="100" w:afterAutospacing="1"/>
      <w:widowControl/>
    </w:pPr>
    <w:rPr>
      <w:rFonts w:ascii="宋体" w:hAnsi="宋体" w:cs="宋体"/>
      <w:sz w:val="24"/>
      <w:szCs w:val="24"/>
    </w:rPr>
  </w:style>
  <w:style w:type="paragraph" w:styleId="1540" w:customStyle="1">
    <w:name w:val="批注主题1"/>
    <w:basedOn w:val="1510"/>
    <w:next w:val="1510"/>
    <w:link w:val="1541"/>
    <w:uiPriority w:val="99"/>
    <w:semiHidden/>
    <w:qFormat/>
    <w:rPr>
      <w:b/>
      <w:bCs/>
    </w:rPr>
  </w:style>
  <w:style w:type="character" w:styleId="1541" w:customStyle="1">
    <w:name w:val="批注主题 字符"/>
    <w:link w:val="1540"/>
    <w:uiPriority w:val="99"/>
    <w:semiHidden/>
    <w:qFormat/>
    <w:rPr>
      <w:rFonts w:ascii="Times New Roman" w:hAnsi="Times New Roman" w:eastAsia="宋体" w:cs="Times New Roman"/>
      <w:b/>
      <w:bCs/>
      <w:szCs w:val="24"/>
    </w:rPr>
  </w:style>
  <w:style w:type="paragraph" w:styleId="1542" w:customStyle="1">
    <w:name w:val="正文首行缩进1"/>
    <w:basedOn w:val="1512"/>
    <w:link w:val="1543"/>
    <w:uiPriority w:val="0"/>
    <w:qFormat/>
    <w:pPr>
      <w:ind w:firstLine="420"/>
      <w:spacing w:after="120"/>
    </w:pPr>
    <w:rPr>
      <w:rFonts w:ascii="Times New Roman" w:eastAsia="宋体"/>
      <w:sz w:val="21"/>
      <w:szCs w:val="24"/>
    </w:rPr>
  </w:style>
  <w:style w:type="character" w:styleId="1543" w:customStyle="1">
    <w:name w:val="正文文本首行缩进 字符"/>
    <w:link w:val="1542"/>
    <w:uiPriority w:val="0"/>
    <w:qFormat/>
    <w:rPr>
      <w:rFonts w:ascii="Times New Roman" w:eastAsia="宋体"/>
      <w:sz w:val="21"/>
      <w:szCs w:val="24"/>
    </w:rPr>
  </w:style>
  <w:style w:type="paragraph" w:styleId="1544" w:customStyle="1">
    <w:name w:val="正文首行缩进 21"/>
    <w:basedOn w:val="1515"/>
    <w:next w:val="1313"/>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45" w:customStyle="1">
    <w:name w:val="网格型1"/>
    <w:basedOn w:val="1500"/>
    <w:uiPriority w:val="0"/>
    <w:qFormat/>
    <w:pPr>
      <w:jc w:val="both"/>
      <w:widowControl w:val="off"/>
    </w:pPr>
    <w:tblPr/>
  </w:style>
  <w:style w:type="character" w:styleId="1546" w:customStyle="1">
    <w:name w:val="要点1"/>
    <w:link w:val="1313"/>
    <w:uiPriority w:val="99"/>
    <w:qFormat/>
    <w:rPr>
      <w:rFonts w:cs="Times New Roman"/>
      <w:b/>
      <w:bCs/>
    </w:rPr>
  </w:style>
  <w:style w:type="character" w:styleId="1547" w:customStyle="1">
    <w:name w:val="页码1"/>
    <w:link w:val="1313"/>
    <w:uiPriority w:val="0"/>
    <w:qFormat/>
    <w:rPr>
      <w:rFonts w:cs="Times New Roman"/>
    </w:rPr>
  </w:style>
  <w:style w:type="character" w:styleId="1548" w:customStyle="1">
    <w:name w:val="已访问的超链接1"/>
    <w:link w:val="1313"/>
    <w:uiPriority w:val="99"/>
    <w:qFormat/>
    <w:rPr>
      <w:rFonts w:cs="Times New Roman"/>
      <w:color w:val="000000"/>
      <w:u w:val="none"/>
    </w:rPr>
  </w:style>
  <w:style w:type="character" w:styleId="1549" w:customStyle="1">
    <w:name w:val="HTML 打字机11"/>
    <w:link w:val="1313"/>
    <w:uiPriority w:val="99"/>
    <w:qFormat/>
    <w:rPr>
      <w:rFonts w:ascii="宋体" w:hAnsi="宋体" w:eastAsia="宋体" w:cs="宋体"/>
      <w:sz w:val="24"/>
      <w:szCs w:val="24"/>
    </w:rPr>
  </w:style>
  <w:style w:type="character" w:styleId="1550" w:customStyle="1">
    <w:name w:val="超链接1"/>
    <w:link w:val="1313"/>
    <w:uiPriority w:val="0"/>
    <w:qFormat/>
    <w:rPr>
      <w:color w:val="000000"/>
      <w:u w:val="none"/>
    </w:rPr>
  </w:style>
  <w:style w:type="paragraph" w:styleId="1551" w:customStyle="1">
    <w:name w:val="段"/>
    <w:next w:val="1313"/>
    <w:uiPriority w:val="0"/>
    <w:qFormat/>
    <w:pPr>
      <w:ind w:firstLine="200"/>
      <w:jc w:val="both"/>
    </w:pPr>
    <w:rPr>
      <w:rFonts w:hint="default" w:ascii="宋体" w:hAnsi="Times New Roman" w:eastAsia="宋体" w:cs="Times New Roman"/>
      <w:sz w:val="21"/>
      <w:lang w:val="en-US" w:eastAsia="zh-CN" w:bidi="ar-SA"/>
    </w:rPr>
  </w:style>
  <w:style w:type="character" w:styleId="1552" w:customStyle="1">
    <w:name w:val="font31"/>
    <w:link w:val="1313"/>
    <w:uiPriority w:val="0"/>
    <w:qFormat/>
    <w:rPr>
      <w:rFonts w:hint="eastAsia" w:ascii="仿宋" w:hAnsi="仿宋" w:eastAsia="仿宋" w:cs="仿宋"/>
      <w:color w:val="000000"/>
      <w:sz w:val="24"/>
      <w:szCs w:val="24"/>
      <w:u w:val="none"/>
    </w:rPr>
  </w:style>
  <w:style w:type="character" w:styleId="1553" w:customStyle="1">
    <w:name w:val="font11"/>
    <w:link w:val="1313"/>
    <w:uiPriority w:val="0"/>
    <w:qFormat/>
    <w:rPr>
      <w:rFonts w:hint="eastAsia" w:ascii="宋体" w:hAnsi="宋体" w:eastAsia="宋体" w:cs="宋体"/>
      <w:color w:val="000000"/>
      <w:sz w:val="20"/>
      <w:szCs w:val="20"/>
      <w:u w:val="none"/>
    </w:rPr>
  </w:style>
  <w:style w:type="character" w:styleId="1554" w:customStyle="1">
    <w:name w:val="正文文本缩进 2 Char1"/>
    <w:link w:val="1313"/>
    <w:uiPriority w:val="0"/>
    <w:semiHidden/>
    <w:qFormat/>
    <w:rPr>
      <w:rFonts w:ascii="Times New Roman" w:hAnsi="Times New Roman" w:eastAsia="宋体" w:cs="Times New Roman"/>
      <w:szCs w:val="20"/>
    </w:rPr>
  </w:style>
  <w:style w:type="character" w:styleId="1555" w:customStyle="1">
    <w:name w:val="批注框文本 Char1"/>
    <w:link w:val="1313"/>
    <w:uiPriority w:val="99"/>
    <w:semiHidden/>
    <w:qFormat/>
    <w:rPr>
      <w:rFonts w:ascii="Times New Roman" w:hAnsi="Times New Roman" w:eastAsia="宋体" w:cs="Times New Roman"/>
      <w:sz w:val="18"/>
      <w:szCs w:val="18"/>
    </w:rPr>
  </w:style>
  <w:style w:type="character" w:styleId="1556" w:customStyle="1">
    <w:name w:val="NormalCharacter1"/>
    <w:link w:val="1557"/>
    <w:uiPriority w:val="99"/>
    <w:qFormat/>
    <w:rPr>
      <w:sz w:val="20"/>
    </w:rPr>
  </w:style>
  <w:style w:type="paragraph" w:styleId="1557" w:customStyle="1">
    <w:name w:val="UserStyle_4"/>
    <w:basedOn w:val="1313"/>
    <w:link w:val="1556"/>
    <w:uiPriority w:val="99"/>
    <w:qFormat/>
    <w:pPr>
      <w:widowControl/>
    </w:pPr>
    <w:rPr>
      <w:sz w:val="20"/>
    </w:rPr>
  </w:style>
  <w:style w:type="character" w:styleId="1558" w:customStyle="1">
    <w:name w:val="正文文本缩进 Char1"/>
    <w:link w:val="1313"/>
    <w:uiPriority w:val="0"/>
    <w:semiHidden/>
    <w:qFormat/>
    <w:rPr>
      <w:rFonts w:ascii="Times New Roman" w:hAnsi="Times New Roman" w:eastAsia="宋体" w:cs="Times New Roman"/>
      <w:szCs w:val="20"/>
    </w:rPr>
  </w:style>
  <w:style w:type="character" w:styleId="1559" w:customStyle="1">
    <w:name w:val="case31"/>
    <w:link w:val="1313"/>
    <w:uiPriority w:val="0"/>
    <w:qFormat/>
    <w:rPr>
      <w:spacing w:val="390"/>
      <w:sz w:val="21"/>
      <w:szCs w:val="21"/>
    </w:rPr>
  </w:style>
  <w:style w:type="character" w:styleId="1560" w:customStyle="1">
    <w:name w:val="正文首行缩进两字 Char"/>
    <w:link w:val="1561"/>
    <w:uiPriority w:val="0"/>
    <w:qFormat/>
    <w:rPr>
      <w:sz w:val="24"/>
      <w:szCs w:val="24"/>
      <w:lang w:val="en-US" w:eastAsia="zh-CN" w:bidi="ar-SA"/>
    </w:rPr>
  </w:style>
  <w:style w:type="paragraph" w:styleId="1561" w:customStyle="1">
    <w:name w:val="正文首行缩进两字"/>
    <w:link w:val="1560"/>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562" w:customStyle="1">
    <w:name w:val="正文文本缩进 3 Char1"/>
    <w:link w:val="1313"/>
    <w:uiPriority w:val="0"/>
    <w:semiHidden/>
    <w:qFormat/>
    <w:rPr>
      <w:rFonts w:ascii="Times New Roman" w:hAnsi="Times New Roman" w:eastAsia="宋体" w:cs="Times New Roman"/>
      <w:sz w:val="16"/>
      <w:szCs w:val="16"/>
    </w:rPr>
  </w:style>
  <w:style w:type="character" w:styleId="1563" w:customStyle="1">
    <w:name w:val="日期 Char1"/>
    <w:link w:val="1313"/>
    <w:uiPriority w:val="0"/>
    <w:semiHidden/>
    <w:qFormat/>
    <w:rPr>
      <w:rFonts w:ascii="Times New Roman" w:hAnsi="Times New Roman" w:eastAsia="宋体" w:cs="Times New Roman"/>
      <w:szCs w:val="20"/>
    </w:rPr>
  </w:style>
  <w:style w:type="character" w:styleId="1564" w:customStyle="1">
    <w:name w:val="文档结构图 Char1"/>
    <w:link w:val="1313"/>
    <w:uiPriority w:val="0"/>
    <w:semiHidden/>
    <w:qFormat/>
    <w:rPr>
      <w:rFonts w:ascii="宋体" w:hAnsi="Times New Roman" w:eastAsia="宋体" w:cs="Times New Roman"/>
      <w:sz w:val="18"/>
      <w:szCs w:val="18"/>
    </w:rPr>
  </w:style>
  <w:style w:type="character" w:styleId="1565" w:customStyle="1">
    <w:name w:val="正文文本 2 Char1"/>
    <w:link w:val="1313"/>
    <w:uiPriority w:val="0"/>
    <w:semiHidden/>
    <w:qFormat/>
    <w:rPr>
      <w:rFonts w:ascii="Times New Roman" w:hAnsi="Times New Roman" w:eastAsia="宋体" w:cs="Times New Roman"/>
      <w:szCs w:val="20"/>
    </w:rPr>
  </w:style>
  <w:style w:type="character" w:styleId="1566" w:customStyle="1">
    <w:name w:val="font21"/>
    <w:link w:val="1313"/>
    <w:uiPriority w:val="0"/>
    <w:qFormat/>
    <w:rPr>
      <w:rFonts w:hint="eastAsia" w:ascii="仿宋" w:hAnsi="仿宋" w:eastAsia="仿宋" w:cs="仿宋"/>
      <w:color w:val="000000"/>
      <w:sz w:val="24"/>
      <w:szCs w:val="24"/>
      <w:u w:val="none"/>
    </w:rPr>
  </w:style>
  <w:style w:type="paragraph" w:styleId="1567" w:customStyle="1">
    <w:name w:val="列表段落"/>
    <w:basedOn w:val="1313"/>
    <w:uiPriority w:val="34"/>
    <w:qFormat/>
    <w:pPr>
      <w:ind w:firstLine="420"/>
    </w:pPr>
  </w:style>
  <w:style w:type="paragraph" w:styleId="1568" w:customStyle="1">
    <w:name w:val="一级条标题"/>
    <w:next w:val="1313"/>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569" w:customStyle="1">
    <w:name w:val="_Style 1"/>
    <w:basedOn w:val="1313"/>
    <w:uiPriority w:val="99"/>
    <w:qFormat/>
    <w:pPr>
      <w:ind w:firstLine="420"/>
    </w:pPr>
    <w:rPr>
      <w:rFonts w:ascii="Calibri" w:hAnsi="Calibri" w:eastAsia="宋体" w:cs="Calibri"/>
      <w:sz w:val="34"/>
      <w:szCs w:val="34"/>
    </w:rPr>
  </w:style>
  <w:style w:type="paragraph" w:styleId="1570" w:customStyle="1">
    <w:name w:val="首行缩进"/>
    <w:basedOn w:val="1313"/>
    <w:uiPriority w:val="0"/>
    <w:qFormat/>
    <w:pPr>
      <w:ind w:firstLine="480"/>
    </w:pPr>
    <w:rPr>
      <w:szCs w:val="20"/>
      <w:lang w:val="zh-CN"/>
    </w:rPr>
  </w:style>
  <w:style w:type="paragraph" w:styleId="1571" w:customStyle="1">
    <w:name w:val="List Paragraph1"/>
    <w:basedOn w:val="1313"/>
    <w:uiPriority w:val="0"/>
    <w:qFormat/>
    <w:pPr>
      <w:ind w:firstLine="420"/>
    </w:pPr>
    <w:rPr>
      <w:szCs w:val="21"/>
    </w:rPr>
  </w:style>
  <w:style w:type="paragraph" w:styleId="1572" w:customStyle="1">
    <w:name w:val="普通文字"/>
    <w:basedOn w:val="1313"/>
    <w:next w:val="1313"/>
    <w:uiPriority w:val="0"/>
    <w:qFormat/>
    <w:rPr>
      <w:rFonts w:ascii="宋体"/>
      <w:sz w:val="24"/>
    </w:rPr>
  </w:style>
  <w:style w:type="paragraph" w:styleId="1573" w:customStyle="1">
    <w:name w:val="二级无"/>
    <w:basedOn w:val="1313"/>
    <w:uiPriority w:val="0"/>
    <w:qFormat/>
    <w:pPr>
      <w:ind w:left="552" w:hanging="420"/>
      <w:jc w:val="left"/>
      <w:widowControl/>
      <w:tabs>
        <w:tab w:val="left" w:pos="552" w:leader="none"/>
      </w:tabs>
      <w:outlineLvl w:val="3"/>
    </w:pPr>
    <w:rPr>
      <w:rFonts w:ascii="宋体"/>
      <w:szCs w:val="21"/>
    </w:rPr>
  </w:style>
  <w:style w:type="paragraph" w:styleId="1574" w:customStyle="1">
    <w:name w:val="正文文本1"/>
    <w:basedOn w:val="1313"/>
    <w:next w:val="1313"/>
    <w:uiPriority w:val="0"/>
    <w:qFormat/>
    <w:rPr>
      <w:rFonts w:ascii="仿宋_GB2312" w:hAnsi="Times New Roman" w:eastAsia="仿宋_GB2312"/>
      <w:sz w:val="28"/>
      <w:szCs w:val="20"/>
    </w:rPr>
  </w:style>
  <w:style w:type="paragraph" w:styleId="1575" w:customStyle="1">
    <w:name w:val="p0 paragraphindent"/>
    <w:basedOn w:val="1313"/>
    <w:uiPriority w:val="0"/>
    <w:qFormat/>
    <w:pPr>
      <w:jc w:val="left"/>
      <w:spacing w:before="100" w:beforeAutospacing="1" w:after="100" w:afterAutospacing="1"/>
      <w:widowControl/>
    </w:pPr>
    <w:rPr>
      <w:rFonts w:ascii="宋体" w:hAnsi="宋体" w:cs="宋体"/>
      <w:sz w:val="24"/>
      <w:szCs w:val="24"/>
    </w:rPr>
  </w:style>
  <w:style w:type="paragraph" w:styleId="1576">
    <w:name w:val="List Paragraph"/>
    <w:basedOn w:val="1313"/>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77"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578" w:customStyle="1">
    <w:name w:val="标题 41"/>
    <w:basedOn w:val="1313"/>
    <w:next w:val="1313"/>
    <w:uiPriority w:val="0"/>
    <w:qFormat/>
    <w:pPr>
      <w:jc w:val="center"/>
      <w:keepNext/>
      <w:outlineLvl w:val="3"/>
    </w:pPr>
    <w:rPr>
      <w:rFonts w:eastAsia="楷体_GB2312"/>
      <w:b/>
      <w:bCs/>
      <w:sz w:val="13"/>
    </w:rPr>
  </w:style>
  <w:style w:type="paragraph" w:styleId="1579" w:customStyle="1">
    <w:name w:val="样式 小四 段前: 5 磅 段后: 5 磅 首行缩进:  2 字符"/>
    <w:basedOn w:val="1313"/>
    <w:uiPriority w:val="0"/>
    <w:qFormat/>
    <w:pPr>
      <w:jc w:val="center"/>
      <w:spacing w:line="360" w:lineRule="auto"/>
    </w:pPr>
    <w:rPr>
      <w:rFonts w:ascii="宋体" w:hAnsi="宋体"/>
      <w:bCs/>
      <w:color w:val="ff0000"/>
      <w:sz w:val="24"/>
      <w:szCs w:val="24"/>
    </w:rPr>
  </w:style>
  <w:style w:type="character" w:styleId="1580" w:customStyle="1">
    <w:name w:val="HTML 打字机1"/>
    <w:link w:val="1313"/>
    <w:uiPriority w:val="0"/>
    <w:qFormat/>
    <w:rPr>
      <w:rFonts w:ascii="宋体" w:hAnsi="宋体" w:eastAsia="宋体" w:cs="宋体"/>
      <w:sz w:val="24"/>
      <w:szCs w:val="24"/>
    </w:rPr>
  </w:style>
  <w:style w:type="paragraph" w:styleId="1581" w:customStyle="1">
    <w:name w:val="正文缩进1"/>
    <w:basedOn w:val="1313"/>
    <w:next w:val="1313"/>
    <w:uiPriority w:val="0"/>
    <w:qFormat/>
    <w:pPr>
      <w:ind w:firstLine="420"/>
    </w:pPr>
    <w:rPr>
      <w:rFonts w:ascii="Times New Roman" w:hAnsi="Times New Roman" w:eastAsia="宋体" w:cs="Times New Roman"/>
      <w:szCs w:val="20"/>
    </w:rPr>
  </w:style>
  <w:style w:type="numbering" w:styleId="15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王贤</cp:lastModifiedBy>
  <cp:revision>6</cp:revision>
  <dcterms:created xsi:type="dcterms:W3CDTF">2023-03-28T06:55:00Z</dcterms:created>
  <dcterms:modified xsi:type="dcterms:W3CDTF">2024-11-10T09:20:15Z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E90FFCA488F24A549950E117F3DDAAB3_13</vt:lpwstr>
  </property>
</Properties>
</file>