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84"/>
        </w:rPr>
        <w:t xml:space="preserve">招 标 文 件</w:t>
      </w:r>
      <w:r/>
    </w:p>
    <w:p>
      <w:pPr>
        <w:ind w:left="0" w:right="0" w:firstLine="2240"/>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2240"/>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2240"/>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64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rPr>
          <w:rFonts w:ascii="SimSun" w:hAnsi="SimSun" w:eastAsia="SimSun" w:cs="SimSun"/>
          <w:color w:val="000000"/>
          <w:sz w:val="32"/>
        </w:rPr>
        <w:t xml:space="preserve">项目名称：</w:t>
      </w:r>
      <w:r>
        <w:rPr>
          <w:rFonts w:ascii="Arial" w:hAnsi="Arial" w:eastAsia="Arial" w:cs="Arial"/>
          <w:color w:val="000000"/>
          <w:sz w:val="32"/>
        </w:rPr>
        <w:t xml:space="preserve">2025</w:t>
      </w:r>
      <w:r>
        <w:rPr>
          <w:rFonts w:ascii="SimSun" w:hAnsi="SimSun" w:eastAsia="SimSun" w:cs="SimSun"/>
          <w:color w:val="000000"/>
          <w:sz w:val="32"/>
        </w:rPr>
        <w:t xml:space="preserve">年居家和社区基本养老服务提升行动项目（家庭养老床位和居家养老上门服务）</w:t>
      </w:r>
      <w:r/>
    </w:p>
    <w:p>
      <w:pPr>
        <w:ind w:left="0" w:right="0" w:firstLine="80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w:t>
      </w:r>
      <w:r>
        <w:rPr>
          <w:rFonts w:ascii="Arial" w:hAnsi="Arial" w:eastAsia="Arial" w:cs="Arial"/>
          <w:color w:val="000000"/>
          <w:sz w:val="32"/>
        </w:rPr>
        <w:t xml:space="preserve">JSZC-320904-JSJY-G2025-0049</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line="360" w:lineRule="atLeast"/>
        <w:rPr>
          <w:rFonts w:ascii="Arial" w:hAnsi="Arial" w:eastAsia="Arial" w:cs="Arial"/>
          <w:sz w:val="24"/>
          <w:szCs w:val="24"/>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none"/>
        </w:rPr>
      </w:r>
      <w:r>
        <w:rPr>
          <w:rFonts w:ascii="Arial" w:hAnsi="Arial" w:eastAsia="Arial" w:cs="Arial"/>
          <w:b/>
          <w:color w:val="000000"/>
          <w:sz w:val="32"/>
          <w:highlight w:val="none"/>
        </w:rPr>
      </w:r>
      <w:r/>
    </w:p>
    <w:p>
      <w:pPr>
        <w:ind w:left="0" w:right="0" w:firstLine="0"/>
        <w:jc w:val="center"/>
        <w:spacing w:before="120" w:after="120" w:line="360" w:lineRule="atLeast"/>
        <w:rPr>
          <w:rFonts w:ascii="Arial" w:hAnsi="Arial" w:eastAsia="Arial" w:cs="Arial"/>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none"/>
        </w:rPr>
      </w:r>
      <w:r>
        <w:rPr>
          <w:rFonts w:ascii="Arial" w:hAnsi="Arial" w:eastAsia="Arial" w:cs="Arial"/>
          <w:b/>
          <w:color w:val="000000"/>
          <w:sz w:val="32"/>
          <w:highlight w:val="none"/>
        </w:rPr>
      </w:r>
      <w:r/>
    </w:p>
    <w:p>
      <w:pPr>
        <w:ind w:left="0" w:right="0" w:firstLine="0"/>
        <w:jc w:val="center"/>
        <w:spacing w:before="120" w:after="120" w:line="360" w:lineRule="atLeast"/>
        <w:rPr>
          <w:rFonts w:ascii="Arial" w:hAnsi="Arial" w:eastAsia="Arial" w:cs="Arial"/>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none"/>
        </w:rPr>
      </w:r>
      <w:r>
        <w:rPr>
          <w:rFonts w:ascii="Arial" w:hAnsi="Arial" w:eastAsia="Arial" w:cs="Arial"/>
          <w:b/>
          <w:color w:val="000000"/>
          <w:sz w:val="32"/>
          <w:highlight w:val="none"/>
        </w:rPr>
      </w:r>
      <w:r/>
    </w:p>
    <w:p>
      <w:pPr>
        <w:ind w:left="0" w:right="0" w:firstLine="0"/>
        <w:jc w:val="center"/>
        <w:spacing w:before="120" w:after="120" w:line="360" w:lineRule="atLeast"/>
        <w:rPr>
          <w:rFonts w:ascii="Arial" w:hAnsi="Arial" w:eastAsia="Arial" w:cs="Arial"/>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none"/>
        </w:rPr>
      </w:r>
      <w:r>
        <w:rPr>
          <w:rFonts w:ascii="Arial" w:hAnsi="Arial" w:eastAsia="Arial" w:cs="Arial"/>
          <w:b/>
          <w:color w:val="000000"/>
          <w:sz w:val="32"/>
          <w:highlight w:val="none"/>
        </w:rPr>
      </w:r>
      <w:r/>
    </w:p>
    <w:p>
      <w:pPr>
        <w:ind w:left="0" w:right="0" w:firstLine="0"/>
        <w:jc w:val="center"/>
        <w:spacing w:before="120" w:after="120" w:line="360" w:lineRule="atLeast"/>
        <w:rPr>
          <w:rFonts w:ascii="Arial" w:hAnsi="Arial" w:eastAsia="Arial" w:cs="Arial"/>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none"/>
        </w:rPr>
      </w:r>
      <w:r>
        <w:rPr>
          <w:rFonts w:ascii="Arial" w:hAnsi="Arial" w:eastAsia="Arial" w:cs="Arial"/>
          <w:b/>
          <w:color w:val="000000"/>
          <w:sz w:val="32"/>
          <w:highlight w:val="none"/>
        </w:rPr>
      </w:r>
      <w:r/>
    </w:p>
    <w:p>
      <w:pPr>
        <w:ind w:left="0" w:right="0" w:firstLine="0"/>
        <w:jc w:val="center"/>
        <w:spacing w:before="120" w:after="120" w:line="360" w:lineRule="atLeast"/>
        <w:rPr>
          <w:rFonts w:ascii="Arial" w:hAnsi="Arial" w:eastAsia="Arial" w:cs="Arial"/>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none"/>
        </w:rPr>
      </w:r>
      <w:r>
        <w:rPr>
          <w:rFonts w:ascii="Arial" w:hAnsi="Arial" w:eastAsia="Arial" w:cs="Arial"/>
          <w:b/>
          <w:color w:val="000000"/>
          <w:sz w:val="32"/>
          <w:highlight w:val="none"/>
        </w:rPr>
      </w:r>
      <w:r/>
    </w:p>
    <w:p>
      <w:pPr>
        <w:ind w:left="0" w:right="0" w:firstLine="0"/>
        <w:jc w:val="center"/>
        <w:spacing w:before="120" w:after="120" w:line="360" w:lineRule="atLeast"/>
        <w:rPr>
          <w:rFonts w:ascii="Arial" w:hAnsi="Arial" w:eastAsia="Arial" w:cs="Arial"/>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none"/>
        </w:rPr>
      </w:r>
      <w:r>
        <w:rPr>
          <w:rFonts w:ascii="Arial" w:hAnsi="Arial" w:eastAsia="Arial" w:cs="Arial"/>
          <w:b/>
          <w:color w:val="000000"/>
          <w:sz w:val="32"/>
          <w:highlight w:val="none"/>
        </w:rPr>
      </w:r>
      <w:r/>
    </w:p>
    <w:p>
      <w:pPr>
        <w:ind w:left="0" w:right="0" w:firstLine="0"/>
        <w:jc w:val="center"/>
        <w:spacing w:before="120" w:after="120" w:line="360" w:lineRule="atLeast"/>
        <w:rPr>
          <w:rFonts w:ascii="Arial" w:hAnsi="Arial" w:eastAsia="Arial" w:cs="Arial"/>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none"/>
        </w:rPr>
      </w:r>
      <w:r>
        <w:rPr>
          <w:rFonts w:ascii="Arial" w:hAnsi="Arial" w:eastAsia="Arial" w:cs="Arial"/>
          <w:b/>
          <w:color w:val="000000"/>
          <w:sz w:val="32"/>
          <w:highlight w:val="none"/>
        </w:rPr>
      </w:r>
      <w:r/>
    </w:p>
    <w:p>
      <w:pPr>
        <w:ind w:left="0" w:right="0" w:firstLine="0"/>
        <w:jc w:val="center"/>
        <w:spacing w:before="120" w:after="120" w:line="360" w:lineRule="atLeast"/>
        <w:rPr>
          <w:rFonts w:ascii="Arial" w:hAnsi="Arial" w:eastAsia="Arial" w:cs="Arial"/>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64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招   标   人：</w:t>
      </w:r>
      <w:r>
        <w:rPr>
          <w:rFonts w:ascii="SimSun" w:hAnsi="SimSun" w:eastAsia="SimSun" w:cs="SimSun"/>
          <w:color w:val="000000"/>
          <w:sz w:val="32"/>
          <w:u w:val="single"/>
        </w:rPr>
        <w:t xml:space="preserve">盐城市大丰区民政局</w:t>
      </w:r>
      <w:r/>
    </w:p>
    <w:p>
      <w:pPr>
        <w:ind w:left="0" w:right="0" w:firstLine="64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招标代理机构：</w:t>
      </w:r>
      <w:r>
        <w:rPr>
          <w:rFonts w:ascii="SimSun" w:hAnsi="SimSun" w:eastAsia="SimSun" w:cs="SimSun"/>
          <w:color w:val="000000"/>
          <w:sz w:val="32"/>
          <w:u w:val="single"/>
        </w:rPr>
        <w:t xml:space="preserve">江苏建友兴业工程项目管理有限公司</w:t>
      </w:r>
      <w:r/>
    </w:p>
    <w:p>
      <w:pPr>
        <w:ind w:left="0" w:right="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2025年8月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第一章  招标公告</w:t>
      </w:r>
      <w:r/>
    </w:p>
    <w:p>
      <w:pPr>
        <w:ind w:left="0" w:right="0" w:firstLine="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rPr>
        <w:t xml:space="preserve">项目概况：</w:t>
      </w:r>
      <w:r/>
    </w:p>
    <w:p>
      <w:pPr>
        <w:ind w:left="0" w:right="0" w:firstLine="480"/>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2025年居家和社区基本养老服务提升行动项目（家庭养老床位和居家养老上门服务）JSZC-320904-JSJY-G2025-00049</w:t>
      </w:r>
      <w:r>
        <w:rPr>
          <w:rFonts w:ascii="SimSun" w:hAnsi="SimSun" w:eastAsia="SimSun" w:cs="SimSun"/>
          <w:color w:val="000000"/>
          <w:sz w:val="24"/>
        </w:rPr>
        <w:t xml:space="preserve">招标项目的潜在投标人应在“苏采云”系统内免费下载（投标人必须在苏采云系统中获取采购文件，方能参与政府采购项目）获取招标文件，并于</w:t>
      </w:r>
      <w:r>
        <w:rPr>
          <w:rFonts w:ascii="SimSun" w:hAnsi="SimSun" w:eastAsia="SimSun" w:cs="SimSun"/>
          <w:color w:val="000000"/>
          <w:sz w:val="24"/>
          <w:u w:val="single"/>
        </w:rPr>
        <w:t xml:space="preserve">2025-09-22 10：00</w:t>
      </w:r>
      <w:r>
        <w:rPr>
          <w:rFonts w:ascii="SimSun" w:hAnsi="SimSun" w:eastAsia="SimSun" w:cs="SimSun"/>
          <w:color w:val="000000"/>
          <w:sz w:val="24"/>
        </w:rPr>
        <w:t xml:space="preserve">（北京时间）前递交投标文件。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项目编号：JSZC-320904-JSJY-G2025-0049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项目名称：2025年居家和社区基本养老服务提升行动项目（家庭养老床位和居家养老上门服务）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预算金额：289.00万元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最高限价：本项目家庭养老床位建设最高投标费率为100%，投标费率高于最高投标费率的按无效标处理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完成盐城市大丰区内不少于257张家庭养老床位建设（包括适老化改造、老年用品及智能化产品配置），提供居家养老上门服务不少于481人次，家庭床位建设和服务人员名单由采购人提供，最终家庭床位数和服务人次数按实结算。</w:t>
      </w:r>
      <w:r/>
    </w:p>
    <w:p>
      <w:pPr>
        <w:ind w:left="0" w:right="0" w:firstLine="480"/>
        <w:jc w:val="both"/>
        <w:spacing w:before="0" w:after="0" w:line="49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合同履行期限：自合同签订之日起至2026年1月底。 </w:t>
      </w:r>
      <w:r/>
    </w:p>
    <w:p>
      <w:pPr>
        <w:ind w:left="0" w:right="0" w:firstLine="47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本项目（是/否）接受联合体：是。</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2.上一年度的财务状况报表（成立不满一年无需提供）；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8.单位负责人为同一人或者存在直接控股、管理关系的不同供应商，不得参加同一合同项下的政府采购活动。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1.落实政府采购政策需满足的资格要求：无。</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1.本项目的特定资格要求：投标申请人具有医疗机构执业许可证。</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2.地点：“苏采云”系统内免费下载（投标人必须在苏采云系统中获取采购文件，方能参与政府采购项目）。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2025-09-22 10:00 （北京时间）。</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56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2.方式：本项目采用网上注册登记方式。</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潜在供应商访问电子招标响应交易平台的网络地址和方法：</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 数字证书”--CA 绑定与登录--参与投 标--下载采购文件（后缀名为“.kedt”）--将后缀名为“.kedt”的采购文件导入政府采购客户端工具--制作投标文件--导出加密的投标文件（后缀名为 zip）--通过“苏采云”系统上传投标文件。具体见《“苏采云”系统供应商操作手册》 （手册下载地址：苏采云系统-右侧消息通知栏）。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2.2潜在投标人访问“苏采云”系统方法：江苏省政府采购网首页-“苏采云”链接。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2.3采购文件（后缀名为“.kedt”）、供应商操作手册及政府采购客户端 工具可通过“苏采云”系统相应链接进行下载。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2.4采购代理机构将数据电文形式的采购文件加载至“苏采云”系统，供潜在供应商下载或者查阅。</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2.5请潜在投标单位提前安装相应的控件（详见《“苏采云”系统供应商操作手册》）并使用谷歌浏览器登录“苏采云”系统参与不见面开评标。</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3.有关本次招标的事项若存在变动或修改，敬请及时关注盐城市政府采购中心在“中国政府采购网”、“江苏政府采购网”、“盐城市政府采购网”发布的更正公告。</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4.本次招标不收取投标保证金，不收取质量保证金。</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七、凡对本次采购提出询问，请按以下方式联系。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名称：盐城市大丰区民政局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联系地址：盐城市大丰区丰华国际大厦19楼（飞达东路100号）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联系人：吴先生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联系方式：13851019168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称：江苏建友兴业工程项目管理有限公司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联系地址：盐城市大丰区黄海东路28号（恒达世纪新城18幢四楼）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联系方式：0515-83515689</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项目联系人：单钰锋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话：18761249196</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center"/>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Arial" w:hAnsi="Arial" w:eastAsia="Arial" w:cs="Arial"/>
          <w:color w:val="000000"/>
          <w:sz w:val="44"/>
        </w:rPr>
        <w:t xml:space="preserve">第二章  </w:t>
      </w:r>
      <w:r>
        <w:rPr>
          <w:rFonts w:ascii="SimHei" w:hAnsi="SimHei" w:eastAsia="SimHei" w:cs="SimHei"/>
          <w:color w:val="000000"/>
          <w:sz w:val="44"/>
        </w:rPr>
        <w:t xml:space="preserve">投标人须知</w:t>
      </w:r>
      <w:r>
        <w:rPr>
          <w:rFonts w:ascii="Times New Roman" w:hAnsi="Times New Roman" w:eastAsia="Times New Roman" w:cs="Times New Roman"/>
          <w:sz w:val="21"/>
        </w:rPr>
      </w:r>
      <w:r/>
    </w:p>
    <w:p>
      <w:pPr>
        <w:ind w:left="420" w:right="0" w:firstLine="0"/>
        <w:jc w:val="center"/>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2、合格的投标人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3、适用法律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投标人应自行承担所有与参加投标有关的费用，无论投标过程中的做法和结果如何，采购人和江苏建友兴业工程项目管理有限公司在任何情况下均无义务和责任承担这些费用。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本次招标代理机构和采购人不收取标书工本费。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5、招标文件的约束力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请仔细检查招标文件是否齐全，如有缺漏请立即与招标人联系解决。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7、招标文件的澄清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前按招标公告中的通讯地址，以书面形式通知招标代理机构。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8.3招标文件的修改将在中国政府采购网、江苏政府采购网、盐城市政府采购网公布，补充文件将作为招标文件的组成部分，并对投标人具有约束力。</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投标人提交的投标文件以及投标人与招标人就有关投标的所有来往通知、函件和文件均应使用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10、投标文件构成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10.2如标书制作工具中格式和内容与“中国政府采购网”、“江苏政府采购网”、“盐城市政府采购网</w:t>
      </w:r>
      <w:r>
        <w:rPr>
          <w:rFonts w:ascii="SimSun" w:hAnsi="SimSun" w:eastAsia="SimSun" w:cs="SimSun"/>
          <w:color w:val="000000"/>
          <w:sz w:val="28"/>
        </w:rPr>
        <w:t xml:space="preserve">”</w:t>
      </w:r>
      <w:r>
        <w:rPr>
          <w:rFonts w:ascii="SimSun" w:hAnsi="SimSun" w:eastAsia="SimSun" w:cs="SimSun"/>
          <w:color w:val="000000"/>
          <w:sz w:val="24"/>
        </w:rPr>
        <w:t xml:space="preserve">发布的招标文件不一致，请以中国政府采购网”、“江苏政府采购网”、“盐城市政府采购网</w:t>
      </w:r>
      <w:r>
        <w:rPr>
          <w:rFonts w:ascii="SimSun" w:hAnsi="SimSun" w:eastAsia="SimSun" w:cs="SimSun"/>
          <w:color w:val="000000"/>
          <w:sz w:val="28"/>
        </w:rPr>
        <w:t xml:space="preserve">”</w:t>
      </w:r>
      <w:r>
        <w:rPr>
          <w:rFonts w:ascii="SimSun" w:hAnsi="SimSun" w:eastAsia="SimSun" w:cs="SimSun"/>
          <w:color w:val="000000"/>
          <w:sz w:val="24"/>
        </w:rPr>
        <w:t xml:space="preserve">发布的招标文件为准。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11、证明投标人及投标标的符合招标文件规定的文件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11.1投标人应按照招标文件要求提交证明文件，证明其及投标标的符合招标文件规定。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12.3本项目采用费率（%）报价，开标一览表、投标分项报价表的报价一律用费率报价（%）填报。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15.1投标有效期为采购人规定的开标之日后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17、电子投标文件的递交</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18、投标截止日期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18.2招标人可以按照规定，通过修改招标文件酌情延长投标截止日期，在此情况下，投标人的所有权利和义务以及投标人受制的截止日期均应以延长后新的截止日期为准。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招标人拒绝接收在其规定的投标截止时间后上传的任何投标文件。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20、投标文件的撤回和修改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21、开标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21.1招标人将在招标公告中规定的时间和地点组织公开开标。投标人应当按照《操作手册》规定，参加开标活动和在苏采云系统规定的时间内对投标文件进行解密。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21.2开标仪式由招标人或招标代理机构组织。苏采云系统将自动对项目进行开标，并宣布各投标人名称和投标价格。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22、评标委员会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22.1开标后，招标人将立即组织评标委员会（以下简称评委会）进行评标。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22.3评委会独立工作，负责评审所有投标文件并确定中标侯选人。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23.1凡是与审查、澄清、评价和比较投标的有关资料以及授标建议等，采购人、评委、招标代理机构均不得向投标人或与评标无关的其他人员透露。</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23.3招标人和评标委员会不向未中标的投标人解释未中标原因，也不公布评标过程中的相关细节。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24．投标文件的澄清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24.3接到评委会澄清、说明和补正要求的投标人如未按规定做出澄清、说明和补正，其风险由投标人自行承担。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25、对投标文件的初审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25.1.3未通过资格审查或符合性审查的投标人，招标代理将在苏采云系统中告知未通过资格审查或符合性审查的原因，评审结束后，招标代理将不再告知未通过资格审查或符合性审查的原因。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25.4评委会将对确定为实质性响应的投标进行进一步审核，看其是否有计算上或累加上的算术错误，修正错误的原则如下：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26.6投标人在开、评标全过程中应保持通讯畅通，及时登录苏采云系统查阅、答复相关信息，并安排专人与招标代理机构及评标委员会联系。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26、无效投标条款和废标条款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26.1.1投标人在苏采云系统规定的时间内未成功解密电子投标文件的。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26.1.2投标人未按照招标文件要求上传电子投标文件的。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26.1.6投标人报价改变了居家养老上门服务价格。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26.1.7未通过符合性审查的。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 投标文件含有采购人不能接受的附加条件的。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26.1.12投标文件未按照招标文件要求加盖CA电子公章的。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26.1.13其他法律、法规及本招标文件规定的属无效投标的情形。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26.2.5因苏采云系统系统故障原因造成开标不成功的。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27、确定中标单位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27.3招标代理机构将在中国政府采购网”、“江苏政府采购网”、“盐城市政府采购网</w:t>
      </w:r>
      <w:r>
        <w:rPr>
          <w:rFonts w:ascii="SimSun" w:hAnsi="SimSun" w:eastAsia="SimSun" w:cs="SimSun"/>
          <w:color w:val="000000"/>
          <w:sz w:val="28"/>
        </w:rPr>
        <w:t xml:space="preserve">”</w:t>
      </w:r>
      <w:r>
        <w:rPr>
          <w:rFonts w:ascii="SimSun" w:hAnsi="SimSun" w:eastAsia="SimSun" w:cs="SimSun"/>
          <w:color w:val="000000"/>
          <w:sz w:val="24"/>
        </w:rPr>
        <w:t xml:space="preserve">发布中标公告，公告期限为1个工作日。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27.4.2向采购人、招标代理机构行贿或者提供其他不正当利益的。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27.5.有下列情形之一的，视为投标人串通投标，投标无效：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28、质疑处理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br/>
        <w:t xml:space="preserve">     28.2.2对采购过程提出质疑的，为各采购程序环节结束之日；</w:t>
        <w:br/>
        <w:t xml:space="preserve">     28.2.3对中标或者成交结果提出质疑的，为中标或者成交结果公告期限届满之日。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采购人及招标代理机构只接收以纸质原件形式送达的质疑,采购人和招标代理机构不接受未填写快递运单的快件。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29、中标通知书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30. 签订合同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31、服务（包含与服务相关的货物）的追加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32、政府采购线上合同信用融资政策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30"/>
        </w:rPr>
        <w:t xml:space="preserve">33、其他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33.1供应商对于投标产品的商品包装、快递包装应按照《关于印发《商品包装政府采购需求标准（试行）》、《快递包装政府采购需求标准（试行）》的通知》（财办库〔2020〕123号）执行。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33.2本文件中若涉及到数据中心采购，应按照《&lt;绿色数据中心政府采购需求标准（试行）&gt;的通知》（财库〔2023〕7号）执行。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33.3本项目落实预付款制度，预付款比例为</w:t>
      </w:r>
      <w:r>
        <w:rPr>
          <w:rFonts w:ascii="SimSun" w:hAnsi="SimSun" w:eastAsia="SimSun" w:cs="SimSun"/>
          <w:color w:val="000000"/>
          <w:sz w:val="24"/>
          <w:u w:val="single"/>
        </w:rPr>
        <w:t xml:space="preserve">30</w:t>
      </w:r>
      <w:r>
        <w:rPr>
          <w:rFonts w:ascii="SimSun" w:hAnsi="SimSun" w:eastAsia="SimSun" w:cs="SimSun"/>
          <w:color w:val="000000"/>
          <w:sz w:val="24"/>
        </w:rPr>
        <w:t xml:space="preserve">%。在签订合同时，中标、成交供应商明确书面表示无需预付款或者主动要求降低预付款比例的，采购人可就预付款比例作相应调整。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确需收取履约保证金的，履约保证金的缴纳形式：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如以履约保函（保险）形式缴纳履约保证金，供应商可通过政府采购电子履约保函（保险）平台（www.jsdzbh.com）在线申请履约保函（保险）。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履约保证金允许供应商自主选择以支票、汇票、本票、保函等非现金形式缴纳或提交。</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33.5、采购项目需满足的政府采购政策目标和具体支持对象</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33.5.1政府采购促进中小企业发展，参加投标企业提供《中小企业声明函》（“中小企业划型标准”详见《关于印发中小企业划型标准规定的通知》(工信部联企业〔2011〕300号)、国家统计局关于印发《统计上大中小微型企业划分办法（2017）》的通知(国统字〔2017〕213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33.7政府采购落实“政采贷”政策，依据《关于深入推进政府采购线上合同信用融资工作的通知》（苏财购﹝2021﹞82号）。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34、政府采购落实（苏财购﹝2022﹞51号）。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34.1政府采购落实《关于进一步优化政府采购营商环境的通知》（盐财购﹝2023﹞17号）。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34.2政府采购落实《江苏省财政厅关于加强政府绿色采购有关事项的通知》 （苏财购﹝2023﹞65号）。</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34.3政府采购落实财政部办公厅 住房和城乡建设部办公厅 工业和信息化部办公厅《关于印发&lt;政府采购支持绿色建材促进建筑品质提升政策项目实施指南&gt;的通知》（财库办﹝2023﹞52号）。</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35、招标代理服务费及投标保证金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35.1.代理机构将根据苏招协【2022】002号文和苏建价协（2022）7号文的40%计取 [计费基数按289万元计取]代理服务费。招标完成后，由成交供应商在领取成交通知书前一次性向代理机构支付。（本条不单独列表报价，自行综合考虑在投标报价中。）。</w:t>
      </w:r>
      <w:r/>
    </w:p>
    <w:p>
      <w:pPr>
        <w:ind w:left="0" w:right="0" w:firstLine="478"/>
        <w:jc w:val="both"/>
        <w:spacing w:before="0" w:after="12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本项目投标阶段无需缴纳投标保证金，但如项目开标后投标人要求撤回或修改投标文件、未能按照本项目招标文件的规定签订合同或提交履约担保、规范性文件规定可没收投标保证金情形的，采购人有权要求成交供应商支付与投标保证金（人民币28900.00元）等额的违约金。</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第三章  合同条款及格式</w:t>
      </w:r>
      <w:r/>
    </w:p>
    <w:p>
      <w:pPr>
        <w:ind w:left="0" w:right="0" w:firstLine="0"/>
        <w:jc w:val="center"/>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w:t>
      </w:r>
      <w:r/>
    </w:p>
    <w:p>
      <w:pPr>
        <w:ind w:left="-181" w:right="0" w:firstLine="408"/>
        <w:jc w:val="both"/>
        <w:spacing w:before="120" w:after="120" w:line="85" w:lineRule="atLeast"/>
        <w:tabs>
          <w:tab w:val="left" w:pos="24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委托方(以下简称甲方)：</w:t>
      </w:r>
      <w:r>
        <w:rPr>
          <w:rFonts w:ascii="SimSun" w:hAnsi="SimSun" w:eastAsia="SimSun" w:cs="SimSun"/>
          <w:color w:val="000000"/>
          <w:sz w:val="24"/>
          <w:u w:val="single"/>
        </w:rPr>
        <w:t xml:space="preserve">盐城市大丰区民政局</w:t>
      </w:r>
      <w:r/>
    </w:p>
    <w:p>
      <w:pPr>
        <w:ind w:left="-181" w:right="0" w:firstLine="408"/>
        <w:jc w:val="both"/>
        <w:spacing w:before="120" w:after="120" w:line="85" w:lineRule="atLeast"/>
        <w:tabs>
          <w:tab w:val="left" w:pos="24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受委托方(以下简称乙方)：</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根据《中华人民共和国民法典》等法律法规的规定，甲乙双方就</w:t>
      </w:r>
      <w:r>
        <w:rPr>
          <w:rFonts w:ascii="SimSun" w:hAnsi="SimSun" w:eastAsia="SimSun" w:cs="SimSun"/>
          <w:color w:val="000000"/>
          <w:sz w:val="24"/>
          <w:u w:val="single"/>
        </w:rPr>
        <w:t xml:space="preserve">2025年居家和社区基本养老服务提升行动项目（家庭养老床位和居家养老上门服务）</w:t>
      </w:r>
      <w:r>
        <w:rPr>
          <w:rFonts w:ascii="SimSun" w:hAnsi="SimSun" w:eastAsia="SimSun" w:cs="SimSun"/>
          <w:color w:val="000000"/>
          <w:sz w:val="24"/>
        </w:rPr>
        <w:t xml:space="preserve">按照招标结果签订本合同。</w:t>
      </w:r>
      <w:r/>
    </w:p>
    <w:p>
      <w:pPr>
        <w:ind w:left="-181"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第一条合同标的乙方根据甲方要求提供下列服务：</w:t>
      </w:r>
      <w:r>
        <w:rPr>
          <w:rFonts w:ascii="SimSun" w:hAnsi="SimSun" w:eastAsia="SimSun" w:cs="SimSun"/>
          <w:color w:val="000000"/>
          <w:sz w:val="24"/>
          <w:u w:val="single"/>
        </w:rPr>
        <w:t xml:space="preserve">完成盐城市大丰区内不少于257张家庭养老床位建设（包括适老化改造、老年用品及智能化产品配置），提供居家养老上门服务不少于481人次，家庭床位建设和服务人员名单由采购人提供，最终家庭床位数和服务人次数按实结算。具体内容详见本项目招标文件采购需求。</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第二条本合同项下结算单价：</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1、家庭养老床位结算单价为：本项目招标文件设定的家庭养老床位分项限价×</w:t>
      </w:r>
      <w:r>
        <w:rPr>
          <w:rFonts w:ascii="SimSun" w:hAnsi="SimSun" w:eastAsia="SimSun" w:cs="SimSun"/>
          <w:color w:val="000000"/>
          <w:sz w:val="24"/>
          <w:u w:val="single"/>
        </w:rPr>
        <w:t xml:space="preserve">（投标费率）</w:t>
      </w:r>
      <w:r>
        <w:rPr>
          <w:rFonts w:ascii="SimSun" w:hAnsi="SimSun" w:eastAsia="SimSun" w:cs="SimSun"/>
          <w:color w:val="000000"/>
          <w:sz w:val="24"/>
        </w:rPr>
        <w:t xml:space="preserve">% 。</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2、居家养老上门服务结算单价为60元/人次。</w:t>
      </w:r>
      <w:r/>
    </w:p>
    <w:p>
      <w:pPr>
        <w:ind w:left="-181"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第三条组成本合同的有关文件  </w:t>
      </w:r>
      <w:r/>
    </w:p>
    <w:p>
      <w:pPr>
        <w:ind w:left="-181" w:right="0" w:firstLine="408"/>
        <w:jc w:val="both"/>
        <w:spacing w:before="0" w:after="0" w:line="85"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本项目招标文件和有关附件是本合同不可分割的组成部分，与本合同具有同等法律效力。</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第四条权利保证</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所提供的货物、服务任何一部分均不会侵犯任何第三方的知识产权，乙方对甲方提供的业务资料、技术资料应严格保密，不得扩散。乙方应保证甲方在使用、接受本合同服务任何一部分时不受乙方及第三方提出侵犯其专利权、版权、商标权和工业设计权等知识产权的起诉。一旦出现侵权，由乙方负全部责任。</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第五条合同履行期限</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第六条服务要求：</w:t>
      </w:r>
      <w:r/>
    </w:p>
    <w:p>
      <w:pPr>
        <w:numPr>
          <w:ilvl w:val="0"/>
          <w:numId w:val="1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质量标准：合格。</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第七条合同款支付与履约担保</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2、本项目价款一律通过银行非现金结算，每次付款前乙方须提供相应的增值税发票。</w:t>
      </w:r>
      <w:r/>
    </w:p>
    <w:p>
      <w:pPr>
        <w:ind w:left="-181"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合同签订后，甲方收到预付款发票后10个工作日内支付相应合同金额30%作为预付款（该处相应合同金额暂按289万元计取），项目全部完成且经发包人验收合格后付至已完合同价款的80%（同时扣回预付款），余款待项目审计结束后一次结清。</w:t>
      </w:r>
      <w:r/>
    </w:p>
    <w:p>
      <w:pPr>
        <w:ind w:left="-181"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注：（1）、每次付款前，乙方应按照甲方财务要求出具增值税发票。</w:t>
      </w:r>
      <w:r/>
    </w:p>
    <w:p>
      <w:pPr>
        <w:ind w:left="-181" w:right="0" w:firstLine="8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（2）、若乙方最终结算总价小于甲方支付的预付款，乙方须按甲方要求退还多余的预付款。</w:t>
      </w:r>
      <w:r/>
    </w:p>
    <w:p>
      <w:pPr>
        <w:ind w:left="-181"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4、乙方交纳人民币_</w:t>
      </w:r>
      <w:r>
        <w:rPr>
          <w:rFonts w:ascii="SimSun" w:hAnsi="SimSun" w:eastAsia="SimSun" w:cs="SimSun"/>
          <w:color w:val="000000"/>
          <w:sz w:val="24"/>
          <w:u w:val="single"/>
        </w:rPr>
        <w:t xml:space="preserve">289000.00</w:t>
      </w:r>
      <w:r>
        <w:rPr>
          <w:rFonts w:ascii="SimSun" w:hAnsi="SimSun" w:eastAsia="SimSun" w:cs="SimSun"/>
          <w:color w:val="000000"/>
          <w:sz w:val="24"/>
        </w:rPr>
        <w:t xml:space="preserve">_元作为本合同的履约保证金。</w:t>
      </w:r>
      <w:r/>
    </w:p>
    <w:p>
      <w:pPr>
        <w:ind w:left="-181"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备注：采购人应当对AA评级及以上政府采购供应商（需提供信用管理部门备案的第三方信用报告）免收履约保证金。</w:t>
      </w:r>
      <w:r/>
    </w:p>
    <w:p>
      <w:pPr>
        <w:ind w:left="-181"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4.1履约保证金的缴纳形式：</w:t>
      </w:r>
      <w:r/>
    </w:p>
    <w:p>
      <w:pPr>
        <w:ind w:left="-181"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181"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 如以履约保函（保险）形式缴纳履约保证金，供应商可通过政府采购电子履约保函（保险）平台（www.jsdzbh.com）在线申请履约保函（保险）。</w:t>
      </w:r>
      <w:r/>
    </w:p>
    <w:p>
      <w:pPr>
        <w:ind w:left="-181"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4.2履约保证金的退还：</w:t>
      </w:r>
      <w:r/>
    </w:p>
    <w:p>
      <w:pPr>
        <w:ind w:left="-181"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4.2.1方式：无息退还至投标人缴纳履约保证金的账户。如为保函，在到期时自行失效。</w:t>
      </w:r>
      <w:r/>
    </w:p>
    <w:p>
      <w:pPr>
        <w:ind w:left="-181"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4.2.2时间：验收合格且采购人收到发票后30日内。</w:t>
      </w:r>
      <w:r/>
    </w:p>
    <w:p>
      <w:pPr>
        <w:ind w:left="-181"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4.3.3条件：按合同要求全部履约完成并经采购人验收合格，且采购人收到中标人出具的发票。</w:t>
      </w:r>
      <w:r/>
    </w:p>
    <w:p>
      <w:pPr>
        <w:ind w:left="-181"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采用全费用固定单价合同，结算时按照中标单价执行，不调整（甲方同意调整除外）。合同价包括但不限于前期调查、摸排宣传、评估、人工费、材料费、机械费、安装费、拆除费、调试费、垃圾清运费、场地恢复费、交通费、住宿费、检测费、验收费、培训费、售后服务费、管理费、税费、企业管理费、利润、招标代理费等以及所有不可预见的全部相关费用（应充分考虑所有风险、责任等），招标文件和合同未列明，而乙方认为必需的费用投标时已自行综合考虑到合同价款中。</w:t>
      </w:r>
      <w:r/>
    </w:p>
    <w:p>
      <w:pPr>
        <w:ind w:left="-181"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第八条违约责任</w:t>
        <w:tab/>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1.合同签订后，甲方中途停止或解除合同，甲方按乙方实际完成的工作量支付乙方酬金。</w:t>
      </w:r>
      <w:r/>
    </w:p>
    <w:p>
      <w:pPr>
        <w:ind w:left="-181"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2．甲方应按照本合同约定按期支付合同价款。非因甲方原因导致未按期支付乙方酬金的，甲方应积极协调费用支付事宜。</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3.合同签订后，如乙方擅自中途停止或解除合同，乙方向甲方赔偿合同价款的30％。</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4.实施过程中，乙方逾期完工的，每延误一天承担1000元的违约金，逾期超过10天的，甲方有权终止合同，由此产生一切责任和费用均由乙方自行承担。</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5.乙方在承担违约责任后，仍应继续履行合同规定的义务（甲方解除合同的除外）。甲方未能及时追究乙方的任何一项违约责任并不表明甲方放弃追究乙方该项或其他违约责任。</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6.对于甲方提供的有关资料，乙方有保密义务，不得向第三人以任何方式泄漏，否则，乙方按成果成本的100％赔偿损失并承担法律责任。</w:t>
      </w:r>
      <w:r/>
    </w:p>
    <w:p>
      <w:pPr>
        <w:ind w:left="-181"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7.服务产品的售后服务期间，乙方未按照甲方要求进行售后服务的，每发现一次，乙方承担1000元的违约金，超过三次的，甲方有权提请主管部门将乙方列入政府采购失信名单中。</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8、本项目实施过程，发生的医疗事故、与老人产生的纠纷矛盾均由乙方承担，与甲方无关。</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9、项目实施过程中，乙方工作人员的安全责任、发生交通事故等均由乙方自行承担，与甲方无关。</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第九条合同的变更和终止</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除发生法律规定的不能预见、不能避免并不能克服的客观情况外，甲乙双方不得放弃或拒绝履行合同。</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第十条合同的转让</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乙方不得擅自部分或全部转让其应履行的合同义务，如出现此行为，甲方有权给予终止合同，同时乙方应承担合同金额30%的违约金。</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第十一条争议的解决</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因履行本合同引起的或与本合同有关的争议，甲、乙双方应首先通过友好协商解决，如果协商不能解决争议，则向甲方所在地有管辖权的人民法院提起诉讼。</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第十二条诚实信用</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乙方应诚实信用，严格按照招标文件要求和承诺履行合同，不向甲方进行商业贿赂或者提供不正当利益。</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第十三条合同生效及其他</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1、本合同自签订之日起生效。</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2、本合同一式捌份，甲乙双方各执肆份。</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4、本项目工程款债权不得转让和质押。</w:t>
      </w:r>
      <w:r/>
    </w:p>
    <w:p>
      <w:pPr>
        <w:ind w:left="-181"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5、本工程不认可任何实际施工人主张权利。否则乙方承担违约金20万元。</w:t>
      </w:r>
      <w:r/>
    </w:p>
    <w:p>
      <w:pPr>
        <w:ind w:left="0" w:right="0" w:firstLine="0"/>
        <w:jc w:val="both"/>
        <w:spacing w:before="120" w:after="120" w:line="479" w:lineRule="atLeast"/>
        <w:tabs>
          <w:tab w:val="left" w:pos="24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甲方(盖章)：_________　　　　　　　 乙方(盖章)：_________</w:t>
      </w:r>
      <w:r/>
    </w:p>
    <w:p>
      <w:pPr>
        <w:ind w:left="0" w:right="0" w:firstLine="0"/>
        <w:jc w:val="both"/>
        <w:spacing w:before="120" w:after="120" w:line="479" w:lineRule="atLeast"/>
        <w:tabs>
          <w:tab w:val="left" w:pos="24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法定代表人或授权委托人(签字)：     法定代表人或授权委托人(签字)： </w:t>
      </w:r>
      <w:r/>
    </w:p>
    <w:p>
      <w:pPr>
        <w:ind w:left="-181" w:right="0" w:firstLine="357"/>
        <w:jc w:val="both"/>
        <w:spacing w:before="120" w:after="120" w:line="479" w:lineRule="atLeast"/>
        <w:tabs>
          <w:tab w:val="left" w:pos="24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_________年____月____日　　　　　　　　_________年____月____日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877"/>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
      <w:r/>
      <w:r/>
      <w:r/>
      <w:r/>
      <w:r>
        <w:rPr>
          <w:rFonts w:ascii="SimSun" w:hAnsi="SimSun" w:eastAsia="SimSun" w:cs="SimSun"/>
          <w:color w:val="000000"/>
          <w:sz w:val="21"/>
          <w:u w:val="none"/>
        </w:rPr>
        <w:t xml:space="preserve">政府采购合同履约验收书（参考格式）</w:t>
      </w:r>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根据政府采购合同（编号：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）的约定，我单位组织对</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项目中标（成交）供应商</w:t>
      </w:r>
      <w:r>
        <w:rPr>
          <w:rFonts w:ascii="SimSun" w:hAnsi="SimSun" w:eastAsia="SimSun" w:cs="SimSun"/>
          <w:color w:val="000000"/>
          <w:sz w:val="21"/>
          <w:u w:val="single"/>
        </w:rPr>
        <w:t xml:space="preserve">（公司名称）</w:t>
      </w:r>
      <w:r>
        <w:rPr>
          <w:rFonts w:ascii="SimSun" w:hAnsi="SimSun" w:eastAsia="SimSun" w:cs="SimSun"/>
          <w:color w:val="000000"/>
          <w:sz w:val="21"/>
        </w:rPr>
        <w:t xml:space="preserve">提供的货物（工程、服务）进行了履约验收，验收情况如下：</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5"/>
        <w:gridCol w:w="2707"/>
        <w:gridCol w:w="1582"/>
        <w:gridCol w:w="2363"/>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验收情况和验收意见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（可另附）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验收小组（签字）：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供应商确认意见（签章）：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采购人确认意见（签章）：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877"/>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第四章  采购需求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一、项目属性：服务类项目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二、本项目属于：其他未列明行业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三、项目概况</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09"/>
        <w:gridCol w:w="1930"/>
        <w:gridCol w:w="1134"/>
        <w:gridCol w:w="4190"/>
      </w:tblGrid>
      <w:tr>
        <w:trPr>
          <w:trHeight w:val="9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采购需求概况</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宋体" w:hAnsi="宋体" w:eastAsia="Arial" w:cs="宋体"/>
                <w:color w:val="000000"/>
                <w:sz w:val="22"/>
                <w:szCs w:val="22"/>
              </w:rPr>
              <w:t xml:space="preserve">2025</w:t>
            </w:r>
            <w:r>
              <w:rPr>
                <w:rFonts w:ascii="宋体" w:hAnsi="宋体" w:eastAsia="宋体" w:cs="宋体"/>
                <w:color w:val="000000"/>
                <w:sz w:val="22"/>
                <w:szCs w:val="22"/>
              </w:rPr>
              <w:t xml:space="preserve">年居家和社区基本养老服务提升行动项目（家庭养老床位和居家养老上门服务）</w:t>
            </w: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289.00  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1.本项目需建设符合规范要求的家庭养老床位不少于257张，居家养老上门服务不少于481人次，以上服务对象可以为同一老年人，项目执行期内必须为同一位服务对象累计提供30次以上居家养老上门服务。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提升行动项目提供居家养老上门服务的1人次是指项目执行时间内（2026年1月底前）须为同一位服务对象累计提供30次以上服务，且医护人员上门服务每次不低于1小时，护理员、护工、家政上门服务每次不低于1.5小时，服务价格60元/人次。</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四、招标要求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1、总体目标及要求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为贯彻落实积极应对人口老龄化国家战略，全面提升居家和社区基本养老服务能力，完善老年人床边、身边、家边可感可及的养老服务，不断增强老年人的获得感、幸福感、安全感，根据《民政部办公厅 财政部办公厅关于开展 2025年居家和社区基本养老服务提升行动项目申报和组织实施工作的通知》《省财政厅 民政厅关于下达 2025 年中央专项彩票公益金支持居家和社区基本养老服务提升行动项目资金预算的通知》，2025年7月盐城市出台了《盐城市居家和社区基本养老服务提升行动项目实施方案》。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焦居家老年人就医难、护理难、照料难，联动医疗卫生机构、养老服务机构、智慧养老服务平台，融合医疗康复、居家照护、家政服务，建立执业医护人员、康复护理人员、生活照料人员为主体的“医康护家服务模式”，构建居家、社区、机构相衔接的专业化照护服务体系，实现家庭养老床位与医院病床、家庭病床、康复护理床位、机构养老床位的“五床联动”，打造“盐年益寿·居家颐养”居家养老服务品牌，探索破解失能老年人居家养老难点痛点的“盐城方案”，推动居家为基础、社区为依托、机构为专业支撑、医养相结合的养老服务供给格局持续优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根据招标文件要求，为服务对象提供家庭养老床位改造设计、养老需求调查、制定一户一方案一档；按照“硬件入户、服务入户”的要求，为建立家庭养老床位的老年人家庭开展适老化和智能化家居改造，将家庭养老床位纳入24小时动态管理，并提供非住院医疗类项目、专业护理、康复训练、家庭培训、生活照料、探访关爱、健康管理、精神慰藉、保洁整理、委托代办等居家上门服务；与家庭养老床位服务对象签署完善的服务协议，明确双方责任义务，妥善解决法律纠纷；并按照采购方要求及时准确录入相关信息至金民工程系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2、服务对象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具有本区户籍且实际居住在本区范围内的60周岁及以上经济困难的失能、部分失能老年人。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经济困难老年人是指低保、低保边缘家庭中的老年人，可视情扩展至本地支出型困难家庭。</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失能、部分失能老年人是指根据《老年人能力评估规范》（GB/T42195-2022）等标准评估为轻度失能及以上等级。</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3、家庭养老床位要求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、建设内容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主体根据老年人居家环境和照护需求，与老年人及其家属协商后，按照《家庭养老床位基本项目清单》，对其居家环境进行适老化、智能化改造，为开展医疗护理、康复训练、生活照料、呼叫响应等服务提供硬件与技术支持。</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（1）配置照护服务护理床、康复器具、移动辅具等设施设备，对老年人居所进行适老化改造；</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（2）安装必要的网络连接、紧急呼叫、活动监测等智能化设备，增强老年人居家生活的安全性、便利性。</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（3）家庭养老床位基本项目清单</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0"/>
        <w:gridCol w:w="638"/>
        <w:gridCol w:w="1014"/>
        <w:gridCol w:w="1410"/>
        <w:gridCol w:w="2749"/>
        <w:gridCol w:w="840"/>
        <w:gridCol w:w="984"/>
        <w:gridCol w:w="1200"/>
      </w:tblGrid>
      <w:tr>
        <w:trPr>
          <w:trHeight w:val="679"/>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一、适老化改造</w:t>
            </w:r>
            <w:r/>
          </w:p>
        </w:tc>
      </w:tr>
      <w:tr>
        <w:trPr>
          <w:trHeight w:val="8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类别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辅具名称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技术要求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分项限价（元）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项目类型</w:t>
            </w:r>
            <w:r/>
          </w:p>
        </w:tc>
      </w:tr>
      <w:tr>
        <w:trPr>
          <w:trHeight w:val="9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地面改造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防滑处理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防滑地砖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防滑砖。拆除原地面，找平，放线，瓷砖铺贴，嵌缝处理（含人工、主材、辅材；不含防水）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169.00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基础</w:t>
            </w:r>
            <w:r/>
          </w:p>
        </w:tc>
      </w:tr>
      <w:tr>
        <w:trPr>
          <w:trHeight w:val="1167"/>
        </w:trPr>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防滑地胶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1.材质：pvc </w:t>
              <w:br/>
              <w:t xml:space="preserve"> 2.厚度:不低于2mm</w:t>
              <w:br/>
              <w:t xml:space="preserve"> 3.原材料健康环保，不老化，不硬化柔韧性强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m2</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120.00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3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高差处理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水泥坡道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1、材质：水泥混凝土；</w:t>
              <w:br/>
              <w:t xml:space="preserve"> 2、拆除原路面或台阶，新做坡道。坡道尺寸：按照实际情况定制；</w:t>
              <w:br/>
              <w:t xml:space="preserve"> 3、要求用 C30混凝土浇筑200mm厚，面层抹灰，坡面防滑。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m2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216.00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基础</w:t>
            </w:r>
            <w:r/>
          </w:p>
        </w:tc>
      </w:tr>
      <w:tr>
        <w:trPr>
          <w:trHeight w:val="1050"/>
        </w:trPr>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橡胶坡道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100cm*15cm*3cm，天然橡胶材质，承重力≥500kg。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块</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105.00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0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门改造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门槛移除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门槛移除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拆除原有门槛石并清理原水泥层，定制并安装新门槛石与地面瓷砖水平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414.00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可选</w:t>
            </w:r>
            <w:r/>
          </w:p>
        </w:tc>
      </w:tr>
      <w:tr>
        <w:trPr>
          <w:trHeight w:val="11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房门拓宽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房门拓宽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门洞拓宽，抹灰修复，粉刷涂饰，对门洞狭窄影响轮椅通行进行扩宽，门净宽度≥80cm。含拆除、洞口加固（如需）、更换过梁（如需）、垃圾处理费用等。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700.00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可选</w:t>
            </w:r>
            <w:r/>
          </w:p>
        </w:tc>
      </w:tr>
      <w:tr>
        <w:trPr>
          <w:trHeight w:val="12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下压式门把手改造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下压式门把手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1、门锁材质：铜/锌合金</w:t>
              <w:br/>
              <w:t xml:space="preserve"> 2、锁芯材质：纯铜</w:t>
              <w:br/>
              <w:t xml:space="preserve"> 3、锁体款式：静音款</w:t>
              <w:br/>
              <w:t xml:space="preserve"> 4、合页款式：平开合页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170.00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可选</w:t>
            </w:r>
            <w:r/>
          </w:p>
        </w:tc>
      </w:tr>
      <w:tr>
        <w:trPr>
          <w:trHeight w:val="33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卧室改造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安装床边护栏（抓杆）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床边扶手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1、扶手可固定、防侧翻、无凉感，整体表面采用无凉感磨砂材质，底座采用稳固钢板材料，底座尺寸：500mm*600mm。</w:t>
              <w:br/>
              <w:t xml:space="preserve"> 2、高度可调：70-85cm;</w:t>
              <w:br/>
              <w:t xml:space="preserve"> 3、材料：扶手采用钢管材质，扶手套采用高密度橡塑 NBR 海绵套管；</w:t>
              <w:br/>
              <w:t xml:space="preserve"> 4、底板厚度：≥3mm,表面静电喷塑橡胶条包边处理，稳固安全；</w:t>
              <w:br/>
              <w:t xml:space="preserve"> 5、固定立柱套管采用优质碳钢机加工而成，立柱壁厚≥ 4mm；</w:t>
              <w:br/>
              <w:t xml:space="preserve"> 6、扶手内管采用高强度碳钢，扶手内管壁厚≥1.2mm。具有抗冲击，耐高温，耐低温，易清洁，不易滋生细菌的特性。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530.00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w:t>
            </w:r>
            <w:r/>
          </w:p>
        </w:tc>
      </w:tr>
      <w:tr>
        <w:trPr>
          <w:trHeight w:val="424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配置护理床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适老双摇功能床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1、规格：2080*1010*500mm/2010*1210*500mm；</w:t>
              <w:br/>
              <w:t xml:space="preserve"> 2、材质：床头床尾采用 E1 级三聚氰胺板，阻燃、防火。硬度大，耐磨，耐热性好、可抵抗一般的酸碱酒精；边角处采用倒圆工艺，采用 2mm 厚封边，产品细腻、光滑、手感好，封线平直光滑；</w:t>
              <w:br/>
              <w:t xml:space="preserve"> 3、上身升降角度 0-80 ° , 下身升降角度 0-40 °,免漆板床头板和床尾板，伸缩式摇手柄，可折叠，ABS 塑料摇柄；</w:t>
              <w:br/>
              <w:t xml:space="preserve"> 4、棕丝+环保绵床垫。钢质床体，冲压板面。</w:t>
              <w:br/>
              <w:t xml:space="preserve"> 5、颗粒板床头尾、护栏为五根立柱铝合金材质方便老人起身安全，为老人提供多</w:t>
            </w:r>
            <w:r>
              <w:rPr>
                <w:rFonts w:ascii="SimSun" w:hAnsi="SimSun" w:eastAsia="SimSun" w:cs="SimSun"/>
                <w:color w:val="000000"/>
                <w:sz w:val="18"/>
              </w:rPr>
              <w:t xml:space="preserve">项护理功能。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1800.00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可选</w:t>
            </w:r>
            <w:r/>
          </w:p>
        </w:tc>
      </w:tr>
      <w:tr>
        <w:trPr>
          <w:trHeight w:val="2809"/>
        </w:trPr>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10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电动护理床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规格：2060*960*450mm/2060*1060*450mm</w:t>
              <w:br/>
              <w:t xml:space="preserve"> 1、床头、尾板采用实木或者贴面刨花板，颜色可与房间环境相匹配</w:t>
              <w:br/>
              <w:t xml:space="preserve"> 2、床板采用钢网结构，具有透气、防潮湿的特点</w:t>
              <w:br/>
              <w:t xml:space="preserve"> 3、背部起折角度≥70 ° , 腿部起折角度≥30 °</w:t>
              <w:br/>
              <w:t xml:space="preserve"> 4、插入式护栏，可辅助人站立，总长度≥940mm</w:t>
              <w:br/>
              <w:t xml:space="preserve"> 5、可选配脚轮、转弯护栏、输液架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2980.00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9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11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配置防压疮垫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防褥疮坐垫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1：尺寸：48cm*48cm</w:t>
              <w:br/>
              <w:t xml:space="preserve"> 2：材质：高弹 PVC</w:t>
              <w:br/>
              <w:t xml:space="preserve"> 3：功能：不易出汗变硬，面料由加厚 PVC 做成，夏季不易出汗冬季不易变硬 透气舒适，凹凸透气孔设计，分散臀部压力，加快臀部，大腿部位的空气流通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可选</w:t>
            </w:r>
            <w:r/>
          </w:p>
        </w:tc>
      </w:tr>
      <w:tr>
        <w:trPr>
          <w:trHeight w:val="51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12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防褥疮床垫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产品尺码：1900*900*80mm，尺寸可根据需要订做。</w:t>
              <w:br/>
              <w:t xml:space="preserve">产品材质：防水面料、高弹力海绵、棕榈、拉链</w:t>
              <w:br/>
              <w:t xml:space="preserve">适用范围：普通病床配套</w:t>
              <w:br/>
              <w:t xml:space="preserve">适用人群：意识障碍、偏瘫、昏迷、长期卧床患者及 ICU、骨科患者、老年人</w:t>
              <w:br/>
              <w:t xml:space="preserve">产品特点：</w:t>
              <w:br/>
              <w:t xml:space="preserve"> 1、全防水面料外套，材质由 ppc+尼龙牛津布组成。保护床垫不被体液污染，使床垫无异味；外套可用含氯消毒液擦试清理排泄物，也可机洗。</w:t>
              <w:br/>
              <w:t xml:space="preserve"> 2、减压垫厚度为 8CM，由 2CM 棕榈与6CM 高弹性海绵垫组合。2CM 棕榈起支撑作用，6CM 高弹力海绵，海绵密度 25，硬度 70，具有良好的吸收压力</w:t>
            </w:r>
            <w:r>
              <w:rPr>
                <w:rFonts w:ascii="SimSun" w:hAnsi="SimSun" w:eastAsia="SimSun" w:cs="SimSun"/>
                <w:color w:val="000000"/>
                <w:sz w:val="18"/>
              </w:rPr>
              <w:t xml:space="preserve">与分散压力作用，且不易塌陷，较普通病床床垫延长使用寿命 2 倍。</w:t>
              <w:br/>
              <w:t xml:space="preserve"> 3、按需订制，按病床结构可做二折、三折或四折减压床垫，与病床贴合度好，床头与床尾摇高摇低自如。</w:t>
              <w:br/>
              <w:t xml:space="preserve"> 4.直接辅上棉质床单即可使用。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455.00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可选</w:t>
            </w:r>
            <w:r/>
          </w:p>
        </w:tc>
      </w:tr>
      <w:tr>
        <w:trPr>
          <w:trHeight w:val="23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如厕洗浴设备改造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安装扶手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一字扶手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盖外尺寸：大于48cm</w:t>
              <w:br/>
              <w:t xml:space="preserve"> 1、外管材质：ABS 材质，直径 35mm；壁厚≥3mm；</w:t>
              <w:br/>
              <w:t xml:space="preserve"> 2、内管材质：不锈钢内管，直径 25mm；壁厚≥1mm；</w:t>
              <w:br/>
              <w:t xml:space="preserve"> 3、扶手表面使用环保标准、抗老化、耐腐蚀材料，能有效抑制大肠杆菌、金黄色葡萄球菌等细菌，扶手表面采用防滑浮点设计，适合抓握。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85.00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w:t>
            </w:r>
            <w:r/>
          </w:p>
        </w:tc>
      </w:tr>
      <w:tr>
        <w:trPr>
          <w:trHeight w:val="254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14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L型扶手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1、尺寸：不低于60*50cm；</w:t>
              <w:br/>
              <w:t xml:space="preserve"> 2、外管材质：ABS 材质，直径 35mm；壁厚≥3mm；</w:t>
              <w:br/>
              <w:t xml:space="preserve"> 3、内管材质：不锈钢内管，直径 25mm；壁厚≥1mm；</w:t>
              <w:br/>
              <w:t xml:space="preserve"> 4、扶手表面使用环保标准、抗老化、耐腐蚀材料，能有效抑制大肠杆菌、金黄色葡萄球菌等细菌，扶手表面采用防滑浮点设计，适合抓握。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155.00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w:t>
            </w:r>
            <w:r/>
          </w:p>
        </w:tc>
      </w:tr>
      <w:tr>
        <w:trPr>
          <w:trHeight w:val="1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U型上翻扶手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1、尺寸：底座 80*195mm,扶手尺寸 600*130*700mm 内衬部分为 1.0mm；</w:t>
              <w:br/>
              <w:t xml:space="preserve"> 2、厚度：外壳管径 35mm、壁厚≥3.0mm；</w:t>
              <w:br/>
              <w:t xml:space="preserve"> 3、材质：外壳为优质 ABS 材料 内衬部分为 201 不锈钢管连接管件整体为整体金属外包抗菌 ABS。</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170.00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w:t>
            </w:r>
            <w:r/>
          </w:p>
        </w:tc>
      </w:tr>
      <w:tr>
        <w:trPr>
          <w:trHeight w:val="16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16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可拆卸式马桶扶手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产品材质：PP+钢管组装式支架扶手架高强度碳钢管焊接而成；扶手架整体喷塑处理不易生锈；管内留有排水孔，防止管内储水生锈；扶手可上翻收起、扶手盖PP材质+抑菌剂抑制细菌增长。产品承重150kg以上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414.00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w:t>
            </w:r>
            <w:r/>
          </w:p>
        </w:tc>
      </w:tr>
      <w:tr>
        <w:trPr>
          <w:trHeight w:val="23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17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配置淋浴椅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淋浴椅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1</w:t>
            </w:r>
            <w:r>
              <w:rPr>
                <w:rFonts w:ascii="SimSun" w:hAnsi="SimSun" w:eastAsia="SimSun" w:cs="SimSun"/>
                <w:color w:val="000000"/>
                <w:sz w:val="18"/>
              </w:rPr>
              <w:t xml:space="preserve">、采用高强度铝合金，壁厚</w:t>
            </w:r>
            <w:r>
              <w:rPr>
                <w:rFonts w:ascii="Arial" w:hAnsi="Arial" w:eastAsia="Arial" w:cs="Arial"/>
                <w:color w:val="000000"/>
                <w:sz w:val="18"/>
              </w:rPr>
              <w:t xml:space="preserve"> 1.2mm</w:t>
            </w:r>
            <w:r>
              <w:rPr>
                <w:rFonts w:ascii="SimSun" w:hAnsi="SimSun" w:eastAsia="SimSun" w:cs="SimSun"/>
                <w:color w:val="000000"/>
                <w:sz w:val="18"/>
              </w:rPr>
              <w:t xml:space="preserve">，表面雾银氧化工艺；</w:t>
              <w:br/>
            </w:r>
            <w:r>
              <w:rPr>
                <w:rFonts w:ascii="Arial" w:hAnsi="Arial" w:eastAsia="Arial" w:cs="Arial"/>
                <w:color w:val="000000"/>
                <w:sz w:val="18"/>
              </w:rPr>
              <w:t xml:space="preserve"> 2</w:t>
            </w:r>
            <w:r>
              <w:rPr>
                <w:rFonts w:ascii="SimSun" w:hAnsi="SimSun" w:eastAsia="SimSun" w:cs="SimSun"/>
                <w:color w:val="000000"/>
                <w:sz w:val="18"/>
              </w:rPr>
              <w:t xml:space="preserve">、座板、背板材质为高强度工程塑料，表面防滑，环保，易于清洗，带有漏水孔，不积水，透气的作用；</w:t>
              <w:br/>
            </w:r>
            <w:r>
              <w:rPr>
                <w:rFonts w:ascii="Arial" w:hAnsi="Arial" w:eastAsia="Arial" w:cs="Arial"/>
                <w:color w:val="000000"/>
                <w:sz w:val="18"/>
              </w:rPr>
              <w:t xml:space="preserve"> 3</w:t>
            </w:r>
            <w:r>
              <w:rPr>
                <w:rFonts w:ascii="SimSun" w:hAnsi="SimSun" w:eastAsia="SimSun" w:cs="SimSun"/>
                <w:color w:val="000000"/>
                <w:sz w:val="18"/>
              </w:rPr>
              <w:t xml:space="preserve">、座板两边有扶手设计，配</w:t>
            </w:r>
            <w:r>
              <w:rPr>
                <w:rFonts w:ascii="Arial" w:hAnsi="Arial" w:eastAsia="Arial" w:cs="Arial"/>
                <w:color w:val="000000"/>
                <w:sz w:val="18"/>
              </w:rPr>
              <w:t xml:space="preserve"> PVC </w:t>
            </w:r>
            <w:r>
              <w:rPr>
                <w:rFonts w:ascii="SimSun" w:hAnsi="SimSun" w:eastAsia="SimSun" w:cs="SimSun"/>
                <w:color w:val="000000"/>
                <w:sz w:val="18"/>
              </w:rPr>
              <w:t xml:space="preserve">浸塑防滑扶手垫；扶手为弹片锁紧，可拆卸；</w:t>
              <w:br/>
            </w:r>
            <w:r>
              <w:rPr>
                <w:rFonts w:ascii="Arial" w:hAnsi="Arial" w:eastAsia="Arial" w:cs="Arial"/>
                <w:color w:val="000000"/>
                <w:sz w:val="18"/>
              </w:rPr>
              <w:t xml:space="preserve"> 4</w:t>
            </w:r>
            <w:r>
              <w:rPr>
                <w:rFonts w:ascii="SimSun" w:hAnsi="SimSun" w:eastAsia="SimSun" w:cs="SimSun"/>
                <w:color w:val="000000"/>
                <w:sz w:val="18"/>
              </w:rPr>
              <w:t xml:space="preserve">、脚管高度</w:t>
            </w:r>
            <w:r>
              <w:rPr>
                <w:rFonts w:ascii="Arial" w:hAnsi="Arial" w:eastAsia="Arial" w:cs="Arial"/>
                <w:color w:val="000000"/>
                <w:sz w:val="18"/>
              </w:rPr>
              <w:t xml:space="preserve">5 </w:t>
            </w:r>
            <w:r>
              <w:rPr>
                <w:rFonts w:ascii="SimSun" w:hAnsi="SimSun" w:eastAsia="SimSun" w:cs="SimSun"/>
                <w:color w:val="000000"/>
                <w:sz w:val="18"/>
              </w:rPr>
              <w:t xml:space="preserve">档调节，四脚配防滑斜脚垫。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273.00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w:t>
            </w:r>
            <w:r/>
          </w:p>
        </w:tc>
      </w:tr>
      <w:tr>
        <w:trPr>
          <w:trHeight w:val="16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18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蹲便器改坐便器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蹲便器改坐便器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拆除（蹲便器+地台），找平修复，防水，移位器移位，修补、封堵（如原地面为瓷砖地面，须铺设相近色瓷砖），密封圈打胶，安装马桶打胶，垃圾清运至指定点（至少清运至小区、村以外）。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752.00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可选</w:t>
            </w:r>
            <w:r/>
          </w:p>
        </w:tc>
      </w:tr>
      <w:tr>
        <w:trPr>
          <w:trHeight w:val="16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浴缸/淋浴房改造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浴缸/淋浴房改造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浴缸/淋浴房，拆除浴缸及周围台面，墙面和地面翟平，防水处理，拆除部分补瓷砖（瓷砖为普通瓷砖，特殊要求另补差价），加装/更换浴帘、浴杆，增加淋浴空间，方便照护人员辅助老年人洗浴，以及意外跌倒后的搀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1504.00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可选</w:t>
            </w:r>
            <w:r/>
          </w:p>
        </w:tc>
      </w:tr>
      <w:tr>
        <w:trPr>
          <w:trHeight w:val="15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物理环境改造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灯源改造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自动人体感应灯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感应开关：开，关，感应；</w:t>
              <w:br/>
              <w:t xml:space="preserve">灯光颜色:暖光；</w:t>
              <w:br/>
              <w:t xml:space="preserve">感应范围：黑暗环境下，正面水平 100 度，3 米以内。人离开感应范围 30 秒左右移动熄灭。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w:t>
            </w:r>
            <w:r/>
          </w:p>
        </w:tc>
      </w:tr>
      <w:tr>
        <w:trPr>
          <w:trHeight w:val="11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21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电源插座及开关改造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五孔插座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高温 PC 阻燃材质</w:t>
              <w:br/>
              <w:t xml:space="preserve">性能参数：10A/16A， 250V，额定功率 2500W</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可选</w:t>
            </w:r>
            <w:r/>
          </w:p>
        </w:tc>
      </w:tr>
      <w:tr>
        <w:trPr>
          <w:trHeight w:val="11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大面板开关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高温 PC 阻燃材质，额定电流 16A,额定电压：250V，额定功率4000W，单控或双控，带荧光开关。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可选</w:t>
            </w:r>
            <w:r/>
          </w:p>
        </w:tc>
      </w:tr>
      <w:tr>
        <w:trPr>
          <w:trHeight w:val="13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23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电路改造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根据现场条件确认施工方案，成品保护，明管敷设，铺设新线，接入原有线路，布线横平竖直，穿线采用PVC 套管，原老旧线路拆除，包工包料。（电缆线须达到国标标准）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可选</w:t>
            </w:r>
            <w:r/>
          </w:p>
        </w:tc>
      </w:tr>
      <w:tr>
        <w:trPr>
          <w:trHeight w:val="12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8" w:type="dxa"/>
            <w:vAlign w:val="top"/>
            <w:vMerge w:val="restart"/>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安装防撞护角 /防撞条、提示标识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防撞角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1：尺寸：5.5*3.5*1.2cm</w:t>
              <w:br/>
              <w:t xml:space="preserve"> 2：材质：NBR 材质+3M 双面胶</w:t>
              <w:br/>
              <w:t xml:space="preserve"> 3：功能：产品柔软有弹性是环保 NBR 材质粘贴 3M 品牌胶带更</w:t>
              <w:br/>
              <w:t xml:space="preserve">加牢固有效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可选</w:t>
            </w:r>
            <w:r/>
          </w:p>
        </w:tc>
      </w:tr>
      <w:tr>
        <w:trPr>
          <w:trHeight w:val="11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25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防撞条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1：PVC 材质+3M 双面胶:</w:t>
              <w:br/>
              <w:t xml:space="preserve"> 2：尺寸：3.5cm*3.5cm*厚度 0.7cm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可选</w:t>
            </w:r>
            <w:r/>
          </w:p>
        </w:tc>
      </w:tr>
      <w:tr>
        <w:trPr>
          <w:trHeight w:val="20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26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提示标识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1.PVC 或亚克力材质，确保能够牢固地附着在需要警示的表面上；</w:t>
              <w:br/>
              <w:t xml:space="preserve"> 2.通常使用醒目的颜色，如红色、黄色等，粘贴在墙角或家具尖角附近，起警示作用；</w:t>
              <w:br/>
              <w:t xml:space="preserve"> 3.符合相关标准和老年人认知特点的提示标识。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可选</w:t>
            </w:r>
            <w:r/>
          </w:p>
        </w:tc>
      </w:tr>
      <w:tr>
        <w:trPr>
          <w:trHeight w:val="634"/>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二、智能化改造</w:t>
            </w:r>
            <w:r/>
          </w:p>
        </w:tc>
      </w:tr>
      <w:tr>
        <w:trPr>
          <w:trHeight w:val="22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网络连接设备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WIFI路由器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WIFI 路由器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运营商：支持联通、电信、移动、广电。</w:t>
              <w:br/>
              <w:t xml:space="preserve">天线：外置天线</w:t>
              <w:br/>
              <w:t xml:space="preserve">频段：双频</w:t>
              <w:br/>
              <w:t xml:space="preserve">支持上网行为管理</w:t>
              <w:br/>
              <w:t xml:space="preserve"> FEM 信号放大器数量：4 个</w:t>
              <w:br/>
              <w:t xml:space="preserve">空间流数：4 条</w:t>
              <w:br/>
              <w:t xml:space="preserve">无线协议：Wi-Fi 6</w:t>
              <w:br/>
              <w:t xml:space="preserve">适用面积：61-120 ㎡</w:t>
              <w:br/>
              <w:t xml:space="preserve">仅限有宽带无wifi路由器的家庭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113.00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基础（任选其一）</w:t>
            </w:r>
            <w:r/>
          </w:p>
        </w:tc>
      </w:tr>
      <w:tr>
        <w:trPr>
          <w:trHeight w:val="2490"/>
        </w:trPr>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28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无线网卡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无线网卡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1.供电方式:Type-C 5V</w:t>
              <w:br/>
              <w:t xml:space="preserve"> 2.工作电流: ≤150mA</w:t>
              <w:br/>
              <w:t xml:space="preserve"> 3.通信方式:zigbee 2.4GHz</w:t>
              <w:br/>
              <w:t xml:space="preserve"> 4.传输距离:≤130m(空旷可视距离)</w:t>
              <w:br/>
              <w:t xml:space="preserve"> 5.LED 指示灯:蓝色*1 个;红色*1 个</w:t>
              <w:br/>
              <w:t xml:space="preserve"> 6.工作温度:-10℃~55℃</w:t>
              <w:br/>
              <w:t xml:space="preserve"> 7.工作湿度:≤95%(无凝结)</w:t>
              <w:br/>
              <w:t xml:space="preserve"> 8.无线频率:2.4GHz</w:t>
              <w:br/>
              <w:t xml:space="preserve"> 9.网络标准:zigbee3.0 标准</w:t>
              <w:br/>
              <w:t xml:space="preserve"> 10.含 2 年通讯费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270.00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0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29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紧急呼叫设备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紧急呼叫器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紧急呼叫器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用于老人身体不适或摔倒后紧急求救，主要安装在卧室，洗手间等；</w:t>
              <w:br/>
              <w:t xml:space="preserve">无线传输方式：NB-IoT（电信、移动、联通、广电）</w:t>
              <w:br/>
              <w:t xml:space="preserve">待机时间：3 年（每天不超过 5 次信号传输的情况下）</w:t>
              <w:br/>
              <w:t xml:space="preserve">支持电池电量和信号值数据上传</w:t>
              <w:br/>
              <w:t xml:space="preserve">支持低电量和信号弱报警 </w:t>
              <w:br/>
              <w:t xml:space="preserve">含2年网络费用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w:t>
            </w:r>
            <w:r/>
          </w:p>
        </w:tc>
      </w:tr>
      <w:tr>
        <w:trPr>
          <w:trHeight w:val="27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30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生命体征监测设备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生命体征监测仪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4G 智能手表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1:分辨率：240*240</w:t>
              <w:br/>
              <w:t xml:space="preserve"> 2:GPS 定位+WIFI+基站定位+震动</w:t>
              <w:br/>
              <w:t xml:space="preserve"> 3:电池:800mAH</w:t>
              <w:br/>
              <w:t xml:space="preserve"> 4:双向通话</w:t>
              <w:br/>
              <w:t xml:space="preserve"> 5:心率血压:静态心率</w:t>
              <w:br/>
              <w:t xml:space="preserve"> 6:体温:支持</w:t>
              <w:br/>
              <w:t xml:space="preserve"> 7:充电方式:磁吸充电</w:t>
              <w:br/>
              <w:t xml:space="preserve"> 8:通讯网络:4G或5G 全网通</w:t>
              <w:br/>
              <w:t xml:space="preserve"> 9:SOS 一键求救</w:t>
              <w:br/>
              <w:t xml:space="preserve">含2年网络费用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338.00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w:t>
            </w:r>
            <w:r/>
          </w:p>
        </w:tc>
      </w:tr>
      <w:tr>
        <w:trPr>
          <w:trHeight w:val="27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安全监控装置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烟雾报警器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烟雾报警器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故障自检、防拆设计、高音报警、低功耗；</w:t>
              <w:br/>
              <w:t xml:space="preserve"> 2、安装测试:独立测试按键；</w:t>
              <w:br/>
              <w:t xml:space="preserve"> 3、 自检功能:24 小时自我检测一次；</w:t>
              <w:br/>
              <w:t xml:space="preserve"> 4、工作电压:DC3V ；工作温度:-10 ℃~50℃；相对湿度:&lt;95%RH(40℃±2℃),告警内容:超浓度报警；</w:t>
              <w:br/>
              <w:t xml:space="preserve"> 5、通讯模式：NB-iot 通讯。（支持移动、联通、电信、广电等）可免费对接第三方平台，含2年流量费。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113.00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w:t>
            </w:r>
            <w:r/>
          </w:p>
        </w:tc>
      </w:tr>
      <w:tr>
        <w:trPr>
          <w:trHeight w:val="27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32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可燃气体泄露报警器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可燃气体泄露报警器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1、故障自检、高音报警；</w:t>
              <w:br/>
              <w:t xml:space="preserve"> 2、可测气体:天然气、煤气、液化石油气等；</w:t>
              <w:br/>
              <w:t xml:space="preserve"> 3、自检功能:24 小时自我检测一次；</w:t>
              <w:br/>
              <w:t xml:space="preserve"> 4、工作电压:AC220V50Hz，DC12V；报警浓度:8%LEL±3；工作温度:-10℃~55℃；相对湿度:&lt;95%RH；告警内容:泄露预警；</w:t>
              <w:br/>
              <w:t xml:space="preserve"> 5、通讯方式：NB-iot通讯。（支持移动、联通、电信、广电）可免费对接第三方平台，含2年流量费。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170.00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可选</w:t>
            </w:r>
            <w:r/>
          </w:p>
        </w:tc>
      </w:tr>
      <w:tr>
        <w:trPr>
          <w:trHeight w:val="184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33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溢水报警器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溢水报警器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1.工作电压：DC3V</w:t>
              <w:br/>
              <w:t xml:space="preserve"> 2.工作电流：报警电流≤20mA</w:t>
              <w:br/>
              <w:t xml:space="preserve"> 3.通讯方式：：NB-loT</w:t>
              <w:br/>
              <w:t xml:space="preserve"> 4.复位方式： 自动复位</w:t>
              <w:br/>
              <w:t xml:space="preserve"> 5.工作温度：-10 °C~55 °C</w:t>
              <w:br/>
              <w:t xml:space="preserve"> 6.工作湿度：≤95%（无凝结）</w:t>
              <w:br/>
              <w:t xml:space="preserve"> 7.含2年网络费用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141.00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可选</w:t>
            </w:r>
            <w:r/>
          </w:p>
        </w:tc>
      </w:tr>
      <w:tr>
        <w:trPr>
          <w:trHeight w:val="18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视频或语音通话设备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智能监控摄像头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智能监控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1.通讯方式：WiFi</w:t>
              <w:br/>
              <w:t xml:space="preserve"> 2.分辨率：不低于1920×1080</w:t>
              <w:br/>
              <w:t xml:space="preserve"> 3.双向实时视频</w:t>
              <w:br/>
              <w:t xml:space="preserve"> 4.支持双向通话</w:t>
              <w:br/>
              <w:t xml:space="preserve"> 5.具有远程摄像功能，支持无线网络连接，可远程操控</w:t>
              <w:br/>
              <w:t xml:space="preserve"> 6.存储功能：本地TF存储/云端录像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451.00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w:t>
            </w:r>
            <w:r/>
          </w:p>
        </w:tc>
      </w:tr>
      <w:tr>
        <w:trPr>
          <w:trHeight w:val="20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智能感应设备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门磁感应器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门磁感应器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适用于监控各类门、窗的开关状态，监管老人进出门次数</w:t>
              <w:br/>
              <w:t xml:space="preserve">支持三大运营商网络</w:t>
              <w:br/>
              <w:t xml:space="preserve">待机时间：充满电可使用 3-6 个月</w:t>
              <w:br/>
              <w:t xml:space="preserve">低电量报警：支持</w:t>
              <w:br/>
              <w:t xml:space="preserve">支持电池电量和信号值数据上传</w:t>
              <w:br/>
              <w:t xml:space="preserve">支持低电量和信号弱报警常开：</w:t>
              <w:br/>
              <w:t xml:space="preserve">含 2 年网络费用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可选</w:t>
            </w:r>
            <w:r/>
          </w:p>
        </w:tc>
      </w:tr>
      <w:tr>
        <w:trPr>
          <w:trHeight w:val="26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36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红外探测器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红外探测器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1、通信方式：NB-loT</w:t>
              <w:br/>
              <w:t xml:space="preserve"> 2、探测方式：热释电红外探测</w:t>
              <w:br/>
              <w:t xml:space="preserve"> 3、探测角度： ≥110 °</w:t>
              <w:br/>
              <w:t xml:space="preserve"> 4、探测距离： ≥2m</w:t>
              <w:br/>
              <w:t xml:space="preserve"> 5、电池：锂电池供电</w:t>
              <w:br/>
              <w:t xml:space="preserve"> 6、电池电压：3V</w:t>
              <w:br/>
              <w:t xml:space="preserve"> 7、电池供电感应次数： ≥2 万次</w:t>
              <w:br/>
              <w:t xml:space="preserve"> 8、工作温度：-10~+55℃</w:t>
              <w:br/>
              <w:t xml:space="preserve"> 9、工作湿度：小于 95RH</w:t>
              <w:br/>
              <w:t xml:space="preserve">含 2 年网络费用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122.00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可选</w:t>
            </w:r>
            <w:r/>
          </w:p>
        </w:tc>
      </w:tr>
      <w:tr>
        <w:trPr>
          <w:trHeight w:val="18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37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防走失装置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防走失胸卡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需提供两年网卡/流量/话费费用。需提供集成老年人身份信息</w:t>
              <w:br/>
              <w:t xml:space="preserve">卡，可监测定位（或具备电子围栏功能），避免老年人走失。</w:t>
              <w:br/>
              <w:t xml:space="preserve">实时传输数据，向老年人亲属及平台推送意外风险信息。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235.00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可选</w:t>
            </w:r>
            <w:r/>
          </w:p>
        </w:tc>
      </w:tr>
      <w:tr>
        <w:trPr>
          <w:trHeight w:val="1962"/>
        </w:trPr>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38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防走失手环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1:GPS 定位+WIFI+基站定位+震动</w:t>
              <w:br/>
              <w:t xml:space="preserve"> 2:电池:800mAH</w:t>
              <w:br/>
              <w:t xml:space="preserve"> 3:显示屏:1.54 IPS 240*240</w:t>
              <w:br/>
              <w:t xml:space="preserve"> 4:心率血压:静态心率</w:t>
              <w:br/>
              <w:t xml:space="preserve"> 5:体温:支持</w:t>
              <w:br/>
              <w:t xml:space="preserve"> 6:充电方式:磁吸充电</w:t>
              <w:br/>
              <w:t xml:space="preserve"> 7:通讯网络:4G 全网通</w:t>
              <w:br/>
              <w:t xml:space="preserve"> 8:双向通话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351.00 </w:t>
            </w:r>
            <w:r/>
          </w:p>
        </w:tc>
        <w:tc>
          <w:tcPr>
            <w:tcBorders>
              <w:left w:val="single" w:color="000000" w:sz="4" w:space="0"/>
            </w:tcBorders>
            <w:vMerge w:val="continue"/>
            <w:textDirection w:val="lrTb"/>
            <w:noWrap w:val="false"/>
          </w:tcPr>
          <w:p>
            <w:r/>
            <w:r/>
          </w:p>
        </w:tc>
      </w:tr>
      <w:tr>
        <w:trPr>
          <w:trHeight w:val="619"/>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三、老年用品</w:t>
            </w:r>
            <w:r/>
          </w:p>
        </w:tc>
      </w:tr>
      <w:tr>
        <w:trPr>
          <w:trHeight w:val="133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老年用品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手杖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单脚手杖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1:尺寸：高 70-95cm，厚度 1.2mm</w:t>
              <w:br/>
              <w:t xml:space="preserve"> 2:材质：铝合金古铜</w:t>
              <w:br/>
              <w:t xml:space="preserve"> 3:调节范围：十档调节</w:t>
              <w:br/>
              <w:t xml:space="preserve"> 4:承重：100KG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60.00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5项任选其三</w:t>
            </w:r>
            <w:r/>
          </w:p>
        </w:tc>
      </w:tr>
      <w:tr>
        <w:trPr>
          <w:trHeight w:val="211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40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三脚拐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1.高度：74-96.5CM  10 档可调节</w:t>
              <w:br/>
              <w:t xml:space="preserve"> 2.主架：上支采用高强度铝合金材质，管径：22.2MM，管壁厚度：1.2MM，下支底座采用不锈钢材质，壁厚 1.2MM，表面电镀处理，底盘焊点加固处理。上下支连接处采用全铝合金坚固件，防滑防晃。整体高度十档可调节，适应不同身高人士。安全承重：100KG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60.00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2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41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四脚拐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1.高度：60-83CM  10 档可调节</w:t>
              <w:br/>
              <w:t xml:space="preserve"> 2.主架：上支采用高强度铝合金材质，管径：22.2MM，管壁厚度：1.2MM，下支底座采用高碳钢材质，壁厚 1.2MM，表面喷粉处理，底盘焊点加固处理。上下支连接处采用全铝合金坚固件，防滑防晃。整体高度十档可调节，适应不同身高人士。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80.00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42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凳拐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1.尺寸：宽：30cm，高：81cm，手柄长度:12cm，坐板尺寸：24.5*21.5cm，使用凳坐尺寸:凳面高度：50cm，握把高度：72cm</w:t>
              <w:br/>
              <w:t xml:space="preserve"> 2.主架：由高强度铝合金管材组成，管壁厚度为 1.5mm，管径：22mm，表面处理阳极氧化雾面，整支拐杖的螺母使用尼龙带帽防松螺母，提高了使用寿命和整体的美观性。</w:t>
              <w:br/>
              <w:t xml:space="preserve"> 3.凳板：凳板是由 ABS 工程塑胶料一次注塑成型，经久耐用，形状根据人体臀部学设计。</w:t>
              <w:br/>
              <w:t xml:space="preserve"> 4.握把：由 ABS 工程塑胶料一次注塑成型，形状是根据人体手掌工学设计，表面带有防滑纹。</w:t>
              <w:br/>
              <w:t xml:space="preserve"> 5.支架扣：支</w:t>
            </w:r>
            <w:r>
              <w:rPr>
                <w:rFonts w:ascii="SimSun" w:hAnsi="SimSun" w:eastAsia="SimSun" w:cs="SimSun"/>
                <w:color w:val="000000"/>
                <w:sz w:val="18"/>
              </w:rPr>
              <w:t xml:space="preserve">架扣采用的是实心全铝合金材料加工而成。</w:t>
              <w:br/>
              <w:t xml:space="preserve"> 6.脚垫：托底式防滑脚垫，内衬钢片更防滑耐磨。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125.00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5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43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轮椅/助行器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轮椅（铝合金</w:t>
              <w:br/>
              <w:t xml:space="preserve">轮椅）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1、产品符合 GB/T13800-2009《手动轮椅车》国家标准。</w:t>
              <w:br/>
              <w:t xml:space="preserve"> 2、GB/T13800-2009《手动轮椅车》国家标准中型号、代号、</w:t>
              <w:br/>
              <w:t xml:space="preserve">类型及其他不确定的，按以下要求执行:</w:t>
              <w:br/>
              <w:t xml:space="preserve"> 1）手驱动后轮；</w:t>
              <w:br/>
              <w:t xml:space="preserve"> 2）车架材质采用高强度铝管，双支撑结构，表面喷涂处理，</w:t>
              <w:br/>
              <w:t xml:space="preserve">可折叠；</w:t>
              <w:br/>
              <w:t xml:space="preserve"> 3）坐背垫材质为海绵和防阻燃牛津布；</w:t>
              <w:br/>
              <w:t xml:space="preserve"> 4）皮革海绵扶手垫；高强度塑料脚踏板，脚踏支架可旋转，</w:t>
              <w:br/>
              <w:t xml:space="preserve">高度可调，配有牛津布小腿带及安全带；</w:t>
              <w:br/>
              <w:t xml:space="preserve"> 5）驻车装置制动后不高于座面；</w:t>
              <w:br/>
              <w:t xml:space="preserve"> 6）前轮为高品质PVC 实心轮胎；后轮为充气轮胎，轮辐钢质，</w:t>
              <w:br/>
              <w:t xml:space="preserve">采用辐条；A</w:t>
            </w:r>
            <w:r>
              <w:rPr>
                <w:rFonts w:ascii="SimSun" w:hAnsi="SimSun" w:eastAsia="SimSun" w:cs="SimSun"/>
                <w:color w:val="000000"/>
                <w:sz w:val="18"/>
              </w:rPr>
              <w:t xml:space="preserve">BS 手扶圈。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580.00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60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44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高靠背轮椅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1、产品符合 GB/T13800-2009《手动轮椅车》国家标准。</w:t>
              <w:br/>
              <w:t xml:space="preserve"> 2、GB/T13800-2009《手动轮椅车》国家标准中型号、代号、</w:t>
              <w:br/>
              <w:t xml:space="preserve">类型及其他不确定的，请按以下要求执行:</w:t>
              <w:br/>
              <w:t xml:space="preserve"> 1）手驱动后轮，高靠背；</w:t>
              <w:br/>
              <w:t xml:space="preserve"> 2）车架材质采用高频焊管，双支撑结构，表面喷塑处理，可</w:t>
              <w:br/>
              <w:t xml:space="preserve">折叠；</w:t>
              <w:br/>
              <w:t xml:space="preserve"> 3）坐垫为加厚海绵软座垫采用软质PU 材料,面开 U 形开口厕</w:t>
              <w:br/>
              <w:t xml:space="preserve">孔,配有大容量 PVC 光面方厕盆,盆托与方厕盆配合顺畅，使用</w:t>
              <w:br/>
              <w:t xml:space="preserve">安装方便；背垫为 PU 材料内衬海绵；</w:t>
              <w:br/>
              <w:t xml:space="preserve"> 5）靠背角度调节 0-90 °位置固定可靠，配置弧形软质地头枕；</w:t>
              <w:br/>
            </w:r>
            <w:r>
              <w:rPr>
                <w:rFonts w:ascii="SimSun" w:hAnsi="SimSun" w:eastAsia="SimSun" w:cs="SimSun"/>
                <w:color w:val="000000"/>
                <w:sz w:val="18"/>
              </w:rPr>
              <w:t xml:space="preserve"> 6）皮革海绵扶手垫，扶手可拆卸；骨科脚带腿托，高强度塑</w:t>
              <w:br/>
              <w:t xml:space="preserve">料脚踏板，踏支架长度可调，抬高的角度可与座面达 180 ° ,</w:t>
              <w:br/>
              <w:t xml:space="preserve">并有重力自锁装置，带防倾轮；</w:t>
              <w:br/>
              <w:t xml:space="preserve"> 7）驻车装置制动后不高于座面；</w:t>
              <w:br/>
              <w:t xml:space="preserve"> 8）前轮为高品质达 PVC 实心轮胎；后轮为充气轮胎，轮辐钢</w:t>
              <w:br/>
              <w:t xml:space="preserve">质，采用辐条；ABS 手扶圈。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677.00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1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45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轮椅</w:t>
              <w:br/>
              <w:t xml:space="preserve">（电动）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材质：碳钢，内置 12A 铅酸电池，续航 32 公里，带手刹 脚踏板可拆缷 扶手可掀 防后滑 高靠背半躺，语音提示、四轮减震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1880.00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4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46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助行器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1.长51cm，宽 53cm，扶手高度：73-91cm，折叠后尺寸：60*10*73cm，承重：100KG</w:t>
              <w:br/>
              <w:t xml:space="preserve"> 2.主架：采用高强度加粗铝合金材质，管直径为25.4mm，厚度为 1.2mm，表面采用阳极氧化处理雾面，一键折叠式结构，不占空间。脚管管直径为 28.6mm，厚度为 1.2mm，高度 8 档可调节，前杆加宽加厚设计；</w:t>
              <w:br/>
              <w:t xml:space="preserve"> 3.握把：采用PV 橡胶软质握把，表面有花纹防滑性好，手感舒适，使用时间寿命长。</w:t>
              <w:br/>
              <w:t xml:space="preserve"> 4.脚垫材质为橡胶耐用，耐磨，有弹性，表面摩擦系数较高的防滑橡胶材料。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195.00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1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47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放大装置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放大镜指甲剪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1、材质：碳钢+ABS+PP；</w:t>
              <w:br/>
              <w:t xml:space="preserve"> 2、功能：带有放大镜。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40.00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8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48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10倍高清玻璃镜橡胶手柄防摔塑料人阅读手持式光学放大镜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环保橡胶材质、10 倍高清、老人阅读穿针引线神器、多重规格可选、手柄镜框防摔。</w:t>
              <w:br/>
              <w:t xml:space="preserve">镜片 镜片直径 100mm 总长 23cm</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13.91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8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49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自助进食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防洒碗（盘）、助食筷、弯柄勺（叉）、饮水杯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1.防洒碗（盘）主体材质为食品级 PP 塑料，助食碗底部带有</w:t>
              <w:br/>
              <w:t xml:space="preserve">吸盘，吸附力持久，防止碗滑动;碗口一侧为屋檐式设计，防</w:t>
              <w:br/>
              <w:t xml:space="preserve">止食物遗洒;碗底可拆卸;可微波加热</w:t>
              <w:br/>
              <w:t xml:space="preserve"> 2.助食筷含自动弹簧，防手抖，食品级 PP、天然竹子;</w:t>
              <w:br/>
              <w:t xml:space="preserve"> 3.弯柄勺（叉）方便老人抓握设计，硅胶和食品级不锈钢，可</w:t>
              <w:br/>
              <w:t xml:space="preserve">弯头设计方便老人自主进食;手柄位置带有橡胶皮带可按手的</w:t>
              <w:br/>
              <w:t xml:space="preserve">大小，调整松紧。手柄内部空间可以放置配重;</w:t>
              <w:br/>
              <w:t xml:space="preserve"> 4.饮水杯为硅胶紧扣杯口，并有止漏设计，防止杯身翻倒食物</w:t>
              <w:br/>
              <w:t xml:space="preserve">和茶水倒出，并可防止吞咽异常老人呛到。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188.00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9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50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助听器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耳背式助听器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最大 OSPL90: ≤125dB＋3dB</w:t>
              <w:br/>
              <w:t xml:space="preserve">高频平均值 OSPL90 104dB±4dB</w:t>
              <w:br/>
              <w:t xml:space="preserve">满档声增益：27dB±5dB</w:t>
              <w:br/>
              <w:t xml:space="preserve">等效输入噪声级：≤29dB±3dB</w:t>
              <w:br/>
              <w:t xml:space="preserve">总谐波失真：≤7%＋3%</w:t>
              <w:br/>
              <w:t xml:space="preserve">频率响应范围（不窄于）：200Hz～3000Hz</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375.00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8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51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骨传导助听器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骨传导助听器，环境温度范围：-10℃~55℃相对湿度范围：≤</w:t>
              <w:br/>
              <w:t xml:space="preserve"> 80%RH ；大气压力范围：700hPa~1060hPa；搭载噪声定位消除技术，识别不同声音场景，过滤环境噪音，识别并强化人声语音信号。</w:t>
              <w:br/>
              <w:t xml:space="preserve">本产品外壳主要由：硅胶、PC+ABS、TPE 材料组成。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1147.00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注：服务项目分为基础项目和可选项目，原则上基础项目是必须配置的项目，可选项目是根据老年人实际情况和需求进行个性化配置的项目。适老化改造配置项目（1-15 项）中的可选项目9项选 2项（不可重复选）；智能化改造配置项目（16-26 项）中的可选项目5项选1项；老年用品配置项目（ 27-31 项）中的可选项目5项选 3项（不可重复选）。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3.2、建设要求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家庭养老床位建设应按照申请、评估、签约、改造和审核验收的程序实施，也可采用跟踪审验。改造信息与管理数据应上传“金民工程”全国养老服务信息系统（以下简称“金民系统”），并与县（市、区）智能养老服务平台共享。</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鼓励对老年人不再使用的可移动设施设备，进行清洗、消毒、修缮，调配给有需求的其他经济困难老年人或特困人员供养机构使用，提高设施设备利用率。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3.3、改造标准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提升行动项目家庭养老床位建设每户补贴最高不超过5000元。补贴对象根据经济困难程度（困难优先）、评估等级（重度优先）和申请时间（同等条件先申请优先）依次排序。已进行适老化改造并具备相应功能的不重复改造，只实施智能化改造并视情配备适老化产品，总改造补贴金额每户不超过5000元。家庭养老床位建成后，民政部门应组织力量（或委托第三方机构）实地审核验收，合格后，给予建设补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4、居家养老上门服务要求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4.1、服务标准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提升行动项目提供居家养老上门服务的1人次是指项目执行时间内（2026年1月底前）须为同一位服务对象累计提供30次以上服务，且医护人员上门服务每次不低于1小时，护理员、护工、家政上门服务每次不低于1.5小时，服务价格60元/人次。康复护理项目应做好事前准备与事后观察。建设家庭养老床位的服务对象，可同时享受项目提供的居家养老上门服务；与本地原居家养老上门服务、长期护理保险内容重复的，按就高原则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4.2、服务内容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根据项目要求，制定服务计划，明确服务流程，开展上门服务。具体如下：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1、依托智慧养老服务平台，建立居家养老上门服务呼叫中心，开通服务热线，并通过民政官网、新闻媒体、微信公众号、社区公示栏和养老服务机构等渠道广为宣传，响应老年人服务需求， 实现“老人呼叫，服务即到”。呼叫中心根据服务对象需求，链接医疗、康复、养老等相应服务机构（组织） ，派单专业人员上门服务。服务人员登录民政部“民政服务”微信小程序，上传现场服务信息至金民系统。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(1)医护人员上门服务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服务主体按照《盐城市居家和社区基本养老服务提升行动项目服务参考清单》要求，上门提供伤口处理与换药、鼻饲管更换、导尿管更换以及巡诊等非住院治疗类服务。服务时，服务对象的监护人应在场。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(2)护理员上门服务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主体根据采购方提供的服务对象名册，组织具备从业资质的康复护理人员，针对服务对象个性化需求，按照《盐城市居家和社区基本养老服务提升行动项目服务参考清单》要求，上门提供专业护理、康复训练、家庭培训等三大类康复护理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(3)护工上门服务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主体根据采购方提供的服务对象名册，组织经过培训的生活照料护工或助老员，针对服务对象实际生活需求，按照《盐城市居家和社区基本养老服务提升行动项目服务参考清单》要求，上门提供生活照料、探访关爱、健康管理、精神慰藉等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(4)家政上门服务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主体根据采购方提供的服务对象名册，组织经过培训的生活照料护工或助老员，针对失能老年人行动不便的特征，按照《盐城市居家和社区基本养老服务提升行动项目服务参考清单》要求，上门提供保洁整理、委托代办等家政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四项服务，按规定申请、审核、审批，参照盐城市民政局《关于进一步规范政府购买居家上门服务的通知》“办理程序”实施。基础服务包项目参考《盐城市居家和社区基本养老服务提升行动项目服务参考清单》并根据实际选取组合，符合条件的养老服务补贴对象，可结合基础服务包与养老服务补贴，叠加扩充服务内容。</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《盐城市居家和社区基本养老服务提升行动项目服务参考清单》</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6"/>
        <w:gridCol w:w="880"/>
        <w:gridCol w:w="855"/>
        <w:gridCol w:w="1592"/>
        <w:gridCol w:w="3652"/>
        <w:gridCol w:w="113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项目分类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项目内容及服务标准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服务资质</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医护人员上门服务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非住院治疗类项目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普通创伤换药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为有普通创伤及手术伤口，去医院不便服务对象提供上门换药。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医生或护士</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鼻饲管更换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对需要鼻饲进食的照护对象，提供上门鼻饲管更换。</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导尿管更换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对行动不便的服务对象如果留置导尿管时间到期，提供上门导尿管更换。</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巡诊服务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根据服务对象的不同情况，制定不同的巡诊周期、巡诊内容，如常见的血压、血糖、心电图检查等，健康宣教、指导和其他个性化项目，使服务对象了解自身的身体状况。</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护理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人员</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上门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护理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口腔清洁、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护理及指导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根据照护对象的生活自理能力，鼓励并协助有自理能力或上肢功能良好的半自理照护对象采用漱口、自行刷牙的方法清洁口腔；对不能自理的采用棉棒、棉球擦拭清洁口腔（包括活动性假牙护理）。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初级及以上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技能等级的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养老护理员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协助进食、进</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水及指导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根据照护对象的病情、饮食种类、液体出入量、自行进食能力，选择恰当的餐具、进餐体位、食品种类让照护对象摄入充足的水分和食物，做好照护对象及家属的安全教育，</w:t>
            </w:r>
            <w:r>
              <w:rPr>
                <w:rFonts w:ascii="Times New Roman" w:hAnsi="Times New Roman" w:eastAsia="Times New Roman" w:cs="Times New Roman"/>
                <w:color w:val="000000"/>
                <w:sz w:val="20"/>
              </w:rPr>
              <w:t xml:space="preserve"> </w:t>
            </w:r>
            <w:r>
              <w:rPr>
                <w:rFonts w:ascii="SimSun" w:hAnsi="SimSun" w:eastAsia="SimSun" w:cs="SimSun"/>
                <w:color w:val="000000"/>
                <w:sz w:val="20"/>
              </w:rPr>
              <w:t xml:space="preserve">增强自我防范意识，</w:t>
            </w:r>
            <w:r>
              <w:rPr>
                <w:rFonts w:ascii="Times New Roman" w:hAnsi="Times New Roman" w:eastAsia="Times New Roman" w:cs="Times New Roman"/>
                <w:color w:val="000000"/>
                <w:sz w:val="20"/>
              </w:rPr>
              <w:t xml:space="preserve"> </w:t>
            </w:r>
            <w:r>
              <w:rPr>
                <w:rFonts w:ascii="SimSun" w:hAnsi="SimSun" w:eastAsia="SimSun" w:cs="SimSun"/>
                <w:color w:val="000000"/>
                <w:sz w:val="20"/>
              </w:rPr>
              <w:t xml:space="preserve">指导噎食、误吸的预防及应急处理方法。</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压疮预防及指导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对易发生压疮的照护对象采取定时翻身、减压工具等方法预防压疮的发生。为照护对象提供心理支持及压疮护理的健康指导。</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协助叩背排痰及指导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根据照护对象的病情、有无手术、引流管、骨折和牵引等，选择合适的翻身频次、体</w:t>
            </w:r>
            <w:r>
              <w:rPr>
                <w:rFonts w:ascii="Times New Roman" w:hAnsi="Times New Roman" w:eastAsia="Times New Roman" w:cs="Times New Roman"/>
                <w:color w:val="000000"/>
                <w:sz w:val="20"/>
              </w:rPr>
              <w:t xml:space="preserve">  </w:t>
            </w:r>
            <w:r>
              <w:rPr>
                <w:rFonts w:ascii="SimSun" w:hAnsi="SimSun" w:eastAsia="SimSun" w:cs="SimSun"/>
                <w:color w:val="000000"/>
                <w:sz w:val="20"/>
              </w:rPr>
              <w:t xml:space="preserve">位、方式帮助照护对象翻身叩背，促进排痰。</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鼻饲进食及指导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对需要鼻饲进食的照护对象，按照其疾病及特殊饮食需求，选择进食类型和加工方式，协助其进行鼻饲进食，做好风险评估、知情同意相关事宜。</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护理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人员</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上门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康复</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训练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日常生活能力训练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照护对象进食、洗澡、修饰、穿脱衣、如厕等日常生活自理能力的评定及身心状况，遵医嘱循序渐进地进行更衣、进食、转移、如厕、手指精细动作等训练，利用辅助性用具，增强照护对象日常生活自理能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康复医师、康复治疗师、护</w:t>
            </w:r>
            <w:r>
              <w:rPr>
                <w:rFonts w:ascii="Times New Roman" w:hAnsi="Times New Roman" w:eastAsia="Times New Roman" w:cs="Times New Roman"/>
                <w:color w:val="000000"/>
                <w:sz w:val="20"/>
              </w:rPr>
              <w:t xml:space="preserve"> </w:t>
            </w:r>
            <w:r>
              <w:rPr>
                <w:rFonts w:ascii="SimSun" w:hAnsi="SimSun" w:eastAsia="SimSun" w:cs="SimSun"/>
                <w:color w:val="000000"/>
                <w:sz w:val="20"/>
              </w:rPr>
              <w:t xml:space="preserve">士或中级及以上技能等级的养老护理员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体位摆放指导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根据照护对象的病情及身心状态，遵医嘱循序渐进地进行健侧卧位、患侧卧位、仰卧</w:t>
            </w:r>
            <w:r>
              <w:rPr>
                <w:rFonts w:ascii="Times New Roman" w:hAnsi="Times New Roman" w:eastAsia="Times New Roman" w:cs="Times New Roman"/>
                <w:color w:val="000000"/>
                <w:sz w:val="20"/>
              </w:rPr>
              <w:t xml:space="preserve"> </w:t>
            </w:r>
            <w:r>
              <w:rPr>
                <w:rFonts w:ascii="SimSun" w:hAnsi="SimSun" w:eastAsia="SimSun" w:cs="SimSun"/>
                <w:color w:val="000000"/>
                <w:sz w:val="20"/>
              </w:rPr>
              <w:t xml:space="preserve">位、半卧位等治疗性体位摆放，防止偏瘫关节挛缩、预防压疮等。以照护对象耐受度为限，及时观察训练效果及不良反应。</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体位转移训练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照护对象的病情及身心状态，遵医嘱循序渐进地进行床上翻身、床上移动、坐位训练、轮椅向床、床上向轮椅等训练，以减少并发症，预防跌倒坠床等。以照护对象耐受度为限，及时观察训练效果及不良反应。</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平衡训练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根据照护对象的病情及身心状态，遵医嘱循序渐进地进行坐位平衡、静态平衡、坐卧位转换、坐位重心转移等训练，</w:t>
            </w:r>
            <w:r>
              <w:rPr>
                <w:rFonts w:ascii="Times New Roman" w:hAnsi="Times New Roman" w:eastAsia="Times New Roman" w:cs="Times New Roman"/>
                <w:color w:val="000000"/>
                <w:sz w:val="20"/>
              </w:rPr>
              <w:t xml:space="preserve"> </w:t>
            </w:r>
            <w:r>
              <w:rPr>
                <w:rFonts w:ascii="SimSun" w:hAnsi="SimSun" w:eastAsia="SimSun" w:cs="SimSun"/>
                <w:color w:val="000000"/>
                <w:sz w:val="20"/>
              </w:rPr>
              <w:t xml:space="preserve">以提高身体稳定性。以照护对象耐受度为限，及时观察训练效果及不良反应。</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上肢训练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根据照护对象的病情及身心状态，遵医嘱循序渐进地进行手部抓握、指腹抓握、肩肘关节等训练，以提高上肢活动能力，延缓肌肉关节功能衰退。以照护对象耐受度为限，及时观察训练效果及不良反应。</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呼吸功能训练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根据照护对象的病情及身心状态，遵医嘱循序渐进地进行放松训练、缩唇呼吸、腹式呼吸、排痰训练、健肺操等训练，预防及减少肺部感染。以照护对象耐受度为限，及时观察训练效果及不良反应。</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吞咽功能训练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根据照护对象的吞咽功能评定及身心状态，遵医嘱循序渐进地进行唇舌训练、发声练习、空咽练习、吞咽咀嚼等训练，</w:t>
            </w:r>
            <w:r>
              <w:rPr>
                <w:rFonts w:ascii="SimSun" w:hAnsi="SimSun" w:eastAsia="SimSun" w:cs="SimSun"/>
                <w:color w:val="000000"/>
                <w:sz w:val="20"/>
              </w:rPr>
              <w:t xml:space="preserve">以减少误吸，</w:t>
            </w:r>
            <w:r>
              <w:rPr>
                <w:rFonts w:ascii="SimSun" w:hAnsi="SimSun" w:eastAsia="SimSun" w:cs="SimSun"/>
                <w:color w:val="000000"/>
                <w:sz w:val="20"/>
              </w:rPr>
              <w:t xml:space="preserve">维持营养摄入。以照护对象耐受度为限，及时观察训练效果及不良反应。</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语言功能训练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根据照护对象的病情及身心状态，遵医嘱循序渐进地进行听觉、语言刺激、口腔运动训练、音量音调训练等方式，改善语言能力，预防心理障碍。以照护对象耐受度为限，及时观察训练效果及不良反应。</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护理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人员</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上门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康复</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训练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失禁功能训练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照护对象的病情及身心状态，遵医嘱循序渐进地进行膀胱训练、盆底肌锻炼、肛门括约肌训练、定时排泄等方式，恢复控制排泄，减少尿路感染，降低护理负担。以照护对象耐受度为限，及时观察训练效果及不良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康复医师、康复治疗师、护</w:t>
            </w:r>
            <w:r>
              <w:rPr>
                <w:rFonts w:ascii="Times New Roman" w:hAnsi="Times New Roman" w:eastAsia="Times New Roman" w:cs="Times New Roman"/>
                <w:color w:val="000000"/>
                <w:sz w:val="20"/>
              </w:rPr>
              <w:t xml:space="preserve"> </w:t>
            </w:r>
            <w:r>
              <w:rPr>
                <w:rFonts w:ascii="SimSun" w:hAnsi="SimSun" w:eastAsia="SimSun" w:cs="SimSun"/>
                <w:color w:val="000000"/>
                <w:sz w:val="20"/>
              </w:rPr>
              <w:t xml:space="preserve">士或中级及以上技能等级的养老护理员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认知功能训练</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照护对象的认知障碍评定及身心状态，遵医嘱循序渐进地进行作业训练、记忆训练、思维训练、音乐治疗、缅怀治疗等方式，维持残存的脑功能，提高日常生活能力。以照护对象耐受度为限，及时观察训练效果及不良反应。</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家庭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培训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照护培训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为照护对象及非专业照护者提供系统性教育与技能指导，</w:t>
            </w:r>
            <w:r>
              <w:rPr>
                <w:rFonts w:ascii="SimSun" w:hAnsi="SimSun" w:eastAsia="SimSun" w:cs="SimSun"/>
                <w:color w:val="000000"/>
                <w:sz w:val="20"/>
              </w:rPr>
              <w:t xml:space="preserve">旨在提升其居家照护能力，确保照护对象在家庭环境中获得安全、科学且人性化的护理支持。主要通过入户服务即时培训指导或线上培训等方式进行理论讲解、实操演练、情景模拟等，</w:t>
            </w:r>
            <w:r>
              <w:rPr>
                <w:rFonts w:ascii="SimSun" w:hAnsi="SimSun" w:eastAsia="SimSun" w:cs="SimSun"/>
                <w:color w:val="000000"/>
                <w:sz w:val="20"/>
              </w:rPr>
              <w:t xml:space="preserve">内容包括老年人照护基础知识、日常照护规范、专业照护技能、安全防范与风险知识、心理照护与支持等。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护士、</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高级及以上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技能等级的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养老护理员</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护工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上门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生活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照料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助餐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上门烹饪、协助老年人前往老年人助餐点就餐、送餐上门等。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经培训合格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的护工或助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老员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助洁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洗漱、剪发剃须、洗脚、剪指（趾）甲等身体助洁服务。</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助行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协助行走、陪伴外出、参加活动等。</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助急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紧急呼叫受理、紧急转介等。</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助医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陪同就医、治疗陪伴等。</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探访</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上门探访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了解掌握老年人的健康状况、精神状况、安全情况、卫生状况、居室环境、服务需求等。</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健康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信息采集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采集老年人的体检信息、既往疾病史等健康信息，</w:t>
            </w:r>
            <w:r>
              <w:rPr>
                <w:rFonts w:ascii="Times New Roman" w:hAnsi="Times New Roman" w:eastAsia="Times New Roman" w:cs="Times New Roman"/>
                <w:color w:val="000000"/>
                <w:sz w:val="20"/>
              </w:rPr>
              <w:t xml:space="preserve"> </w:t>
            </w:r>
            <w:r>
              <w:rPr>
                <w:rFonts w:ascii="SimSun" w:hAnsi="SimSun" w:eastAsia="SimSun" w:cs="SimSun"/>
                <w:color w:val="000000"/>
                <w:sz w:val="20"/>
              </w:rPr>
              <w:t xml:space="preserve">建立老年人健康档案等。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经培训合格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的护工或助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老员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健康咨询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为老年人提供防跌倒、疾病预防、用药提醒与指导、膳食营养、康复保健等指导。</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健康监测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监测体温、体重、血压、呼吸、心率、血糖等常规生理指标。</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精神</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慰藉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亲情陪护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定期协助有意愿的老年人外出活动或前往服务机构参加集体活动。</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情绪疏导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与老年人进行谈心、交流，耐心倾听老年人的诉说。</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心理慰藉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通过心理健康教育、心理干预手段调整老年人心理状态。</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家政</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上门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整理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物品清洁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家具、器物（玻璃、油烟机、空调、洗衣机、冰箱）等物品保洁。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经培训合格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的护工或助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老员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起居照顾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定期翻晒、更换床上用品，</w:t>
            </w:r>
            <w:r>
              <w:rPr>
                <w:rFonts w:ascii="SimSun" w:hAnsi="SimSun" w:eastAsia="SimSun" w:cs="SimSun"/>
                <w:color w:val="000000"/>
                <w:sz w:val="20"/>
              </w:rPr>
              <w:t xml:space="preserve">保持床铺清洁等。</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居室清洁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居家清洁、物品整理、衣物洗涤及收纳等普通清洁服务。</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委托</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代办</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代购物品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代购日常生活用品、果蔬等。</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代缴费用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代缴水、电、气、通讯费等日常费用。</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代订代取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代订车票、预约车辆、代取送信函、文件和物品等。</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代为申请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5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代为申请法律援助、救助服务等。</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4.3、服务要求（依托大丰现有监管平台）</w:t>
      </w:r>
      <w:r/>
    </w:p>
    <w:p>
      <w:pPr>
        <w:numPr>
          <w:ilvl w:val="0"/>
          <w:numId w:val="17"/>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服务主体根据服务对象创建服务工单，开始服务前需进行拍照、录音等操作，结束服务后也需进行拍照、录音等操作，需上传带有服务前时间的水印照片、服务后时间的水印照片。</w:t>
      </w:r>
      <w:r/>
    </w:p>
    <w:p>
      <w:pPr>
        <w:numPr>
          <w:ilvl w:val="0"/>
          <w:numId w:val="17"/>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服务主体应按照建立的制度及标准完成日常工作，并编写服务记录等工作台账。</w:t>
      </w:r>
      <w:r/>
    </w:p>
    <w:p>
      <w:pPr>
        <w:numPr>
          <w:ilvl w:val="0"/>
          <w:numId w:val="17"/>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服务主体应完整建立被服务对象的档案。档案应包括但不限于：服务对象的姓名、性别、年龄、健康状况、服务需求及联系人等有关资料。</w:t>
      </w:r>
      <w:r/>
    </w:p>
    <w:p>
      <w:pPr>
        <w:numPr>
          <w:ilvl w:val="0"/>
          <w:numId w:val="17"/>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服务主体对服务对象的服务需求应定期进行调查、评估，及时调整、更新、拓展服务项目，提高服务运营的可行性和可持续性。</w:t>
      </w:r>
      <w:r/>
    </w:p>
    <w:p>
      <w:pPr>
        <w:numPr>
          <w:ilvl w:val="0"/>
          <w:numId w:val="17"/>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服务主体应与服务对象签订居家上门服务协议，协议要包含上门服务内容、服务要求、服务价格等。</w:t>
      </w:r>
      <w:r/>
    </w:p>
    <w:p>
      <w:pPr>
        <w:numPr>
          <w:ilvl w:val="0"/>
          <w:numId w:val="17"/>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护人员上门服务类服务必须巡诊服务（必选项）+医护人员上门服务类中的其他1项，服务满1小时服务为一次有效服务；护理人员上门服务类一次可选三项，服务满1.5小时为一次有效服务；护工上门服务类一次可选四项服务，满1.5小时为一次有效服务；家政上门服务类一次可选四项服务，满1.5小时为一次有效服务。以上四类服务同一个老人不得同时预约到一天或同一天享受服务。</w:t>
      </w:r>
      <w:r/>
    </w:p>
    <w:p>
      <w:pPr>
        <w:numPr>
          <w:ilvl w:val="0"/>
          <w:numId w:val="17"/>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每个老人的服务累计不低于30次，不高于35次；如遇服务对象在资金结算前死亡的，则该对象的养老床位建设补助和居家上门服务补助不予结算，中标单位可向采购方提出替换申请并及时做好服务工作。</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5、人员配备要求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5.1、项目专职管理人员不少于1人，专职服务团队不少于6人。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5.2、服务人员须持有健康证上岗，供应商应定期对服务人员进行职业道德、业务能力、服务规范、突发事件应急响应等方面的培训。</w:t>
      </w:r>
      <w:r/>
    </w:p>
    <w:p>
      <w:pPr>
        <w:ind w:left="425"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5.3、服务人员应统一着装，佩戴居家养老服务标识和工作牌。</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6、制度建设要求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6.1、建立服务人员的工作职责、服务管理制度、服务质量跟踪回访制度、安全管理制度及突发事件应急预案处理方案等。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6.2、服务承诺、服务流程等与服务对象相关的规章制度应上墙公示。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7、评估要求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7.1、组织实施和风险控制要求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提供本项目中各阶段目标的实施方案，在项目开展前，供应商需提供实施项目的人员组织架构，各阶段实施进度和预期成效。项目实施过程中，对各类活动要做好前期安全防范工作，做好突发事件风险应急预案，活动期间确保服务对象人身及环境安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7.2、从业经验与专业能力要求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供应商应确保在项目实施团队成员中具备居家养老服务行业的相关从业经验，可以有效的组织开展，完成服务内容。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7.3、项目完成后供应商应提供符合审计所需的证明材料、档案资料。</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8、期限要求</w:t>
      </w:r>
      <w:r/>
    </w:p>
    <w:p>
      <w:pPr>
        <w:ind w:left="505"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8.1、家庭养老床位：2026年1月30日前完成项目建设。</w:t>
      </w:r>
      <w:r/>
    </w:p>
    <w:p>
      <w:pPr>
        <w:ind w:left="505"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8.2、居家养老上门服务：服务至2026年1月底。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9、售后服务要求</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9.1、本项目的质量保证期（简称“质保期”）：自项目验收交付之日起总体项目提供不少于2年的质量质保期。因产品设施质量问题产生的一切责任均由供应商承担。</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9.2、设备系统发生故障，供应商应及时响应并在24小时内完成修复。家庭养老床位改造设施损毁无法修复的，供应商将提供与原设施相同的或不低于原设施性能的产品，并负责改造安装，保证用户及时正常使用。</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9.3、供应商需签署保密协议，不允许数据泄密或用于商业目的。在服务过程中不允许进行各类商业目的的推销活动。供应商在服务过程中产生的纠纷问题由其独立承担并处理，且不得引起社会不良舆论。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10、其他要求</w:t>
      </w:r>
      <w:r/>
    </w:p>
    <w:p>
      <w:pPr>
        <w:ind w:left="0" w:right="0" w:firstLine="0"/>
        <w:spacing w:before="0" w:after="0" w:line="49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10.1、供应商须保证实际服务金额不得超过老人享受的居家养老上门服务补助标准，如超过该老人的居家养老上门服务补助标准，则按补贴标准支付。</w:t>
      </w:r>
      <w:r>
        <w:rPr>
          <w:rFonts w:ascii="Times New Roman" w:hAnsi="Times New Roman" w:eastAsia="Times New Roman" w:cs="Times New Roman"/>
          <w:sz w:val="21"/>
        </w:rPr>
      </w:r>
      <w:r/>
    </w:p>
    <w:p>
      <w:pPr>
        <w:ind w:left="0" w:right="0" w:firstLine="0"/>
        <w:spacing w:before="0" w:after="0" w:line="49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10.2、供应商须核对服务对象实际补贴金额，确保上传的数据的真实性、准确性。</w:t>
      </w:r>
      <w:r>
        <w:rPr>
          <w:rFonts w:ascii="Times New Roman" w:hAnsi="Times New Roman" w:eastAsia="Times New Roman" w:cs="Times New Roman"/>
          <w:sz w:val="21"/>
        </w:rPr>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10.3、供应商需选择同类产品中等及以上具有一定知名度的正规品牌，供应商投标时需提供本项目改造所涉及到的设施设备详细清单以及所用产品品牌、详细规格型号、产地等信息。若改造清单中所提供的品牌无任何知名度或品质无法达到实际使用需求，采购方有权要求供应商更换品牌，并不改变价格。</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10.4、改造设备如涉及医疗器械，如供应商不具备相关医疗资质，则需委托具有相应医疗资质的单位进行相关活动。</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10.5、供应商须在完成安装后指导老年人熟悉新设施的使用方法。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10.6、供应商须按采购方要求配合做好该项目相关信息录入工作。</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10.7、项目完成后每一户制作改造二维码（材质根据采购方要求）并粘贴，一户一码，保证扫描后能直接显示每户的基本情况、建设清单、建设前后对比照片、建设效果等。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供应商要保证所有提升工程涉及的产品、服务质量。采购方将不定期抽检，如发现质量不合格或进货渠道有问题或因质量问题造成损失等情形的，采购方将警告一次，情节严重或发生第二次的，采购方有权单方面无责终止合同，没收履约保证金，供应商自行承担一切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合同签订前须配备具有相关资质的工作人员及施工团队，如发现不符合情形的，采购方将警告一次，情节严重或发生第二次的，采购方有权单方面无责终止合同，没收履约保证金，供应商自行承担一切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10.9、接受服务的经济困难老年人家庭应在家中适当位置张贴“彩票公益金资助-中国福利彩票和中国体育彩票2025年居家和社区基本养老服务提升行动项目”标识，供应商在服务工程中，应做好宣传工作。</w:t>
      </w:r>
      <w:r/>
    </w:p>
    <w:p>
      <w:pPr>
        <w:ind w:left="505"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05"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第五章  评审方法和评审标准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评标办法采用综合评分法。评标结果按评审后得分由高到低顺序排列。得分相同的，按投标报价由低到高顺序排列。得分且投标报价相同的，由评标委员会组织通过抽签的方式确定中标候选人的排序。投标文件满足采购文件全部实质性要求，且按照评审因素的量化指标评审得分最高的投标人为排名第一的中标候选人，本项目选取1名中标候选人。</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（1）本项目对残疾人福利性单位视同小型、微型企业，给予20%的价格扣除，用扣除后的价格参与评审。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（1）本项目对监狱和戒毒企业（简称监狱企业）视同小型、微型企业，给予20%的价格扣除，用扣除后的价格参与评审。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参加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6、联合体各方均为小型、微型企业（残疾人福利单位、监狱企业）的，联合体享受20%价格扣除，用扣除后的价格参与评审。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206"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政府采购异常低价审查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 的，即投标（响应）报价&lt;采购项目预算×50%；</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 的，即投标（响应）报价&lt;采购项目最高限价×45%；</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本项目评分总分值为100分。</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2"/>
        <w:gridCol w:w="7004"/>
        <w:gridCol w:w="809"/>
      </w:tblGrid>
      <w:tr>
        <w:trPr>
          <w:trHeight w:val="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招标文件要求且投标价格最低的投标报价为评标基准价，报价得分按照下列公式计算：投标报价得分=（评标基准价/投标报价）×20，结果保留两位小数。（有效投标报价为未被评标委员会判定为无效标的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1、家庭床位建设：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投标人2022年1月以来（以合同签订时间为准）承担过类似项目业绩的，每提供一个得1分，最高得2分，投标时须提供项目业绩合同彩色扫描件，未提供或提供不全不得分。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注：上述类似项目业绩是指投标人所提供的业绩，需是与本项目服务内容相关的业绩。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2、居家养老上门服务：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投标人2022年1月以来（以合同签订时间为准）承担过类似项目业绩的，每提供一个得1分，最高得2分，投标时须提供项目业绩合同彩色扫描件，未提供或提供不全不得分。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注：上述类似项目业绩是指投标人所提供的业绩，需是与本项目服务内容相关的业绩。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4分</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企业荣誉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获得过区县级相关机构颁发与本项目相关荣誉的得0.5分，获得过市级相关机构颁发与本项目相关荣誉的得1分，获得过省级及以上相关机构颁发与本项目相关荣誉的得2分，本项最高得2分。投标时需提供荣誉证明材料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注：与本项目相关荣誉包含家庭床位建设、适老化改造、居家养老等。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1、对本项目需求理解（10分）。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的总体理解把握准确，包括家庭养老床位建设内容、建设要求、改造标准；居家养老上门服务标准、服务内容、服务要求等方面。以上内容完整的得10.00分，方案内容存在缺陷的得6.00分(缺陷是指不适用于本项目，仅有框架或标题)，不提供或提供不全的得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2、整体服务方案与技术路线（10分）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本项目服务内容，编制整体服务方案与技术路线，包括家庭养老床位建设、居家养老上门服务等方面。以上内容完整的得10.00分，方案内容存在缺陷的得6.00分(缺陷是指不适用于本项目，仅有框架或标题)，不提供或提供不全的得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3、投标人服务实施过程中安全保障方案和措施（11分）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服务实施过程中安全保障方案和措施（含安全责任制度、以及安装过程对老年人家庭环境的保护），以上内容完整的得11.00分，内容存在缺陷的得7.00分(缺陷是指不适用于本项目，仅有框架或标题)，不提供或提供不全的得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4、工作重点和难点分析及应对措施（11分）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针对本项目工作重点和难点分析及应对措施、合理化建议，包括分析内容、应对措施和合理化建议等响应情况，以上内容完整的得11.00分，内容存在缺陷的得7.00分(缺陷是指不适用于本项目，仅有框架或标题)，不提供或提供不全的得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5、项目团队管理方案（10分）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项目团队管理方案（含主要负责人工作职责、现场负责人工作职责、项目结算人员配合安排、专业技术人员安排），以上内容完整的得10.00分，内容存在缺陷的得6.00分(缺陷是指不适用于本项目，仅有框架或标题)，不提供或提供不全的得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6、投标人提供的验收方案和措施（10分）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投标人提供验收方案和措施（含人员配合、验收规划），以上内容完整的得10.00分，内容存在缺陷的得6.00分(缺陷是指不适用于本项目，仅有框架或标题)，不提供或提供不全的得0分。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7、售后服务方案（10分）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投标人提供售后服务方案（含备品备件的安排计划、上门售后计划），以上内容完整的得10.00分，内容存在缺陷的得6.00分(缺陷是指不适用于本项目，仅有框架或标题)，不提供或提供不全的得0分。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71分</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诚信投标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投标人提交签署并盖章《盐城市大丰区政府招标采购供应商承诺书》原件扫描件的得2分；没有提供的不得分。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w:t>
            </w:r>
            <w:r/>
          </w:p>
        </w:tc>
      </w:tr>
    </w:tbl>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第六章  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72"/>
        </w:rPr>
        <w:t xml:space="preserve">投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 目 名 称：</w:t>
      </w:r>
      <w:r>
        <w:rPr>
          <w:rFonts w:ascii="SimSun" w:hAnsi="SimSun" w:eastAsia="SimSun" w:cs="SimSun"/>
          <w:color w:val="000000"/>
          <w:sz w:val="36"/>
          <w:u w:val="single"/>
        </w:rPr>
        <w:t xml:space="preserve">                  </w:t>
      </w:r>
      <w:r/>
    </w:p>
    <w:p>
      <w:pPr>
        <w:ind w:left="0" w:right="0" w:firstLine="1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招 标 编 号：</w:t>
      </w:r>
      <w:r>
        <w:rPr>
          <w:rFonts w:ascii="SimSun" w:hAnsi="SimSun" w:eastAsia="SimSun" w:cs="SimSun"/>
          <w:color w:val="000000"/>
          <w:sz w:val="36"/>
          <w:u w:val="single"/>
        </w:rPr>
        <w:t xml:space="preserve">                  </w:t>
      </w:r>
      <w:r/>
    </w:p>
    <w:p>
      <w:pPr>
        <w:ind w:left="0" w:right="0" w:firstLine="1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供应商名称：</w:t>
      </w:r>
      <w:r>
        <w:rPr>
          <w:rFonts w:ascii="SimSun" w:hAnsi="SimSun" w:eastAsia="SimSun" w:cs="SimSun"/>
          <w:color w:val="000000"/>
          <w:sz w:val="36"/>
          <w:u w:val="single"/>
        </w:rPr>
        <w:t xml:space="preserve">（加盖CA电子公章）</w:t>
      </w:r>
      <w:r/>
    </w:p>
    <w:p>
      <w:pPr>
        <w:ind w:left="0" w:right="0" w:firstLine="1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日      期 ：</w:t>
      </w:r>
      <w:r>
        <w:rPr>
          <w:rFonts w:ascii="SimSun" w:hAnsi="SimSun" w:eastAsia="SimSun" w:cs="SimSun"/>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53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二、上一年度的财务状况报表（至少提供资产负债表、利润表、现金流量表，</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投标人成立不满一年无需提供）</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三、具备履行合同所必需的设备和专业技术能力的书面声明</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六、特定资格要求的证明文件（如果本项目设置特定资格要求，则需要提供）</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八、投标函</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十一、联合体协议（参考格式）</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十二、投标分项报价表</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十五、人员配备承诺函</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十五、开标一览表</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十六、技术方案等</w:t>
      </w:r>
      <w:r/>
    </w:p>
    <w:p>
      <w:pPr>
        <w:ind w:left="0" w:right="0" w:firstLine="482"/>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十七、盐城市政府采购事前信用承诺书、盐城市大丰区政府招标采购供应商承诺书</w:t>
      </w:r>
      <w:r/>
    </w:p>
    <w:p>
      <w:pPr>
        <w:ind w:left="0" w:right="0" w:firstLine="480"/>
        <w:jc w:val="both"/>
        <w:spacing w:before="240" w:after="240"/>
        <w:rPr>
          <w:u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none"/>
        </w:rPr>
        <w:t xml:space="preserve"> </w:t>
      </w:r>
      <w:r>
        <w:rPr>
          <w:u w:val="none"/>
        </w:rPr>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none"/>
        </w:rPr>
        <w:t xml:space="preserve"> </w:t>
      </w:r>
      <w:r/>
    </w:p>
    <w:p>
      <w:pPr>
        <w:ind w:left="0" w:right="0" w:firstLine="480"/>
        <w:jc w:val="both"/>
        <w:spacing w:before="240" w:after="240"/>
        <w:rPr>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none"/>
        </w:rPr>
        <w:t xml:space="preserve"> </w:t>
      </w:r>
      <w:r>
        <w:rPr>
          <w:u w:val="single"/>
        </w:rPr>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二、上一年度的财务状况报表（至少提供资产负债表、利润表、现金流量表，投标人成立不满一年无需提供）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30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投标申请人医疗机构执业许可证扫描件</w:t>
      </w:r>
      <w:r/>
    </w:p>
    <w:p>
      <w:pPr>
        <w:ind w:left="0" w:right="0" w:firstLine="640"/>
        <w:jc w:val="center"/>
        <w:spacing w:before="240" w:after="240"/>
        <w:rPr>
          <w:u w:val="non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none"/>
        </w:rPr>
        <w:t xml:space="preserve"> </w:t>
      </w:r>
      <w:r>
        <w:rPr>
          <w:u w:val="none"/>
        </w:rPr>
      </w:r>
      <w:r/>
    </w:p>
    <w:p>
      <w:pPr>
        <w:ind w:left="0" w:right="0" w:firstLine="640"/>
        <w:jc w:val="center"/>
        <w:spacing w:before="240" w:after="240"/>
        <w:rPr>
          <w:u w:val="non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none"/>
        </w:rPr>
        <w:t xml:space="preserve"> </w:t>
      </w:r>
      <w:r>
        <w:rPr>
          <w:u w:val="none"/>
        </w:rPr>
      </w:r>
      <w:r/>
    </w:p>
    <w:p>
      <w:pPr>
        <w:ind w:left="0" w:right="0" w:firstLine="640"/>
        <w:jc w:val="center"/>
        <w:spacing w:before="240" w:after="240"/>
        <w:rPr>
          <w:u w:val="non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none"/>
        </w:rPr>
        <w:t xml:space="preserve"> </w:t>
      </w:r>
      <w:r>
        <w:rPr>
          <w:u w:val="none"/>
        </w:rPr>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i/>
          <w:color w:val="000000"/>
          <w:sz w:val="24"/>
          <w:u w:val="single"/>
        </w:rPr>
        <w:t xml:space="preserve">该处填写项目编号</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72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center"/>
        <w:spacing w:before="260" w:after="26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八、投标函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盐城市大丰区民政局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i/>
          <w:color w:val="000000"/>
          <w:sz w:val="24"/>
          <w:u w:val="single"/>
        </w:rPr>
        <w:t xml:space="preserve">该处填写项目编号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7.与本投标有关的正式通讯地址为：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 开 户 行：</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九、小微企业声明函（服务）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本公司（联合体）郑重声明，根据《政府采购促进中小企业发展管理办法》(财库[2020]46号)的规定，本公司（联合体）参加采购人组织的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180" w:firstLine="36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7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项目采购活动提供本单位制造的货物，或者提供其他残疾人福利性单位制造的货物（不包括使用非残疾人福利性单位注册商标的货物）。</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备注：1、供应商如不提供此声明函，价格将不做相应扣除（如项目全面面向中小企业，则资格审查不通过）。2、中标供应商为残疾人福利单位的，此声明函将随中标结果同时公告，接受社会监督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十一、联合体协议（参考格式）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自愿组成联合体，参加盐城市政府采购中心组织的采购编号为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项目（分包号：**）的政府采购活动，我联合体指定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十二、投标分项报价表</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3"/>
        <w:gridCol w:w="1533"/>
        <w:gridCol w:w="2953"/>
        <w:gridCol w:w="3634"/>
      </w:tblGrid>
      <w:tr>
        <w:trPr>
          <w:trHeight w:val="7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家庭床位建设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投标优惠率：</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该处投标优惠率为家庭床位建设投标费率，家庭养老床位结算单价为本项目招标文件设定的家庭养老床位分项限价×供应商投标费率。</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居家养老上门服务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居家养老上门服务价格60元/人次为固定价，不可竞争。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十三、技术要求响应及偏离表 </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2523"/>
        <w:gridCol w:w="2149"/>
        <w:gridCol w:w="1076"/>
        <w:gridCol w:w="967"/>
      </w:tblGrid>
      <w:tr>
        <w:trPr>
          <w:trHeight w:val="9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Arial" w:hAnsi="Arial" w:eastAsia="Arial" w:cs="Arial"/>
          <w:color w:val="000000"/>
          <w:sz w:val="24"/>
        </w:rPr>
        <w:t xml:space="preserve"> </w:t>
      </w:r>
      <w:r>
        <w:rPr>
          <w:rFonts w:ascii="SimSun" w:hAnsi="SimSun" w:eastAsia="SimSun" w:cs="SimSun"/>
          <w:color w:val="000000"/>
          <w:sz w:val="24"/>
        </w:rPr>
        <w:t xml:space="preserve">行数不够，可自行添加。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十四、商务要求响应及偏离表 </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4"/>
        <w:gridCol w:w="2051"/>
        <w:gridCol w:w="2185"/>
        <w:gridCol w:w="1077"/>
        <w:gridCol w:w="13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Arial" w:hAnsi="Arial" w:eastAsia="Arial" w:cs="Arial"/>
          <w:color w:val="000000"/>
          <w:sz w:val="24"/>
        </w:rPr>
        <w:t xml:space="preserve"> </w:t>
      </w:r>
      <w:r>
        <w:rPr>
          <w:rFonts w:ascii="SimSun" w:hAnsi="SimSun" w:eastAsia="SimSun" w:cs="SimSun"/>
          <w:color w:val="000000"/>
          <w:sz w:val="24"/>
        </w:rPr>
        <w:t xml:space="preserve">行数不够，可自行添加。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十五、人员配备承诺函</w:t>
      </w:r>
      <w:r/>
    </w:p>
    <w:p>
      <w:pPr>
        <w:ind w:left="0" w:right="0" w:firstLine="0"/>
        <w:spacing w:before="0" w:after="0" w:line="47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r>
      <w:r>
        <w:rPr>
          <w:rFonts w:ascii="SimSun" w:hAnsi="SimSun" w:eastAsia="SimSun" w:cs="SimSun"/>
          <w:color w:val="000000"/>
          <w:sz w:val="30"/>
          <w:highlight w:val="none"/>
        </w:rPr>
      </w:r>
      <w:r/>
    </w:p>
    <w:p>
      <w:pPr>
        <w:ind w:left="0" w:right="0" w:firstLine="0"/>
        <w:spacing w:before="0" w:after="0" w:line="479" w:lineRule="atLeast"/>
        <w:rPr>
          <w:rFonts w:ascii="SimSun" w:hAnsi="SimSun" w:eastAsia="SimSun" w:cs="SimSun"/>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致：盐城市大丰区民政局</w:t>
      </w:r>
      <w:r/>
    </w:p>
    <w:p>
      <w:pPr>
        <w:ind w:left="0" w:right="0" w:firstLine="0"/>
        <w:spacing w:before="0" w:after="0" w:line="113" w:lineRule="atLeast"/>
        <w:rPr>
          <w:rFonts w:ascii="SimSun" w:hAnsi="SimSun" w:eastAsia="SimSun" w:cs="SimSun"/>
          <w:color w:val="000000"/>
          <w:sz w:val="30"/>
          <w:szCs w:val="3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rPr>
          <w:rFonts w:ascii="SimSun" w:hAnsi="SimSun" w:eastAsia="SimSun" w:cs="SimSun"/>
          <w:color w:val="000000"/>
          <w:sz w:val="30"/>
        </w:rPr>
        <w:t xml:space="preserve"> </w:t>
      </w:r>
      <w:r>
        <w:rPr>
          <w:rFonts w:ascii="Times New Roman" w:hAnsi="Times New Roman" w:eastAsia="Times New Roman" w:cs="Times New Roman"/>
          <w:sz w:val="21"/>
        </w:rPr>
      </w:r>
      <w:r/>
    </w:p>
    <w:p>
      <w:pPr>
        <w:ind w:left="0" w:right="0" w:firstLine="0"/>
        <w:spacing w:before="0" w:after="0" w:line="113"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我单位将严格按照本项目采购需求，配备医生、护士、初级及以上技能等级养老护理员、康复医师、康复治疗师、经培训合格护工、助老员提供本次居家养老上门服务。</w:t>
      </w:r>
      <w:r/>
    </w:p>
    <w:p>
      <w:pPr>
        <w:ind w:left="0" w:right="1559" w:firstLine="482"/>
        <w:jc w:val="center"/>
        <w:spacing w:before="100" w:after="100" w:line="499"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供应商全称（公章）：</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480"/>
        <w:jc w:val="both"/>
        <w:spacing w:before="240" w:after="24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480"/>
        <w:jc w:val="both"/>
        <w:spacing w:before="240" w:after="24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480"/>
        <w:jc w:val="both"/>
        <w:spacing w:before="240" w:after="24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480"/>
        <w:jc w:val="both"/>
        <w:spacing w:before="240" w:after="24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480"/>
        <w:jc w:val="both"/>
        <w:spacing w:before="240" w:after="24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r>
      <w:r>
        <w:rPr>
          <w:rFonts w:ascii="Times New Roman" w:hAnsi="Times New Roman" w:eastAsia="Times New Roman" w:cs="Times New Roman"/>
          <w:color w:val="000000"/>
          <w:sz w:val="20"/>
          <w:highlight w:val="none"/>
        </w:rPr>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i/>
          <w:color w:val="000000"/>
          <w:sz w:val="32"/>
          <w:u w:val="single"/>
        </w:rPr>
        <w:t xml:space="preserve">十五、开标一览表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w:t>
      </w:r>
      <w:r>
        <w:rPr>
          <w:rFonts w:ascii="Arial" w:hAnsi="Arial" w:eastAsia="Arial" w:cs="Arial"/>
          <w:color w:val="000000"/>
          <w:sz w:val="24"/>
        </w:rPr>
        <w:t xml:space="preserve">CA</w:t>
      </w:r>
      <w:r>
        <w:rPr>
          <w:rFonts w:ascii="SimSun" w:hAnsi="SimSun" w:eastAsia="SimSun" w:cs="SimSun"/>
          <w:color w:val="000000"/>
          <w:sz w:val="24"/>
        </w:rPr>
        <w:t xml:space="preserve">电子签章）：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Arial" w:hAnsi="Arial" w:eastAsia="Arial" w:cs="Arial"/>
          <w:color w:val="000000"/>
          <w:sz w:val="24"/>
        </w:rPr>
        <w:t xml:space="preserve">                                  </w:t>
      </w:r>
      <w:r>
        <w:rPr>
          <w:rFonts w:ascii="SimSun" w:hAnsi="SimSun" w:eastAsia="SimSun" w:cs="SimSun"/>
          <w:color w:val="000000"/>
          <w:sz w:val="24"/>
        </w:rPr>
        <w:t xml:space="preserve">分包号：</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29"/>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投标优惠率</w:t>
            </w:r>
            <w:r/>
          </w:p>
        </w:tc>
      </w:tr>
      <w:tr>
        <w:trPr>
          <w:trHeight w:val="6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Arial" w:hAnsi="Arial" w:eastAsia="Arial" w:cs="Arial"/>
                <w:color w:val="000000"/>
                <w:sz w:val="24"/>
              </w:rPr>
              <w:t xml:space="preserve">             </w:t>
            </w:r>
            <w:r>
              <w:rPr>
                <w:rFonts w:ascii="SimSun" w:hAnsi="SimSun" w:eastAsia="SimSun" w:cs="SimSun"/>
                <w:color w:val="000000"/>
                <w:sz w:val="24"/>
              </w:rPr>
              <w:t xml:space="preserve">（</w:t>
            </w:r>
            <w:r>
              <w:rPr>
                <w:rFonts w:ascii="Arial" w:hAnsi="Arial" w:eastAsia="Arial" w:cs="Arial"/>
                <w:color w:val="000000"/>
                <w:sz w:val="24"/>
              </w:rPr>
              <w:t xml:space="preserve">%</w:t>
            </w:r>
            <w:r>
              <w:rPr>
                <w:rFonts w:ascii="SimSun" w:hAnsi="SimSun" w:eastAsia="SimSun" w:cs="SimSun"/>
                <w:color w:val="000000"/>
                <w:sz w:val="24"/>
              </w:rPr>
              <w:t xml:space="preserve">）</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日期：</w:t>
      </w:r>
      <w:r>
        <w:rPr>
          <w:rFonts w:ascii="Arial" w:hAnsi="Arial" w:eastAsia="Arial" w:cs="Arial"/>
          <w:color w:val="000000"/>
          <w:sz w:val="24"/>
        </w:rPr>
        <w:t xml:space="preserve">  </w:t>
      </w:r>
      <w:r>
        <w:rPr>
          <w:rFonts w:ascii="Arial" w:hAnsi="Arial" w:eastAsia="Arial" w:cs="Arial"/>
          <w:color w:val="000000"/>
          <w:sz w:val="24"/>
          <w:u w:val="single"/>
        </w:rPr>
        <w:t xml:space="preserve">          </w:t>
      </w:r>
      <w:r>
        <w:rPr>
          <w:rFonts w:ascii="SimSun" w:hAnsi="SimSun" w:eastAsia="SimSun" w:cs="SimSun"/>
          <w:color w:val="000000"/>
          <w:sz w:val="24"/>
        </w:rPr>
        <w:t xml:space="preserve">年</w:t>
      </w:r>
      <w:r>
        <w:rPr>
          <w:rFonts w:ascii="Arial" w:hAnsi="Arial" w:eastAsia="Arial" w:cs="Arial"/>
          <w:color w:val="000000"/>
          <w:sz w:val="24"/>
          <w:u w:val="single"/>
        </w:rPr>
        <w:t xml:space="preserve">   </w:t>
      </w:r>
      <w:r>
        <w:rPr>
          <w:rFonts w:ascii="SimSun" w:hAnsi="SimSun" w:eastAsia="SimSun" w:cs="SimSun"/>
          <w:color w:val="000000"/>
          <w:sz w:val="24"/>
        </w:rPr>
        <w:t xml:space="preserve">月</w:t>
      </w:r>
      <w:r>
        <w:rPr>
          <w:rFonts w:ascii="Arial" w:hAnsi="Arial" w:eastAsia="Arial" w:cs="Arial"/>
          <w:color w:val="000000"/>
          <w:sz w:val="24"/>
          <w:u w:val="single"/>
        </w:rPr>
        <w:t xml:space="preserve">   </w:t>
      </w:r>
      <w:r>
        <w:rPr>
          <w:rFonts w:ascii="SimSun" w:hAnsi="SimSun" w:eastAsia="SimSun" w:cs="SimSun"/>
          <w:color w:val="000000"/>
          <w:sz w:val="24"/>
        </w:rPr>
        <w:t xml:space="preserve">日</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注：1、该处投标优惠率为家庭床位建设投标费率，家庭养老床位结算单价为本项目招标文件设定的家庭养老床位分项限价×供应商投标费率。</w:t>
      </w:r>
      <w:r/>
    </w:p>
    <w:p>
      <w:pPr>
        <w:ind w:left="0" w:right="0" w:firstLine="64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2、居家上门服务价格60元/人次为固定价，不可竞争。</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十六、技术方案等</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十七、</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盐城市政府采购事前信用承诺书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50" w:after="5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50" w:after="5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50" w:after="5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盐城市大丰区政府招标采购供应商承诺书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为营造公开、公平、公正、诚实守信的政府招标采购交易环境，树立诚信守法的投标人形象，本单位参加政府招标采购项目</w:t>
      </w:r>
      <w:r>
        <w:rPr>
          <w:rFonts w:ascii="SimSun" w:hAnsi="SimSun" w:eastAsia="SimSun" w:cs="SimSun"/>
          <w:color w:val="000000"/>
          <w:sz w:val="24"/>
          <w:u w:val="single"/>
        </w:rPr>
        <w:t xml:space="preserve">：           </w:t>
      </w:r>
      <w:r>
        <w:rPr>
          <w:rFonts w:ascii="SimSun" w:hAnsi="SimSun" w:eastAsia="SimSun" w:cs="SimSun"/>
          <w:color w:val="000000"/>
          <w:sz w:val="24"/>
        </w:rPr>
        <w:t xml:space="preserve">的招标采购活动，本人代表本单位作出以下承诺：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经理、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（三）严格依照国家和省、市关于政府招标采购的法律、法规、规章、规范性文件，参加政府招标采购的投标活动；积极履行社会责任，促进廉政建设；</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（四）严格遵守即时信息公示规定，及时维护和更新盐城市政府采购网、公共资源交易平台中与本单位相关的信息；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（八）本人已认真阅读了上述承诺，并向本单位员工作了宣传教育。</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单位名称（盖章）：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              年    月    日</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2"/>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erReference w:type="default" r:id="rId9"/>
      <w:footerReference w:type="first" r:id="rId10"/>
      <w:footnotePr/>
      <w:endnotePr/>
      <w:type w:val="continuous"/>
      <w:pgSz w:w="11906" w:h="16838" w:orient="portrait"/>
      <w:pgMar w:top="924" w:right="1259" w:bottom="958" w:left="1196" w:header="79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imSun">
    <w:panose1 w:val="02010600030101010101"/>
  </w:font>
  <w:font w:name="Symbol">
    <w:panose1 w:val="05050102010706020507"/>
  </w:font>
  <w:font w:name="Wingdings">
    <w:panose1 w:val="050000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微软雅黑">
    <w:panose1 w:val="020B0503020204020204"/>
  </w:font>
  <w:font w:name="Calibri">
    <w:panose1 w:val="020F0502020204030204"/>
  </w:font>
  <w:font w:name="Courier New">
    <w:panose1 w:val="02070309020205020404"/>
  </w:font>
  <w:font w:name="方正黑体_GBK">
    <w:panose1 w:val="020B0503020202020204"/>
  </w:font>
  <w:font w:name="Cambria">
    <w:panose1 w:val="020405030504060302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fldSimple w:instr="PAGE \* MERGEFORMAT">
      <w:r>
        <w:t xml:space="preserve">1</w:t>
      </w:r>
    </w:fldSimple>
    <w:r/>
    <w:r/>
  </w:p>
  <w:p>
    <w:pPr>
      <w:pStyle w:val="9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lear" w:pos="4153" w:leader="none"/>
        <w:tab w:val="center" w:pos="472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8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48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5"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pStyle w:val="949"/>
      <w:isLgl w:val="false"/>
      <w:suff w:val="tab"/>
      <w:lvlText w:val="第%1章"/>
      <w:lvlJc w:val="left"/>
      <w:pPr>
        <w:ind w:left="9351" w:hanging="420"/>
      </w:pPr>
      <w:rPr>
        <w:rFonts w:hint="eastAsia" w:ascii="黑体" w:eastAsia="黑体"/>
        <w:b w:val="0"/>
        <w:sz w:val="36"/>
        <w:lang w:val="en-US"/>
      </w:rPr>
    </w:lvl>
    <w:lvl w:ilvl="1">
      <w:start w:val="1"/>
      <w:numFmt w:val="decimal"/>
      <w:pStyle w:val="948"/>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49"/>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40"/>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tabs>
          <w:tab w:val="left" w:pos="425" w:leader="none"/>
        </w:tabs>
      </w:pPr>
      <w:rPr>
        <w:rFonts w:hint="default" w:ascii="Arial" w:hAnsi="Arial" w:cs="Arial"/>
      </w:rPr>
    </w:lvl>
    <w:lvl w:ilvl="1">
      <w:start w:val="1"/>
      <w:numFmt w:val="decimal"/>
      <w:isLgl w:val="false"/>
      <w:suff w:val="tab"/>
      <w:lvlText w:val="%1.%2"/>
      <w:lvlJc w:val="left"/>
      <w:pPr>
        <w:ind w:left="992" w:hanging="567"/>
        <w:tabs>
          <w:tab w:val="left" w:pos="992" w:leader="none"/>
        </w:tabs>
      </w:pPr>
      <w:rPr>
        <w:rFonts w:hint="default" w:ascii="Arial" w:hAnsi="Arial" w:cs="Arial"/>
      </w:rPr>
    </w:lvl>
    <w:lvl w:ilvl="2">
      <w:start w:val="1"/>
      <w:numFmt w:val="decimal"/>
      <w:pStyle w:val="945"/>
      <w:isLgl w:val="false"/>
      <w:suff w:val="tab"/>
      <w:lvlText w:val="%1.%2.%3"/>
      <w:lvlJc w:val="left"/>
      <w:pPr>
        <w:ind w:left="1418" w:hanging="567"/>
        <w:tabs>
          <w:tab w:val="left" w:pos="1418" w:leader="none"/>
        </w:tabs>
      </w:pPr>
      <w:rPr>
        <w:rFonts w:hint="default" w:ascii="Arial" w:hAnsi="Arial" w:cs="Arial"/>
      </w:rPr>
    </w:lvl>
    <w:lvl w:ilvl="3">
      <w:start w:val="1"/>
      <w:numFmt w:val="decimal"/>
      <w:pStyle w:val="970"/>
      <w:isLgl w:val="false"/>
      <w:suff w:val="tab"/>
      <w:lvlText w:val="%1.%2.%3.%4"/>
      <w:lvlJc w:val="left"/>
      <w:pPr>
        <w:ind w:left="1984" w:hanging="1984"/>
        <w:tabs>
          <w:tab w:val="left" w:pos="2356" w:leader="none"/>
        </w:tabs>
      </w:pPr>
      <w:rPr>
        <w:rFonts w:hint="default" w:ascii="Arial" w:hAnsi="Arial" w:cs="Arial"/>
      </w:rPr>
    </w:lvl>
    <w:lvl w:ilvl="4">
      <w:start w:val="1"/>
      <w:numFmt w:val="decimal"/>
      <w:isLgl w:val="false"/>
      <w:suff w:val="tab"/>
      <w:lvlText w:val="%1.%2.%3.%4.%5"/>
      <w:lvlJc w:val="left"/>
      <w:pPr>
        <w:ind w:left="2551" w:hanging="2551"/>
        <w:tabs>
          <w:tab w:val="left" w:pos="2781" w:leader="none"/>
        </w:tabs>
      </w:pPr>
      <w:rPr>
        <w:rFonts w:hint="default" w:ascii="Arial" w:hAnsi="Arial" w:cs="Arial"/>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3991" w:leader="none"/>
        </w:tabs>
      </w:pPr>
      <w:rPr>
        <w:rFonts w:hint="eastAsia"/>
      </w:rPr>
    </w:lvl>
    <w:lvl w:ilvl="7">
      <w:start w:val="1"/>
      <w:numFmt w:val="decimal"/>
      <w:isLgl w:val="false"/>
      <w:suff w:val="tab"/>
      <w:lvlText w:val="%1.%2.%3.%4.%5.%6.%7.%8"/>
      <w:lvlJc w:val="left"/>
      <w:pPr>
        <w:ind w:left="4394" w:hanging="1418"/>
        <w:tabs>
          <w:tab w:val="left" w:pos="477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0"/>
  </w:num>
  <w:num w:numId="3">
    <w:abstractNumId w:val="5"/>
  </w:num>
  <w:num w:numId="4">
    <w:abstractNumId w:val="3"/>
  </w:num>
  <w:num w:numId="5">
    <w:abstractNumId w:val="1"/>
  </w:num>
  <w:num w:numId="6">
    <w:abstractNumId w:val="9"/>
  </w:num>
  <w:num w:numId="7">
    <w:abstractNumId w:val="12"/>
  </w:num>
  <w:num w:numId="8">
    <w:abstractNumId w:val="11"/>
  </w:num>
  <w:num w:numId="9">
    <w:abstractNumId w:val="0"/>
  </w:num>
  <w:num w:numId="10">
    <w:abstractNumId w:val="6"/>
  </w:num>
  <w:num w:numId="11">
    <w:abstractNumId w:val="2"/>
  </w:num>
  <w:num w:numId="12">
    <w:abstractNumId w:val="8"/>
  </w:num>
  <w:num w:numId="13">
    <w:abstractNumId w:val="4"/>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882"/>
    <w:link w:val="877"/>
    <w:uiPriority w:val="9"/>
    <w:rPr>
      <w:rFonts w:ascii="Arial" w:hAnsi="Arial" w:eastAsia="Arial" w:cs="Arial"/>
      <w:sz w:val="40"/>
      <w:szCs w:val="40"/>
    </w:rPr>
  </w:style>
  <w:style w:type="character" w:styleId="720">
    <w:name w:val="Heading 2 Char"/>
    <w:basedOn w:val="882"/>
    <w:link w:val="878"/>
    <w:uiPriority w:val="9"/>
    <w:rPr>
      <w:rFonts w:ascii="Arial" w:hAnsi="Arial" w:eastAsia="Arial" w:cs="Arial"/>
      <w:sz w:val="34"/>
    </w:rPr>
  </w:style>
  <w:style w:type="character" w:styleId="721">
    <w:name w:val="Heading 3 Char"/>
    <w:basedOn w:val="882"/>
    <w:link w:val="879"/>
    <w:uiPriority w:val="9"/>
    <w:rPr>
      <w:rFonts w:ascii="Arial" w:hAnsi="Arial" w:eastAsia="Arial" w:cs="Arial"/>
      <w:sz w:val="30"/>
      <w:szCs w:val="30"/>
    </w:rPr>
  </w:style>
  <w:style w:type="character" w:styleId="722">
    <w:name w:val="Heading 4 Char"/>
    <w:basedOn w:val="882"/>
    <w:link w:val="880"/>
    <w:uiPriority w:val="9"/>
    <w:rPr>
      <w:rFonts w:ascii="Arial" w:hAnsi="Arial" w:eastAsia="Arial" w:cs="Arial"/>
      <w:b/>
      <w:bCs/>
      <w:sz w:val="26"/>
      <w:szCs w:val="26"/>
    </w:rPr>
  </w:style>
  <w:style w:type="character" w:styleId="723">
    <w:name w:val="Heading 5 Char"/>
    <w:basedOn w:val="882"/>
    <w:link w:val="881"/>
    <w:uiPriority w:val="9"/>
    <w:rPr>
      <w:rFonts w:ascii="Arial" w:hAnsi="Arial" w:eastAsia="Arial" w:cs="Arial"/>
      <w:b/>
      <w:bCs/>
      <w:sz w:val="24"/>
      <w:szCs w:val="24"/>
    </w:rPr>
  </w:style>
  <w:style w:type="paragraph" w:styleId="724">
    <w:name w:val="Heading 6"/>
    <w:basedOn w:val="876"/>
    <w:next w:val="876"/>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basedOn w:val="882"/>
    <w:link w:val="724"/>
    <w:uiPriority w:val="9"/>
    <w:rPr>
      <w:rFonts w:ascii="Arial" w:hAnsi="Arial" w:eastAsia="Arial" w:cs="Arial"/>
      <w:b/>
      <w:bCs/>
      <w:sz w:val="22"/>
      <w:szCs w:val="22"/>
    </w:rPr>
  </w:style>
  <w:style w:type="paragraph" w:styleId="726">
    <w:name w:val="Heading 7"/>
    <w:basedOn w:val="876"/>
    <w:next w:val="876"/>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basedOn w:val="882"/>
    <w:link w:val="726"/>
    <w:uiPriority w:val="9"/>
    <w:rPr>
      <w:rFonts w:ascii="Arial" w:hAnsi="Arial" w:eastAsia="Arial" w:cs="Arial"/>
      <w:b/>
      <w:bCs/>
      <w:i/>
      <w:iCs/>
      <w:sz w:val="22"/>
      <w:szCs w:val="22"/>
    </w:rPr>
  </w:style>
  <w:style w:type="paragraph" w:styleId="728">
    <w:name w:val="Heading 8"/>
    <w:basedOn w:val="876"/>
    <w:next w:val="876"/>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basedOn w:val="882"/>
    <w:link w:val="728"/>
    <w:uiPriority w:val="9"/>
    <w:rPr>
      <w:rFonts w:ascii="Arial" w:hAnsi="Arial" w:eastAsia="Arial" w:cs="Arial"/>
      <w:i/>
      <w:iCs/>
      <w:sz w:val="22"/>
      <w:szCs w:val="22"/>
    </w:rPr>
  </w:style>
  <w:style w:type="paragraph" w:styleId="730">
    <w:name w:val="Heading 9"/>
    <w:basedOn w:val="876"/>
    <w:next w:val="876"/>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basedOn w:val="882"/>
    <w:link w:val="730"/>
    <w:uiPriority w:val="9"/>
    <w:rPr>
      <w:rFonts w:ascii="Arial" w:hAnsi="Arial" w:eastAsia="Arial" w:cs="Arial"/>
      <w:i/>
      <w:iCs/>
      <w:sz w:val="21"/>
      <w:szCs w:val="21"/>
    </w:rPr>
  </w:style>
  <w:style w:type="paragraph" w:styleId="732">
    <w:name w:val="No Spacing"/>
    <w:uiPriority w:val="1"/>
    <w:qFormat/>
    <w:pPr>
      <w:spacing w:before="0" w:after="0" w:line="240" w:lineRule="auto"/>
    </w:pPr>
  </w:style>
  <w:style w:type="paragraph" w:styleId="733">
    <w:name w:val="Title"/>
    <w:basedOn w:val="876"/>
    <w:next w:val="876"/>
    <w:link w:val="734"/>
    <w:uiPriority w:val="10"/>
    <w:qFormat/>
    <w:pPr>
      <w:contextualSpacing/>
      <w:spacing w:before="300" w:after="200"/>
    </w:pPr>
    <w:rPr>
      <w:sz w:val="48"/>
      <w:szCs w:val="48"/>
    </w:rPr>
  </w:style>
  <w:style w:type="character" w:styleId="734">
    <w:name w:val="Title Char"/>
    <w:basedOn w:val="882"/>
    <w:link w:val="733"/>
    <w:uiPriority w:val="10"/>
    <w:rPr>
      <w:sz w:val="48"/>
      <w:szCs w:val="48"/>
    </w:rPr>
  </w:style>
  <w:style w:type="paragraph" w:styleId="735">
    <w:name w:val="Subtitle"/>
    <w:basedOn w:val="876"/>
    <w:next w:val="876"/>
    <w:link w:val="736"/>
    <w:uiPriority w:val="11"/>
    <w:qFormat/>
    <w:pPr>
      <w:spacing w:before="200" w:after="200"/>
    </w:pPr>
    <w:rPr>
      <w:sz w:val="24"/>
      <w:szCs w:val="24"/>
    </w:rPr>
  </w:style>
  <w:style w:type="character" w:styleId="736">
    <w:name w:val="Subtitle Char"/>
    <w:basedOn w:val="882"/>
    <w:link w:val="735"/>
    <w:uiPriority w:val="11"/>
    <w:rPr>
      <w:sz w:val="24"/>
      <w:szCs w:val="24"/>
    </w:rPr>
  </w:style>
  <w:style w:type="paragraph" w:styleId="737">
    <w:name w:val="Quote"/>
    <w:basedOn w:val="876"/>
    <w:next w:val="876"/>
    <w:link w:val="738"/>
    <w:uiPriority w:val="29"/>
    <w:qFormat/>
    <w:pPr>
      <w:ind w:left="720" w:right="720"/>
    </w:pPr>
    <w:rPr>
      <w:i/>
    </w:rPr>
  </w:style>
  <w:style w:type="character" w:styleId="738">
    <w:name w:val="Quote Char"/>
    <w:link w:val="737"/>
    <w:uiPriority w:val="29"/>
    <w:rPr>
      <w:i/>
    </w:rPr>
  </w:style>
  <w:style w:type="paragraph" w:styleId="739">
    <w:name w:val="Intense Quote"/>
    <w:basedOn w:val="876"/>
    <w:next w:val="876"/>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character" w:styleId="741">
    <w:name w:val="Header Char"/>
    <w:basedOn w:val="882"/>
    <w:link w:val="904"/>
    <w:uiPriority w:val="99"/>
  </w:style>
  <w:style w:type="character" w:styleId="742">
    <w:name w:val="Caption Char"/>
    <w:basedOn w:val="887"/>
    <w:link w:val="903"/>
    <w:uiPriority w:val="99"/>
  </w:style>
  <w:style w:type="table" w:styleId="743">
    <w:name w:val="Table Grid Light"/>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basedOn w:val="8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basedOn w:val="8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basedOn w:val="8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basedOn w:val="8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basedOn w:val="8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basedOn w:val="8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basedOn w:val="8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basedOn w:val="8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basedOn w:val="8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basedOn w:val="8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basedOn w:val="8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basedOn w:val="8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basedOn w:val="8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basedOn w:val="8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basedOn w:val="8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basedOn w:val="8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basedOn w:val="8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basedOn w:val="8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basedOn w:val="8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basedOn w:val="8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basedOn w:val="8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basedOn w:val="8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basedOn w:val="8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8">
    <w:name w:val="footnote text"/>
    <w:basedOn w:val="876"/>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2"/>
    <w:uiPriority w:val="99"/>
    <w:unhideWhenUsed/>
    <w:rPr>
      <w:vertAlign w:val="superscript"/>
    </w:rPr>
  </w:style>
  <w:style w:type="paragraph" w:styleId="871">
    <w:name w:val="endnote text"/>
    <w:basedOn w:val="876"/>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2"/>
    <w:uiPriority w:val="99"/>
    <w:semiHidden/>
    <w:unhideWhenUsed/>
    <w:rPr>
      <w:vertAlign w:val="superscript"/>
    </w:r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qFormat/>
    <w:pPr>
      <w:jc w:val="both"/>
      <w:widowControl w:val="off"/>
    </w:pPr>
    <w:rPr>
      <w:sz w:val="21"/>
      <w:szCs w:val="24"/>
    </w:rPr>
  </w:style>
  <w:style w:type="paragraph" w:styleId="877">
    <w:name w:val="Heading 1"/>
    <w:basedOn w:val="876"/>
    <w:next w:val="876"/>
    <w:link w:val="925"/>
    <w:qFormat/>
    <w:pPr>
      <w:keepNext/>
      <w:outlineLvl w:val="0"/>
    </w:pPr>
    <w:rPr>
      <w:rFonts w:ascii="楷体_GB2312" w:eastAsia="楷体_GB2312"/>
      <w:sz w:val="28"/>
      <w:szCs w:val="20"/>
    </w:rPr>
  </w:style>
  <w:style w:type="paragraph" w:styleId="878">
    <w:name w:val="Heading 2"/>
    <w:basedOn w:val="876"/>
    <w:next w:val="876"/>
    <w:qFormat/>
    <w:pPr>
      <w:jc w:val="center"/>
      <w:keepLines/>
      <w:keepNext/>
      <w:spacing w:before="260" w:after="260" w:line="416" w:lineRule="auto"/>
      <w:outlineLvl w:val="1"/>
    </w:pPr>
    <w:rPr>
      <w:rFonts w:ascii="Arial" w:hAnsi="Arial" w:eastAsia="幼圆"/>
      <w:b/>
      <w:sz w:val="44"/>
      <w:szCs w:val="20"/>
    </w:rPr>
  </w:style>
  <w:style w:type="paragraph" w:styleId="879">
    <w:name w:val="Heading 3"/>
    <w:basedOn w:val="876"/>
    <w:next w:val="876"/>
    <w:qFormat/>
    <w:pPr>
      <w:keepLines/>
      <w:keepNext/>
      <w:spacing w:before="260" w:after="260" w:line="416" w:lineRule="auto"/>
      <w:outlineLvl w:val="2"/>
    </w:pPr>
    <w:rPr>
      <w:b/>
      <w:sz w:val="32"/>
      <w:szCs w:val="20"/>
    </w:rPr>
  </w:style>
  <w:style w:type="paragraph" w:styleId="880">
    <w:name w:val="Heading 4"/>
    <w:basedOn w:val="876"/>
    <w:next w:val="876"/>
    <w:qFormat/>
    <w:pPr>
      <w:keepLines/>
      <w:keepNext/>
      <w:spacing w:before="280" w:after="290" w:line="376" w:lineRule="auto"/>
      <w:outlineLvl w:val="3"/>
    </w:pPr>
    <w:rPr>
      <w:rFonts w:ascii="Arial" w:hAnsi="Arial" w:eastAsia="黑体"/>
      <w:b/>
      <w:bCs/>
      <w:sz w:val="28"/>
      <w:szCs w:val="28"/>
    </w:rPr>
  </w:style>
  <w:style w:type="paragraph" w:styleId="881">
    <w:name w:val="Heading 5"/>
    <w:basedOn w:val="876"/>
    <w:next w:val="876"/>
    <w:qFormat/>
    <w:pPr>
      <w:keepNext/>
      <w:outlineLvl w:val="4"/>
    </w:pPr>
    <w:rPr>
      <w:rFonts w:ascii="宋体" w:hAnsi="宋体"/>
      <w:b/>
      <w:bCs/>
    </w:rPr>
  </w:style>
  <w:style w:type="character" w:styleId="882" w:default="1">
    <w:name w:val="Default Paragraph Font"/>
    <w:uiPriority w:val="1"/>
    <w:semiHidden/>
    <w:unhideWhenUsed/>
  </w:style>
  <w:style w:type="table" w:styleId="883" w:default="1">
    <w:name w:val="Normal Table"/>
    <w:uiPriority w:val="99"/>
    <w:semiHidden/>
    <w:unhideWhenUsed/>
    <w:tblPr>
      <w:tblInd w:w="0" w:type="dxa"/>
      <w:tblCellMar>
        <w:left w:w="108" w:type="dxa"/>
        <w:top w:w="0" w:type="dxa"/>
        <w:right w:w="108" w:type="dxa"/>
        <w:bottom w:w="0" w:type="dxa"/>
      </w:tblCellMar>
    </w:tblPr>
  </w:style>
  <w:style w:type="numbering" w:styleId="884" w:default="1">
    <w:name w:val="No List"/>
    <w:uiPriority w:val="99"/>
    <w:semiHidden/>
    <w:unhideWhenUsed/>
  </w:style>
  <w:style w:type="paragraph" w:styleId="885">
    <w:name w:val="toc 7"/>
    <w:basedOn w:val="876"/>
    <w:next w:val="876"/>
    <w:semiHidden/>
    <w:qFormat/>
    <w:pPr>
      <w:ind w:left="2520"/>
    </w:pPr>
  </w:style>
  <w:style w:type="paragraph" w:styleId="886">
    <w:name w:val="Normal Indent"/>
    <w:basedOn w:val="876"/>
    <w:link w:val="926"/>
    <w:qFormat/>
    <w:pPr>
      <w:ind w:firstLine="420"/>
    </w:pPr>
    <w:rPr>
      <w:szCs w:val="20"/>
    </w:rPr>
  </w:style>
  <w:style w:type="paragraph" w:styleId="887">
    <w:name w:val="Caption"/>
    <w:basedOn w:val="876"/>
    <w:next w:val="876"/>
    <w:qFormat/>
    <w:rPr>
      <w:rFonts w:ascii="Cambria" w:hAnsi="Cambria" w:eastAsia="黑体"/>
      <w:sz w:val="20"/>
      <w:szCs w:val="20"/>
    </w:rPr>
  </w:style>
  <w:style w:type="paragraph" w:styleId="888">
    <w:name w:val="Document Map"/>
    <w:basedOn w:val="876"/>
    <w:semiHidden/>
    <w:qFormat/>
    <w:pPr>
      <w:shd w:val="clear" w:color="auto" w:fill="000080"/>
    </w:pPr>
  </w:style>
  <w:style w:type="paragraph" w:styleId="889">
    <w:name w:val="toa heading"/>
    <w:basedOn w:val="876"/>
    <w:next w:val="876"/>
    <w:qFormat/>
    <w:pPr>
      <w:spacing w:before="120"/>
    </w:pPr>
    <w:rPr>
      <w:rFonts w:ascii="Arial" w:hAnsi="Arial" w:cs="Arial"/>
      <w:sz w:val="24"/>
    </w:rPr>
  </w:style>
  <w:style w:type="paragraph" w:styleId="890">
    <w:name w:val="annotation text"/>
    <w:basedOn w:val="876"/>
    <w:link w:val="927"/>
    <w:uiPriority w:val="99"/>
    <w:qFormat/>
    <w:pPr>
      <w:jc w:val="left"/>
    </w:pPr>
  </w:style>
  <w:style w:type="paragraph" w:styleId="891">
    <w:name w:val="Body Text 3"/>
    <w:basedOn w:val="876"/>
    <w:qFormat/>
    <w:rPr>
      <w:rFonts w:ascii="仿宋_GB2312" w:hAnsi="Arial" w:eastAsia="仿宋_GB2312"/>
      <w:sz w:val="32"/>
      <w:szCs w:val="20"/>
    </w:rPr>
  </w:style>
  <w:style w:type="paragraph" w:styleId="892">
    <w:name w:val="Body Text"/>
    <w:basedOn w:val="876"/>
    <w:next w:val="893"/>
    <w:link w:val="928"/>
    <w:qFormat/>
    <w:rPr>
      <w:rFonts w:ascii="楷体_GB2312" w:hAnsi="Arial" w:eastAsia="楷体_GB2312"/>
      <w:sz w:val="28"/>
      <w:szCs w:val="20"/>
    </w:rPr>
  </w:style>
  <w:style w:type="paragraph" w:styleId="893">
    <w:name w:val="Date"/>
    <w:basedOn w:val="876"/>
    <w:next w:val="876"/>
    <w:qFormat/>
    <w:rPr>
      <w:sz w:val="24"/>
      <w:szCs w:val="20"/>
    </w:rPr>
  </w:style>
  <w:style w:type="paragraph" w:styleId="894">
    <w:name w:val="Body Text Indent"/>
    <w:basedOn w:val="876"/>
    <w:next w:val="895"/>
    <w:qFormat/>
    <w:pPr>
      <w:ind w:firstLine="645"/>
    </w:pPr>
    <w:rPr>
      <w:rFonts w:ascii="楷体_GB2312" w:eastAsia="楷体_GB2312"/>
      <w:sz w:val="32"/>
      <w:szCs w:val="20"/>
    </w:rPr>
  </w:style>
  <w:style w:type="paragraph" w:styleId="895">
    <w:name w:val="envelope return"/>
    <w:basedOn w:val="876"/>
    <w:uiPriority w:val="99"/>
    <w:unhideWhenUsed/>
    <w:qFormat/>
    <w:rPr>
      <w:rFonts w:ascii="Arial" w:hAnsi="Arial" w:cs="Arial"/>
    </w:rPr>
  </w:style>
  <w:style w:type="paragraph" w:styleId="896">
    <w:name w:val="Block Text"/>
    <w:basedOn w:val="876"/>
    <w:qFormat/>
    <w:pPr>
      <w:ind w:left="-716" w:right="-874" w:hanging="2"/>
    </w:pPr>
    <w:rPr>
      <w:sz w:val="28"/>
    </w:rPr>
  </w:style>
  <w:style w:type="paragraph" w:styleId="897">
    <w:name w:val="toc 5"/>
    <w:basedOn w:val="876"/>
    <w:next w:val="876"/>
    <w:semiHidden/>
    <w:qFormat/>
    <w:pPr>
      <w:ind w:left="1680"/>
    </w:pPr>
  </w:style>
  <w:style w:type="paragraph" w:styleId="898">
    <w:name w:val="toc 3"/>
    <w:basedOn w:val="876"/>
    <w:next w:val="876"/>
    <w:semiHidden/>
    <w:qFormat/>
    <w:pPr>
      <w:ind w:left="539"/>
      <w:jc w:val="left"/>
      <w:spacing w:line="240" w:lineRule="exact"/>
      <w:tabs>
        <w:tab w:val="right" w:pos="9440" w:leader="dot"/>
      </w:tabs>
    </w:pPr>
    <w:rPr>
      <w:rFonts w:ascii="黑体" w:hAnsi="宋体" w:eastAsia="黑体"/>
      <w:bCs/>
      <w:iCs/>
      <w:sz w:val="18"/>
      <w:szCs w:val="32"/>
    </w:rPr>
  </w:style>
  <w:style w:type="paragraph" w:styleId="899">
    <w:name w:val="Plain Text"/>
    <w:basedOn w:val="876"/>
    <w:link w:val="929"/>
    <w:qFormat/>
    <w:rPr>
      <w:rFonts w:hint="eastAsia" w:ascii="宋体" w:hAnsi="Courier New"/>
      <w:szCs w:val="20"/>
    </w:rPr>
  </w:style>
  <w:style w:type="paragraph" w:styleId="900">
    <w:name w:val="toc 8"/>
    <w:basedOn w:val="876"/>
    <w:next w:val="876"/>
    <w:semiHidden/>
    <w:qFormat/>
    <w:pPr>
      <w:ind w:left="2940"/>
    </w:pPr>
  </w:style>
  <w:style w:type="paragraph" w:styleId="901">
    <w:name w:val="Body Text Indent 2"/>
    <w:basedOn w:val="876"/>
    <w:qFormat/>
    <w:pPr>
      <w:ind w:firstLine="560"/>
    </w:pPr>
    <w:rPr>
      <w:rFonts w:ascii="宋体" w:hAnsi="宋体"/>
      <w:sz w:val="28"/>
    </w:rPr>
  </w:style>
  <w:style w:type="paragraph" w:styleId="902">
    <w:name w:val="Balloon Text"/>
    <w:basedOn w:val="876"/>
    <w:semiHidden/>
    <w:qFormat/>
    <w:rPr>
      <w:sz w:val="18"/>
      <w:szCs w:val="18"/>
    </w:rPr>
  </w:style>
  <w:style w:type="paragraph" w:styleId="903">
    <w:name w:val="Footer"/>
    <w:basedOn w:val="876"/>
    <w:link w:val="986"/>
    <w:uiPriority w:val="99"/>
    <w:qFormat/>
    <w:pPr>
      <w:jc w:val="left"/>
      <w:tabs>
        <w:tab w:val="center" w:pos="4153" w:leader="none"/>
        <w:tab w:val="right" w:pos="8306" w:leader="none"/>
      </w:tabs>
    </w:pPr>
    <w:rPr>
      <w:sz w:val="18"/>
      <w:szCs w:val="20"/>
    </w:rPr>
  </w:style>
  <w:style w:type="paragraph" w:styleId="904">
    <w:name w:val="Header"/>
    <w:basedOn w:val="876"/>
    <w:qFormat/>
    <w:pPr>
      <w:jc w:val="center"/>
      <w:tabs>
        <w:tab w:val="center" w:pos="4153" w:leader="none"/>
        <w:tab w:val="right" w:pos="8306" w:leader="none"/>
      </w:tabs>
      <w:pBdr>
        <w:bottom w:val="single" w:color="auto" w:sz="6" w:space="1"/>
      </w:pBdr>
    </w:pPr>
    <w:rPr>
      <w:sz w:val="18"/>
      <w:szCs w:val="18"/>
    </w:rPr>
  </w:style>
  <w:style w:type="paragraph" w:styleId="905">
    <w:name w:val="toc 1"/>
    <w:basedOn w:val="876"/>
    <w:next w:val="876"/>
    <w:semiHidden/>
    <w:qFormat/>
    <w:pPr>
      <w:jc w:val="left"/>
      <w:spacing w:before="120" w:after="120" w:line="300" w:lineRule="exact"/>
      <w:tabs>
        <w:tab w:val="right" w:pos="9440" w:leader="dot"/>
      </w:tabs>
    </w:pPr>
    <w:rPr>
      <w:rFonts w:ascii="黑体" w:eastAsia="黑体"/>
      <w:b/>
      <w:caps/>
      <w:sz w:val="18"/>
      <w:szCs w:val="28"/>
    </w:rPr>
  </w:style>
  <w:style w:type="paragraph" w:styleId="906">
    <w:name w:val="toc 4"/>
    <w:basedOn w:val="876"/>
    <w:next w:val="876"/>
    <w:semiHidden/>
    <w:qFormat/>
    <w:pPr>
      <w:ind w:left="1260"/>
    </w:pPr>
  </w:style>
  <w:style w:type="paragraph" w:styleId="907">
    <w:name w:val="toc 6"/>
    <w:basedOn w:val="876"/>
    <w:next w:val="876"/>
    <w:semiHidden/>
    <w:qFormat/>
    <w:pPr>
      <w:ind w:left="2100"/>
    </w:pPr>
  </w:style>
  <w:style w:type="paragraph" w:styleId="908">
    <w:name w:val="Body Text Indent 3"/>
    <w:basedOn w:val="876"/>
    <w:qFormat/>
    <w:pPr>
      <w:ind w:firstLine="523"/>
    </w:pPr>
    <w:rPr>
      <w:rFonts w:ascii="仿宋_GB2312" w:hAnsi="宋体" w:eastAsia="仿宋_GB2312"/>
      <w:sz w:val="24"/>
    </w:rPr>
  </w:style>
  <w:style w:type="paragraph" w:styleId="909">
    <w:name w:val="index 9"/>
    <w:basedOn w:val="876"/>
    <w:next w:val="876"/>
    <w:qFormat/>
    <w:pPr>
      <w:ind w:left="1600"/>
    </w:pPr>
  </w:style>
  <w:style w:type="paragraph" w:styleId="910">
    <w:name w:val="toc 2"/>
    <w:basedOn w:val="876"/>
    <w:next w:val="876"/>
    <w:semiHidden/>
    <w:qFormat/>
    <w:pPr>
      <w:jc w:val="left"/>
      <w:spacing w:line="260" w:lineRule="exact"/>
      <w:tabs>
        <w:tab w:val="right" w:pos="9440" w:leader="dot"/>
      </w:tabs>
    </w:pPr>
    <w:rPr>
      <w:rFonts w:ascii="黑体" w:eastAsia="黑体"/>
      <w:b/>
      <w:bCs/>
      <w:smallCaps/>
      <w:sz w:val="18"/>
      <w:szCs w:val="44"/>
    </w:rPr>
  </w:style>
  <w:style w:type="paragraph" w:styleId="911">
    <w:name w:val="toc 9"/>
    <w:basedOn w:val="876"/>
    <w:next w:val="876"/>
    <w:semiHidden/>
    <w:qFormat/>
    <w:pPr>
      <w:ind w:left="3360"/>
    </w:pPr>
  </w:style>
  <w:style w:type="paragraph" w:styleId="912">
    <w:name w:val="Body Text 2"/>
    <w:basedOn w:val="876"/>
    <w:qFormat/>
    <w:pPr>
      <w:jc w:val="center"/>
    </w:pPr>
    <w:rPr>
      <w:rFonts w:ascii="仿宋_GB2312" w:eastAsia="仿宋_GB2312"/>
      <w:sz w:val="44"/>
    </w:rPr>
  </w:style>
  <w:style w:type="paragraph" w:styleId="913">
    <w:name w:val="HTML Preformatted"/>
    <w:basedOn w:val="876"/>
    <w:link w:val="9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14">
    <w:name w:val="Normal (Web)"/>
    <w:basedOn w:val="876"/>
    <w:unhideWhenUsed/>
    <w:qFormat/>
    <w:pPr>
      <w:jc w:val="left"/>
      <w:spacing w:before="100" w:beforeAutospacing="1" w:after="100" w:afterAutospacing="1"/>
      <w:widowControl/>
    </w:pPr>
    <w:rPr>
      <w:rFonts w:ascii="宋体" w:hAnsi="宋体" w:cs="宋体"/>
      <w:sz w:val="24"/>
    </w:rPr>
  </w:style>
  <w:style w:type="paragraph" w:styleId="915">
    <w:name w:val="index 1"/>
    <w:basedOn w:val="876"/>
    <w:next w:val="876"/>
    <w:semiHidden/>
    <w:qFormat/>
    <w:rPr>
      <w:rFonts w:ascii="宋体" w:hAnsi="宋体"/>
      <w:szCs w:val="18"/>
    </w:rPr>
  </w:style>
  <w:style w:type="paragraph" w:styleId="916">
    <w:name w:val="annotation subject"/>
    <w:basedOn w:val="890"/>
    <w:next w:val="890"/>
    <w:link w:val="931"/>
    <w:qFormat/>
    <w:rPr>
      <w:b/>
      <w:bCs/>
    </w:rPr>
  </w:style>
  <w:style w:type="paragraph" w:styleId="917">
    <w:name w:val="Body Text First Indent"/>
    <w:basedOn w:val="876"/>
    <w:qFormat/>
    <w:pPr>
      <w:ind w:firstLine="200"/>
      <w:spacing w:line="360" w:lineRule="auto"/>
    </w:pPr>
    <w:rPr>
      <w:rFonts w:ascii="仿宋_GB2312" w:eastAsia="仿宋_GB2312"/>
      <w:sz w:val="30"/>
      <w:szCs w:val="30"/>
    </w:rPr>
  </w:style>
  <w:style w:type="paragraph" w:styleId="918">
    <w:name w:val="Body Text First Indent 2"/>
    <w:basedOn w:val="894"/>
    <w:next w:val="892"/>
    <w:uiPriority w:val="99"/>
    <w:unhideWhenUsed/>
    <w:qFormat/>
    <w:pPr>
      <w:ind w:firstLine="420"/>
      <w:spacing w:line="360" w:lineRule="auto"/>
    </w:pPr>
    <w:rPr>
      <w:rFonts w:ascii="Calibri" w:hAnsi="Calibri" w:eastAsia="宋体"/>
      <w:sz w:val="21"/>
    </w:rPr>
  </w:style>
  <w:style w:type="table" w:styleId="919">
    <w:name w:val="Table Grid"/>
    <w:basedOn w:val="88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Strong"/>
    <w:uiPriority w:val="22"/>
    <w:qFormat/>
    <w:rPr>
      <w:b/>
      <w:bCs/>
    </w:rPr>
  </w:style>
  <w:style w:type="character" w:styleId="921">
    <w:name w:val="page number"/>
    <w:qFormat/>
  </w:style>
  <w:style w:type="character" w:styleId="922">
    <w:name w:val="FollowedHyperlink"/>
    <w:uiPriority w:val="99"/>
    <w:qFormat/>
    <w:rPr>
      <w:color w:val="800080"/>
      <w:u w:val="single"/>
    </w:rPr>
  </w:style>
  <w:style w:type="character" w:styleId="923">
    <w:name w:val="Hyperlink"/>
    <w:uiPriority w:val="99"/>
    <w:qFormat/>
    <w:rPr>
      <w:color w:val="0000ff"/>
      <w:u w:val="single"/>
    </w:rPr>
  </w:style>
  <w:style w:type="character" w:styleId="924">
    <w:name w:val="annotation reference"/>
    <w:uiPriority w:val="99"/>
    <w:qFormat/>
    <w:rPr>
      <w:sz w:val="21"/>
      <w:szCs w:val="21"/>
    </w:rPr>
  </w:style>
  <w:style w:type="character" w:styleId="925" w:customStyle="1">
    <w:name w:val="标题 1 字符1"/>
    <w:link w:val="877"/>
    <w:qFormat/>
    <w:rPr>
      <w:rFonts w:ascii="楷体_GB2312" w:eastAsia="楷体_GB2312"/>
      <w:sz w:val="28"/>
      <w:lang w:val="en-US" w:eastAsia="zh-CN" w:bidi="ar-SA"/>
    </w:rPr>
  </w:style>
  <w:style w:type="character" w:styleId="926" w:customStyle="1">
    <w:name w:val="正文缩进 字符"/>
    <w:link w:val="886"/>
    <w:qFormat/>
    <w:rPr>
      <w:rFonts w:eastAsia="宋体"/>
      <w:sz w:val="21"/>
      <w:lang w:val="en-US" w:eastAsia="zh-CN" w:bidi="ar-SA"/>
    </w:rPr>
  </w:style>
  <w:style w:type="character" w:styleId="927" w:customStyle="1">
    <w:name w:val="批注文字 字符"/>
    <w:link w:val="890"/>
    <w:uiPriority w:val="99"/>
    <w:qFormat/>
    <w:rPr>
      <w:sz w:val="21"/>
      <w:szCs w:val="24"/>
    </w:rPr>
  </w:style>
  <w:style w:type="character" w:styleId="928" w:customStyle="1">
    <w:name w:val="正文文本 字符"/>
    <w:link w:val="892"/>
    <w:qFormat/>
    <w:rPr>
      <w:rFonts w:ascii="楷体_GB2312" w:hAnsi="Arial" w:eastAsia="楷体_GB2312"/>
      <w:sz w:val="28"/>
    </w:rPr>
  </w:style>
  <w:style w:type="character" w:styleId="929" w:customStyle="1">
    <w:name w:val="纯文本 字符"/>
    <w:link w:val="899"/>
    <w:qFormat/>
    <w:rPr>
      <w:rFonts w:ascii="宋体" w:hAnsi="Courier New"/>
      <w:sz w:val="21"/>
    </w:rPr>
  </w:style>
  <w:style w:type="character" w:styleId="930" w:customStyle="1">
    <w:name w:val="HTML 预设格式 字符"/>
    <w:link w:val="913"/>
    <w:qFormat/>
    <w:rPr>
      <w:rFonts w:ascii="黑体" w:hAnsi="Courier New" w:eastAsia="黑体" w:cs="Courier New"/>
    </w:rPr>
  </w:style>
  <w:style w:type="character" w:styleId="931" w:customStyle="1">
    <w:name w:val="批注主题 字符"/>
    <w:link w:val="916"/>
    <w:qFormat/>
    <w:rPr>
      <w:b/>
      <w:bCs/>
      <w:sz w:val="21"/>
      <w:szCs w:val="24"/>
    </w:rPr>
  </w:style>
  <w:style w:type="paragraph" w:styleId="932" w:customStyle="1">
    <w:name w:val="正文1"/>
    <w:uiPriority w:val="99"/>
    <w:qFormat/>
    <w:pPr>
      <w:ind w:firstLine="200"/>
      <w:spacing w:before="120" w:after="120" w:line="180" w:lineRule="auto"/>
    </w:pPr>
    <w:rPr>
      <w:rFonts w:cs="Calibri"/>
      <w:sz w:val="21"/>
      <w:szCs w:val="21"/>
    </w:rPr>
  </w:style>
  <w:style w:type="paragraph" w:styleId="933" w:customStyle="1">
    <w:name w:val="一级条标题"/>
    <w:basedOn w:val="934"/>
    <w:next w:val="935"/>
    <w:qFormat/>
    <w:pPr>
      <w:ind w:left="907" w:hanging="907"/>
      <w:spacing w:before="0" w:after="0"/>
      <w:tabs>
        <w:tab w:val="left" w:pos="907" w:leader="none"/>
      </w:tabs>
      <w:outlineLvl w:val="2"/>
    </w:pPr>
    <w:rPr>
      <w:rFonts w:hAnsi="宋体"/>
      <w:sz w:val="20"/>
      <w:szCs w:val="20"/>
    </w:rPr>
  </w:style>
  <w:style w:type="paragraph" w:styleId="934" w:customStyle="1">
    <w:name w:val="章标题"/>
    <w:next w:val="876"/>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935" w:customStyle="1">
    <w:name w:val="段"/>
    <w:next w:val="876"/>
    <w:qFormat/>
    <w:pPr>
      <w:ind w:firstLine="420"/>
      <w:jc w:val="both"/>
      <w:tabs>
        <w:tab w:val="center" w:pos="4201" w:leader="none"/>
        <w:tab w:val="right" w:pos="9298" w:leader="dot"/>
      </w:tabs>
    </w:pPr>
    <w:rPr>
      <w:rFonts w:ascii="宋体"/>
      <w:sz w:val="21"/>
    </w:rPr>
  </w:style>
  <w:style w:type="paragraph" w:styleId="936" w:customStyle="1">
    <w:name w:val="Default"/>
    <w:qFormat/>
    <w:pPr>
      <w:widowControl w:val="off"/>
    </w:pPr>
    <w:rPr>
      <w:rFonts w:ascii="宋体" w:cs="宋体"/>
      <w:color w:val="000000"/>
      <w:sz w:val="24"/>
      <w:szCs w:val="24"/>
    </w:rPr>
  </w:style>
  <w:style w:type="paragraph" w:styleId="937" w:customStyle="1">
    <w:name w:val="BodyText1I"/>
    <w:basedOn w:val="938"/>
    <w:qFormat/>
    <w:pPr>
      <w:ind w:firstLine="420"/>
    </w:pPr>
  </w:style>
  <w:style w:type="paragraph" w:styleId="938" w:customStyle="1">
    <w:name w:val="BodyText"/>
    <w:basedOn w:val="876"/>
    <w:qFormat/>
    <w:pPr>
      <w:spacing w:after="120"/>
    </w:pPr>
    <w:rPr>
      <w:sz w:val="20"/>
    </w:rPr>
  </w:style>
  <w:style w:type="paragraph" w:styleId="939" w:customStyle="1">
    <w:name w:val="BioQuote Tekst"/>
    <w:basedOn w:val="876"/>
    <w:qFormat/>
    <w:pPr>
      <w:ind w:right="-1"/>
    </w:pPr>
    <w:rPr>
      <w:rFonts w:ascii="Arial" w:hAnsi="Arial"/>
      <w:sz w:val="22"/>
      <w:szCs w:val="20"/>
      <w:lang w:eastAsia="en-US"/>
    </w:rPr>
  </w:style>
  <w:style w:type="paragraph" w:styleId="940" w:customStyle="1">
    <w:name w:val="第四级"/>
    <w:basedOn w:val="876"/>
    <w:next w:val="876"/>
    <w:qFormat/>
    <w:pPr>
      <w:numPr>
        <w:ilvl w:val="3"/>
        <w:numId w:val="1"/>
      </w:numPr>
      <w:spacing w:line="360" w:lineRule="auto"/>
    </w:pPr>
    <w:rPr>
      <w:rFonts w:ascii="宋体" w:hAnsi="宋体" w:eastAsia="仿宋"/>
      <w:sz w:val="28"/>
      <w:szCs w:val="21"/>
    </w:rPr>
  </w:style>
  <w:style w:type="paragraph" w:styleId="941" w:customStyle="1">
    <w:name w:val="Char"/>
    <w:basedOn w:val="876"/>
    <w:qFormat/>
    <w:pPr>
      <w:tabs>
        <w:tab w:val="left" w:pos="360" w:leader="none"/>
      </w:tabs>
    </w:pPr>
    <w:rPr>
      <w:sz w:val="24"/>
    </w:rPr>
  </w:style>
  <w:style w:type="paragraph" w:styleId="942" w:customStyle="1">
    <w:name w:val="_Style 50"/>
    <w:uiPriority w:val="99"/>
    <w:semiHidden/>
    <w:qFormat/>
    <w:rPr>
      <w:sz w:val="21"/>
      <w:szCs w:val="24"/>
    </w:rPr>
  </w:style>
  <w:style w:type="paragraph" w:styleId="943" w:customStyle="1">
    <w:name w:val="Char Char Char Char"/>
    <w:basedOn w:val="888"/>
    <w:qFormat/>
    <w:pPr>
      <w:spacing w:line="360" w:lineRule="auto"/>
    </w:pPr>
    <w:rPr>
      <w:rFonts w:ascii="Tahoma" w:hAnsi="Tahoma"/>
      <w:sz w:val="24"/>
    </w:rPr>
  </w:style>
  <w:style w:type="paragraph" w:styleId="944" w:customStyle="1">
    <w:name w:val="正文-首行缩进2字符"/>
    <w:basedOn w:val="876"/>
    <w:qFormat/>
    <w:pPr>
      <w:ind w:firstLine="200"/>
    </w:pPr>
    <w:rPr>
      <w:rFonts w:ascii="仿宋_GB2312" w:hAnsi="仿宋_GB2312" w:eastAsia="仿宋_GB2312" w:cs="仿宋_GB2312"/>
    </w:rPr>
  </w:style>
  <w:style w:type="paragraph" w:styleId="945" w:customStyle="1">
    <w:name w:val="国图标题3"/>
    <w:basedOn w:val="879"/>
    <w:qFormat/>
    <w:pPr>
      <w:numPr>
        <w:ilvl w:val="2"/>
        <w:numId w:val="2"/>
      </w:numPr>
      <w:spacing w:before="120" w:after="120" w:line="360" w:lineRule="auto"/>
    </w:pPr>
    <w:rPr>
      <w:szCs w:val="28"/>
    </w:rPr>
  </w:style>
  <w:style w:type="paragraph" w:styleId="946" w:customStyle="1">
    <w:name w:val="国图正文小四"/>
    <w:uiPriority w:val="99"/>
    <w:qFormat/>
    <w:pPr>
      <w:ind w:firstLine="420"/>
      <w:jc w:val="both"/>
      <w:spacing w:line="360" w:lineRule="auto"/>
      <w:widowControl w:val="off"/>
    </w:pPr>
    <w:rPr>
      <w:sz w:val="24"/>
      <w:szCs w:val="24"/>
    </w:rPr>
  </w:style>
  <w:style w:type="paragraph" w:styleId="947" w:customStyle="1">
    <w:name w:val="正文 第一章"/>
    <w:basedOn w:val="876"/>
    <w:next w:val="948"/>
    <w:qFormat/>
    <w:pPr>
      <w:ind w:left="9351" w:hanging="420"/>
      <w:jc w:val="center"/>
      <w:pageBreakBefore/>
      <w:spacing w:before="240" w:after="240" w:line="480" w:lineRule="auto"/>
      <w:outlineLvl w:val="0"/>
    </w:pPr>
    <w:rPr>
      <w:rFonts w:ascii="黑体" w:hAnsi="宋体" w:eastAsia="黑体"/>
      <w:sz w:val="36"/>
      <w:szCs w:val="21"/>
    </w:rPr>
  </w:style>
  <w:style w:type="paragraph" w:styleId="948" w:customStyle="1">
    <w:name w:val="正文 1.1"/>
    <w:basedOn w:val="876"/>
    <w:next w:val="949"/>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49" w:customStyle="1">
    <w:name w:val="正文 1.1.1"/>
    <w:basedOn w:val="876"/>
    <w:next w:val="876"/>
    <w:qFormat/>
    <w:pPr>
      <w:numPr>
        <w:ilvl w:val="2"/>
        <w:numId w:val="1"/>
      </w:numPr>
      <w:spacing w:line="360" w:lineRule="auto"/>
      <w:outlineLvl w:val="2"/>
    </w:pPr>
    <w:rPr>
      <w:rFonts w:ascii="宋体" w:hAnsi="宋体"/>
      <w:color w:val="000000"/>
      <w:sz w:val="28"/>
      <w:szCs w:val="21"/>
    </w:rPr>
  </w:style>
  <w:style w:type="paragraph" w:styleId="950" w:customStyle="1">
    <w:name w:val="附录1"/>
    <w:qFormat/>
    <w:pPr>
      <w:numPr>
        <w:numId w:val="3"/>
      </w:numPr>
      <w:spacing w:before="240" w:line="600" w:lineRule="atLeast"/>
    </w:pPr>
    <w:rPr>
      <w:b/>
      <w:i/>
      <w:sz w:val="28"/>
    </w:rPr>
  </w:style>
  <w:style w:type="paragraph" w:styleId="951" w:customStyle="1">
    <w:name w:val="正文空2格  1."/>
    <w:basedOn w:val="876"/>
    <w:qFormat/>
    <w:pPr>
      <w:ind w:firstLine="480"/>
      <w:spacing w:line="360" w:lineRule="auto"/>
    </w:pPr>
    <w:rPr>
      <w:rFonts w:ascii="宋体" w:eastAsia="仿宋" w:cs="宋体"/>
      <w:sz w:val="28"/>
      <w:szCs w:val="20"/>
    </w:rPr>
  </w:style>
  <w:style w:type="paragraph" w:styleId="952" w:customStyle="1">
    <w:name w:val="Char Char Char Char1 Char Char Char"/>
    <w:basedOn w:val="888"/>
    <w:qFormat/>
    <w:pPr>
      <w:spacing w:line="360" w:lineRule="auto"/>
    </w:pPr>
    <w:rPr>
      <w:rFonts w:ascii="Tahoma" w:hAnsi="Tahoma"/>
      <w:sz w:val="24"/>
    </w:rPr>
  </w:style>
  <w:style w:type="paragraph" w:styleId="953" w:customStyle="1">
    <w:name w:val="Char Char Char Char1 Char Char"/>
    <w:basedOn w:val="876"/>
    <w:qFormat/>
    <w:pPr>
      <w:tabs>
        <w:tab w:val="left" w:pos="360" w:leader="none"/>
      </w:tabs>
    </w:pPr>
    <w:rPr>
      <w:sz w:val="24"/>
    </w:rPr>
  </w:style>
  <w:style w:type="paragraph" w:styleId="954" w:customStyle="1">
    <w:name w:val="Char1"/>
    <w:basedOn w:val="876"/>
    <w:qFormat/>
    <w:pPr>
      <w:tabs>
        <w:tab w:val="left" w:pos="360" w:leader="none"/>
      </w:tabs>
    </w:pPr>
    <w:rPr>
      <w:sz w:val="24"/>
    </w:rPr>
  </w:style>
  <w:style w:type="paragraph" w:styleId="955" w:customStyle="1">
    <w:name w:val="标书正文格式"/>
    <w:qFormat/>
    <w:pPr>
      <w:ind w:firstLine="200"/>
      <w:spacing w:line="360" w:lineRule="auto"/>
    </w:pPr>
    <w:rPr>
      <w:rFonts w:eastAsia="楷体_GB2312"/>
      <w:sz w:val="24"/>
      <w:szCs w:val="24"/>
    </w:rPr>
  </w:style>
  <w:style w:type="paragraph" w:styleId="956" w:customStyle="1">
    <w:name w:val="HTML 预先格式化"/>
    <w:basedOn w:val="87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57" w:customStyle="1">
    <w:name w:val="列出段落1"/>
    <w:basedOn w:val="876"/>
    <w:link w:val="958"/>
    <w:qFormat/>
    <w:pPr>
      <w:contextualSpacing/>
      <w:ind w:left="720"/>
      <w:jc w:val="left"/>
      <w:widowControl/>
    </w:pPr>
    <w:rPr>
      <w:sz w:val="24"/>
      <w:lang w:eastAsia="en-US" w:bidi="en-US"/>
    </w:rPr>
  </w:style>
  <w:style w:type="character" w:styleId="958" w:customStyle="1">
    <w:name w:val="列出段落 Char"/>
    <w:link w:val="957"/>
    <w:qFormat/>
    <w:rPr>
      <w:rFonts w:ascii="Calibri" w:hAnsi="Calibri"/>
      <w:sz w:val="24"/>
      <w:szCs w:val="24"/>
      <w:lang w:eastAsia="en-US" w:bidi="en-US"/>
    </w:rPr>
  </w:style>
  <w:style w:type="paragraph" w:styleId="959" w:customStyle="1">
    <w:name w:val="Coms Alinea"/>
    <w:qFormat/>
    <w:pPr>
      <w:widowControl w:val="off"/>
    </w:pPr>
    <w:rPr>
      <w:rFonts w:ascii="Arial" w:hAnsi="Arial" w:cs="Arial"/>
    </w:rPr>
  </w:style>
  <w:style w:type="paragraph" w:styleId="960" w:customStyle="1">
    <w:name w:val="标题3"/>
    <w:basedOn w:val="876"/>
    <w:next w:val="876"/>
    <w:qFormat/>
    <w:rPr>
      <w:rFonts w:eastAsia="方正黑体_GBK"/>
    </w:rPr>
  </w:style>
  <w:style w:type="paragraph" w:styleId="961" w:customStyle="1">
    <w:name w:val="标题2"/>
    <w:basedOn w:val="876"/>
    <w:next w:val="876"/>
    <w:qFormat/>
    <w:pPr>
      <w:jc w:val="center"/>
    </w:pPr>
    <w:rPr>
      <w:rFonts w:eastAsia="方正楷体_GBK"/>
    </w:rPr>
  </w:style>
  <w:style w:type="paragraph" w:styleId="962" w:customStyle="1">
    <w:name w:val="普通正文"/>
    <w:basedOn w:val="876"/>
    <w:qFormat/>
    <w:pPr>
      <w:ind w:firstLine="480"/>
      <w:jc w:val="left"/>
      <w:spacing w:before="120" w:after="120" w:line="360" w:lineRule="auto"/>
    </w:pPr>
    <w:rPr>
      <w:rFonts w:ascii="Arial" w:hAnsi="Arial"/>
      <w:sz w:val="24"/>
    </w:rPr>
  </w:style>
  <w:style w:type="paragraph" w:styleId="963" w:customStyle="1">
    <w:name w:val="Char2"/>
    <w:basedOn w:val="876"/>
    <w:qFormat/>
    <w:rPr>
      <w:rFonts w:ascii="Tahoma" w:hAnsi="Tahoma"/>
      <w:sz w:val="24"/>
      <w:szCs w:val="20"/>
    </w:rPr>
  </w:style>
  <w:style w:type="paragraph" w:styleId="964" w:customStyle="1">
    <w:name w:val="xl47"/>
    <w:basedOn w:val="876"/>
    <w:qFormat/>
    <w:pPr>
      <w:jc w:val="center"/>
      <w:spacing w:before="100" w:beforeAutospacing="1" w:after="100" w:afterAutospacing="1"/>
      <w:widowControl/>
    </w:pPr>
    <w:rPr>
      <w:rFonts w:hint="eastAsia" w:ascii="方正姚体" w:hAnsi="宋体" w:eastAsia="方正姚体"/>
      <w:b/>
      <w:bCs/>
      <w:sz w:val="36"/>
      <w:szCs w:val="36"/>
    </w:rPr>
  </w:style>
  <w:style w:type="paragraph" w:styleId="965" w:customStyle="1">
    <w:name w:val="Table Text"/>
    <w:qFormat/>
    <w:pPr>
      <w:jc w:val="center"/>
      <w:spacing w:after="80"/>
    </w:pPr>
    <w:rPr>
      <w:rFonts w:ascii="仿宋_GB2312" w:hAnsi="宋体" w:eastAsia="仿宋_GB2312"/>
      <w:sz w:val="24"/>
    </w:rPr>
  </w:style>
  <w:style w:type="paragraph" w:styleId="966" w:customStyle="1">
    <w:name w:val="标题1"/>
    <w:basedOn w:val="876"/>
    <w:next w:val="876"/>
    <w:qFormat/>
    <w:pPr>
      <w:jc w:val="center"/>
      <w:spacing w:line="700" w:lineRule="atLeast"/>
      <w:tabs>
        <w:tab w:val="left" w:pos="9193" w:leader="none"/>
        <w:tab w:val="left" w:pos="9827" w:leader="none"/>
      </w:tabs>
    </w:pPr>
    <w:rPr>
      <w:rFonts w:eastAsia="方正小标宋_GBK"/>
      <w:sz w:val="44"/>
    </w:rPr>
  </w:style>
  <w:style w:type="paragraph" w:styleId="967" w:customStyle="1">
    <w:name w:val="正文缩进2"/>
    <w:basedOn w:val="876"/>
    <w:qFormat/>
    <w:pPr>
      <w:ind w:firstLine="540"/>
    </w:pPr>
    <w:rPr>
      <w:rFonts w:ascii="仿宋_GB2312" w:eastAsia="仿宋_GB2312"/>
      <w:sz w:val="28"/>
      <w:lang w:val="zh-CN"/>
    </w:rPr>
  </w:style>
  <w:style w:type="paragraph" w:styleId="968">
    <w:name w:val="List Paragraph"/>
    <w:basedOn w:val="876"/>
    <w:qFormat/>
    <w:pPr>
      <w:ind w:firstLine="420"/>
    </w:pPr>
    <w:rPr>
      <w:rFonts w:ascii="Calibri" w:hAnsi="Calibri"/>
      <w:szCs w:val="22"/>
    </w:rPr>
  </w:style>
  <w:style w:type="paragraph" w:styleId="969" w:customStyle="1">
    <w:name w:val="默认段落字体 Para Char Char Char Char Char Char Char Char Char1 Char Char Char Char Char Char Char"/>
    <w:basedOn w:val="888"/>
    <w:qFormat/>
    <w:rPr>
      <w:rFonts w:ascii="Tahoma" w:hAnsi="Tahoma"/>
      <w:sz w:val="24"/>
    </w:rPr>
  </w:style>
  <w:style w:type="paragraph" w:styleId="970" w:customStyle="1">
    <w:name w:val="国图标题4"/>
    <w:basedOn w:val="880"/>
    <w:qFormat/>
    <w:pPr>
      <w:numPr>
        <w:ilvl w:val="3"/>
        <w:numId w:val="2"/>
      </w:numPr>
      <w:spacing w:line="360" w:lineRule="auto"/>
      <w:tabs>
        <w:tab w:val="left" w:pos="900" w:leader="none"/>
      </w:tabs>
    </w:pPr>
    <w:rPr>
      <w:rFonts w:ascii="宋体" w:hAnsi="宋体"/>
      <w:sz w:val="24"/>
    </w:rPr>
  </w:style>
  <w:style w:type="paragraph" w:styleId="971" w:customStyle="1">
    <w:name w:val="正文2"/>
    <w:basedOn w:val="876"/>
    <w:qFormat/>
    <w:pPr>
      <w:ind w:firstLine="420"/>
    </w:pPr>
    <w:rPr>
      <w:sz w:val="28"/>
    </w:rPr>
  </w:style>
  <w:style w:type="character" w:styleId="972" w:customStyle="1">
    <w:name w:val="jj1"/>
    <w:qFormat/>
    <w:rPr>
      <w:sz w:val="20"/>
      <w:szCs w:val="20"/>
      <w:u w:val="none"/>
    </w:rPr>
  </w:style>
  <w:style w:type="character" w:styleId="973" w:customStyle="1">
    <w:name w:val="标题2 Char"/>
    <w:qFormat/>
    <w:rPr>
      <w:rFonts w:ascii="方正楷体_GBK" w:hAnsi="Book Antiqua" w:eastAsia="方正楷体_GBK"/>
      <w:sz w:val="32"/>
      <w:lang w:val="en-US" w:eastAsia="zh-CN" w:bidi="ar-SA"/>
    </w:rPr>
  </w:style>
  <w:style w:type="character" w:styleId="974" w:customStyle="1">
    <w:name w:val="NormalCharacter"/>
    <w:qFormat/>
    <w:rPr>
      <w:sz w:val="21"/>
      <w:szCs w:val="22"/>
      <w:lang w:val="en-US" w:eastAsia="zh-CN" w:bidi="ar-SA"/>
    </w:rPr>
  </w:style>
  <w:style w:type="paragraph" w:styleId="975" w:customStyle="1">
    <w:name w:val="二级标题2"/>
    <w:basedOn w:val="878"/>
    <w:next w:val="892"/>
    <w:qFormat/>
    <w:pPr>
      <w:jc w:val="both"/>
      <w:spacing w:before="0" w:after="0" w:line="360" w:lineRule="auto"/>
    </w:pPr>
    <w:rPr>
      <w:rFonts w:ascii="华文中宋" w:hAnsi="华文中宋" w:eastAsia="华文中宋"/>
      <w:bCs/>
      <w:sz w:val="24"/>
      <w:szCs w:val="24"/>
    </w:rPr>
  </w:style>
  <w:style w:type="paragraph" w:styleId="976" w:customStyle="1">
    <w:name w:val="表格"/>
    <w:basedOn w:val="876"/>
    <w:qFormat/>
    <w:pPr>
      <w:jc w:val="center"/>
      <w:spacing w:line="360" w:lineRule="exact"/>
    </w:pPr>
    <w:rPr>
      <w:rFonts w:ascii="Calibri" w:hAnsi="Calibri"/>
      <w:sz w:val="28"/>
      <w:szCs w:val="21"/>
    </w:rPr>
  </w:style>
  <w:style w:type="paragraph" w:styleId="977" w:customStyle="1">
    <w:name w:val="WPSOffice手动目录 1"/>
    <w:qFormat/>
  </w:style>
  <w:style w:type="paragraph" w:styleId="978" w:customStyle="1">
    <w:name w:val="NormalIndent"/>
    <w:basedOn w:val="876"/>
    <w:qFormat/>
    <w:pPr>
      <w:ind w:firstLine="420"/>
    </w:pPr>
  </w:style>
  <w:style w:type="paragraph" w:styleId="979" w:customStyle="1">
    <w:name w:val="普通(网站)1"/>
    <w:basedOn w:val="876"/>
    <w:uiPriority w:val="99"/>
    <w:qFormat/>
    <w:pPr>
      <w:jc w:val="left"/>
      <w:spacing w:before="100" w:beforeAutospacing="1" w:after="100" w:afterAutospacing="1"/>
      <w:widowControl/>
    </w:pPr>
    <w:rPr>
      <w:rFonts w:ascii="宋体" w:hAnsi="宋体" w:cs="宋体"/>
      <w:sz w:val="24"/>
    </w:rPr>
  </w:style>
  <w:style w:type="paragraph" w:styleId="980" w:customStyle="1">
    <w:name w:val="首行缩进"/>
    <w:basedOn w:val="876"/>
    <w:qFormat/>
    <w:pPr>
      <w:ind w:firstLine="480"/>
      <w:spacing w:line="360" w:lineRule="auto"/>
    </w:pPr>
    <w:rPr>
      <w:rFonts w:ascii="宋体" w:hAnsi="宋体" w:cs="宋体"/>
      <w:sz w:val="24"/>
    </w:rPr>
  </w:style>
  <w:style w:type="paragraph" w:styleId="981" w:customStyle="1">
    <w:name w:val="页脚1"/>
    <w:basedOn w:val="876"/>
    <w:link w:val="982"/>
    <w:uiPriority w:val="99"/>
    <w:unhideWhenUsed/>
    <w:qFormat/>
    <w:pPr>
      <w:tabs>
        <w:tab w:val="center" w:pos="7143" w:leader="none"/>
        <w:tab w:val="right" w:pos="14287" w:leader="none"/>
      </w:tabs>
    </w:pPr>
  </w:style>
  <w:style w:type="character" w:styleId="982" w:customStyle="1">
    <w:name w:val="Footer Char"/>
    <w:link w:val="981"/>
    <w:uiPriority w:val="99"/>
    <w:qFormat/>
    <w:rPr>
      <w:sz w:val="21"/>
      <w:szCs w:val="24"/>
    </w:rPr>
  </w:style>
  <w:style w:type="character" w:styleId="983" w:customStyle="1">
    <w:name w:val="标题 1 字符"/>
    <w:qFormat/>
    <w:rPr>
      <w:rFonts w:ascii="楷体_GB2312" w:eastAsia="楷体_GB2312"/>
      <w:sz w:val="28"/>
      <w:lang w:val="en-US" w:eastAsia="zh-CN" w:bidi="ar-SA"/>
    </w:rPr>
  </w:style>
  <w:style w:type="paragraph" w:styleId="984" w:customStyle="1">
    <w:name w:val="_Style 114"/>
    <w:basedOn w:val="894"/>
    <w:next w:val="918"/>
    <w:uiPriority w:val="99"/>
    <w:unhideWhenUsed/>
    <w:qFormat/>
    <w:pPr>
      <w:ind w:firstLine="420"/>
      <w:spacing w:line="360" w:lineRule="auto"/>
    </w:pPr>
    <w:rPr>
      <w:rFonts w:ascii="Calibri" w:hAnsi="Calibri" w:eastAsia="宋体"/>
      <w:sz w:val="21"/>
    </w:rPr>
  </w:style>
  <w:style w:type="paragraph" w:styleId="985" w:customStyle="1">
    <w:name w:val="列出段落3"/>
    <w:basedOn w:val="876"/>
    <w:qFormat/>
    <w:pPr>
      <w:ind w:firstLine="420"/>
    </w:pPr>
    <w:rPr>
      <w:szCs w:val="20"/>
    </w:rPr>
  </w:style>
  <w:style w:type="character" w:styleId="986" w:customStyle="1">
    <w:name w:val="页脚 字符"/>
    <w:basedOn w:val="882"/>
    <w:link w:val="903"/>
    <w:uiPriority w:val="99"/>
    <w:rPr>
      <w:sz w:val="18"/>
    </w:rPr>
  </w:style>
  <w:style w:type="character" w:styleId="987" w:customStyle="1">
    <w:name w:val="纯文本 字符1"/>
    <w:qFormat/>
    <w:rPr>
      <w:rFonts w:ascii="宋体" w:hAnsi="Courier New"/>
      <w:sz w:val="28"/>
    </w:rPr>
  </w:style>
  <w:style w:type="paragraph" w:styleId="988" w:customStyle="1">
    <w:name w:val="msonormal"/>
    <w:basedOn w:val="876"/>
    <w:pPr>
      <w:jc w:val="left"/>
      <w:spacing w:before="100" w:beforeAutospacing="1" w:after="100" w:afterAutospacing="1"/>
      <w:widowControl/>
    </w:pPr>
    <w:rPr>
      <w:rFonts w:ascii="宋体" w:hAnsi="宋体" w:cs="宋体"/>
      <w:sz w:val="24"/>
    </w:rPr>
  </w:style>
  <w:style w:type="paragraph" w:styleId="989" w:customStyle="1">
    <w:name w:val="font5"/>
    <w:basedOn w:val="876"/>
    <w:pPr>
      <w:jc w:val="left"/>
      <w:spacing w:before="100" w:beforeAutospacing="1" w:after="100" w:afterAutospacing="1"/>
      <w:widowControl/>
    </w:pPr>
    <w:rPr>
      <w:rFonts w:ascii="宋体" w:hAnsi="宋体" w:cs="宋体"/>
      <w:sz w:val="18"/>
      <w:szCs w:val="18"/>
    </w:rPr>
  </w:style>
  <w:style w:type="paragraph" w:styleId="990" w:customStyle="1">
    <w:name w:val="font6"/>
    <w:basedOn w:val="876"/>
    <w:pPr>
      <w:jc w:val="left"/>
      <w:spacing w:before="100" w:beforeAutospacing="1" w:after="100" w:afterAutospacing="1"/>
      <w:widowControl/>
    </w:pPr>
    <w:rPr>
      <w:rFonts w:ascii="Arial" w:hAnsi="Arial" w:cs="Arial"/>
      <w:color w:val="000000"/>
      <w:sz w:val="20"/>
      <w:szCs w:val="20"/>
    </w:rPr>
  </w:style>
  <w:style w:type="paragraph" w:styleId="991" w:customStyle="1">
    <w:name w:val="font7"/>
    <w:basedOn w:val="876"/>
    <w:pPr>
      <w:jc w:val="left"/>
      <w:spacing w:before="100" w:beforeAutospacing="1" w:after="100" w:afterAutospacing="1"/>
      <w:widowControl/>
    </w:pPr>
    <w:rPr>
      <w:rFonts w:ascii="宋体" w:hAnsi="宋体" w:cs="宋体"/>
      <w:color w:val="000000"/>
      <w:sz w:val="20"/>
      <w:szCs w:val="20"/>
    </w:rPr>
  </w:style>
  <w:style w:type="paragraph" w:styleId="992" w:customStyle="1">
    <w:name w:val="font8"/>
    <w:basedOn w:val="876"/>
    <w:pPr>
      <w:jc w:val="left"/>
      <w:spacing w:before="100" w:beforeAutospacing="1" w:after="100" w:afterAutospacing="1"/>
      <w:widowControl/>
    </w:pPr>
    <w:rPr>
      <w:rFonts w:ascii="Arial" w:hAnsi="Arial" w:cs="Arial"/>
      <w:color w:val="000000"/>
      <w:sz w:val="20"/>
      <w:szCs w:val="20"/>
    </w:rPr>
  </w:style>
  <w:style w:type="paragraph" w:styleId="993" w:customStyle="1">
    <w:name w:val="font9"/>
    <w:basedOn w:val="876"/>
    <w:pPr>
      <w:jc w:val="left"/>
      <w:spacing w:before="100" w:beforeAutospacing="1" w:after="100" w:afterAutospacing="1"/>
      <w:widowControl/>
    </w:pPr>
    <w:rPr>
      <w:rFonts w:ascii="宋体" w:hAnsi="宋体" w:cs="宋体"/>
      <w:sz w:val="20"/>
      <w:szCs w:val="20"/>
    </w:rPr>
  </w:style>
  <w:style w:type="paragraph" w:styleId="994" w:customStyle="1">
    <w:name w:val="xl63"/>
    <w:basedOn w:val="87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5" w:customStyle="1">
    <w:name w:val="xl64"/>
    <w:basedOn w:val="87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6" w:customStyle="1">
    <w:name w:val="xl65"/>
    <w:basedOn w:val="876"/>
    <w:pPr>
      <w:jc w:val="left"/>
      <w:spacing w:before="100" w:beforeAutospacing="1" w:after="100" w:afterAutospacing="1"/>
      <w:widowControl/>
    </w:pPr>
    <w:rPr>
      <w:rFonts w:ascii="宋体" w:hAnsi="宋体" w:cs="宋体"/>
      <w:sz w:val="20"/>
      <w:szCs w:val="20"/>
    </w:rPr>
  </w:style>
  <w:style w:type="paragraph" w:styleId="997" w:customStyle="1">
    <w:name w:val="xl66"/>
    <w:basedOn w:val="87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8" w:customStyle="1">
    <w:name w:val="xl67"/>
    <w:basedOn w:val="87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9" w:customStyle="1">
    <w:name w:val="xl68"/>
    <w:basedOn w:val="87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0" w:customStyle="1">
    <w:name w:val="xl69"/>
    <w:basedOn w:val="87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1" w:customStyle="1">
    <w:name w:val="xl70"/>
    <w:basedOn w:val="87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2" w:customStyle="1">
    <w:name w:val="xl71"/>
    <w:basedOn w:val="87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3" w:customStyle="1">
    <w:name w:val="xl72"/>
    <w:basedOn w:val="87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4" w:customStyle="1">
    <w:name w:val="xl73"/>
    <w:basedOn w:val="876"/>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05" w:customStyle="1">
    <w:name w:val="xl74"/>
    <w:basedOn w:val="876"/>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06" w:customStyle="1">
    <w:name w:val="xl75"/>
    <w:basedOn w:val="87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7" w:customStyle="1">
    <w:name w:val="xl76"/>
    <w:basedOn w:val="87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8" w:customStyle="1">
    <w:name w:val="xl77"/>
    <w:basedOn w:val="87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9" w:customStyle="1">
    <w:name w:val="xl78"/>
    <w:basedOn w:val="87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10" w:customStyle="1">
    <w:name w:val="xl79"/>
    <w:basedOn w:val="87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11" w:customStyle="1">
    <w:name w:val="xl80"/>
    <w:basedOn w:val="87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2" w:customStyle="1">
    <w:name w:val="xl81"/>
    <w:basedOn w:val="87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3" w:customStyle="1">
    <w:name w:val="xl82"/>
    <w:basedOn w:val="876"/>
    <w:pPr>
      <w:jc w:val="center"/>
      <w:spacing w:before="100" w:beforeAutospacing="1" w:after="100" w:afterAutospacing="1"/>
      <w:widowControl/>
    </w:pPr>
    <w:rPr>
      <w:rFonts w:ascii="宋体" w:hAnsi="宋体" w:cs="宋体"/>
      <w:sz w:val="20"/>
      <w:szCs w:val="20"/>
    </w:rPr>
  </w:style>
  <w:style w:type="paragraph" w:styleId="1014" w:customStyle="1">
    <w:name w:val="xl83"/>
    <w:basedOn w:val="876"/>
    <w:pPr>
      <w:jc w:val="center"/>
      <w:spacing w:before="100" w:beforeAutospacing="1" w:after="100" w:afterAutospacing="1"/>
      <w:widowControl/>
    </w:pPr>
    <w:rPr>
      <w:rFonts w:ascii="宋体" w:hAnsi="宋体" w:cs="宋体"/>
      <w:sz w:val="20"/>
      <w:szCs w:val="20"/>
    </w:rPr>
  </w:style>
  <w:style w:type="paragraph" w:styleId="1015" w:customStyle="1">
    <w:name w:val="xl84"/>
    <w:basedOn w:val="876"/>
    <w:pPr>
      <w:jc w:val="left"/>
      <w:spacing w:before="100" w:beforeAutospacing="1" w:after="100" w:afterAutospacing="1"/>
      <w:widowControl/>
    </w:pPr>
    <w:rPr>
      <w:rFonts w:ascii="宋体" w:hAnsi="宋体" w:cs="宋体"/>
      <w:sz w:val="20"/>
      <w:szCs w:val="20"/>
    </w:rPr>
  </w:style>
  <w:style w:type="paragraph" w:styleId="1016" w:customStyle="1">
    <w:name w:val="xl85"/>
    <w:basedOn w:val="87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7" w:customStyle="1">
    <w:name w:val="xl86"/>
    <w:basedOn w:val="87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8">
    <w:name w:val="Revision"/>
    <w:hidden/>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0B0069-6E63-48FD-83AA-26F85E0CC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标准化磋商文件</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顾伟伟</dc:creator>
  <cp:lastModifiedBy>单钰锋</cp:lastModifiedBy>
  <cp:revision>148</cp:revision>
  <dcterms:created xsi:type="dcterms:W3CDTF">2024-05-06T08:35:00Z</dcterms:created>
  <dcterms:modified xsi:type="dcterms:W3CDTF">2025-09-11T08:53:51Z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14ABBE8482E04ACFA9F871A44712DC5B_13</vt:lpwstr>
  </property>
  <property fmtid="{D5CDD505-2E9C-101B-9397-08002B2CF9AE}" pid="3" name="KSOProductBuildVer">
    <vt:lpwstr>2052-12.1.0.18276</vt:lpwstr>
  </property>
</Properties>
</file>