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266"/>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266"/>
        <w:ind w:firstLine="0"/>
        <w:jc w:val="center"/>
        <w:spacing w:before="0" w:after="0"/>
        <w:rPr>
          <w:rFonts w:hint="eastAsia" w:ascii="宋体" w:hAnsi="宋体" w:eastAsia="宋体"/>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Cs/>
          <w:color w:val="auto"/>
          <w:sz w:val="32"/>
          <w:szCs w:val="32"/>
          <w:highlight w:val="none"/>
          <w:lang w:eastAsia="zh-CN"/>
        </w:rPr>
        <w:t xml:space="preserve">2025年双山岛环岛监控采购项目</w:t>
      </w:r>
      <w:r/>
    </w:p>
    <w:p>
      <w:pPr>
        <w:pStyle w:val="1266"/>
        <w:ind w:left="0" w:firstLine="0"/>
        <w:jc w:val="center"/>
        <w:spacing w:before="0" w:after="0"/>
        <w:rPr>
          <w:rFonts w:hint="default" w:ascii="宋体" w:hAnsi="宋体"/>
          <w:color w:val="auto"/>
          <w:sz w:val="32"/>
          <w:szCs w:val="32"/>
          <w:highlight w:val="none"/>
          <w:lang w:val="en-US"/>
        </w:rPr>
      </w:pPr>
      <w:r>
        <w:rPr>
          <w:rFonts w:hint="eastAsia" w:ascii="宋体" w:hAnsi="宋体"/>
          <w:b/>
          <w:color w:val="auto"/>
          <w:sz w:val="32"/>
          <w:szCs w:val="32"/>
          <w:highlight w:val="none"/>
        </w:rPr>
        <w:t xml:space="preserve">标书编号：</w:t>
      </w:r>
      <w:r>
        <w:rPr>
          <w:rFonts w:hint="eastAsia" w:ascii="新宋体" w:hAnsi="新宋体" w:cs="新宋体"/>
          <w:color w:val="auto"/>
          <w:sz w:val="32"/>
          <w:szCs w:val="32"/>
          <w:highlight w:val="none"/>
          <w:lang w:eastAsia="zh-CN"/>
        </w:rPr>
        <w:t xml:space="preserve">JSZC-320582-HYJS-G2025-0027</w:t>
      </w:r>
      <w:r/>
    </w:p>
    <w:p>
      <w:pPr>
        <w:pStyle w:val="1266"/>
        <w:ind w:firstLine="0"/>
        <w:jc w:val="center"/>
        <w:spacing w:before="0" w:after="0"/>
        <w:rPr>
          <w:rFonts w:hint="eastAsia" w:ascii="宋体" w:hAnsi="宋体"/>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color w:val="auto"/>
          <w:sz w:val="32"/>
          <w:szCs w:val="32"/>
          <w:highlight w:val="none"/>
          <w:lang w:val="en-US" w:eastAsia="zh-CN"/>
        </w:rPr>
        <w:t xml:space="preserve">服务</w:t>
      </w:r>
      <w:r>
        <w:rPr>
          <w:rFonts w:hint="eastAsia" w:ascii="宋体" w:hAnsi="宋体"/>
          <w:color w:val="auto"/>
          <w:sz w:val="32"/>
          <w:szCs w:val="32"/>
          <w:highlight w:val="none"/>
        </w:rPr>
        <w:t xml:space="preserve">类</w:t>
      </w:r>
      <w:r/>
    </w:p>
    <w:p>
      <w:pPr>
        <w:pStyle w:val="126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26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26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26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26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26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26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191"/>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张家港保税区宏宇建设咨询有限公司</w:t>
      </w:r>
      <w:r/>
    </w:p>
    <w:p>
      <w:pPr>
        <w:pStyle w:val="1266"/>
        <w:ind w:firstLine="0"/>
        <w:jc w:val="center"/>
        <w:rPr>
          <w:rFonts w:hint="eastAsia"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rPr>
        <w:t xml:space="preserve">2025年</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25</w:t>
      </w:r>
      <w:r>
        <w:rPr>
          <w:rFonts w:hint="eastAsia" w:ascii="宋体" w:hAnsi="宋体" w:cs="宋体"/>
          <w:b/>
          <w:bCs/>
          <w:color w:val="auto"/>
          <w:sz w:val="32"/>
          <w:highlight w:val="none"/>
        </w:rPr>
        <w:t xml:space="preserve">日</w:t>
      </w:r>
      <w:bookmarkEnd w:id="0"/>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1" w:name="_Toc120614210"/>
      <w:r/>
      <w:bookmarkStart w:id="2" w:name="_Toc16938516"/>
      <w:r/>
      <w:bookmarkStart w:id="3" w:name="_Toc20823272"/>
      <w:r/>
      <w:bookmarkStart w:id="4" w:name="_Toc479757206"/>
      <w:r/>
      <w:bookmarkStart w:id="5" w:name="_Toc513029200"/>
      <w:r/>
      <w:bookmarkStart w:id="6" w:name="_Toc523127445"/>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968"/>
        <w:tabs>
          <w:tab w:val="left" w:pos="850" w:leader="none"/>
          <w:tab w:val="right" w:pos="10082" w:leader="dot"/>
        </w:tabs>
        <w:rPr>
          <w:rFonts w:asciiTheme="minorHAnsi" w:hAnsiTheme="minorHAnsi" w:eastAsiaTheme="minorEastAsia" w:cstheme="minorBidi"/>
          <w:b w:val="0"/>
          <w:bCs w:val="0"/>
          <w:color w:val="auto"/>
          <w:sz w:val="24"/>
          <w:szCs w:val="28"/>
          <w:highlight w:val="none"/>
        </w:rPr>
      </w:pPr>
      <w:r>
        <w:rPr>
          <w:rFonts w:hint="eastAsia" w:ascii="宋体" w:hAnsi="宋体" w:cs="宋体"/>
          <w:b w:val="0"/>
          <w:bCs w:val="0"/>
          <w:caps/>
          <w:color w:val="auto"/>
          <w:sz w:val="24"/>
          <w:szCs w:val="24"/>
          <w:highlight w:val="none"/>
        </w:rPr>
        <w:fldChar w:fldCharType="begin"/>
      </w:r>
      <w:r>
        <w:rPr>
          <w:rFonts w:hint="eastAsia" w:ascii="宋体" w:hAnsi="宋体" w:cs="宋体"/>
          <w:b w:val="0"/>
          <w:bCs w:val="0"/>
          <w:color w:val="auto"/>
          <w:sz w:val="24"/>
          <w:szCs w:val="24"/>
          <w:highlight w:val="none"/>
        </w:rPr>
        <w:instrText xml:space="preserve"> TOC \o "1-2" \h \z \u </w:instrText>
      </w:r>
      <w:r>
        <w:rPr>
          <w:rFonts w:hint="eastAsia" w:ascii="宋体" w:hAnsi="宋体" w:cs="宋体"/>
          <w:b w:val="0"/>
          <w:bCs w:val="0"/>
          <w:caps/>
          <w:color w:val="auto"/>
          <w:sz w:val="24"/>
          <w:szCs w:val="24"/>
          <w:highlight w:val="none"/>
        </w:rPr>
        <w:fldChar w:fldCharType="separate"/>
      </w:r>
      <w:r>
        <w:rPr>
          <w:b w:val="0"/>
          <w:bCs w:val="0"/>
          <w:color w:val="auto"/>
          <w:sz w:val="24"/>
          <w:szCs w:val="28"/>
          <w:highlight w:val="none"/>
        </w:rPr>
        <w:fldChar w:fldCharType="begin"/>
      </w:r>
      <w:r>
        <w:rPr>
          <w:b w:val="0"/>
          <w:bCs w:val="0"/>
          <w:color w:val="auto"/>
          <w:sz w:val="24"/>
          <w:szCs w:val="28"/>
          <w:highlight w:val="none"/>
        </w:rPr>
        <w:instrText xml:space="preserve"> HYPERLINK \l "_Toc185684862" \o "#_Toc185684862" </w:instrText>
      </w:r>
      <w:r>
        <w:rPr>
          <w:b w:val="0"/>
          <w:bCs w:val="0"/>
          <w:color w:val="auto"/>
          <w:sz w:val="24"/>
          <w:szCs w:val="28"/>
          <w:highlight w:val="none"/>
        </w:rPr>
        <w:fldChar w:fldCharType="separate"/>
      </w:r>
      <w:r>
        <w:rPr>
          <w:rStyle w:val="984"/>
          <w:rFonts w:hint="eastAsia" w:ascii="宋体" w:hAnsi="宋体"/>
          <w:b w:val="0"/>
          <w:bCs w:val="0"/>
          <w:color w:val="auto"/>
          <w:sz w:val="24"/>
          <w:szCs w:val="28"/>
          <w:highlight w:val="none"/>
        </w:rPr>
        <w:t xml:space="preserve">第一章</w:t>
      </w:r>
      <w:r>
        <w:rPr>
          <w:rFonts w:asciiTheme="minorHAnsi" w:hAnsiTheme="minorHAnsi" w:eastAsiaTheme="minorEastAsia" w:cstheme="minorBidi"/>
          <w:b w:val="0"/>
          <w:bCs w:val="0"/>
          <w:color w:val="auto"/>
          <w:sz w:val="24"/>
          <w:szCs w:val="28"/>
          <w:highlight w:val="none"/>
        </w:rPr>
        <w:tab/>
      </w:r>
      <w:r>
        <w:rPr>
          <w:rStyle w:val="984"/>
          <w:rFonts w:hint="eastAsia" w:ascii="宋体" w:hAnsi="宋体"/>
          <w:b w:val="0"/>
          <w:bCs w:val="0"/>
          <w:color w:val="auto"/>
          <w:sz w:val="24"/>
          <w:szCs w:val="28"/>
          <w:highlight w:val="none"/>
        </w:rPr>
        <w:t xml:space="preserve">投标邀请</w:t>
      </w:r>
      <w:r>
        <w:rPr>
          <w:b w:val="0"/>
          <w:bCs w:val="0"/>
          <w:color w:val="auto"/>
          <w:sz w:val="24"/>
          <w:szCs w:val="28"/>
          <w:highlight w:val="none"/>
        </w:rPr>
        <w:tab/>
      </w:r>
      <w:r>
        <w:rPr>
          <w:b w:val="0"/>
          <w:bCs w:val="0"/>
          <w:color w:val="auto"/>
          <w:sz w:val="24"/>
          <w:szCs w:val="28"/>
          <w:highlight w:val="none"/>
        </w:rPr>
        <w:fldChar w:fldCharType="begin"/>
      </w:r>
      <w:r>
        <w:rPr>
          <w:b w:val="0"/>
          <w:bCs w:val="0"/>
          <w:color w:val="auto"/>
          <w:sz w:val="24"/>
          <w:szCs w:val="28"/>
          <w:highlight w:val="none"/>
        </w:rPr>
        <w:instrText xml:space="preserve"> PAGEREF _Toc185684862 \h </w:instrText>
      </w:r>
      <w:r>
        <w:rPr>
          <w:b w:val="0"/>
          <w:bCs w:val="0"/>
          <w:color w:val="auto"/>
          <w:sz w:val="24"/>
          <w:szCs w:val="28"/>
          <w:highlight w:val="none"/>
        </w:rPr>
        <w:fldChar w:fldCharType="separate"/>
      </w:r>
      <w:r>
        <w:rPr>
          <w:b w:val="0"/>
          <w:bCs w:val="0"/>
          <w:color w:val="auto"/>
          <w:sz w:val="24"/>
          <w:szCs w:val="28"/>
          <w:highlight w:val="none"/>
        </w:rPr>
        <w:t xml:space="preserve">2</w:t>
      </w:r>
      <w:r>
        <w:rPr>
          <w:b w:val="0"/>
          <w:bCs w:val="0"/>
          <w:color w:val="auto"/>
          <w:sz w:val="24"/>
          <w:szCs w:val="28"/>
          <w:highlight w:val="none"/>
        </w:rPr>
        <w:fldChar w:fldCharType="end"/>
      </w:r>
      <w:r>
        <w:rPr>
          <w:b w:val="0"/>
          <w:bCs w:val="0"/>
          <w:color w:val="auto"/>
          <w:sz w:val="24"/>
          <w:szCs w:val="28"/>
          <w:highlight w:val="none"/>
        </w:rPr>
        <w:fldChar w:fldCharType="end"/>
      </w:r>
      <w:r/>
    </w:p>
    <w:p>
      <w:pPr>
        <w:pStyle w:val="968"/>
        <w:tabs>
          <w:tab w:val="right" w:pos="10082" w:leader="dot"/>
        </w:tabs>
        <w:rPr>
          <w:rFonts w:asciiTheme="minorHAnsi" w:hAnsiTheme="minorHAnsi" w:eastAsiaTheme="minorEastAsia" w:cstheme="minorBidi"/>
          <w:b w:val="0"/>
          <w:bCs w:val="0"/>
          <w:color w:val="auto"/>
          <w:sz w:val="24"/>
          <w:szCs w:val="28"/>
          <w:highlight w:val="none"/>
        </w:rPr>
      </w:pPr>
      <w:r>
        <w:rPr>
          <w:b w:val="0"/>
          <w:bCs w:val="0"/>
          <w:color w:val="auto"/>
          <w:sz w:val="24"/>
          <w:szCs w:val="28"/>
          <w:highlight w:val="none"/>
        </w:rPr>
        <w:fldChar w:fldCharType="begin"/>
      </w:r>
      <w:r>
        <w:rPr>
          <w:b w:val="0"/>
          <w:bCs w:val="0"/>
          <w:color w:val="auto"/>
          <w:sz w:val="24"/>
          <w:szCs w:val="28"/>
          <w:highlight w:val="none"/>
        </w:rPr>
        <w:instrText xml:space="preserve"> HYPERLINK \l "_Toc185684863" \o "#_Toc185684863" </w:instrText>
      </w:r>
      <w:r>
        <w:rPr>
          <w:b w:val="0"/>
          <w:bCs w:val="0"/>
          <w:color w:val="auto"/>
          <w:sz w:val="24"/>
          <w:szCs w:val="28"/>
          <w:highlight w:val="none"/>
        </w:rPr>
        <w:fldChar w:fldCharType="separate"/>
      </w:r>
      <w:r>
        <w:rPr>
          <w:rStyle w:val="984"/>
          <w:rFonts w:hint="eastAsia" w:ascii="宋体" w:hAnsi="宋体"/>
          <w:b w:val="0"/>
          <w:bCs w:val="0"/>
          <w:color w:val="auto"/>
          <w:sz w:val="24"/>
          <w:szCs w:val="28"/>
          <w:highlight w:val="none"/>
        </w:rPr>
        <w:t xml:space="preserve">第二章</w:t>
      </w:r>
      <w:r>
        <w:rPr>
          <w:rStyle w:val="984"/>
          <w:rFonts w:ascii="宋体" w:hAnsi="宋体"/>
          <w:b w:val="0"/>
          <w:bCs w:val="0"/>
          <w:color w:val="auto"/>
          <w:sz w:val="24"/>
          <w:szCs w:val="28"/>
          <w:highlight w:val="none"/>
        </w:rPr>
        <w:t xml:space="preserve"> </w:t>
      </w:r>
      <w:r>
        <w:rPr>
          <w:rStyle w:val="984"/>
          <w:rFonts w:hint="eastAsia" w:ascii="宋体" w:hAnsi="宋体"/>
          <w:b w:val="0"/>
          <w:bCs w:val="0"/>
          <w:color w:val="auto"/>
          <w:sz w:val="24"/>
          <w:szCs w:val="28"/>
          <w:highlight w:val="none"/>
        </w:rPr>
        <w:t xml:space="preserve">投标人须知</w:t>
      </w:r>
      <w:r>
        <w:rPr>
          <w:b w:val="0"/>
          <w:bCs w:val="0"/>
          <w:color w:val="auto"/>
          <w:sz w:val="24"/>
          <w:szCs w:val="28"/>
          <w:highlight w:val="none"/>
        </w:rPr>
        <w:tab/>
      </w:r>
      <w:r>
        <w:rPr>
          <w:b w:val="0"/>
          <w:bCs w:val="0"/>
          <w:color w:val="auto"/>
          <w:sz w:val="24"/>
          <w:szCs w:val="28"/>
          <w:highlight w:val="none"/>
        </w:rPr>
        <w:fldChar w:fldCharType="begin"/>
      </w:r>
      <w:r>
        <w:rPr>
          <w:b w:val="0"/>
          <w:bCs w:val="0"/>
          <w:color w:val="auto"/>
          <w:sz w:val="24"/>
          <w:szCs w:val="28"/>
          <w:highlight w:val="none"/>
        </w:rPr>
        <w:instrText xml:space="preserve"> PAGEREF _Toc185684863 \h </w:instrText>
      </w:r>
      <w:r>
        <w:rPr>
          <w:b w:val="0"/>
          <w:bCs w:val="0"/>
          <w:color w:val="auto"/>
          <w:sz w:val="24"/>
          <w:szCs w:val="28"/>
          <w:highlight w:val="none"/>
        </w:rPr>
        <w:fldChar w:fldCharType="separate"/>
      </w:r>
      <w:r>
        <w:rPr>
          <w:b w:val="0"/>
          <w:bCs w:val="0"/>
          <w:color w:val="auto"/>
          <w:sz w:val="24"/>
          <w:szCs w:val="28"/>
          <w:highlight w:val="none"/>
        </w:rPr>
        <w:t xml:space="preserve">6</w:t>
      </w:r>
      <w:r>
        <w:rPr>
          <w:b w:val="0"/>
          <w:bCs w:val="0"/>
          <w:color w:val="auto"/>
          <w:sz w:val="24"/>
          <w:szCs w:val="28"/>
          <w:highlight w:val="none"/>
        </w:rPr>
        <w:fldChar w:fldCharType="end"/>
      </w:r>
      <w:r>
        <w:rPr>
          <w:b w:val="0"/>
          <w:bCs w:val="0"/>
          <w:color w:val="auto"/>
          <w:sz w:val="24"/>
          <w:szCs w:val="28"/>
          <w:highlight w:val="none"/>
        </w:rPr>
        <w:fldChar w:fldCharType="end"/>
      </w:r>
      <w:r/>
    </w:p>
    <w:p>
      <w:pPr>
        <w:pStyle w:val="968"/>
        <w:tabs>
          <w:tab w:val="right" w:pos="10082" w:leader="dot"/>
        </w:tabs>
        <w:rPr>
          <w:rFonts w:asciiTheme="minorHAnsi" w:hAnsiTheme="minorHAnsi" w:eastAsiaTheme="minorEastAsia" w:cstheme="minorBidi"/>
          <w:b w:val="0"/>
          <w:bCs w:val="0"/>
          <w:color w:val="auto"/>
          <w:sz w:val="24"/>
          <w:szCs w:val="28"/>
          <w:highlight w:val="none"/>
        </w:rPr>
      </w:pPr>
      <w:r>
        <w:rPr>
          <w:b w:val="0"/>
          <w:bCs w:val="0"/>
          <w:color w:val="auto"/>
          <w:sz w:val="24"/>
          <w:szCs w:val="28"/>
          <w:highlight w:val="none"/>
        </w:rPr>
        <w:fldChar w:fldCharType="begin"/>
      </w:r>
      <w:r>
        <w:rPr>
          <w:b w:val="0"/>
          <w:bCs w:val="0"/>
          <w:color w:val="auto"/>
          <w:sz w:val="24"/>
          <w:szCs w:val="28"/>
          <w:highlight w:val="none"/>
        </w:rPr>
        <w:instrText xml:space="preserve"> HYPERLINK \l "_Toc185684864" \o "#_Toc185684864" </w:instrText>
      </w:r>
      <w:r>
        <w:rPr>
          <w:b w:val="0"/>
          <w:bCs w:val="0"/>
          <w:color w:val="auto"/>
          <w:sz w:val="24"/>
          <w:szCs w:val="28"/>
          <w:highlight w:val="none"/>
        </w:rPr>
        <w:fldChar w:fldCharType="separate"/>
      </w:r>
      <w:r>
        <w:rPr>
          <w:rStyle w:val="984"/>
          <w:rFonts w:hint="eastAsia" w:ascii="宋体" w:hAnsi="宋体"/>
          <w:b w:val="0"/>
          <w:bCs w:val="0"/>
          <w:color w:val="auto"/>
          <w:sz w:val="24"/>
          <w:szCs w:val="28"/>
          <w:highlight w:val="none"/>
        </w:rPr>
        <w:t xml:space="preserve">第三章</w:t>
      </w:r>
      <w:r>
        <w:rPr>
          <w:rStyle w:val="984"/>
          <w:rFonts w:ascii="宋体" w:hAnsi="宋体"/>
          <w:b w:val="0"/>
          <w:bCs w:val="0"/>
          <w:color w:val="auto"/>
          <w:sz w:val="24"/>
          <w:szCs w:val="28"/>
          <w:highlight w:val="none"/>
        </w:rPr>
        <w:t xml:space="preserve"> </w:t>
      </w:r>
      <w:r>
        <w:rPr>
          <w:rStyle w:val="984"/>
          <w:rFonts w:hint="eastAsia" w:ascii="宋体" w:hAnsi="宋体"/>
          <w:b w:val="0"/>
          <w:bCs w:val="0"/>
          <w:color w:val="auto"/>
          <w:sz w:val="24"/>
          <w:szCs w:val="28"/>
          <w:highlight w:val="none"/>
        </w:rPr>
        <w:t xml:space="preserve">合同条款及格式</w:t>
      </w:r>
      <w:r>
        <w:rPr>
          <w:b w:val="0"/>
          <w:bCs w:val="0"/>
          <w:color w:val="auto"/>
          <w:sz w:val="24"/>
          <w:szCs w:val="28"/>
          <w:highlight w:val="none"/>
        </w:rPr>
        <w:tab/>
      </w:r>
      <w:r>
        <w:rPr>
          <w:b w:val="0"/>
          <w:bCs w:val="0"/>
          <w:color w:val="auto"/>
          <w:sz w:val="24"/>
          <w:szCs w:val="28"/>
          <w:highlight w:val="none"/>
        </w:rPr>
        <w:fldChar w:fldCharType="begin"/>
      </w:r>
      <w:r>
        <w:rPr>
          <w:b w:val="0"/>
          <w:bCs w:val="0"/>
          <w:color w:val="auto"/>
          <w:sz w:val="24"/>
          <w:szCs w:val="28"/>
          <w:highlight w:val="none"/>
        </w:rPr>
        <w:instrText xml:space="preserve"> PAGEREF _Toc185684864 \h </w:instrText>
      </w:r>
      <w:r>
        <w:rPr>
          <w:b w:val="0"/>
          <w:bCs w:val="0"/>
          <w:color w:val="auto"/>
          <w:sz w:val="24"/>
          <w:szCs w:val="28"/>
          <w:highlight w:val="none"/>
        </w:rPr>
        <w:fldChar w:fldCharType="separate"/>
      </w:r>
      <w:r>
        <w:rPr>
          <w:b w:val="0"/>
          <w:bCs w:val="0"/>
          <w:color w:val="auto"/>
          <w:sz w:val="24"/>
          <w:szCs w:val="28"/>
          <w:highlight w:val="none"/>
        </w:rPr>
        <w:t xml:space="preserve">17</w:t>
      </w:r>
      <w:r>
        <w:rPr>
          <w:b w:val="0"/>
          <w:bCs w:val="0"/>
          <w:color w:val="auto"/>
          <w:sz w:val="24"/>
          <w:szCs w:val="28"/>
          <w:highlight w:val="none"/>
        </w:rPr>
        <w:fldChar w:fldCharType="end"/>
      </w:r>
      <w:r>
        <w:rPr>
          <w:b w:val="0"/>
          <w:bCs w:val="0"/>
          <w:color w:val="auto"/>
          <w:sz w:val="24"/>
          <w:szCs w:val="28"/>
          <w:highlight w:val="none"/>
        </w:rPr>
        <w:fldChar w:fldCharType="end"/>
      </w:r>
      <w:r/>
    </w:p>
    <w:p>
      <w:pPr>
        <w:pStyle w:val="968"/>
        <w:tabs>
          <w:tab w:val="right" w:pos="10082" w:leader="dot"/>
        </w:tabs>
        <w:rPr>
          <w:rFonts w:asciiTheme="minorHAnsi" w:hAnsiTheme="minorHAnsi" w:eastAsiaTheme="minorEastAsia" w:cstheme="minorBidi"/>
          <w:b w:val="0"/>
          <w:bCs w:val="0"/>
          <w:color w:val="auto"/>
          <w:sz w:val="24"/>
          <w:szCs w:val="28"/>
          <w:highlight w:val="none"/>
        </w:rPr>
      </w:pPr>
      <w:r>
        <w:rPr>
          <w:b w:val="0"/>
          <w:bCs w:val="0"/>
          <w:color w:val="auto"/>
          <w:sz w:val="24"/>
          <w:szCs w:val="28"/>
          <w:highlight w:val="none"/>
        </w:rPr>
        <w:fldChar w:fldCharType="begin"/>
      </w:r>
      <w:r>
        <w:rPr>
          <w:b w:val="0"/>
          <w:bCs w:val="0"/>
          <w:color w:val="auto"/>
          <w:sz w:val="24"/>
          <w:szCs w:val="28"/>
          <w:highlight w:val="none"/>
        </w:rPr>
        <w:instrText xml:space="preserve"> HYPERLINK \l "_Toc185684865" \o "#_Toc185684865" </w:instrText>
      </w:r>
      <w:r>
        <w:rPr>
          <w:b w:val="0"/>
          <w:bCs w:val="0"/>
          <w:color w:val="auto"/>
          <w:sz w:val="24"/>
          <w:szCs w:val="28"/>
          <w:highlight w:val="none"/>
        </w:rPr>
        <w:fldChar w:fldCharType="separate"/>
      </w:r>
      <w:r>
        <w:rPr>
          <w:rStyle w:val="984"/>
          <w:rFonts w:hint="eastAsia" w:ascii="宋体" w:hAnsi="宋体"/>
          <w:b w:val="0"/>
          <w:bCs w:val="0"/>
          <w:color w:val="auto"/>
          <w:sz w:val="24"/>
          <w:szCs w:val="28"/>
          <w:highlight w:val="none"/>
        </w:rPr>
        <w:t xml:space="preserve">第四章</w:t>
      </w:r>
      <w:r>
        <w:rPr>
          <w:rStyle w:val="984"/>
          <w:rFonts w:ascii="宋体" w:hAnsi="宋体"/>
          <w:b w:val="0"/>
          <w:bCs w:val="0"/>
          <w:color w:val="auto"/>
          <w:sz w:val="24"/>
          <w:szCs w:val="28"/>
          <w:highlight w:val="none"/>
        </w:rPr>
        <w:t xml:space="preserve"> </w:t>
      </w:r>
      <w:r>
        <w:rPr>
          <w:rStyle w:val="984"/>
          <w:rFonts w:hint="eastAsia" w:ascii="宋体" w:hAnsi="宋体"/>
          <w:b w:val="0"/>
          <w:bCs w:val="0"/>
          <w:color w:val="auto"/>
          <w:sz w:val="24"/>
          <w:szCs w:val="28"/>
          <w:highlight w:val="none"/>
        </w:rPr>
        <w:t xml:space="preserve">项目需求</w:t>
      </w:r>
      <w:r>
        <w:rPr>
          <w:b w:val="0"/>
          <w:bCs w:val="0"/>
          <w:color w:val="auto"/>
          <w:sz w:val="24"/>
          <w:szCs w:val="28"/>
          <w:highlight w:val="none"/>
        </w:rPr>
        <w:tab/>
      </w:r>
      <w:r>
        <w:rPr>
          <w:b w:val="0"/>
          <w:bCs w:val="0"/>
          <w:color w:val="auto"/>
          <w:sz w:val="24"/>
          <w:szCs w:val="28"/>
          <w:highlight w:val="none"/>
        </w:rPr>
        <w:t xml:space="preserve">22</w:t>
      </w:r>
      <w:r>
        <w:rPr>
          <w:b w:val="0"/>
          <w:bCs w:val="0"/>
          <w:color w:val="auto"/>
          <w:sz w:val="24"/>
          <w:szCs w:val="28"/>
          <w:highlight w:val="none"/>
        </w:rPr>
        <w:fldChar w:fldCharType="end"/>
      </w:r>
      <w:r/>
    </w:p>
    <w:p>
      <w:pPr>
        <w:pStyle w:val="968"/>
        <w:tabs>
          <w:tab w:val="right" w:pos="10082" w:leader="dot"/>
        </w:tabs>
        <w:rPr>
          <w:rFonts w:hint="eastAsia" w:eastAsia="宋体" w:asciiTheme="minorHAnsi" w:hAnsiTheme="minorHAnsi" w:cstheme="minorBidi"/>
          <w:b w:val="0"/>
          <w:bCs w:val="0"/>
          <w:color w:val="auto"/>
          <w:sz w:val="24"/>
          <w:szCs w:val="28"/>
          <w:highlight w:val="none"/>
          <w:lang w:val="en-US" w:eastAsia="zh-CN"/>
        </w:rPr>
      </w:pPr>
      <w:r>
        <w:rPr>
          <w:b w:val="0"/>
          <w:bCs w:val="0"/>
          <w:color w:val="auto"/>
          <w:sz w:val="24"/>
          <w:szCs w:val="28"/>
          <w:highlight w:val="none"/>
        </w:rPr>
        <w:fldChar w:fldCharType="begin"/>
      </w:r>
      <w:r>
        <w:rPr>
          <w:b w:val="0"/>
          <w:bCs w:val="0"/>
          <w:color w:val="auto"/>
          <w:sz w:val="24"/>
          <w:szCs w:val="28"/>
          <w:highlight w:val="none"/>
        </w:rPr>
        <w:instrText xml:space="preserve"> HYPERLINK \l "_Toc185684866" \o "#_Toc185684866" </w:instrText>
      </w:r>
      <w:r>
        <w:rPr>
          <w:b w:val="0"/>
          <w:bCs w:val="0"/>
          <w:color w:val="auto"/>
          <w:sz w:val="24"/>
          <w:szCs w:val="28"/>
          <w:highlight w:val="none"/>
        </w:rPr>
        <w:fldChar w:fldCharType="separate"/>
      </w:r>
      <w:r>
        <w:rPr>
          <w:rStyle w:val="984"/>
          <w:rFonts w:hint="eastAsia" w:ascii="宋体" w:hAnsi="宋体"/>
          <w:b w:val="0"/>
          <w:bCs w:val="0"/>
          <w:color w:val="auto"/>
          <w:sz w:val="24"/>
          <w:szCs w:val="28"/>
          <w:highlight w:val="none"/>
        </w:rPr>
        <w:t xml:space="preserve">第五章</w:t>
      </w:r>
      <w:r>
        <w:rPr>
          <w:rStyle w:val="984"/>
          <w:rFonts w:ascii="宋体" w:hAnsi="宋体"/>
          <w:b w:val="0"/>
          <w:bCs w:val="0"/>
          <w:color w:val="auto"/>
          <w:sz w:val="24"/>
          <w:szCs w:val="28"/>
          <w:highlight w:val="none"/>
        </w:rPr>
        <w:t xml:space="preserve"> </w:t>
      </w:r>
      <w:r>
        <w:rPr>
          <w:rStyle w:val="984"/>
          <w:rFonts w:hint="eastAsia" w:ascii="宋体" w:hAnsi="宋体"/>
          <w:b w:val="0"/>
          <w:bCs w:val="0"/>
          <w:color w:val="auto"/>
          <w:sz w:val="24"/>
          <w:szCs w:val="28"/>
          <w:highlight w:val="none"/>
        </w:rPr>
        <w:t xml:space="preserve">评标方法与评标标准</w:t>
      </w:r>
      <w:r>
        <w:rPr>
          <w:b w:val="0"/>
          <w:bCs w:val="0"/>
          <w:color w:val="auto"/>
          <w:sz w:val="24"/>
          <w:szCs w:val="28"/>
          <w:highlight w:val="none"/>
        </w:rPr>
        <w:tab/>
      </w:r>
      <w:r>
        <w:rPr>
          <w:rFonts w:hint="eastAsia"/>
          <w:b w:val="0"/>
          <w:bCs w:val="0"/>
          <w:color w:val="auto"/>
          <w:sz w:val="24"/>
          <w:szCs w:val="28"/>
          <w:highlight w:val="none"/>
          <w:lang w:val="en-US" w:eastAsia="zh-CN"/>
        </w:rPr>
        <w:t xml:space="preserve">4</w:t>
      </w:r>
      <w:r>
        <w:rPr>
          <w:b w:val="0"/>
          <w:bCs w:val="0"/>
          <w:color w:val="auto"/>
          <w:sz w:val="24"/>
          <w:szCs w:val="28"/>
          <w:highlight w:val="none"/>
        </w:rPr>
        <w:fldChar w:fldCharType="end"/>
      </w:r>
      <w:r>
        <w:rPr>
          <w:rFonts w:hint="eastAsia"/>
          <w:b w:val="0"/>
          <w:bCs w:val="0"/>
          <w:color w:val="auto"/>
          <w:sz w:val="24"/>
          <w:szCs w:val="28"/>
          <w:highlight w:val="none"/>
          <w:lang w:val="en-US" w:eastAsia="zh-CN"/>
        </w:rPr>
        <w:t xml:space="preserve">7</w:t>
      </w:r>
      <w:r/>
    </w:p>
    <w:p>
      <w:pPr>
        <w:pStyle w:val="968"/>
        <w:tabs>
          <w:tab w:val="right" w:pos="10082" w:leader="dot"/>
        </w:tabs>
        <w:rPr>
          <w:rFonts w:hint="eastAsia" w:eastAsia="宋体" w:asciiTheme="minorHAnsi" w:hAnsiTheme="minorHAnsi" w:cstheme="minorBidi"/>
          <w:b w:val="0"/>
          <w:bCs w:val="0"/>
          <w:color w:val="auto"/>
          <w:highlight w:val="none"/>
          <w:lang w:val="en-US" w:eastAsia="zh-CN"/>
        </w:rPr>
      </w:pPr>
      <w:r>
        <w:rPr>
          <w:b w:val="0"/>
          <w:bCs w:val="0"/>
          <w:color w:val="auto"/>
          <w:sz w:val="24"/>
          <w:szCs w:val="28"/>
          <w:highlight w:val="none"/>
        </w:rPr>
        <w:fldChar w:fldCharType="begin"/>
      </w:r>
      <w:r>
        <w:rPr>
          <w:b w:val="0"/>
          <w:bCs w:val="0"/>
          <w:color w:val="auto"/>
          <w:sz w:val="24"/>
          <w:szCs w:val="28"/>
          <w:highlight w:val="none"/>
        </w:rPr>
        <w:instrText xml:space="preserve"> HYPERLINK \l "_Toc185684869" \o "#_Toc185684869" </w:instrText>
      </w:r>
      <w:r>
        <w:rPr>
          <w:b w:val="0"/>
          <w:bCs w:val="0"/>
          <w:color w:val="auto"/>
          <w:sz w:val="24"/>
          <w:szCs w:val="28"/>
          <w:highlight w:val="none"/>
        </w:rPr>
        <w:fldChar w:fldCharType="separate"/>
      </w:r>
      <w:r>
        <w:rPr>
          <w:rStyle w:val="984"/>
          <w:rFonts w:hint="eastAsia" w:ascii="宋体" w:hAnsi="宋体"/>
          <w:b w:val="0"/>
          <w:bCs w:val="0"/>
          <w:color w:val="auto"/>
          <w:sz w:val="24"/>
          <w:szCs w:val="28"/>
          <w:highlight w:val="none"/>
        </w:rPr>
        <w:t xml:space="preserve">第六章</w:t>
      </w:r>
      <w:r>
        <w:rPr>
          <w:rStyle w:val="984"/>
          <w:rFonts w:ascii="宋体" w:hAnsi="宋体"/>
          <w:b w:val="0"/>
          <w:bCs w:val="0"/>
          <w:color w:val="auto"/>
          <w:sz w:val="24"/>
          <w:szCs w:val="28"/>
          <w:highlight w:val="none"/>
        </w:rPr>
        <w:t xml:space="preserve"> </w:t>
      </w:r>
      <w:r>
        <w:rPr>
          <w:rStyle w:val="984"/>
          <w:rFonts w:hint="eastAsia" w:ascii="宋体" w:hAnsi="宋体"/>
          <w:b w:val="0"/>
          <w:bCs w:val="0"/>
          <w:color w:val="auto"/>
          <w:sz w:val="24"/>
          <w:szCs w:val="28"/>
          <w:highlight w:val="none"/>
        </w:rPr>
        <w:t xml:space="preserve">投标文件格式</w:t>
      </w:r>
      <w:r>
        <w:rPr>
          <w:b w:val="0"/>
          <w:bCs w:val="0"/>
          <w:color w:val="auto"/>
          <w:sz w:val="24"/>
          <w:szCs w:val="28"/>
          <w:highlight w:val="none"/>
        </w:rPr>
        <w:tab/>
      </w:r>
      <w:r>
        <w:rPr>
          <w:rFonts w:hint="eastAsia"/>
          <w:b w:val="0"/>
          <w:bCs w:val="0"/>
          <w:color w:val="auto"/>
          <w:sz w:val="24"/>
          <w:szCs w:val="28"/>
          <w:highlight w:val="none"/>
          <w:lang w:val="en-US" w:eastAsia="zh-CN"/>
        </w:rPr>
        <w:t xml:space="preserve">5</w:t>
      </w:r>
      <w:r>
        <w:rPr>
          <w:b w:val="0"/>
          <w:bCs w:val="0"/>
          <w:color w:val="auto"/>
          <w:sz w:val="24"/>
          <w:szCs w:val="28"/>
          <w:highlight w:val="none"/>
        </w:rPr>
        <w:fldChar w:fldCharType="end"/>
      </w:r>
      <w:r>
        <w:rPr>
          <w:rFonts w:hint="eastAsia"/>
          <w:b w:val="0"/>
          <w:bCs w:val="0"/>
          <w:color w:val="auto"/>
          <w:sz w:val="24"/>
          <w:szCs w:val="28"/>
          <w:highlight w:val="none"/>
          <w:lang w:val="en-US" w:eastAsia="zh-CN"/>
        </w:rPr>
        <w:t xml:space="preserve">1</w:t>
      </w:r>
      <w:r/>
    </w:p>
    <w:p>
      <w:pPr>
        <w:spacing w:line="400" w:lineRule="exact"/>
        <w:tabs>
          <w:tab w:val="left" w:pos="1440" w:leader="none"/>
        </w:tabs>
        <w:rPr>
          <w:rFonts w:hint="eastAsia" w:ascii="宋体" w:hAnsi="宋体"/>
          <w:b w:val="0"/>
          <w:bCs w:val="0"/>
          <w:color w:val="auto"/>
          <w:sz w:val="28"/>
          <w:szCs w:val="28"/>
          <w:highlight w:val="none"/>
        </w:rPr>
        <w:sectPr>
          <w:headerReference w:type="default" r:id="rId9"/>
          <w:footerReference w:type="default" r:id="rId13"/>
          <w:footerReference w:type="even" r:id="rId14"/>
          <w:footerReference w:type="first" r:id="rId15"/>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cs="宋体"/>
          <w:b w:val="0"/>
          <w:bCs w:val="0"/>
          <w:color w:val="auto"/>
          <w:sz w:val="24"/>
          <w:szCs w:val="24"/>
          <w:highlight w:val="none"/>
        </w:rPr>
        <w:fldChar w:fldCharType="end"/>
      </w:r>
      <w:bookmarkEnd w:id="1"/>
      <w:r/>
      <w:bookmarkStart w:id="7" w:name="_Toc54615237"/>
      <w:r/>
      <w:bookmarkStart w:id="8" w:name="_Toc185684862"/>
      <w:r/>
      <w:bookmarkStart w:id="9" w:name="_Toc35266018"/>
      <w:r/>
      <w:bookmarkStart w:id="10" w:name="_Toc38368118"/>
      <w:r/>
      <w:r/>
    </w:p>
    <w:p>
      <w:pPr>
        <w:pStyle w:val="1218"/>
        <w:numPr>
          <w:ilvl w:val="0"/>
          <w:numId w:val="9"/>
        </w:numPr>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投标邀请</w:t>
      </w:r>
      <w:bookmarkEnd w:id="7"/>
      <w:r/>
      <w:bookmarkEnd w:id="8"/>
      <w:r/>
      <w:bookmarkEnd w:id="9"/>
      <w:r/>
      <w:bookmarkEnd w:id="10"/>
      <w:r/>
      <w:bookmarkStart w:id="11" w:name="_Toc120614211"/>
      <w:r/>
      <w:r/>
    </w:p>
    <w:p>
      <w:pPr>
        <w:ind w:firstLine="480"/>
        <w:spacing w:line="360" w:lineRule="auto"/>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12" w:name="招标文件获取地址_3"/>
      <w:r>
        <w:rPr>
          <w:rFonts w:hint="eastAsia" w:ascii="宋体" w:hAnsi="宋体"/>
          <w:color w:val="auto"/>
          <w:sz w:val="24"/>
          <w:szCs w:val="24"/>
          <w:highlight w:val="none"/>
        </w:rPr>
        <w:t xml:space="preserve">项目概况</w:t>
      </w:r>
      <w:r/>
    </w:p>
    <w:p>
      <w:pPr>
        <w:ind w:firstLine="480"/>
        <w:spacing w:line="360" w:lineRule="auto"/>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2025年双山岛环岛监控采购项目</w:t>
      </w:r>
      <w:r>
        <w:rPr>
          <w:rFonts w:hint="eastAsia" w:ascii="宋体" w:hAnsi="宋体" w:cs="宋体"/>
          <w:color w:val="auto"/>
          <w:sz w:val="24"/>
          <w:szCs w:val="24"/>
          <w:highlight w:val="none"/>
          <w:lang w:eastAsia="zh-CN"/>
        </w:rPr>
        <w:t xml:space="preserve">JSZC-320582-HYJS-G2025-0027</w:t>
      </w:r>
      <w:r>
        <w:rPr>
          <w:rFonts w:hint="eastAsia" w:ascii="宋体" w:hAnsi="宋体" w:cs="宋体"/>
          <w:color w:val="auto"/>
          <w:spacing w:val="8"/>
          <w:sz w:val="24"/>
          <w:szCs w:val="24"/>
          <w:highlight w:val="none"/>
        </w:rPr>
        <w:t xml:space="preserve">招标项目的潜在投标人应在“苏采云”系统</w:t>
      </w:r>
      <w:r>
        <w:rPr>
          <w:rFonts w:hint="eastAsia" w:asciiTheme="minorEastAsia" w:hAnsiTheme="minorEastAsia" w:eastAsiaTheme="minorEastAsia" w:cstheme="minorEastAsia"/>
          <w:color w:val="auto"/>
          <w:spacing w:val="8"/>
          <w:sz w:val="24"/>
          <w:szCs w:val="24"/>
          <w:highlight w:val="none"/>
        </w:rPr>
        <w:t xml:space="preserve">中下载（网址：</w:t>
      </w:r>
      <w:bookmarkEnd w:id="12"/>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 "http://jszfcg.jsczt.cn/）获取招标文件，并于2024年08月"</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highlight w:val="none"/>
        </w:rPr>
        <w:t xml:space="preserve">http://jszfcg.jsczt.cn/）</w:t>
      </w:r>
      <w:r>
        <w:rPr>
          <w:rFonts w:hint="eastAsia" w:asciiTheme="minorEastAsia" w:hAnsiTheme="minorEastAsia" w:eastAsiaTheme="minorEastAsia" w:cstheme="minorEastAsia"/>
          <w:color w:val="auto"/>
          <w:spacing w:val="8"/>
          <w:sz w:val="24"/>
          <w:szCs w:val="24"/>
          <w:highlight w:val="none"/>
        </w:rPr>
        <w:t xml:space="preserve">获取招标文件，并于2025</w:t>
      </w:r>
      <w:r>
        <w:rPr>
          <w:rFonts w:hint="eastAsia" w:asciiTheme="minorEastAsia" w:hAnsiTheme="minorEastAsia" w:eastAsiaTheme="minorEastAsia" w:cstheme="minorEastAsia"/>
          <w:color w:val="auto"/>
          <w:spacing w:val="8"/>
          <w:sz w:val="24"/>
          <w:szCs w:val="24"/>
          <w:highlight w:val="none"/>
          <w:lang w:val="en-US" w:eastAsia="zh-CN"/>
        </w:rPr>
        <w:t xml:space="preserve">年10</w:t>
      </w:r>
      <w:r>
        <w:rPr>
          <w:rFonts w:hint="eastAsia" w:asciiTheme="minorEastAsia" w:hAnsiTheme="minorEastAsia" w:eastAsiaTheme="minorEastAsia" w:cstheme="minorEastAsia"/>
          <w:color w:val="auto"/>
          <w:spacing w:val="8"/>
          <w:sz w:val="24"/>
          <w:szCs w:val="24"/>
          <w:highlight w:val="none"/>
        </w:rPr>
        <w:t xml:space="preserve">月</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20</w:t>
      </w:r>
      <w:r>
        <w:rPr>
          <w:rFonts w:hint="eastAsia" w:asciiTheme="minorEastAsia" w:hAnsiTheme="minorEastAsia" w:eastAsiaTheme="minorEastAsia" w:cstheme="minorEastAsia"/>
          <w:color w:val="auto"/>
          <w:spacing w:val="8"/>
          <w:sz w:val="24"/>
          <w:szCs w:val="24"/>
          <w:highlight w:val="none"/>
        </w:rPr>
        <w:t xml:space="preserve">日13时30分（北京时间）前递交投标文件。</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一、项目基本情况</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项目编号：</w:t>
      </w:r>
      <w:r>
        <w:rPr>
          <w:rFonts w:hint="eastAsia" w:ascii="宋体" w:hAnsi="宋体" w:cs="宋体"/>
          <w:color w:val="auto"/>
          <w:spacing w:val="8"/>
          <w:sz w:val="24"/>
          <w:szCs w:val="24"/>
          <w:highlight w:val="none"/>
          <w:lang w:eastAsia="zh-CN"/>
        </w:rPr>
        <w:t xml:space="preserve">JSZC-320582-HYJS-G2025-0027</w:t>
      </w:r>
      <w:r>
        <w:rPr>
          <w:rFonts w:hint="eastAsia" w:ascii="宋体" w:hAnsi="宋体" w:cs="宋体"/>
          <w:color w:val="auto"/>
          <w:spacing w:val="8"/>
          <w:sz w:val="24"/>
          <w:szCs w:val="24"/>
          <w:highlight w:val="none"/>
        </w:rPr>
        <w:t xml:space="preserve">  </w:t>
      </w:r>
      <w:r/>
    </w:p>
    <w:p>
      <w:pPr>
        <w:ind w:firstLine="512"/>
        <w:jc w:val="left"/>
        <w:spacing w:line="360" w:lineRule="auto"/>
        <w:shd w:val="clear" w:color="auto" w:fill="ffffff"/>
        <w:widowControl/>
        <w:rPr>
          <w:rFonts w:hint="eastAsia" w:ascii="宋体" w:hAnsi="宋体" w:cs="宋体"/>
          <w:color w:val="auto"/>
          <w:spacing w:val="8"/>
          <w:sz w:val="24"/>
          <w:szCs w:val="24"/>
          <w:highlight w:val="none"/>
          <w:lang w:eastAsia="zh-CN"/>
        </w:rPr>
      </w:pPr>
      <w:r>
        <w:rPr>
          <w:rFonts w:hint="eastAsia" w:ascii="宋体" w:hAnsi="宋体" w:cs="宋体"/>
          <w:color w:val="auto"/>
          <w:spacing w:val="8"/>
          <w:sz w:val="24"/>
          <w:szCs w:val="24"/>
          <w:highlight w:val="none"/>
        </w:rPr>
        <w:t xml:space="preserve">项目名称：</w:t>
      </w:r>
      <w:r>
        <w:rPr>
          <w:rFonts w:hint="eastAsia" w:ascii="宋体" w:hAnsi="宋体" w:cs="宋体"/>
          <w:color w:val="auto"/>
          <w:spacing w:val="8"/>
          <w:sz w:val="24"/>
          <w:szCs w:val="24"/>
          <w:highlight w:val="none"/>
          <w:lang w:eastAsia="zh-CN"/>
        </w:rPr>
        <w:t xml:space="preserve">2025年双山岛环岛监控采购项目</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预算金额：</w:t>
      </w:r>
      <w:r>
        <w:rPr>
          <w:rFonts w:hint="eastAsia" w:ascii="宋体" w:hAnsi="宋体" w:cs="宋体"/>
          <w:color w:val="auto"/>
          <w:spacing w:val="8"/>
          <w:sz w:val="24"/>
          <w:szCs w:val="24"/>
          <w:highlight w:val="none"/>
          <w:lang w:val="en-US" w:eastAsia="zh-CN"/>
        </w:rPr>
        <w:t xml:space="preserve">77.3万</w:t>
      </w:r>
      <w:r>
        <w:rPr>
          <w:rFonts w:hint="eastAsia" w:ascii="宋体" w:hAnsi="宋体" w:cs="宋体"/>
          <w:color w:val="auto"/>
          <w:spacing w:val="8"/>
          <w:sz w:val="24"/>
          <w:szCs w:val="24"/>
          <w:highlight w:val="none"/>
        </w:rPr>
        <w:t xml:space="preserve">元</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最高限价：</w:t>
      </w:r>
      <w:r>
        <w:rPr>
          <w:rFonts w:hint="eastAsia" w:ascii="宋体" w:hAnsi="宋体" w:cs="宋体"/>
          <w:color w:val="auto"/>
          <w:spacing w:val="8"/>
          <w:sz w:val="24"/>
          <w:szCs w:val="24"/>
          <w:highlight w:val="none"/>
          <w:lang w:val="en-US" w:eastAsia="zh-CN"/>
        </w:rPr>
        <w:t xml:space="preserve">77.3万</w:t>
      </w:r>
      <w:r>
        <w:rPr>
          <w:rFonts w:hint="eastAsia" w:ascii="宋体" w:hAnsi="宋体" w:cs="宋体"/>
          <w:color w:val="auto"/>
          <w:spacing w:val="8"/>
          <w:sz w:val="24"/>
          <w:szCs w:val="24"/>
          <w:highlight w:val="none"/>
        </w:rPr>
        <w:t xml:space="preserve">元</w:t>
      </w:r>
      <w:r/>
    </w:p>
    <w:p>
      <w:pPr>
        <w:ind w:firstLine="512"/>
        <w:jc w:val="left"/>
        <w:spacing w:line="360" w:lineRule="auto"/>
        <w:shd w:val="clear" w:color="auto" w:fill="ffffff"/>
        <w:widowControl/>
        <w:rPr>
          <w:rFonts w:hint="default" w:ascii="宋体" w:hAnsi="宋体" w:eastAsia="宋体" w:cs="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t xml:space="preserve">采购方式：公开招标</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采购需求：</w:t>
      </w:r>
      <w:bookmarkStart w:id="13" w:name="EB07b3bccf5c0e4a39a123ff811f911745"/>
      <w:r>
        <w:rPr>
          <w:rFonts w:hint="eastAsia" w:ascii="宋体" w:hAnsi="宋体" w:cs="宋体"/>
          <w:color w:val="auto"/>
          <w:spacing w:val="8"/>
          <w:sz w:val="24"/>
          <w:szCs w:val="24"/>
          <w:highlight w:val="none"/>
          <w:lang w:val="en-US" w:eastAsia="zh-CN"/>
        </w:rPr>
        <w:t xml:space="preserve">通过租赁服务方式在张家港双山岛环岛各处布设约59个监控点位，含治安监控（需按要求接入公安网络）和景区管理监控。采购服务内容包括监控点位建设、相关电线光缆的配套建设以及三年合同期内的维修保养等。</w:t>
      </w:r>
      <w:r>
        <w:rPr>
          <w:rFonts w:hint="eastAsia" w:ascii="宋体" w:hAnsi="宋体" w:cs="宋体"/>
          <w:color w:val="auto"/>
          <w:spacing w:val="8"/>
          <w:sz w:val="24"/>
          <w:szCs w:val="24"/>
          <w:highlight w:val="none"/>
        </w:rPr>
        <w:t xml:space="preserve">具体要求详见招标文件第四章项目需求。</w:t>
      </w:r>
      <w:bookmarkEnd w:id="13"/>
      <w:r/>
      <w:r/>
    </w:p>
    <w:p>
      <w:pPr>
        <w:ind w:firstLine="512"/>
        <w:jc w:val="left"/>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cs="宋体"/>
          <w:color w:val="auto"/>
          <w:spacing w:val="8"/>
          <w:sz w:val="24"/>
          <w:szCs w:val="24"/>
          <w:highlight w:val="none"/>
        </w:rPr>
        <w:t xml:space="preserve">合同服务期限</w:t>
      </w:r>
      <w:bookmarkStart w:id="14" w:name="EBc1f6639250fe4c2294880160fa37a7de"/>
      <w:r>
        <w:rPr>
          <w:rFonts w:hint="eastAsia" w:ascii="宋体" w:hAnsi="宋体" w:cs="宋体"/>
          <w:color w:val="auto"/>
          <w:spacing w:val="8"/>
          <w:sz w:val="24"/>
          <w:szCs w:val="24"/>
          <w:highlight w:val="none"/>
        </w:rPr>
        <w:t xml:space="preserve">：</w:t>
      </w:r>
      <w:bookmarkEnd w:id="14"/>
      <w:r>
        <w:rPr>
          <w:rFonts w:hint="eastAsia" w:ascii="宋体" w:hAnsi="宋体" w:cs="宋体"/>
          <w:color w:val="auto"/>
          <w:spacing w:val="8"/>
          <w:sz w:val="24"/>
          <w:szCs w:val="24"/>
          <w:highlight w:val="none"/>
          <w:lang w:val="en-US" w:eastAsia="zh-CN"/>
        </w:rPr>
        <w:t xml:space="preserve">安装工期：30天；租赁服务期限：36个月</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本项目（是/否）接受联合体投标：</w:t>
      </w:r>
      <w:r>
        <w:rPr>
          <w:rFonts w:hint="eastAsia" w:ascii="宋体" w:hAnsi="宋体" w:cs="宋体"/>
          <w:color w:val="auto"/>
          <w:sz w:val="24"/>
          <w:szCs w:val="24"/>
          <w:highlight w:val="none"/>
        </w:rPr>
        <w:t xml:space="preserve">不接受联合体</w:t>
      </w:r>
      <w:r/>
    </w:p>
    <w:p>
      <w:pPr>
        <w:numPr>
          <w:ilvl w:val="0"/>
          <w:numId w:val="10"/>
        </w:numPr>
        <w:ind w:firstLine="512"/>
        <w:jc w:val="left"/>
        <w:spacing w:line="360" w:lineRule="auto"/>
        <w:shd w:val="clear" w:color="auto" w:fill="ffffff"/>
        <w:widowControl/>
        <w:rPr>
          <w:rStyle w:val="1587"/>
          <w:rFonts w:hint="default"/>
          <w:color w:val="auto"/>
          <w:highlight w:val="none"/>
        </w:rPr>
      </w:pPr>
      <w:r>
        <w:rPr>
          <w:rFonts w:hint="eastAsia" w:ascii="宋体" w:hAnsi="宋体" w:cs="宋体"/>
          <w:color w:val="auto"/>
          <w:spacing w:val="8"/>
          <w:sz w:val="24"/>
          <w:szCs w:val="24"/>
          <w:highlight w:val="none"/>
        </w:rPr>
        <w:t xml:space="preserve">申请人的资格要求：</w:t>
      </w:r>
      <w:r/>
    </w:p>
    <w:p>
      <w:pPr>
        <w:ind w:firstLine="480"/>
        <w:jc w:val="left"/>
        <w:spacing w:line="360" w:lineRule="auto"/>
        <w:shd w:val="clear" w:color="auto" w:fill="ffffff"/>
        <w:widowControl/>
        <w:rPr>
          <w:rStyle w:val="1587"/>
          <w:rFonts w:hint="default"/>
          <w:color w:val="auto"/>
          <w:highlight w:val="none"/>
        </w:rPr>
      </w:pPr>
      <w:r>
        <w:rPr>
          <w:rStyle w:val="1587"/>
          <w:rFonts w:hint="default"/>
          <w:color w:val="auto"/>
          <w:highlight w:val="none"/>
        </w:rPr>
        <w:t xml:space="preserve">（一）</w:t>
      </w:r>
      <w:bookmarkStart w:id="15" w:name="_Hlk169717571"/>
      <w:r>
        <w:rPr>
          <w:rStyle w:val="1587"/>
          <w:rFonts w:hint="default"/>
          <w:color w:val="auto"/>
          <w:highlight w:val="none"/>
        </w:rPr>
        <w:t xml:space="preserve">满足《中华人民共和国政府采购法》第二十二条规定</w:t>
      </w:r>
      <w:bookmarkEnd w:id="15"/>
      <w:r>
        <w:rPr>
          <w:rStyle w:val="1587"/>
          <w:rFonts w:hint="default"/>
          <w:color w:val="auto"/>
          <w:highlight w:val="none"/>
        </w:rPr>
        <w:t xml:space="preserve">：</w:t>
      </w:r>
      <w:r/>
    </w:p>
    <w:p>
      <w:pPr>
        <w:ind w:firstLine="480"/>
        <w:jc w:val="left"/>
        <w:spacing w:line="440" w:lineRule="exact"/>
        <w:rPr>
          <w:rFonts w:hint="eastAsia"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rPr>
          <w:rFonts w:hint="eastAsia"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（2）财务状况报告（成立不满一年不需要提供）。</w:t>
      </w:r>
      <w:r/>
    </w:p>
    <w:p>
      <w:pPr>
        <w:ind w:firstLine="480"/>
        <w:jc w:val="left"/>
        <w:spacing w:line="440" w:lineRule="exact"/>
        <w:rPr>
          <w:rFonts w:hint="eastAsia"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（3）依法缴纳税收和社会保障资金的相关材料</w:t>
      </w:r>
      <w:r>
        <w:rPr>
          <w:rFonts w:hint="eastAsia" w:ascii="Times New Roman Regular" w:hAnsi="Times New Roman Regular" w:cs="Times New Roman Regular"/>
          <w:i/>
          <w:iCs/>
          <w:color w:val="000000"/>
          <w:sz w:val="24"/>
          <w:highlight w:val="none"/>
          <w:u w:val="single"/>
        </w:rPr>
        <w:t xml:space="preserve">（如依法享受缓缴、免缴税收、社会保障资金的，应提供相关证明材料）</w:t>
      </w:r>
      <w:r>
        <w:rPr>
          <w:rFonts w:ascii="Times New Roman Regular" w:hAnsi="Times New Roman Regular" w:cs="Times New Roman Regular"/>
          <w:i/>
          <w:iCs/>
          <w:color w:val="000000"/>
          <w:sz w:val="24"/>
          <w:highlight w:val="none"/>
          <w:u w:val="single"/>
        </w:rPr>
        <w:t xml:space="preserve">。</w:t>
      </w:r>
      <w:r/>
    </w:p>
    <w:p>
      <w:pPr>
        <w:ind w:firstLine="480"/>
        <w:jc w:val="left"/>
        <w:spacing w:line="440" w:lineRule="exact"/>
        <w:rPr>
          <w:rFonts w:hint="eastAsia"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（4）具备履行合同所必需的设备和专业技术能力的书面声明。</w:t>
      </w:r>
      <w:r/>
    </w:p>
    <w:p>
      <w:pPr>
        <w:ind w:firstLine="480"/>
        <w:spacing w:line="440" w:lineRule="exact"/>
        <w:widowControl/>
        <w:rPr>
          <w:rFonts w:hint="eastAsia" w:ascii="Times New Roman Regular" w:hAnsi="Times New Roman Regular" w:cs="Times New Roman Regular"/>
          <w:i/>
          <w:iCs/>
          <w:color w:val="000000"/>
          <w:spacing w:val="8"/>
          <w:sz w:val="24"/>
          <w:highlight w:val="none"/>
          <w:u w:val="single"/>
        </w:rPr>
      </w:pPr>
      <w:r>
        <w:rPr>
          <w:rFonts w:ascii="Times New Roman Regular" w:hAnsi="Times New Roman Regular" w:cs="Times New Roman Regular"/>
          <w:i/>
          <w:iCs/>
          <w:color w:val="000000"/>
          <w:sz w:val="24"/>
          <w:highlight w:val="none"/>
          <w:u w:val="single"/>
        </w:rPr>
        <w:t xml:space="preserve">（5）参加政府采购活动前3年内在经营活动中没有重大违法记录的书面声明。</w:t>
      </w:r>
      <w:r/>
    </w:p>
    <w:p>
      <w:pPr>
        <w:ind w:firstLine="480"/>
        <w:jc w:val="left"/>
        <w:spacing w:line="440" w:lineRule="exact"/>
        <w:rPr>
          <w:rFonts w:hint="eastAsia" w:ascii="Times New Roman Regular" w:hAnsi="Times New Roman Regular" w:eastAsia="宋体"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（6）授权委托书</w:t>
      </w:r>
      <w:r>
        <w:rPr>
          <w:rFonts w:hint="eastAsia" w:ascii="Times New Roman Regular" w:hAnsi="Times New Roman Regular" w:cs="Times New Roman Regular"/>
          <w:i/>
          <w:iCs/>
          <w:color w:val="000000"/>
          <w:sz w:val="24"/>
          <w:highlight w:val="none"/>
          <w:u w:val="single"/>
        </w:rPr>
        <w:t xml:space="preserve">（被授权人非法定</w:t>
      </w:r>
      <w:r>
        <w:rPr>
          <w:rFonts w:hint="eastAsia" w:ascii="Times New Roman Regular" w:hAnsi="Times New Roman Regular" w:eastAsia="宋体" w:cs="Times New Roman Regular"/>
          <w:i/>
          <w:iCs/>
          <w:color w:val="000000"/>
          <w:sz w:val="24"/>
          <w:highlight w:val="none"/>
          <w:u w:val="single"/>
        </w:rPr>
        <w:t xml:space="preserve">代表人的，应提供授权委托书原件及身份证原件的扫描件；被授权人是法定代表人的，应提供授权委托书或法定代表人身份证明书原件的扫描件）。</w:t>
      </w:r>
      <w:r/>
    </w:p>
    <w:p>
      <w:pPr>
        <w:ind w:firstLine="480"/>
        <w:spacing w:line="440" w:lineRule="exact"/>
        <w:widowControl/>
        <w:rPr>
          <w:rFonts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（7）</w:t>
      </w:r>
      <w:r>
        <w:rPr>
          <w:rFonts w:hint="eastAsia" w:ascii="Times New Roman Regular" w:hAnsi="Times New Roman Regular" w:cs="Times New Roman Regular"/>
          <w:i/>
          <w:iCs/>
          <w:color w:val="000000"/>
          <w:sz w:val="24"/>
          <w:highlight w:val="none"/>
          <w:u w:val="single"/>
        </w:rPr>
        <w:t xml:space="preserve">关于资格证明文件的书面承诺</w:t>
      </w:r>
      <w:r>
        <w:rPr>
          <w:rFonts w:ascii="Times New Roman Regular" w:hAnsi="Times New Roman Regular" w:cs="Times New Roman Regular"/>
          <w:i/>
          <w:iCs/>
          <w:color w:val="000000"/>
          <w:sz w:val="24"/>
          <w:highlight w:val="none"/>
          <w:u w:val="single"/>
        </w:rPr>
        <w:t xml:space="preserve">。</w:t>
      </w:r>
      <w:r/>
    </w:p>
    <w:p>
      <w:pPr>
        <w:ind w:firstLine="480"/>
        <w:spacing w:line="440" w:lineRule="exact"/>
        <w:widowControl/>
        <w:rPr>
          <w:rStyle w:val="1587"/>
          <w:rFonts w:hint="default"/>
          <w:color w:val="auto"/>
          <w:highlight w:val="none"/>
        </w:rPr>
      </w:pPr>
      <w:r>
        <w:rPr>
          <w:rStyle w:val="1587"/>
          <w:rFonts w:hint="default"/>
          <w:color w:val="auto"/>
          <w:highlight w:val="none"/>
        </w:rPr>
        <w:t xml:space="preserve">（二）落实政府采购政策需满足的资格要求： </w:t>
      </w:r>
      <w:r/>
    </w:p>
    <w:p>
      <w:pPr>
        <w:contextualSpacing/>
        <w:ind w:firstLine="480"/>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无</w:t>
      </w:r>
      <w:r>
        <w:rPr>
          <w:rFonts w:ascii="宋体" w:hAnsi="宋体" w:cs="宋体"/>
          <w:color w:val="auto"/>
          <w:spacing w:val="8"/>
          <w:sz w:val="24"/>
          <w:highlight w:val="none"/>
        </w:rPr>
        <w:t xml:space="preserve">。</w:t>
      </w:r>
      <w:r/>
    </w:p>
    <w:p>
      <w:pPr>
        <w:numPr>
          <w:ilvl w:val="0"/>
          <w:numId w:val="11"/>
        </w:numPr>
        <w:contextualSpacing/>
        <w:ind w:firstLine="512"/>
        <w:spacing w:line="42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本项目的特定资格要求：</w:t>
      </w:r>
      <w:r/>
    </w:p>
    <w:p>
      <w:pPr>
        <w:ind w:firstLine="480"/>
        <w:spacing w:line="440" w:lineRule="exact"/>
        <w:widowControl/>
        <w:rPr>
          <w:rFonts w:hint="eastAsia" w:ascii="Times New Roman Regular" w:hAnsi="Times New Roman Regular" w:cs="Times New Roman Regular"/>
          <w:i/>
          <w:iCs/>
          <w:color w:val="000000"/>
          <w:sz w:val="24"/>
          <w:highlight w:val="none"/>
          <w:u w:val="single"/>
          <w:lang w:eastAsia="zh-CN"/>
        </w:rPr>
      </w:pPr>
      <w:r>
        <w:rPr>
          <w:rStyle w:val="1587"/>
          <w:i/>
          <w:iCs/>
          <w:highlight w:val="none"/>
          <w:u w:val="single"/>
          <w:lang w:eastAsia="zh-CN"/>
        </w:rPr>
        <w:t xml:space="preserve">（</w:t>
      </w:r>
      <w:r>
        <w:rPr>
          <w:rStyle w:val="1587"/>
          <w:rFonts w:hint="eastAsia"/>
          <w:i/>
          <w:iCs/>
          <w:highlight w:val="none"/>
          <w:u w:val="single"/>
          <w:lang w:val="en-US" w:eastAsia="zh-CN"/>
        </w:rPr>
        <w:t xml:space="preserve">1</w:t>
      </w:r>
      <w:r>
        <w:rPr>
          <w:rStyle w:val="1587"/>
          <w:i/>
          <w:iCs/>
          <w:highlight w:val="none"/>
          <w:u w:val="single"/>
          <w:lang w:eastAsia="zh-CN"/>
        </w:rPr>
        <w:t xml:space="preserve">）</w:t>
      </w:r>
      <w:r>
        <w:rPr>
          <w:rFonts w:hint="eastAsia" w:ascii="Times New Roman Regular" w:hAnsi="Times New Roman Regular" w:cs="Times New Roman Regular"/>
          <w:i/>
          <w:iCs/>
          <w:color w:val="000000"/>
          <w:sz w:val="24"/>
          <w:highlight w:val="none"/>
          <w:u w:val="single"/>
          <w:lang w:val="en-US" w:eastAsia="zh-CN"/>
        </w:rPr>
        <w:t xml:space="preserve">未</w:t>
      </w:r>
      <w:r>
        <w:rPr>
          <w:rFonts w:hint="eastAsia" w:ascii="宋体" w:hAnsi="宋体" w:cs="宋体"/>
          <w:i/>
          <w:iCs/>
          <w:color w:val="auto"/>
          <w:spacing w:val="8"/>
          <w:sz w:val="24"/>
          <w:highlight w:val="none"/>
          <w:u w:val="single"/>
        </w:rPr>
        <w:t xml:space="preserve">被“信用中国”网站（www.creditchina.gov.cn）列入失信被执行人、重大税收违法案件当事人名单、政府采购严重失信行为记录名单</w:t>
      </w:r>
      <w:r>
        <w:rPr>
          <w:rFonts w:hint="eastAsia" w:ascii="Times New Roman Regular" w:hAnsi="Times New Roman Regular" w:cs="Times New Roman Regular"/>
          <w:i/>
          <w:iCs/>
          <w:color w:val="000000"/>
          <w:sz w:val="24"/>
          <w:highlight w:val="none"/>
          <w:u w:val="single"/>
          <w:lang w:eastAsia="zh-CN"/>
        </w:rPr>
        <w:t xml:space="preserve">。</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三、获取招标文件</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时间：自招标文件公告发布之日起5个工作日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地点：苏采云政府采购一体化平台（网址：http://jszfcg.jsczt.cn/）</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方式：苏采云政府采购一体化平台（网址：http://jszfcg.jsczt.cn/）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售价：0.00元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四、提交投标文件截止时间、开标时间和地点</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szCs w:val="24"/>
          <w:highlight w:val="none"/>
        </w:rPr>
        <w:t xml:space="preserve">2025-</w:t>
      </w:r>
      <w:r>
        <w:rPr>
          <w:rFonts w:hint="eastAsia" w:ascii="宋体" w:hAnsi="宋体" w:cs="宋体"/>
          <w:color w:val="auto"/>
          <w:spacing w:val="8"/>
          <w:sz w:val="24"/>
          <w:szCs w:val="24"/>
          <w:highlight w:val="none"/>
          <w:lang w:val="en-US" w:eastAsia="zh-CN"/>
        </w:rPr>
        <w:t xml:space="preserve">10</w:t>
      </w:r>
      <w:r>
        <w:rPr>
          <w:rFonts w:hint="eastAsia" w:ascii="宋体" w:hAnsi="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20</w:t>
      </w:r>
      <w:r>
        <w:rPr>
          <w:rFonts w:hint="eastAsia" w:ascii="宋体" w:hAnsi="宋体" w:cs="宋体"/>
          <w:color w:val="auto"/>
          <w:spacing w:val="8"/>
          <w:sz w:val="24"/>
          <w:szCs w:val="24"/>
          <w:highlight w:val="none"/>
        </w:rPr>
        <w:t xml:space="preserve"> </w:t>
      </w:r>
      <w:r>
        <w:rPr>
          <w:rFonts w:hint="eastAsia" w:ascii="宋体" w:hAnsi="宋体" w:cs="宋体"/>
          <w:color w:val="auto"/>
          <w:spacing w:val="8"/>
          <w:sz w:val="24"/>
          <w:szCs w:val="24"/>
          <w:highlight w:val="none"/>
          <w:lang w:val="en-US" w:eastAsia="zh-CN"/>
        </w:rPr>
        <w:t xml:space="preserve">13</w:t>
      </w:r>
      <w:r>
        <w:rPr>
          <w:rFonts w:hint="eastAsia" w:ascii="宋体" w:hAnsi="宋体" w:cs="宋体"/>
          <w:color w:val="auto"/>
          <w:spacing w:val="8"/>
          <w:sz w:val="24"/>
          <w:szCs w:val="24"/>
          <w:highlight w:val="none"/>
        </w:rPr>
        <w:t xml:space="preserve">:30</w:t>
      </w:r>
      <w:r>
        <w:rPr>
          <w:rFonts w:hint="eastAsia" w:ascii="宋体" w:hAnsi="宋体" w:cs="宋体"/>
          <w:color w:val="auto"/>
          <w:spacing w:val="8"/>
          <w:sz w:val="24"/>
          <w:highlight w:val="none"/>
        </w:rPr>
        <w:t xml:space="preserve">（北京时间）</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w:t>
      </w:r>
      <w:bookmarkStart w:id="16" w:name="OLE_LINK2"/>
      <w:r/>
      <w:bookmarkStart w:id="17" w:name="OLE_LINK1"/>
      <w:r>
        <w:rPr>
          <w:rFonts w:hint="eastAsia" w:ascii="宋体" w:hAnsi="宋体" w:cs="宋体"/>
          <w:color w:val="auto"/>
          <w:spacing w:val="8"/>
          <w:sz w:val="24"/>
          <w:highlight w:val="none"/>
        </w:rPr>
        <w:t xml:space="preserve">苏采云政府采购一体化平台（网址：http://jszfcg.jsczt.cn/）</w:t>
      </w:r>
      <w:bookmarkEnd w:id="16"/>
      <w:r/>
      <w:bookmarkEnd w:id="17"/>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bookmarkStart w:id="18" w:name="OLE_LINK7"/>
      <w:r/>
      <w:bookmarkStart w:id="19" w:name="OLE_LINK6"/>
      <w:r>
        <w:rPr>
          <w:rFonts w:hint="eastAsia" w:ascii="宋体" w:hAnsi="宋体" w:cs="宋体"/>
          <w:i/>
          <w:color w:val="auto"/>
          <w:spacing w:val="8"/>
          <w:sz w:val="24"/>
          <w:highlight w:val="none"/>
          <w:u w:val="single"/>
        </w:rPr>
        <w:t xml:space="preserve">（一）拒绝下述供应商参加本次采购活动： </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rPr>
          <w:rFonts w:hint="eastAsia" w:ascii="宋体" w:hAnsi="宋体" w:cs="宋体"/>
          <w:i/>
          <w:color w:val="auto"/>
          <w:spacing w:val="8"/>
          <w:sz w:val="24"/>
          <w:highlight w:val="none"/>
          <w:u w:val="single"/>
        </w:rPr>
        <w:t xml:space="preserve">1.供应商单位负责人为同一人或者存在直接控股、管理关系的不同供应商，不得参加同一合同项下的政府采购活动。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i/>
          <w:color w:val="auto"/>
          <w:spacing w:val="8"/>
          <w:sz w:val="24"/>
          <w:highlight w:val="none"/>
          <w:u w:val="single"/>
        </w:rPr>
        <w:t xml:space="preserve">2.被“信用中国”网站（www.creditchina.gov.cn）列入失信被执行人、重大税收违法案件当事人名单、政府采购严重失信行为记录名单。</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rPr>
        <w:t xml:space="preserve">）其他注意事项：</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1.CA证书办理：</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w:t>
      </w:r>
      <w:r>
        <w:rPr>
          <w:rFonts w:hint="eastAsia" w:ascii="宋体" w:hAnsi="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2.参与采购活动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3.电子投标准备</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在系统操作过程中如有疑问，请按以下方式联系：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注册咨询：18261002950；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CA技术咨询电话：400-608-6099；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签章使用问题：025-83633811、025-83633812、15380932027、15371015030；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系统使用指导与咨询：18261002950、0512-69820854；QQ：3048755361、1315179389、895706745。</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请供应商确保电脑、系统及其他设备（视频输入输出设备等）无误，且开标直至项目结束始终保持系统在线状态。</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6.招标文件澄清或者修改内容的告知方式：招标文件的实质性变动或修改将在政府采购公告媒体网通知，投标人可自行下载。</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7.本次招标不收取投标保证金。</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8.本项目不允许进口产品投标。</w:t>
      </w:r>
      <w:bookmarkEnd w:id="18"/>
      <w:r/>
      <w:bookmarkEnd w:id="19"/>
      <w:r/>
      <w:r/>
    </w:p>
    <w:p>
      <w:pPr>
        <w:contextualSpacing/>
        <w:ind w:firstLine="499"/>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七、对本次招标提出询问，请按以下方式联系。</w:t>
      </w:r>
      <w:r/>
    </w:p>
    <w:p>
      <w:pPr>
        <w:ind w:firstLine="499"/>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1.采购人信息</w:t>
      </w:r>
      <w:r/>
    </w:p>
    <w:p>
      <w:pPr>
        <w:ind w:firstLine="499"/>
        <w:jc w:val="left"/>
        <w:spacing w:line="360" w:lineRule="auto"/>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cs="宋体"/>
          <w:color w:val="auto"/>
          <w:spacing w:val="8"/>
          <w:sz w:val="24"/>
          <w:szCs w:val="24"/>
          <w:highlight w:val="none"/>
        </w:rPr>
        <w:t xml:space="preserve">名 称：</w:t>
      </w:r>
      <w:r>
        <w:rPr>
          <w:rFonts w:hint="eastAsia" w:ascii="宋体" w:hAnsi="宋体" w:cs="宋体"/>
          <w:color w:val="auto"/>
          <w:spacing w:val="8"/>
          <w:sz w:val="24"/>
          <w:szCs w:val="24"/>
          <w:highlight w:val="none"/>
          <w:lang w:eastAsia="zh-CN"/>
        </w:rPr>
        <w:t xml:space="preserve">张家港双山香山旅游度假区管理委员会</w:t>
      </w:r>
      <w:r/>
    </w:p>
    <w:p>
      <w:pPr>
        <w:pStyle w:val="1003"/>
        <w:widowControl/>
        <w:rPr>
          <w:rFonts w:hint="eastAsia" w:cs="宋体"/>
          <w:color w:val="000000"/>
          <w:highlight w:val="none"/>
          <w:lang w:bidi="ar"/>
        </w:rPr>
      </w:pPr>
      <w:r>
        <w:rPr>
          <w:rFonts w:hint="eastAsia" w:cs="宋体"/>
          <w:color w:val="000000"/>
          <w:highlight w:val="none"/>
          <w:lang w:bidi="ar"/>
        </w:rPr>
        <w:t xml:space="preserve">地址：苏州市张家港市长江中路177号</w:t>
      </w:r>
      <w:r/>
    </w:p>
    <w:p>
      <w:pPr>
        <w:pStyle w:val="1003"/>
        <w:widowControl/>
        <w:rPr>
          <w:rFonts w:cs="宋体"/>
          <w:color w:val="000000"/>
          <w:highlight w:val="none"/>
          <w:lang w:bidi="ar"/>
        </w:rPr>
      </w:pPr>
      <w:r>
        <w:rPr>
          <w:rFonts w:hint="eastAsia" w:cs="宋体"/>
          <w:color w:val="000000"/>
          <w:highlight w:val="none"/>
          <w:lang w:bidi="ar"/>
        </w:rPr>
        <w:t xml:space="preserve">联系人：</w:t>
      </w:r>
      <w:r>
        <w:rPr>
          <w:rFonts w:hint="eastAsia" w:cs="宋体"/>
          <w:color w:val="000000"/>
          <w:highlight w:val="none"/>
          <w:lang w:val="en-US" w:eastAsia="zh-CN" w:bidi="ar"/>
        </w:rPr>
        <w:t xml:space="preserve">茅俊豪</w:t>
      </w:r>
      <w:r>
        <w:rPr>
          <w:rFonts w:hint="eastAsia" w:cs="宋体"/>
          <w:color w:val="000000"/>
          <w:highlight w:val="none"/>
          <w:lang w:bidi="ar"/>
        </w:rPr>
        <w:t xml:space="preserve">     </w:t>
      </w:r>
      <w:r/>
    </w:p>
    <w:p>
      <w:pPr>
        <w:pStyle w:val="1003"/>
        <w:widowControl/>
        <w:rPr>
          <w:rFonts w:hint="default" w:eastAsia="宋体" w:cs="宋体"/>
          <w:color w:val="000000"/>
          <w:highlight w:val="none"/>
          <w:lang w:val="en-US" w:eastAsia="zh-CN" w:bidi="ar"/>
        </w:rPr>
      </w:pPr>
      <w:r>
        <w:rPr>
          <w:rFonts w:hint="eastAsia" w:cs="宋体"/>
          <w:color w:val="000000"/>
          <w:highlight w:val="none"/>
          <w:lang w:bidi="ar"/>
        </w:rPr>
        <w:t xml:space="preserve">联系电话：</w:t>
      </w:r>
      <w:r>
        <w:rPr>
          <w:rFonts w:hint="eastAsia" w:cs="宋体"/>
          <w:color w:val="000000"/>
          <w:highlight w:val="none"/>
          <w:lang w:val="en-US" w:eastAsia="zh-CN" w:bidi="ar"/>
        </w:rPr>
        <w:t xml:space="preserve">18012605132</w:t>
      </w:r>
      <w:r/>
    </w:p>
    <w:p>
      <w:pPr>
        <w:ind w:left="491" w:hanging="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2.采购代理机构信息</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名称：张家港保税区宏宇建设咨询有限公司</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地址：张家港市国泰北路15号</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联系方式：</w:t>
      </w:r>
      <w:r>
        <w:rPr>
          <w:rFonts w:hint="eastAsia" w:ascii="宋体" w:hAnsi="宋体" w:cs="宋体"/>
          <w:color w:val="auto"/>
          <w:spacing w:val="8"/>
          <w:sz w:val="24"/>
          <w:highlight w:val="none"/>
        </w:rPr>
        <w:t xml:space="preserve">张芳</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联系电话：</w:t>
      </w:r>
      <w:r>
        <w:rPr>
          <w:rFonts w:hint="eastAsia" w:ascii="宋体" w:hAnsi="宋体" w:cs="宋体"/>
          <w:color w:val="auto"/>
          <w:spacing w:val="8"/>
          <w:sz w:val="24"/>
          <w:highlight w:val="none"/>
        </w:rPr>
        <w:t xml:space="preserve">18118110606</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3.项目联系方式</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项目联系人：</w:t>
      </w:r>
      <w:r>
        <w:rPr>
          <w:rFonts w:hint="eastAsia" w:ascii="宋体" w:hAnsi="宋体" w:cs="宋体"/>
          <w:color w:val="auto"/>
          <w:spacing w:val="8"/>
          <w:sz w:val="24"/>
          <w:highlight w:val="none"/>
        </w:rPr>
        <w:t xml:space="preserve">张芳</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电　话：0512-58358805</w:t>
      </w:r>
      <w:r>
        <w:rPr>
          <w:rFonts w:hint="eastAsia" w:ascii="宋体" w:hAnsi="宋体" w:cs="宋体"/>
          <w:color w:val="auto"/>
          <w:spacing w:val="8"/>
          <w:sz w:val="24"/>
          <w:highlight w:val="none"/>
        </w:rPr>
        <w:t xml:space="preserve"> 18118110606</w:t>
      </w:r>
      <w:r/>
    </w:p>
    <w:p>
      <w:pPr>
        <w:ind w:firstLine="480"/>
        <w:jc w:val="right"/>
        <w:spacing w:line="360" w:lineRule="auto"/>
        <w:rPr>
          <w:rFonts w:hint="eastAsia" w:ascii="宋体" w:hAnsi="宋体"/>
          <w:color w:val="auto"/>
          <w:sz w:val="24"/>
          <w:highlight w:val="none"/>
        </w:rPr>
      </w:pPr>
      <w:r>
        <w:rPr>
          <w:rFonts w:ascii="宋体" w:hAnsi="宋体"/>
          <w:color w:val="auto"/>
          <w:sz w:val="24"/>
          <w:highlight w:val="none"/>
        </w:rPr>
        <w:tab/>
      </w:r>
      <w:r/>
    </w:p>
    <w:p>
      <w:pPr>
        <w:pStyle w:val="1218"/>
        <w:pageBreakBefore/>
        <w:spacing w:line="360" w:lineRule="auto"/>
        <w:rPr>
          <w:rFonts w:hint="eastAsia" w:ascii="宋体" w:hAnsi="宋体" w:eastAsia="宋体"/>
          <w:color w:val="auto"/>
          <w:highlight w:val="none"/>
        </w:rPr>
      </w:pPr>
      <w:r/>
      <w:bookmarkStart w:id="20" w:name="_Toc35266019"/>
      <w:r/>
      <w:bookmarkStart w:id="21" w:name="_Toc38368119"/>
      <w:r/>
      <w:bookmarkStart w:id="22" w:name="_Toc54615238"/>
      <w:r/>
      <w:bookmarkStart w:id="23" w:name="_Toc185684863"/>
      <w:r>
        <w:rPr>
          <w:rFonts w:hint="eastAsia" w:ascii="宋体" w:hAnsi="宋体" w:eastAsia="宋体"/>
          <w:color w:val="auto"/>
          <w:highlight w:val="none"/>
        </w:rPr>
        <w:t xml:space="preserve">第二章  </w:t>
      </w:r>
      <w:bookmarkEnd w:id="2"/>
      <w:r/>
      <w:bookmarkEnd w:id="3"/>
      <w:r/>
      <w:bookmarkEnd w:id="4"/>
      <w:r/>
      <w:bookmarkEnd w:id="5"/>
      <w:r/>
      <w:bookmarkEnd w:id="6"/>
      <w:r/>
      <w:bookmarkEnd w:id="11"/>
      <w:r/>
      <w:bookmarkStart w:id="24" w:name="_Toc120614213"/>
      <w:r/>
      <w:bookmarkStart w:id="25" w:name="_Toc20823274"/>
      <w:r/>
      <w:bookmarkStart w:id="26" w:name="_Toc513029202"/>
      <w:r/>
      <w:bookmarkStart w:id="27" w:name="_Toc16938518"/>
      <w:r>
        <w:rPr>
          <w:rFonts w:hint="eastAsia" w:ascii="宋体" w:hAnsi="宋体" w:eastAsia="宋体"/>
          <w:color w:val="auto"/>
          <w:highlight w:val="none"/>
        </w:rPr>
        <w:t xml:space="preserve">投标人须知</w:t>
      </w:r>
      <w:bookmarkEnd w:id="20"/>
      <w:r/>
      <w:bookmarkEnd w:id="21"/>
      <w:r/>
      <w:bookmarkEnd w:id="22"/>
      <w:r/>
      <w:bookmarkEnd w:id="23"/>
      <w:r/>
      <w:bookmarkEnd w:id="24"/>
      <w:r/>
      <w:bookmarkEnd w:id="25"/>
      <w:r/>
      <w:bookmarkEnd w:id="26"/>
      <w:r/>
      <w:bookmarkEnd w:id="27"/>
      <w:r/>
      <w:r/>
    </w:p>
    <w:p>
      <w:pPr>
        <w:ind w:firstLine="562"/>
        <w:jc w:val="left"/>
        <w:spacing w:line="360" w:lineRule="auto"/>
        <w:rPr>
          <w:rFonts w:hint="eastAsia" w:ascii="宋体" w:hAnsi="宋体"/>
          <w:b/>
          <w:color w:val="auto"/>
          <w:sz w:val="28"/>
          <w:szCs w:val="28"/>
          <w:highlight w:val="none"/>
        </w:rPr>
      </w:pPr>
      <w:r/>
      <w:bookmarkStart w:id="28" w:name="_Toc513029203"/>
      <w:r/>
      <w:bookmarkStart w:id="29" w:name="_Toc35266020"/>
      <w:r/>
      <w:bookmarkStart w:id="30" w:name="_Toc20823275"/>
      <w:r/>
      <w:bookmarkStart w:id="31" w:name="_Toc54615239"/>
      <w:r/>
      <w:bookmarkStart w:id="32" w:name="_Toc38368120"/>
      <w:r/>
      <w:bookmarkStart w:id="33" w:name="_Toc120614214"/>
      <w:r/>
      <w:bookmarkStart w:id="34" w:name="_Toc16938519"/>
      <w:r/>
      <w:bookmarkStart w:id="35" w:name="_Toc479757207"/>
      <w:r/>
      <w:bookmarkStart w:id="36" w:name="_Toc120614221"/>
      <w:r/>
      <w:bookmarkStart w:id="37" w:name="_Toc16938558"/>
      <w:r/>
      <w:bookmarkStart w:id="38" w:name="_Toc513029242"/>
      <w:r/>
      <w:bookmarkStart w:id="39" w:name="_Toc20823314"/>
      <w:r/>
      <w:bookmarkStart w:id="40" w:name="_Toc38368127"/>
      <w:r/>
      <w:bookmarkStart w:id="41" w:name="_Toc35266027"/>
      <w:r/>
      <w:bookmarkStart w:id="42" w:name="_Toc54615245"/>
      <w:r>
        <w:rPr>
          <w:rFonts w:hint="eastAsia" w:ascii="宋体" w:hAnsi="宋体"/>
          <w:b/>
          <w:color w:val="auto"/>
          <w:sz w:val="28"/>
          <w:szCs w:val="28"/>
          <w:highlight w:val="none"/>
        </w:rPr>
        <w:t xml:space="preserve">一、总则</w:t>
      </w:r>
      <w:bookmarkEnd w:id="28"/>
      <w:r/>
      <w:bookmarkEnd w:id="29"/>
      <w:r/>
      <w:bookmarkEnd w:id="30"/>
      <w:r/>
      <w:bookmarkEnd w:id="31"/>
      <w:r/>
      <w:bookmarkEnd w:id="32"/>
      <w:r/>
      <w:bookmarkEnd w:id="33"/>
      <w:r/>
      <w:bookmarkEnd w:id="34"/>
      <w:r/>
      <w:r/>
    </w:p>
    <w:p>
      <w:pPr>
        <w:ind w:firstLine="480"/>
        <w:jc w:val="left"/>
        <w:spacing w:line="360" w:lineRule="auto"/>
        <w:rPr>
          <w:rFonts w:hint="eastAsia" w:ascii="宋体" w:hAnsi="宋体"/>
          <w:color w:val="auto"/>
          <w:sz w:val="24"/>
          <w:highlight w:val="none"/>
        </w:rPr>
      </w:pPr>
      <w:r/>
      <w:bookmarkStart w:id="43" w:name="_Hlt16619475"/>
      <w:r/>
      <w:bookmarkEnd w:id="43"/>
      <w:r/>
      <w:bookmarkStart w:id="44" w:name="_Toc458694821"/>
      <w:r/>
      <w:bookmarkStart w:id="45" w:name="_Toc513029204"/>
      <w:r/>
      <w:bookmarkStart w:id="46" w:name="_Toc16938520"/>
      <w:r/>
      <w:bookmarkStart w:id="47" w:name="_Toc20823276"/>
      <w:r>
        <w:rPr>
          <w:rFonts w:ascii="宋体" w:hAnsi="宋体"/>
          <w:color w:val="auto"/>
          <w:sz w:val="24"/>
          <w:highlight w:val="none"/>
        </w:rPr>
        <w:t xml:space="preserve">1</w:t>
      </w:r>
      <w:bookmarkEnd w:id="44"/>
      <w:r>
        <w:rPr>
          <w:rFonts w:hint="eastAsia" w:ascii="宋体" w:hAnsi="宋体"/>
          <w:color w:val="auto"/>
          <w:sz w:val="24"/>
          <w:highlight w:val="none"/>
        </w:rPr>
        <w:t xml:space="preserve">、招标方式</w:t>
      </w:r>
      <w:bookmarkEnd w:id="45"/>
      <w:r/>
      <w:bookmarkEnd w:id="46"/>
      <w:r/>
      <w:bookmarkEnd w:id="47"/>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80"/>
        <w:jc w:val="left"/>
        <w:spacing w:line="360" w:lineRule="auto"/>
        <w:rPr>
          <w:rFonts w:hint="eastAsia" w:ascii="宋体" w:hAnsi="宋体"/>
          <w:color w:val="auto"/>
          <w:sz w:val="24"/>
          <w:highlight w:val="none"/>
        </w:rPr>
      </w:pPr>
      <w:r/>
      <w:bookmarkStart w:id="48" w:name="_Toc16938521"/>
      <w:r/>
      <w:bookmarkStart w:id="49" w:name="_Toc20823277"/>
      <w:r/>
      <w:bookmarkStart w:id="50" w:name="_Toc513029205"/>
      <w:r>
        <w:rPr>
          <w:rFonts w:ascii="宋体" w:hAnsi="宋体"/>
          <w:color w:val="auto"/>
          <w:sz w:val="24"/>
          <w:highlight w:val="none"/>
        </w:rPr>
        <w:t xml:space="preserve">2、</w:t>
      </w:r>
      <w:r>
        <w:rPr>
          <w:rFonts w:hint="eastAsia" w:ascii="宋体" w:hAnsi="宋体"/>
          <w:color w:val="auto"/>
          <w:sz w:val="24"/>
          <w:highlight w:val="none"/>
        </w:rPr>
        <w:t xml:space="preserve">合格的投标人</w:t>
      </w:r>
      <w:bookmarkEnd w:id="48"/>
      <w:r/>
      <w:bookmarkEnd w:id="49"/>
      <w:r/>
      <w:bookmarkEnd w:id="50"/>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jc w:val="left"/>
        <w:spacing w:line="360" w:lineRule="auto"/>
        <w:rPr>
          <w:rFonts w:hint="eastAsia"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562"/>
        <w:jc w:val="left"/>
        <w:spacing w:line="360" w:lineRule="auto"/>
        <w:rPr>
          <w:rFonts w:hint="eastAsia" w:ascii="宋体" w:hAnsi="宋体"/>
          <w:b/>
          <w:color w:val="auto"/>
          <w:sz w:val="28"/>
          <w:szCs w:val="28"/>
          <w:highlight w:val="none"/>
        </w:rPr>
      </w:pPr>
      <w:r/>
      <w:bookmarkStart w:id="51" w:name="_Toc20823278"/>
      <w:r/>
      <w:bookmarkStart w:id="52" w:name="_Toc16938522"/>
      <w:r/>
      <w:bookmarkStart w:id="53" w:name="_Toc513029206"/>
      <w:r>
        <w:rPr>
          <w:rFonts w:ascii="宋体" w:hAnsi="宋体"/>
          <w:b/>
          <w:color w:val="auto"/>
          <w:sz w:val="28"/>
          <w:szCs w:val="28"/>
          <w:highlight w:val="none"/>
        </w:rPr>
        <w:t xml:space="preserve">3、</w:t>
      </w:r>
      <w:r>
        <w:rPr>
          <w:rFonts w:hint="eastAsia" w:ascii="宋体" w:hAnsi="宋体"/>
          <w:b/>
          <w:color w:val="auto"/>
          <w:sz w:val="28"/>
          <w:szCs w:val="28"/>
          <w:highlight w:val="none"/>
        </w:rPr>
        <w:t xml:space="preserve">适用法律</w:t>
      </w:r>
      <w:bookmarkEnd w:id="51"/>
      <w:r/>
      <w:bookmarkEnd w:id="52"/>
      <w:r/>
      <w:bookmarkEnd w:id="53"/>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562"/>
        <w:jc w:val="left"/>
        <w:spacing w:line="360" w:lineRule="auto"/>
        <w:rPr>
          <w:rFonts w:hint="eastAsia" w:ascii="宋体" w:hAnsi="宋体"/>
          <w:b/>
          <w:color w:val="auto"/>
          <w:sz w:val="28"/>
          <w:szCs w:val="28"/>
          <w:highlight w:val="none"/>
        </w:rPr>
      </w:pPr>
      <w:r/>
      <w:bookmarkStart w:id="54" w:name="_Toc513029207"/>
      <w:r/>
      <w:bookmarkStart w:id="55" w:name="_Toc462564067"/>
      <w:r/>
      <w:bookmarkStart w:id="56" w:name="_Toc16938523"/>
      <w:r/>
      <w:bookmarkStart w:id="57" w:name="_Toc20823279"/>
      <w:r>
        <w:rPr>
          <w:rFonts w:ascii="宋体" w:hAnsi="宋体"/>
          <w:b/>
          <w:color w:val="auto"/>
          <w:sz w:val="28"/>
          <w:szCs w:val="28"/>
          <w:highlight w:val="none"/>
        </w:rPr>
        <w:t xml:space="preserve">4、</w:t>
      </w:r>
      <w:r>
        <w:rPr>
          <w:rFonts w:hint="eastAsia" w:ascii="宋体" w:hAnsi="宋体"/>
          <w:b/>
          <w:color w:val="auto"/>
          <w:sz w:val="28"/>
          <w:szCs w:val="28"/>
          <w:highlight w:val="none"/>
        </w:rPr>
        <w:t xml:space="preserve">投标费用</w:t>
      </w:r>
      <w:bookmarkEnd w:id="54"/>
      <w:r/>
      <w:bookmarkEnd w:id="55"/>
      <w:r/>
      <w:bookmarkEnd w:id="56"/>
      <w:r/>
      <w:bookmarkEnd w:id="57"/>
      <w:r/>
      <w:r/>
    </w:p>
    <w:p>
      <w:pPr>
        <w:ind w:firstLine="480"/>
        <w:jc w:val="left"/>
        <w:spacing w:line="36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bookmarkStart w:id="58" w:name="EBb149e03d16f547ac9a9b50964f44d5b2"/>
      <w:r>
        <w:rPr>
          <w:rFonts w:hint="eastAsia" w:ascii="宋体" w:hAnsi="宋体"/>
          <w:color w:val="auto"/>
          <w:sz w:val="24"/>
          <w:highlight w:val="none"/>
        </w:rPr>
        <w:t xml:space="preserve">张家港保税区宏宇建设咨询有限公司</w:t>
      </w:r>
      <w:bookmarkEnd w:id="58"/>
      <w:r>
        <w:rPr>
          <w:rFonts w:hint="eastAsia" w:ascii="宋体" w:hAnsi="宋体"/>
          <w:color w:val="auto"/>
          <w:sz w:val="24"/>
          <w:highlight w:val="none"/>
        </w:rPr>
        <w:t xml:space="preserve">在任何情况下均无义务和责任承担这些费用。</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 本次招标采购代理机构收取代理服务费。</w:t>
      </w:r>
      <w:r/>
    </w:p>
    <w:p>
      <w:pPr>
        <w:ind w:firstLine="508"/>
        <w:jc w:val="left"/>
        <w:spacing w:line="360" w:lineRule="auto"/>
        <w:widowControl/>
        <w:rPr>
          <w:rFonts w:hint="eastAsia" w:ascii="宋体" w:hAnsi="宋体" w:eastAsia="宋体" w:cs="宋体"/>
          <w:color w:val="auto"/>
          <w:spacing w:val="7"/>
          <w:sz w:val="24"/>
          <w:szCs w:val="24"/>
          <w:highlight w:val="none"/>
          <w:lang w:eastAsia="zh-CN"/>
        </w:rPr>
      </w:pPr>
      <w:r>
        <w:rPr>
          <w:rFonts w:ascii="宋体" w:hAnsi="宋体" w:cs="宋体"/>
          <w:color w:val="auto"/>
          <w:spacing w:val="7"/>
          <w:sz w:val="24"/>
          <w:szCs w:val="24"/>
          <w:highlight w:val="none"/>
        </w:rPr>
        <w:t xml:space="preserve">4.2.1 本项目采购代理服务费由中标</w:t>
      </w:r>
      <w:r>
        <w:rPr>
          <w:rFonts w:hint="eastAsia" w:ascii="宋体" w:hAnsi="宋体" w:cs="宋体"/>
          <w:color w:val="auto"/>
          <w:spacing w:val="7"/>
          <w:sz w:val="24"/>
          <w:szCs w:val="24"/>
          <w:highlight w:val="none"/>
        </w:rPr>
        <w:t xml:space="preserve">人</w:t>
      </w:r>
      <w:r>
        <w:rPr>
          <w:rFonts w:ascii="宋体" w:hAnsi="宋体" w:cs="宋体"/>
          <w:color w:val="auto"/>
          <w:spacing w:val="7"/>
          <w:sz w:val="24"/>
          <w:szCs w:val="24"/>
          <w:highlight w:val="none"/>
        </w:rPr>
        <w:t xml:space="preserve">支付</w:t>
      </w:r>
      <w:r>
        <w:rPr>
          <w:rFonts w:hint="eastAsia" w:ascii="宋体" w:hAnsi="宋体" w:cs="宋体"/>
          <w:color w:val="auto"/>
          <w:spacing w:val="7"/>
          <w:sz w:val="24"/>
          <w:szCs w:val="24"/>
          <w:highlight w:val="none"/>
          <w:lang w:eastAsia="zh-CN"/>
        </w:rPr>
        <w:t xml:space="preserve">；</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4.2.2 代理费用收取方式：中标人采用转账或者汇款方式</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4.2.3 收费金额：</w:t>
      </w:r>
      <w:r>
        <w:rPr>
          <w:rFonts w:ascii="宋体" w:hAnsi="宋体" w:cs="宋体"/>
          <w:color w:val="000000"/>
          <w:sz w:val="24"/>
          <w:highlight w:val="none"/>
        </w:rPr>
        <w:t xml:space="preserve">预算金额的</w:t>
      </w:r>
      <w:r>
        <w:rPr>
          <w:rFonts w:hint="eastAsia" w:ascii="宋体" w:hAnsi="宋体" w:cs="宋体"/>
          <w:color w:val="000000"/>
          <w:sz w:val="24"/>
          <w:highlight w:val="none"/>
          <w:lang w:val="en-US" w:eastAsia="zh-CN"/>
        </w:rPr>
        <w:t xml:space="preserve">0.3390</w:t>
      </w:r>
      <w:r>
        <w:rPr>
          <w:rFonts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也即</w:t>
      </w:r>
      <w:r>
        <w:rPr>
          <w:rFonts w:hint="eastAsia" w:ascii="宋体" w:hAnsi="宋体" w:cs="宋体"/>
          <w:color w:val="000000"/>
          <w:sz w:val="24"/>
          <w:highlight w:val="none"/>
          <w:lang w:val="en-US" w:eastAsia="zh-CN"/>
        </w:rPr>
        <w:t xml:space="preserve">2620元</w:t>
      </w:r>
      <w:r>
        <w:rPr>
          <w:rFonts w:hint="eastAsia" w:ascii="宋体" w:hAnsi="宋体" w:cs="宋体"/>
          <w:color w:val="auto"/>
          <w:spacing w:val="7"/>
          <w:sz w:val="24"/>
          <w:szCs w:val="24"/>
          <w:highlight w:val="none"/>
        </w:rPr>
        <w:t xml:space="preserve">。</w:t>
      </w:r>
      <w:r/>
    </w:p>
    <w:p>
      <w:pPr>
        <w:ind w:firstLine="562"/>
        <w:jc w:val="left"/>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5、</w:t>
      </w:r>
      <w:r>
        <w:rPr>
          <w:rFonts w:hint="eastAsia" w:ascii="宋体" w:hAnsi="宋体"/>
          <w:b/>
          <w:color w:val="auto"/>
          <w:sz w:val="28"/>
          <w:szCs w:val="28"/>
          <w:highlight w:val="none"/>
        </w:rPr>
        <w:t xml:space="preserve">招标文件的约束力</w:t>
      </w:r>
      <w:r/>
    </w:p>
    <w:p>
      <w:pPr>
        <w:ind w:firstLine="480"/>
        <w:jc w:val="left"/>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w:t>
      </w:r>
      <w:bookmarkStart w:id="59" w:name="_Hlk160040776"/>
      <w:r>
        <w:rPr>
          <w:rFonts w:hint="eastAsia" w:ascii="宋体" w:hAnsi="宋体"/>
          <w:color w:val="auto"/>
          <w:sz w:val="24"/>
          <w:highlight w:val="none"/>
        </w:rPr>
        <w:t xml:space="preserve">苏采云政府采购一体化平台</w:t>
      </w:r>
      <w:bookmarkEnd w:id="59"/>
      <w:r>
        <w:rPr>
          <w:rFonts w:hint="eastAsia" w:ascii="宋体" w:hAnsi="宋体"/>
          <w:color w:val="auto"/>
          <w:sz w:val="24"/>
          <w:highlight w:val="none"/>
        </w:rPr>
        <w:t xml:space="preserve">下载本招标文件决定参加投标，即被认为接受了本招标文件的规定和约束，并且视为已经知道或应当知道自身权益是否受到了损害。</w:t>
      </w:r>
      <w:r/>
    </w:p>
    <w:p>
      <w:pPr>
        <w:ind w:firstLine="562"/>
        <w:jc w:val="left"/>
        <w:spacing w:line="360" w:lineRule="auto"/>
        <w:rPr>
          <w:rFonts w:ascii="宋体" w:hAnsi="宋体"/>
          <w:b/>
          <w:color w:val="auto"/>
          <w:sz w:val="28"/>
          <w:szCs w:val="28"/>
          <w:highlight w:val="none"/>
        </w:rPr>
      </w:pPr>
      <w:r/>
      <w:bookmarkStart w:id="60" w:name="_Toc54615240"/>
      <w:r/>
      <w:bookmarkStart w:id="61" w:name="_Toc513029209"/>
      <w:r/>
      <w:bookmarkStart w:id="62" w:name="_Toc35266021"/>
      <w:r/>
      <w:bookmarkStart w:id="63" w:name="_Toc20823281"/>
      <w:r/>
      <w:bookmarkStart w:id="64" w:name="_Toc120614215"/>
      <w:r/>
      <w:bookmarkStart w:id="65" w:name="_Toc16938525"/>
      <w:r/>
      <w:bookmarkStart w:id="66" w:name="_Toc38368121"/>
      <w:r>
        <w:rPr>
          <w:rFonts w:hint="eastAsia" w:ascii="宋体" w:hAnsi="宋体"/>
          <w:b/>
          <w:color w:val="auto"/>
          <w:sz w:val="28"/>
          <w:szCs w:val="28"/>
          <w:highlight w:val="none"/>
        </w:rPr>
        <w:t xml:space="preserve">二、招标文件</w:t>
      </w:r>
      <w:bookmarkEnd w:id="60"/>
      <w:r/>
      <w:bookmarkEnd w:id="61"/>
      <w:r/>
      <w:bookmarkEnd w:id="62"/>
      <w:r/>
      <w:bookmarkEnd w:id="63"/>
      <w:r/>
      <w:bookmarkEnd w:id="64"/>
      <w:r/>
      <w:bookmarkEnd w:id="65"/>
      <w:r/>
      <w:bookmarkEnd w:id="66"/>
      <w:r/>
      <w:r/>
    </w:p>
    <w:p>
      <w:pPr>
        <w:ind w:firstLine="562"/>
        <w:jc w:val="left"/>
        <w:spacing w:line="360" w:lineRule="auto"/>
        <w:rPr>
          <w:rFonts w:ascii="宋体" w:hAnsi="宋体"/>
          <w:b/>
          <w:color w:val="auto"/>
          <w:sz w:val="28"/>
          <w:szCs w:val="28"/>
          <w:highlight w:val="none"/>
        </w:rPr>
      </w:pPr>
      <w:r/>
      <w:bookmarkStart w:id="67" w:name="_Toc20823282"/>
      <w:r/>
      <w:bookmarkStart w:id="68" w:name="_Toc16938526"/>
      <w:r/>
      <w:bookmarkStart w:id="69" w:name="_Toc513029210"/>
      <w:r>
        <w:rPr>
          <w:rFonts w:ascii="宋体" w:hAnsi="宋体"/>
          <w:b/>
          <w:color w:val="auto"/>
          <w:sz w:val="28"/>
          <w:szCs w:val="28"/>
          <w:highlight w:val="none"/>
        </w:rPr>
        <w:t xml:space="preserve">6、</w:t>
      </w:r>
      <w:r>
        <w:rPr>
          <w:rFonts w:hint="eastAsia" w:ascii="宋体" w:hAnsi="宋体"/>
          <w:b/>
          <w:color w:val="auto"/>
          <w:sz w:val="28"/>
          <w:szCs w:val="28"/>
          <w:highlight w:val="none"/>
        </w:rPr>
        <w:t xml:space="preserve">招标文件构成</w:t>
      </w:r>
      <w:bookmarkEnd w:id="67"/>
      <w:r/>
      <w:bookmarkEnd w:id="68"/>
      <w:r/>
      <w:bookmarkEnd w:id="69"/>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（4）项目需求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bookmarkStart w:id="70" w:name="EBbdde166065d14b62851231a61e89e609"/>
      <w:r>
        <w:rPr>
          <w:rFonts w:hint="eastAsia" w:ascii="宋体" w:hAnsi="宋体"/>
          <w:color w:val="auto"/>
          <w:sz w:val="24"/>
          <w:highlight w:val="none"/>
        </w:rPr>
        <w:t xml:space="preserve">张家港保税区宏宇建设咨询有限公司</w:t>
      </w:r>
      <w:bookmarkEnd w:id="70"/>
      <w:r>
        <w:rPr>
          <w:rFonts w:hint="eastAsia" w:ascii="宋体" w:hAnsi="宋体"/>
          <w:color w:val="auto"/>
          <w:sz w:val="24"/>
          <w:highlight w:val="none"/>
        </w:rPr>
        <w:t xml:space="preserve">联系解决。</w:t>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在投标截止时间前。张家港保税区宏宇建设咨询有限公司可以对招标文件进行澄清或修改。</w:t>
      </w:r>
      <w:r/>
    </w:p>
    <w:p>
      <w:pPr>
        <w:ind w:firstLine="480"/>
        <w:spacing w:line="440" w:lineRule="exact"/>
        <w:rPr>
          <w:rFonts w:hint="eastAsia" w:ascii="宋体" w:hAnsi="宋体"/>
          <w:color w:val="auto"/>
          <w:sz w:val="28"/>
          <w:szCs w:val="28"/>
          <w:highlight w:val="none"/>
        </w:rPr>
      </w:pPr>
      <w:r>
        <w:rPr>
          <w:rFonts w:hint="eastAsia" w:ascii="宋体" w:hAnsi="宋体"/>
          <w:bCs/>
          <w:color w:val="auto"/>
          <w:sz w:val="24"/>
          <w:highlight w:val="none"/>
        </w:rPr>
        <w:t xml:space="preserve">7.2</w:t>
      </w:r>
      <w:bookmarkStart w:id="71" w:name="EB14f04c7329d342c2b5d53bfcbbeaa167"/>
      <w:r>
        <w:rPr>
          <w:rFonts w:hint="eastAsia" w:ascii="宋体" w:hAnsi="宋体"/>
          <w:bCs/>
          <w:color w:val="auto"/>
          <w:sz w:val="24"/>
          <w:highlight w:val="none"/>
        </w:rPr>
        <w:t xml:space="preserve">公共资源交易中心</w:t>
      </w:r>
      <w:bookmarkEnd w:id="71"/>
      <w:r>
        <w:rPr>
          <w:rFonts w:hint="eastAsia" w:ascii="宋体" w:hAnsi="宋体"/>
          <w:color w:val="auto"/>
          <w:sz w:val="24"/>
          <w:highlight w:val="none"/>
        </w:rPr>
        <w:t xml:space="preserve">有权按照法定的要求推迟投标截止日期和开标日期。</w:t>
      </w:r>
      <w:r/>
    </w:p>
    <w:p>
      <w:pPr>
        <w:ind w:firstLine="480"/>
        <w:spacing w:line="440" w:lineRule="exact"/>
        <w:rPr>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三、投标文件的编制</w:t>
      </w:r>
      <w:r/>
    </w:p>
    <w:p>
      <w:pPr>
        <w:ind w:firstLine="562"/>
        <w:jc w:val="left"/>
        <w:spacing w:line="360" w:lineRule="auto"/>
        <w:rPr>
          <w:rFonts w:ascii="宋体" w:hAnsi="宋体"/>
          <w:b/>
          <w:color w:val="auto"/>
          <w:sz w:val="28"/>
          <w:szCs w:val="28"/>
          <w:highlight w:val="none"/>
        </w:rPr>
      </w:pPr>
      <w:r/>
      <w:bookmarkStart w:id="72" w:name="_Toc513029212"/>
      <w:r/>
      <w:bookmarkStart w:id="73" w:name="_Toc16938528"/>
      <w:r/>
      <w:bookmarkStart w:id="74" w:name="_Toc462564071"/>
      <w:r/>
      <w:bookmarkStart w:id="75" w:name="_Toc20823284"/>
      <w:r>
        <w:rPr>
          <w:rFonts w:ascii="宋体" w:hAnsi="宋体"/>
          <w:b/>
          <w:color w:val="auto"/>
          <w:sz w:val="28"/>
          <w:szCs w:val="28"/>
          <w:highlight w:val="none"/>
        </w:rPr>
        <w:t xml:space="preserve">8、</w:t>
      </w:r>
      <w:bookmarkEnd w:id="72"/>
      <w:r/>
      <w:bookmarkEnd w:id="73"/>
      <w:r/>
      <w:bookmarkEnd w:id="74"/>
      <w:r/>
      <w:bookmarkEnd w:id="75"/>
      <w:r>
        <w:rPr>
          <w:rFonts w:hint="eastAsia" w:ascii="宋体" w:hAnsi="宋体"/>
          <w:b/>
          <w:color w:val="auto"/>
          <w:sz w:val="28"/>
          <w:szCs w:val="28"/>
          <w:highlight w:val="none"/>
        </w:rPr>
        <w:t xml:space="preserve">投标文件的语言及度量衡单位</w:t>
      </w:r>
      <w:r/>
    </w:p>
    <w:p>
      <w:pPr>
        <w:ind w:firstLine="480"/>
        <w:jc w:val="left"/>
        <w:spacing w:line="360" w:lineRule="auto"/>
        <w:rPr>
          <w:rFonts w:ascii="宋体" w:hAnsi="宋体"/>
          <w:bCs/>
          <w:color w:val="auto"/>
          <w:sz w:val="24"/>
          <w:highlight w:val="none"/>
        </w:rPr>
      </w:pPr>
      <w:r/>
      <w:bookmarkStart w:id="76" w:name="_Toc54615241"/>
      <w:r/>
      <w:bookmarkStart w:id="77" w:name="_Toc462564072"/>
      <w:r/>
      <w:bookmarkStart w:id="78" w:name="_Toc16938529"/>
      <w:r/>
      <w:bookmarkStart w:id="79" w:name="_Toc20823285"/>
      <w:r/>
      <w:bookmarkStart w:id="80" w:name="_Toc120614216"/>
      <w:r/>
      <w:bookmarkStart w:id="81" w:name="_Toc38368122"/>
      <w:r/>
      <w:bookmarkStart w:id="82" w:name="_Toc513029213"/>
      <w:r/>
      <w:bookmarkStart w:id="83" w:name="_Toc160042790"/>
      <w:r/>
      <w:bookmarkStart w:id="84" w:name="_Toc35266022"/>
      <w:r/>
      <w:bookmarkStart w:id="85" w:name="_Toc462564073"/>
      <w:r/>
      <w:bookmarkStart w:id="86" w:name="_Toc513029214"/>
      <w:r/>
      <w:bookmarkStart w:id="87" w:name="_Toc16938530"/>
      <w:r/>
      <w:bookmarkStart w:id="88" w:name="_Toc20823286"/>
      <w:r/>
      <w:bookmarkStart w:id="89" w:name="_Toc49090508"/>
      <w:r/>
      <w:bookmarkStart w:id="90" w:name="_Toc14577355"/>
      <w:r>
        <w:rPr>
          <w:rFonts w:hint="eastAsia" w:ascii="宋体" w:hAnsi="宋体"/>
          <w:bCs/>
          <w:color w:val="auto"/>
          <w:sz w:val="24"/>
          <w:highlight w:val="none"/>
        </w:rPr>
        <w:t xml:space="preserve">8.1 投标人提交的投标文件以及投标人与张家港保税区宏宇建设咨询有限公司就有关投标的所有来往通知、函件和文件均应使用</w:t>
      </w:r>
      <w:r>
        <w:rPr>
          <w:rFonts w:hint="eastAsia" w:ascii="宋体" w:hAnsi="宋体"/>
          <w:b/>
          <w:bCs/>
          <w:color w:val="auto"/>
          <w:sz w:val="24"/>
          <w:highlight w:val="none"/>
        </w:rPr>
        <w:t xml:space="preserve">简体中文</w:t>
      </w:r>
      <w:r>
        <w:rPr>
          <w:rFonts w:hint="eastAsia" w:ascii="宋体" w:hAnsi="宋体"/>
          <w:bCs/>
          <w:color w:val="auto"/>
          <w:sz w:val="24"/>
          <w:highlight w:val="none"/>
        </w:rPr>
        <w:t xml:space="preserve">。</w:t>
      </w:r>
      <w:r/>
    </w:p>
    <w:p>
      <w:pPr>
        <w:ind w:firstLine="480"/>
        <w:jc w:val="left"/>
        <w:spacing w:line="360" w:lineRule="auto"/>
        <w:rPr>
          <w:rFonts w:ascii="宋体" w:hAnsi="宋体"/>
          <w:b/>
          <w:color w:val="auto"/>
          <w:sz w:val="28"/>
          <w:szCs w:val="28"/>
          <w:highlight w:val="none"/>
        </w:rPr>
      </w:pPr>
      <w:r>
        <w:rPr>
          <w:rFonts w:hint="eastAsia" w:ascii="宋体" w:hAnsi="宋体"/>
          <w:bCs/>
          <w:color w:val="auto"/>
          <w:sz w:val="24"/>
          <w:highlight w:val="none"/>
        </w:rPr>
        <w:t xml:space="preserve">8.2 除技术性能另有规定外，投标文件所使用的度量衡单位，均须采用国家法定计量单位。</w:t>
      </w:r>
      <w:bookmarkEnd w:id="76"/>
      <w:r/>
      <w:bookmarkEnd w:id="77"/>
      <w:r/>
      <w:bookmarkEnd w:id="78"/>
      <w:r/>
      <w:bookmarkEnd w:id="79"/>
      <w:r/>
      <w:bookmarkEnd w:id="80"/>
      <w:r/>
      <w:bookmarkEnd w:id="81"/>
      <w:r/>
      <w:bookmarkEnd w:id="82"/>
      <w:r/>
      <w:bookmarkEnd w:id="83"/>
      <w:r/>
      <w:bookmarkEnd w:id="84"/>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9、</w:t>
      </w:r>
      <w:bookmarkEnd w:id="85"/>
      <w:r/>
      <w:bookmarkEnd w:id="86"/>
      <w:r/>
      <w:bookmarkEnd w:id="87"/>
      <w:r/>
      <w:bookmarkEnd w:id="88"/>
      <w:r>
        <w:rPr>
          <w:rFonts w:hint="eastAsia" w:ascii="宋体" w:hAnsi="宋体"/>
          <w:b/>
          <w:color w:val="auto"/>
          <w:sz w:val="28"/>
          <w:szCs w:val="28"/>
          <w:highlight w:val="none"/>
        </w:rPr>
        <w:t xml:space="preserve">投标文件构成</w:t>
      </w:r>
      <w:r/>
    </w:p>
    <w:p>
      <w:pPr>
        <w:ind w:firstLine="480"/>
        <w:jc w:val="left"/>
        <w:spacing w:line="360" w:lineRule="auto"/>
        <w:rPr>
          <w:rFonts w:ascii="宋体" w:hAnsi="宋体"/>
          <w:bCs/>
          <w:color w:val="auto"/>
          <w:sz w:val="24"/>
          <w:highlight w:val="none"/>
        </w:rPr>
      </w:pPr>
      <w:r/>
      <w:bookmarkStart w:id="91" w:name="_Toc20823287"/>
      <w:r/>
      <w:bookmarkStart w:id="92" w:name="_Toc513029215"/>
      <w:r/>
      <w:bookmarkStart w:id="93" w:name="_Toc462564074"/>
      <w:r/>
      <w:bookmarkStart w:id="94" w:name="_Toc16938531"/>
      <w:r>
        <w:rPr>
          <w:rFonts w:hint="eastAsia" w:ascii="宋体" w:hAnsi="宋体"/>
          <w:bCs/>
          <w:color w:val="auto"/>
          <w:sz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9.2 特别提醒：投标人必须在投标文件接收截止时间之前在系统中提交所有与开评标相关的资料。开评标现场不接收任何资料。</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10、</w:t>
      </w:r>
      <w:bookmarkEnd w:id="91"/>
      <w:r/>
      <w:bookmarkEnd w:id="92"/>
      <w:r/>
      <w:bookmarkEnd w:id="93"/>
      <w:r/>
      <w:bookmarkEnd w:id="94"/>
      <w:r>
        <w:rPr>
          <w:rFonts w:hint="eastAsia" w:ascii="宋体" w:hAnsi="宋体"/>
          <w:b/>
          <w:color w:val="auto"/>
          <w:sz w:val="28"/>
          <w:szCs w:val="28"/>
          <w:highlight w:val="none"/>
        </w:rPr>
        <w:t xml:space="preserve">投标函和开标一览表</w:t>
      </w:r>
      <w:r/>
    </w:p>
    <w:p>
      <w:pPr>
        <w:ind w:firstLine="480"/>
        <w:jc w:val="left"/>
        <w:spacing w:line="360" w:lineRule="auto"/>
        <w:rPr>
          <w:rFonts w:ascii="宋体" w:hAnsi="宋体"/>
          <w:bCs/>
          <w:color w:val="auto"/>
          <w:sz w:val="24"/>
          <w:highlight w:val="none"/>
        </w:rPr>
      </w:pPr>
      <w:r/>
      <w:bookmarkStart w:id="95" w:name="_Hlt26954838"/>
      <w:r/>
      <w:bookmarkEnd w:id="95"/>
      <w:r/>
      <w:bookmarkStart w:id="96" w:name="_Hlt26670360"/>
      <w:r/>
      <w:bookmarkEnd w:id="96"/>
      <w:r/>
      <w:bookmarkStart w:id="97" w:name="_Hlt26668975"/>
      <w:r/>
      <w:bookmarkEnd w:id="97"/>
      <w:r/>
      <w:bookmarkStart w:id="98" w:name="_Toc14577357"/>
      <w:r/>
      <w:bookmarkStart w:id="99" w:name="_Toc49090509"/>
      <w:r/>
      <w:bookmarkStart w:id="100" w:name="_Toc513029219"/>
      <w:r>
        <w:rPr>
          <w:rFonts w:hint="eastAsia" w:ascii="宋体" w:hAnsi="宋体"/>
          <w:bCs/>
          <w:color w:val="auto"/>
          <w:sz w:val="24"/>
          <w:highlight w:val="none"/>
        </w:rPr>
        <w:t xml:space="preserve">10.1 投标人应按照招标文件中提供的格式完整、正确填写投标函、开标一览表。</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10.2 开标一览表中的价格应与投标文件中投标配置与分项报价表（或经费测算表）中的价格一致，若出现价格不一致的情况，评标时一律按开标一览表中价格为准。</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11、投标人资格证明文件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11.1投标人应按招标文件的要求提交资格证明文件。</w:t>
      </w:r>
      <w:bookmarkEnd w:id="89"/>
      <w:r/>
      <w:bookmarkEnd w:id="90"/>
      <w:r/>
      <w:bookmarkEnd w:id="98"/>
      <w:r/>
      <w:bookmarkEnd w:id="99"/>
      <w:r/>
      <w:bookmarkEnd w:id="100"/>
      <w:r/>
      <w:r/>
    </w:p>
    <w:p>
      <w:pPr>
        <w:ind w:firstLine="562"/>
        <w:jc w:val="left"/>
        <w:spacing w:line="360" w:lineRule="auto"/>
        <w:rPr>
          <w:rFonts w:hint="eastAsia" w:ascii="宋体" w:hAnsi="宋体"/>
          <w:b/>
          <w:sz w:val="28"/>
          <w:szCs w:val="28"/>
          <w:highlight w:val="none"/>
        </w:rPr>
      </w:pPr>
      <w:r/>
      <w:bookmarkStart w:id="101" w:name="_Toc513029224"/>
      <w:r/>
      <w:bookmarkStart w:id="102" w:name="_Toc38368123"/>
      <w:r/>
      <w:bookmarkStart w:id="103" w:name="_Toc54615242"/>
      <w:r/>
      <w:bookmarkStart w:id="104" w:name="_Toc6389296"/>
      <w:r/>
      <w:bookmarkStart w:id="105" w:name="_Toc20823296"/>
      <w:r/>
      <w:bookmarkStart w:id="106" w:name="_Toc35266023"/>
      <w:r/>
      <w:bookmarkStart w:id="107" w:name="_Toc120614217"/>
      <w:r/>
      <w:bookmarkStart w:id="108" w:name="_Toc16938540"/>
      <w:r/>
      <w:bookmarkStart w:id="109" w:name="_Toc6388848"/>
      <w:r>
        <w:rPr>
          <w:rFonts w:hint="eastAsia" w:ascii="宋体" w:hAnsi="宋体"/>
          <w:b/>
          <w:sz w:val="28"/>
          <w:szCs w:val="28"/>
          <w:highlight w:val="none"/>
        </w:rPr>
        <w:t xml:space="preserve">12、标的物、投标货币及项目总报价</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12.1 投标人应按照招标文件规定格式填报。每项货物和服务等只允许有一个报价 。</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12.2 标的物</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12.2.1采购人需求的有关服务等。</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12.3投标货币</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投标文件中的单价和总价无特殊规定的采用人民币报价，以元为单位标注。招标文件中另有规定的按规定执行。</w:t>
      </w:r>
      <w:r/>
    </w:p>
    <w:p>
      <w:pPr>
        <w:ind w:firstLine="480"/>
        <w:spacing w:line="360" w:lineRule="auto"/>
        <w:tabs>
          <w:tab w:val="left" w:pos="6165" w:leader="none"/>
        </w:tabs>
        <w:rPr>
          <w:rFonts w:hint="eastAsia" w:ascii="宋体" w:hAnsi="宋体"/>
          <w:bCs/>
          <w:sz w:val="24"/>
          <w:highlight w:val="none"/>
        </w:rPr>
      </w:pPr>
      <w:r>
        <w:rPr>
          <w:rFonts w:hint="eastAsia" w:ascii="宋体" w:hAnsi="宋体"/>
          <w:bCs/>
          <w:sz w:val="24"/>
          <w:highlight w:val="none"/>
        </w:rPr>
        <w:t xml:space="preserve">12.4 项目总价应包括但不限于</w:t>
      </w:r>
      <w:r>
        <w:rPr>
          <w:rFonts w:ascii="宋体" w:hAnsi="宋体"/>
          <w:bCs/>
          <w:sz w:val="24"/>
          <w:highlight w:val="none"/>
        </w:rPr>
        <w:t xml:space="preserve">人员费用（工资、福利、 培训、社会保险等）、服务所用设备工具购置及</w:t>
      </w:r>
      <w:r>
        <w:rPr>
          <w:rFonts w:hint="eastAsia" w:ascii="宋体" w:hAnsi="宋体"/>
          <w:bCs/>
          <w:sz w:val="24"/>
          <w:highlight w:val="none"/>
        </w:rPr>
        <w:t xml:space="preserve">投标人自备工具的</w:t>
      </w:r>
      <w:r>
        <w:rPr>
          <w:rFonts w:ascii="宋体" w:hAnsi="宋体"/>
          <w:bCs/>
          <w:sz w:val="24"/>
          <w:highlight w:val="none"/>
        </w:rPr>
        <w:t xml:space="preserve">维修费用、服务所用材料消耗费用、管理费用、利润、税金、政策性文件规定及合同包含的所有风险、责任等各项应有费用。</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12.5 本报价必须充分考虑所有可能影响到报价的价格因素，一旦投标结束最终成交，如发生漏、缺、少项，都将被认为是中标人的报价让利行为。</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13、技术及服务方案</w:t>
      </w:r>
      <w:r/>
    </w:p>
    <w:p>
      <w:pPr>
        <w:ind w:firstLine="480"/>
        <w:jc w:val="left"/>
        <w:spacing w:line="360" w:lineRule="auto"/>
        <w:rPr>
          <w:rFonts w:ascii="宋体" w:hAnsi="宋体"/>
          <w:bCs/>
          <w:color w:val="auto"/>
          <w:sz w:val="24"/>
          <w:highlight w:val="none"/>
        </w:rPr>
      </w:pPr>
      <w:r/>
      <w:bookmarkStart w:id="110" w:name="_Toc14577359"/>
      <w:r/>
      <w:bookmarkStart w:id="111" w:name="_Toc49090510"/>
      <w:r>
        <w:rPr>
          <w:rFonts w:hint="eastAsia" w:ascii="宋体" w:hAnsi="宋体"/>
          <w:bCs/>
          <w:color w:val="auto"/>
          <w:sz w:val="24"/>
          <w:highlight w:val="none"/>
        </w:rPr>
        <w:t xml:space="preserve">13.1根据自己对需求的理解</w:t>
      </w:r>
      <w:r>
        <w:rPr>
          <w:rFonts w:hint="eastAsia" w:ascii="宋体" w:hAnsi="宋体" w:cs="宋体"/>
          <w:bCs/>
          <w:color w:val="auto"/>
          <w:sz w:val="24"/>
          <w:highlight w:val="none"/>
        </w:rPr>
        <w:t xml:space="preserve">提出具体的项目实施和服务方案</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14</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投标人情况介绍</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 投标人的总体情况应在电子投标文件中作出说明。</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15、投标保证金</w:t>
      </w:r>
      <w:r/>
    </w:p>
    <w:p>
      <w:pPr>
        <w:contextualSpacing/>
        <w:ind w:firstLine="508"/>
        <w:jc w:val="left"/>
        <w:spacing w:line="360"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15.1本次招标不收取投标保证金</w:t>
      </w:r>
      <w:r>
        <w:rPr>
          <w:rFonts w:ascii="宋体" w:hAnsi="宋体" w:cs="宋体"/>
          <w:color w:val="auto"/>
          <w:spacing w:val="7"/>
          <w:sz w:val="24"/>
          <w:szCs w:val="24"/>
          <w:highlight w:val="none"/>
        </w:rPr>
        <w:t xml:space="preserve">。</w:t>
      </w:r>
      <w:bookmarkEnd w:id="110"/>
      <w:r/>
      <w:bookmarkEnd w:id="111"/>
      <w:r/>
      <w:r/>
    </w:p>
    <w:p>
      <w:pPr>
        <w:ind w:firstLine="562"/>
        <w:jc w:val="left"/>
        <w:spacing w:line="360" w:lineRule="auto"/>
        <w:rPr>
          <w:rFonts w:ascii="宋体" w:hAnsi="宋体"/>
          <w:b/>
          <w:color w:val="auto"/>
          <w:sz w:val="28"/>
          <w:szCs w:val="28"/>
          <w:highlight w:val="none"/>
        </w:rPr>
      </w:pPr>
      <w:r/>
      <w:bookmarkStart w:id="112" w:name="_Hlt26954734"/>
      <w:r/>
      <w:bookmarkEnd w:id="112"/>
      <w:r/>
      <w:bookmarkStart w:id="113" w:name="_Hlt26954850"/>
      <w:r/>
      <w:bookmarkEnd w:id="113"/>
      <w:r/>
      <w:bookmarkStart w:id="114" w:name="_Hlt26670489"/>
      <w:r/>
      <w:bookmarkEnd w:id="114"/>
      <w:r/>
      <w:bookmarkStart w:id="115" w:name="EBf6e5e332cb7245ab8f3a9801503c122b"/>
      <w:r/>
      <w:bookmarkEnd w:id="115"/>
      <w:r/>
      <w:bookmarkStart w:id="116" w:name="_Toc14577360"/>
      <w:r/>
      <w:bookmarkStart w:id="117" w:name="_Toc49090511"/>
      <w:r>
        <w:rPr>
          <w:rFonts w:hint="eastAsia" w:ascii="宋体" w:hAnsi="宋体"/>
          <w:b/>
          <w:color w:val="auto"/>
          <w:sz w:val="28"/>
          <w:szCs w:val="28"/>
          <w:highlight w:val="none"/>
        </w:rPr>
        <w:t xml:space="preserve">16、投标有效期</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 投标有效期为张家港保税区宏宇建设咨询有限公司规定的开标之日后九十（90）天。投标有效期比规定短的将被视为非响应性投标而予以拒绝。</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张家港保税区宏宇建设咨询有限公司于原投标有效期满之前，可向投标人提出延长投标有效期的要求。这种要求与答复均应采用书面形式。投标人可以拒绝张家港保税区宏宇建设咨询有限公司的这一要求而放弃投标。同意延长投标有效期的投标人既不能要求也不允许修改其投标文件。</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17、</w:t>
      </w:r>
      <w:bookmarkEnd w:id="116"/>
      <w:r/>
      <w:bookmarkEnd w:id="117"/>
      <w:r>
        <w:rPr>
          <w:rFonts w:hint="eastAsia" w:ascii="宋体" w:hAnsi="宋体"/>
          <w:b/>
          <w:color w:val="auto"/>
          <w:sz w:val="28"/>
          <w:szCs w:val="28"/>
          <w:highlight w:val="none"/>
        </w:rPr>
        <w:t xml:space="preserve">投标文件的签署</w:t>
      </w:r>
      <w:r/>
    </w:p>
    <w:p>
      <w:pPr>
        <w:contextualSpacing/>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本招标文件所表述（指定）的公章是指法定名称章，不包括合同专用章、业务专用章等印章</w:t>
      </w:r>
      <w:r>
        <w:rPr>
          <w:rFonts w:ascii="宋体" w:hAnsi="宋体"/>
          <w:bCs/>
          <w:color w:val="auto"/>
          <w:sz w:val="24"/>
          <w:highlight w:val="none"/>
        </w:rPr>
        <w:t xml:space="preserve">。</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四、投标文件的制作、上传、递交</w:t>
      </w:r>
      <w:bookmarkEnd w:id="101"/>
      <w:r/>
      <w:bookmarkEnd w:id="102"/>
      <w:r/>
      <w:bookmarkEnd w:id="103"/>
      <w:r/>
      <w:bookmarkEnd w:id="104"/>
      <w:r/>
      <w:bookmarkEnd w:id="105"/>
      <w:r/>
      <w:bookmarkEnd w:id="106"/>
      <w:r/>
      <w:bookmarkEnd w:id="107"/>
      <w:r/>
      <w:bookmarkEnd w:id="108"/>
      <w:r/>
      <w:bookmarkEnd w:id="109"/>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1</w:t>
      </w:r>
      <w:r>
        <w:rPr>
          <w:rFonts w:hint="eastAsia" w:ascii="宋体" w:hAnsi="宋体"/>
          <w:b/>
          <w:color w:val="auto"/>
          <w:sz w:val="28"/>
          <w:szCs w:val="28"/>
          <w:highlight w:val="none"/>
        </w:rPr>
        <w:t xml:space="preserve">8</w:t>
      </w:r>
      <w:r>
        <w:rPr>
          <w:rFonts w:ascii="宋体" w:hAnsi="宋体"/>
          <w:b/>
          <w:color w:val="auto"/>
          <w:sz w:val="28"/>
          <w:szCs w:val="28"/>
          <w:highlight w:val="none"/>
        </w:rPr>
        <w:t xml:space="preserve">、投标文件的递交</w:t>
      </w:r>
      <w:r/>
    </w:p>
    <w:p>
      <w:pPr>
        <w:contextualSpacing/>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1</w:t>
      </w:r>
      <w:r>
        <w:rPr>
          <w:rFonts w:hint="eastAsia" w:ascii="宋体" w:hAnsi="宋体" w:cs="宋体"/>
          <w:color w:val="auto"/>
          <w:spacing w:val="7"/>
          <w:sz w:val="24"/>
          <w:szCs w:val="24"/>
          <w:highlight w:val="none"/>
        </w:rPr>
        <w:t xml:space="preserve">8</w:t>
      </w:r>
      <w:r>
        <w:rPr>
          <w:rFonts w:ascii="宋体" w:hAnsi="宋体" w:cs="宋体"/>
          <w:color w:val="auto"/>
          <w:spacing w:val="7"/>
          <w:sz w:val="24"/>
          <w:szCs w:val="24"/>
          <w:highlight w:val="none"/>
        </w:rPr>
        <w:t xml:space="preserve">.1 电子投标文件的递交</w:t>
      </w:r>
      <w:r/>
    </w:p>
    <w:p>
      <w:pPr>
        <w:contextualSpacing/>
        <w:ind w:firstLine="508"/>
        <w:jc w:val="left"/>
        <w:spacing w:line="360"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投标人应当按照《苏采云系统供应商操作手册》规定，在投标截止时间前制作并上传电子投标文件。</w:t>
      </w:r>
      <w:r/>
    </w:p>
    <w:p>
      <w:pPr>
        <w:ind w:firstLine="562"/>
        <w:jc w:val="left"/>
        <w:spacing w:line="360" w:lineRule="auto"/>
        <w:rPr>
          <w:rFonts w:ascii="宋体" w:hAnsi="宋体"/>
          <w:b/>
          <w:color w:val="auto"/>
          <w:sz w:val="28"/>
          <w:szCs w:val="28"/>
          <w:highlight w:val="none"/>
        </w:rPr>
      </w:pPr>
      <w:r/>
      <w:bookmarkStart w:id="118" w:name="EBf32ab2a605304a2590d51e1e588ffb76"/>
      <w:r/>
      <w:bookmarkEnd w:id="118"/>
      <w:r/>
      <w:bookmarkStart w:id="119" w:name="_Toc6388850"/>
      <w:r/>
      <w:bookmarkStart w:id="120" w:name="_Toc6389298"/>
      <w:r>
        <w:rPr>
          <w:rFonts w:hint="eastAsia" w:ascii="宋体" w:hAnsi="宋体"/>
          <w:b/>
          <w:color w:val="auto"/>
          <w:sz w:val="28"/>
          <w:szCs w:val="28"/>
          <w:highlight w:val="none"/>
        </w:rPr>
        <w:t xml:space="preserve">19、投标截止日期</w:t>
      </w:r>
      <w:bookmarkEnd w:id="119"/>
      <w:r/>
      <w:bookmarkEnd w:id="120"/>
      <w:r/>
      <w:r/>
    </w:p>
    <w:p>
      <w:pPr>
        <w:ind w:firstLine="508"/>
        <w:jc w:val="left"/>
        <w:spacing w:line="360" w:lineRule="auto"/>
        <w:rPr>
          <w:rFonts w:ascii="宋体" w:hAnsi="宋体" w:cs="宋体"/>
          <w:color w:val="auto"/>
          <w:spacing w:val="7"/>
          <w:sz w:val="24"/>
          <w:szCs w:val="24"/>
          <w:highlight w:val="none"/>
        </w:rPr>
      </w:pPr>
      <w:r/>
      <w:bookmarkStart w:id="121" w:name="EB4c6421107b4c4e38bf2769d0237905a7"/>
      <w:r/>
      <w:bookmarkEnd w:id="121"/>
      <w:r/>
      <w:bookmarkStart w:id="122" w:name="_Toc6389299"/>
      <w:r/>
      <w:bookmarkStart w:id="123" w:name="_Toc6388851"/>
      <w:r>
        <w:rPr>
          <w:rFonts w:hint="eastAsia" w:ascii="宋体" w:hAnsi="宋体" w:cs="宋体"/>
          <w:color w:val="auto"/>
          <w:spacing w:val="7"/>
          <w:sz w:val="24"/>
          <w:szCs w:val="24"/>
          <w:highlight w:val="none"/>
        </w:rPr>
        <w:t xml:space="preserve">19.1 投标人上传电子投标文件的时间不得迟于招标公告中规定的投标截止时间。</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20、投标文件的递交</w:t>
      </w:r>
      <w:bookmarkEnd w:id="122"/>
      <w:r/>
      <w:bookmarkEnd w:id="123"/>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20.1</w:t>
      </w:r>
      <w:bookmarkStart w:id="124" w:name="EBfffe463a2deb4e7cad93cb8e37ffda5e"/>
      <w:r>
        <w:rPr>
          <w:rFonts w:hint="eastAsia" w:ascii="宋体" w:hAnsi="宋体"/>
          <w:color w:val="auto"/>
          <w:sz w:val="24"/>
          <w:highlight w:val="none"/>
        </w:rPr>
        <w:t xml:space="preserve">张家港保税区宏宇建设咨询有限公司</w:t>
      </w:r>
      <w:bookmarkEnd w:id="124"/>
      <w:r>
        <w:rPr>
          <w:rFonts w:hint="eastAsia" w:ascii="宋体" w:hAnsi="宋体"/>
          <w:color w:val="auto"/>
          <w:sz w:val="24"/>
          <w:highlight w:val="none"/>
        </w:rPr>
        <w:t xml:space="preserve">拒绝接收在其规定的投标截止时间后递交的任何投标文件。</w:t>
      </w:r>
      <w:r/>
    </w:p>
    <w:p>
      <w:pPr>
        <w:ind w:firstLine="562"/>
        <w:jc w:val="left"/>
        <w:spacing w:line="360" w:lineRule="auto"/>
        <w:rPr>
          <w:rFonts w:ascii="宋体" w:hAnsi="宋体"/>
          <w:b/>
          <w:color w:val="auto"/>
          <w:sz w:val="28"/>
          <w:szCs w:val="28"/>
          <w:highlight w:val="none"/>
        </w:rPr>
      </w:pPr>
      <w:r/>
      <w:bookmarkStart w:id="125" w:name="_Toc6389300"/>
      <w:r/>
      <w:bookmarkStart w:id="126" w:name="_Toc6388852"/>
      <w:r>
        <w:rPr>
          <w:rFonts w:hint="eastAsia" w:ascii="宋体" w:hAnsi="宋体"/>
          <w:b/>
          <w:color w:val="auto"/>
          <w:sz w:val="28"/>
          <w:szCs w:val="28"/>
          <w:highlight w:val="none"/>
        </w:rPr>
        <w:t xml:space="preserve">21、投标文件的修改和撤回</w:t>
      </w:r>
      <w:bookmarkEnd w:id="125"/>
      <w:r/>
      <w:bookmarkEnd w:id="126"/>
      <w:r/>
      <w:r/>
    </w:p>
    <w:p>
      <w:pPr>
        <w:ind w:firstLine="508"/>
        <w:jc w:val="left"/>
        <w:spacing w:line="360" w:lineRule="auto"/>
        <w:rPr>
          <w:rFonts w:ascii="宋体" w:hAnsi="宋体" w:cs="宋体"/>
          <w:color w:val="auto"/>
          <w:spacing w:val="7"/>
          <w:sz w:val="24"/>
          <w:szCs w:val="24"/>
          <w:highlight w:val="none"/>
        </w:rPr>
      </w:pPr>
      <w:r/>
      <w:bookmarkStart w:id="127" w:name="_Toc35266024"/>
      <w:r/>
      <w:bookmarkStart w:id="128" w:name="_Toc120614218"/>
      <w:r/>
      <w:bookmarkStart w:id="129" w:name="_Toc160042792"/>
      <w:r/>
      <w:bookmarkStart w:id="130" w:name="_Toc38368124"/>
      <w:r/>
      <w:bookmarkStart w:id="131" w:name="_Toc20823301"/>
      <w:r/>
      <w:bookmarkStart w:id="132" w:name="_Toc513029229"/>
      <w:r/>
      <w:bookmarkStart w:id="133" w:name="_Toc54615243"/>
      <w:r/>
      <w:bookmarkStart w:id="134" w:name="_Toc16938545"/>
      <w:r>
        <w:rPr>
          <w:rFonts w:hint="eastAsia" w:ascii="宋体" w:hAnsi="宋体" w:cs="宋体"/>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21.2 投标人撤回电子投标文件，则认为其不再参与本项目投标活动。</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21.3 在投标截止时间之后，投标人不得对其电子投标文件作任何修改。</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21.4 在投标截止时间至招标文件中规定的投标有效期满之间的这段时间内，投标人不得撤销其投标。</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21.5 不论投标人中标与否，投标文件均不退回。</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五、开标与评标</w:t>
      </w:r>
      <w:bookmarkEnd w:id="127"/>
      <w:r/>
      <w:bookmarkEnd w:id="128"/>
      <w:r/>
      <w:bookmarkEnd w:id="129"/>
      <w:r/>
      <w:bookmarkEnd w:id="130"/>
      <w:r/>
      <w:bookmarkEnd w:id="131"/>
      <w:r/>
      <w:bookmarkEnd w:id="132"/>
      <w:r/>
      <w:bookmarkEnd w:id="133"/>
      <w:r/>
      <w:bookmarkEnd w:id="134"/>
      <w:r/>
      <w:r/>
    </w:p>
    <w:p>
      <w:pPr>
        <w:ind w:firstLine="562"/>
        <w:jc w:val="left"/>
        <w:spacing w:line="360" w:lineRule="auto"/>
        <w:rPr>
          <w:rFonts w:ascii="宋体" w:hAnsi="宋体"/>
          <w:b/>
          <w:color w:val="auto"/>
          <w:sz w:val="28"/>
          <w:szCs w:val="28"/>
          <w:highlight w:val="none"/>
        </w:rPr>
      </w:pPr>
      <w:r/>
      <w:bookmarkStart w:id="135" w:name="_Toc16938546"/>
      <w:r/>
      <w:bookmarkStart w:id="136" w:name="_Toc513029230"/>
      <w:r/>
      <w:bookmarkStart w:id="137" w:name="_Toc20823302"/>
      <w:r>
        <w:rPr>
          <w:rFonts w:hint="eastAsia" w:ascii="宋体" w:hAnsi="宋体"/>
          <w:b/>
          <w:color w:val="auto"/>
          <w:sz w:val="28"/>
          <w:szCs w:val="28"/>
          <w:highlight w:val="none"/>
        </w:rPr>
        <w:t xml:space="preserve">22、开标</w:t>
      </w:r>
      <w:bookmarkEnd w:id="135"/>
      <w:r/>
      <w:bookmarkEnd w:id="136"/>
      <w:r/>
      <w:bookmarkEnd w:id="137"/>
      <w:r/>
      <w:r/>
    </w:p>
    <w:p>
      <w:pPr>
        <w:ind w:firstLine="508"/>
        <w:jc w:val="left"/>
        <w:spacing w:line="360" w:lineRule="auto"/>
        <w:rPr>
          <w:rFonts w:ascii="宋体" w:hAnsi="宋体" w:cs="宋体"/>
          <w:color w:val="auto"/>
          <w:spacing w:val="7"/>
          <w:sz w:val="24"/>
          <w:szCs w:val="24"/>
          <w:highlight w:val="none"/>
        </w:rPr>
      </w:pPr>
      <w:r/>
      <w:bookmarkStart w:id="138" w:name="EB45a41a7a147945c0bb92535f2d40058d"/>
      <w:r/>
      <w:bookmarkEnd w:id="138"/>
      <w:r/>
      <w:bookmarkStart w:id="139" w:name="_Toc20823303"/>
      <w:r/>
      <w:bookmarkStart w:id="140" w:name="_Toc16938547"/>
      <w:r/>
      <w:bookmarkStart w:id="141" w:name="_Toc513029231"/>
      <w:r>
        <w:rPr>
          <w:rFonts w:hint="eastAsia" w:ascii="宋体" w:hAnsi="宋体" w:cs="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3</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评标委员会</w:t>
      </w:r>
      <w:r/>
    </w:p>
    <w:p>
      <w:pPr>
        <w:contextualSpacing/>
        <w:ind w:firstLine="480"/>
        <w:jc w:val="left"/>
        <w:spacing w:line="360" w:lineRule="auto"/>
        <w:rPr>
          <w:rFonts w:ascii="宋体" w:hAnsi="宋体"/>
          <w:b/>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3.1开标后，</w:t>
      </w:r>
      <w:bookmarkStart w:id="142" w:name="EBd93f728e80de47e5afd77299c0ffdfa6"/>
      <w:r>
        <w:rPr>
          <w:rFonts w:hint="eastAsia" w:ascii="宋体" w:hAnsi="宋体"/>
          <w:color w:val="auto"/>
          <w:sz w:val="24"/>
          <w:highlight w:val="none"/>
        </w:rPr>
        <w:t xml:space="preserve">张家港保税区宏宇建设咨询有限公司</w:t>
      </w:r>
      <w:bookmarkEnd w:id="142"/>
      <w:r>
        <w:rPr>
          <w:rFonts w:hint="eastAsia" w:ascii="宋体" w:hAnsi="宋体"/>
          <w:color w:val="auto"/>
          <w:sz w:val="24"/>
          <w:highlight w:val="none"/>
        </w:rPr>
        <w:t xml:space="preserve">将立即组织评标委员会（以下简称评委会）进行评标。</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4</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评标过程的保密</w:t>
      </w:r>
      <w:bookmarkEnd w:id="139"/>
      <w:r/>
      <w:bookmarkEnd w:id="140"/>
      <w:r/>
      <w:bookmarkEnd w:id="141"/>
      <w:r>
        <w:rPr>
          <w:rFonts w:hint="eastAsia" w:ascii="宋体" w:hAnsi="宋体"/>
          <w:b/>
          <w:color w:val="auto"/>
          <w:sz w:val="28"/>
          <w:szCs w:val="28"/>
          <w:highlight w:val="none"/>
        </w:rPr>
        <w:t xml:space="preserve">与公正</w:t>
      </w:r>
      <w:r/>
    </w:p>
    <w:p>
      <w:pPr>
        <w:contextualSpacing/>
        <w:ind w:firstLine="480"/>
        <w:jc w:val="left"/>
        <w:spacing w:line="360" w:lineRule="auto"/>
        <w:rPr>
          <w:rFonts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bookmarkStart w:id="143" w:name="EB8495c46e8cb146ec80ae8c0f7928221c"/>
      <w:r>
        <w:rPr>
          <w:rFonts w:hint="eastAsia" w:ascii="宋体" w:hAnsi="宋体"/>
          <w:color w:val="auto"/>
          <w:sz w:val="24"/>
          <w:highlight w:val="none"/>
        </w:rPr>
        <w:t xml:space="preserve">张家港保税区宏宇建设咨询有限公司</w:t>
      </w:r>
      <w:bookmarkEnd w:id="143"/>
      <w:r>
        <w:rPr>
          <w:rFonts w:hint="eastAsia" w:ascii="宋体" w:hAnsi="宋体"/>
          <w:color w:val="auto"/>
          <w:sz w:val="24"/>
          <w:highlight w:val="none"/>
        </w:rPr>
        <w:t xml:space="preserve">和参与评标的人员施加任何影响，都将会导致其投标被拒绝。</w:t>
      </w:r>
      <w:r/>
    </w:p>
    <w:p>
      <w:pPr>
        <w:ind w:firstLine="562"/>
        <w:jc w:val="left"/>
        <w:spacing w:line="360" w:lineRule="auto"/>
        <w:rPr>
          <w:rFonts w:ascii="宋体" w:hAnsi="宋体"/>
          <w:b/>
          <w:color w:val="auto"/>
          <w:sz w:val="28"/>
          <w:szCs w:val="28"/>
          <w:highlight w:val="none"/>
        </w:rPr>
      </w:pPr>
      <w:r/>
      <w:bookmarkStart w:id="144" w:name="_Toc16938548"/>
      <w:r/>
      <w:bookmarkStart w:id="145" w:name="_Toc513029232"/>
      <w:r/>
      <w:bookmarkStart w:id="146" w:name="_Toc20823304"/>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5．投标的澄清</w:t>
      </w:r>
      <w:bookmarkEnd w:id="144"/>
      <w:r/>
      <w:bookmarkEnd w:id="145"/>
      <w:r/>
      <w:bookmarkEnd w:id="146"/>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5.1评标期间，为有助于对投标文件的审查、评价和比较，评委会有权要求投标人对其投标文件进行澄清，但并非对每个投标人都作澄清要求。</w:t>
      </w:r>
      <w:r/>
    </w:p>
    <w:p>
      <w:pPr>
        <w:contextualSpacing/>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2</w:t>
      </w:r>
      <w:r>
        <w:rPr>
          <w:rFonts w:hint="eastAsia" w:ascii="宋体" w:hAnsi="宋体" w:cs="宋体"/>
          <w:color w:val="auto"/>
          <w:spacing w:val="7"/>
          <w:sz w:val="24"/>
          <w:szCs w:val="24"/>
          <w:highlight w:val="none"/>
        </w:rPr>
        <w:t xml:space="preserve">5</w:t>
      </w:r>
      <w:r>
        <w:rPr>
          <w:rFonts w:ascii="宋体" w:hAnsi="宋体" w:cs="宋体"/>
          <w:color w:val="auto"/>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contextualSpacing/>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Cs/>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25.3接到评委会澄清要求的投标人如未按规定做出澄清，其风险由投标人自行承担。</w:t>
      </w:r>
      <w:r/>
    </w:p>
    <w:p>
      <w:pPr>
        <w:ind w:firstLine="562"/>
        <w:jc w:val="left"/>
        <w:spacing w:line="360" w:lineRule="auto"/>
        <w:rPr>
          <w:rFonts w:ascii="宋体" w:hAnsi="宋体"/>
          <w:b/>
          <w:color w:val="auto"/>
          <w:sz w:val="28"/>
          <w:szCs w:val="28"/>
          <w:highlight w:val="none"/>
        </w:rPr>
      </w:pPr>
      <w:r/>
      <w:bookmarkStart w:id="147" w:name="_Toc513029233"/>
      <w:r/>
      <w:bookmarkStart w:id="148" w:name="_Toc16938549"/>
      <w:r/>
      <w:bookmarkStart w:id="149" w:name="_Toc20823305"/>
      <w:r>
        <w:rPr>
          <w:rFonts w:hint="eastAsia" w:ascii="宋体" w:hAnsi="宋体"/>
          <w:b/>
          <w:color w:val="auto"/>
          <w:sz w:val="28"/>
          <w:szCs w:val="28"/>
          <w:highlight w:val="none"/>
        </w:rPr>
        <w:t xml:space="preserve">26、</w:t>
      </w:r>
      <w:bookmarkEnd w:id="147"/>
      <w:r/>
      <w:bookmarkEnd w:id="148"/>
      <w:r/>
      <w:bookmarkEnd w:id="149"/>
      <w:r>
        <w:rPr>
          <w:rFonts w:hint="eastAsia" w:ascii="宋体" w:hAnsi="宋体"/>
          <w:b/>
          <w:color w:val="auto"/>
          <w:sz w:val="28"/>
          <w:szCs w:val="28"/>
          <w:highlight w:val="none"/>
        </w:rPr>
        <w:t xml:space="preserve">对投标文件的初审</w:t>
      </w:r>
      <w:r/>
    </w:p>
    <w:p>
      <w:pPr>
        <w:ind w:firstLine="480"/>
        <w:jc w:val="left"/>
        <w:spacing w:line="360" w:lineRule="auto"/>
        <w:rPr>
          <w:rFonts w:ascii="宋体" w:hAnsi="宋体"/>
          <w:color w:val="auto"/>
          <w:sz w:val="24"/>
          <w:szCs w:val="24"/>
          <w:highlight w:val="none"/>
        </w:rPr>
      </w:pPr>
      <w:r/>
      <w:bookmarkStart w:id="150" w:name="EB8e3ec86c09a94dac9cc9034e6027ee19"/>
      <w:r/>
      <w:bookmarkEnd w:id="150"/>
      <w:r/>
      <w:bookmarkStart w:id="151" w:name="_Toc20823306"/>
      <w:r/>
      <w:bookmarkStart w:id="152" w:name="_Toc16938550"/>
      <w:r/>
      <w:bookmarkStart w:id="153" w:name="_Toc513029234"/>
      <w:r/>
      <w:bookmarkStart w:id="154" w:name="_Toc200451960"/>
      <w:r>
        <w:rPr>
          <w:rFonts w:hint="eastAsia" w:ascii="宋体" w:hAnsi="宋体"/>
          <w:color w:val="auto"/>
          <w:sz w:val="24"/>
          <w:szCs w:val="24"/>
          <w:highlight w:val="none"/>
        </w:rPr>
        <w:t xml:space="preserve">26.1投标文件初审分为资格审查和符合性审查。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26.1.1资格性审查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26.1.1.1关于信用查询：</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26.1.1.1.1根据政府采购法及相关法规，以及苏州市财政局《关于印发苏州市市级政府采购信用记录查询和使用工作试行办法的通知》（苏财购（2017）11号）文件的规定，将对供应商进行信用查询。</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26.1.1.1.2查询时间：投标文件递交截止时间。</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26.1.1.1.3查询渠道：通过“信用中国”网站等渠道查询相关主体信用记录。</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26.1.2符合性审查：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依据招标文件的规定，由评委会对投标文件进行审查，以确定是否对招标文件的实质性要求作出响应。</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 </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（1）投标文件中开标一览表（报价表）内容与投标文件中相应内容不一致的，以开标一览表（报价表）为准；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27、</w:t>
      </w:r>
      <w:bookmarkEnd w:id="151"/>
      <w:r/>
      <w:bookmarkEnd w:id="152"/>
      <w:r/>
      <w:bookmarkEnd w:id="153"/>
      <w:r>
        <w:rPr>
          <w:rFonts w:hint="eastAsia" w:ascii="宋体" w:hAnsi="宋体"/>
          <w:b/>
          <w:color w:val="auto"/>
          <w:sz w:val="28"/>
          <w:szCs w:val="28"/>
          <w:highlight w:val="none"/>
        </w:rPr>
        <w:t xml:space="preserve">无效投标条款和废标条款</w:t>
      </w:r>
      <w:r/>
    </w:p>
    <w:p>
      <w:pPr>
        <w:ind w:firstLine="508"/>
        <w:jc w:val="left"/>
        <w:spacing w:line="360" w:lineRule="auto"/>
        <w:rPr>
          <w:rFonts w:ascii="宋体" w:hAnsi="宋体" w:cs="宋体"/>
          <w:color w:val="auto"/>
          <w:spacing w:val="7"/>
          <w:sz w:val="24"/>
          <w:szCs w:val="24"/>
          <w:highlight w:val="none"/>
        </w:rPr>
      </w:pPr>
      <w:r/>
      <w:bookmarkStart w:id="155" w:name="EB369a3ca3706348fd9a6451dab4968a5b"/>
      <w:r/>
      <w:bookmarkEnd w:id="155"/>
      <w:r/>
      <w:bookmarkStart w:id="156" w:name="_Toc20823307"/>
      <w:r/>
      <w:bookmarkStart w:id="157" w:name="_Toc16938551"/>
      <w:r/>
      <w:bookmarkStart w:id="158" w:name="_Toc513029235"/>
      <w:r/>
      <w:bookmarkStart w:id="159" w:name="_Toc120614219"/>
      <w:r/>
      <w:bookmarkStart w:id="160" w:name="_Toc35266025"/>
      <w:r/>
      <w:bookmarkStart w:id="161" w:name="_Toc54615244"/>
      <w:r/>
      <w:bookmarkStart w:id="162" w:name="_Toc38368125"/>
      <w:r>
        <w:rPr>
          <w:rFonts w:hint="eastAsia" w:ascii="宋体" w:hAnsi="宋体" w:cs="宋体"/>
          <w:color w:val="auto"/>
          <w:spacing w:val="7"/>
          <w:sz w:val="24"/>
          <w:szCs w:val="24"/>
          <w:highlight w:val="none"/>
        </w:rPr>
        <w:t xml:space="preserve">27.1 无效投标条款</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 投标人未按照招标文件要求上传电子投标文件的；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 投标人在规定时间内不解密投标文件或未成功解密投标文件的（因系统原因导致的除外)；</w:t>
      </w:r>
      <w:r/>
    </w:p>
    <w:p>
      <w:pPr>
        <w:ind w:firstLine="508"/>
        <w:jc w:val="left"/>
        <w:spacing w:line="360" w:lineRule="auto"/>
        <w:rPr>
          <w:rFonts w:hint="eastAsia" w:ascii="宋体" w:hAnsi="宋体" w:cs="宋体"/>
          <w:color w:val="auto"/>
          <w:spacing w:val="7"/>
          <w:sz w:val="24"/>
          <w:szCs w:val="24"/>
          <w:highlight w:val="none"/>
        </w:rPr>
      </w:pPr>
      <w:r>
        <w:rPr>
          <w:rStyle w:val="1232"/>
          <w:rFonts w:ascii="宋体" w:hAnsi="宋体" w:eastAsia="宋体" w:cs="宋体"/>
          <w:color w:val="auto"/>
          <w:spacing w:val="7"/>
          <w:sz w:val="24"/>
          <w:szCs w:val="24"/>
          <w:highlight w:val="none"/>
        </w:rPr>
        <w:t xml:space="preserve"> 27.1.</w:t>
      </w:r>
      <w:r>
        <w:rPr>
          <w:rStyle w:val="1232"/>
          <w:rFonts w:hint="eastAsia" w:ascii="宋体" w:hAnsi="宋体" w:eastAsia="宋体" w:cs="宋体"/>
          <w:color w:val="auto"/>
          <w:spacing w:val="7"/>
          <w:sz w:val="24"/>
          <w:szCs w:val="24"/>
          <w:highlight w:val="none"/>
          <w:lang w:val="en-US"/>
        </w:rPr>
        <w:t xml:space="preserve">3</w:t>
      </w:r>
      <w:r>
        <w:rPr>
          <w:rStyle w:val="1232"/>
          <w:rFonts w:ascii="宋体" w:hAnsi="宋体" w:eastAsia="宋体" w:cs="宋体"/>
          <w:color w:val="auto"/>
          <w:spacing w:val="7"/>
          <w:sz w:val="24"/>
          <w:szCs w:val="24"/>
          <w:highlight w:val="none"/>
        </w:rPr>
        <w:t xml:space="preserve"> 投标人在规定时间内不解密投标文件或未成功解密投标文件的（因系统原因导致的除外)；</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w:t>
      </w:r>
      <w:r>
        <w:rPr>
          <w:rFonts w:hint="eastAsia" w:ascii="宋体" w:hAnsi="宋体" w:cs="宋体"/>
          <w:color w:val="auto"/>
          <w:spacing w:val="7"/>
          <w:sz w:val="24"/>
          <w:szCs w:val="24"/>
          <w:highlight w:val="none"/>
          <w:lang w:val="en-US" w:eastAsia="zh-CN"/>
        </w:rPr>
        <w:t xml:space="preserve">4</w:t>
      </w:r>
      <w:r>
        <w:rPr>
          <w:rFonts w:hint="eastAsia" w:ascii="宋体" w:hAnsi="宋体" w:cs="宋体"/>
          <w:color w:val="auto"/>
          <w:spacing w:val="7"/>
          <w:sz w:val="24"/>
          <w:szCs w:val="24"/>
          <w:highlight w:val="none"/>
        </w:rPr>
        <w:t xml:space="preserve"> 投标文件中没有《开标一览表》或《开标一览表》未加盖投标人公章的；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w:t>
      </w:r>
      <w:r>
        <w:rPr>
          <w:rFonts w:hint="eastAsia" w:ascii="宋体" w:hAnsi="宋体" w:cs="宋体"/>
          <w:color w:val="auto"/>
          <w:spacing w:val="7"/>
          <w:sz w:val="24"/>
          <w:szCs w:val="24"/>
          <w:highlight w:val="none"/>
          <w:lang w:val="en-US" w:eastAsia="zh-CN"/>
        </w:rPr>
        <w:t xml:space="preserve">5</w:t>
      </w:r>
      <w:r>
        <w:rPr>
          <w:rFonts w:hint="eastAsia" w:ascii="宋体" w:hAnsi="宋体" w:cs="宋体"/>
          <w:color w:val="auto"/>
          <w:spacing w:val="7"/>
          <w:sz w:val="24"/>
          <w:szCs w:val="24"/>
          <w:highlight w:val="none"/>
        </w:rPr>
        <w:t xml:space="preserve"> 投标文件中任何有选择的报价；</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w:t>
      </w:r>
      <w:r>
        <w:rPr>
          <w:rFonts w:hint="eastAsia" w:ascii="宋体" w:hAnsi="宋体" w:cs="宋体"/>
          <w:color w:val="auto"/>
          <w:spacing w:val="7"/>
          <w:sz w:val="24"/>
          <w:szCs w:val="24"/>
          <w:highlight w:val="none"/>
          <w:lang w:val="en-US" w:eastAsia="zh-CN"/>
        </w:rPr>
        <w:t xml:space="preserve">6</w:t>
      </w:r>
      <w:r>
        <w:rPr>
          <w:rFonts w:hint="eastAsia" w:ascii="宋体" w:hAnsi="宋体" w:cs="宋体"/>
          <w:color w:val="auto"/>
          <w:spacing w:val="7"/>
          <w:sz w:val="24"/>
          <w:szCs w:val="24"/>
          <w:highlight w:val="none"/>
        </w:rPr>
        <w:t xml:space="preserve"> 投标文件报价出现前后不一致的，按招标文件规定修正后投标人不确认的；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w:t>
      </w:r>
      <w:r>
        <w:rPr>
          <w:rFonts w:hint="eastAsia" w:ascii="宋体" w:hAnsi="宋体" w:cs="宋体"/>
          <w:color w:val="auto"/>
          <w:spacing w:val="7"/>
          <w:sz w:val="24"/>
          <w:szCs w:val="24"/>
          <w:highlight w:val="none"/>
          <w:lang w:val="en-US" w:eastAsia="zh-CN"/>
        </w:rPr>
        <w:t xml:space="preserve">7</w:t>
      </w:r>
      <w:r>
        <w:rPr>
          <w:rFonts w:hint="eastAsia" w:ascii="宋体" w:hAnsi="宋体" w:cs="宋体"/>
          <w:color w:val="auto"/>
          <w:spacing w:val="7"/>
          <w:sz w:val="24"/>
          <w:szCs w:val="24"/>
          <w:highlight w:val="none"/>
        </w:rPr>
        <w:t xml:space="preserve"> 不同投标人的投标文件由同一单位或者个人编制；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w:t>
      </w:r>
      <w:r>
        <w:rPr>
          <w:rFonts w:hint="eastAsia" w:ascii="宋体" w:hAnsi="宋体" w:cs="宋体"/>
          <w:color w:val="auto"/>
          <w:spacing w:val="7"/>
          <w:sz w:val="24"/>
          <w:szCs w:val="24"/>
          <w:highlight w:val="none"/>
          <w:lang w:val="en-US" w:eastAsia="zh-CN"/>
        </w:rPr>
        <w:t xml:space="preserve">8</w:t>
      </w:r>
      <w:r>
        <w:rPr>
          <w:rFonts w:hint="eastAsia" w:ascii="宋体" w:hAnsi="宋体" w:cs="宋体"/>
          <w:color w:val="auto"/>
          <w:spacing w:val="7"/>
          <w:sz w:val="24"/>
          <w:szCs w:val="24"/>
          <w:highlight w:val="none"/>
        </w:rPr>
        <w:t xml:space="preserve"> 不同投标人委托同一单位或者个人办理投标事宜；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w:t>
      </w:r>
      <w:r>
        <w:rPr>
          <w:rFonts w:hint="eastAsia" w:ascii="宋体" w:hAnsi="宋体" w:cs="宋体"/>
          <w:color w:val="auto"/>
          <w:spacing w:val="7"/>
          <w:sz w:val="24"/>
          <w:szCs w:val="24"/>
          <w:highlight w:val="none"/>
          <w:lang w:val="en-US" w:eastAsia="zh-CN"/>
        </w:rPr>
        <w:t xml:space="preserve">9</w:t>
      </w:r>
      <w:r>
        <w:rPr>
          <w:rFonts w:hint="eastAsia" w:ascii="宋体" w:hAnsi="宋体" w:cs="宋体"/>
          <w:color w:val="auto"/>
          <w:spacing w:val="7"/>
          <w:sz w:val="24"/>
          <w:szCs w:val="24"/>
          <w:highlight w:val="none"/>
        </w:rPr>
        <w:t xml:space="preserve"> 不同投标人的投标文件载明的项目管理成员或者联系人员为同一人；</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w:t>
      </w:r>
      <w:r>
        <w:rPr>
          <w:rFonts w:hint="eastAsia" w:ascii="宋体" w:hAnsi="宋体" w:cs="宋体"/>
          <w:color w:val="auto"/>
          <w:spacing w:val="7"/>
          <w:sz w:val="24"/>
          <w:szCs w:val="24"/>
          <w:highlight w:val="none"/>
          <w:lang w:val="en-US" w:eastAsia="zh-CN"/>
        </w:rPr>
        <w:t xml:space="preserve">10</w:t>
      </w:r>
      <w:r>
        <w:rPr>
          <w:rFonts w:hint="eastAsia" w:ascii="宋体" w:hAnsi="宋体" w:cs="宋体"/>
          <w:color w:val="auto"/>
          <w:spacing w:val="7"/>
          <w:sz w:val="24"/>
          <w:szCs w:val="24"/>
          <w:highlight w:val="none"/>
        </w:rPr>
        <w:t xml:space="preserve"> 不同投标人的投标文件异常一致或者投标报价呈规律性差异；</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w:t>
      </w:r>
      <w:r>
        <w:rPr>
          <w:rFonts w:hint="eastAsia" w:ascii="宋体" w:hAnsi="宋体" w:cs="宋体"/>
          <w:color w:val="auto"/>
          <w:spacing w:val="7"/>
          <w:sz w:val="24"/>
          <w:szCs w:val="24"/>
          <w:highlight w:val="none"/>
          <w:lang w:val="en-US" w:eastAsia="zh-CN"/>
        </w:rPr>
        <w:t xml:space="preserve">1</w:t>
      </w:r>
      <w:r>
        <w:rPr>
          <w:rFonts w:hint="eastAsia" w:ascii="宋体" w:hAnsi="宋体" w:cs="宋体"/>
          <w:color w:val="auto"/>
          <w:spacing w:val="7"/>
          <w:sz w:val="24"/>
          <w:szCs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w:t>
      </w:r>
      <w:r>
        <w:rPr>
          <w:rFonts w:hint="eastAsia" w:ascii="宋体" w:hAnsi="宋体" w:cs="宋体"/>
          <w:color w:val="auto"/>
          <w:spacing w:val="7"/>
          <w:sz w:val="24"/>
          <w:szCs w:val="24"/>
          <w:highlight w:val="none"/>
          <w:lang w:val="en-US" w:eastAsia="zh-CN"/>
        </w:rPr>
        <w:t xml:space="preserve">2</w:t>
      </w:r>
      <w:r>
        <w:rPr>
          <w:rFonts w:hint="eastAsia" w:ascii="宋体" w:hAnsi="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w:t>
      </w:r>
      <w:r>
        <w:rPr>
          <w:rFonts w:hint="eastAsia" w:ascii="宋体" w:hAnsi="宋体" w:cs="宋体"/>
          <w:color w:val="auto"/>
          <w:spacing w:val="7"/>
          <w:sz w:val="24"/>
          <w:szCs w:val="24"/>
          <w:highlight w:val="none"/>
          <w:lang w:val="en-US" w:eastAsia="zh-CN"/>
        </w:rPr>
        <w:t xml:space="preserve">3</w:t>
      </w:r>
      <w:r>
        <w:rPr>
          <w:rFonts w:hint="eastAsia" w:ascii="宋体" w:hAnsi="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w:t>
      </w:r>
      <w:r>
        <w:rPr>
          <w:rFonts w:hint="eastAsia" w:ascii="宋体" w:hAnsi="宋体" w:cs="宋体"/>
          <w:color w:val="auto"/>
          <w:spacing w:val="7"/>
          <w:sz w:val="24"/>
          <w:szCs w:val="24"/>
          <w:highlight w:val="none"/>
          <w:lang w:val="en-US" w:eastAsia="zh-CN"/>
        </w:rPr>
        <w:t xml:space="preserve">4</w:t>
      </w:r>
      <w:r>
        <w:rPr>
          <w:rFonts w:hint="eastAsia" w:ascii="宋体" w:hAnsi="宋体" w:cs="宋体"/>
          <w:color w:val="auto"/>
          <w:spacing w:val="7"/>
          <w:sz w:val="24"/>
          <w:szCs w:val="24"/>
          <w:highlight w:val="none"/>
        </w:rPr>
        <w:t xml:space="preserve"> 不同供应商的单位负责人为同一人或者存在直接控股、管理关系的；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w:t>
      </w:r>
      <w:r>
        <w:rPr>
          <w:rFonts w:hint="eastAsia" w:ascii="宋体" w:hAnsi="宋体" w:cs="宋体"/>
          <w:color w:val="auto"/>
          <w:spacing w:val="7"/>
          <w:sz w:val="24"/>
          <w:szCs w:val="24"/>
          <w:highlight w:val="none"/>
          <w:lang w:val="en-US" w:eastAsia="zh-CN"/>
        </w:rPr>
        <w:t xml:space="preserve">5</w:t>
      </w:r>
      <w:r>
        <w:rPr>
          <w:rFonts w:hint="eastAsia" w:ascii="宋体" w:hAnsi="宋体" w:cs="宋体"/>
          <w:color w:val="auto"/>
          <w:spacing w:val="7"/>
          <w:sz w:val="24"/>
          <w:szCs w:val="24"/>
          <w:highlight w:val="none"/>
        </w:rPr>
        <w:t xml:space="preserve"> 为采购项目提供整体设计、规范编制或者项目管理、监理、检测等服务的；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w:t>
      </w:r>
      <w:r>
        <w:rPr>
          <w:rFonts w:hint="eastAsia" w:ascii="宋体" w:hAnsi="宋体" w:cs="宋体"/>
          <w:color w:val="auto"/>
          <w:spacing w:val="7"/>
          <w:sz w:val="24"/>
          <w:szCs w:val="24"/>
          <w:highlight w:val="none"/>
          <w:lang w:val="en-US" w:eastAsia="zh-CN"/>
        </w:rPr>
        <w:t xml:space="preserve">6</w:t>
      </w:r>
      <w:r>
        <w:rPr>
          <w:rFonts w:hint="eastAsia" w:ascii="宋体" w:hAnsi="宋体" w:cs="宋体"/>
          <w:color w:val="auto"/>
          <w:spacing w:val="7"/>
          <w:sz w:val="24"/>
          <w:szCs w:val="24"/>
          <w:highlight w:val="none"/>
        </w:rPr>
        <w:t xml:space="preserve"> 资格证明文件中要求加盖公章而未加盖公章的；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w:t>
      </w:r>
      <w:r>
        <w:rPr>
          <w:rFonts w:hint="eastAsia" w:ascii="宋体" w:hAnsi="宋体" w:cs="宋体"/>
          <w:color w:val="auto"/>
          <w:spacing w:val="7"/>
          <w:sz w:val="24"/>
          <w:szCs w:val="24"/>
          <w:highlight w:val="none"/>
          <w:lang w:val="en-US" w:eastAsia="zh-CN"/>
        </w:rPr>
        <w:t xml:space="preserve">7</w:t>
      </w:r>
      <w:r>
        <w:rPr>
          <w:rFonts w:hint="eastAsia" w:ascii="宋体" w:hAnsi="宋体" w:cs="宋体"/>
          <w:color w:val="auto"/>
          <w:spacing w:val="7"/>
          <w:sz w:val="24"/>
          <w:szCs w:val="24"/>
          <w:highlight w:val="none"/>
        </w:rPr>
        <w:t xml:space="preserve"> 投标文件未按招标文件要求签署、盖章的；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w:t>
      </w:r>
      <w:r>
        <w:rPr>
          <w:rFonts w:hint="eastAsia" w:ascii="宋体" w:hAnsi="宋体" w:cs="宋体"/>
          <w:color w:val="auto"/>
          <w:spacing w:val="7"/>
          <w:sz w:val="24"/>
          <w:szCs w:val="24"/>
          <w:highlight w:val="none"/>
          <w:lang w:val="en-US" w:eastAsia="zh-CN"/>
        </w:rPr>
        <w:t xml:space="preserve">8</w:t>
      </w:r>
      <w:r>
        <w:rPr>
          <w:rFonts w:hint="eastAsia" w:ascii="宋体" w:hAnsi="宋体" w:cs="宋体"/>
          <w:color w:val="auto"/>
          <w:spacing w:val="7"/>
          <w:sz w:val="24"/>
          <w:szCs w:val="24"/>
          <w:highlight w:val="none"/>
        </w:rPr>
        <w:t xml:space="preserve"> 不具备招标文件中规定的资格要求或未按招标文件规定的要求提供资格证明文件的；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w:t>
      </w:r>
      <w:r>
        <w:rPr>
          <w:rFonts w:hint="eastAsia" w:ascii="宋体" w:hAnsi="宋体" w:cs="宋体"/>
          <w:color w:val="auto"/>
          <w:spacing w:val="7"/>
          <w:sz w:val="24"/>
          <w:szCs w:val="24"/>
          <w:highlight w:val="none"/>
          <w:lang w:val="en-US" w:eastAsia="zh-CN"/>
        </w:rPr>
        <w:t xml:space="preserve">9</w:t>
      </w:r>
      <w:r>
        <w:rPr>
          <w:rFonts w:hint="eastAsia" w:ascii="宋体" w:hAnsi="宋体" w:cs="宋体"/>
          <w:color w:val="auto"/>
          <w:spacing w:val="7"/>
          <w:sz w:val="24"/>
          <w:szCs w:val="24"/>
          <w:highlight w:val="none"/>
        </w:rPr>
        <w:t xml:space="preserve"> 报价超过招标文件中规定的预算金额或者最高限价的；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w:t>
      </w:r>
      <w:r>
        <w:rPr>
          <w:rFonts w:hint="eastAsia" w:ascii="宋体" w:hAnsi="宋体" w:cs="宋体"/>
          <w:color w:val="auto"/>
          <w:spacing w:val="7"/>
          <w:sz w:val="24"/>
          <w:szCs w:val="24"/>
          <w:highlight w:val="none"/>
          <w:lang w:val="en-US" w:eastAsia="zh-CN"/>
        </w:rPr>
        <w:t xml:space="preserve">20</w:t>
      </w:r>
      <w:r>
        <w:rPr>
          <w:rFonts w:hint="eastAsia" w:ascii="宋体" w:hAnsi="宋体" w:cs="宋体"/>
          <w:color w:val="auto"/>
          <w:spacing w:val="7"/>
          <w:sz w:val="24"/>
          <w:szCs w:val="24"/>
          <w:highlight w:val="none"/>
        </w:rPr>
        <w:t xml:space="preserve"> 投标文件含有采购人不能接受的附加条件的；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w:t>
      </w:r>
      <w:r>
        <w:rPr>
          <w:rFonts w:hint="eastAsia" w:ascii="宋体" w:hAnsi="宋体" w:cs="宋体"/>
          <w:color w:val="auto"/>
          <w:spacing w:val="7"/>
          <w:sz w:val="24"/>
          <w:szCs w:val="24"/>
          <w:highlight w:val="none"/>
          <w:lang w:val="en-US" w:eastAsia="zh-CN"/>
        </w:rPr>
        <w:t xml:space="preserve">1</w:t>
      </w:r>
      <w:r>
        <w:rPr>
          <w:rFonts w:hint="eastAsia" w:ascii="宋体" w:hAnsi="宋体" w:cs="宋体"/>
          <w:color w:val="auto"/>
          <w:spacing w:val="7"/>
          <w:sz w:val="24"/>
          <w:szCs w:val="24"/>
          <w:highlight w:val="none"/>
        </w:rPr>
        <w:t xml:space="preserve"> 不响应招标文件中规定的实质性要求的（本招标文件中斜体且有下划线部分为实质性要求）；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w:t>
      </w:r>
      <w:r>
        <w:rPr>
          <w:rFonts w:hint="eastAsia" w:ascii="宋体" w:hAnsi="宋体" w:cs="宋体"/>
          <w:color w:val="auto"/>
          <w:spacing w:val="7"/>
          <w:sz w:val="24"/>
          <w:szCs w:val="24"/>
          <w:highlight w:val="none"/>
          <w:lang w:val="en-US" w:eastAsia="zh-CN"/>
        </w:rPr>
        <w:t xml:space="preserve">2</w:t>
      </w:r>
      <w:r>
        <w:rPr>
          <w:rFonts w:hint="eastAsia" w:ascii="宋体" w:hAnsi="宋体" w:cs="宋体"/>
          <w:color w:val="auto"/>
          <w:spacing w:val="7"/>
          <w:sz w:val="24"/>
          <w:szCs w:val="24"/>
          <w:highlight w:val="none"/>
        </w:rPr>
        <w:t xml:space="preserve"> 法律、法规和采购文件规定的其他无效情形;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27.2 废标条款：</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(1)符合专业条件的供应商或者对招标文件作实质响应的供应商不足三家的；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(2)出现影响采购公正的违法、违规行为的；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(3)投标人的报价均超过了采购预算，采购人不能支付的；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(4)因重大变故，采购任务取消的。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(5)因苏采云系统系统故障原因造成开标不成功的。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27.3 投标截止时间结束后参加投标的供应商不足三家的处理：</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六、</w:t>
      </w:r>
      <w:bookmarkEnd w:id="156"/>
      <w:r/>
      <w:bookmarkEnd w:id="157"/>
      <w:r/>
      <w:bookmarkEnd w:id="158"/>
      <w:r>
        <w:rPr>
          <w:rFonts w:hint="eastAsia" w:ascii="宋体" w:hAnsi="宋体"/>
          <w:b/>
          <w:color w:val="auto"/>
          <w:sz w:val="28"/>
          <w:szCs w:val="28"/>
          <w:highlight w:val="none"/>
        </w:rPr>
        <w:t xml:space="preserve">定标</w:t>
      </w:r>
      <w:bookmarkEnd w:id="159"/>
      <w:r/>
      <w:bookmarkEnd w:id="160"/>
      <w:r/>
      <w:bookmarkEnd w:id="161"/>
      <w:r/>
      <w:bookmarkEnd w:id="162"/>
      <w:r/>
      <w:r/>
    </w:p>
    <w:p>
      <w:pPr>
        <w:ind w:firstLine="562"/>
        <w:jc w:val="left"/>
        <w:spacing w:line="360" w:lineRule="auto"/>
        <w:rPr>
          <w:rFonts w:ascii="宋体" w:hAnsi="宋体"/>
          <w:b/>
          <w:color w:val="auto"/>
          <w:sz w:val="28"/>
          <w:szCs w:val="28"/>
          <w:highlight w:val="none"/>
        </w:rPr>
      </w:pPr>
      <w:r/>
      <w:bookmarkStart w:id="163" w:name="_Toc513029238"/>
      <w:r/>
      <w:bookmarkStart w:id="164" w:name="_Toc16938554"/>
      <w:r/>
      <w:bookmarkStart w:id="165" w:name="_Toc20823310"/>
      <w:r>
        <w:rPr>
          <w:rFonts w:hint="eastAsia" w:ascii="宋体" w:hAnsi="宋体"/>
          <w:b/>
          <w:color w:val="auto"/>
          <w:sz w:val="28"/>
          <w:szCs w:val="28"/>
          <w:highlight w:val="none"/>
        </w:rPr>
        <w:t xml:space="preserve">28、</w:t>
      </w:r>
      <w:bookmarkEnd w:id="163"/>
      <w:r>
        <w:rPr>
          <w:rFonts w:hint="eastAsia" w:ascii="宋体" w:hAnsi="宋体"/>
          <w:b/>
          <w:color w:val="auto"/>
          <w:sz w:val="28"/>
          <w:szCs w:val="28"/>
          <w:highlight w:val="none"/>
        </w:rPr>
        <w:t xml:space="preserve">确定</w:t>
      </w:r>
      <w:bookmarkEnd w:id="164"/>
      <w:r/>
      <w:bookmarkEnd w:id="165"/>
      <w:r>
        <w:rPr>
          <w:rFonts w:hint="eastAsia" w:ascii="宋体" w:hAnsi="宋体"/>
          <w:b/>
          <w:color w:val="auto"/>
          <w:sz w:val="28"/>
          <w:szCs w:val="28"/>
          <w:highlight w:val="none"/>
        </w:rPr>
        <w:t xml:space="preserve">中标单位</w:t>
      </w:r>
      <w:bookmarkEnd w:id="15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28.1评委会根据本招标文件规定评标办法与评标标准向采购人推荐出1名中标候选人。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28.2 采购人应根据评委会推荐的中标候选人确定中标人。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28.3自中标人确定之日起2个工作日内，中标结果将在省级以上财政部门指定的媒体上进行公告，公告期限为1个工作日。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28.4若有充分证据证明，中标人出现下列情况之一的，一经查实，中标无效：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（2）采取不正当手段诋毁、排挤其他供应商的；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（3）与采购人、其他供应商或者采购代理机构恶意串通的；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（4）向采购人、采购代理机构行贿或者提供其他不正当利益的；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（5）在招标采购过程中与采购人进行协商谈判的；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（6）向评标委员会行贿或者提供其他不正当利益。</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29、质疑</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29.1质疑形式</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宏宇建设咨询有限公司提出）。非书面形式、七个工作日之外提交的质疑将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29.1.2质疑必须按《政府采购法》、《政府采购法实施条例》及财政部94号令的相关规定提交，未按上述要求提交的质疑函张家港保税区宏宇建设咨询有限公司有权不予受理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29.1.3.4事实依据；</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29.1.5.1质疑函应采用邮寄送达或直接送达的方式递交，采用其他方式送达（含传真、电子邮件等）的，张家港保税区宏宇建设咨询有限公司有权不予受理。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29.2特别提示</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29.2.3供应商提出质疑必须有理、有据，不得恶意质疑或提交虚假质疑。否则，一经查实，采购人或张家港保税区宏宇建设咨询有限公司有权依据政府采购的有关规定，报请政府采购监管部门对该投标人进行相应的行政处罚。</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29.3其他</w:t>
      </w:r>
      <w:r/>
    </w:p>
    <w:p>
      <w:pPr>
        <w:contextualSpacing/>
        <w:ind w:firstLine="480"/>
        <w:jc w:val="left"/>
        <w:spacing w:line="360" w:lineRule="auto"/>
        <w:rPr>
          <w:rFonts w:ascii="宋体" w:hAnsi="宋体" w:cs="Arial"/>
          <w:color w:val="auto"/>
          <w:sz w:val="28"/>
          <w:szCs w:val="28"/>
          <w:highlight w:val="none"/>
        </w:rPr>
      </w:pPr>
      <w:r>
        <w:rPr>
          <w:rFonts w:hint="eastAsia" w:ascii="宋体" w:hAnsi="宋体"/>
          <w:color w:val="auto"/>
          <w:sz w:val="24"/>
          <w:szCs w:val="24"/>
          <w:highlight w:val="none"/>
        </w:rPr>
        <w:t xml:space="preserve">29.3.1采购人或张家港保税区宏宇建设咨询有限公司将在收到供应商的质疑后七个工作日内作出答复，答复的内容不涉及商业秘密。</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30、中标通知书</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30.l在中标结果确定后2个工作日内，</w:t>
      </w:r>
      <w:r>
        <w:rPr>
          <w:rFonts w:hint="eastAsia" w:ascii="宋体" w:hAnsi="宋体"/>
          <w:color w:val="auto"/>
          <w:sz w:val="24"/>
          <w:highlight w:val="none"/>
          <w:lang w:val="en-US" w:eastAsia="zh-CN"/>
        </w:rPr>
        <w:t xml:space="preserve">张家港保税区宏宇建设咨询有限公司</w:t>
      </w:r>
      <w:r>
        <w:rPr>
          <w:rFonts w:hint="eastAsia" w:ascii="宋体" w:hAnsi="宋体"/>
          <w:color w:val="auto"/>
          <w:sz w:val="24"/>
          <w:highlight w:val="none"/>
        </w:rPr>
        <w:t xml:space="preserve">向中标供应商发出中标通知书。请中标人在中标结果公告届满之日起30日内</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因未及时下载而造成的不利后果由中标人自行承担。</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七、授予合同</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31. 签订合同</w:t>
      </w:r>
      <w:r/>
    </w:p>
    <w:p>
      <w:pPr>
        <w:contextualSpacing/>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31.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 招标文件、中标人的投标文件及招标过程中有关澄清、承诺文件均应作为合同附件。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32、履约保证金</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32.1 合同签订前，中标人向采购单位交付的履约保证金为合同总价款2％。</w:t>
      </w:r>
      <w:r/>
    </w:p>
    <w:p>
      <w:pPr>
        <w:ind w:firstLine="508"/>
        <w:jc w:val="left"/>
        <w:spacing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32.2 履约保证金必须是人民币。履约保证金应当以支票、汇票、本票或者金融机构、担保机构出具的保函等非现金形式提交。</w:t>
      </w:r>
      <w:r/>
    </w:p>
    <w:p>
      <w:pPr>
        <w:ind w:firstLine="508"/>
        <w:jc w:val="left"/>
        <w:spacing w:line="360" w:lineRule="auto"/>
        <w:rPr>
          <w:rFonts w:hint="eastAsia" w:ascii="宋体" w:hAnsi="宋体" w:cs="宋体"/>
          <w:color w:val="auto"/>
          <w:spacing w:val="7"/>
          <w:sz w:val="24"/>
          <w:szCs w:val="24"/>
          <w:highlight w:val="none"/>
        </w:rPr>
      </w:pPr>
      <w:r>
        <w:rPr>
          <w:rFonts w:hint="eastAsia" w:ascii="宋体" w:hAnsi="宋体"/>
          <w:bCs/>
          <w:color w:val="auto"/>
          <w:sz w:val="24"/>
          <w:highlight w:val="none"/>
        </w:rPr>
        <w:t xml:space="preserve">32.3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33、货物和服务的追加、减少和添购。</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34、监督</w:t>
      </w:r>
      <w:r/>
    </w:p>
    <w:p>
      <w:pPr>
        <w:ind w:firstLine="480"/>
        <w:jc w:val="left"/>
        <w:spacing w:line="360" w:lineRule="auto"/>
        <w:rPr>
          <w:rFonts w:ascii="宋体" w:hAnsi="宋体"/>
          <w:b/>
          <w:color w:val="auto"/>
          <w:sz w:val="28"/>
          <w:szCs w:val="28"/>
          <w:highlight w:val="none"/>
        </w:rPr>
      </w:pPr>
      <w:r>
        <w:rPr>
          <w:rFonts w:hint="eastAsia" w:ascii="宋体" w:hAnsi="宋体"/>
          <w:bCs/>
          <w:color w:val="auto"/>
          <w:sz w:val="24"/>
          <w:highlight w:val="none"/>
        </w:rPr>
        <w:t xml:space="preserve">34.1政府有关监督部门将对投标全过程进行监督。</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218"/>
        <w:pageBreakBefore/>
        <w:spacing w:line="360" w:lineRule="auto"/>
        <w:rPr>
          <w:rFonts w:hint="eastAsia" w:ascii="宋体" w:hAnsi="宋体" w:eastAsia="宋体"/>
          <w:color w:val="auto"/>
          <w:highlight w:val="none"/>
        </w:rPr>
      </w:pPr>
      <w:r/>
      <w:bookmarkStart w:id="166" w:name="_Toc185684864"/>
      <w:r>
        <w:rPr>
          <w:rFonts w:hint="eastAsia" w:ascii="宋体" w:hAnsi="宋体" w:eastAsia="宋体"/>
          <w:color w:val="auto"/>
          <w:highlight w:val="none"/>
        </w:rPr>
        <w:t xml:space="preserve">第三章 合同条款及</w:t>
      </w:r>
      <w:bookmarkEnd w:id="35"/>
      <w:r/>
      <w:bookmarkEnd w:id="36"/>
      <w:r/>
      <w:bookmarkEnd w:id="37"/>
      <w:r/>
      <w:bookmarkEnd w:id="38"/>
      <w:r/>
      <w:bookmarkEnd w:id="39"/>
      <w:r>
        <w:rPr>
          <w:rFonts w:hint="eastAsia" w:ascii="宋体" w:hAnsi="宋体" w:eastAsia="宋体"/>
          <w:color w:val="auto"/>
          <w:highlight w:val="none"/>
        </w:rPr>
        <w:t xml:space="preserve">格式</w:t>
      </w:r>
      <w:bookmarkEnd w:id="40"/>
      <w:r/>
      <w:bookmarkEnd w:id="41"/>
      <w:r/>
      <w:bookmarkEnd w:id="42"/>
      <w:r/>
      <w:bookmarkEnd w:id="166"/>
      <w:r/>
      <w:r/>
    </w:p>
    <w:p>
      <w:pPr>
        <w:rPr>
          <w:rFonts w:hint="eastAsia" w:ascii="宋体" w:hAnsi="宋体"/>
          <w:color w:val="auto"/>
          <w:highlight w:val="none"/>
        </w:rPr>
      </w:pPr>
      <w:r/>
      <w:bookmarkStart w:id="167" w:name="EB445c3bd035294764b52dfc379b7b9568"/>
      <w:r/>
      <w:r/>
    </w:p>
    <w:p>
      <w:pPr>
        <w:pStyle w:val="1487"/>
        <w:ind w:firstLine="480"/>
        <w:rPr>
          <w:rStyle w:val="1159"/>
          <w:rFonts w:ascii="宋体" w:hAnsi="宋体" w:eastAsia="Times New Roman"/>
          <w:bCs/>
          <w:color w:val="auto"/>
          <w:sz w:val="24"/>
          <w:highlight w:val="none"/>
        </w:rPr>
      </w:pPr>
      <w:r>
        <w:rPr>
          <w:rStyle w:val="1159"/>
          <w:rFonts w:hint="eastAsia" w:ascii="宋体" w:hAnsi="宋体" w:eastAsia="Times New Roman"/>
          <w:bCs/>
          <w:color w:val="auto"/>
          <w:sz w:val="24"/>
          <w:highlight w:val="none"/>
        </w:rPr>
        <w:t xml:space="preserve">以下为中标</w:t>
      </w:r>
      <w:r>
        <w:rPr>
          <w:rStyle w:val="1159"/>
          <w:rFonts w:ascii="宋体" w:hAnsi="宋体" w:eastAsia="Times New Roman"/>
          <w:bCs/>
          <w:color w:val="auto"/>
          <w:sz w:val="24"/>
          <w:highlight w:val="none"/>
        </w:rPr>
        <w:t xml:space="preserve">(</w:t>
      </w:r>
      <w:r>
        <w:rPr>
          <w:rStyle w:val="1159"/>
          <w:rFonts w:hint="eastAsia" w:ascii="宋体" w:hAnsi="宋体" w:eastAsia="Times New Roman"/>
          <w:bCs/>
          <w:color w:val="auto"/>
          <w:sz w:val="24"/>
          <w:highlight w:val="none"/>
        </w:rPr>
        <w:t xml:space="preserve">成交</w:t>
      </w:r>
      <w:r>
        <w:rPr>
          <w:rStyle w:val="1159"/>
          <w:rFonts w:ascii="宋体" w:hAnsi="宋体" w:eastAsia="Times New Roman"/>
          <w:bCs/>
          <w:color w:val="auto"/>
          <w:sz w:val="24"/>
          <w:highlight w:val="none"/>
        </w:rPr>
        <w:t xml:space="preserve">)</w:t>
      </w:r>
      <w:r>
        <w:rPr>
          <w:rStyle w:val="1159"/>
          <w:rFonts w:hint="eastAsia" w:ascii="宋体" w:hAnsi="宋体" w:eastAsia="Times New Roman"/>
          <w:bCs/>
          <w:color w:val="auto"/>
          <w:sz w:val="24"/>
          <w:highlight w:val="none"/>
        </w:rPr>
        <w:t xml:space="preserve">后签定本项目合同的通用条款，中标</w:t>
      </w:r>
      <w:r>
        <w:rPr>
          <w:rStyle w:val="1159"/>
          <w:rFonts w:ascii="宋体" w:hAnsi="宋体" w:eastAsia="Times New Roman"/>
          <w:bCs/>
          <w:color w:val="auto"/>
          <w:sz w:val="24"/>
          <w:highlight w:val="none"/>
        </w:rPr>
        <w:t xml:space="preserve">(</w:t>
      </w:r>
      <w:r>
        <w:rPr>
          <w:rStyle w:val="1159"/>
          <w:rFonts w:hint="eastAsia" w:ascii="宋体" w:hAnsi="宋体" w:eastAsia="Times New Roman"/>
          <w:bCs/>
          <w:color w:val="auto"/>
          <w:sz w:val="24"/>
          <w:highlight w:val="none"/>
        </w:rPr>
        <w:t xml:space="preserve">成交</w:t>
      </w:r>
      <w:r>
        <w:rPr>
          <w:rStyle w:val="1159"/>
          <w:rFonts w:ascii="宋体" w:hAnsi="宋体" w:eastAsia="Times New Roman"/>
          <w:bCs/>
          <w:color w:val="auto"/>
          <w:sz w:val="24"/>
          <w:highlight w:val="none"/>
        </w:rPr>
        <w:t xml:space="preserve">)</w:t>
      </w:r>
      <w:r>
        <w:rPr>
          <w:rStyle w:val="1159"/>
          <w:rFonts w:hint="eastAsia" w:ascii="宋体" w:hAnsi="宋体" w:eastAsia="Times New Roman"/>
          <w:bCs/>
          <w:color w:val="auto"/>
          <w:sz w:val="24"/>
          <w:highlight w:val="none"/>
        </w:rPr>
        <w:t xml:space="preserve">供应商不得提出实质性的修改。</w:t>
      </w:r>
      <w:bookmarkEnd w:id="167"/>
      <w:r/>
      <w:r/>
    </w:p>
    <w:p>
      <w:pPr>
        <w:pStyle w:val="1487"/>
        <w:ind w:firstLine="643"/>
        <w:jc w:val="center"/>
        <w:rPr>
          <w:rStyle w:val="1159"/>
          <w:b/>
          <w:bCs/>
          <w:sz w:val="32"/>
          <w:szCs w:val="32"/>
          <w:highlight w:val="none"/>
        </w:rPr>
      </w:pPr>
      <w:r/>
      <w:bookmarkStart w:id="168" w:name="_Hlt16619350"/>
      <w:r/>
      <w:bookmarkStart w:id="169" w:name="_Toc54615246"/>
      <w:r/>
      <w:bookmarkStart w:id="170" w:name="_Toc35266028"/>
      <w:r/>
      <w:bookmarkStart w:id="171" w:name="_Toc20823346"/>
      <w:r/>
      <w:bookmarkStart w:id="172" w:name="_Toc38368128"/>
      <w:r/>
      <w:bookmarkStart w:id="173" w:name="_Toc185684865"/>
      <w:r/>
      <w:bookmarkStart w:id="174" w:name="_Toc16938590"/>
      <w:r/>
      <w:bookmarkStart w:id="175" w:name="_Toc120614244"/>
      <w:r>
        <w:rPr>
          <w:rStyle w:val="1159"/>
          <w:rFonts w:hint="eastAsia"/>
          <w:b/>
          <w:bCs/>
          <w:sz w:val="32"/>
          <w:szCs w:val="32"/>
          <w:highlight w:val="none"/>
        </w:rPr>
        <w:t xml:space="preserve">张家港市政府采购合同</w:t>
      </w:r>
      <w:r/>
    </w:p>
    <w:p>
      <w:pPr>
        <w:pStyle w:val="1487"/>
        <w:ind w:firstLine="480"/>
        <w:rPr>
          <w:rStyle w:val="1159"/>
          <w:rFonts w:hint="eastAsia" w:ascii="宋体" w:hAnsi="宋体" w:cs="宋体"/>
          <w:sz w:val="24"/>
          <w:highlight w:val="none"/>
        </w:rPr>
      </w:pPr>
      <w:r>
        <w:rPr>
          <w:rStyle w:val="1159"/>
          <w:rFonts w:hint="eastAsia" w:ascii="宋体" w:hAnsi="宋体" w:cs="宋体"/>
          <w:sz w:val="24"/>
          <w:highlight w:val="none"/>
        </w:rPr>
        <w:t xml:space="preserve">项目名称：</w:t>
      </w:r>
      <w:bookmarkStart w:id="176" w:name="biaoduanname_1"/>
      <w:r/>
      <w:bookmarkEnd w:id="176"/>
      <w:r/>
      <w:r/>
    </w:p>
    <w:p>
      <w:pPr>
        <w:pStyle w:val="1487"/>
        <w:ind w:firstLine="480"/>
        <w:rPr>
          <w:rStyle w:val="1159"/>
          <w:rFonts w:hint="eastAsia" w:ascii="宋体" w:hAnsi="宋体" w:cs="宋体"/>
          <w:sz w:val="24"/>
          <w:highlight w:val="none"/>
        </w:rPr>
      </w:pPr>
      <w:r>
        <w:rPr>
          <w:rStyle w:val="1159"/>
          <w:rFonts w:hint="eastAsia" w:ascii="宋体" w:hAnsi="宋体" w:cs="宋体"/>
          <w:sz w:val="24"/>
          <w:highlight w:val="none"/>
        </w:rPr>
        <w:t xml:space="preserve">项目编号：</w:t>
      </w:r>
      <w:bookmarkStart w:id="177" w:name="projectno"/>
      <w:r/>
      <w:bookmarkEnd w:id="177"/>
      <w:r/>
      <w:r/>
    </w:p>
    <w:p>
      <w:pPr>
        <w:pStyle w:val="1487"/>
        <w:ind w:firstLine="480"/>
        <w:rPr>
          <w:rStyle w:val="1159"/>
          <w:rFonts w:hint="eastAsia" w:ascii="宋体" w:hAnsi="宋体" w:cs="宋体"/>
          <w:sz w:val="24"/>
          <w:highlight w:val="none"/>
        </w:rPr>
      </w:pPr>
      <w:r>
        <w:rPr>
          <w:rStyle w:val="1159"/>
          <w:rFonts w:hint="eastAsia" w:ascii="宋体" w:hAnsi="宋体" w:cs="宋体"/>
          <w:sz w:val="24"/>
          <w:highlight w:val="none"/>
        </w:rPr>
        <w:t xml:space="preserve">甲方：（买方）</w:t>
      </w:r>
      <w:bookmarkStart w:id="178" w:name="jianshedanwei_1"/>
      <w:r/>
      <w:bookmarkEnd w:id="178"/>
      <w:r/>
      <w:r/>
    </w:p>
    <w:p>
      <w:pPr>
        <w:pStyle w:val="1487"/>
        <w:ind w:firstLine="480"/>
        <w:rPr>
          <w:rStyle w:val="1159"/>
          <w:rFonts w:hint="eastAsia" w:ascii="宋体" w:hAnsi="宋体" w:cs="宋体"/>
          <w:sz w:val="24"/>
          <w:highlight w:val="none"/>
        </w:rPr>
      </w:pPr>
      <w:r>
        <w:rPr>
          <w:rStyle w:val="1159"/>
          <w:rFonts w:hint="eastAsia" w:ascii="宋体" w:hAnsi="宋体" w:cs="宋体"/>
          <w:sz w:val="24"/>
          <w:highlight w:val="none"/>
        </w:rPr>
        <w:t xml:space="preserve">乙方：（卖方）</w:t>
      </w:r>
      <w:bookmarkStart w:id="179" w:name="zhongbiaodanweiname_1"/>
      <w:r/>
      <w:bookmarkEnd w:id="179"/>
      <w:r/>
      <w:r/>
    </w:p>
    <w:p>
      <w:pPr>
        <w:pStyle w:val="1487"/>
        <w:ind w:firstLine="480"/>
        <w:rPr>
          <w:rStyle w:val="1159"/>
          <w:rFonts w:hint="eastAsia" w:ascii="宋体" w:hAnsi="宋体" w:cs="宋体"/>
          <w:b/>
          <w:bCs/>
          <w:sz w:val="24"/>
          <w:highlight w:val="none"/>
        </w:rPr>
      </w:pPr>
      <w:r>
        <w:rPr>
          <w:rStyle w:val="1159"/>
          <w:rFonts w:hint="eastAsia" w:ascii="宋体" w:hAnsi="宋体" w:cs="宋体"/>
          <w:sz w:val="24"/>
          <w:highlight w:val="none"/>
        </w:rPr>
        <w:t xml:space="preserve">甲、乙双方根据张家港保税区宏宇建设咨询有限公司</w:t>
      </w:r>
      <w:bookmarkStart w:id="180" w:name="biaoduanname_2"/>
      <w:r/>
      <w:bookmarkEnd w:id="180"/>
      <w:r>
        <w:rPr>
          <w:rStyle w:val="1159"/>
          <w:rFonts w:hint="eastAsia" w:ascii="宋体" w:hAnsi="宋体" w:cs="宋体"/>
          <w:sz w:val="24"/>
          <w:highlight w:val="none"/>
        </w:rPr>
        <w:t xml:space="preserve">项目公开招标的结果，签署本合同。</w:t>
      </w:r>
      <w:r/>
    </w:p>
    <w:p>
      <w:pPr>
        <w:pStyle w:val="1487"/>
        <w:ind w:firstLine="482"/>
        <w:rPr>
          <w:rStyle w:val="1159"/>
          <w:rFonts w:hint="eastAsia" w:ascii="宋体" w:hAnsi="宋体" w:cs="宋体"/>
          <w:b/>
          <w:bCs/>
          <w:sz w:val="24"/>
          <w:highlight w:val="none"/>
        </w:rPr>
      </w:pPr>
      <w:r>
        <w:rPr>
          <w:rStyle w:val="1159"/>
          <w:rFonts w:hint="eastAsia" w:ascii="宋体" w:hAnsi="宋体" w:cs="宋体"/>
          <w:b/>
          <w:bCs/>
          <w:sz w:val="24"/>
          <w:highlight w:val="none"/>
        </w:rPr>
        <w:t xml:space="preserve">一、服务内容</w:t>
      </w:r>
      <w:r/>
    </w:p>
    <w:tbl>
      <w:tblPr>
        <w:tblStyle w:val="954"/>
        <w:tblW w:w="9063"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866"/>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3866" w:type="dxa"/>
            <w:vAlign w:val="center"/>
            <w:textDirection w:val="lrTb"/>
            <w:noWrap/>
          </w:tcPr>
          <w:p>
            <w:pPr>
              <w:pStyle w:val="1489"/>
              <w:jc w:val="center"/>
              <w:spacing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tcPr>
          <w:p>
            <w:pPr>
              <w:pStyle w:val="1489"/>
              <w:ind w:firstLine="480"/>
              <w:jc w:val="center"/>
              <w:spacing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tcPr>
          <w:p>
            <w:pPr>
              <w:pStyle w:val="1489"/>
              <w:ind w:firstLine="240"/>
              <w:jc w:val="both"/>
              <w:spacing w:line="440" w:lineRule="exact"/>
              <w:widowControl w:val="off"/>
              <w:rPr>
                <w:rFonts w:hint="eastAsia" w:ascii="宋体" w:hAnsi="宋体" w:eastAsia="宋体" w:cs="宋体"/>
                <w:highlight w:val="none"/>
              </w:rPr>
            </w:pPr>
            <w:r>
              <w:rPr>
                <w:rFonts w:hint="eastAsia" w:ascii="宋体" w:hAnsi="宋体" w:cs="宋体"/>
                <w:color w:val="000000"/>
                <w:highlight w:val="none"/>
              </w:rPr>
              <w:t xml:space="preserve">备注</w:t>
            </w:r>
            <w:r/>
          </w:p>
        </w:tc>
      </w:tr>
      <w:tr>
        <w:trPr>
          <w:cantSplit/>
          <w:trHeight w:val="658"/>
        </w:trPr>
        <w:tc>
          <w:tcPr>
            <w:tcBorders>
              <w:top w:val="single" w:color="auto" w:sz="4" w:space="0"/>
              <w:left w:val="single" w:color="auto" w:sz="4" w:space="0"/>
              <w:bottom w:val="single" w:color="auto" w:sz="4" w:space="0"/>
              <w:right w:val="single" w:color="auto" w:sz="4" w:space="0"/>
            </w:tcBorders>
            <w:tcW w:w="3866" w:type="dxa"/>
            <w:vAlign w:val="center"/>
            <w:textDirection w:val="lrTb"/>
            <w:noWrap/>
          </w:tcPr>
          <w:p>
            <w:pPr>
              <w:pStyle w:val="1489"/>
              <w:jc w:val="both"/>
              <w:spacing w:line="440" w:lineRule="exact"/>
              <w:widowControl w:val="off"/>
              <w:rPr>
                <w:rFonts w:hint="eastAsia" w:ascii="宋体" w:hAnsi="宋体" w:eastAsia="宋体" w:cs="宋体"/>
                <w:highlight w:val="none"/>
              </w:rPr>
            </w:pPr>
            <w:r/>
            <w:bookmarkStart w:id="181" w:name="biaoduanname_3"/>
            <w:r/>
            <w:bookmarkEnd w:id="181"/>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tcPr>
          <w:p>
            <w:pPr>
              <w:pStyle w:val="1489"/>
              <w:jc w:val="both"/>
              <w:spacing w:line="440" w:lineRule="exact"/>
              <w:widowControl w:val="off"/>
              <w:rPr>
                <w:rFonts w:hint="eastAsia" w:ascii="宋体" w:hAnsi="宋体" w:eastAsia="宋体" w:cs="宋体"/>
                <w:highlight w:val="none"/>
              </w:rPr>
            </w:pPr>
            <w:r/>
            <w:bookmarkStart w:id="182" w:name="zhongbiaopricelow_1"/>
            <w:r/>
            <w:bookmarkEnd w:id="182"/>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tcPr>
          <w:p>
            <w:pPr>
              <w:pStyle w:val="1489"/>
              <w:jc w:val="both"/>
              <w:spacing w:line="440" w:lineRule="exact"/>
              <w:widowControl w:val="off"/>
              <w:rPr>
                <w:rFonts w:hint="eastAsia" w:ascii="宋体" w:hAnsi="宋体" w:eastAsia="宋体" w:cs="宋体"/>
                <w:highlight w:val="none"/>
              </w:rPr>
            </w:pPr>
            <w:r/>
            <w:bookmarkStart w:id="183" w:name="fuwuneirong"/>
            <w:r/>
            <w:bookmarkEnd w:id="183"/>
            <w:r/>
            <w:r/>
          </w:p>
        </w:tc>
      </w:tr>
    </w:tbl>
    <w:p>
      <w:pPr>
        <w:pStyle w:val="1487"/>
        <w:ind w:firstLine="472"/>
        <w:rPr>
          <w:rStyle w:val="1159"/>
          <w:rFonts w:hint="eastAsia" w:ascii="宋体" w:hAnsi="宋体" w:cs="宋体"/>
          <w:b/>
          <w:bCs/>
          <w:sz w:val="24"/>
          <w:highlight w:val="none"/>
        </w:rPr>
      </w:pPr>
      <w:r>
        <w:rPr>
          <w:rStyle w:val="1159"/>
          <w:rFonts w:hint="eastAsia" w:ascii="宋体" w:hAnsi="宋体" w:cs="宋体"/>
          <w:b/>
          <w:bCs/>
          <w:sz w:val="24"/>
          <w:highlight w:val="none"/>
        </w:rPr>
        <w:t xml:space="preserve">二、合同金额</w:t>
      </w:r>
      <w:r/>
    </w:p>
    <w:p>
      <w:pPr>
        <w:pStyle w:val="1487"/>
        <w:ind w:firstLine="480"/>
        <w:rPr>
          <w:rStyle w:val="1159"/>
          <w:rFonts w:hint="eastAsia" w:ascii="宋体" w:hAnsi="宋体" w:cs="宋体"/>
          <w:b/>
          <w:bCs/>
          <w:sz w:val="24"/>
          <w:highlight w:val="none"/>
        </w:rPr>
      </w:pPr>
      <w:r>
        <w:rPr>
          <w:rStyle w:val="1159"/>
          <w:rFonts w:hint="eastAsia" w:ascii="宋体" w:hAnsi="宋体" w:cs="宋体"/>
          <w:sz w:val="24"/>
          <w:highlight w:val="none"/>
        </w:rPr>
        <w:t xml:space="preserve">2.1 本合同金额为（大写）：</w:t>
      </w:r>
      <w:bookmarkStart w:id="184" w:name="zhongbiaopriceup"/>
      <w:r/>
      <w:bookmarkEnd w:id="184"/>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w:t>
      </w:r>
      <w:bookmarkStart w:id="185" w:name="zhongbiaopricelow_2"/>
      <w:r/>
      <w:bookmarkEnd w:id="185"/>
      <w:r>
        <w:rPr>
          <w:rStyle w:val="1159"/>
          <w:rFonts w:hint="eastAsia" w:ascii="宋体" w:hAnsi="宋体" w:cs="宋体"/>
          <w:sz w:val="24"/>
          <w:highlight w:val="none"/>
        </w:rPr>
        <w:t xml:space="preserve"> </w:t>
      </w:r>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元）人民币。</w:t>
      </w:r>
      <w:r/>
    </w:p>
    <w:p>
      <w:pPr>
        <w:ind w:firstLine="480"/>
        <w:spacing w:line="460" w:lineRule="exact"/>
        <w:rPr>
          <w:rFonts w:ascii="Times New Roman" w:hAnsi="Times New Roman"/>
          <w:sz w:val="24"/>
          <w:highlight w:val="none"/>
        </w:rPr>
      </w:pPr>
      <w:r>
        <w:rPr>
          <w:rStyle w:val="1159"/>
          <w:rFonts w:hint="eastAsia" w:ascii="宋体" w:hAnsi="宋体" w:cs="宋体"/>
          <w:sz w:val="24"/>
          <w:highlight w:val="none"/>
        </w:rPr>
        <w:t xml:space="preserve">总价为综合报价，</w:t>
      </w:r>
      <w:r>
        <w:rPr>
          <w:rFonts w:hint="eastAsia" w:ascii="Times New Roman" w:hAnsi="Times New Roman"/>
          <w:sz w:val="24"/>
          <w:highlight w: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pStyle w:val="149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三、技术资料</w:t>
      </w:r>
      <w:r/>
    </w:p>
    <w:p>
      <w:pPr>
        <w:pStyle w:val="1493"/>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3.1乙方应按招标文件规定的时间向甲方提供有关技术资料。</w:t>
      </w:r>
      <w:r/>
    </w:p>
    <w:p>
      <w:pPr>
        <w:pStyle w:val="1493"/>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49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四、知识产权</w:t>
      </w:r>
      <w:r/>
    </w:p>
    <w:p>
      <w:pPr>
        <w:pStyle w:val="1493"/>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4.1乙方保证所提供服务等涉及到的知识产权和所提供的技术资料是合法取得，并享有完整的知识产权，不会因为甲方的使用而被责令停止使用、追偿或要求赔偿损失，如出现此情况，一切经济和法律责任均由乙方承担。</w:t>
      </w:r>
      <w:r/>
    </w:p>
    <w:p>
      <w:pPr>
        <w:pStyle w:val="1493"/>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五、产权担保 </w:t>
      </w:r>
      <w:r/>
    </w:p>
    <w:p>
      <w:pPr>
        <w:pStyle w:val="1493"/>
        <w:ind w:firstLine="480"/>
        <w:rPr>
          <w:color w:val="000000"/>
          <w:highlight w:val="none"/>
        </w:rPr>
      </w:pPr>
      <w:r>
        <w:rPr>
          <w:rFonts w:hint="eastAsia" w:ascii="宋体" w:hAnsi="宋体" w:cs="宋体"/>
          <w:color w:val="000000"/>
          <w:sz w:val="24"/>
          <w:highlight w:val="none"/>
        </w:rPr>
        <w:t xml:space="preserve">5.1 乙方保证所交付的产品的所有权完全属于乙方且无任何抵押、查封等产权瑕疵。</w:t>
      </w:r>
      <w:r/>
    </w:p>
    <w:p>
      <w:pPr>
        <w:pStyle w:val="1487"/>
        <w:ind w:firstLine="482"/>
        <w:rPr>
          <w:rStyle w:val="1159"/>
          <w:rFonts w:hint="eastAsia" w:ascii="宋体" w:hAnsi="宋体" w:cs="宋体"/>
          <w:sz w:val="24"/>
          <w:highlight w:val="none"/>
          <w:u w:val="single"/>
        </w:rPr>
      </w:pPr>
      <w:r>
        <w:rPr>
          <w:rStyle w:val="1159"/>
          <w:rFonts w:hint="eastAsia" w:ascii="宋体" w:hAnsi="宋体" w:cs="宋体"/>
          <w:b/>
          <w:bCs/>
          <w:sz w:val="24"/>
          <w:highlight w:val="none"/>
        </w:rPr>
        <w:t xml:space="preserve">六、履约保证金</w:t>
      </w:r>
      <w:r/>
    </w:p>
    <w:p>
      <w:pPr>
        <w:pStyle w:val="1493"/>
        <w:ind w:firstLine="480"/>
        <w:rPr>
          <w:rFonts w:hint="eastAsia" w:ascii="宋体" w:hAnsi="宋体" w:cs="宋体"/>
          <w:color w:val="000000"/>
          <w:sz w:val="24"/>
          <w:highlight w:val="none"/>
        </w:rPr>
      </w:pPr>
      <w:r>
        <w:rPr>
          <w:rFonts w:hint="eastAsia" w:ascii="宋体" w:hAnsi="宋体" w:cs="Courier New"/>
          <w:sz w:val="24"/>
          <w:highlight w:val="none"/>
        </w:rPr>
        <w:t xml:space="preserve">6.1</w:t>
      </w:r>
      <w:r>
        <w:rPr>
          <w:rFonts w:hint="eastAsia" w:ascii="宋体" w:hAnsi="宋体"/>
          <w:sz w:val="24"/>
          <w:highlight w:val="none"/>
        </w:rPr>
        <w:t xml:space="preserve">合同签订前，</w:t>
      </w:r>
      <w:r>
        <w:rPr>
          <w:rFonts w:hint="eastAsia" w:ascii="宋体" w:hAnsi="宋体" w:cs="Courier New"/>
          <w:sz w:val="24"/>
          <w:highlight w:val="none"/>
        </w:rPr>
        <w:t xml:space="preserve">乙方</w:t>
      </w:r>
      <w:r>
        <w:rPr>
          <w:rFonts w:hint="eastAsia" w:ascii="宋体" w:hAnsi="宋体"/>
          <w:sz w:val="24"/>
          <w:highlight w:val="none"/>
        </w:rPr>
        <w:t xml:space="preserve">向采购单位</w:t>
      </w:r>
      <w:r>
        <w:rPr>
          <w:rFonts w:hint="eastAsia" w:ascii="宋体" w:hAnsi="宋体" w:cs="Courier New"/>
          <w:sz w:val="24"/>
          <w:highlight w:val="none"/>
        </w:rPr>
        <w:t xml:space="preserve">交纳人民币</w:t>
      </w:r>
      <w:bookmarkStart w:id="186" w:name="lvbzj"/>
      <w:r/>
      <w:bookmarkEnd w:id="186"/>
      <w:r>
        <w:rPr>
          <w:rFonts w:hint="eastAsia" w:ascii="宋体" w:hAnsi="宋体" w:cs="Courier New"/>
          <w:sz w:val="24"/>
          <w:highlight w:val="none"/>
          <w:u w:val="single"/>
        </w:rPr>
        <w:t xml:space="preserve">     </w:t>
      </w:r>
      <w:r>
        <w:rPr>
          <w:rFonts w:hint="eastAsia" w:ascii="宋体" w:hAnsi="宋体" w:cs="Courier New"/>
          <w:sz w:val="24"/>
          <w:highlight w:val="none"/>
        </w:rPr>
        <w:t xml:space="preserve">元作为本合同的履约保证金。</w:t>
      </w:r>
      <w:r>
        <w:rPr>
          <w:rFonts w:hint="eastAsia" w:ascii="宋体" w:hAnsi="宋体"/>
          <w:sz w:val="24"/>
          <w:highlight w:val="none"/>
        </w:rPr>
        <w:t xml:space="preserve">履</w:t>
      </w:r>
      <w:r>
        <w:rPr>
          <w:rFonts w:hint="eastAsia" w:ascii="宋体" w:hAnsi="宋体" w:cs="宋体"/>
          <w:color w:val="000000"/>
          <w:sz w:val="24"/>
          <w:highlight w:val="none"/>
        </w:rPr>
        <w:t xml:space="preserve">约保证金应当以支票、汇票、本票或者金融机构、担保机构出具的保函等非现金形式提交。</w:t>
      </w:r>
      <w:r/>
    </w:p>
    <w:p>
      <w:pPr>
        <w:pStyle w:val="1493"/>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6.2甲方付清全部合同金额的同时返还履约保证金。</w:t>
      </w:r>
      <w:r/>
    </w:p>
    <w:p>
      <w:pPr>
        <w:pStyle w:val="1493"/>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6.3乙方不履行与甲方订立的合同的，履约保证金不予退还。</w:t>
      </w:r>
      <w:r/>
    </w:p>
    <w:p>
      <w:pPr>
        <w:pStyle w:val="1493"/>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6.4按照《江苏省财政厅国家金融监管总局江苏监管局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487"/>
        <w:ind w:firstLine="472"/>
        <w:rPr>
          <w:rStyle w:val="1159"/>
          <w:rFonts w:hint="eastAsia" w:ascii="宋体" w:hAnsi="宋体" w:cs="宋体"/>
          <w:b/>
          <w:sz w:val="24"/>
          <w:highlight w:val="none"/>
        </w:rPr>
      </w:pPr>
      <w:r>
        <w:rPr>
          <w:rStyle w:val="1159"/>
          <w:rFonts w:hint="eastAsia" w:ascii="宋体" w:hAnsi="宋体" w:cs="宋体"/>
          <w:b/>
          <w:sz w:val="24"/>
          <w:highlight w:val="none"/>
        </w:rPr>
        <w:t xml:space="preserve">七、转包或分包</w:t>
      </w:r>
      <w:r/>
    </w:p>
    <w:p>
      <w:pPr>
        <w:pStyle w:val="1487"/>
        <w:ind w:firstLine="480"/>
        <w:rPr>
          <w:rStyle w:val="1159"/>
          <w:rFonts w:hint="eastAsia" w:ascii="宋体" w:hAnsi="宋体" w:cs="宋体"/>
          <w:sz w:val="24"/>
          <w:highlight w:val="none"/>
        </w:rPr>
      </w:pPr>
      <w:r>
        <w:rPr>
          <w:rStyle w:val="1159"/>
          <w:rFonts w:hint="eastAsia" w:ascii="宋体" w:hAnsi="宋体" w:cs="宋体"/>
          <w:sz w:val="24"/>
          <w:highlight w:val="none"/>
        </w:rPr>
        <w:t xml:space="preserve">7.1 本合同范围的服务，应由乙方直接提供，不得转让他人提供；</w:t>
      </w:r>
      <w:r/>
    </w:p>
    <w:p>
      <w:pPr>
        <w:pStyle w:val="1487"/>
        <w:ind w:firstLine="480"/>
        <w:rPr>
          <w:rStyle w:val="1159"/>
          <w:rFonts w:hint="eastAsia" w:ascii="宋体" w:hAnsi="宋体" w:cs="宋体"/>
          <w:sz w:val="24"/>
          <w:highlight w:val="none"/>
        </w:rPr>
      </w:pPr>
      <w:r>
        <w:rPr>
          <w:rStyle w:val="1159"/>
          <w:rFonts w:hint="eastAsia" w:ascii="宋体" w:hAnsi="宋体" w:cs="宋体"/>
          <w:sz w:val="24"/>
          <w:highlight w:val="none"/>
        </w:rPr>
        <w:t xml:space="preserve">7.2如有转包和分包行为，甲方有权给予终止合同。</w:t>
      </w:r>
      <w:r/>
    </w:p>
    <w:p>
      <w:pPr>
        <w:pStyle w:val="1487"/>
        <w:ind w:firstLine="472"/>
        <w:rPr>
          <w:rStyle w:val="1159"/>
          <w:rFonts w:hint="eastAsia" w:ascii="宋体" w:hAnsi="宋体" w:cs="宋体"/>
          <w:b/>
          <w:bCs/>
          <w:sz w:val="24"/>
          <w:highlight w:val="none"/>
        </w:rPr>
      </w:pPr>
      <w:r>
        <w:rPr>
          <w:rStyle w:val="1159"/>
          <w:rFonts w:hint="eastAsia" w:ascii="宋体" w:hAnsi="宋体" w:cs="宋体"/>
          <w:b/>
          <w:bCs/>
          <w:sz w:val="24"/>
          <w:highlight w:val="none"/>
        </w:rPr>
        <w:t xml:space="preserve">八、服务期限：</w:t>
      </w:r>
      <w:r/>
    </w:p>
    <w:p>
      <w:pPr>
        <w:pStyle w:val="1487"/>
        <w:ind w:firstLine="480"/>
        <w:rPr>
          <w:rStyle w:val="1159"/>
          <w:rFonts w:hint="eastAsia" w:ascii="宋体" w:hAnsi="宋体" w:cs="宋体"/>
          <w:sz w:val="24"/>
          <w:highlight w:val="none"/>
        </w:rPr>
      </w:pPr>
      <w:r>
        <w:rPr>
          <w:rFonts w:hint="eastAsia" w:ascii="宋体" w:hAnsi="宋体" w:cs="宋体"/>
          <w:spacing w:val="8"/>
          <w:sz w:val="24"/>
          <w:highlight w:val="none"/>
        </w:rPr>
        <w:t xml:space="preserve">合同服务期限</w:t>
      </w:r>
      <w:r>
        <w:rPr>
          <w:rStyle w:val="1159"/>
          <w:rFonts w:hint="eastAsia" w:ascii="宋体" w:hAnsi="宋体" w:cs="宋体"/>
          <w:sz w:val="24"/>
          <w:highlight w:val="none"/>
        </w:rPr>
        <w:t xml:space="preserve">自</w:t>
      </w:r>
      <w:bookmarkStart w:id="187" w:name="fuwustart"/>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年</w:t>
      </w:r>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月</w:t>
      </w:r>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日</w:t>
      </w:r>
      <w:bookmarkEnd w:id="187"/>
      <w:r>
        <w:rPr>
          <w:rStyle w:val="1159"/>
          <w:rFonts w:hint="eastAsia" w:ascii="宋体" w:hAnsi="宋体" w:cs="宋体"/>
          <w:sz w:val="24"/>
          <w:highlight w:val="none"/>
        </w:rPr>
        <w:t xml:space="preserve">到</w:t>
      </w:r>
      <w:bookmarkStart w:id="188" w:name="fuwufinish"/>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年</w:t>
      </w:r>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月</w:t>
      </w:r>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日</w:t>
      </w:r>
      <w:bookmarkEnd w:id="188"/>
      <w:r/>
      <w:r/>
    </w:p>
    <w:p>
      <w:pPr>
        <w:pStyle w:val="1487"/>
        <w:ind w:firstLine="472"/>
        <w:rPr>
          <w:rStyle w:val="1159"/>
          <w:rFonts w:hint="eastAsia" w:ascii="宋体" w:hAnsi="宋体" w:cs="宋体"/>
          <w:b/>
          <w:bCs/>
          <w:sz w:val="24"/>
          <w:highlight w:val="none"/>
        </w:rPr>
      </w:pPr>
      <w:r>
        <w:rPr>
          <w:rStyle w:val="1159"/>
          <w:rFonts w:hint="eastAsia" w:ascii="宋体" w:hAnsi="宋体" w:cs="宋体"/>
          <w:b/>
          <w:bCs/>
          <w:sz w:val="24"/>
          <w:highlight w:val="none"/>
        </w:rPr>
        <w:t xml:space="preserve">九、货款支付</w:t>
      </w:r>
      <w:r/>
    </w:p>
    <w:p>
      <w:pPr>
        <w:pStyle w:val="1487"/>
        <w:ind w:firstLine="480"/>
        <w:rPr>
          <w:rStyle w:val="1159"/>
          <w:rFonts w:hint="eastAsia" w:ascii="宋体" w:hAnsi="宋体"/>
          <w:sz w:val="24"/>
          <w:highlight w:val="none"/>
        </w:rPr>
      </w:pPr>
      <w:r>
        <w:rPr>
          <w:rStyle w:val="1159"/>
          <w:rFonts w:hint="eastAsia" w:ascii="宋体" w:hAnsi="宋体" w:cs="Courier New"/>
          <w:bCs/>
          <w:sz w:val="24"/>
          <w:highlight w:val="none"/>
        </w:rPr>
        <w:t xml:space="preserve">9.1 </w:t>
      </w:r>
      <w:r>
        <w:rPr>
          <w:rStyle w:val="1159"/>
          <w:rFonts w:hint="eastAsia" w:ascii="宋体" w:hAnsi="宋体"/>
          <w:sz w:val="24"/>
          <w:highlight w:val="none"/>
        </w:rPr>
        <w:t xml:space="preserve">结付程序：</w:t>
      </w:r>
      <w:bookmarkStart w:id="189" w:name="jiefuchengxu"/>
      <w:r/>
      <w:bookmarkEnd w:id="189"/>
      <w:r/>
      <w:r/>
    </w:p>
    <w:p>
      <w:pPr>
        <w:pStyle w:val="1487"/>
        <w:ind w:firstLine="480"/>
        <w:rPr>
          <w:rStyle w:val="1159"/>
          <w:rFonts w:hint="eastAsia" w:ascii="宋体" w:hAnsi="宋体"/>
          <w:sz w:val="24"/>
          <w:highlight w:val="none"/>
        </w:rPr>
      </w:pPr>
      <w:r>
        <w:rPr>
          <w:rStyle w:val="1159"/>
          <w:rFonts w:hint="eastAsia" w:ascii="宋体" w:hAnsi="宋体" w:cs="宋体"/>
          <w:sz w:val="24"/>
          <w:highlight w:val="none"/>
          <w:u w:val="single"/>
          <w:lang w:val="en-US" w:eastAsia="zh-CN"/>
        </w:rPr>
        <w:t xml:space="preserve">                                          </w:t>
      </w:r>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w:t>
      </w:r>
      <w:r/>
    </w:p>
    <w:p>
      <w:pPr>
        <w:pStyle w:val="1487"/>
        <w:ind w:firstLine="480"/>
        <w:rPr>
          <w:rStyle w:val="1159"/>
          <w:rFonts w:hint="eastAsia" w:ascii="宋体" w:hAnsi="宋体" w:cs="宋体"/>
          <w:sz w:val="24"/>
          <w:highlight w:val="none"/>
        </w:rPr>
      </w:pPr>
      <w:r>
        <w:rPr>
          <w:rStyle w:val="1159"/>
          <w:rFonts w:hint="eastAsia" w:ascii="宋体" w:hAnsi="宋体" w:cs="宋体"/>
          <w:sz w:val="24"/>
          <w:highlight w:val="none"/>
        </w:rPr>
        <w:t xml:space="preserve">9.2结付期限：</w:t>
      </w:r>
      <w:bookmarkStart w:id="190" w:name="jiefuqixian"/>
      <w:r/>
      <w:bookmarkEnd w:id="190"/>
      <w:r/>
      <w:r/>
    </w:p>
    <w:p>
      <w:pPr>
        <w:pStyle w:val="1487"/>
        <w:ind w:firstLine="480"/>
        <w:rPr>
          <w:rFonts w:hint="eastAsia" w:ascii="宋体" w:hAnsi="宋体" w:eastAsia="宋体" w:cs="宋体"/>
          <w:spacing w:val="7"/>
          <w:sz w:val="24"/>
          <w:szCs w:val="24"/>
          <w:highlight w:val="none"/>
          <w:u w:val="single"/>
          <w:lang w:eastAsia="zh-CN"/>
        </w:rPr>
      </w:pPr>
      <w:r>
        <w:rPr>
          <w:rStyle w:val="1159"/>
          <w:rFonts w:hint="eastAsia" w:ascii="宋体" w:hAnsi="宋体" w:cs="宋体"/>
          <w:sz w:val="24"/>
          <w:highlight w:val="none"/>
          <w:u w:val="single"/>
          <w:lang w:val="en-US" w:eastAsia="zh-CN"/>
        </w:rPr>
        <w:t xml:space="preserve">                                            </w:t>
      </w:r>
      <w:r>
        <w:rPr>
          <w:rStyle w:val="1159"/>
          <w:rFonts w:hint="eastAsia" w:ascii="宋体" w:hAnsi="宋体" w:cs="宋体"/>
          <w:sz w:val="24"/>
          <w:highlight w:val="none"/>
          <w:u w:val="single"/>
          <w:lang w:eastAsia="zh-CN"/>
        </w:rPr>
        <w:t xml:space="preserve">。</w:t>
      </w:r>
      <w:r/>
    </w:p>
    <w:p>
      <w:pPr>
        <w:pStyle w:val="1487"/>
        <w:ind w:firstLine="470"/>
        <w:rPr>
          <w:rStyle w:val="1159"/>
          <w:rFonts w:hint="eastAsia" w:ascii="宋体" w:hAnsi="宋体" w:cs="宋体"/>
          <w:sz w:val="24"/>
          <w:highlight w:val="none"/>
          <w:u w:val="single"/>
        </w:rPr>
      </w:pPr>
      <w:r>
        <w:rPr>
          <w:rStyle w:val="1159"/>
          <w:rFonts w:hint="eastAsia" w:ascii="宋体" w:hAnsi="宋体" w:cs="宋体"/>
          <w:sz w:val="24"/>
          <w:highlight w:val="none"/>
        </w:rPr>
        <w:t xml:space="preserve">9.3乙方收款账户：</w:t>
      </w:r>
      <w:bookmarkStart w:id="191" w:name="yifangzhanghao"/>
      <w:r/>
      <w:bookmarkEnd w:id="191"/>
      <w:r>
        <w:rPr>
          <w:rStyle w:val="1159"/>
          <w:rFonts w:hint="eastAsia" w:ascii="宋体" w:hAnsi="宋体" w:cs="宋体"/>
          <w:sz w:val="24"/>
          <w:highlight w:val="none"/>
          <w:u w:val="single"/>
        </w:rPr>
        <w:t xml:space="preserve">                 </w:t>
      </w:r>
      <w:r>
        <w:rPr>
          <w:rStyle w:val="1159"/>
          <w:rFonts w:hint="eastAsia" w:ascii="宋体" w:hAnsi="宋体" w:cs="宋体"/>
          <w:sz w:val="24"/>
          <w:highlight w:val="none"/>
        </w:rPr>
        <w:t xml:space="preserve">。</w:t>
      </w:r>
      <w:r/>
    </w:p>
    <w:p>
      <w:pPr>
        <w:pStyle w:val="1488"/>
        <w:spacing w:line="440" w:lineRule="exact"/>
        <w:rPr>
          <w:rStyle w:val="1159"/>
          <w:rFonts w:cs="宋体"/>
          <w:highlight w:val="none"/>
        </w:rPr>
      </w:pPr>
      <w:r>
        <w:rPr>
          <w:rStyle w:val="1159"/>
          <w:rFonts w:hint="eastAsia" w:eastAsia="宋体" w:cs="宋体"/>
          <w:highlight w:val="none"/>
        </w:rPr>
        <w:t xml:space="preserve">9</w:t>
      </w:r>
      <w:r>
        <w:rPr>
          <w:rStyle w:val="1159"/>
          <w:rFonts w:hint="eastAsia" w:cs="宋体"/>
          <w:highlight w:val="none"/>
        </w:rPr>
        <w:t xml:space="preserve">.4甲方合同款支付方式：</w:t>
      </w:r>
      <w:bookmarkStart w:id="192" w:name="hetongzhifutype"/>
      <w:r/>
      <w:bookmarkEnd w:id="192"/>
      <w:r>
        <w:rPr>
          <w:rStyle w:val="1159"/>
          <w:rFonts w:hint="eastAsia" w:cs="宋体" w:eastAsiaTheme="minorEastAsia"/>
          <w:highlight w:val="none"/>
          <w:u w:val="single"/>
        </w:rPr>
        <w:t xml:space="preserve">            </w:t>
      </w:r>
      <w:r>
        <w:rPr>
          <w:rStyle w:val="1159"/>
          <w:rFonts w:hint="eastAsia" w:cs="宋体"/>
          <w:highlight w:val="none"/>
        </w:rPr>
        <w:t xml:space="preserve">（若乙方为中小企业，不得强制其接受非现金支付方式）</w:t>
      </w:r>
      <w:r/>
    </w:p>
    <w:p>
      <w:pPr>
        <w:pStyle w:val="1489"/>
        <w:ind w:firstLine="482"/>
        <w:spacing w:line="440" w:lineRule="exact"/>
        <w:tabs>
          <w:tab w:val="center" w:pos="5131" w:leader="none"/>
        </w:tabs>
        <w:rPr>
          <w:rStyle w:val="1159"/>
          <w:rFonts w:hint="eastAsia" w:ascii="宋体" w:hAnsi="宋体" w:eastAsia="宋体" w:cs="宋体"/>
          <w:b/>
          <w:bCs/>
          <w:highlight w:val="none"/>
        </w:rPr>
      </w:pPr>
      <w:r>
        <w:rPr>
          <w:rStyle w:val="1159"/>
          <w:rFonts w:hint="eastAsia" w:ascii="宋体" w:hAnsi="宋体" w:eastAsia="宋体" w:cs="宋体"/>
          <w:b/>
          <w:bCs/>
          <w:highlight w:val="none"/>
        </w:rPr>
        <w:t xml:space="preserve">十、税</w:t>
      </w:r>
      <w:r/>
    </w:p>
    <w:p>
      <w:pPr>
        <w:ind w:firstLine="480"/>
        <w:spacing w:line="460" w:lineRule="exact"/>
        <w:rPr>
          <w:rFonts w:ascii="Times New Roman" w:hAnsi="Times New Roman"/>
          <w:sz w:val="24"/>
          <w:highlight w:val="none"/>
        </w:rPr>
      </w:pPr>
      <w:r>
        <w:rPr>
          <w:rStyle w:val="1159"/>
          <w:rFonts w:hint="eastAsia" w:ascii="宋体" w:hAnsi="宋体" w:cs="宋体"/>
          <w:sz w:val="24"/>
          <w:highlight w:val="none"/>
        </w:rPr>
        <w:t xml:space="preserve">10.1 </w:t>
      </w:r>
      <w:r>
        <w:rPr>
          <w:rFonts w:hint="eastAsia" w:ascii="Times New Roman" w:hAnsi="Times New Roman"/>
          <w:sz w:val="24"/>
          <w:highlight w:val="none"/>
        </w:rPr>
        <w:t xml:space="preserve">根据现行税法对甲方征收的与本合同有关的一切税费均由甲方承担；根据现行税法对乙方征收的与本合同有关的一切税费均由乙方承担。</w:t>
      </w:r>
      <w:r/>
    </w:p>
    <w:p>
      <w:pPr>
        <w:pStyle w:val="1489"/>
        <w:ind w:firstLine="482"/>
        <w:spacing w:line="440" w:lineRule="exact"/>
        <w:tabs>
          <w:tab w:val="center" w:pos="5131" w:leader="none"/>
        </w:tabs>
        <w:rPr>
          <w:rStyle w:val="1159"/>
          <w:rFonts w:eastAsia="宋体" w:cs="宋体"/>
          <w:b/>
          <w:highlight w:val="none"/>
        </w:rPr>
      </w:pPr>
      <w:r>
        <w:rPr>
          <w:rStyle w:val="1159"/>
          <w:rFonts w:hint="eastAsia" w:eastAsia="宋体" w:cs="宋体"/>
          <w:b/>
          <w:highlight w:val="none"/>
        </w:rPr>
        <w:t xml:space="preserve">十一、双方权利义务 </w:t>
      </w:r>
      <w:r/>
    </w:p>
    <w:p>
      <w:pPr>
        <w:ind w:firstLine="480"/>
        <w:spacing w:line="460" w:lineRule="exact"/>
        <w:rPr>
          <w:rFonts w:ascii="Times New Roman" w:hAnsi="Times New Roman"/>
          <w:sz w:val="24"/>
          <w:highlight w:val="none"/>
        </w:rPr>
      </w:pPr>
      <w:r>
        <w:rPr>
          <w:rFonts w:hint="eastAsia" w:ascii="Times New Roman" w:hAnsi="Times New Roman"/>
          <w:sz w:val="24"/>
          <w:highlight w:val="none"/>
        </w:rPr>
        <w:t xml:space="preserve">11.1 甲方的权利和义务</w:t>
      </w:r>
      <w:r/>
    </w:p>
    <w:p>
      <w:pPr>
        <w:ind w:firstLine="480"/>
        <w:spacing w:line="460" w:lineRule="exact"/>
        <w:rPr>
          <w:rFonts w:hint="eastAsia" w:ascii="宋体" w:hAnsi="宋体"/>
          <w:color w:val="000000"/>
          <w:sz w:val="24"/>
          <w:highlight w:val="none"/>
        </w:rPr>
      </w:pPr>
      <w:r>
        <w:rPr>
          <w:rFonts w:hint="eastAsia" w:ascii="Times New Roman" w:hAnsi="Times New Roman"/>
          <w:sz w:val="24"/>
          <w:highlight w:val="none"/>
        </w:rPr>
        <w:t xml:space="preserve">（1）甲方应向乙方在合理且可行范围内提供相关基础资料和保障支持，甲方应当积极主动的配合并协调相关部门配合乙方开展咨询服务工作，对乙方提出的要求应当明确、</w:t>
      </w:r>
      <w:r>
        <w:rPr>
          <w:rFonts w:hint="eastAsia" w:ascii="宋体" w:hAnsi="宋体"/>
          <w:color w:val="000000"/>
          <w:sz w:val="24"/>
          <w:highlight w:val="none"/>
        </w:rPr>
        <w:t xml:space="preserve">合理。</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（2）甲方应根据采购要求及乙方投标文件中的承诺，对乙方提供的服务及履行本合同情况实行验收。</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甲方有权根据项目的工作内容和成果要求，对乙方项目组主要成员的构成提出要求。乙方应按照投标文件约定的人员安排相关专业技术人员参与报批服务工作并定期向甲方进行工作汇报。在合同履行过程中，甲方如发现乙方项目组主要成员无法胜任工作或对乙方项目组主要成员提供的服务不满意的，有权要求乙方替换项目组主要成员，乙方应当无条件予以更换。乙方拒绝更换的，甲方有权单方解除合同，乙方应按照合同总金额的 20%向甲方支付违约金、赔偿甲方因此遭受的所有损失。</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（4）乙方有违约行为的，甲方有权解除合同并没收履约保证金。</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（5）甲方有权对中标后再转包或分包的乙方终止承包合同。</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s="宋体"/>
          <w:color w:val="000000"/>
          <w:sz w:val="24"/>
          <w:highlight w:val="none"/>
        </w:rPr>
        <w:t xml:space="preserve">甲方有责任妥善保存和提供与咨询服务相关的各项业务资料</w:t>
      </w:r>
      <w:r>
        <w:rPr>
          <w:rFonts w:hint="eastAsia" w:ascii="宋体" w:hAnsi="宋体"/>
          <w:color w:val="000000"/>
          <w:sz w:val="24"/>
          <w:szCs w:val="24"/>
          <w:highlight w:val="none"/>
        </w:rPr>
        <w:t xml:space="preserve">。</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t xml:space="preserve">.2 乙方的权利和义务 </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国家、省及苏州市的有关法规、设计标准、技术规范以及本合同约定的工作内容、技术标准、进度和成果要求进行工作，乙方应对其提交的成果质量负责，并承担由于质量不符合要求所带来的相关责任</w:t>
      </w:r>
      <w:r>
        <w:rPr>
          <w:rFonts w:ascii="宋体" w:hAnsi="宋体" w:cs="宋体"/>
          <w:color w:val="000000"/>
          <w:sz w:val="24"/>
          <w:highlight w:val="none"/>
        </w:rPr>
        <w:t xml:space="preserve">。 </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（2）乙方应依据合同规定的工作内容和技术要求，按照投标文件确定的项目服务团队组成项目组。同时，应配合甲方组织、举办本项目各工作阶段的汇报、审查、研讨等工作，并负责解答相应的技术问题。</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于已经提交成果验收的各阶段成果文件，乙方必须按照甲方提供的书面成果审查或审批意见进行修改和完善，并向甲方提供相应的书面报告说明成果修改的详细情况。未经甲方同意，乙方不得随意修改已经验收的成果文件</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（4）乙方对其工作人员在合同履行期间的一切行为负责，期间发生的一切安全事故责任及因此发生的人身或财产损害赔偿和其他费用由乙方承担，与甲方无关。</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（5）乙方有义务按照项目进度计划，阶段性地向甲方反馈项目实施情况并提供项目成果。</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（6）乙方对甲方提供的相关资料负有保密责任，非由法律规定、甲方所在地政府要求或者取得甲方书面同意，不得向任何第三方披露</w:t>
      </w:r>
      <w:r>
        <w:rPr>
          <w:rFonts w:ascii="宋体" w:hAnsi="宋体" w:cs="宋体"/>
          <w:color w:val="000000"/>
          <w:sz w:val="24"/>
          <w:highlight w:val="none"/>
        </w:rPr>
        <w:t xml:space="preserve">。 </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t xml:space="preserve">乙方根据国家标准、行业标准和规范要求及标书规定的服务质量标准和有关 要求，保质保量地完成服务工作。 </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t xml:space="preserve">乙方必须规范用工，签订用工合同。 </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（9）本合同终止后或收到甲方的书面要求后，乙方应立即归还全部保密信息资料和文件，包含该保密信息资料的媒体及其任何或全部</w:t>
      </w:r>
      <w:r>
        <w:rPr>
          <w:rFonts w:hint="eastAsia" w:ascii="宋体" w:hAnsi="宋体" w:cs="宋体"/>
          <w:color w:val="000000"/>
          <w:sz w:val="24"/>
          <w:highlight w:val="none"/>
          <w:lang w:eastAsia="zh-CN"/>
        </w:rPr>
        <w:t xml:space="preserve">扫描件</w:t>
      </w:r>
      <w:r>
        <w:rPr>
          <w:rFonts w:hint="eastAsia" w:ascii="宋体" w:hAnsi="宋体" w:cs="宋体"/>
          <w:color w:val="000000"/>
          <w:sz w:val="24"/>
          <w:highlight w:val="none"/>
        </w:rPr>
        <w:t xml:space="preserve">或摘要。如果该资料属于不能归还的形式，则应当删除或销毁</w:t>
      </w:r>
      <w:r>
        <w:rPr>
          <w:rFonts w:ascii="宋体" w:hAnsi="宋体" w:cs="宋体"/>
          <w:color w:val="000000"/>
          <w:sz w:val="24"/>
          <w:highlight w:val="none"/>
        </w:rPr>
        <w:t xml:space="preserve">。</w:t>
      </w:r>
      <w:r/>
    </w:p>
    <w:p>
      <w:pPr>
        <w:ind w:firstLine="480"/>
        <w:jc w:val="left"/>
        <w:spacing w:line="360" w:lineRule="auto"/>
        <w:rPr>
          <w:b/>
          <w:color w:val="000000"/>
          <w:sz w:val="24"/>
          <w:highlight w:val="none"/>
        </w:rPr>
      </w:pPr>
      <w:r>
        <w:rPr>
          <w:rFonts w:hint="eastAsia"/>
          <w:b/>
          <w:color w:val="000000"/>
          <w:sz w:val="24"/>
          <w:highlight w:val="none"/>
        </w:rPr>
        <w:t xml:space="preserve">十二、</w:t>
      </w:r>
      <w:r>
        <w:rPr>
          <w:rFonts w:hint="eastAsia" w:ascii="宋体" w:hAnsi="宋体" w:cs="宋体"/>
          <w:b/>
          <w:color w:val="000000"/>
          <w:sz w:val="24"/>
          <w:highlight w:val="none"/>
        </w:rPr>
        <w:t xml:space="preserve">服务质量</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12.1乙方提供的服务应达到投标文件所约定的目标。对达标的理解有异议的，由双方共同认可的第三方予以评定。</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 甲方拥有本合同项目的所有中间成果和最终成果，以及与之相关的所有权利。</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 甲乙双方应遵守国家的有关保密规定，妥善保管对方提供的资料，保守对方的各项秘密，并保护对方的知识产权。</w:t>
      </w:r>
      <w:r/>
    </w:p>
    <w:p>
      <w:pPr>
        <w:pStyle w:val="1489"/>
        <w:ind w:firstLine="482"/>
        <w:spacing w:line="440" w:lineRule="exact"/>
        <w:rPr>
          <w:rStyle w:val="1159"/>
          <w:rFonts w:hint="eastAsia" w:ascii="宋体" w:hAnsi="宋体" w:eastAsia="宋体" w:cs="宋体"/>
          <w:b/>
          <w:highlight w:val="none"/>
        </w:rPr>
      </w:pPr>
      <w:r>
        <w:rPr>
          <w:rStyle w:val="1159"/>
          <w:rFonts w:hint="eastAsia" w:ascii="宋体" w:hAnsi="宋体" w:eastAsia="宋体" w:cs="宋体"/>
          <w:b/>
          <w:highlight w:val="none"/>
        </w:rPr>
        <w:t xml:space="preserve">十三、验收</w:t>
      </w:r>
      <w:r/>
    </w:p>
    <w:p>
      <w:pPr>
        <w:pStyle w:val="1493"/>
        <w:ind w:firstLine="480"/>
        <w:spacing w:line="440" w:lineRule="atLeast"/>
        <w:rPr>
          <w:rFonts w:hint="eastAsia" w:ascii="宋体" w:hAnsi="宋体" w:cs="宋体"/>
          <w:sz w:val="24"/>
          <w:highlight w:val="none"/>
        </w:rPr>
      </w:pPr>
      <w:r>
        <w:rPr>
          <w:rFonts w:hint="eastAsia" w:ascii="宋体" w:hAnsi="宋体" w:cs="宋体"/>
          <w:color w:val="000000"/>
          <w:sz w:val="24"/>
          <w:highlight w:val="none"/>
        </w:rPr>
        <w:t xml:space="preserve">13.1双方根据验收内容制定验收方案，明确验收范围、依据、程序、方法，由甲方组织双方及第三方专家小组进行验收。费用由乙方承担，验收通过后10日内完成交付。</w:t>
      </w:r>
      <w:r/>
    </w:p>
    <w:p>
      <w:pPr>
        <w:pStyle w:val="1493"/>
        <w:ind w:firstLine="480"/>
        <w:spacing w:line="440" w:lineRule="atLeast"/>
        <w:rPr>
          <w:rFonts w:hint="eastAsia" w:ascii="宋体" w:hAnsi="宋体" w:cs="宋体"/>
          <w:sz w:val="24"/>
          <w:highlight w:val="none"/>
        </w:rPr>
      </w:pPr>
      <w:r>
        <w:rPr>
          <w:rFonts w:hint="eastAsia" w:ascii="宋体" w:hAnsi="宋体" w:cs="宋体"/>
          <w:color w:val="000000"/>
          <w:sz w:val="24"/>
          <w:highlight w:val="none"/>
        </w:rPr>
        <w:t xml:space="preserve">13.2甲方根据国家有关规定、招标文件、乙方的投标文件以及合同（包括补充合同）约定的内容和验收标准进行验收。验收情况作为支付合同款的依据。如有异议，以相关质量技术检验检测机构的检验结果为准，如产生检验费用，则该费用由过失方承担。乙方交付后，甲方需在</w:t>
      </w:r>
      <w:bookmarkStart w:id="193" w:name="wanchengyanshou"/>
      <w:r/>
      <w:bookmarkEnd w:id="193"/>
      <w:r>
        <w:rPr>
          <w:rFonts w:hint="eastAsia" w:ascii="宋体" w:hAnsi="宋体" w:cs="宋体"/>
          <w:color w:val="000000"/>
          <w:sz w:val="24"/>
          <w:highlight w:val="none"/>
        </w:rPr>
        <w:t xml:space="preserve">个工作日内验收。</w:t>
      </w:r>
      <w:r/>
    </w:p>
    <w:p>
      <w:pPr>
        <w:pStyle w:val="1533"/>
        <w:ind w:firstLine="500"/>
        <w:spacing w:line="360" w:lineRule="auto"/>
        <w:rPr>
          <w:sz w:val="24"/>
          <w:highlight w:val="none"/>
        </w:rPr>
      </w:pPr>
      <w:r>
        <w:rPr>
          <w:rFonts w:hint="eastAsia" w:ascii="宋体" w:hAnsi="宋体" w:cs="宋体"/>
          <w:color w:val="000000"/>
          <w:sz w:val="24"/>
          <w:highlight w:val="none"/>
        </w:rPr>
        <w:t xml:space="preserve">13.3</w:t>
      </w:r>
      <w:r>
        <w:rPr>
          <w:rFonts w:hint="eastAsia" w:ascii="宋体" w:hAnsi="宋体" w:cs="宋体"/>
          <w:color w:val="000000"/>
          <w:sz w:val="24"/>
          <w:highlight w:val="none"/>
          <w:shd w:val="clear" w:color="auto" w:fill="ffffff"/>
        </w:rPr>
        <w:t xml:space="preserve">验收时乙方必须在现场，并全面履行配合义务。</w:t>
      </w:r>
      <w:r/>
    </w:p>
    <w:p>
      <w:pPr>
        <w:ind w:firstLine="482"/>
        <w:spacing w:line="440" w:lineRule="exact"/>
        <w:rPr>
          <w:rFonts w:ascii="Times New Roman" w:hAnsi="Times New Roman"/>
          <w:b/>
          <w:bCs/>
          <w:sz w:val="24"/>
          <w:szCs w:val="24"/>
          <w:highlight w:val="none"/>
        </w:rPr>
      </w:pPr>
      <w:r>
        <w:rPr>
          <w:rFonts w:hint="eastAsia" w:ascii="Times New Roman" w:hAnsi="Times New Roman"/>
          <w:b/>
          <w:bCs/>
          <w:sz w:val="24"/>
          <w:szCs w:val="24"/>
          <w:highlight w:val="none"/>
        </w:rPr>
        <w:t xml:space="preserve">十四、违约责任</w:t>
      </w:r>
      <w:r/>
    </w:p>
    <w:p>
      <w:pPr>
        <w:pStyle w:val="1493"/>
        <w:ind w:firstLine="480"/>
        <w:rPr>
          <w:rFonts w:hint="eastAsia" w:ascii="宋体" w:hAnsi="宋体" w:cs="宋体"/>
          <w:sz w:val="24"/>
          <w:highlight w:val="none"/>
        </w:rPr>
      </w:pPr>
      <w:r>
        <w:rPr>
          <w:rFonts w:hint="eastAsia" w:ascii="宋体" w:hAnsi="宋体" w:cs="宋体"/>
          <w:sz w:val="24"/>
          <w:highlight w:val="none"/>
        </w:rPr>
        <w:t xml:space="preserve">14.1甲方违反合同的约定，使乙方未完成规定服务质量，乙方有权要求甲方在一定期限内解决，逾期未解决的，乙方有权终止合同，造成乙方经济损失的，甲方给予乙方经济赔偿。</w:t>
      </w:r>
      <w:r/>
    </w:p>
    <w:p>
      <w:pPr>
        <w:pStyle w:val="1493"/>
        <w:ind w:firstLine="480"/>
        <w:rPr>
          <w:rFonts w:hint="eastAsia" w:ascii="宋体" w:hAnsi="宋体" w:cs="宋体"/>
          <w:sz w:val="24"/>
          <w:highlight w:val="none"/>
        </w:rPr>
      </w:pPr>
      <w:r>
        <w:rPr>
          <w:rFonts w:hint="eastAsia" w:ascii="宋体" w:hAnsi="宋体" w:cs="宋体"/>
          <w:sz w:val="24"/>
          <w:highlight w:val="none"/>
        </w:rPr>
        <w:t xml:space="preserve">14.2乙方违反合同的约定，未能达到约定的服务质量，甲方有权要求乙方限期整改，逾期未整改的，甲方有权终止合同，造成甲方经济损失的，乙方给予甲方赔偿。</w:t>
      </w:r>
      <w:r/>
    </w:p>
    <w:p>
      <w:pPr>
        <w:pStyle w:val="1493"/>
        <w:ind w:firstLine="480"/>
        <w:rPr>
          <w:rFonts w:hint="eastAsia" w:ascii="宋体" w:hAnsi="宋体" w:cs="宋体"/>
          <w:sz w:val="24"/>
          <w:highlight w:val="none"/>
        </w:rPr>
      </w:pPr>
      <w:r>
        <w:rPr>
          <w:rFonts w:hint="eastAsia" w:ascii="宋体" w:hAnsi="宋体" w:cs="宋体"/>
          <w:sz w:val="24"/>
          <w:highlight w:val="none"/>
        </w:rPr>
        <w:t xml:space="preserve">14.</w:t>
      </w:r>
      <w:r>
        <w:rPr>
          <w:rFonts w:ascii="宋体" w:hAnsi="宋体" w:cs="宋体"/>
          <w:sz w:val="24"/>
          <w:highlight w:val="none"/>
        </w:rPr>
        <w:t xml:space="preserve">3</w:t>
      </w:r>
      <w:r>
        <w:rPr>
          <w:rFonts w:ascii="宋体" w:hAnsi="宋体" w:cs="宋体"/>
          <w:color w:val="000000"/>
          <w:sz w:val="24"/>
          <w:highlight w:val="none"/>
        </w:rPr>
        <w:t xml:space="preserve">本合同生效后，甲乙双方任何一方无正当理由要求终止合同的，责任方须按本合同的有关规定承担违约责任，</w:t>
      </w:r>
      <w:r>
        <w:rPr>
          <w:rFonts w:hint="eastAsia" w:ascii="宋体" w:hAnsi="宋体" w:cs="宋体"/>
          <w:color w:val="000000"/>
          <w:sz w:val="24"/>
          <w:highlight w:val="none"/>
        </w:rPr>
        <w:t xml:space="preserve">并应向对方支付合同金额 10%的违约金。如双方签订补充协议，则以补充协议的约定为准</w:t>
      </w:r>
      <w:r>
        <w:rPr>
          <w:rFonts w:hint="eastAsia" w:ascii="宋体" w:hAnsi="宋体" w:cs="宋体"/>
          <w:sz w:val="24"/>
          <w:highlight w:val="none"/>
        </w:rPr>
        <w:t xml:space="preserve">。</w:t>
      </w:r>
      <w:r/>
    </w:p>
    <w:p>
      <w:pPr>
        <w:pStyle w:val="1493"/>
        <w:ind w:firstLine="472"/>
        <w:spacing w:line="500" w:lineRule="exact"/>
        <w:rPr>
          <w:rStyle w:val="1159"/>
          <w:rFonts w:hint="eastAsia" w:ascii="宋体" w:hAnsi="宋体" w:cs="宋体"/>
          <w:b/>
          <w:bCs/>
          <w:sz w:val="24"/>
          <w:highlight w:val="none"/>
        </w:rPr>
      </w:pPr>
      <w:r>
        <w:rPr>
          <w:rStyle w:val="1159"/>
          <w:rFonts w:hint="eastAsia" w:ascii="宋体" w:hAnsi="宋体" w:cs="宋体"/>
          <w:b/>
          <w:bCs/>
          <w:sz w:val="24"/>
          <w:highlight w:val="none"/>
        </w:rPr>
        <w:t xml:space="preserve">十五、不可抗力事件处理</w:t>
      </w:r>
      <w:r/>
    </w:p>
    <w:p>
      <w:pPr>
        <w:pStyle w:val="1493"/>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15.1在合同有效期内，任何一方因不可抗力事件导致不能履行合同，则合同履行期可延长，其延长期与不可抗力影响期相同。</w:t>
      </w:r>
      <w:r/>
    </w:p>
    <w:p>
      <w:pPr>
        <w:pStyle w:val="1493"/>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15.2不可抗力事件发生后，应立即通知对方，并寄送有关权威机构出具的证明。</w:t>
      </w:r>
      <w:r/>
    </w:p>
    <w:p>
      <w:pPr>
        <w:pStyle w:val="1493"/>
        <w:ind w:firstLine="480"/>
        <w:rPr>
          <w:rStyle w:val="1159"/>
          <w:rFonts w:hint="eastAsia" w:ascii="宋体" w:hAnsi="宋体" w:cs="宋体"/>
          <w:sz w:val="24"/>
          <w:highlight w:val="none"/>
        </w:rPr>
      </w:pPr>
      <w:r>
        <w:rPr>
          <w:rFonts w:hint="eastAsia" w:ascii="宋体" w:hAnsi="宋体" w:cs="宋体"/>
          <w:color w:val="000000"/>
          <w:sz w:val="24"/>
          <w:highlight w:val="none"/>
        </w:rPr>
        <w:t xml:space="preserve">15.3不可抗力事件延续120天以上，双方应通过友好协商，确定是否继续履行合同。</w:t>
      </w:r>
      <w:r/>
    </w:p>
    <w:p>
      <w:pPr>
        <w:pStyle w:val="1493"/>
        <w:ind w:firstLine="472"/>
        <w:spacing w:line="500" w:lineRule="exact"/>
        <w:rPr>
          <w:rStyle w:val="1159"/>
          <w:rFonts w:hint="eastAsia" w:ascii="宋体" w:hAnsi="宋体" w:cs="宋体"/>
          <w:b/>
          <w:bCs/>
          <w:sz w:val="24"/>
          <w:highlight w:val="none"/>
        </w:rPr>
      </w:pPr>
      <w:r>
        <w:rPr>
          <w:rStyle w:val="1159"/>
          <w:rFonts w:hint="eastAsia" w:ascii="宋体" w:hAnsi="宋体" w:cs="宋体"/>
          <w:b/>
          <w:bCs/>
          <w:sz w:val="24"/>
          <w:highlight w:val="none"/>
        </w:rPr>
        <w:t xml:space="preserve">十六、诉讼</w:t>
      </w:r>
      <w:r/>
    </w:p>
    <w:p>
      <w:pPr>
        <w:pStyle w:val="1493"/>
        <w:ind w:firstLine="480"/>
        <w:spacing w:line="500" w:lineRule="exact"/>
        <w:rPr>
          <w:rStyle w:val="1159"/>
          <w:rFonts w:hint="eastAsia" w:ascii="宋体" w:hAnsi="宋体" w:cs="宋体"/>
          <w:sz w:val="24"/>
          <w:highlight w:val="none"/>
        </w:rPr>
      </w:pPr>
      <w:r>
        <w:rPr>
          <w:rStyle w:val="1159"/>
          <w:rFonts w:hint="eastAsia" w:ascii="宋体" w:hAnsi="宋体" w:cs="宋体"/>
          <w:sz w:val="24"/>
          <w:highlight w:val="none"/>
        </w:rPr>
        <w:t xml:space="preserve">16.1 双方在执行合同中所发生的一切争议，应通过协商解决。如协商不成，可向合同签订地法院起诉，合同签订地在此约定为张家港市。</w:t>
      </w:r>
      <w:r/>
    </w:p>
    <w:p>
      <w:pPr>
        <w:pStyle w:val="1493"/>
        <w:ind w:firstLine="472"/>
        <w:spacing w:line="500" w:lineRule="exact"/>
        <w:rPr>
          <w:rStyle w:val="1159"/>
          <w:rFonts w:hint="eastAsia" w:ascii="宋体" w:hAnsi="宋体" w:cs="宋体"/>
          <w:b/>
          <w:bCs/>
          <w:sz w:val="24"/>
          <w:highlight w:val="none"/>
        </w:rPr>
      </w:pPr>
      <w:r>
        <w:rPr>
          <w:rStyle w:val="1159"/>
          <w:rFonts w:hint="eastAsia" w:ascii="宋体" w:hAnsi="宋体" w:cs="宋体"/>
          <w:b/>
          <w:bCs/>
          <w:sz w:val="24"/>
          <w:highlight w:val="none"/>
        </w:rPr>
        <w:t xml:space="preserve">十七、合同其他文件</w:t>
      </w:r>
      <w:r/>
    </w:p>
    <w:p>
      <w:pPr>
        <w:pStyle w:val="1493"/>
        <w:ind w:firstLine="480"/>
        <w:spacing w:line="500" w:lineRule="exact"/>
        <w:rPr>
          <w:rStyle w:val="1159"/>
          <w:rFonts w:hint="eastAsia" w:ascii="宋体" w:hAnsi="宋体" w:cs="宋体"/>
          <w:sz w:val="24"/>
          <w:highlight w:val="none"/>
        </w:rPr>
      </w:pPr>
      <w:r>
        <w:rPr>
          <w:rStyle w:val="1159"/>
          <w:rFonts w:hint="eastAsia" w:ascii="宋体" w:hAnsi="宋体" w:cs="宋体"/>
          <w:sz w:val="24"/>
          <w:highlight w:val="none"/>
        </w:rPr>
        <w:t xml:space="preserve">17.1下列文件为本合同不可分割部份，与本合同具有同等效力。</w:t>
      </w:r>
      <w:r/>
    </w:p>
    <w:p>
      <w:pPr>
        <w:pStyle w:val="1493"/>
        <w:ind w:firstLine="480"/>
        <w:spacing w:line="500" w:lineRule="exact"/>
        <w:rPr>
          <w:rStyle w:val="1159"/>
          <w:rFonts w:hint="eastAsia" w:ascii="宋体" w:hAnsi="宋体" w:cs="宋体"/>
          <w:sz w:val="24"/>
          <w:highlight w:val="none"/>
        </w:rPr>
      </w:pPr>
      <w:r>
        <w:rPr>
          <w:rStyle w:val="1159"/>
          <w:rFonts w:hint="eastAsia" w:ascii="宋体" w:hAnsi="宋体" w:cs="宋体"/>
          <w:sz w:val="24"/>
          <w:highlight w:val="none"/>
        </w:rPr>
        <w:t xml:space="preserve">(1)《中华人民共和国政府采购法》；</w:t>
      </w:r>
      <w:r/>
    </w:p>
    <w:p>
      <w:pPr>
        <w:pStyle w:val="1493"/>
        <w:ind w:firstLine="480"/>
        <w:spacing w:line="500" w:lineRule="exact"/>
        <w:rPr>
          <w:rStyle w:val="1159"/>
          <w:rFonts w:hint="eastAsia" w:ascii="宋体" w:hAnsi="宋体" w:cs="宋体"/>
          <w:sz w:val="24"/>
          <w:highlight w:val="none"/>
        </w:rPr>
      </w:pPr>
      <w:r>
        <w:rPr>
          <w:rStyle w:val="1159"/>
          <w:rFonts w:hint="eastAsia" w:ascii="宋体" w:hAnsi="宋体" w:cs="宋体"/>
          <w:sz w:val="24"/>
          <w:highlight w:val="none"/>
        </w:rPr>
        <w:t xml:space="preserve">(2)中标通知书；</w:t>
      </w:r>
      <w:r/>
    </w:p>
    <w:p>
      <w:pPr>
        <w:pStyle w:val="1493"/>
        <w:ind w:firstLine="480"/>
        <w:spacing w:line="500" w:lineRule="exact"/>
        <w:rPr>
          <w:rStyle w:val="1159"/>
          <w:rFonts w:hint="eastAsia" w:ascii="宋体" w:hAnsi="宋体" w:cs="宋体"/>
          <w:sz w:val="24"/>
          <w:highlight w:val="none"/>
        </w:rPr>
      </w:pPr>
      <w:r>
        <w:rPr>
          <w:rStyle w:val="1159"/>
          <w:rFonts w:hint="eastAsia" w:ascii="宋体" w:hAnsi="宋体" w:cs="宋体"/>
          <w:sz w:val="24"/>
          <w:highlight w:val="none"/>
        </w:rPr>
        <w:t xml:space="preserve">(3)供方中标的投标书；</w:t>
      </w:r>
      <w:r/>
    </w:p>
    <w:p>
      <w:pPr>
        <w:pStyle w:val="1493"/>
        <w:ind w:firstLine="480"/>
        <w:spacing w:line="500" w:lineRule="exact"/>
        <w:rPr>
          <w:rStyle w:val="1159"/>
          <w:rFonts w:hint="eastAsia" w:ascii="宋体" w:hAnsi="宋体" w:cs="宋体"/>
          <w:sz w:val="24"/>
          <w:highlight w:val="none"/>
        </w:rPr>
      </w:pPr>
      <w:r>
        <w:rPr>
          <w:rStyle w:val="1159"/>
          <w:rFonts w:hint="eastAsia" w:ascii="宋体" w:hAnsi="宋体" w:cs="宋体"/>
          <w:sz w:val="24"/>
          <w:highlight w:val="none"/>
        </w:rPr>
        <w:t xml:space="preserve">(4)招标文件；</w:t>
      </w:r>
      <w:r/>
    </w:p>
    <w:p>
      <w:pPr>
        <w:pStyle w:val="1493"/>
        <w:ind w:firstLine="480"/>
        <w:spacing w:line="500" w:lineRule="exact"/>
        <w:rPr>
          <w:rStyle w:val="1159"/>
          <w:rFonts w:hint="eastAsia" w:ascii="宋体" w:hAnsi="宋体" w:cs="宋体"/>
          <w:sz w:val="24"/>
          <w:highlight w:val="none"/>
        </w:rPr>
      </w:pPr>
      <w:r>
        <w:rPr>
          <w:rStyle w:val="1159"/>
          <w:rFonts w:hint="eastAsia" w:ascii="宋体" w:hAnsi="宋体" w:cs="宋体"/>
          <w:sz w:val="24"/>
          <w:highlight w:val="none"/>
        </w:rPr>
        <w:t xml:space="preserve">(5)供方在招投标过程中所作的其他承诺、声明、书面澄清等。</w:t>
      </w:r>
      <w:r/>
    </w:p>
    <w:p>
      <w:pPr>
        <w:pStyle w:val="1493"/>
        <w:ind w:firstLine="470"/>
        <w:spacing w:line="500" w:lineRule="exact"/>
        <w:rPr>
          <w:rStyle w:val="1159"/>
          <w:rFonts w:hint="eastAsia" w:ascii="宋体" w:hAnsi="宋体" w:cs="宋体"/>
          <w:b/>
          <w:bCs/>
          <w:sz w:val="24"/>
          <w:highlight w:val="none"/>
        </w:rPr>
      </w:pPr>
      <w:r>
        <w:rPr>
          <w:rStyle w:val="1159"/>
          <w:rFonts w:hint="eastAsia" w:ascii="宋体" w:hAnsi="宋体" w:cs="宋体"/>
          <w:b/>
          <w:bCs/>
          <w:sz w:val="24"/>
          <w:highlight w:val="none"/>
        </w:rPr>
        <w:t xml:space="preserve">十八、合同生效及其它</w:t>
      </w:r>
      <w:r/>
    </w:p>
    <w:p>
      <w:pPr>
        <w:pStyle w:val="1493"/>
        <w:ind w:firstLine="480"/>
        <w:spacing w:line="500" w:lineRule="exact"/>
        <w:rPr>
          <w:rStyle w:val="1159"/>
          <w:rFonts w:hint="eastAsia" w:ascii="宋体" w:hAnsi="宋体" w:cs="宋体"/>
          <w:sz w:val="24"/>
          <w:highlight w:val="none"/>
        </w:rPr>
      </w:pPr>
      <w:r>
        <w:rPr>
          <w:rStyle w:val="1159"/>
          <w:rFonts w:hint="eastAsia" w:ascii="宋体" w:hAnsi="宋体" w:cs="宋体"/>
          <w:sz w:val="24"/>
          <w:highlight w:val="none"/>
        </w:rPr>
        <w:t xml:space="preserve">18.1合同经双方法定代表人</w:t>
      </w:r>
      <w:r>
        <w:rPr>
          <w:rStyle w:val="1159"/>
          <w:rFonts w:hint="eastAsia" w:ascii="宋体" w:hAnsi="宋体" w:cs="宋体"/>
          <w:bCs/>
          <w:sz w:val="24"/>
          <w:highlight w:val="none"/>
        </w:rPr>
        <w:t xml:space="preserve">（或负责人）</w:t>
      </w:r>
      <w:r>
        <w:rPr>
          <w:rStyle w:val="1159"/>
          <w:rFonts w:hint="eastAsia" w:ascii="宋体" w:hAnsi="宋体" w:cs="宋体"/>
          <w:sz w:val="24"/>
          <w:highlight w:val="none"/>
        </w:rPr>
        <w:t xml:space="preserve">或授权委托代表人签字并加盖单位公章后生效,生效后至张家港市政府采购管理中心备案。</w:t>
      </w:r>
      <w:r/>
    </w:p>
    <w:p>
      <w:pPr>
        <w:pStyle w:val="1493"/>
        <w:ind w:firstLine="480"/>
        <w:spacing w:line="500" w:lineRule="exact"/>
        <w:rPr>
          <w:rStyle w:val="1159"/>
          <w:rFonts w:hint="eastAsia" w:ascii="宋体" w:hAnsi="宋体" w:cs="宋体"/>
          <w:sz w:val="24"/>
          <w:highlight w:val="none"/>
        </w:rPr>
      </w:pPr>
      <w:r>
        <w:rPr>
          <w:rStyle w:val="1159"/>
          <w:rFonts w:hint="eastAsia" w:ascii="宋体" w:hAnsi="宋体" w:cs="宋体"/>
          <w:sz w:val="24"/>
          <w:highlight w:val="none"/>
        </w:rPr>
        <w:t xml:space="preserve">18.2 本合同未尽事宜，遵照《中华人民共和国民法典》合同篇经甲乙双方协商一致可签订补充协议。</w:t>
      </w:r>
      <w:r/>
    </w:p>
    <w:p>
      <w:pPr>
        <w:pStyle w:val="1493"/>
        <w:ind w:firstLine="480"/>
        <w:spacing w:line="500" w:lineRule="exact"/>
        <w:rPr>
          <w:rStyle w:val="1159"/>
          <w:rFonts w:hint="eastAsia" w:asciiTheme="minorEastAsia" w:hAnsiTheme="minorEastAsia" w:eastAsiaTheme="minorEastAsia" w:cstheme="minorEastAsia"/>
          <w:sz w:val="24"/>
          <w:szCs w:val="24"/>
          <w:highlight w:val="none"/>
        </w:rPr>
      </w:pPr>
      <w:r>
        <w:rPr>
          <w:rStyle w:val="1159"/>
          <w:rFonts w:hint="eastAsia" w:ascii="宋体" w:hAnsi="宋体" w:cs="宋体"/>
          <w:sz w:val="24"/>
          <w:highlight w:val="none"/>
        </w:rPr>
        <w:t xml:space="preserve">18.3</w:t>
      </w:r>
      <w:r>
        <w:rPr>
          <w:rStyle w:val="1159"/>
          <w:rFonts w:hint="eastAsia" w:asciiTheme="minorEastAsia" w:hAnsiTheme="minorEastAsia" w:eastAsiaTheme="minorEastAsia" w:cstheme="minorEastAsia"/>
          <w:sz w:val="24"/>
          <w:szCs w:val="24"/>
          <w:highlight w:val="none"/>
        </w:rPr>
        <w:t xml:space="preserve">本合同正本一式六份，具有同等法律效力，甲方三份，乙方、张家港市政府采购管理中心、张家港保税区宏宇建设咨询有限公司各执一份。</w:t>
      </w:r>
      <w:r/>
    </w:p>
    <w:p>
      <w:pPr>
        <w:pStyle w:val="1487"/>
        <w:ind w:firstLine="480"/>
        <w:spacing w:line="500" w:lineRule="exact"/>
        <w:rPr>
          <w:rStyle w:val="1159"/>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505"/>
        <w:contextualSpacing/>
        <w:ind w:firstLine="480"/>
        <w:spacing w:line="360" w:lineRule="auto"/>
        <w:rPr>
          <w:rStyle w:val="1588"/>
          <w:rFonts w:hint="eastAsia" w:asciiTheme="minorEastAsia" w:hAnsiTheme="minorEastAsia" w:eastAsiaTheme="minorEastAsia" w:cstheme="minorEastAsia"/>
          <w:sz w:val="24"/>
          <w:szCs w:val="24"/>
          <w:highlight w:val="none"/>
        </w:rPr>
      </w:pPr>
      <w:r>
        <w:rPr>
          <w:rStyle w:val="1588"/>
          <w:rFonts w:hint="eastAsia" w:asciiTheme="minorEastAsia" w:hAnsiTheme="minorEastAsia" w:eastAsiaTheme="minorEastAsia" w:cstheme="minorEastAsia"/>
          <w:sz w:val="24"/>
          <w:szCs w:val="24"/>
          <w:highlight w:val="none"/>
        </w:rPr>
        <w:t xml:space="preserve">甲方：                                    乙方：</w:t>
      </w:r>
      <w:r/>
    </w:p>
    <w:p>
      <w:pPr>
        <w:pStyle w:val="1505"/>
        <w:contextualSpacing/>
        <w:ind w:firstLine="480"/>
        <w:spacing w:line="360" w:lineRule="auto"/>
        <w:rPr>
          <w:rStyle w:val="1588"/>
          <w:rFonts w:hint="eastAsia" w:asciiTheme="minorEastAsia" w:hAnsiTheme="minorEastAsia" w:eastAsiaTheme="minorEastAsia" w:cstheme="minorEastAsia"/>
          <w:sz w:val="24"/>
          <w:szCs w:val="24"/>
          <w:highlight w:val="none"/>
        </w:rPr>
      </w:pPr>
      <w:r>
        <w:rPr>
          <w:rStyle w:val="1588"/>
          <w:rFonts w:hint="eastAsia" w:asciiTheme="minorEastAsia" w:hAnsiTheme="minorEastAsia" w:eastAsiaTheme="minorEastAsia" w:cstheme="minorEastAsia"/>
          <w:sz w:val="24"/>
          <w:szCs w:val="24"/>
          <w:highlight w:val="none"/>
        </w:rPr>
        <w:t xml:space="preserve">地址：                                    地址：</w:t>
      </w:r>
      <w:r/>
    </w:p>
    <w:p>
      <w:pPr>
        <w:pStyle w:val="1505"/>
        <w:contextualSpacing/>
        <w:ind w:firstLine="480"/>
        <w:spacing w:line="360" w:lineRule="auto"/>
        <w:rPr>
          <w:rStyle w:val="1588"/>
          <w:rFonts w:hint="eastAsia" w:asciiTheme="minorEastAsia" w:hAnsiTheme="minorEastAsia" w:eastAsiaTheme="minorEastAsia" w:cstheme="minorEastAsia"/>
          <w:sz w:val="24"/>
          <w:szCs w:val="24"/>
          <w:highlight w:val="none"/>
        </w:rPr>
      </w:pPr>
      <w:r>
        <w:rPr>
          <w:rStyle w:val="1588"/>
          <w:rFonts w:hint="eastAsia" w:asciiTheme="minorEastAsia" w:hAnsiTheme="minorEastAsia" w:eastAsiaTheme="minorEastAsia" w:cstheme="minorEastAsia"/>
          <w:sz w:val="24"/>
          <w:szCs w:val="24"/>
          <w:highlight w:val="none"/>
        </w:rPr>
        <w:t xml:space="preserve">法定代表人或授权代表：                    法定代表人或授权代表：</w:t>
      </w:r>
      <w:r/>
    </w:p>
    <w:p>
      <w:pPr>
        <w:pStyle w:val="1505"/>
        <w:contextualSpacing/>
        <w:ind w:firstLine="480"/>
        <w:spacing w:line="360" w:lineRule="auto"/>
        <w:rPr>
          <w:rStyle w:val="1588"/>
          <w:rFonts w:hint="eastAsia" w:asciiTheme="minorEastAsia" w:hAnsiTheme="minorEastAsia" w:eastAsiaTheme="minorEastAsia" w:cstheme="minorEastAsia"/>
          <w:sz w:val="24"/>
          <w:szCs w:val="24"/>
          <w:highlight w:val="none"/>
        </w:rPr>
      </w:pPr>
      <w:r>
        <w:rPr>
          <w:rStyle w:val="1588"/>
          <w:rFonts w:hint="eastAsia" w:asciiTheme="minorEastAsia" w:hAnsiTheme="minorEastAsia" w:eastAsiaTheme="minorEastAsia" w:cstheme="minorEastAsia"/>
          <w:sz w:val="24"/>
          <w:szCs w:val="24"/>
          <w:highlight w:val="none"/>
        </w:rPr>
        <w:t xml:space="preserve">联系电话：                                联系电话：</w:t>
      </w:r>
      <w:r/>
    </w:p>
    <w:p>
      <w:pPr>
        <w:pStyle w:val="1505"/>
        <w:contextualSpacing/>
        <w:ind w:firstLine="480"/>
        <w:spacing w:line="360" w:lineRule="auto"/>
        <w:rPr>
          <w:rStyle w:val="1588"/>
          <w:rFonts w:hint="eastAsia" w:asciiTheme="minorEastAsia" w:hAnsiTheme="minorEastAsia" w:eastAsiaTheme="minorEastAsia" w:cstheme="minorEastAsia"/>
          <w:sz w:val="24"/>
          <w:szCs w:val="24"/>
          <w:highlight w:val="none"/>
        </w:rPr>
      </w:pPr>
      <w:r>
        <w:rPr>
          <w:rStyle w:val="1588"/>
          <w:rFonts w:hint="eastAsia" w:asciiTheme="minorEastAsia" w:hAnsiTheme="minorEastAsia" w:eastAsiaTheme="minorEastAsia" w:cstheme="minorEastAsia"/>
          <w:sz w:val="24"/>
          <w:szCs w:val="24"/>
          <w:highlight w:val="none"/>
        </w:rPr>
        <w:t xml:space="preserve">签订日期：      年    月  日              签订日期：      年    月  日</w:t>
      </w:r>
      <w:r/>
    </w:p>
    <w:p>
      <w:pPr>
        <w:pStyle w:val="1505"/>
        <w:contextualSpacing/>
        <w:ind w:firstLine="480"/>
        <w:spacing w:line="360" w:lineRule="auto"/>
        <w:rPr>
          <w:rStyle w:val="1588"/>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505"/>
        <w:contextualSpacing/>
        <w:ind w:firstLine="480"/>
        <w:spacing w:line="360" w:lineRule="auto"/>
        <w:rPr>
          <w:rStyle w:val="1588"/>
          <w:rFonts w:hint="eastAsia" w:asciiTheme="minorEastAsia" w:hAnsiTheme="minorEastAsia" w:eastAsiaTheme="minorEastAsia" w:cstheme="minorEastAsia"/>
          <w:sz w:val="24"/>
          <w:szCs w:val="24"/>
          <w:highlight w:val="none"/>
        </w:rPr>
      </w:pPr>
      <w:r>
        <w:rPr>
          <w:rStyle w:val="1588"/>
          <w:rFonts w:hint="eastAsia" w:asciiTheme="minorEastAsia" w:hAnsiTheme="minorEastAsia" w:eastAsiaTheme="minorEastAsia" w:cstheme="minorEastAsia"/>
          <w:sz w:val="24"/>
          <w:szCs w:val="24"/>
          <w:highlight w:val="none"/>
        </w:rPr>
        <w:t xml:space="preserve">采购代理机构：张家港保税区宏宇建设咨询有限公司</w:t>
      </w:r>
      <w:r/>
    </w:p>
    <w:p>
      <w:pPr>
        <w:pStyle w:val="1505"/>
        <w:contextualSpacing/>
        <w:ind w:firstLine="480"/>
        <w:spacing w:line="360" w:lineRule="auto"/>
        <w:rPr>
          <w:rStyle w:val="1588"/>
          <w:rFonts w:hint="eastAsia" w:asciiTheme="minorEastAsia" w:hAnsiTheme="minorEastAsia" w:eastAsiaTheme="minorEastAsia" w:cstheme="minorEastAsia"/>
          <w:sz w:val="24"/>
          <w:szCs w:val="24"/>
          <w:highlight w:val="none"/>
        </w:rPr>
      </w:pPr>
      <w:r>
        <w:rPr>
          <w:rStyle w:val="1588"/>
          <w:rFonts w:hint="eastAsia" w:asciiTheme="minorEastAsia" w:hAnsiTheme="minorEastAsia" w:eastAsiaTheme="minorEastAsia" w:cstheme="minorEastAsia"/>
          <w:sz w:val="24"/>
          <w:szCs w:val="24"/>
          <w:highlight w:val="none"/>
        </w:rPr>
        <w:t xml:space="preserve">地址：张家港市杨舍镇国泰北路15号</w:t>
      </w:r>
      <w:r/>
    </w:p>
    <w:p>
      <w:pPr>
        <w:pStyle w:val="1505"/>
        <w:contextualSpacing/>
        <w:ind w:firstLine="480"/>
        <w:spacing w:line="360" w:lineRule="auto"/>
        <w:rPr>
          <w:rStyle w:val="1588"/>
          <w:rFonts w:hint="eastAsia" w:asciiTheme="minorEastAsia" w:hAnsiTheme="minorEastAsia" w:eastAsiaTheme="minorEastAsia" w:cstheme="minorEastAsia"/>
          <w:sz w:val="24"/>
          <w:szCs w:val="24"/>
          <w:highlight w:val="none"/>
        </w:rPr>
      </w:pPr>
      <w:r>
        <w:rPr>
          <w:rStyle w:val="1588"/>
          <w:rFonts w:hint="eastAsia" w:asciiTheme="minorEastAsia" w:hAnsiTheme="minorEastAsia" w:eastAsiaTheme="minorEastAsia" w:cstheme="minorEastAsia"/>
          <w:sz w:val="24"/>
          <w:szCs w:val="24"/>
          <w:highlight w:val="none"/>
        </w:rPr>
        <w:t xml:space="preserve">经办人：</w:t>
      </w:r>
      <w:r/>
    </w:p>
    <w:p>
      <w:pPr>
        <w:ind w:firstLine="400"/>
        <w:rPr>
          <w:rFonts w:hint="eastAsia" w:asciiTheme="minorEastAsia" w:hAnsiTheme="minorEastAsia" w:eastAsiaTheme="minorEastAsia" w:cstheme="minorEastAsia"/>
          <w:color w:val="000080"/>
          <w:sz w:val="24"/>
          <w:szCs w:val="24"/>
          <w:highlight w:val="none"/>
        </w:rPr>
      </w:pPr>
      <w:r>
        <w:rPr>
          <w:rFonts w:hint="eastAsia" w:asciiTheme="minorEastAsia" w:hAnsiTheme="minorEastAsia" w:eastAsiaTheme="minorEastAsia" w:cstheme="minorEastAsia"/>
          <w:color w:val="000080"/>
          <w:sz w:val="24"/>
          <w:szCs w:val="24"/>
          <w:highlight w:val="none"/>
        </w:rPr>
      </w:r>
      <w:r/>
    </w:p>
    <w:p>
      <w:pPr>
        <w:pStyle w:val="1505"/>
        <w:contextualSpacing/>
        <w:ind w:firstLine="480"/>
        <w:spacing w:line="440" w:lineRule="exact"/>
        <w:rPr>
          <w:rStyle w:val="1588"/>
          <w:rFonts w:hint="eastAsia" w:asciiTheme="minorEastAsia" w:hAnsiTheme="minorEastAsia" w:eastAsiaTheme="minorEastAsia" w:cstheme="minorEastAsia"/>
          <w:sz w:val="24"/>
          <w:szCs w:val="24"/>
          <w:highlight w:val="none"/>
        </w:rPr>
      </w:pPr>
      <w:r>
        <w:rPr>
          <w:rStyle w:val="1588"/>
          <w:rFonts w:hint="eastAsia" w:asciiTheme="minorEastAsia" w:hAnsiTheme="minorEastAsia" w:eastAsiaTheme="minorEastAsia" w:cstheme="minorEastAsia"/>
          <w:sz w:val="24"/>
          <w:szCs w:val="24"/>
          <w:highlight w:val="none"/>
        </w:rPr>
        <w:t xml:space="preserve">备案方：张家港市政府采购管理办公室</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218"/>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w:t>
      </w:r>
      <w:bookmarkEnd w:id="168"/>
      <w:r>
        <w:rPr>
          <w:rFonts w:hint="eastAsia" w:ascii="宋体" w:hAnsi="宋体" w:eastAsia="宋体"/>
          <w:color w:val="auto"/>
          <w:highlight w:val="none"/>
        </w:rPr>
        <w:t xml:space="preserve">四章 项目需求</w:t>
      </w:r>
      <w:bookmarkEnd w:id="169"/>
      <w:r/>
      <w:bookmarkEnd w:id="170"/>
      <w:r/>
      <w:bookmarkEnd w:id="171"/>
      <w:r/>
      <w:bookmarkEnd w:id="172"/>
      <w:r/>
      <w:bookmarkEnd w:id="173"/>
      <w:r/>
      <w:bookmarkEnd w:id="174"/>
      <w:r/>
      <w:bookmarkEnd w:id="175"/>
      <w:r/>
      <w:bookmarkStart w:id="194" w:name="_Toc274321794"/>
      <w:r/>
      <w:bookmarkEnd w:id="194"/>
      <w:r/>
      <w:bookmarkStart w:id="195" w:name="_Toc319429198"/>
      <w:r/>
      <w:bookmarkEnd w:id="195"/>
      <w:r/>
      <w:bookmarkStart w:id="196" w:name="_Toc483515625"/>
      <w:r/>
      <w:bookmarkStart w:id="197" w:name="_Toc350255489"/>
      <w:r/>
      <w:bookmarkStart w:id="198" w:name="_Toc26554093"/>
      <w:r/>
      <w:bookmarkStart w:id="199" w:name="_Toc49090575"/>
      <w:r/>
      <w:bookmarkEnd w:id="196"/>
      <w:r/>
      <w:bookmarkEnd w:id="197"/>
      <w:r/>
      <w:bookmarkEnd w:id="198"/>
      <w:r/>
      <w:bookmarkEnd w:id="199"/>
      <w:r/>
      <w:r/>
    </w:p>
    <w:p>
      <w:pPr>
        <w:ind w:firstLine="562"/>
        <w:spacing w:line="360" w:lineRule="auto"/>
        <w:rPr>
          <w:rFonts w:hint="eastAsia" w:ascii="宋体" w:hAnsi="宋体" w:cs="宋体"/>
          <w:b/>
          <w:color w:val="auto"/>
          <w:sz w:val="28"/>
          <w:szCs w:val="28"/>
          <w:highlight w:val="none"/>
        </w:rPr>
      </w:pPr>
      <w:r/>
      <w:bookmarkStart w:id="200" w:name="_Toc185684869"/>
      <w:r/>
      <w:bookmarkStart w:id="201" w:name="_Toc54615250"/>
      <w:r/>
      <w:bookmarkStart w:id="202" w:name="_Toc160042798"/>
      <w:r/>
      <w:bookmarkStart w:id="203" w:name="_Toc38368132"/>
      <w:r/>
      <w:bookmarkStart w:id="204" w:name="_Toc35266032"/>
      <w:r>
        <w:rPr>
          <w:rFonts w:hint="eastAsia" w:ascii="宋体" w:hAnsi="宋体" w:cs="宋体"/>
          <w:b/>
          <w:color w:val="auto"/>
          <w:sz w:val="28"/>
          <w:szCs w:val="28"/>
          <w:highlight w:val="none"/>
        </w:rPr>
        <w:t xml:space="preserve">一、清单</w:t>
      </w:r>
      <w:r/>
    </w:p>
    <w:tbl>
      <w:tblPr>
        <w:tblStyle w:val="9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3236"/>
        <w:gridCol w:w="696"/>
        <w:gridCol w:w="634"/>
        <w:gridCol w:w="634"/>
        <w:gridCol w:w="1704"/>
        <w:gridCol w:w="1347"/>
        <w:gridCol w:w="99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2025年双山岛环岛监控服务采购项目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租赁和商务服务业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515"/>
              <w:jc w:val="center"/>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服务类</w:t>
            </w:r>
            <w:r/>
          </w:p>
        </w:tc>
      </w:tr>
    </w:tbl>
    <w:p>
      <w:pPr>
        <w:pStyle w:val="1517"/>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r>
      <w:r/>
    </w:p>
    <w:p>
      <w:pPr>
        <w:pStyle w:val="1517"/>
        <w:ind w:firstLine="500"/>
        <w:spacing w:line="360" w:lineRule="auto"/>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513"/>
        <w:ind w:firstLine="500"/>
        <w:spacing w:line="360" w:lineRule="auto"/>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2.核心产品清单</w:t>
      </w:r>
      <w:r/>
    </w:p>
    <w:p>
      <w:pPr>
        <w:pStyle w:val="1513"/>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无</w:t>
      </w:r>
      <w:r/>
    </w:p>
    <w:p>
      <w:pPr>
        <w:pStyle w:val="1533"/>
        <w:ind w:firstLine="500"/>
        <w:spacing w:line="360" w:lineRule="auto"/>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3</w:t>
      </w:r>
      <w:r>
        <w:rPr>
          <w:rFonts w:hint="eastAsia" w:ascii="宋体" w:hAnsi="宋体" w:eastAsia="宋体" w:cs="宋体"/>
          <w:color w:val="auto"/>
          <w:spacing w:val="7"/>
          <w:highlight w:val="none"/>
          <w:lang w:val="en-US" w:eastAsia="zh-CN"/>
        </w:rPr>
        <w:t xml:space="preserve">.</w:t>
      </w:r>
      <w:r>
        <w:rPr>
          <w:rFonts w:ascii="宋体" w:hAnsi="宋体" w:eastAsia="宋体" w:cs="宋体"/>
          <w:color w:val="auto"/>
          <w:spacing w:val="7"/>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533"/>
        <w:ind w:firstLine="500"/>
        <w:spacing w:line="360" w:lineRule="auto"/>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r/>
    </w:p>
    <w:p>
      <w:pPr>
        <w:pStyle w:val="1533"/>
        <w:ind w:firstLine="500"/>
        <w:spacing w:line="360" w:lineRule="auto"/>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无 </w:t>
      </w:r>
      <w:r/>
    </w:p>
    <w:p>
      <w:pPr>
        <w:pStyle w:val="1521"/>
        <w:ind w:firstLine="500"/>
        <w:spacing w:line="360" w:lineRule="auto"/>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w:t>
      </w:r>
      <w:r/>
    </w:p>
    <w:p>
      <w:pPr>
        <w:pStyle w:val="1521"/>
        <w:ind w:firstLine="500"/>
        <w:spacing w:line="360" w:lineRule="auto"/>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无</w:t>
      </w:r>
      <w:bookmarkStart w:id="205" w:name="EB408f2104b2e44804a6615a1921eee37c"/>
      <w:r/>
      <w:bookmarkEnd w:id="205"/>
      <w:r/>
      <w:r/>
    </w:p>
    <w:p>
      <w:pPr>
        <w:pStyle w:val="1522"/>
        <w:ind w:firstLine="499"/>
        <w:keepLines w:val="0"/>
        <w:keepNext w:val="0"/>
        <w:pageBreakBefore w:val="0"/>
        <w:spacing w:line="360" w:lineRule="auto"/>
        <w:widowControl/>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4</w:t>
      </w:r>
      <w:r>
        <w:rPr>
          <w:rFonts w:hint="eastAsia" w:ascii="宋体" w:hAnsi="宋体" w:eastAsia="宋体" w:cs="宋体"/>
          <w:color w:val="auto"/>
          <w:spacing w:val="7"/>
          <w:highlight w:val="none"/>
          <w:lang w:val="en-US" w:eastAsia="zh-CN"/>
        </w:rPr>
        <w:t xml:space="preserve">.</w:t>
      </w:r>
      <w:r>
        <w:rPr>
          <w:rFonts w:hint="eastAsia" w:ascii="宋体" w:hAnsi="宋体" w:eastAsia="宋体" w:cs="宋体"/>
          <w:color w:val="auto"/>
          <w:spacing w:val="7"/>
          <w:highlight w:val="none"/>
        </w:rPr>
        <w:t xml:space="preserve">绿色采购其他政策： </w:t>
      </w:r>
      <w:r/>
    </w:p>
    <w:p>
      <w:pPr>
        <w:pStyle w:val="1522"/>
        <w:ind w:firstLine="499"/>
        <w:keepLines w:val="0"/>
        <w:keepNext w:val="0"/>
        <w:pageBreakBefore w:val="0"/>
        <w:spacing w:line="360" w:lineRule="auto"/>
        <w:widowControl/>
        <w:rPr>
          <w:rFonts w:hint="eastAsia" w:ascii="Times New Roman Regular" w:hAnsi="Times New Roman Regular" w:eastAsia="宋体" w:cs="Times New Roman Regular"/>
          <w:color w:val="auto"/>
          <w:spacing w:val="7"/>
          <w:highlight w:val="none"/>
        </w:rPr>
      </w:pPr>
      <w:r>
        <w:rPr>
          <w:rFonts w:hint="eastAsia" w:ascii="宋体" w:hAnsi="宋体" w:eastAsia="宋体" w:cs="宋体"/>
          <w:color w:val="auto"/>
          <w:spacing w:val="7"/>
          <w:highlight w:val="none"/>
        </w:rPr>
        <w:t xml:space="preserve">（1）为加快</w:t>
      </w:r>
      <w:r>
        <w:rPr>
          <w:rFonts w:hint="eastAsia" w:ascii="Times New Roman Regular" w:hAnsi="Times New Roman Regular" w:eastAsia="宋体" w:cs="Times New Roman Regular"/>
          <w:color w:val="auto"/>
          <w:spacing w:val="7"/>
          <w:highlight w:val="none"/>
        </w:rPr>
        <w:t xml:space="preserve">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522"/>
        <w:ind w:firstLine="499"/>
        <w:keepLines w:val="0"/>
        <w:keepNext w:val="0"/>
        <w:pageBreakBefore w:val="0"/>
        <w:spacing w:line="360" w:lineRule="auto"/>
        <w:widowControl/>
        <w:rPr>
          <w:rFonts w:hint="eastAsia" w:ascii="Times New Roman Regular" w:hAnsi="Times New Roman Regular" w:eastAsia="宋体" w:cs="Times New Roman Regular"/>
          <w:color w:val="auto"/>
          <w:spacing w:val="7"/>
          <w:highlight w:val="none"/>
        </w:rPr>
      </w:pPr>
      <w:r>
        <w:rPr>
          <w:rFonts w:hint="eastAsia" w:ascii="Times New Roman Regular" w:hAnsi="Times New Roman Regular" w:eastAsia="宋体" w:cs="Times New Roman Regular"/>
          <w:color w:val="auto"/>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6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注意事项：</w:t>
      </w:r>
      <w:r/>
    </w:p>
    <w:p>
      <w:pPr>
        <w:ind w:firstLine="56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A、在项目实施过程中，涉及到与第三方系统对接的，由采购单位负责与第三方系统主管单位、第三方系统供应商沟通协调，确保第三方系统接口开放对接。</w:t>
      </w:r>
      <w:r/>
    </w:p>
    <w:p>
      <w:pPr>
        <w:ind w:firstLine="562"/>
        <w:spacing w:before="120" w:after="120"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二、技术要求</w:t>
      </w:r>
      <w:r/>
    </w:p>
    <w:tbl>
      <w:tblPr>
        <w:tblStyle w:val="954"/>
        <w:tblW w:w="5539" w:type="pct"/>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475"/>
        <w:gridCol w:w="8709"/>
      </w:tblGrid>
      <w:tr>
        <w:trPr>
          <w:cantSplit/>
          <w:trHeight w:val="415"/>
        </w:trPr>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内容</w:t>
            </w:r>
            <w:r/>
          </w:p>
        </w:tc>
      </w:tr>
      <w:tr>
        <w:trPr>
          <w:cantSplit/>
          <w:trHeight w:val="415"/>
        </w:trPr>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pStyle w:val="1523"/>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pStyle w:val="1523"/>
              <w:ind w:firstLine="499"/>
              <w:spacing w:line="360" w:lineRule="auto"/>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2025</w:t>
            </w:r>
            <w:r>
              <w:rPr>
                <w:rFonts w:hint="eastAsia" w:ascii="宋体" w:hAnsi="宋体" w:eastAsia="宋体" w:cs="宋体"/>
                <w:color w:val="auto"/>
                <w:spacing w:val="7"/>
                <w:highlight w:val="none"/>
              </w:rPr>
              <w:t xml:space="preserve">年双山岛环岛监控采购服务项目总体需求：拟在张家港双山岛环岛各处布设59个</w:t>
            </w:r>
            <w:r>
              <w:rPr>
                <w:rFonts w:ascii="宋体" w:hAnsi="宋体" w:eastAsia="宋体" w:cs="宋体"/>
                <w:color w:val="auto"/>
                <w:spacing w:val="7"/>
                <w:highlight w:val="none"/>
              </w:rPr>
              <w:t xml:space="preserve">监控点位</w:t>
            </w:r>
            <w:r>
              <w:rPr>
                <w:rFonts w:hint="eastAsia" w:ascii="宋体" w:hAnsi="宋体" w:eastAsia="宋体" w:cs="宋体"/>
                <w:color w:val="auto"/>
                <w:spacing w:val="7"/>
                <w:highlight w:val="none"/>
              </w:rPr>
              <w:t xml:space="preserve">（6</w:t>
            </w:r>
            <w:r>
              <w:rPr>
                <w:rFonts w:ascii="宋体" w:hAnsi="宋体" w:eastAsia="宋体" w:cs="宋体"/>
                <w:color w:val="auto"/>
                <w:spacing w:val="7"/>
                <w:highlight w:val="none"/>
              </w:rPr>
              <w:t xml:space="preserve">4</w:t>
            </w:r>
            <w:r>
              <w:rPr>
                <w:rFonts w:hint="eastAsia" w:ascii="宋体" w:hAnsi="宋体" w:eastAsia="宋体" w:cs="宋体"/>
                <w:color w:val="auto"/>
                <w:spacing w:val="7"/>
                <w:highlight w:val="none"/>
              </w:rPr>
              <w:t xml:space="preserve">个摄像头）</w:t>
            </w:r>
            <w:r>
              <w:rPr>
                <w:rFonts w:ascii="宋体" w:hAnsi="宋体" w:eastAsia="宋体" w:cs="宋体"/>
                <w:color w:val="auto"/>
                <w:spacing w:val="7"/>
                <w:highlight w:val="none"/>
              </w:rPr>
              <w:t xml:space="preserve">，</w:t>
            </w:r>
            <w:r>
              <w:rPr>
                <w:rFonts w:ascii="宋体" w:hAnsi="宋体" w:eastAsia="宋体" w:cs="宋体"/>
                <w:b/>
                <w:bCs/>
                <w:color w:val="auto"/>
                <w:spacing w:val="7"/>
                <w:highlight w:val="none"/>
              </w:rPr>
              <w:t xml:space="preserve">含治安监控（需按要求接入公安网络）和景区管理监控</w:t>
            </w:r>
            <w:r>
              <w:rPr>
                <w:rFonts w:hint="eastAsia" w:ascii="宋体" w:hAnsi="宋体" w:eastAsia="宋体" w:cs="宋体"/>
                <w:b/>
                <w:bCs/>
                <w:color w:val="auto"/>
                <w:spacing w:val="7"/>
                <w:highlight w:val="none"/>
                <w:lang w:eastAsia="zh-CN"/>
              </w:rPr>
              <w:t xml:space="preserve">（</w:t>
            </w:r>
            <w:r>
              <w:rPr>
                <w:rFonts w:hint="eastAsia" w:ascii="宋体" w:hAnsi="宋体" w:eastAsia="宋体" w:cs="宋体"/>
                <w:b/>
                <w:bCs/>
                <w:color w:val="auto"/>
                <w:spacing w:val="7"/>
                <w:highlight w:val="none"/>
                <w:lang w:val="en-US" w:eastAsia="zh-CN"/>
              </w:rPr>
              <w:t xml:space="preserve">需接入管理平台</w:t>
            </w:r>
            <w:r>
              <w:rPr>
                <w:rFonts w:hint="eastAsia" w:ascii="宋体" w:hAnsi="宋体" w:eastAsia="宋体" w:cs="宋体"/>
                <w:b/>
                <w:bCs/>
                <w:color w:val="auto"/>
                <w:spacing w:val="7"/>
                <w:highlight w:val="none"/>
                <w:lang w:eastAsia="zh-CN"/>
              </w:rPr>
              <w:t xml:space="preserve">）</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布设</w:t>
            </w: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8</w:t>
            </w:r>
            <w:r>
              <w:rPr>
                <w:rFonts w:ascii="宋体" w:hAnsi="宋体" w:eastAsia="宋体" w:cs="宋体"/>
                <w:color w:val="auto"/>
                <w:spacing w:val="7"/>
                <w:highlight w:val="none"/>
              </w:rPr>
              <w:t xml:space="preserve">个应急广播和</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3个智慧音柱点位。采购内容主要含电线、光缆布设</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管理平台建设</w:t>
            </w:r>
            <w:r>
              <w:rPr>
                <w:rFonts w:ascii="宋体" w:hAnsi="宋体" w:eastAsia="宋体" w:cs="宋体"/>
                <w:color w:val="auto"/>
                <w:spacing w:val="7"/>
                <w:highlight w:val="none"/>
              </w:rPr>
              <w:t xml:space="preserve">及立杆等配套设施建设；</w:t>
            </w:r>
            <w:r>
              <w:rPr>
                <w:rFonts w:hint="eastAsia" w:ascii="宋体" w:hAnsi="宋体" w:eastAsia="宋体" w:cs="宋体"/>
                <w:color w:val="auto"/>
                <w:spacing w:val="7"/>
                <w:highlight w:val="none"/>
              </w:rPr>
              <w:t xml:space="preserve">支持部分AI算法，人员越过预制警戒线，前端监控触发报警信息至平台，平台及时将信息发送至相关工作人员移动端，并将现场实时画面弹窗显示在消控室电视墙上</w:t>
            </w:r>
            <w:r>
              <w:rPr>
                <w:rFonts w:hint="eastAsia" w:ascii="宋体" w:hAnsi="宋体" w:eastAsia="宋体" w:cs="宋体"/>
                <w:color w:val="auto"/>
                <w:spacing w:val="7"/>
                <w:highlight w:val="none"/>
                <w:lang w:eastAsia="zh-CN"/>
              </w:rPr>
              <w:t xml:space="preserve">，机房位于江岛花苑网格办公室</w:t>
            </w:r>
            <w:r>
              <w:rPr>
                <w:rFonts w:hint="eastAsia" w:ascii="宋体" w:hAnsi="宋体" w:eastAsia="宋体" w:cs="宋体"/>
                <w:color w:val="auto"/>
                <w:spacing w:val="7"/>
                <w:highlight w:val="none"/>
              </w:rPr>
              <w:t xml:space="preserve">。</w:t>
            </w:r>
            <w:r/>
          </w:p>
          <w:p>
            <w:pPr>
              <w:pStyle w:val="1523"/>
              <w:ind w:firstLine="499"/>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点位如下图：</w:t>
            </w:r>
            <w:r/>
          </w:p>
          <w:p>
            <w:pPr>
              <w:pStyle w:val="1523"/>
              <w:jc w:val="both"/>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mc:AlternateContent>
                <mc:Choice Requires="wpg">
                  <w:drawing>
                    <wp:inline xmlns:wp="http://schemas.openxmlformats.org/drawingml/2006/wordprocessingDrawing" distT="0" distB="0" distL="0" distR="0">
                      <wp:extent cx="5048885" cy="2804795"/>
                      <wp:effectExtent l="0" t="0" r="18415" b="14604"/>
                      <wp:docPr id="6" name="图片 3" descr="c8e6eaed809ad347c613fbcf5b498b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8e6eaed809ad347c613fbcf5b498b4b"/>
                              <pic:cNvPicPr>
                                <a:picLocks noChangeAspect="1"/>
                              </pic:cNvPicPr>
                              <pic:nvPr/>
                            </pic:nvPicPr>
                            <pic:blipFill>
                              <a:blip r:embed="rId22"/>
                              <a:stretch/>
                            </pic:blipFill>
                            <pic:spPr bwMode="auto">
                              <a:xfrm>
                                <a:off x="0" y="0"/>
                                <a:ext cx="5048885" cy="2804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7.5pt;height:220.8pt;mso-wrap-distance-left:0.0pt;mso-wrap-distance-top:0.0pt;mso-wrap-distance-right:0.0pt;mso-wrap-distance-bottom:0.0pt;" stroked="false">
                      <v:path textboxrect="0,0,0,0"/>
                      <v:imagedata r:id="rId22" o:title=""/>
                    </v:shape>
                  </w:pict>
                </mc:Fallback>
              </mc:AlternateContent>
            </w:r>
            <w:r/>
          </w:p>
          <w:p>
            <w:pPr>
              <w:pStyle w:val="1523"/>
              <w:ind w:firstLine="499"/>
              <w:spacing w:line="360" w:lineRule="auto"/>
              <w:rPr>
                <w:rFonts w:hint="eastAsia" w:ascii="宋体" w:hAnsi="宋体" w:eastAsia="宋体" w:cs="宋体"/>
                <w:color w:val="auto"/>
                <w:highlight w:val="none"/>
              </w:rPr>
            </w:pPr>
            <w:r>
              <w:rPr>
                <w:rFonts w:hint="eastAsia" w:ascii="宋体" w:hAnsi="宋体" w:eastAsia="宋体" w:cs="宋体"/>
                <w:color w:val="auto"/>
                <w:spacing w:val="7"/>
                <w:highlight w:val="none"/>
              </w:rPr>
              <mc:AlternateContent>
                <mc:Choice Requires="wpg">
                  <w:drawing>
                    <wp:inline xmlns:wp="http://schemas.openxmlformats.org/drawingml/2006/wordprocessingDrawing" distT="0" distB="0" distL="0" distR="0">
                      <wp:extent cx="4664710" cy="3427095"/>
                      <wp:effectExtent l="0" t="0" r="2540" b="1905"/>
                      <wp:docPr id="7" name="图片 2" descr="00bdb5e1faed0361d9f0c8a90e3c69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0bdb5e1faed0361d9f0c8a90e3c698b"/>
                              <pic:cNvPicPr>
                                <a:picLocks noChangeAspect="1"/>
                              </pic:cNvPicPr>
                              <pic:nvPr/>
                            </pic:nvPicPr>
                            <pic:blipFill>
                              <a:blip r:embed="rId23"/>
                              <a:stretch/>
                            </pic:blipFill>
                            <pic:spPr bwMode="auto">
                              <a:xfrm>
                                <a:off x="0" y="0"/>
                                <a:ext cx="4664710" cy="3427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67.3pt;height:269.8pt;mso-wrap-distance-left:0.0pt;mso-wrap-distance-top:0.0pt;mso-wrap-distance-right:0.0pt;mso-wrap-distance-bottom:0.0pt;" stroked="false">
                      <v:path textboxrect="0,0,0,0"/>
                      <v:imagedata r:id="rId23" o:title=""/>
                    </v:shape>
                  </w:pict>
                </mc:Fallback>
              </mc:AlternateContent>
            </w:r>
            <w:r/>
          </w:p>
        </w:tc>
      </w:tr>
      <w:tr>
        <w:trPr>
          <w:cantSplit/>
          <w:trHeight w:val="415"/>
        </w:trPr>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pStyle w:val="1523"/>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主要设备清单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pStyle w:val="1523"/>
              <w:numPr>
                <w:ilvl w:val="0"/>
                <w:numId w:val="0"/>
              </w:numPr>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1.</w:t>
            </w:r>
            <w:r>
              <w:rPr>
                <w:rFonts w:ascii="宋体" w:hAnsi="宋体" w:eastAsia="宋体" w:cs="宋体"/>
                <w:color w:val="auto"/>
                <w:spacing w:val="7"/>
                <w:highlight w:val="none"/>
              </w:rPr>
              <w:t xml:space="preserve">智能双摄</w:t>
            </w:r>
            <w:r>
              <w:rPr>
                <w:rFonts w:hint="eastAsia" w:ascii="宋体" w:hAnsi="宋体" w:eastAsia="宋体" w:cs="宋体"/>
                <w:color w:val="auto"/>
                <w:spacing w:val="7"/>
                <w:highlight w:val="none"/>
              </w:rPr>
              <w:t xml:space="preserve">球机</w:t>
            </w:r>
            <w:r>
              <w:rPr>
                <w:rFonts w:ascii="宋体" w:hAnsi="宋体" w:eastAsia="宋体" w:cs="宋体"/>
                <w:color w:val="auto"/>
                <w:spacing w:val="7"/>
                <w:highlight w:val="none"/>
              </w:rPr>
              <w:tab/>
            </w:r>
            <w:r>
              <w:rPr>
                <w:rFonts w:hint="eastAsia" w:ascii="宋体" w:hAnsi="宋体" w:eastAsia="宋体" w:cs="宋体"/>
                <w:color w:val="auto"/>
                <w:spacing w:val="7"/>
                <w:highlight w:val="none"/>
              </w:rPr>
              <w:t xml:space="preserve">  </w:t>
            </w:r>
            <w:r>
              <w:rPr>
                <w:rFonts w:ascii="宋体" w:hAnsi="宋体" w:eastAsia="宋体" w:cs="宋体"/>
                <w:color w:val="auto"/>
                <w:spacing w:val="7"/>
                <w:highlight w:val="none"/>
              </w:rPr>
              <w:t xml:space="preserve">28</w:t>
            </w:r>
            <w:r>
              <w:rPr>
                <w:rFonts w:hint="eastAsia" w:ascii="宋体" w:hAnsi="宋体" w:eastAsia="宋体" w:cs="宋体"/>
                <w:color w:val="auto"/>
                <w:spacing w:val="7"/>
                <w:highlight w:val="none"/>
              </w:rPr>
              <w:t xml:space="preserve">台</w:t>
            </w:r>
            <w:r>
              <w:rPr>
                <w:rFonts w:ascii="宋体" w:hAnsi="宋体" w:eastAsia="宋体" w:cs="宋体"/>
                <w:color w:val="auto"/>
                <w:spacing w:val="7"/>
                <w:highlight w:val="none"/>
              </w:rPr>
              <w:t xml:space="preserve"> </w:t>
            </w:r>
            <w:r/>
          </w:p>
          <w:p>
            <w:pPr>
              <w:pStyle w:val="1523"/>
              <w:numPr>
                <w:ilvl w:val="0"/>
                <w:numId w:val="0"/>
              </w:numPr>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2.</w:t>
            </w:r>
            <w:r>
              <w:rPr>
                <w:rFonts w:ascii="宋体" w:hAnsi="宋体" w:eastAsia="宋体" w:cs="宋体"/>
                <w:color w:val="auto"/>
                <w:spacing w:val="7"/>
                <w:highlight w:val="none"/>
              </w:rPr>
              <w:t xml:space="preserve">筒型网络摄像机（枪机）</w:t>
            </w:r>
            <w:r>
              <w:rPr>
                <w:rFonts w:ascii="宋体" w:hAnsi="宋体" w:eastAsia="宋体" w:cs="宋体"/>
                <w:color w:val="auto"/>
                <w:spacing w:val="7"/>
                <w:highlight w:val="none"/>
              </w:rPr>
              <w:tab/>
            </w:r>
            <w:r>
              <w:rPr>
                <w:rFonts w:hint="eastAsia" w:ascii="宋体" w:hAnsi="宋体" w:eastAsia="宋体" w:cs="宋体"/>
                <w:color w:val="auto"/>
                <w:spacing w:val="7"/>
                <w:highlight w:val="none"/>
              </w:rPr>
              <w:t xml:space="preserve">  </w:t>
            </w:r>
            <w:r>
              <w:rPr>
                <w:rFonts w:ascii="宋体" w:hAnsi="宋体" w:eastAsia="宋体" w:cs="宋体"/>
                <w:color w:val="auto"/>
                <w:spacing w:val="7"/>
                <w:highlight w:val="none"/>
              </w:rPr>
              <w:t xml:space="preserve">28</w:t>
            </w:r>
            <w:r>
              <w:rPr>
                <w:rFonts w:hint="eastAsia" w:ascii="宋体" w:hAnsi="宋体" w:eastAsia="宋体" w:cs="宋体"/>
                <w:color w:val="auto"/>
                <w:spacing w:val="7"/>
                <w:highlight w:val="none"/>
              </w:rPr>
              <w:t xml:space="preserve">台</w:t>
            </w:r>
            <w:r>
              <w:rPr>
                <w:rFonts w:ascii="宋体" w:hAnsi="宋体" w:eastAsia="宋体" w:cs="宋体"/>
                <w:color w:val="auto"/>
                <w:spacing w:val="7"/>
                <w:highlight w:val="none"/>
              </w:rPr>
              <w:t xml:space="preserve"> </w:t>
            </w:r>
            <w:r/>
          </w:p>
          <w:p>
            <w:pPr>
              <w:pStyle w:val="1523"/>
              <w:numPr>
                <w:ilvl w:val="0"/>
                <w:numId w:val="0"/>
              </w:numPr>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3.</w:t>
            </w:r>
            <w:r>
              <w:rPr>
                <w:rFonts w:ascii="宋体" w:hAnsi="宋体" w:eastAsia="宋体" w:cs="宋体"/>
                <w:color w:val="auto"/>
                <w:spacing w:val="7"/>
                <w:highlight w:val="none"/>
              </w:rPr>
              <w:t xml:space="preserve">智能球型摄像机（</w:t>
            </w:r>
            <w:r>
              <w:rPr>
                <w:rFonts w:hint="eastAsia" w:ascii="宋体" w:hAnsi="宋体" w:eastAsia="宋体" w:cs="宋体"/>
                <w:color w:val="auto"/>
                <w:spacing w:val="7"/>
                <w:highlight w:val="none"/>
              </w:rPr>
              <w:t xml:space="preserve">全景</w:t>
            </w:r>
            <w:r>
              <w:rPr>
                <w:rFonts w:ascii="宋体" w:hAnsi="宋体" w:eastAsia="宋体" w:cs="宋体"/>
                <w:color w:val="auto"/>
                <w:spacing w:val="7"/>
                <w:highlight w:val="none"/>
              </w:rPr>
              <w:t xml:space="preserve">摄像机）</w:t>
            </w:r>
            <w:r>
              <w:rPr>
                <w:rFonts w:ascii="宋体" w:hAnsi="宋体" w:eastAsia="宋体" w:cs="宋体"/>
                <w:color w:val="auto"/>
                <w:spacing w:val="7"/>
                <w:highlight w:val="none"/>
              </w:rPr>
              <w:tab/>
            </w:r>
            <w:r>
              <w:rPr>
                <w:rFonts w:hint="eastAsia" w:ascii="宋体" w:hAnsi="宋体" w:eastAsia="宋体" w:cs="宋体"/>
                <w:color w:val="auto"/>
                <w:spacing w:val="7"/>
                <w:highlight w:val="none"/>
              </w:rPr>
              <w:t xml:space="preserve"> </w:t>
            </w:r>
            <w:r>
              <w:rPr>
                <w:rFonts w:ascii="宋体" w:hAnsi="宋体" w:eastAsia="宋体" w:cs="宋体"/>
                <w:color w:val="auto"/>
                <w:spacing w:val="7"/>
                <w:highlight w:val="none"/>
              </w:rPr>
              <w:t xml:space="preserve">6</w:t>
            </w:r>
            <w:r>
              <w:rPr>
                <w:rFonts w:hint="eastAsia" w:ascii="宋体" w:hAnsi="宋体" w:eastAsia="宋体" w:cs="宋体"/>
                <w:color w:val="auto"/>
                <w:spacing w:val="7"/>
                <w:highlight w:val="none"/>
              </w:rPr>
              <w:t xml:space="preserve">台</w:t>
            </w:r>
            <w:r/>
          </w:p>
          <w:p>
            <w:pPr>
              <w:pStyle w:val="1523"/>
              <w:numPr>
                <w:ilvl w:val="0"/>
                <w:numId w:val="0"/>
              </w:numPr>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4.</w:t>
            </w:r>
            <w:r>
              <w:rPr>
                <w:rFonts w:ascii="宋体" w:hAnsi="宋体" w:eastAsia="宋体" w:cs="宋体"/>
                <w:color w:val="auto"/>
                <w:spacing w:val="7"/>
                <w:highlight w:val="none"/>
              </w:rPr>
              <w:t xml:space="preserve">智能球型摄像机（违停抓拍）</w:t>
            </w:r>
            <w:r>
              <w:rPr>
                <w:rFonts w:ascii="宋体" w:hAnsi="宋体" w:eastAsia="宋体" w:cs="宋体"/>
                <w:color w:val="auto"/>
                <w:spacing w:val="7"/>
                <w:highlight w:val="none"/>
              </w:rPr>
              <w:tab/>
            </w:r>
            <w:r>
              <w:rPr>
                <w:rFonts w:hint="eastAsia" w:ascii="宋体" w:hAnsi="宋体" w:eastAsia="宋体" w:cs="宋体"/>
                <w:color w:val="auto"/>
                <w:spacing w:val="7"/>
                <w:highlight w:val="none"/>
              </w:rPr>
              <w:t xml:space="preserve"> </w:t>
            </w:r>
            <w:r>
              <w:rPr>
                <w:rFonts w:ascii="宋体" w:hAnsi="宋体" w:eastAsia="宋体" w:cs="宋体"/>
                <w:color w:val="auto"/>
                <w:spacing w:val="7"/>
                <w:highlight w:val="none"/>
              </w:rPr>
              <w:t xml:space="preserve">1</w:t>
            </w:r>
            <w:r>
              <w:rPr>
                <w:rFonts w:hint="eastAsia" w:ascii="宋体" w:hAnsi="宋体" w:eastAsia="宋体" w:cs="宋体"/>
                <w:color w:val="auto"/>
                <w:spacing w:val="7"/>
                <w:highlight w:val="none"/>
              </w:rPr>
              <w:t xml:space="preserve">台</w:t>
            </w:r>
            <w:r/>
          </w:p>
          <w:p>
            <w:pPr>
              <w:pStyle w:val="1523"/>
              <w:numPr>
                <w:ilvl w:val="0"/>
                <w:numId w:val="0"/>
              </w:numPr>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5.</w:t>
            </w:r>
            <w:r>
              <w:rPr>
                <w:rFonts w:ascii="宋体" w:hAnsi="宋体" w:eastAsia="宋体" w:cs="宋体"/>
                <w:color w:val="auto"/>
                <w:spacing w:val="7"/>
                <w:highlight w:val="none"/>
              </w:rPr>
              <w:t xml:space="preserve">高清抓拍</w:t>
            </w:r>
            <w:r>
              <w:rPr>
                <w:rFonts w:hint="eastAsia" w:ascii="宋体" w:hAnsi="宋体" w:eastAsia="宋体" w:cs="宋体"/>
                <w:color w:val="auto"/>
                <w:spacing w:val="7"/>
                <w:highlight w:val="none"/>
              </w:rPr>
              <w:t xml:space="preserve">摄像机</w:t>
            </w:r>
            <w:r>
              <w:rPr>
                <w:rFonts w:ascii="宋体" w:hAnsi="宋体" w:eastAsia="宋体" w:cs="宋体"/>
                <w:color w:val="auto"/>
                <w:spacing w:val="7"/>
                <w:highlight w:val="none"/>
              </w:rPr>
              <w:t xml:space="preserve">（枪机）</w:t>
            </w:r>
            <w:r>
              <w:rPr>
                <w:rFonts w:ascii="宋体" w:hAnsi="宋体" w:eastAsia="宋体" w:cs="宋体"/>
                <w:color w:val="auto"/>
                <w:spacing w:val="7"/>
                <w:highlight w:val="none"/>
              </w:rPr>
              <w:tab/>
            </w:r>
            <w:r>
              <w:rPr>
                <w:rFonts w:ascii="宋体" w:hAnsi="宋体" w:eastAsia="宋体" w:cs="宋体"/>
                <w:color w:val="auto"/>
                <w:spacing w:val="7"/>
                <w:highlight w:val="none"/>
              </w:rPr>
              <w:t xml:space="preserve">1</w:t>
            </w:r>
            <w:r>
              <w:rPr>
                <w:rFonts w:hint="eastAsia" w:ascii="宋体" w:hAnsi="宋体" w:eastAsia="宋体" w:cs="宋体"/>
                <w:color w:val="auto"/>
                <w:spacing w:val="7"/>
                <w:highlight w:val="none"/>
              </w:rPr>
              <w:t xml:space="preserve">台</w:t>
            </w:r>
            <w:r/>
          </w:p>
          <w:p>
            <w:pPr>
              <w:pStyle w:val="1523"/>
              <w:numPr>
                <w:ilvl w:val="0"/>
                <w:numId w:val="0"/>
              </w:numPr>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6.</w:t>
            </w:r>
            <w:r>
              <w:rPr>
                <w:rFonts w:ascii="宋体" w:hAnsi="宋体" w:eastAsia="宋体" w:cs="宋体"/>
                <w:color w:val="auto"/>
                <w:spacing w:val="7"/>
                <w:highlight w:val="none"/>
              </w:rPr>
              <w:t xml:space="preserve">应急广播</w:t>
            </w:r>
            <w:r>
              <w:rPr>
                <w:rFonts w:ascii="宋体" w:hAnsi="宋体" w:eastAsia="宋体" w:cs="宋体"/>
                <w:color w:val="auto"/>
                <w:spacing w:val="7"/>
                <w:highlight w:val="none"/>
              </w:rPr>
              <w:tab/>
            </w:r>
            <w:r>
              <w:rPr>
                <w:rFonts w:ascii="宋体" w:hAnsi="宋体" w:eastAsia="宋体" w:cs="宋体"/>
                <w:color w:val="auto"/>
                <w:spacing w:val="7"/>
                <w:highlight w:val="none"/>
              </w:rPr>
              <w:t xml:space="preserve">28</w:t>
            </w:r>
            <w:r>
              <w:rPr>
                <w:rFonts w:hint="eastAsia" w:ascii="宋体" w:hAnsi="宋体" w:eastAsia="宋体" w:cs="宋体"/>
                <w:color w:val="auto"/>
                <w:spacing w:val="7"/>
                <w:highlight w:val="none"/>
              </w:rPr>
              <w:t xml:space="preserve">台</w:t>
            </w:r>
            <w:r/>
          </w:p>
          <w:p>
            <w:pPr>
              <w:pStyle w:val="1523"/>
              <w:numPr>
                <w:ilvl w:val="0"/>
                <w:numId w:val="0"/>
              </w:numPr>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7</w:t>
            </w:r>
            <w:r>
              <w:rPr>
                <w:rFonts w:hint="eastAsia" w:ascii="宋体" w:hAnsi="宋体" w:eastAsia="宋体" w:cs="宋体"/>
                <w:color w:val="auto"/>
                <w:spacing w:val="7"/>
                <w:sz w:val="21"/>
                <w:szCs w:val="21"/>
                <w:highlight w:val="none"/>
                <w:lang w:val="en-US" w:eastAsia="zh-CN" w:bidi="ar-SA"/>
              </w:rPr>
              <w:t xml:space="preserve">.</w:t>
            </w:r>
            <w:r>
              <w:rPr>
                <w:rFonts w:ascii="宋体" w:hAnsi="宋体" w:eastAsia="宋体" w:cs="宋体"/>
                <w:color w:val="auto"/>
                <w:spacing w:val="7"/>
                <w:highlight w:val="none"/>
              </w:rPr>
              <w:t xml:space="preserve">智慧音柱</w:t>
            </w:r>
            <w:r>
              <w:rPr>
                <w:rFonts w:ascii="宋体" w:hAnsi="宋体" w:eastAsia="宋体" w:cs="宋体"/>
                <w:color w:val="auto"/>
                <w:spacing w:val="7"/>
                <w:highlight w:val="none"/>
              </w:rPr>
              <w:tab/>
            </w:r>
            <w:r>
              <w:rPr>
                <w:rFonts w:ascii="宋体" w:hAnsi="宋体" w:eastAsia="宋体" w:cs="宋体"/>
                <w:color w:val="auto"/>
                <w:spacing w:val="7"/>
                <w:highlight w:val="none"/>
              </w:rPr>
              <w:t xml:space="preserve">23</w:t>
            </w:r>
            <w:r>
              <w:rPr>
                <w:rFonts w:hint="eastAsia" w:ascii="宋体" w:hAnsi="宋体" w:eastAsia="宋体" w:cs="宋体"/>
                <w:color w:val="auto"/>
                <w:spacing w:val="7"/>
                <w:highlight w:val="none"/>
              </w:rPr>
              <w:t xml:space="preserve">台</w:t>
            </w:r>
            <w:r>
              <w:rPr>
                <w:rFonts w:ascii="宋体" w:hAnsi="宋体" w:eastAsia="宋体" w:cs="宋体"/>
                <w:color w:val="auto"/>
                <w:spacing w:val="7"/>
                <w:highlight w:val="none"/>
              </w:rPr>
              <w:t xml:space="preserve"> </w:t>
            </w:r>
            <w:r/>
          </w:p>
          <w:p>
            <w:pPr>
              <w:pStyle w:val="1523"/>
              <w:numPr>
                <w:ilvl w:val="0"/>
                <w:numId w:val="0"/>
              </w:numPr>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8.</w:t>
            </w:r>
            <w:r>
              <w:rPr>
                <w:rFonts w:ascii="宋体" w:hAnsi="宋体" w:eastAsia="宋体" w:cs="宋体"/>
                <w:color w:val="auto"/>
                <w:spacing w:val="7"/>
                <w:highlight w:val="none"/>
              </w:rPr>
              <w:t xml:space="preserve">录像机</w:t>
            </w:r>
            <w:r>
              <w:rPr>
                <w:rFonts w:ascii="宋体" w:hAnsi="宋体" w:eastAsia="宋体" w:cs="宋体"/>
                <w:color w:val="auto"/>
                <w:spacing w:val="7"/>
                <w:highlight w:val="none"/>
              </w:rPr>
              <w:tab/>
            </w:r>
            <w:r>
              <w:rPr>
                <w:rFonts w:hint="eastAsia" w:ascii="宋体" w:hAnsi="宋体" w:eastAsia="宋体" w:cs="宋体"/>
                <w:color w:val="auto"/>
                <w:spacing w:val="7"/>
                <w:highlight w:val="none"/>
              </w:rPr>
              <w:t xml:space="preserve"> </w:t>
            </w: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台</w:t>
            </w:r>
            <w:r>
              <w:rPr>
                <w:rFonts w:ascii="宋体" w:hAnsi="宋体" w:eastAsia="宋体" w:cs="宋体"/>
                <w:color w:val="auto"/>
                <w:spacing w:val="7"/>
                <w:highlight w:val="none"/>
              </w:rPr>
              <w:t xml:space="preserve"> </w:t>
            </w:r>
            <w:r/>
          </w:p>
          <w:p>
            <w:pPr>
              <w:pStyle w:val="1523"/>
              <w:numPr>
                <w:ilvl w:val="0"/>
                <w:numId w:val="0"/>
              </w:numPr>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sz w:val="24"/>
                <w:szCs w:val="24"/>
                <w:highlight w:val="none"/>
                <w:lang w:val="en-US" w:eastAsia="zh-CN" w:bidi="ar-SA"/>
              </w:rPr>
              <w:t xml:space="preserve">9.</w:t>
            </w:r>
            <w:r>
              <w:rPr>
                <w:rFonts w:hint="eastAsia" w:ascii="宋体" w:hAnsi="宋体" w:eastAsia="宋体" w:cs="宋体"/>
                <w:color w:val="auto"/>
                <w:spacing w:val="7"/>
                <w:highlight w:val="none"/>
              </w:rPr>
              <w:t xml:space="preserve">监控管理平台</w:t>
            </w:r>
            <w:r>
              <w:rPr>
                <w:rFonts w:ascii="宋体" w:hAnsi="宋体" w:eastAsia="宋体" w:cs="宋体"/>
                <w:color w:val="auto"/>
                <w:spacing w:val="7"/>
                <w:highlight w:val="none"/>
              </w:rPr>
              <w:tab/>
            </w:r>
            <w:r>
              <w:rPr>
                <w:rFonts w:ascii="宋体" w:hAnsi="宋体" w:eastAsia="宋体" w:cs="宋体"/>
                <w:color w:val="auto"/>
                <w:spacing w:val="7"/>
                <w:highlight w:val="none"/>
              </w:rPr>
              <w:t xml:space="preserve">1</w:t>
            </w:r>
            <w:r>
              <w:rPr>
                <w:rFonts w:hint="eastAsia" w:ascii="宋体" w:hAnsi="宋体" w:eastAsia="宋体" w:cs="宋体"/>
                <w:color w:val="auto"/>
                <w:spacing w:val="7"/>
                <w:highlight w:val="none"/>
              </w:rPr>
              <w:t xml:space="preserve">套</w:t>
            </w:r>
            <w:r/>
          </w:p>
        </w:tc>
      </w:tr>
      <w:tr>
        <w:trPr>
          <w:cantSplit/>
        </w:trPr>
        <w:tc>
          <w:tcPr>
            <w:tcBorders>
              <w:top w:val="single" w:color="000000" w:sz="2" w:space="0"/>
              <w:left w:val="single" w:color="000000" w:sz="2" w:space="0"/>
              <w:right w:val="single" w:color="000000" w:sz="2" w:space="0"/>
            </w:tcBorders>
            <w:tcMar>
              <w:top w:w="100" w:type="dxa"/>
              <w:bottom w:w="100" w:type="dxa"/>
            </w:tcMar>
            <w:tcW w:w="346" w:type="pct"/>
            <w:vAlign w:val="center"/>
            <w:vMerge w:val="restart"/>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2" w:space="0"/>
              <w:left w:val="single" w:color="000000" w:sz="2" w:space="0"/>
              <w:right w:val="single" w:color="000000" w:sz="2" w:space="0"/>
            </w:tcBorders>
            <w:tcMar>
              <w:top w:w="100" w:type="dxa"/>
              <w:bottom w:w="100" w:type="dxa"/>
            </w:tcMar>
            <w:tcW w:w="674" w:type="pct"/>
            <w:vAlign w:val="center"/>
            <w:vMerge w:val="restart"/>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技术规范</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性能应满足相关产品国家、江苏省及苏州市现行标准和设计的要求。包括但不限于以下规范、规程要求：</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1</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《安全防范工程技术规范》GB 50348-2004。</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2</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《视频安防监控系统技术要求》GA/T367-2001。</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3</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《安全防范系统验收规则》GA 308-2001。</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4</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《安全防范视频监控联网系统信息传输、交换、控制技术要求》GB/T 28181-2016。</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5</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《IEEE 802.3千兆以太网标准规范》。</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6</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《信息安全技术 路由器安全技术要求》GB/T 18018-2007。</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7</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《计算机信息系统 安全保护等级划分准则》GB 17859-1999。</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8</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《系统接地的型式及安全技术要求》GB 14050-2008。</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9</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《建筑物防雷设计规范》GB 50057-2010。</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10</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《全省公安机关道路监控网“3•20”工程建设规划及技术指导意见》</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11</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《全省“320工程”基础网络建设规范指导意见（试行）》</w:t>
            </w:r>
            <w:r/>
          </w:p>
          <w:p>
            <w:pPr>
              <w:ind w:firstLine="480"/>
              <w:jc w:val="left"/>
              <w:spacing w:line="360" w:lineRule="auto"/>
              <w:tabs>
                <w:tab w:val="left" w:pos="567"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12</w:t>
            </w:r>
            <w:r>
              <w:rPr>
                <w:rFonts w:hint="eastAsia" w:ascii="宋体" w:hAnsi="宋体" w:cs="宋体"/>
                <w:iCs/>
                <w:color w:val="auto"/>
                <w:sz w:val="24"/>
                <w:highlight w:val="none"/>
                <w:lang w:val="en-US" w:eastAsia="zh-CN"/>
              </w:rPr>
              <w:t xml:space="preserve">.</w:t>
            </w:r>
            <w:r>
              <w:rPr>
                <w:rFonts w:hint="eastAsia" w:ascii="宋体" w:hAnsi="宋体" w:cs="宋体"/>
                <w:iCs/>
                <w:color w:val="auto"/>
                <w:sz w:val="24"/>
                <w:highlight w:val="none"/>
              </w:rPr>
              <w:t xml:space="preserve">《苏州市公安机关治安监控系统建设规范》</w:t>
            </w:r>
            <w:r/>
          </w:p>
          <w:p>
            <w:pPr>
              <w:pStyle w:val="1398"/>
              <w:ind w:firstLine="480"/>
              <w:spacing w:line="360" w:lineRule="auto"/>
              <w:rPr>
                <w:rFonts w:hint="eastAsia" w:ascii="宋体" w:hAnsi="宋体"/>
                <w:color w:val="auto"/>
                <w:sz w:val="24"/>
                <w:highlight w:val="none"/>
              </w:rPr>
            </w:pPr>
            <w:r>
              <w:rPr>
                <w:rFonts w:hint="eastAsia" w:ascii="宋体" w:hAnsi="宋体"/>
                <w:iCs/>
                <w:color w:val="auto"/>
                <w:sz w:val="24"/>
                <w:highlight w:val="none"/>
              </w:rPr>
              <w:t xml:space="preserve">13</w:t>
            </w:r>
            <w:r>
              <w:rPr>
                <w:rFonts w:hint="eastAsia" w:ascii="宋体" w:hAnsi="宋体"/>
                <w:iCs/>
                <w:color w:val="auto"/>
                <w:sz w:val="24"/>
                <w:highlight w:val="none"/>
                <w:lang w:val="en-US" w:eastAsia="zh-CN"/>
              </w:rPr>
              <w:t xml:space="preserve">.</w:t>
            </w:r>
            <w:r>
              <w:rPr>
                <w:rFonts w:hint="eastAsia" w:ascii="宋体" w:hAnsi="宋体"/>
                <w:iCs/>
                <w:color w:val="auto"/>
                <w:sz w:val="24"/>
                <w:highlight w:val="none"/>
              </w:rPr>
              <w:t xml:space="preserve">《GA/T1400-2017 公安视频图像信息应用系统标准》</w:t>
            </w:r>
            <w:r/>
          </w:p>
        </w:tc>
      </w:tr>
      <w:tr>
        <w:trPr>
          <w:cantSplit/>
          <w:trHeight w:val="3324"/>
        </w:trPr>
        <w:tc>
          <w:tcPr>
            <w:tcBorders>
              <w:left w:val="single" w:color="000000" w:sz="2" w:space="0"/>
              <w:right w:val="single" w:color="000000" w:sz="2" w:space="0"/>
            </w:tcBorders>
            <w:tcMar>
              <w:top w:w="100" w:type="dxa"/>
              <w:bottom w:w="100" w:type="dxa"/>
            </w:tcMar>
            <w:tcW w:w="346" w:type="pct"/>
            <w:vAlign w:val="center"/>
            <w:vMerge w:val="continue"/>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674" w:type="pct"/>
            <w:vAlign w:val="center"/>
            <w:vMerge w:val="continue"/>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2"/>
              <w:jc w:val="left"/>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编码要求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系统平台内摄像机编号需采用GB28181标准进行编码，与张家港市公安局平台实施对接。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系统平台级联需采用GB28181编码对摄像机进行编码，且保证编码的唯一性与固定性，符合招标人给出的级联要求。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系统支持同时向5个以上GB28181平台级联推送功能，支持国内主流监控平台兼容接入功能。</w:t>
            </w:r>
            <w:r/>
          </w:p>
        </w:tc>
      </w:tr>
      <w:tr>
        <w:trPr>
          <w:cantSplit/>
        </w:trPr>
        <w:tc>
          <w:tcPr>
            <w:tcBorders>
              <w:left w:val="single" w:color="000000" w:sz="2" w:space="0"/>
              <w:bottom w:val="single" w:color="000000" w:sz="2" w:space="0"/>
              <w:right w:val="single" w:color="000000" w:sz="2" w:space="0"/>
            </w:tcBorders>
            <w:tcMar>
              <w:top w:w="100" w:type="dxa"/>
              <w:bottom w:w="100" w:type="dxa"/>
            </w:tcMar>
            <w:tcW w:w="346" w:type="pct"/>
            <w:vAlign w:val="center"/>
            <w:vMerge w:val="continue"/>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bottom w:val="single" w:color="000000" w:sz="2" w:space="0"/>
              <w:right w:val="single" w:color="000000" w:sz="2" w:space="0"/>
            </w:tcBorders>
            <w:tcMar>
              <w:top w:w="100" w:type="dxa"/>
              <w:bottom w:w="100" w:type="dxa"/>
            </w:tcMar>
            <w:tcW w:w="674" w:type="pct"/>
            <w:vAlign w:val="center"/>
            <w:vMerge w:val="continue"/>
            <w:textDirection w:val="lrTb"/>
            <w:noWrap w:val="false"/>
          </w:tcPr>
          <w:p>
            <w:pPr>
              <w:pStyle w:val="1523"/>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2"/>
              <w:jc w:val="left"/>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地址规划</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摄像机网络地址规划要保证唯一性、合理性、科学性。</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网络地址规划和使用要遵照招标人分配的地址段进行合理分配与使用。</w:t>
            </w:r>
            <w:r/>
          </w:p>
          <w:p>
            <w:pPr>
              <w:pStyle w:val="1398"/>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每台摄像机旁需悬挂20mm*80mm铝合金或不锈钢标识牌，采用耐候反光材料标识6位数设备编号，使用期内不得出现脱落、变色、翘皮现象。</w:t>
            </w:r>
            <w:r/>
          </w:p>
          <w:p>
            <w:pPr>
              <w:pStyle w:val="1398"/>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摄像机编号要分区域进行合理划分，易于系统维护与地图定位。</w:t>
            </w:r>
            <w:r/>
          </w:p>
        </w:tc>
      </w:tr>
      <w:tr>
        <w:trPr>
          <w:cantSplit/>
          <w:trHeight w:val="3754"/>
        </w:trPr>
        <w:tc>
          <w:tcPr>
            <w:tcBorders>
              <w:top w:val="single" w:color="000000" w:sz="2" w:space="0"/>
              <w:left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2" w:space="0"/>
              <w:left w:val="single" w:color="000000" w:sz="2" w:space="0"/>
              <w:right w:val="single" w:color="000000" w:sz="2" w:space="0"/>
            </w:tcBorders>
            <w:tcMar>
              <w:top w:w="100" w:type="dxa"/>
              <w:bottom w:w="100" w:type="dxa"/>
            </w:tcMar>
            <w:tcW w:w="674" w:type="pct"/>
            <w:vAlign w:val="center"/>
            <w:textDirection w:val="lrTb"/>
            <w:noWrap w:val="false"/>
          </w:tcPr>
          <w:p>
            <w:pPr>
              <w:pStyle w:val="1525"/>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（1）智能双摄球机</w:t>
            </w:r>
            <w:r/>
          </w:p>
          <w:p>
            <w:pPr>
              <w:pStyle w:val="1523"/>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不低于400万像素，全景摄像机分辨率不低于3680×1656，细节摄像机分辨率不低于2688×1520；</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2全景视频图像内置不少于2个镜头，光圈不小于F1.0，内置补光灯。细节视频图像内置不少于1个镜头，内置红外补光灯及白光灯，细节通道镜头最低照度：彩色≤0.0005lx，黑白≤0.0001lx；</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3摄像机内置镜头，支持不小于25倍光学变倍，镜头最大焦距不小于120mm；</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4支持水平旋转范围360°连续旋转，垂直旋转范围-20°~90°，全景通道可进行垂直旋转，旋转角度范围不低于12°，并可进行调节可设置300个预置位，8条巡航路径。支持预置位视频冻结功能；</w:t>
            </w:r>
            <w:r/>
          </w:p>
          <w:p>
            <w:pPr>
              <w:ind w:firstLine="480"/>
              <w:spacing w:line="360" w:lineRule="auto"/>
              <w:rPr>
                <w:rFonts w:hint="eastAsia" w:ascii="宋体" w:hAnsi="宋体" w:cs="宋体"/>
                <w:b/>
                <w:bCs/>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5具有 H.265、H.264、MJPEG设置选项；</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6内置不少于2颗GPU芯片，全景通道可输出两个镜头无缝拼接的全景图像，纵向拼接偏差像素不大于4个像素，全景画面水平视场角不小于190°，垂直视场角不小于80°；</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支持绊线入侵、区域入侵、穿越围栏、徘徊、物品遗留、物品搬移、快速移动、停车、人员聚集检测；支持联动跟踪；</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声音报警输出功能，可通过IE浏览器设置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设备可同时对行人、非机动车、机动车进行检测、跟踪、抓拍；</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可识别距设备15米处的人脸面部特征，30米处的数字牌，100m处的人体轮廓；</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具有2路报警输入、1路报警输出、1路音频输入、1路音频输出；</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外壳防护等级不低于IP67；</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支持在-30°C~55°C范围内功能应正常；</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全景通道支持人员密度检测功能，并可输出显示实时人数及拥堵等级，可通过IE浏览器或客户端软件根据人数和占空比配置密度等级。全景通道可对设定区域进行布防，当检测到目标时联动细节摄像机可对目标进行跟踪及报警，可对距离设备50m处发生的智能行为分析事件进行检测并给出报警提示（须提供第三方检验机构出具的具有CMA认证的检测合格的检测报告）  </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在设备上方使用手持喷淋装置对设备进行喷水操作，水流方向与水平方向夹角大于等于42°时，设备视窗应无水流直接接触（须提供第三方检验机构出具的具有CMA认证的检测合格的检测报告） </w:t>
            </w:r>
            <w:r/>
          </w:p>
        </w:tc>
      </w:tr>
      <w:tr>
        <w:trPr>
          <w:cantSplit/>
          <w:trHeight w:val="494"/>
        </w:trPr>
        <w:tc>
          <w:tcPr>
            <w:tcBorders>
              <w:left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left w:val="single" w:color="000000" w:sz="2" w:space="0"/>
              <w:right w:val="single" w:color="000000" w:sz="2" w:space="0"/>
            </w:tcBorders>
            <w:tcMar>
              <w:top w:w="100" w:type="dxa"/>
              <w:bottom w:w="100" w:type="dxa"/>
            </w:tcMar>
            <w:tcW w:w="674" w:type="pct"/>
            <w:vAlign w:val="center"/>
            <w:textDirection w:val="lrTb"/>
            <w:noWrap w:val="false"/>
          </w:tcPr>
          <w:p>
            <w:pPr>
              <w:pStyle w:val="1525"/>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（2）筒型网络摄像机（枪机）</w:t>
            </w:r>
            <w:r/>
          </w:p>
          <w:p>
            <w:pPr>
              <w:pStyle w:val="1523"/>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2.1</w:t>
            </w:r>
            <w:r>
              <w:rPr>
                <w:rFonts w:hint="eastAsia" w:ascii="宋体" w:hAnsi="宋体" w:cs="宋体"/>
                <w:color w:val="auto"/>
                <w:sz w:val="24"/>
                <w:highlight w:val="none"/>
              </w:rPr>
              <w:t xml:space="preserve">不低于400万像素，具有不小于1/1.8"靶面尺寸；</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2.2</w:t>
            </w:r>
            <w:r>
              <w:rPr>
                <w:rFonts w:hint="eastAsia" w:ascii="宋体" w:hAnsi="宋体" w:cs="宋体"/>
                <w:color w:val="auto"/>
                <w:sz w:val="24"/>
                <w:highlight w:val="none"/>
              </w:rPr>
              <w:t xml:space="preserve">最低照度彩色：0.0005lx；</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2.3</w:t>
            </w:r>
            <w:r>
              <w:rPr>
                <w:rFonts w:hint="eastAsia" w:ascii="宋体" w:hAnsi="宋体" w:cs="宋体"/>
                <w:color w:val="auto"/>
                <w:sz w:val="24"/>
                <w:highlight w:val="none"/>
              </w:rPr>
              <w:t xml:space="preserve">内置暖白光补光灯；</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2.4</w:t>
            </w:r>
            <w:r>
              <w:rPr>
                <w:rFonts w:hint="eastAsia" w:ascii="宋体" w:hAnsi="宋体" w:cs="宋体"/>
                <w:color w:val="auto"/>
                <w:sz w:val="24"/>
                <w:highlight w:val="none"/>
              </w:rPr>
              <w:t xml:space="preserve">白光灯闪烁时,可识别距离摄像机 30m 处人体轮廓；</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2.5</w:t>
            </w:r>
            <w:r>
              <w:rPr>
                <w:rFonts w:hint="eastAsia" w:ascii="宋体" w:hAnsi="宋体" w:cs="宋体"/>
                <w:color w:val="auto"/>
                <w:sz w:val="24"/>
                <w:highlight w:val="none"/>
              </w:rPr>
              <w:t xml:space="preserve">动态范围不小于106dB；</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2.6</w:t>
            </w:r>
            <w:r>
              <w:rPr>
                <w:rFonts w:hint="eastAsia" w:ascii="宋体" w:hAnsi="宋体" w:cs="宋体"/>
                <w:color w:val="auto"/>
                <w:sz w:val="24"/>
                <w:highlight w:val="none"/>
              </w:rPr>
              <w:t xml:space="preserve">具有 H.265、H.264、MJPEG设置选项；</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2.7</w:t>
            </w:r>
            <w:r>
              <w:rPr>
                <w:rFonts w:hint="eastAsia" w:ascii="宋体" w:hAnsi="宋体" w:cs="宋体"/>
                <w:color w:val="auto"/>
                <w:sz w:val="24"/>
                <w:highlight w:val="none"/>
              </w:rPr>
              <w:t xml:space="preserve">需支持IP66防尘防水；</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2.8</w:t>
            </w:r>
            <w:r>
              <w:rPr>
                <w:rFonts w:hint="eastAsia" w:ascii="宋体" w:hAnsi="宋体" w:cs="宋体"/>
                <w:color w:val="auto"/>
                <w:sz w:val="24"/>
                <w:highlight w:val="none"/>
              </w:rPr>
              <w:t xml:space="preserve">需支持DC12V供电，且在不小于DC12V±30%范围内变化时可以正常工作；</w:t>
            </w:r>
            <w:r/>
          </w:p>
          <w:p>
            <w:pPr>
              <w:ind w:firstLine="480"/>
              <w:spacing w:line="360" w:lineRule="auto"/>
              <w:rPr>
                <w:rFonts w:ascii="宋体" w:hAnsi="宋体" w:cs="宋体"/>
                <w:iCs/>
                <w:color w:val="auto"/>
                <w:sz w:val="24"/>
                <w:highlight w:val="none"/>
              </w:rPr>
            </w:pPr>
            <w:r>
              <w:rPr>
                <w:rFonts w:ascii="宋体" w:hAnsi="宋体" w:cs="宋体"/>
                <w:color w:val="auto"/>
                <w:sz w:val="24"/>
                <w:highlight w:val="none"/>
              </w:rPr>
              <w:t xml:space="preserve">2.9</w:t>
            </w:r>
            <w:r>
              <w:rPr>
                <w:rFonts w:hint="eastAsia" w:ascii="宋体" w:hAnsi="宋体" w:cs="宋体"/>
                <w:color w:val="auto"/>
                <w:sz w:val="24"/>
                <w:highlight w:val="none"/>
              </w:rPr>
              <w:t xml:space="preserve">支持绊线入侵、区域入侵、穿越围栏、徘徊、物品遗留、物品搬移、快速移动、停车、人员聚集检测；支持联动跟踪</w:t>
            </w:r>
            <w:r>
              <w:rPr>
                <w:rFonts w:hint="eastAsia" w:ascii="宋体" w:hAnsi="宋体" w:cs="宋体"/>
                <w:iCs/>
                <w:color w:val="auto"/>
                <w:sz w:val="24"/>
                <w:highlight w:val="none"/>
              </w:rPr>
              <w:t xml:space="preserve">。</w:t>
            </w:r>
            <w:r/>
          </w:p>
          <w:p>
            <w:pPr>
              <w:ind w:firstLine="480"/>
              <w:spacing w:line="360" w:lineRule="auto"/>
              <w:rPr>
                <w:rFonts w:hint="eastAsia" w:ascii="宋体" w:hAnsi="宋体" w:cs="宋体"/>
                <w:color w:val="auto"/>
                <w:highlight w:val="none"/>
              </w:rPr>
            </w:pPr>
            <w:r>
              <w:rPr>
                <w:rFonts w:hint="eastAsia" w:ascii="宋体" w:hAnsi="宋体" w:cs="宋体"/>
                <w:iCs/>
                <w:color w:val="auto"/>
                <w:sz w:val="24"/>
                <w:highlight w:val="none"/>
              </w:rPr>
              <w:t xml:space="preserve">2.10支持人脸优先、车牌优先、关闭3种模式;开启人脸优先功能,设备检测到人员后可自动调节补光灯的亮度,人员离开后补光灯恢复;开启车牌优先功能,设备检测到车辆后可自动开启补光灯并调节亮度,车辆离开后补光灯关闭。</w:t>
            </w:r>
            <w:r/>
          </w:p>
        </w:tc>
      </w:tr>
      <w:tr>
        <w:trPr>
          <w:cantSplit/>
          <w:trHeight w:val="90"/>
        </w:trPr>
        <w:tc>
          <w:tcPr>
            <w:tcBorders>
              <w:left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left w:val="single" w:color="000000" w:sz="2" w:space="0"/>
              <w:right w:val="single" w:color="000000" w:sz="2" w:space="0"/>
            </w:tcBorders>
            <w:tcMar>
              <w:top w:w="100" w:type="dxa"/>
              <w:bottom w:w="100" w:type="dxa"/>
            </w:tcMar>
            <w:tcW w:w="674" w:type="pct"/>
            <w:vAlign w:val="center"/>
            <w:textDirection w:val="lrTb"/>
            <w:noWrap w:val="false"/>
          </w:tcPr>
          <w:p>
            <w:pPr>
              <w:pStyle w:val="1525"/>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（3）智能球型摄像机（全景摄像机）</w:t>
            </w:r>
            <w:r/>
          </w:p>
          <w:p>
            <w:pPr>
              <w:ind w:firstLine="420"/>
              <w:spacing w:line="36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全景镜头、细节镜头和球机镜头CMOS靶面尺寸均不小于1/1.8英寸，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3.2设备具有1个RJ45网络接口，可输出三路视频图像：全景通道、细节通道、球机通道；</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3.3</w:t>
            </w:r>
            <w:r>
              <w:rPr>
                <w:rFonts w:hint="eastAsia" w:ascii="宋体" w:hAnsi="宋体" w:cs="宋体"/>
                <w:color w:val="auto"/>
                <w:sz w:val="24"/>
                <w:highlight w:val="none"/>
              </w:rPr>
              <w:t xml:space="preserve">全景和细节通道支持分辨率设置为2560x1440，帧率设置为25fps；</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3.4</w:t>
            </w:r>
            <w:r>
              <w:rPr>
                <w:rFonts w:hint="eastAsia" w:ascii="宋体" w:hAnsi="宋体" w:cs="宋体"/>
                <w:color w:val="auto"/>
                <w:sz w:val="24"/>
                <w:highlight w:val="none"/>
              </w:rPr>
              <w:t xml:space="preserve">细节和球机光学变倍都不小于4倍，细节通道最大焦距不小于30mm，球机通道最大焦距不小于51mm；全景通道焦距不大于6mm；</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3.5</w:t>
            </w:r>
            <w:r>
              <w:rPr>
                <w:rFonts w:hint="eastAsia" w:ascii="宋体" w:hAnsi="宋体" w:cs="宋体"/>
                <w:color w:val="auto"/>
                <w:sz w:val="24"/>
                <w:highlight w:val="none"/>
              </w:rPr>
              <w:t xml:space="preserve">全景通道光圈不小于F1.0，细节和球机通道光圈不小于F1.6；</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3.6</w:t>
            </w:r>
            <w:r>
              <w:rPr>
                <w:rFonts w:hint="eastAsia" w:ascii="宋体" w:hAnsi="宋体" w:cs="宋体"/>
                <w:color w:val="auto"/>
                <w:sz w:val="24"/>
                <w:highlight w:val="none"/>
              </w:rPr>
              <w:t xml:space="preserve">支持最低照度可达彩色≤0.0002Lux，黑白≤0.0001Lux；</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3.7</w:t>
            </w:r>
            <w:r>
              <w:rPr>
                <w:rFonts w:hint="eastAsia" w:ascii="宋体" w:hAnsi="宋体" w:cs="宋体"/>
                <w:color w:val="auto"/>
                <w:sz w:val="24"/>
                <w:highlight w:val="none"/>
              </w:rPr>
              <w:t xml:space="preserve">设备内置≥10颗补光灯，其中全景≥2颗补光灯，细节≥4颗补光灯，球机≥4颗补光灯；</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3.8</w:t>
            </w:r>
            <w:r>
              <w:rPr>
                <w:rFonts w:hint="eastAsia" w:ascii="宋体" w:hAnsi="宋体" w:cs="宋体"/>
                <w:color w:val="auto"/>
                <w:sz w:val="24"/>
                <w:highlight w:val="none"/>
              </w:rPr>
              <w:t xml:space="preserve">具备多通道旋转功能，球机通道：水平0到330°，垂直：-10°到90°；全景通道：垂直±5°可调节；细节通道：水平±5°可调节，垂直±5°可调节。球机镜头、全景镜头和细节镜头可分开进行水平垂直方向调节；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3.9.在联动模式下，细节通道和全景通道可进行全结构化抓拍和属性分析。在全景通道检测到移动目标后，可联动球机进行人脸、人体的抓拍和属性分析。（须提供第三方检验机构出具的具有CMA认证的检测合格的检测报告）</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3.10</w:t>
            </w:r>
            <w:r>
              <w:rPr>
                <w:rFonts w:hint="eastAsia" w:ascii="宋体" w:hAnsi="宋体" w:cs="宋体"/>
                <w:color w:val="auto"/>
                <w:sz w:val="24"/>
                <w:highlight w:val="none"/>
              </w:rPr>
              <w:t xml:space="preserve">设备全景摄像机支持光电检测功能，可将光信号转为电信号；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1设备具备引导式配置功能，可分为全景通道角度调节、全景联动配置，全景通道混合目标抓拍规则配置、鹰视聚焦配置； </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w:t>
            </w:r>
            <w:r>
              <w:rPr>
                <w:rFonts w:ascii="宋体" w:hAnsi="宋体" w:cs="宋体"/>
                <w:color w:val="auto"/>
                <w:sz w:val="24"/>
                <w:highlight w:val="none"/>
              </w:rPr>
              <w:t xml:space="preserve">3.1</w:t>
            </w:r>
            <w:r>
              <w:rPr>
                <w:rFonts w:hint="eastAsia" w:ascii="宋体" w:hAnsi="宋体" w:cs="宋体"/>
                <w:color w:val="auto"/>
                <w:sz w:val="24"/>
                <w:highlight w:val="none"/>
              </w:rPr>
              <w:t xml:space="preserve">2设备支持全景通道检测到移动目标后，可联动球机进行人脸、人体抓拍，全景检测宽度不小于15米；</w:t>
            </w:r>
            <w:r>
              <w:rPr>
                <w:rFonts w:hint="eastAsia" w:ascii="宋体" w:hAnsi="宋体" w:eastAsia="宋体" w:cs="宋体"/>
                <w:color w:val="auto"/>
                <w:sz w:val="24"/>
                <w:highlight w:val="none"/>
                <w:lang w:val="en-US" w:eastAsia="zh-CN"/>
              </w:rPr>
              <w:t xml:space="preserve">（须提供第三方检验机构出具的具有CMA认证的检测合格的检测报告）</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3设备全景、细节和球机通道可分别或同时对行人、非机动车、机动车进行检测、跟踪、抓拍，可支持人脸、车牌、非机动车车牌抠图，可将人脸与人体、车牌与车辆关联显示；</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14设备支持逆行、载人、未戴头盔3种属性的报警，可联动语音播报，语音内容可以自定义；</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15配置不少于1个RJ45网络接口、2个RS232接口、1个RS485接口、1个复位按钮、1个SD卡槽、1个DC12V输出接口</w:t>
            </w:r>
            <w:r/>
          </w:p>
          <w:p>
            <w:pPr>
              <w:ind w:firstLine="480"/>
              <w:jc w:val="left"/>
              <w:spacing w:line="360" w:lineRule="auto"/>
              <w:tabs>
                <w:tab w:val="left" w:pos="567"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▲3.16设备在进行主从标定后，联动模式下通过 3D标定键在全景视频图像中选择任意一像素点，球机视频图像可将此点像素点移至视频图像中央，全景镜头的 XY 坐标与球机镜头PTZ坐标标定准确率≥99%(像素点偏差≤0.7%)，最小像素点偏差≤0.3%。（须提供第三方检验机构出具的具有CMA认证的检测合格的检测报告）</w:t>
            </w:r>
            <w:r/>
          </w:p>
          <w:p>
            <w:pPr>
              <w:ind w:firstLine="480"/>
              <w:jc w:val="left"/>
              <w:spacing w:line="360" w:lineRule="auto"/>
              <w:tabs>
                <w:tab w:val="left" w:pos="567" w:leader="none"/>
              </w:tabs>
              <w:rPr>
                <w:rFonts w:hint="eastAsia" w:ascii="微软雅黑" w:hAnsi="微软雅黑" w:eastAsia="微软雅黑" w:cs="微软雅黑"/>
                <w:i w:val="0"/>
                <w:iCs w:val="0"/>
                <w:color w:val="auto"/>
                <w:sz w:val="20"/>
                <w:szCs w:val="20"/>
                <w:highlight w:val="none"/>
                <w:u w:val="none"/>
                <w:lang w:val="en-US" w:eastAsia="zh-CN" w:bidi="ar"/>
              </w:rPr>
            </w:pPr>
            <w:r>
              <w:rPr>
                <w:rFonts w:hint="eastAsia" w:ascii="宋体" w:hAnsi="宋体" w:eastAsia="宋体" w:cs="宋体"/>
                <w:color w:val="auto"/>
                <w:sz w:val="24"/>
                <w:highlight w:val="none"/>
                <w:lang w:val="en-US" w:eastAsia="zh-CN"/>
              </w:rPr>
              <w:t xml:space="preserve">▲3.17设备支持去重功能，两个通道支持抓拍去重功能，开启关联去重功能后，采用多人依次循环通行进行试验，保证监视画面中最多同时仅有1人通过，试验次数100人次，设备对监视画面中通行人员重复抓拍数量应不大于 1人次。（须提供第三方检验机构出具的具有CMA认证的检测合格的检测报告）</w:t>
            </w:r>
            <w:r/>
          </w:p>
        </w:tc>
      </w:tr>
      <w:tr>
        <w:trPr>
          <w:cantSplit/>
          <w:trHeight w:val="90"/>
        </w:trPr>
        <w:tc>
          <w:tcPr>
            <w:tcBorders>
              <w:left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left w:val="single" w:color="000000" w:sz="2" w:space="0"/>
              <w:right w:val="single" w:color="000000" w:sz="2" w:space="0"/>
            </w:tcBorders>
            <w:tcMar>
              <w:top w:w="100" w:type="dxa"/>
              <w:bottom w:w="100" w:type="dxa"/>
            </w:tcMar>
            <w:tcW w:w="674" w:type="pct"/>
            <w:vAlign w:val="center"/>
            <w:textDirection w:val="lrTb"/>
            <w:noWrap w:val="false"/>
          </w:tcPr>
          <w:p>
            <w:pPr>
              <w:pStyle w:val="1525"/>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（4）智能球型摄像机（违停抓拍）</w:t>
            </w:r>
            <w:r/>
          </w:p>
          <w:p>
            <w:pPr>
              <w:ind w:firstLine="420"/>
              <w:spacing w:line="36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.1</w:t>
            </w:r>
            <w:r>
              <w:rPr>
                <w:rFonts w:hint="eastAsia" w:ascii="宋体" w:hAnsi="宋体" w:cs="宋体"/>
                <w:color w:val="auto"/>
                <w:sz w:val="24"/>
                <w:highlight w:val="none"/>
              </w:rPr>
              <w:t xml:space="preserve">不低于400万像素，内置40倍光学变焦镜头；焦距：6-240mm；视场角：59.0-2.0度(广角-望远）；红外补光，红外照射距离：最远不小于250 m；</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.2</w:t>
            </w:r>
            <w:r>
              <w:rPr>
                <w:rFonts w:hint="eastAsia" w:ascii="宋体" w:hAnsi="宋体" w:cs="宋体"/>
                <w:color w:val="auto"/>
                <w:sz w:val="24"/>
                <w:highlight w:val="none"/>
              </w:rPr>
              <w:t xml:space="preserve">镜头采用1/1.8＂大靶面CMOS传感器；最低照度：彩色：≤0.0005 Lux @（F1.2，AGC ON）；黑白：≤0.0001 Lux @（F1.2，AGC ON）；0 Lux with IR；</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.3</w:t>
            </w:r>
            <w:r>
              <w:rPr>
                <w:rFonts w:hint="eastAsia" w:ascii="宋体" w:hAnsi="宋体" w:cs="宋体"/>
                <w:color w:val="auto"/>
                <w:sz w:val="24"/>
                <w:highlight w:val="none"/>
              </w:rPr>
              <w:t xml:space="preserve">城市道路违章取证：违停、逆行、压线、连续变道、机占非、掉头、蛇形变道、变道、加塞；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.4</w:t>
            </w:r>
            <w:r>
              <w:rPr>
                <w:rFonts w:hint="eastAsia" w:ascii="宋体" w:hAnsi="宋体" w:cs="宋体"/>
                <w:color w:val="auto"/>
                <w:sz w:val="24"/>
                <w:highlight w:val="none"/>
              </w:rPr>
              <w:t xml:space="preserve">交通数据采集：车流量；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.5</w:t>
            </w:r>
            <w:r>
              <w:rPr>
                <w:rFonts w:hint="eastAsia" w:ascii="宋体" w:hAnsi="宋体" w:cs="宋体"/>
                <w:color w:val="auto"/>
                <w:sz w:val="24"/>
                <w:highlight w:val="none"/>
              </w:rPr>
              <w:t xml:space="preserve">道路事件检测：抛洒物检测、行人检测、拥堵检测、路障检测、施工检测、交通事故检测 、浓雾检测、烟雾检测、火灾检测；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.6</w:t>
            </w:r>
            <w:r>
              <w:rPr>
                <w:rFonts w:hint="eastAsia" w:ascii="宋体" w:hAnsi="宋体" w:cs="宋体"/>
                <w:color w:val="auto"/>
                <w:sz w:val="24"/>
                <w:highlight w:val="none"/>
              </w:rPr>
              <w:t xml:space="preserve">普通公路事件检测：支持对路面进行坑槽检测，裂缝检测，龟裂检测；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.7</w:t>
            </w:r>
            <w:r>
              <w:rPr>
                <w:rFonts w:hint="eastAsia" w:ascii="宋体" w:hAnsi="宋体" w:cs="宋体"/>
                <w:color w:val="auto"/>
                <w:sz w:val="24"/>
                <w:highlight w:val="none"/>
              </w:rPr>
              <w:t xml:space="preserve">多场景巡航下，违停有效检测距离不小于250 m；</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.8</w:t>
            </w:r>
            <w:r>
              <w:rPr>
                <w:rFonts w:hint="eastAsia" w:ascii="宋体" w:hAnsi="宋体" w:cs="宋体"/>
                <w:color w:val="auto"/>
                <w:sz w:val="24"/>
                <w:highlight w:val="none"/>
              </w:rPr>
              <w:t xml:space="preserve">支持语音联动功能；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.9</w:t>
            </w:r>
            <w:r>
              <w:rPr>
                <w:rFonts w:hint="eastAsia" w:ascii="宋体" w:hAnsi="宋体" w:cs="宋体"/>
                <w:color w:val="auto"/>
                <w:sz w:val="24"/>
                <w:highlight w:val="none"/>
              </w:rPr>
              <w:t xml:space="preserve">支持违法数据上传FTP服务器、交通终端服务器、中心管理系统平台；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.1</w:t>
            </w:r>
            <w:r>
              <w:rPr>
                <w:rFonts w:hint="eastAsia" w:ascii="宋体" w:hAnsi="宋体" w:cs="宋体"/>
                <w:color w:val="auto"/>
                <w:sz w:val="24"/>
                <w:highlight w:val="none"/>
              </w:rPr>
              <w:t xml:space="preserve">0支持GB35114A级安全加密；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水平范围：360°；垂直范围：-20°-90°(自动翻转)；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12分辨率不低于2688*1520；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视频压缩标准：H.265，H.264，MJPEG，Smart264，Smart265；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具有网络接口：RJ45网口；自适应10M/100M网络数据；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 </w:t>
            </w:r>
            <w:r>
              <w:rPr>
                <w:rFonts w:hint="eastAsia" w:ascii="宋体" w:hAnsi="宋体" w:cs="宋体"/>
                <w:color w:val="auto"/>
                <w:sz w:val="24"/>
                <w:highlight w:val="none"/>
              </w:rPr>
              <w:t xml:space="preserve">SD卡扩展：内置Micro SD卡插槽;支持Micro SD/Micro SDHC/Micro SDXC卡;最大支持512GB；</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报警：7路报警输入，2路报警输出；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音频：1路音频输入，音频峰值：2-2.4V[p-p]，输入阻抗：1 kΩ±10%；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功耗：最大功耗不高于40W （其中加热最大功耗6W，红外灯最大功耗15W）；</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雨刷：支持；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工作温湿度：-40℃-70℃；湿度小于95%；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防护：不低于IP67; 6000V 防雷、防浪涌、防突波，符合GB/T17626.2/3/4/5/6四级标准；</w:t>
            </w:r>
            <w:r/>
          </w:p>
        </w:tc>
      </w:tr>
      <w:tr>
        <w:trPr>
          <w:cantSplit/>
          <w:trHeight w:val="1061"/>
        </w:trPr>
        <w:tc>
          <w:tcPr>
            <w:tcBorders>
              <w:left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color w:val="auto"/>
                <w:highlight w:val="none"/>
              </w:rPr>
            </w:pPr>
            <w:r>
              <w:rPr>
                <w:rFonts w:hint="eastAsia" w:ascii="宋体" w:hAnsi="宋体" w:eastAsia="宋体" w:cs="宋体"/>
                <w:color w:val="auto"/>
                <w:highlight w:val="none"/>
              </w:rPr>
              <w:t xml:space="preserve">8</w:t>
            </w:r>
            <w:r/>
          </w:p>
        </w:tc>
        <w:tc>
          <w:tcPr>
            <w:tcBorders>
              <w:left w:val="single" w:color="000000" w:sz="2" w:space="0"/>
              <w:right w:val="single" w:color="000000" w:sz="2" w:space="0"/>
            </w:tcBorders>
            <w:tcMar>
              <w:top w:w="100" w:type="dxa"/>
              <w:bottom w:w="100" w:type="dxa"/>
            </w:tcMar>
            <w:tcW w:w="674" w:type="pct"/>
            <w:vAlign w:val="center"/>
            <w:textDirection w:val="lrTb"/>
            <w:noWrap w:val="false"/>
          </w:tcPr>
          <w:p>
            <w:pPr>
              <w:pStyle w:val="1525"/>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（5）高清抓拍摄像机（枪机）</w:t>
            </w:r>
            <w:r/>
          </w:p>
          <w:p>
            <w:pPr>
              <w:ind w:firstLine="420"/>
              <w:spacing w:line="36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.1</w:t>
            </w:r>
            <w:r>
              <w:rPr>
                <w:rFonts w:hint="eastAsia" w:ascii="宋体" w:hAnsi="宋体" w:cs="宋体"/>
                <w:color w:val="auto"/>
                <w:sz w:val="24"/>
                <w:highlight w:val="none"/>
              </w:rPr>
              <w:t xml:space="preserve">内置摄像机采用1英寸高帧率全局曝光CMOS传感器，分辨率不低于4096×2160，帧率高达25帧；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.2</w:t>
            </w:r>
            <w:r>
              <w:rPr>
                <w:rFonts w:hint="eastAsia" w:ascii="宋体" w:hAnsi="宋体" w:cs="宋体"/>
                <w:color w:val="auto"/>
                <w:sz w:val="24"/>
                <w:highlight w:val="none"/>
              </w:rPr>
              <w:t xml:space="preserve">视频采用H.265、H.264或MJPEG编码；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.3</w:t>
            </w:r>
            <w:r>
              <w:rPr>
                <w:rFonts w:hint="eastAsia" w:ascii="宋体" w:hAnsi="宋体" w:cs="宋体"/>
                <w:color w:val="auto"/>
                <w:sz w:val="24"/>
                <w:highlight w:val="none"/>
              </w:rPr>
              <w:t xml:space="preserve">支持机动车的车牌，车身颜色，车型，子品牌，驾驶室人员等特征检测，支持机动车的过车记录和违章行为检测抓拍；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4支持非机动车和行人的抓拍和特征检测；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5支持车辆检测处理器、雷达、补光灯的接入；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6白天使用闪光灯补光，夜晚仅使用LED频闪灯补光，抓拍图片可看清司乘人员人脸，并能够用于后端人脸比对；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7支持远程数据上传，GB/T 28181视频联网标准、GA/T 1400视图库标准、FTP协议，可将抓拍的图片上传给终端服务器、FTP服务器或者后端平台；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8可支持TF插卡本地存储，可支持至256G，抓拍图片可断网续传；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9抓拍图片格式：JPEG；</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10抓拍图片分辨率：4096(H) × 2160(V)；</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11存储功能：TF, USB；</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12通讯接口：不少于3个RS-485接口，1个RS-232接口；2个RJ45 10M/100M/1000M自适应以太网口；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13触发输入：1个触发/报警输入；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14触发输出：7路F+/F-输出接口，可作为补光灯同步输出控制；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15同步输入：SYNC信号灯电源同步输入；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16违章检测：超速、压车道线、违章变道、未系安全带、未戴头盔、非机动车载人、不礼让行人、逆行、低速、机动车闯禁令、打电话、占用机动车道、摩托车闯禁令、加塞等违法行为；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17整体组成：防尘、防水面板，内置LED补光灯，摄像机，单元防护罩，电源适配器（AC220转DC12）；</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18工作温度：-30℃~70℃；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19支持车辆捕获功能、车牌识别功能、新能源车牌识别功能、未系安全带识别功能、闯禁行记录功能、驾驶员打电话识别功能、正向和背向的摩托车/非机动车未带头盔检测功能、车辆前排人脸检测识别功能、非机动车、行人捕获功能、车身颜色识别功能，以上功能白天识别准确率≥99%，晚上准确率≥95%。</w:t>
            </w:r>
            <w:r/>
          </w:p>
        </w:tc>
      </w:tr>
      <w:tr>
        <w:trPr>
          <w:cantSplit/>
          <w:trHeight w:val="1937"/>
        </w:trPr>
        <w:tc>
          <w:tcPr>
            <w:tcBorders>
              <w:left w:val="single" w:color="000000" w:sz="2" w:space="0"/>
              <w:right w:val="single" w:color="000000" w:sz="2" w:space="0"/>
            </w:tcBorders>
            <w:tcMar>
              <w:top w:w="100" w:type="dxa"/>
              <w:bottom w:w="100" w:type="dxa"/>
            </w:tcMar>
            <w:tcW w:w="346" w:type="pct"/>
            <w:vAlign w:val="center"/>
            <w:textDirection w:val="lrTb"/>
            <w:noWrap w:val="false"/>
          </w:tcPr>
          <w:p>
            <w:pPr>
              <w:ind w:firstLine="0"/>
              <w:jc w:val="center"/>
              <w:spacing w:line="360" w:lineRule="auto"/>
              <w:rPr>
                <w:rFonts w:hint="eastAsia" w:ascii="宋体" w:hAnsi="宋体"/>
                <w:color w:val="auto"/>
                <w:highlight w:val="none"/>
              </w:rPr>
            </w:pPr>
            <w:r>
              <w:rPr>
                <w:rFonts w:hint="eastAsia" w:ascii="宋体" w:hAnsi="宋体"/>
                <w:color w:val="auto"/>
                <w:sz w:val="24"/>
                <w:szCs w:val="32"/>
                <w:highlight w:val="none"/>
              </w:rPr>
              <w:t xml:space="preserve">9</w:t>
            </w:r>
            <w:r/>
          </w:p>
        </w:tc>
        <w:tc>
          <w:tcPr>
            <w:tcBorders>
              <w:left w:val="single" w:color="000000" w:sz="2" w:space="0"/>
              <w:right w:val="single" w:color="000000" w:sz="2" w:space="0"/>
            </w:tcBorders>
            <w:tcMar>
              <w:top w:w="100" w:type="dxa"/>
              <w:bottom w:w="100" w:type="dxa"/>
            </w:tcMar>
            <w:tcW w:w="674" w:type="pct"/>
            <w:vAlign w:val="center"/>
            <w:textDirection w:val="lrTb"/>
            <w:noWrap w:val="false"/>
          </w:tcPr>
          <w:p>
            <w:pPr>
              <w:ind w:firstLine="0"/>
              <w:spacing w:line="360" w:lineRule="auto"/>
              <w:rPr>
                <w:color w:val="auto"/>
                <w:highlight w:val="none"/>
              </w:rPr>
            </w:pPr>
            <w:r>
              <w:rPr>
                <w:rFonts w:hint="eastAsia" w:ascii="宋体" w:hAnsi="宋体" w:cs="宋体"/>
                <w:b/>
                <w:bCs/>
                <w:color w:val="auto"/>
                <w:highlight w:val="none"/>
              </w:rPr>
              <w:t xml:space="preserve">（6）应急广播</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具备接收IP、DTMB、DVB-C、FM-RDS信号功能；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支持任意几种接收模式组合，第一信号源中断自动切换到第二信号源，第一信号源恢复则自动接收第一信号源。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默认数字信号优于调频信号，应急信号优于日常信号。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支持本地或远程在线升级，具备修改失败、升级失败后还原功能。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具备数字签名认证功能，支持国密SM2算法。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可将开关机，音量，DTMB/DVB-C、FM接收频率，本机编码，输出功率等信息回传到平台；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具备广播断电自动恢复功能。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具备独立音量调节旋钮，日常广播时音量受电位器可调，应急广播时音量自动最大；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具有过热、过压、过载保护功能，故障消失自动恢复。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射频输入口具有防雷保护功能，IP输入口具有隔离变压器防护。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采用防水设计，外置保险丝座。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highlight w:val="none"/>
                <w:lang w:val="en-US" w:eastAsia="zh-CN"/>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DVB-C接收频率范围：115~858MHz；TMB接收频率范围：450~862MHz；FM接收频率范围：76~108MHz；DTMB接收灵敏度：≤-88dBm；DVB-C接收灵敏度：≤-78dBm；FM接收灵敏度：≤20dBuV；</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音频输出功率：≥25W；频率响应：±2dB(100Hz—12KHz)；谐波失真：≤1%；信噪比：≥60dB；</w:t>
            </w:r>
            <w:r/>
          </w:p>
          <w:p>
            <w:pPr>
              <w:ind w:firstLine="480"/>
              <w:spacing w:line="360" w:lineRule="auto"/>
              <w:rPr>
                <w:rFonts w:hint="eastAsia" w:ascii="宋体" w:hAnsi="宋体" w:cs="宋体"/>
                <w:iCs/>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工作电压范围：AC:180V～255V</w:t>
            </w:r>
            <w:r/>
          </w:p>
        </w:tc>
      </w:tr>
      <w:tr>
        <w:trPr>
          <w:cantSplit/>
          <w:trHeight w:val="607"/>
        </w:trPr>
        <w:tc>
          <w:tcPr>
            <w:tcBorders>
              <w:left w:val="single" w:color="000000" w:sz="2" w:space="0"/>
              <w:right w:val="single" w:color="000000" w:sz="2" w:space="0"/>
            </w:tcBorders>
            <w:tcMar>
              <w:top w:w="100" w:type="dxa"/>
              <w:bottom w:w="100" w:type="dxa"/>
            </w:tcMar>
            <w:tcW w:w="346" w:type="pct"/>
            <w:vAlign w:val="center"/>
            <w:textDirection w:val="lrTb"/>
            <w:noWrap w:val="false"/>
          </w:tcPr>
          <w:p>
            <w:pPr>
              <w:ind w:firstLine="0"/>
              <w:jc w:val="cente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sz w:val="24"/>
                <w:szCs w:val="32"/>
                <w:highlight w:val="none"/>
              </w:rPr>
              <w:t xml:space="preserve">10</w:t>
            </w:r>
            <w:r/>
          </w:p>
        </w:tc>
        <w:tc>
          <w:tcPr>
            <w:tcBorders>
              <w:left w:val="single" w:color="000000" w:sz="2" w:space="0"/>
              <w:right w:val="single" w:color="000000" w:sz="2" w:space="0"/>
            </w:tcBorders>
            <w:tcMar>
              <w:top w:w="100" w:type="dxa"/>
              <w:bottom w:w="100" w:type="dxa"/>
            </w:tcMar>
            <w:tcW w:w="674" w:type="pct"/>
            <w:vAlign w:val="center"/>
            <w:textDirection w:val="lrTb"/>
            <w:noWrap w:val="false"/>
          </w:tcPr>
          <w:p>
            <w:pPr>
              <w:ind w:firstLine="0"/>
              <w:spacing w:line="360" w:lineRule="auto"/>
              <w:rPr>
                <w:color w:val="auto"/>
                <w:highlight w:val="none"/>
              </w:rPr>
            </w:pPr>
            <w:r>
              <w:rPr>
                <w:rFonts w:hint="eastAsia" w:ascii="宋体" w:hAnsi="宋体" w:cs="宋体"/>
                <w:b/>
                <w:bCs/>
                <w:color w:val="auto"/>
                <w:highlight w:val="none"/>
              </w:rPr>
              <w:t xml:space="preserve">（7）智慧音柱</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≥30W低功耗室外智慧音柱，总谐波失真：THD≤10%；灵敏度：92 db(±3db)，待机功耗不高于0.16W，高效节能。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智能静音功能，在待机时整机完全静音无底噪无电流声。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智能优先级处理，设备支持1路线路输入和3路开关量触发，并支持多信号源优先级。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优先级顺序：线路输入＞触发1＞触发2＞触发3。</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高保真音质好，音色干净，高音清晰明亮；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内部功放具备过热、过压、短路等保护功能；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有源音柱外观设计精巧，机身采用纯铝合金打造；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防水性能强，可以直接在户外使用；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该产品内置不小于8M音频存储空间，可以通过外置USB接口擦除拷贝音乐，通过拨码开关选择预设音乐信号，通过触发播放预设语音节目；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具有预录语音功能；工作湿度：≤90%（无凝结）≥IP66。</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ind w:firstLine="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（8）录像机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至少具有2个HDMI接口、2个VGA接口、2个RJ45网络接口、2个USB2.0接口、1个USB3.0接口、1个RS232接口、1个RS485接口、1个eSata接口；1路音频输入接口、2路音频输出接口，16路报警输入接口、9路报警输出接口，1个DC 12V输出接口；</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至少可内置8个SATA接口硬盘。可接入最大16TB容量的SATA接口硬盘；</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可接入32路分辨率为1920×1080的视频图像；</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支持最大接入带宽256Mbps，最大存储带宽256Mbps，最大转发带宽160Mbps，最大回放带宽160Mbps。</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预览分辨率支持：8160×3616(25帧/秒)、8208×3072（25</w:t>
            </w:r>
            <w:r>
              <w:rPr>
                <w:rFonts w:hint="eastAsia" w:ascii="宋体" w:hAnsi="宋体" w:cs="宋体"/>
                <w:color w:val="auto"/>
                <w:sz w:val="24"/>
                <w:highlight w:val="none"/>
              </w:rPr>
              <w:t xml:space="preserve">帧/秒）、8160×2304（25帧/秒）、6912×2800(25帧/秒)、5760×1696(25帧/秒)、5520×2400（25帧/秒）、4096×2160（25帧/秒）、4000×3000(25帧/秒)、3072×3072(25帧/秒)、4096×2160（25帧/秒）、3840×2160(25帧/秒)、2560×2560(25帧/秒)、2560×1440(25帧/秒)、1920×1080(25帧/秒)、1280×960(25帧/秒)、1280×720(25帧/秒)、704×576(25帧/秒)。</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可同时显示输出12路H.265编码、30fps、1920×1080格式的视频图像，或同时输出3路 H.265编码、25fps、4096×2160或者3840×2160格式的视频图像，或同时解码2路 H.265编码、20fps、4000×3000格式的视频图像可同时正放或倒放4路H.265/H.264编码、2560×1440格式的视频图像，或者3路H.264编码、4096×2160格式的视频图像；</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具有存储安全保障功能，当存储压力过高或硬盘出现性能不足时，可优先录像业务存储；</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在线检查硬盘的运行状态、健康状态，包括低温警报、高温警报、异步信号恢复警报、重新分配扇区技术警报，读取恢复警报、无法修复的错误警报、机械故障警报、接口CRC警报、机械故障警报、硬复位警报、软复位警报、磁头加载率警报、电源接通复位率警报、总工作负载率警报、生命周期内工作负载总量警报、上电复位警报、磁头加载计数警报、电源开启小时警报；支持网络状态检测，支持网络延时、丢包测试，支持网络抓包备份。</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支持本地和远程进行IPv6配置，IPv6支持设置多种模式：路由公告、自动获取、手动配置；</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接入警戒摄像机，支持对IPC的声音和闪光参数进行配置， 支持通过移动侦测、区域入侵、越界侦测、进入区域和离开区域事件联动一个或多个IPC的声光报警，可以对声光联动一键撤防。</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接入带有温度报警、烟雾报警、障碍物遮挡报警、移动报警、防拆报警、紧急报警的智慧消防相机，当触发报警时，样机可联动录像、抓拍并保存图片、弹出报警画面、声音警告、上传中心、发送邮件、触发报警输出，并按通道、时间、类型检索报警图片，录像搜索结果支持图片和列表两种展现形式，可联动录像、抓图、蜂鸣报警、预置点、邮件、本地报警输出、IPC报警输出以及日志记录；支持按通道、日期进行录像检索，以及关联录像回放，并导出图片。</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ind w:firstLine="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（9）监控管理平台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jc w:val="left"/>
              <w:spacing w:line="360" w:lineRule="auto"/>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平台硬件配置不低于4核8线程，主频4.3GHz处理器，32G内存，512G SSD，不少于前置2个USB2.0接口，后置2个USB3.0接口，1个RJ45千兆网络接口，1个RS-232接口，1个RS-485接口，1个VGA接口，4个HDMI接口，2个HDMI接口，1个eSata接口，具有1路音频输入接口、2路音频输出接口、16 路报警输入接口、9路报警输出接口。</w:t>
            </w:r>
            <w:r/>
          </w:p>
          <w:p>
            <w:pPr>
              <w:ind w:firstLine="480"/>
              <w:jc w:val="left"/>
              <w:spacing w:line="360" w:lineRule="auto"/>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支持16盘位，单硬盘支持最大10T硬盘，支持SATA、SSD混插；多址模式下支持输入性能800Mbps、转发性能800Mbps以及存储性能800Mbps，转发和存储性能相互独立。</w:t>
            </w:r>
            <w:r/>
          </w:p>
          <w:p>
            <w:pPr>
              <w:ind w:firstLine="480"/>
              <w:jc w:val="left"/>
              <w:spacing w:line="360" w:lineRule="auto"/>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支持管理不少于200路视频监控，100路卡口，支持B/S、C/S客户端，以及iphone、ipad、android等移动端应用，支持多个客户端同时访问。</w:t>
            </w:r>
            <w:r/>
          </w:p>
          <w:p>
            <w:pPr>
              <w:ind w:firstLine="480"/>
              <w:jc w:val="left"/>
              <w:spacing w:line="360" w:lineRule="auto"/>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支持1/4/6/8/9/13/16/20/25/36/64多分屏画面显示；支持自定义分割；支持全分割画面的全屏显示； 支持九档屏显比例：满屏、1：1、4：3、3：4、5：4、4：5、16：9、9：16及64：9；</w:t>
            </w:r>
            <w:r/>
          </w:p>
          <w:p>
            <w:pPr>
              <w:ind w:firstLine="480"/>
              <w:jc w:val="left"/>
              <w:spacing w:line="360" w:lineRule="auto"/>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支持人脸识别服务器接入，支持人脸抓拍、比对、人脸库检索；抓拍库检索：导入人脸图片，指定相似度（默认70%），可从抓拍库中符合条件的图片； 人脸库检索：导入人脸图片，输入查询条件，在系统注册的人脸中检索符合条件的图片；人员布控：导入人脸图片，可以进行人脸注册，以及检索； 报警检索：对历史人脸抓拍报警进行检索，包括黑名单、白名单；</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支持预览的单窗口轮巡，设备支持在多画面的固定窗口上进行轮巡预览，其他预览窗口不轮巡； </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支持预览时对实时视频流进行手动打标签，通过标签检索可以检索到相关的录像片段；</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可同时正放或倒放32 路H.265/H.264 编码、2560×1440 格式的视频图像，或者10路H.265/H.264编码、4096×2160 格式的视频图像。最多支持32路同步回放；</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在告警断网续传功能启用后，支持告警事件在NVR断网恢复后继续向中心平台发送，断网时间段内的告警事件不丢失；</w:t>
            </w:r>
            <w:r/>
          </w:p>
          <w:p>
            <w:pPr>
              <w:ind w:firstLine="480"/>
              <w:jc w:val="left"/>
              <w:spacing w:line="360" w:lineRule="auto"/>
              <w:tabs>
                <w:tab w:val="left" w:pos="567" w:leader="none"/>
              </w:tabs>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支持导入视觉大模型进行分析，支持视频分析、图片分析、图片二次分析过滤；</w:t>
            </w:r>
            <w:r/>
          </w:p>
          <w:p>
            <w:pPr>
              <w:ind w:firstLine="480"/>
              <w:jc w:val="left"/>
              <w:spacing w:line="360" w:lineRule="auto"/>
              <w:tabs>
                <w:tab w:val="left" w:pos="567" w:leader="none"/>
              </w:tabs>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具有 3个GPU，支持 5种引擎功能： 人脸识别、周界防范、视频结构化、行为分析和AI算法引擎</w:t>
            </w:r>
            <w:r/>
          </w:p>
          <w:p>
            <w:pPr>
              <w:ind w:firstLine="480"/>
              <w:jc w:val="left"/>
              <w:spacing w:line="360" w:lineRule="auto"/>
              <w:tabs>
                <w:tab w:val="left" w:pos="567" w:leader="none"/>
              </w:tabs>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支持鹰眼图浏览； 支持光栅图级联； 支持视频设备、卡口设备、报警输入及报警柱等资源的全地图搜索； 支持地图界面框选、圈选、多选并打开视频； 支持视频预览、上墙、回放、云台、报警闪烁、卡口图片监控、移动终端GPS轨迹显示、历史轨迹查询及轨迹回放； 支持可视域，地图中显示可视域摄像机的可视范围、距离</w:t>
            </w:r>
            <w:r/>
          </w:p>
          <w:p>
            <w:pPr>
              <w:ind w:firstLine="480"/>
              <w:jc w:val="left"/>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支持：分析人员越线后报警给音柱进行播报，人员进出口计数。</w:t>
            </w:r>
            <w:r/>
          </w:p>
          <w:p>
            <w:pPr>
              <w:ind w:firstLine="480"/>
              <w:jc w:val="left"/>
              <w:spacing w:line="360" w:lineRule="auto"/>
              <w:tabs>
                <w:tab w:val="left" w:pos="567"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14.支持设备密码口令复杂度显示且密码需满足复杂度要求才可以设置成功，密码口令中不能包含用户名、123、admin（不区分大小写）、连续四位及以上递增或递减数字（如1234、12345、4321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等）、连续四位及以上相同字符简单口令（如1111、8888、aaaa等）（须提供第三方检验机构出具的具有CMA认证的检测合格的检测报告）。</w:t>
            </w:r>
            <w:r/>
          </w:p>
          <w:p>
            <w:pPr>
              <w:ind w:firstLine="480"/>
              <w:jc w:val="left"/>
              <w:spacing w:line="360" w:lineRule="auto"/>
              <w:tabs>
                <w:tab w:val="left" w:pos="567"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15.支持PyTorch模型、ONNX模型、TensorFlow模型、Caffe模型、PaddlePaddle模型，能力可涵盖检测、分类、分割、关键点等（须提供第三方检验机构出具的具有CMA认证的检测合格的检测报告）</w:t>
            </w:r>
            <w:r/>
          </w:p>
          <w:p>
            <w:pPr>
              <w:ind w:firstLine="480"/>
              <w:jc w:val="left"/>
              <w:spacing w:line="360" w:lineRule="auto"/>
              <w:tabs>
                <w:tab w:val="left" w:pos="567"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16.支持音视频动态调整组合分配功能，可将任一路音频与任一路视频组合成复合流编码（须提供第三方检验机构出具的具有CMA认证的检测合格的检测报告）</w:t>
            </w:r>
            <w:r/>
          </w:p>
          <w:p>
            <w:pPr>
              <w:ind w:firstLine="480"/>
              <w:jc w:val="left"/>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17.采用单人单次通过检测区域，100人次正确检出是否佩戴安全帽次数不少于99次（须提供第三方检验机构出具的具有CMA认证的检测合格的检测报告）</w:t>
            </w:r>
            <w:r/>
          </w:p>
          <w:p>
            <w:pPr>
              <w:ind w:firstLine="480"/>
              <w:jc w:val="left"/>
              <w:spacing w:line="360" w:lineRule="auto"/>
              <w:tabs>
                <w:tab w:val="left" w:pos="567" w:leader="none"/>
              </w:tabs>
              <w:rPr>
                <w:rFonts w:hint="default" w:ascii="宋体" w:hAnsi="宋体" w:eastAsia="宋体" w:cs="宋体"/>
                <w:color w:val="auto"/>
                <w:sz w:val="24"/>
                <w:highlight w:val="none"/>
                <w:lang w:val="en-US" w:eastAsia="zh-CN"/>
              </w:rPr>
            </w:pPr>
            <w:r>
              <w:rPr>
                <w:rFonts w:hint="eastAsia" w:ascii="宋体" w:hAnsi="宋体" w:cs="宋体"/>
                <w:b/>
                <w:bCs/>
                <w:i/>
                <w:iCs/>
                <w:color w:val="auto"/>
                <w:sz w:val="24"/>
                <w:highlight w:val="none"/>
                <w:u w:val="single"/>
                <w:lang w:val="en-US" w:eastAsia="zh-CN"/>
              </w:rPr>
              <w:t xml:space="preserve">18.对接双山香山管委会原有智慧旅游平台。要求增设20Mb固定IP专线。</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pStyle w:val="1523"/>
              <w:jc w:val="center"/>
              <w:spacing w:line="360" w:lineRule="auto"/>
              <w:rPr>
                <w:rFonts w:ascii="宋体" w:hAnsi="宋体" w:cs="宋体"/>
                <w:b/>
                <w:color w:val="auto"/>
                <w:highlight w:val="none"/>
              </w:rPr>
            </w:pPr>
            <w:r>
              <w:rPr>
                <w:rFonts w:hint="eastAsia" w:ascii="宋体" w:hAnsi="宋体" w:eastAsia="宋体" w:cs="宋体"/>
                <w:b/>
                <w:color w:val="auto"/>
                <w:highlight w:val="none"/>
              </w:rPr>
              <w:t xml:space="preserve">配件、辅材及辅助项目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jc w:val="left"/>
              <w:spacing w:line="360" w:lineRule="auto"/>
              <w:tabs>
                <w:tab w:val="left" w:pos="360" w:leader="none"/>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本项目设备的配套包括：ONU、监控立杆（5m）、监控立杆（3.5m）、立杆基础（5m）、立杆基础（3.5m）、接地桩、室外监控箱、电源线（</w:t>
            </w:r>
            <w:r>
              <w:rPr>
                <w:rFonts w:ascii="宋体" w:hAnsi="宋体" w:cs="宋体"/>
                <w:color w:val="auto"/>
                <w:sz w:val="24"/>
                <w:highlight w:val="none"/>
              </w:rPr>
              <w:t xml:space="preserve">RVV2*1.5</w:t>
            </w:r>
            <w:r>
              <w:rPr>
                <w:rFonts w:hint="eastAsia" w:ascii="宋体" w:hAnsi="宋体" w:cs="宋体"/>
                <w:color w:val="auto"/>
                <w:sz w:val="24"/>
                <w:highlight w:val="none"/>
              </w:rPr>
              <w:t xml:space="preserve">）、室外光缆、室外光纤、室外光纤、网线、PVC管、硅芯管、路面开挖修补、绿化开挖、熔纤盒、光纤跳线、熔纤、室外熔接包、室外熔接包、19"标准机柜(0.6X0.6X2.0M,42U)、24口SC/SC型光纤配线架、24块8T硬盘、高清解码器、螺丝、软管、胶带等。</w:t>
            </w:r>
            <w:r/>
          </w:p>
          <w:p>
            <w:pPr>
              <w:ind w:firstLine="480"/>
              <w:jc w:val="left"/>
              <w:spacing w:line="360" w:lineRule="auto"/>
              <w:tabs>
                <w:tab w:val="left" w:pos="360" w:leader="none"/>
                <w:tab w:val="left" w:pos="567" w:leader="none"/>
              </w:tabs>
              <w:rPr>
                <w:rFonts w:hint="default" w:ascii="宋体" w:hAnsi="宋体" w:eastAsia="宋体" w:cs="宋体"/>
                <w:color w:val="auto"/>
                <w:sz w:val="24"/>
                <w:highlight w:val="none"/>
                <w:lang w:val="en-US" w:eastAsia="zh-CN"/>
              </w:rPr>
            </w:pPr>
            <w:r>
              <w:rPr>
                <w:rFonts w:hint="eastAsia" w:ascii="宋体" w:hAnsi="宋体" w:cs="宋体"/>
                <w:b/>
                <w:bCs/>
                <w:i/>
                <w:iCs/>
                <w:color w:val="auto"/>
                <w:sz w:val="24"/>
                <w:highlight w:val="none"/>
                <w:u w:val="single"/>
              </w:rPr>
              <w:t xml:space="preserve">所有配件、辅材必须满足国家标准和采购人的技术要求。辅助项目必须按照采购人要求进行施工，质量达到合格要求。</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ind w:firstLine="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系统要求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1.视频要求：</w:t>
            </w:r>
            <w:r/>
          </w:p>
          <w:p>
            <w:pPr>
              <w:numPr>
                <w:ilvl w:val="1"/>
                <w:numId w:val="0"/>
              </w:numPr>
              <w:ind w:firstLine="480"/>
              <w:spacing w:line="360" w:lineRule="auto"/>
              <w:tabs>
                <w:tab w:val="left" w:pos="360" w:leader="none"/>
                <w:tab w:val="left" w:pos="567" w:leader="none"/>
                <w:tab w:val="left" w:pos="644" w:leader="none"/>
              </w:tabs>
              <w:rPr>
                <w:rFonts w:hint="eastAsia" w:ascii="宋体" w:hAnsi="宋体" w:cs="宋体"/>
                <w:color w:val="auto"/>
                <w:sz w:val="24"/>
                <w:highlight w:val="none"/>
              </w:rPr>
            </w:pPr>
            <w:r>
              <w:rPr>
                <w:rFonts w:hint="eastAsia" w:ascii="宋体" w:hAnsi="宋体" w:cs="宋体"/>
                <w:color w:val="auto"/>
                <w:sz w:val="24"/>
                <w:highlight w:val="none"/>
              </w:rPr>
              <w:t xml:space="preserve">1.1送达的视频应流畅，无拖影、无动画感，图像延迟不能超过200毫秒，实时视频调出时的响应时间应小于1秒，视频控制切换响应时间小于1秒，前端设备控制延时小于1秒，监控视频显示与实际事件发生时间差小于1秒，设同步服务器并应予同步。</w:t>
            </w:r>
            <w:r/>
          </w:p>
          <w:p>
            <w:pPr>
              <w:numPr>
                <w:ilvl w:val="1"/>
                <w:numId w:val="0"/>
              </w:numPr>
              <w:ind w:firstLine="480"/>
              <w:spacing w:line="360" w:lineRule="auto"/>
              <w:tabs>
                <w:tab w:val="left" w:pos="360" w:leader="none"/>
                <w:tab w:val="left" w:pos="567" w:leader="none"/>
                <w:tab w:val="left" w:pos="644" w:leader="none"/>
              </w:tabs>
              <w:rPr>
                <w:rFonts w:hint="eastAsia" w:ascii="宋体" w:hAnsi="宋体" w:cs="宋体"/>
                <w:color w:val="auto"/>
                <w:sz w:val="24"/>
                <w:highlight w:val="none"/>
              </w:rPr>
            </w:pPr>
            <w:r>
              <w:rPr>
                <w:rFonts w:hint="eastAsia" w:ascii="宋体" w:hAnsi="宋体" w:cs="宋体"/>
                <w:color w:val="auto"/>
                <w:sz w:val="24"/>
                <w:highlight w:val="none"/>
              </w:rPr>
              <w:t xml:space="preserve">1.2系统以1个服务点位为一个计量单位。</w:t>
            </w:r>
            <w:r/>
          </w:p>
          <w:p>
            <w:pPr>
              <w:numPr>
                <w:ilvl w:val="1"/>
                <w:numId w:val="0"/>
              </w:numPr>
              <w:ind w:firstLine="480"/>
              <w:spacing w:line="360" w:lineRule="auto"/>
              <w:tabs>
                <w:tab w:val="left" w:pos="360" w:leader="none"/>
                <w:tab w:val="left" w:pos="567" w:leader="none"/>
                <w:tab w:val="left" w:pos="644" w:leader="none"/>
              </w:tabs>
              <w:rPr>
                <w:rFonts w:hint="eastAsia" w:ascii="宋体" w:hAnsi="宋体" w:cs="宋体"/>
                <w:color w:val="auto"/>
                <w:sz w:val="24"/>
                <w:highlight w:val="none"/>
              </w:rPr>
            </w:pPr>
            <w:r>
              <w:rPr>
                <w:rFonts w:hint="eastAsia" w:ascii="宋体" w:hAnsi="宋体" w:cs="宋体"/>
                <w:color w:val="auto"/>
                <w:sz w:val="24"/>
                <w:highlight w:val="none"/>
              </w:rPr>
              <w:t xml:space="preserve">1.3高清监控图像服务技术参数不低于图像服务技术性能参数要求。</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2.网络传输要求：</w:t>
            </w:r>
            <w:r/>
          </w:p>
          <w:p>
            <w:pPr>
              <w:numPr>
                <w:ilvl w:val="1"/>
                <w:numId w:val="0"/>
              </w:numPr>
              <w:ind w:firstLine="480"/>
              <w:spacing w:line="360" w:lineRule="auto"/>
              <w:tabs>
                <w:tab w:val="left" w:pos="360" w:leader="none"/>
                <w:tab w:val="left" w:pos="567" w:leader="none"/>
                <w:tab w:val="left" w:pos="644" w:leader="none"/>
              </w:tabs>
              <w:rPr>
                <w:rFonts w:hint="eastAsia" w:ascii="宋体" w:hAnsi="宋体" w:cs="宋体"/>
                <w:color w:val="auto"/>
                <w:sz w:val="24"/>
                <w:highlight w:val="none"/>
              </w:rPr>
            </w:pPr>
            <w:r>
              <w:rPr>
                <w:rFonts w:hint="eastAsia" w:ascii="宋体" w:hAnsi="宋体" w:cs="宋体"/>
                <w:color w:val="auto"/>
                <w:sz w:val="24"/>
                <w:highlight w:val="none"/>
              </w:rPr>
              <w:t xml:space="preserve">2.1网络传输介质按照采购人要求采用单模光纤作传输介质，组建监控视频专网。</w:t>
            </w:r>
            <w:r/>
          </w:p>
          <w:p>
            <w:pPr>
              <w:numPr>
                <w:ilvl w:val="1"/>
                <w:numId w:val="0"/>
              </w:numPr>
              <w:ind w:firstLine="480"/>
              <w:spacing w:line="360" w:lineRule="auto"/>
              <w:tabs>
                <w:tab w:val="left" w:pos="360" w:leader="none"/>
                <w:tab w:val="left" w:pos="567" w:leader="none"/>
                <w:tab w:val="left" w:pos="644" w:leader="none"/>
              </w:tabs>
              <w:rPr>
                <w:rFonts w:hint="eastAsia" w:ascii="宋体" w:hAnsi="宋体" w:cs="宋体"/>
                <w:color w:val="auto"/>
                <w:sz w:val="24"/>
                <w:highlight w:val="none"/>
              </w:rPr>
            </w:pPr>
            <w:r>
              <w:rPr>
                <w:rFonts w:hint="eastAsia" w:ascii="宋体" w:hAnsi="宋体" w:cs="宋体"/>
                <w:color w:val="auto"/>
                <w:sz w:val="24"/>
                <w:highlight w:val="none"/>
              </w:rPr>
              <w:t xml:space="preserve">2.2每个点位的传输带宽不小于10M；通过适当的策略确保能传送优质的图象画面，保证网络的数据传输实时、准确、完整。</w:t>
            </w:r>
            <w:r/>
          </w:p>
          <w:p>
            <w:pPr>
              <w:numPr>
                <w:ilvl w:val="1"/>
                <w:numId w:val="0"/>
              </w:numPr>
              <w:ind w:firstLine="480"/>
              <w:spacing w:line="360" w:lineRule="auto"/>
              <w:tabs>
                <w:tab w:val="left" w:pos="360" w:leader="none"/>
                <w:tab w:val="left" w:pos="567" w:leader="none"/>
                <w:tab w:val="left" w:pos="644" w:leader="none"/>
              </w:tabs>
              <w:rPr>
                <w:rFonts w:hint="eastAsia" w:ascii="宋体" w:hAnsi="宋体" w:cs="宋体"/>
                <w:color w:val="auto"/>
                <w:sz w:val="24"/>
                <w:highlight w:val="none"/>
              </w:rPr>
            </w:pPr>
            <w:r>
              <w:rPr>
                <w:rFonts w:hint="eastAsia" w:ascii="宋体" w:hAnsi="宋体" w:cs="宋体"/>
                <w:color w:val="auto"/>
                <w:sz w:val="24"/>
                <w:highlight w:val="none"/>
              </w:rPr>
              <w:t xml:space="preserve">2.3在大流量、突发性数据流冲击带宽时，视频运作平稳，不影响画质，上行方向传输平均时延≤0.1ms，下行方向传输平均时延≤0.1ms。</w:t>
            </w:r>
            <w:r/>
          </w:p>
          <w:p>
            <w:pPr>
              <w:numPr>
                <w:ilvl w:val="1"/>
                <w:numId w:val="0"/>
              </w:numPr>
              <w:ind w:firstLine="480"/>
              <w:spacing w:line="360" w:lineRule="auto"/>
              <w:tabs>
                <w:tab w:val="left" w:pos="360" w:leader="none"/>
                <w:tab w:val="left" w:pos="567" w:leader="none"/>
                <w:tab w:val="left" w:pos="644" w:leader="none"/>
              </w:tabs>
              <w:rPr>
                <w:rFonts w:hint="eastAsia" w:ascii="宋体" w:hAnsi="宋体" w:cs="宋体"/>
                <w:color w:val="auto"/>
                <w:sz w:val="24"/>
                <w:highlight w:val="none"/>
              </w:rPr>
            </w:pPr>
            <w:r>
              <w:rPr>
                <w:rFonts w:hint="eastAsia" w:ascii="宋体" w:hAnsi="宋体" w:cs="宋体"/>
                <w:color w:val="auto"/>
                <w:sz w:val="24"/>
                <w:highlight w:val="none"/>
              </w:rPr>
              <w:t xml:space="preserve">2.4网络应具备冗余链路，两条链路须全程保持不同物理路由，防止因同路由光纤链路中断而导致网络中断。</w:t>
            </w:r>
            <w:r/>
          </w:p>
          <w:p>
            <w:pPr>
              <w:numPr>
                <w:ilvl w:val="1"/>
                <w:numId w:val="0"/>
              </w:numPr>
              <w:ind w:firstLine="480"/>
              <w:spacing w:line="360" w:lineRule="auto"/>
              <w:tabs>
                <w:tab w:val="left" w:pos="360" w:leader="none"/>
                <w:tab w:val="left" w:pos="567" w:leader="none"/>
                <w:tab w:val="left" w:pos="644" w:leader="none"/>
              </w:tabs>
              <w:rPr>
                <w:rFonts w:hint="eastAsia" w:ascii="宋体" w:hAnsi="宋体" w:cs="宋体"/>
                <w:color w:val="auto"/>
                <w:sz w:val="24"/>
                <w:highlight w:val="none"/>
              </w:rPr>
            </w:pPr>
            <w:r>
              <w:rPr>
                <w:rFonts w:hint="eastAsia" w:ascii="宋体" w:hAnsi="宋体" w:cs="宋体"/>
                <w:color w:val="auto"/>
                <w:sz w:val="24"/>
                <w:highlight w:val="none"/>
              </w:rPr>
              <w:t xml:space="preserve">2.5具有网络管理系统，具有图形化网络管界面；具备全网自动监控报警功能；系统配置功能：网管系统可根据系统所有设备的网管地址在中心网管软件上进行添加，并更加系统实际拓扑构建拓扑图，支持树型列表，并可根据需要修改网络拓扑结构。</w:t>
            </w:r>
            <w:r/>
          </w:p>
          <w:p>
            <w:pPr>
              <w:numPr>
                <w:ilvl w:val="1"/>
                <w:numId w:val="0"/>
              </w:numPr>
              <w:ind w:firstLine="480"/>
              <w:spacing w:line="360" w:lineRule="auto"/>
              <w:tabs>
                <w:tab w:val="left" w:pos="360" w:leader="none"/>
                <w:tab w:val="left" w:pos="567" w:leader="none"/>
                <w:tab w:val="left" w:pos="644" w:leader="none"/>
              </w:tabs>
              <w:rPr>
                <w:rFonts w:hint="eastAsia" w:ascii="宋体" w:hAnsi="宋体" w:cs="宋体"/>
                <w:color w:val="auto"/>
                <w:sz w:val="24"/>
                <w:highlight w:val="none"/>
              </w:rPr>
            </w:pPr>
            <w:r>
              <w:rPr>
                <w:rFonts w:hint="eastAsia" w:ascii="宋体" w:hAnsi="宋体" w:cs="宋体"/>
                <w:color w:val="auto"/>
                <w:sz w:val="24"/>
                <w:highlight w:val="none"/>
              </w:rPr>
              <w:t xml:space="preserve">2.6网络传输使用的路由器、交换机、OLT、ONU、光纤及其他网络设备技术参数不低于设备技术性能参数要求。</w:t>
            </w:r>
            <w:r/>
          </w:p>
          <w:p>
            <w:pPr>
              <w:ind w:firstLine="482"/>
              <w:spacing w:line="360" w:lineRule="auto"/>
              <w:tabs>
                <w:tab w:val="left" w:pos="360" w:leader="none"/>
                <w:tab w:val="left" w:pos="567" w:leader="none"/>
                <w:tab w:val="left" w:pos="64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3.图像存储服务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3.1图像存储服务部署</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应部署于标准机房。</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3.2视频存储</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系统由管理节点和/或存储节点组成，且系统可扩容，增加管理或存储节点。在多节点系统中，任何一个存储节点出现故障，应不影响数据的正常存取；</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支持基于硬盘性能和容量的负载均衡，具备一定热备冗余能力。</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支持硬盘热插拔，即插即用。</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支持前端设备和存储设备之间直接存储</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系统支持按需弹性扩容</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一个控制器内支持双系统，当主系统异常时，能从备系统启动；支持控制器热插拔</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支持录像完整率检测、监控点在线状态检测、硬盘状态检测；</w:t>
            </w:r>
            <w:r/>
          </w:p>
          <w:p>
            <w:pPr>
              <w:ind w:firstLine="482"/>
              <w:spacing w:line="360" w:lineRule="auto"/>
              <w:widowControl/>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4.图像存储服务其他要求：</w:t>
            </w:r>
            <w:r/>
          </w:p>
          <w:p>
            <w:pPr>
              <w:ind w:firstLine="480"/>
              <w:spacing w:line="360" w:lineRule="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4.1</w:t>
            </w:r>
            <w:r>
              <w:rPr>
                <w:rFonts w:hint="eastAsia" w:ascii="宋体" w:hAnsi="宋体" w:cs="宋体"/>
                <w:color w:val="auto"/>
                <w:sz w:val="24"/>
                <w:highlight w:val="none"/>
              </w:rPr>
              <w:t xml:space="preserve">存储系统应采用分布式存储数据库，应具有分布式存储和计算、数据分片机制、数据复制机制、集群负载均衡机制、故障转移机制、水平扩展机制、节点宕机保障机制、数据备份机制、基于数据总线的数据共享机制等。</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4.2系统采用数据总线结构，预留与其他信息系统的数据共享、交互接口，如业务数据接口、标准数据接口（SOA\REST）、市公安局数据接口、第三方数据接口，可实现更高层面的集成与联动。</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4.3网络存储设备主要包括分布式存储数据库服务器，数据总线服务器、网络存储设备和存储硬盘等，设备相关技术参数不低于设备技术性能参数要求。</w:t>
            </w:r>
            <w:r/>
          </w:p>
          <w:p>
            <w:pPr>
              <w:ind w:firstLine="480"/>
              <w:spacing w:line="360" w:lineRule="auto"/>
              <w:tabs>
                <w:tab w:val="left" w:pos="567" w:leader="none"/>
              </w:tabs>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4.4视频图像存储时间不少于三个月。</w:t>
            </w:r>
            <w:r/>
          </w:p>
          <w:p>
            <w:pPr>
              <w:ind w:firstLine="482"/>
              <w:spacing w:line="360" w:lineRule="auto"/>
              <w:tabs>
                <w:tab w:val="left" w:pos="567"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5.安全要求</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5.1根据公安部和公安系统警务管理需求，为确保系统内信息内容的机密性、完整性和可用性，整个系统应具有一定的信息安全性和保密性。</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5.2网络安全：通过对交换机的设置，限制特定端口通过（如高清摄像机、视频服务器、转发服务器等）；应实现MAC地址与交换机端口的绑定，以限定其他未知设备接入图像专网。提供的网络需与因特网及其他社会单位网络物理隔离。</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5.3信息安全性：为了保证信息来源的真实可靠，保证信息使用的合法有效，需要有一种机制来验证系统中各方的真实身份。信息安全是监控系统正常运行的保证，它涉及到访问控制、身份认证、数据完整性和安全审计等过程。在本项目中，采用访问控制和身份认证等安全机制保证整个系统的信息安全。 </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5.4数据安全性：保证数据的安全性，必须确保用户数据和图像数据的安全，确保视频数据在传输过程的安全，并可靠存储。</w:t>
            </w:r>
            <w:r/>
          </w:p>
          <w:p>
            <w:pPr>
              <w:ind w:firstLine="480"/>
              <w:spacing w:line="360" w:lineRule="auto"/>
              <w:tabs>
                <w:tab w:val="left" w:pos="567" w:leader="none"/>
                <w:tab w:val="left" w:pos="644" w:leader="none"/>
              </w:tabs>
              <w:rPr>
                <w:rFonts w:hint="eastAsia" w:ascii="宋体" w:hAnsi="宋体" w:cs="宋体"/>
                <w:b/>
                <w:color w:val="auto"/>
                <w:sz w:val="24"/>
                <w:highlight w:val="none"/>
              </w:rPr>
            </w:pPr>
            <w:r>
              <w:rPr>
                <w:rFonts w:hint="eastAsia" w:ascii="宋体" w:hAnsi="宋体" w:cs="宋体"/>
                <w:color w:val="auto"/>
                <w:sz w:val="24"/>
                <w:highlight w:val="none"/>
              </w:rPr>
              <w:t xml:space="preserve">5.5机房（存储服务）要求：提供的机房应达到国家标准C类以上标准。配备精密中央空调保证机房恒温恒湿。配备UPS，电池备用时间≥120分钟，确保7*24小时不间断供电，可以双路供电。7*24小时保安值守，有严格的安检登记制度。</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ind w:firstLine="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系统运维要求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1.投标人应与采购人签订保密协议，严格遵循保密协议之规定，确保系统数据安全，任何数据资料未经采购人许可不得向第三方提供。</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2.投标人应具有有效详细的运维管理办法，保障监控基本功能正常运行（即时浏览、云台控制、录像回放调取），并负责故障的全程处理。</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3.投标人需建立专门运维管理系统平台，能够自动通过该系统平台发现故障并及时派单排障。</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4.投标人提供7*24小时热线电话服务，并确定专人协调处理。</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5.投标人应确保整个服务图像完好率不低于97%，图像清洁率达到100%，无遮挡率达到100%。</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6.投标人应确保整个系统数据服务具有积极有效的备份和恢复机制。</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7.系统升级要求</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7.1在服务期内，系统内各类软、硬件因生产厂家停产、升级导致的无法使用原有型号设备进行维修或更换的，经采购人确认后，投标人可以使用不低于原有服务性能的替代产品或使用升级后的产品进行替换。</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7.2由此引起的原有服务平台以及服务需要更新升级的，采购人不再承担任何费用。</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7.3如采购人要求该系统接入其他平台，投标人应配合完成，对系统软件和接口进行调整，采购人不再承担任何软件和接口费用。</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7.4投标人在产品升级前应做好充分准备，并以书面的形式提前告知采购人，在不中断正常服务的前提下进行产品升级，同时做好事件记录。</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8.运行维护机构。</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8.1投标人应在本地设立运行维护机构和展示环境。</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8.2投标人针对本项目明确专职管理人员及其他专职运维人员，并配备相应的运维设备，相关人员必须经备案同意。</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8.3投标人针对本项目应配备各类相应的维修机动车辆。</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8.4对报修内容，应</w:t>
            </w:r>
            <w:r>
              <w:rPr>
                <w:rFonts w:hint="eastAsia" w:ascii="宋体" w:hAnsi="宋体" w:cs="宋体"/>
                <w:bCs/>
                <w:color w:val="auto"/>
                <w:sz w:val="24"/>
                <w:highlight w:val="none"/>
              </w:rPr>
              <w:t xml:space="preserve">承诺30分钟内响应，2小时到达现场处理问题</w:t>
            </w:r>
            <w:r>
              <w:rPr>
                <w:rFonts w:hint="eastAsia" w:ascii="宋体" w:hAnsi="宋体" w:cs="宋体"/>
                <w:color w:val="auto"/>
                <w:sz w:val="24"/>
                <w:highlight w:val="none"/>
              </w:rPr>
              <w:t xml:space="preserve">；每天对图像服务点位进行一次巡检，并有巡检记录。每周进行镜面一次清洁，每月进行一次清洁服务，及时进行遮挡树枝的修理，并有相关记录。</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8.5如遇重大活动和重要保障任务时，接采购人通知时应立即进行巡检和清洁，对系统存在的潜在安全或故障隐患进行分析并提出相应的解决方案加以排除。</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8.6对点位变更等情况，在采购人提出要求后，投标人应在7天内完成变更，并交付使用，同时纳入考核。</w:t>
            </w:r>
            <w:r/>
          </w:p>
          <w:p>
            <w:pPr>
              <w:numPr>
                <w:ilvl w:val="0"/>
                <w:numId w:val="0"/>
              </w:numPr>
              <w:ind w:firstLine="480"/>
              <w:spacing w:line="360" w:lineRule="auto"/>
              <w:tabs>
                <w:tab w:val="left" w:pos="567" w:leader="none"/>
              </w:tabs>
              <w:rPr>
                <w:rFonts w:hint="default" w:ascii="宋体" w:hAnsi="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cs="宋体"/>
                <w:color w:val="auto"/>
                <w:sz w:val="24"/>
                <w:highlight w:val="none"/>
              </w:rPr>
              <w:t xml:space="preserve">由于改造、迁移、被盗和其他建设等原因需要调整的情况，应根据采购人要求进行调整。</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346" w:type="pct"/>
            <w:vAlign w:val="center"/>
            <w:textDirection w:val="lrTb"/>
            <w:noWrap w:val="false"/>
          </w:tcPr>
          <w:p>
            <w:pPr>
              <w:pStyle w:val="15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4" w:type="pct"/>
            <w:vAlign w:val="center"/>
            <w:textDirection w:val="lrTb"/>
            <w:noWrap w:val="false"/>
          </w:tcPr>
          <w:p>
            <w:pPr>
              <w:ind w:firstLine="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80" w:type="pct"/>
            <w:vAlign w:val="center"/>
            <w:textDirection w:val="lrTb"/>
            <w:noWrap w:val="false"/>
          </w:tcPr>
          <w:p>
            <w:pPr>
              <w:numPr>
                <w:ilvl w:val="0"/>
                <w:numId w:val="0"/>
              </w:numPr>
              <w:ind w:firstLine="480"/>
              <w:spacing w:line="360" w:lineRule="auto"/>
              <w:tabs>
                <w:tab w:val="left" w:pos="567" w:leader="none"/>
              </w:tabs>
              <w:rPr>
                <w:rFonts w:ascii="宋体" w:hAnsi="宋体" w:cs="宋体"/>
                <w:color w:val="auto"/>
                <w:sz w:val="24"/>
                <w:highlight w:val="none"/>
              </w:rPr>
            </w:pPr>
            <w:r>
              <w:rPr>
                <w:rFonts w:hint="eastAsia" w:ascii="宋体" w:hAnsi="宋体" w:cs="宋体"/>
                <w:color w:val="auto"/>
                <w:sz w:val="24"/>
                <w:szCs w:val="24"/>
                <w:highlight w:val="none"/>
                <w:lang w:val="en-US" w:eastAsia="zh-CN" w:bidi="ar-SA"/>
              </w:rPr>
              <w:t xml:space="preserve">1.</w:t>
            </w:r>
            <w:r>
              <w:rPr>
                <w:rFonts w:hint="eastAsia" w:ascii="宋体" w:hAnsi="宋体" w:cs="宋体"/>
                <w:color w:val="auto"/>
                <w:sz w:val="24"/>
                <w:highlight w:val="none"/>
              </w:rPr>
              <w:t xml:space="preserve">运维服务要求：</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在接到维修函电后，必须在半小时内对采购单位所提出的维修要求作出响应3小时内到达维修现场并维修完毕，若48小时内无法维修完毕的须更换同型号产品到位，保证设备正常使用，相关费用由中标人承担。</w:t>
            </w:r>
            <w:r/>
          </w:p>
          <w:p>
            <w:pPr>
              <w:numPr>
                <w:ilvl w:val="0"/>
                <w:numId w:val="0"/>
              </w:numPr>
              <w:ind w:firstLine="480"/>
              <w:spacing w:line="360" w:lineRule="auto"/>
              <w:tabs>
                <w:tab w:val="left" w:pos="56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highlight w:val="none"/>
              </w:rPr>
              <w:t xml:space="preserve">人员要求：</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项目经理(除技术负责人、运维负责人)具有一级建造师</w:t>
            </w:r>
            <w:bookmarkStart w:id="230" w:name="_GoBack"/>
            <w:r/>
            <w:bookmarkEnd w:id="230"/>
            <w:r>
              <w:rPr>
                <w:rFonts w:hint="eastAsia" w:ascii="宋体" w:hAnsi="宋体" w:cs="宋体"/>
                <w:color w:val="auto"/>
                <w:sz w:val="24"/>
                <w:highlight w:val="none"/>
              </w:rPr>
              <w:t xml:space="preserve">（机电工程）、高级工程师证书；</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技术负责人(除项目经理、运维负责人)具有网络工程师、高级工程师证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CISAW信息安全保障人员认证（应急服务）</w:t>
            </w:r>
            <w:r>
              <w:rPr>
                <w:rFonts w:hint="eastAsia" w:ascii="宋体" w:hAnsi="宋体" w:cs="宋体"/>
                <w:color w:val="auto"/>
                <w:sz w:val="24"/>
                <w:highlight w:val="none"/>
              </w:rPr>
              <w:t xml:space="preserve">；</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运维负责人(除项目经理、技术负责人)具有CISAW信息安全保障人员认证（安全运维）、高级工程师证书。</w:t>
            </w:r>
            <w:r/>
          </w:p>
          <w:p>
            <w:pPr>
              <w:numPr>
                <w:ilvl w:val="0"/>
                <w:numId w:val="0"/>
              </w:numPr>
              <w:ind w:firstLine="480"/>
              <w:keepLines w:val="0"/>
              <w:keepNext w:val="0"/>
              <w:pageBreakBefore w:val="0"/>
              <w:spacing w:line="360" w:lineRule="auto"/>
              <w:tabs>
                <w:tab w:val="left" w:pos="56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应根据招标文件的要求</w:t>
            </w:r>
            <w:r>
              <w:rPr>
                <w:rFonts w:hint="eastAsia" w:ascii="宋体" w:hAnsi="宋体" w:cs="宋体"/>
                <w:color w:val="auto"/>
                <w:sz w:val="24"/>
                <w:highlight w:val="none"/>
              </w:rPr>
              <w:t xml:space="preserve">提供技术方案，方案应至少包含：对本项目的理解、现状分析、项目设计依据、解决方案、施工准备。</w:t>
            </w:r>
            <w:r/>
          </w:p>
          <w:p>
            <w:pPr>
              <w:numPr>
                <w:ilvl w:val="0"/>
                <w:numId w:val="0"/>
              </w:numPr>
              <w:ind w:firstLine="480"/>
              <w:keepLines w:val="0"/>
              <w:keepNext w:val="0"/>
              <w:pageBreakBefore w:val="0"/>
              <w:spacing w:line="360" w:lineRule="auto"/>
              <w:tabs>
                <w:tab w:val="left" w:pos="56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应根据招标文件要求</w:t>
            </w:r>
            <w:r>
              <w:rPr>
                <w:rFonts w:hint="eastAsia" w:ascii="宋体" w:hAnsi="宋体" w:cs="宋体"/>
                <w:color w:val="auto"/>
                <w:sz w:val="24"/>
                <w:highlight w:val="none"/>
              </w:rPr>
              <w:t xml:space="preserve">提供实施方案，方案应至少包含：设备供货计划、管理人员投入计划、施工机具配备情况、质量保证措施、施工安全措施、工期及进度保证措施、验收方案。</w:t>
            </w:r>
            <w:r/>
          </w:p>
          <w:p>
            <w:pPr>
              <w:numPr>
                <w:ilvl w:val="0"/>
                <w:numId w:val="0"/>
              </w:numPr>
              <w:ind w:firstLine="480"/>
              <w:keepLines w:val="0"/>
              <w:keepNext w:val="0"/>
              <w:pageBreakBefore w:val="0"/>
              <w:spacing w:line="360" w:lineRule="auto"/>
              <w:tabs>
                <w:tab w:val="left" w:pos="56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应根据招标文件的要求提供</w:t>
            </w:r>
            <w:r>
              <w:rPr>
                <w:rFonts w:hint="eastAsia" w:ascii="宋体" w:hAnsi="宋体" w:cs="宋体"/>
                <w:color w:val="auto"/>
                <w:sz w:val="24"/>
                <w:highlight w:val="none"/>
              </w:rPr>
              <w:t xml:space="preserve">安全施工方案，方案应至少应包含：施工方法、劳动组织、作业方法、使用的机械、动力设备、变配电设施、以及各种安全防护设施等。</w:t>
            </w:r>
            <w:r/>
          </w:p>
          <w:p>
            <w:pPr>
              <w:numPr>
                <w:ilvl w:val="0"/>
                <w:numId w:val="0"/>
              </w:numPr>
              <w:ind w:firstLine="480"/>
              <w:keepLines w:val="0"/>
              <w:keepNext w:val="0"/>
              <w:pageBreakBefore w:val="0"/>
              <w:spacing w:line="360" w:lineRule="auto"/>
              <w:tabs>
                <w:tab w:val="left" w:pos="56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应根据招标文件的要求</w:t>
            </w:r>
            <w:r>
              <w:rPr>
                <w:rFonts w:hint="eastAsia" w:ascii="宋体" w:hAnsi="宋体" w:cs="宋体"/>
                <w:color w:val="auto"/>
                <w:sz w:val="24"/>
                <w:highlight w:val="none"/>
              </w:rPr>
              <w:t xml:space="preserve">提供整体运维方案，方案应至少包含：系统运维保障方案、营运保障、服务流程、服务承诺（包括响应时间、服务期限、运维服务工作内容）等。</w:t>
            </w:r>
            <w:r/>
          </w:p>
          <w:p>
            <w:pPr>
              <w:numPr>
                <w:ilvl w:val="0"/>
                <w:numId w:val="0"/>
              </w:numPr>
              <w:ind w:firstLine="480"/>
              <w:keepLines w:val="0"/>
              <w:keepNext w:val="0"/>
              <w:pageBreakBefore w:val="0"/>
              <w:spacing w:line="360" w:lineRule="auto"/>
              <w:tabs>
                <w:tab w:val="left" w:pos="56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rPr>
              <w:t xml:space="preserve">提供针对</w:t>
            </w:r>
            <w:r>
              <w:rPr>
                <w:rFonts w:hint="eastAsia" w:ascii="宋体" w:hAnsi="宋体" w:cs="宋体"/>
                <w:color w:val="auto"/>
                <w:sz w:val="24"/>
                <w:highlight w:val="none"/>
                <w:lang w:val="en-US" w:eastAsia="zh-CN"/>
              </w:rPr>
              <w:t xml:space="preserve">本项目的</w:t>
            </w:r>
            <w:r>
              <w:rPr>
                <w:rFonts w:hint="eastAsia" w:ascii="宋体" w:hAnsi="宋体" w:cs="宋体"/>
                <w:color w:val="auto"/>
                <w:sz w:val="24"/>
                <w:highlight w:val="none"/>
              </w:rPr>
              <w:t xml:space="preserve">培训方案，培训方案内容应包含培训目标、培训计划、培训内容、培训人员配置、培训保障措施。</w:t>
            </w:r>
            <w:r/>
          </w:p>
          <w:p>
            <w:pPr>
              <w:numPr>
                <w:ilvl w:val="0"/>
                <w:numId w:val="0"/>
              </w:numPr>
              <w:ind w:firstLine="480"/>
              <w:keepLines w:val="0"/>
              <w:keepNext w:val="0"/>
              <w:pageBreakBefore w:val="0"/>
              <w:spacing w:line="360" w:lineRule="auto"/>
              <w:tabs>
                <w:tab w:val="left" w:pos="567"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提供针对本项目</w:t>
            </w:r>
            <w:r>
              <w:rPr>
                <w:rFonts w:hint="eastAsia" w:ascii="宋体" w:hAnsi="宋体" w:cs="宋体"/>
                <w:color w:val="auto"/>
                <w:sz w:val="24"/>
                <w:highlight w:val="none"/>
              </w:rPr>
              <w:t xml:space="preserve">的重大、突发事件应急响应方案，重大、突发事件应急响应方案内容应包含应急处理流程、应急设备保障、相关应急措施、应急人员安排。</w:t>
            </w:r>
            <w:r/>
          </w:p>
          <w:p>
            <w:pPr>
              <w:numPr>
                <w:ilvl w:val="0"/>
                <w:numId w:val="0"/>
              </w:numPr>
              <w:ind w:firstLine="480"/>
              <w:spacing w:line="360" w:lineRule="auto"/>
              <w:tabs>
                <w:tab w:val="left" w:pos="567" w:leader="none"/>
              </w:tabs>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9</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highlight w:val="none"/>
              </w:rPr>
              <w:t xml:space="preserve">投标人提供2022年以来的类似业绩。</w:t>
            </w:r>
            <w:r/>
          </w:p>
          <w:p>
            <w:pPr>
              <w:numPr>
                <w:ilvl w:val="0"/>
                <w:numId w:val="0"/>
              </w:numPr>
              <w:ind w:firstLine="482"/>
              <w:spacing w:line="360" w:lineRule="auto"/>
              <w:tabs>
                <w:tab w:val="left" w:pos="567" w:leader="none"/>
              </w:tabs>
              <w:rPr>
                <w:rFonts w:hint="eastAsia" w:ascii="宋体" w:hAnsi="宋体" w:cs="宋体"/>
                <w:b/>
                <w:bCs/>
                <w:i/>
                <w:iCs/>
                <w:color w:val="auto"/>
                <w:sz w:val="24"/>
                <w:highlight w:val="none"/>
                <w:u w:val="single"/>
              </w:rPr>
            </w:pPr>
            <w:r>
              <w:rPr>
                <w:rFonts w:hint="eastAsia" w:ascii="宋体" w:hAnsi="宋体" w:eastAsia="宋体" w:cs="宋体"/>
                <w:b/>
                <w:bCs/>
                <w:i/>
                <w:iCs/>
                <w:color w:val="auto"/>
                <w:sz w:val="24"/>
                <w:szCs w:val="24"/>
                <w:highlight w:val="none"/>
                <w:lang w:val="en-US" w:eastAsia="zh-CN" w:bidi="ar-SA"/>
              </w:rPr>
              <w:t xml:space="preserve">10</w:t>
            </w:r>
            <w:r>
              <w:rPr>
                <w:rFonts w:hint="eastAsia" w:ascii="宋体" w:hAnsi="宋体" w:cs="宋体"/>
                <w:b/>
                <w:bCs/>
                <w:i/>
                <w:iCs/>
                <w:color w:val="auto"/>
                <w:sz w:val="24"/>
                <w:szCs w:val="24"/>
                <w:highlight w:val="none"/>
                <w:lang w:val="en-US" w:eastAsia="zh-CN" w:bidi="ar-SA"/>
              </w:rPr>
              <w:t xml:space="preserve">.</w:t>
            </w:r>
            <w:r>
              <w:rPr>
                <w:rFonts w:hint="eastAsia" w:ascii="宋体" w:hAnsi="宋体" w:cs="宋体"/>
                <w:b/>
                <w:bCs/>
                <w:i/>
                <w:iCs/>
                <w:color w:val="auto"/>
                <w:sz w:val="24"/>
                <w:highlight w:val="none"/>
                <w:u w:val="single"/>
              </w:rPr>
              <w:t xml:space="preserve">投标人需根据采购人要求将治安监控接入张家港市公安局，景区监控接入采购人指定的统一管理平台，接入产生的所有额外费用由中标单位承担。投标人须在投标时提供承诺书</w:t>
            </w:r>
            <w:r>
              <w:rPr>
                <w:rFonts w:hint="eastAsia" w:ascii="宋体" w:hAnsi="宋体" w:cs="宋体"/>
                <w:b/>
                <w:bCs/>
                <w:i/>
                <w:iCs/>
                <w:color w:val="auto"/>
                <w:sz w:val="24"/>
                <w:highlight w:val="none"/>
                <w:u w:val="single"/>
                <w:lang w:eastAsia="zh-CN"/>
              </w:rPr>
              <w:t xml:space="preserve">（</w:t>
            </w:r>
            <w:r>
              <w:rPr>
                <w:rFonts w:hint="eastAsia" w:ascii="宋体" w:hAnsi="宋体" w:cs="宋体"/>
                <w:b/>
                <w:bCs/>
                <w:i/>
                <w:iCs/>
                <w:color w:val="auto"/>
                <w:sz w:val="24"/>
                <w:highlight w:val="none"/>
                <w:u w:val="single"/>
                <w:lang w:val="en-US" w:eastAsia="zh-CN"/>
              </w:rPr>
              <w:t xml:space="preserve">承诺书格式自拟</w:t>
            </w:r>
            <w:r>
              <w:rPr>
                <w:rFonts w:hint="eastAsia" w:ascii="宋体" w:hAnsi="宋体" w:cs="宋体"/>
                <w:b/>
                <w:bCs/>
                <w:i/>
                <w:iCs/>
                <w:color w:val="auto"/>
                <w:sz w:val="24"/>
                <w:highlight w:val="none"/>
                <w:u w:val="single"/>
                <w:lang w:eastAsia="zh-CN"/>
              </w:rPr>
              <w:t xml:space="preserve">）</w:t>
            </w:r>
            <w:r>
              <w:rPr>
                <w:rFonts w:hint="eastAsia" w:ascii="宋体" w:hAnsi="宋体" w:cs="宋体"/>
                <w:b/>
                <w:bCs/>
                <w:i/>
                <w:iCs/>
                <w:color w:val="auto"/>
                <w:sz w:val="24"/>
                <w:highlight w:val="none"/>
                <w:u w:val="single"/>
              </w:rPr>
              <w:t xml:space="preserve">。</w:t>
            </w:r>
            <w:r/>
          </w:p>
          <w:p>
            <w:pPr>
              <w:numPr>
                <w:ilvl w:val="0"/>
                <w:numId w:val="0"/>
              </w:numPr>
              <w:ind w:firstLine="482"/>
              <w:spacing w:line="360" w:lineRule="auto"/>
              <w:tabs>
                <w:tab w:val="left" w:pos="567" w:leader="none"/>
              </w:tabs>
              <w:rPr>
                <w:rFonts w:hint="default" w:ascii="宋体" w:hAnsi="宋体" w:eastAsia="宋体" w:cs="宋体"/>
                <w:b/>
                <w:bCs/>
                <w:i/>
                <w:iCs/>
                <w:color w:val="auto"/>
                <w:sz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bidi="ar-SA"/>
              </w:rPr>
              <w:t xml:space="preserve">11</w:t>
            </w:r>
            <w:r>
              <w:rPr>
                <w:rFonts w:hint="eastAsia" w:ascii="宋体" w:hAnsi="宋体" w:cs="宋体"/>
                <w:b/>
                <w:bCs/>
                <w:i/>
                <w:iCs/>
                <w:color w:val="auto"/>
                <w:sz w:val="24"/>
                <w:szCs w:val="24"/>
                <w:highlight w:val="none"/>
                <w:u w:val="single"/>
                <w:lang w:val="en-US" w:eastAsia="zh-CN" w:bidi="ar-SA"/>
              </w:rPr>
              <w:t xml:space="preserve">.</w:t>
            </w:r>
            <w:r>
              <w:rPr>
                <w:rFonts w:hint="eastAsia" w:ascii="宋体" w:hAnsi="宋体" w:cs="宋体"/>
                <w:b/>
                <w:bCs/>
                <w:i/>
                <w:iCs/>
                <w:color w:val="auto"/>
                <w:sz w:val="24"/>
                <w:highlight w:val="none"/>
                <w:u w:val="single"/>
              </w:rPr>
              <w:t xml:space="preserve">部分原有监控需接入相应平台</w:t>
            </w:r>
            <w:r>
              <w:rPr>
                <w:rFonts w:hint="eastAsia" w:ascii="宋体" w:hAnsi="宋体" w:cs="宋体"/>
                <w:b/>
                <w:bCs/>
                <w:i/>
                <w:iCs/>
                <w:color w:val="auto"/>
                <w:sz w:val="24"/>
                <w:highlight w:val="none"/>
                <w:u w:val="single"/>
                <w:lang w:eastAsia="zh-CN"/>
              </w:rPr>
              <w:t xml:space="preserve">，</w:t>
            </w:r>
            <w:r>
              <w:rPr>
                <w:rFonts w:hint="eastAsia" w:ascii="宋体" w:hAnsi="宋体" w:cs="宋体"/>
                <w:b/>
                <w:bCs/>
                <w:i/>
                <w:iCs/>
                <w:color w:val="auto"/>
                <w:sz w:val="24"/>
                <w:highlight w:val="none"/>
                <w:u w:val="single"/>
                <w:lang w:val="en-US" w:eastAsia="zh-CN"/>
              </w:rPr>
              <w:t xml:space="preserve">费用由中标单位承担。</w:t>
            </w:r>
            <w:r/>
          </w:p>
        </w:tc>
      </w:tr>
    </w:tbl>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562"/>
        <w:spacing w:before="120" w:after="120" w:line="360" w:lineRule="auto"/>
        <w:rPr>
          <w:b/>
          <w:color w:val="auto"/>
          <w:sz w:val="28"/>
          <w:szCs w:val="28"/>
          <w:highlight w:val="none"/>
        </w:rPr>
      </w:pPr>
      <w:r/>
      <w:bookmarkStart w:id="206" w:name="EBeba33935409e4c76a800f8c7f49348de"/>
      <w:r/>
      <w:bookmarkEnd w:id="206"/>
      <w:r>
        <w:rPr>
          <w:b/>
          <w:color w:val="auto"/>
          <w:sz w:val="28"/>
          <w:szCs w:val="28"/>
          <w:highlight w:val="none"/>
        </w:rPr>
        <w:t xml:space="preserve">三、商务条款 </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1 服务期限</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1.1安装工期：30天</w:t>
      </w:r>
      <w:r/>
    </w:p>
    <w:p>
      <w:pPr>
        <w:pStyle w:val="1533"/>
        <w:ind w:firstLine="500"/>
        <w:spacing w:line="360" w:lineRule="auto"/>
        <w:rPr>
          <w:rFonts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1.2租赁服务期限：36个月</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2支付方式</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2.1、结付程序</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中标方按合同内容合格地履行服务义务后，凭验收报告、销售发票到采购单位办理合同款结算手续。</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2.2、结付期限</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（1）合同签订生效后，采购方预付合同金额的10%作为预付款</w:t>
      </w:r>
      <w:r>
        <w:rPr>
          <w:rFonts w:hint="eastAsia" w:ascii="宋体" w:hAnsi="宋体" w:eastAsia="宋体" w:cs="宋体"/>
          <w:i/>
          <w:color w:val="000000"/>
          <w:spacing w:val="7"/>
          <w:highlight w:val="none"/>
          <w:u w:val="single"/>
        </w:rPr>
        <w:t xml:space="preserve">（</w:t>
      </w:r>
      <w:r>
        <w:rPr>
          <w:rStyle w:val="1232"/>
          <w:rFonts w:hint="eastAsia" w:ascii="宋体" w:hAnsi="宋体" w:eastAsia="宋体" w:cs="宋体"/>
          <w:i/>
          <w:color w:val="auto"/>
          <w:spacing w:val="7"/>
          <w:sz w:val="24"/>
          <w:szCs w:val="24"/>
          <w:highlight w:val="none"/>
          <w:u w:val="single"/>
        </w:rPr>
        <w:t xml:space="preserve">在签订合同时，中标方明确表示无需预付款或者主动要求降低预付款比例的，采购人可不适用前述规定）</w:t>
      </w:r>
      <w:r>
        <w:rPr>
          <w:rFonts w:hint="eastAsia" w:ascii="宋体" w:hAnsi="宋体" w:eastAsia="宋体" w:cs="宋体"/>
          <w:i/>
          <w:iCs/>
          <w:color w:val="auto"/>
          <w:spacing w:val="7"/>
          <w:highlight w:val="none"/>
          <w:u w:val="single"/>
        </w:rPr>
        <w:t xml:space="preserve">；</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（2）项目初验合格后开始计费。以12个月为考核结算周期，根据考核结果每年支付合同金额的30%；</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3 验收及交付条件：</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3.1中标人按合同及规划已完成相关建设内容；技术资料完备，符合合同要求；中标人提出验收申请，经采购人同意。</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3.2验收程序：双方根据验收内容制定验收方案，明确验收范围、依据、程序、方法，由采购人组织双方及第三方专家小组进行验收。费用由中标供应商承担，验收通过后10日内完成交付。</w:t>
      </w:r>
      <w:r/>
    </w:p>
    <w:p>
      <w:pPr>
        <w:pStyle w:val="1533"/>
        <w:ind w:firstLine="500"/>
        <w:spacing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4投标货币</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4.1、投标货币：人民币</w:t>
      </w:r>
      <w:r/>
    </w:p>
    <w:p>
      <w:pPr>
        <w:pStyle w:val="1533"/>
        <w:ind w:firstLine="500"/>
        <w:spacing w:line="360" w:lineRule="auto"/>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r>
      <w:r/>
    </w:p>
    <w:p>
      <w:pPr>
        <w:numPr>
          <w:ilvl w:val="0"/>
          <w:numId w:val="12"/>
        </w:num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其他部分 </w:t>
      </w:r>
      <w:r/>
    </w:p>
    <w:p>
      <w:pPr>
        <w:pStyle w:val="1581"/>
        <w:ind w:left="0" w:firstLine="562"/>
        <w:spacing w:line="360" w:lineRule="auto"/>
        <w:rPr>
          <w:rFonts w:hint="eastAsia"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lang w:val="en-US" w:eastAsia="zh-CN"/>
        </w:rPr>
        <w:t xml:space="preserve">4.1</w:t>
      </w:r>
      <w:r>
        <w:rPr>
          <w:rFonts w:hint="eastAsia" w:ascii="宋体" w:hAnsi="宋体" w:eastAsia="宋体" w:cs="宋体"/>
          <w:b/>
          <w:bCs/>
          <w:color w:val="auto"/>
          <w:sz w:val="28"/>
          <w:szCs w:val="21"/>
          <w:highlight w:val="none"/>
        </w:rPr>
        <w:t xml:space="preserve">考核办法：</w:t>
      </w:r>
      <w:r/>
    </w:p>
    <w:p>
      <w:pPr>
        <w:pStyle w:val="13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内容：合同内所有监控。在平时使用或者巡检过程中，发现以下情况：①图像不清晰，灰尘或者树叶遮挡的；②图像黑屏的；③图像不在线的；④管理平台功能异常的；⑤视频回放或存储出现异常的等情况，视情况给予扣分。</w:t>
      </w:r>
      <w:r/>
    </w:p>
    <w:p>
      <w:pPr>
        <w:pStyle w:val="13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（2）考核形式：</w:t>
      </w:r>
      <w:r/>
    </w:p>
    <w:p>
      <w:pPr>
        <w:pStyle w:val="13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1.在平常使用过程中或者周巡检过程中。发现问题未按时整改的，视情形严重程度出现一个扣1~3分，每季度汇总各单位的得分情况，报采购人考核经办人。</w:t>
      </w:r>
      <w:r/>
    </w:p>
    <w:p>
      <w:pPr>
        <w:pStyle w:val="13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2.每季度进行一次季度通报，反馈季度得分情况及相关问题。</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单位要针对问题拿出有效措施，认真加以改进，扎实提高监控的使用效率。</w:t>
      </w:r>
      <w:r/>
    </w:p>
    <w:p>
      <w:pPr>
        <w:pStyle w:val="13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（3）考核得分：（满分为100分）</w:t>
      </w:r>
      <w:r/>
    </w:p>
    <w:p>
      <w:pPr>
        <w:pStyle w:val="13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每季度得分总和÷4 =全年最终得分。</w:t>
      </w:r>
      <w:r/>
    </w:p>
    <w:p>
      <w:pPr>
        <w:pStyle w:val="13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（4）费用计算：年度最终得分等于或高于97分为满分，则得合同价总费用；如年度总分不足97分，每下降1分，扣总费用的1%，以此类推。如连续2季度得分低于90分，采购人有权解除合同。</w:t>
      </w:r>
      <w:r/>
    </w:p>
    <w:p>
      <w:pPr>
        <w:pStyle w:val="13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（5）其他事项：因线路维修等影响监控正常使用情况的，各单位应提前向采购人或者主管单位报备，否则如果巡检发现问题，按问题监控处理。</w:t>
      </w:r>
      <w:r/>
    </w:p>
    <w:p>
      <w:pPr>
        <w:pStyle w:val="13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（6）该考核办法由采购人负责解释，采购人有权在实施过程中进行调整，中标供应商应按照最新的考核办法进行执行考核。</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4.2监控点位详表：</w:t>
      </w:r>
      <w:r/>
    </w:p>
    <w:p>
      <w:pPr>
        <w:ind w:firstLine="420"/>
        <w:spacing w:line="360" w:lineRule="auto"/>
        <w:rPr>
          <w:rFonts w:hint="default" w:ascii="宋体" w:hAnsi="宋体" w:eastAsia="宋体" w:cs="宋体"/>
          <w:b/>
          <w:bCs/>
          <w:color w:val="auto"/>
          <w:sz w:val="28"/>
          <w:szCs w:val="28"/>
          <w:highlight w:val="none"/>
          <w:lang w:val="en-US" w:eastAsia="zh-CN" w:bidi="ar-SA"/>
        </w:rPr>
      </w:pPr>
      <w:r>
        <w:rPr>
          <w:rFonts w:hint="default" w:ascii="宋体" w:hAnsi="宋体" w:eastAsia="宋体" w:cs="宋体"/>
          <w:b/>
          <w:bCs/>
          <w:color w:val="auto"/>
          <w:sz w:val="28"/>
          <w:szCs w:val="28"/>
          <w:highlight w:val="none"/>
          <w:lang w:val="en-US" w:eastAsia="zh-CN" w:bidi="ar-SA"/>
        </w:rPr>
      </w:r>
      <w:r/>
    </w:p>
    <w:p>
      <w:pPr>
        <w:ind w:firstLine="420"/>
        <w:spacing w:line="360" w:lineRule="auto"/>
        <w:rPr>
          <w:rFonts w:hint="eastAsia" w:eastAsia="宋体"/>
          <w:color w:val="auto"/>
          <w:highlight w:val="none"/>
          <w:lang w:eastAsia="zh-CN"/>
        </w:rPr>
        <w:sectPr>
          <w:headerReference w:type="default" r:id="rId10"/>
          <w:headerReference w:type="even" r:id="rId11"/>
          <w:headerReference w:type="first" r:id="rId12"/>
          <w:footerReference w:type="default" r:id="rId16"/>
          <w:footerReference w:type="even" r:id="rId17"/>
          <w:footnotePr/>
          <w:endnotePr/>
          <w:type w:val="nextPage"/>
          <w:pgSz w:w="11906" w:h="16838" w:orient="portrait"/>
          <w:pgMar w:top="1440" w:right="1066" w:bottom="1440" w:left="1180" w:header="851" w:footer="992" w:gutter="0"/>
          <w:cols w:num="1" w:sep="0" w:space="425" w:equalWidth="1"/>
          <w:docGrid w:linePitch="360"/>
        </w:sectPr>
      </w:pPr>
      <w:r>
        <w:rPr>
          <w:rFonts w:hint="eastAsia" w:eastAsia="宋体"/>
          <w:color w:val="auto"/>
          <w:highlight w:val="none"/>
          <w:lang w:eastAsia="zh-CN"/>
        </w:rPr>
      </w:r>
      <w:r/>
    </w:p>
    <w:tbl>
      <w:tblPr>
        <w:tblStyle w:val="954"/>
        <w:tblW w:w="14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8"/>
        <w:gridCol w:w="708"/>
        <w:gridCol w:w="792"/>
        <w:gridCol w:w="732"/>
        <w:gridCol w:w="996"/>
        <w:gridCol w:w="1788"/>
        <w:gridCol w:w="648"/>
        <w:gridCol w:w="1356"/>
        <w:gridCol w:w="756"/>
        <w:gridCol w:w="864"/>
        <w:gridCol w:w="1008"/>
        <w:gridCol w:w="888"/>
        <w:gridCol w:w="1848"/>
        <w:gridCol w:w="1656"/>
      </w:tblGrid>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编号</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监控功能</w:t>
            </w:r>
            <w:r/>
          </w:p>
        </w:tc>
        <w:tc>
          <w:tcPr>
            <w:gridSpan w:val="5"/>
            <w:shd w:val="clear" w:color="auto" w:fill="ffffff"/>
            <w:tcBorders>
              <w:top w:val="single" w:color="000000" w:sz="4" w:space="0"/>
              <w:left w:val="single" w:color="000000" w:sz="4" w:space="0"/>
              <w:bottom w:val="single" w:color="000000" w:sz="4" w:space="0"/>
              <w:right w:val="none" w:color="000000" w:sz="4" w:space="0"/>
            </w:tcBorders>
            <w:tcW w:w="5520"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监控摄像机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应急广播</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智慧音柱</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摄像安装要求</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接电建议</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区域</w:t>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点位</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摄像位置</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监控</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主要参数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立杆</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高度（m）</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地面</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备注</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N21</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治安管理</w:t>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岛内部</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江岛小区</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小区南门前一条路，朝西摄像</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过乐居街8</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N22</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江岛小区</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上山岛路-江岛小区东门</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高清抓拍单元（枪机）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穿管</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逆行抓拍</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N14</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江岛小区</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南门口</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过乐居街8</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N16</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江岛小区</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东门路口</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架空30+过路5+埋地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N15</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福江路</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北边路口</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架空</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6</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N12</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福江路</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南边路口</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过人行道</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N17</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渡口小区</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小区北边围墙上</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壁装</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过路5米+埋地15米</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8</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N18</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渡口小区</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小区南边路口(原来球机立杆)</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壁装</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明线5+埋地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N13</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双山岛路</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东头</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穿管</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10</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N9</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老街</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中间朝北</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利用灯杆</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N10</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老街</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中间朝南</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利用灯杆</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12</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N4</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老街</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正对大门及观光车售票中心</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直埋</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N3</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老街（抓拍）</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南门前道路的停车抓拍</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智能球型摄像机（违停抓拍）</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直埋50m+明线</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违停计时抓拍</w:t>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14</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N24</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渡口路</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朝向渡口路，角度覆盖非机动车停车场</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与N3同杆</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与N3同杆</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N5</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振兴路</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南边路口</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直埋</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16</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N11</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振兴路</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北边路口</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直埋</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草坪恢复</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N19</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过渡房</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西侧围墙朝东</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18</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N23</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南闸</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挂南闸房屋东北角，朝向灯塔路，视角覆盖馨泊湾酒店</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壁装</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W19</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景观大道</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沿线路口</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墓地十字路口，路西边</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明线50+过路20+埋地</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凿除部分沥青路面，冷沥青恢复</w:t>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20</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W20</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沿线路口</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温泉房，路口西北角</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过路20+埋地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场地面凿沟+砼修复</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W21</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沿线路口</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金山银山标牌处，路的西南角</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草坪恢复</w:t>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22</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W22</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沿线路口</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下一个丁字路口，路北边</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草坪恢复</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W23</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沿线路口</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下一个十字路口，路南边</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架空+埋地20</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W24</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沿线路口</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下一个路口，路西北角</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W25</w:t>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沿线路口</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老江堤十字路口，路西北角</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26</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N20</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景区管理</w:t>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灯塔路</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灯塔路与双山岛路交叉口东北角</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N1</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城楼及广场</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城楼南侧</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bottom"/>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北码头城楼往南</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壁装</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28</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N2</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城楼北侧</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bottom"/>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北码头城楼往北</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壁装</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N6</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集镇区域</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明珠灯塔</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灯塔广场</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灯塔船头</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埋地+明线</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30</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N7</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无动力乐园</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bottom"/>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老街卫生间东侧河边，朝无动力乐园</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N8</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bottom"/>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老街东侧儿童游乐区西侧</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32</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环岛各处</w:t>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环岛路</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环岛江堤（码头东引桥）</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原有监控立杆</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原有电源</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W34</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环岛江堤（码头西引桥）</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34</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璟泊湾江堤外</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埋地90+过路10+明线</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过江堤沥青凿沟+冷沥青恢复</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W3</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高尔夫南U型弯处</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全局</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埋地+过路10+明线</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过江堤沥青凿沟+冷沥青恢复</w:t>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36</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W9</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飞行营地往东路口（老码头）</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利用原有水泥杆</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W8</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老码头平台1</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埋地+过路10</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38</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W7</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老码头平台2</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W13</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北闸转弯处</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架空40+过路20+埋地</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40</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W4</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大伯墩</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大伯墩南入口</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埋地+过路5</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W5</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大伯墩北1入口</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埋地380+过路20+明线</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42</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W6</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大伯墩北2入口</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W33</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大伯墩栈桥（两条栈道交叉点）</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全局</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依附栈桥安装</w:t>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44</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W27</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芦苇小课堂</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明线</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W11</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芦竹园</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芦竹园广场</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埋地+过路10</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46</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W12</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芦竹园三角区西</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全局</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W10</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芦竹园江边亭子</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全局</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48</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W14</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丁坝</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丁坝（胜利公园附近）</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全局</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W18</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丁坝（海棠湾附近）</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全局</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原有监控立杆</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埋地+过路10</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50</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补接1</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丁坝</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接入平台</w: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补接2</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双山宾馆门口</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双山宾馆大门口螃蜞湾位置</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接入平台</w:t>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52</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W28</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渡江胜利公园</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渡江胜利公园广场</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W15</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渡江胜利公园小红船</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原有监控立杆</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原有电源</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54</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W16</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红村</w:t>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地下交通站江堤路口</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2</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埋地+过路15米+架空15</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W17</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地下交通站</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筒型网络摄像机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架空</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56</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W26</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海棠红剧场（包括外侧主路）</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架空+埋地10</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W29</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海棠湾</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海棠湾主出入口</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埋地+过路30</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58</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W30</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慢田路南/环岛路</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埋地600</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W31</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环岛路（南闸西）</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架空70+过路5+埋地</w:t>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d6dce4"/>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60</w:t>
            </w:r>
            <w:r/>
          </w:p>
        </w:tc>
        <w:tc>
          <w:tcPr>
            <w:shd w:val="clear" w:color="auto" w:fill="d6dce4"/>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W32</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香恬路南/南环路</w:t>
            </w:r>
            <w:r/>
          </w:p>
        </w:tc>
        <w:tc>
          <w:tcPr>
            <w:shd w:val="clear" w:color="auto" w:fill="d6dce4"/>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双摄球</w:t>
            </w:r>
            <w:r/>
          </w:p>
        </w:tc>
        <w:tc>
          <w:tcPr>
            <w:shd w:val="clear" w:color="auto" w:fill="d6d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d6dce4"/>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1</w:t>
            </w:r>
            <w:r/>
          </w:p>
        </w:tc>
        <w:tc>
          <w:tcPr>
            <w:shd w:val="clear" w:color="auto" w:fill="d6dce4"/>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5</w:t>
            </w:r>
            <w:r/>
          </w:p>
        </w:tc>
        <w:tc>
          <w:tcPr>
            <w:shd w:val="clear" w:color="auto" w:fill="d6dce4"/>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埋地+过路10</w:t>
            </w:r>
            <w:r/>
          </w:p>
        </w:tc>
        <w:tc>
          <w:tcPr>
            <w:shd w:val="clear" w:color="auto" w:fill="d6dce4"/>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补接2</w:t>
            </w:r>
            <w:r/>
          </w:p>
        </w:tc>
        <w:tc>
          <w:tcPr>
            <w:shd w:val="clear" w:color="auto" w:fill="d6dce4"/>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双山宾馆门口</w:t>
            </w:r>
            <w:r/>
          </w:p>
        </w:tc>
        <w:tc>
          <w:tcPr>
            <w:shd w:val="clear" w:color="auto" w:fill="ffffff"/>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双山宾馆大门口螃蜞湾位置</w:t>
            </w:r>
            <w:r/>
          </w:p>
        </w:tc>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firstLine="0"/>
              <w:jc w:val="center"/>
              <w:keepLines w:val="0"/>
              <w:keepNext w:val="0"/>
              <w:pageBreakBefore w:val="0"/>
              <w:spacing w:line="240" w:lineRule="auto"/>
              <w:widowControl w:val="off"/>
              <w:rPr>
                <w:rFonts w:hint="eastAsia"/>
                <w:color w:val="auto"/>
                <w:highlight w:val="none"/>
              </w:rPr>
            </w:pPr>
            <w:r>
              <w:rPr>
                <w:rFonts w:hint="eastAsia"/>
                <w:color w:val="auto"/>
                <w:highlight w:val="none"/>
                <w:lang w:val="en-US" w:eastAsia="zh-CN"/>
              </w:rPr>
              <w:t xml:space="preserve">接入平台</w:t>
            </w:r>
            <w:r/>
          </w:p>
        </w:tc>
      </w:tr>
    </w:tbl>
    <w:p>
      <w:pPr>
        <w:ind w:firstLine="420"/>
        <w:rPr>
          <w:color w:val="auto"/>
          <w:highlight w:val="none"/>
        </w:rPr>
      </w:pPr>
      <w:r>
        <w:rPr>
          <w:color w:val="auto"/>
          <w:highlight w:val="none"/>
        </w:rPr>
      </w:r>
      <w:r/>
    </w:p>
    <w:p>
      <w:pPr>
        <w:ind w:firstLine="420"/>
        <w:rPr>
          <w:color w:val="auto"/>
          <w:highlight w:val="none"/>
        </w:rPr>
        <w:sectPr>
          <w:footnotePr/>
          <w:endnotePr/>
          <w:type w:val="nextPage"/>
          <w:pgSz w:w="16838" w:h="11906" w:orient="landscape"/>
          <w:pgMar w:top="1180" w:right="1440" w:bottom="1066" w:left="1440" w:header="851" w:footer="992" w:gutter="0"/>
          <w:cols w:num="1" w:sep="0" w:space="425" w:equalWidth="1"/>
          <w:docGrid w:linePitch="360"/>
        </w:sectPr>
      </w:pPr>
      <w:r>
        <w:rPr>
          <w:color w:val="auto"/>
          <w:highlight w:val="none"/>
        </w:rPr>
      </w:r>
      <w:r/>
    </w:p>
    <w:p>
      <w:pPr>
        <w:ind w:firstLine="643"/>
        <w:jc w:val="center"/>
        <w:spacing w:line="312" w:lineRule="auto"/>
        <w:rPr>
          <w:rFonts w:ascii="宋体"/>
          <w:b/>
          <w:bCs/>
          <w:color w:val="auto"/>
          <w:sz w:val="44"/>
          <w:szCs w:val="44"/>
          <w:highlight w:val="none"/>
        </w:rPr>
      </w:pPr>
      <w:r>
        <w:rPr>
          <w:rFonts w:hint="eastAsia" w:ascii="宋体"/>
          <w:b/>
          <w:bCs/>
          <w:color w:val="auto"/>
          <w:sz w:val="44"/>
          <w:szCs w:val="44"/>
          <w:highlight w:val="none"/>
        </w:rPr>
        <w:t xml:space="preserve">第五章  评标方法与评标标准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一、评标方法与定标原则 </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针对中小型企业的评审：</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注：①中小企业参加政府采购活动，应当出具《中小企业声明函》，否则不得享受相关中小企业扶持政策；</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②以上规定未尽事项，按《政府采购促进中小企业发展管理办法》等有关制度规定执行。</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（2）根据《关于促进残疾人就业政府采购政策的通知》（财库〔2017〕141号）的通知规定：</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注：投标人如不提供以上声明函的，不得享受相关政府采购政策。</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（3）根据《关于政府采购支持监狱企业发展有关问题的通知》（财库〔2014〕68号）的通知规定：</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注：投标人如不提供以上证明材料的，不得享受相关政府采购政策。</w:t>
      </w:r>
      <w:r/>
    </w:p>
    <w:p>
      <w:pPr>
        <w:pStyle w:val="1504"/>
        <w:ind w:firstLine="48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异常低价投标(响应)审查</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评审过程中出现下列情形之一的，评审委员会应当启动异常低价投标（响应）审查程序：</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（1）投标（响应）报价低于采购项目预算50%的，即投标（响应）报价&lt;采购项目预算×50%；</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（2）投标（响应）报价低于采购项目最高限价45%的，即投标（响应）报价&lt;采购项目最高限价×45%；</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（3）评审委员会认定的供应商报价过低、有可能影响产品质量或者不能诚信履约的其他情形。</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504"/>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rPr>
          <w:rFonts w:hint="eastAsia" w:ascii="宋体" w:hAnsi="宋体" w:cs="Arial"/>
          <w:b/>
          <w:bCs/>
          <w:color w:val="auto"/>
          <w:sz w:val="28"/>
          <w:szCs w:val="28"/>
          <w:highlight w:val="none"/>
        </w:rPr>
        <w:outlineLvl w:val="1"/>
      </w:pPr>
      <w:r>
        <w:rPr>
          <w:rFonts w:hint="eastAsia" w:ascii="宋体" w:hAnsi="宋体" w:cs="宋体"/>
          <w:b/>
          <w:bCs/>
          <w:color w:val="auto"/>
          <w:sz w:val="24"/>
          <w:highlight w:val="none"/>
        </w:rPr>
        <w:t xml:space="preserve">二、评标标准  </w:t>
      </w:r>
      <w:r>
        <w:rPr>
          <w:rFonts w:hint="eastAsia" w:ascii="宋体" w:hAnsi="宋体"/>
          <w:b/>
          <w:bCs/>
          <w:color w:val="auto"/>
          <w:sz w:val="32"/>
          <w:szCs w:val="32"/>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（一）价格分2</w:t>
      </w:r>
      <w:r>
        <w:rPr>
          <w:rFonts w:ascii="宋体" w:hAnsi="宋体" w:cs="宋体"/>
          <w:color w:val="auto"/>
          <w:sz w:val="24"/>
          <w:highlight w:val="none"/>
        </w:rPr>
        <w:t xml:space="preserve">0</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采用低价优先法计算，即满足招标文件要求且投标价格最低的投标价为评标基准价，其价格分为满分2</w:t>
      </w:r>
      <w:r>
        <w:rPr>
          <w:rFonts w:ascii="宋体" w:hAnsi="宋体" w:cs="宋体"/>
          <w:color w:val="auto"/>
          <w:sz w:val="24"/>
          <w:highlight w:val="none"/>
        </w:rPr>
        <w:t xml:space="preserve">0</w:t>
      </w:r>
      <w:r>
        <w:rPr>
          <w:rFonts w:hint="eastAsia" w:ascii="宋体" w:hAnsi="宋体" w:cs="宋体"/>
          <w:color w:val="auto"/>
          <w:sz w:val="24"/>
          <w:highlight w:val="none"/>
        </w:rPr>
        <w:t xml:space="preserve">分。其它投标人的价格分统一按照下列公式计算：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投标报价得分=（评标基准价/投标报价）2</w:t>
      </w:r>
      <w:r>
        <w:rPr>
          <w:rFonts w:ascii="宋体" w:hAnsi="宋体" w:cs="宋体"/>
          <w:color w:val="auto"/>
          <w:sz w:val="24"/>
          <w:highlight w:val="none"/>
        </w:rPr>
        <w:t xml:space="preserve">0</w:t>
      </w:r>
      <w:r>
        <w:rPr>
          <w:rFonts w:hint="eastAsia" w:ascii="宋体" w:hAnsi="宋体" w:cs="宋体"/>
          <w:color w:val="auto"/>
          <w:sz w:val="24"/>
          <w:highlight w:val="none"/>
        </w:rPr>
        <w:t xml:space="preserve">%*100（保留二位小数）。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TW"/>
        </w:rPr>
        <w:t xml:space="preserve">（二）方案、</w:t>
      </w:r>
      <w:r>
        <w:rPr>
          <w:rFonts w:hint="eastAsia" w:ascii="宋体" w:hAnsi="宋体" w:cs="宋体"/>
          <w:color w:val="auto"/>
          <w:sz w:val="24"/>
          <w:highlight w:val="none"/>
        </w:rPr>
        <w:t xml:space="preserve">技术性能、质量分66分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1．产品技术参数、功能分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投报产品技术参数和功能符合招标要求的，得</w:t>
      </w:r>
      <w:r>
        <w:rPr>
          <w:rFonts w:ascii="宋体" w:hAnsi="宋体" w:cs="宋体"/>
          <w:color w:val="auto"/>
          <w:sz w:val="24"/>
          <w:highlight w:val="none"/>
        </w:rPr>
        <w:t xml:space="preserve">25</w:t>
      </w:r>
      <w:r>
        <w:rPr>
          <w:rFonts w:hint="eastAsia" w:ascii="宋体" w:hAnsi="宋体" w:cs="宋体"/>
          <w:color w:val="auto"/>
          <w:sz w:val="24"/>
          <w:highlight w:val="none"/>
        </w:rPr>
        <w:t xml:space="preserve">分，项目需求中加▲的参数为重要指标项，每有一处负偏离扣1分；一般指标项，每有一处负偏离扣0.5分，扣完为止。（参数要求中列明需提供检测检验报告的，需按要求提供检测检验报告，否则该项视为负偏离）。本项最高得分2</w:t>
      </w:r>
      <w:r>
        <w:rPr>
          <w:rFonts w:ascii="宋体" w:hAnsi="宋体" w:cs="宋体"/>
          <w:color w:val="auto"/>
          <w:sz w:val="24"/>
          <w:highlight w:val="none"/>
        </w:rPr>
        <w:t xml:space="preserve">5</w:t>
      </w:r>
      <w:r>
        <w:rPr>
          <w:rFonts w:hint="eastAsia" w:ascii="宋体" w:hAnsi="宋体" w:cs="宋体"/>
          <w:color w:val="auto"/>
          <w:sz w:val="24"/>
          <w:highlight w:val="none"/>
        </w:rPr>
        <w:t xml:space="preserve">分。【0-2</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2．技术方案分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根据投标人提供的技术方案进行评分，方案应至少包含：对本项目的理解、现状分析、项目设计依据、解决方案、施工准备。方案完全包含上述内容且内容有实质性意义满足项目需求的，得</w:t>
      </w:r>
      <w:r>
        <w:rPr>
          <w:rFonts w:ascii="宋体" w:hAnsi="宋体" w:cs="宋体"/>
          <w:color w:val="auto"/>
          <w:sz w:val="24"/>
          <w:highlight w:val="none"/>
        </w:rPr>
        <w:t xml:space="preserve">6</w:t>
      </w:r>
      <w:r>
        <w:rPr>
          <w:rFonts w:hint="eastAsia" w:ascii="宋体" w:hAnsi="宋体" w:cs="宋体"/>
          <w:color w:val="auto"/>
          <w:sz w:val="24"/>
          <w:highlight w:val="none"/>
        </w:rPr>
        <w:t xml:space="preserve">分；方案内有部分缺少或部分内容无实质性意义的，得</w:t>
      </w:r>
      <w:r>
        <w:rPr>
          <w:rFonts w:ascii="宋体" w:hAnsi="宋体" w:cs="宋体"/>
          <w:color w:val="auto"/>
          <w:sz w:val="24"/>
          <w:highlight w:val="none"/>
        </w:rPr>
        <w:t xml:space="preserve">4</w:t>
      </w:r>
      <w:r>
        <w:rPr>
          <w:rFonts w:hint="eastAsia" w:ascii="宋体" w:hAnsi="宋体" w:cs="宋体"/>
          <w:color w:val="auto"/>
          <w:sz w:val="24"/>
          <w:highlight w:val="none"/>
        </w:rPr>
        <w:t xml:space="preserve">分；方案内容简略且基本无实质性意义的，得</w:t>
      </w:r>
      <w:r>
        <w:rPr>
          <w:rFonts w:ascii="宋体" w:hAnsi="宋体" w:cs="宋体"/>
          <w:color w:val="auto"/>
          <w:sz w:val="24"/>
          <w:highlight w:val="none"/>
        </w:rPr>
        <w:t xml:space="preserve">2</w:t>
      </w:r>
      <w:r>
        <w:rPr>
          <w:rFonts w:hint="eastAsia" w:ascii="宋体" w:hAnsi="宋体" w:cs="宋体"/>
          <w:color w:val="auto"/>
          <w:sz w:val="24"/>
          <w:highlight w:val="none"/>
        </w:rPr>
        <w:t xml:space="preserve">分；未提供方案说明的不得分。【</w:t>
      </w: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3．实施方案分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投标人提供的实施方案进行评分，方案应至少包含：设备供货计划、管理人员投入计划、施工机具配备情况、质量保证措施、施工安全措施、工期及进度保证措施、验收方案。方案完全包含上述内容且内容有实质性意义满足项目需求的，得8分；方案内有部分缺少或部分内容无实质性意义的，得5分；方案内容简略且基本无实质性意义的，得2分；未提供方案说明的不得分。【8/5/</w:t>
      </w:r>
      <w:r>
        <w:rPr>
          <w:rFonts w:ascii="宋体" w:hAnsi="宋体" w:cs="宋体"/>
          <w:color w:val="auto"/>
          <w:sz w:val="24"/>
          <w:highlight w:val="none"/>
        </w:rPr>
        <w:t xml:space="preserve">2</w:t>
      </w:r>
      <w:r>
        <w:rPr>
          <w:rFonts w:hint="eastAsia" w:ascii="宋体" w:hAnsi="宋体" w:cs="宋体"/>
          <w:color w:val="auto"/>
          <w:sz w:val="24"/>
          <w:highlight w:val="none"/>
        </w:rPr>
        <w:t xml:space="preserve">/0】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4．安全施工方案分</w:t>
      </w:r>
      <w:r/>
    </w:p>
    <w:p>
      <w:pPr>
        <w:ind w:firstLine="480"/>
        <w:spacing w:line="360" w:lineRule="auto"/>
        <w:rPr>
          <w:rFonts w:hint="eastAsia" w:ascii="宋体" w:hAnsi="宋体" w:cs="宋体"/>
          <w:color w:val="auto"/>
          <w:sz w:val="24"/>
          <w:highlight w:val="none"/>
        </w:rPr>
      </w:pPr>
      <w:r>
        <w:rPr>
          <w:rStyle w:val="1232"/>
          <w:rFonts w:hint="eastAsia" w:ascii="宋体" w:hAnsi="宋体" w:cs="宋体"/>
          <w:color w:val="auto"/>
          <w:sz w:val="24"/>
          <w:highlight w:val="none"/>
        </w:rPr>
        <w:t xml:space="preserve">根据投标人提供的安全施工方案进行评分，方案应至少应包含：施工方法、劳动组织、作业方法、使用的机械、动力设备、变配电设施、以及各种安全防护设施等。方案完全包含上述内容且内容有实质性意义满足项目需求的，得</w:t>
      </w:r>
      <w:r>
        <w:rPr>
          <w:rStyle w:val="1232"/>
          <w:rFonts w:ascii="宋体" w:hAnsi="宋体" w:cs="宋体"/>
          <w:color w:val="auto"/>
          <w:sz w:val="24"/>
          <w:highlight w:val="none"/>
        </w:rPr>
        <w:t xml:space="preserve">6</w:t>
      </w:r>
      <w:r>
        <w:rPr>
          <w:rStyle w:val="1232"/>
          <w:rFonts w:hint="eastAsia" w:ascii="宋体" w:hAnsi="宋体" w:cs="宋体"/>
          <w:color w:val="auto"/>
          <w:sz w:val="24"/>
          <w:highlight w:val="none"/>
        </w:rPr>
        <w:t xml:space="preserve">分；方案内有部分缺少或部分内容无实质性意义的，得</w:t>
      </w:r>
      <w:r>
        <w:rPr>
          <w:rStyle w:val="1232"/>
          <w:rFonts w:ascii="宋体" w:hAnsi="宋体" w:cs="宋体"/>
          <w:color w:val="auto"/>
          <w:sz w:val="24"/>
          <w:highlight w:val="none"/>
        </w:rPr>
        <w:t xml:space="preserve">4</w:t>
      </w:r>
      <w:r>
        <w:rPr>
          <w:rStyle w:val="1232"/>
          <w:rFonts w:hint="eastAsia" w:ascii="宋体" w:hAnsi="宋体" w:cs="宋体"/>
          <w:color w:val="auto"/>
          <w:sz w:val="24"/>
          <w:highlight w:val="none"/>
        </w:rPr>
        <w:t xml:space="preserve">分；方案内容简略且基本无实质性意义的，得2分,未提供方案说明的不得分。【</w:t>
      </w:r>
      <w:r>
        <w:rPr>
          <w:rStyle w:val="1232"/>
          <w:rFonts w:ascii="宋体" w:hAnsi="宋体" w:cs="宋体"/>
          <w:color w:val="auto"/>
          <w:sz w:val="24"/>
          <w:highlight w:val="none"/>
        </w:rPr>
        <w:t xml:space="preserve">6</w:t>
      </w:r>
      <w:r>
        <w:rPr>
          <w:rStyle w:val="1232"/>
          <w:rFonts w:hint="eastAsia" w:ascii="宋体" w:hAnsi="宋体" w:cs="宋体"/>
          <w:color w:val="auto"/>
          <w:sz w:val="24"/>
          <w:highlight w:val="none"/>
        </w:rPr>
        <w:t xml:space="preserve">/</w:t>
      </w:r>
      <w:r>
        <w:rPr>
          <w:rStyle w:val="1232"/>
          <w:rFonts w:ascii="宋体" w:hAnsi="宋体" w:cs="宋体"/>
          <w:color w:val="auto"/>
          <w:sz w:val="24"/>
          <w:highlight w:val="none"/>
        </w:rPr>
        <w:t xml:space="preserve">4</w:t>
      </w:r>
      <w:r>
        <w:rPr>
          <w:rStyle w:val="1232"/>
          <w:rFonts w:hint="eastAsia" w:ascii="宋体" w:hAnsi="宋体" w:cs="宋体"/>
          <w:color w:val="auto"/>
          <w:sz w:val="24"/>
          <w:highlight w:val="none"/>
        </w:rPr>
        <w:t xml:space="preserve">/2/0】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5．整体运维方案分</w:t>
      </w:r>
      <w:r/>
    </w:p>
    <w:p>
      <w:pPr>
        <w:ind w:firstLine="480"/>
        <w:spacing w:line="360" w:lineRule="auto"/>
        <w:rPr>
          <w:rStyle w:val="1232"/>
          <w:rFonts w:hint="eastAsia" w:ascii="宋体" w:hAnsi="宋体" w:cs="宋体"/>
          <w:color w:val="auto"/>
          <w:sz w:val="24"/>
          <w:highlight w:val="none"/>
        </w:rPr>
      </w:pPr>
      <w:r>
        <w:rPr>
          <w:rStyle w:val="1232"/>
          <w:rFonts w:hint="eastAsia" w:ascii="宋体" w:hAnsi="宋体" w:cs="宋体"/>
          <w:color w:val="auto"/>
          <w:sz w:val="24"/>
          <w:highlight w:val="none"/>
        </w:rPr>
        <w:t xml:space="preserve">根据投标人提供的整体运维方案进行评分，方案应至少包含：</w:t>
      </w:r>
      <w:r>
        <w:rPr>
          <w:rStyle w:val="1232"/>
          <w:rFonts w:ascii="宋体" w:hAnsi="宋体" w:cs="宋体"/>
          <w:color w:val="auto"/>
          <w:sz w:val="24"/>
          <w:highlight w:val="none"/>
        </w:rPr>
        <w:t xml:space="preserve">系统运维保障方案、营运保障、服务流程、</w:t>
      </w:r>
      <w:bookmarkStart w:id="207" w:name="OLE_LINK5"/>
      <w:r>
        <w:rPr>
          <w:rStyle w:val="1232"/>
          <w:rFonts w:ascii="宋体" w:hAnsi="宋体" w:cs="宋体"/>
          <w:color w:val="auto"/>
          <w:sz w:val="24"/>
          <w:highlight w:val="none"/>
        </w:rPr>
        <w:t xml:space="preserve">服务承诺</w:t>
      </w:r>
      <w:bookmarkEnd w:id="207"/>
      <w:r>
        <w:rPr>
          <w:rStyle w:val="1232"/>
          <w:rFonts w:hint="eastAsia" w:ascii="宋体" w:hAnsi="宋体" w:cs="宋体"/>
          <w:color w:val="auto"/>
          <w:sz w:val="24"/>
          <w:highlight w:val="none"/>
        </w:rPr>
        <w:t xml:space="preserve">（</w:t>
      </w:r>
      <w:r>
        <w:rPr>
          <w:rStyle w:val="1232"/>
          <w:rFonts w:ascii="宋体" w:hAnsi="宋体" w:cs="宋体"/>
          <w:color w:val="auto"/>
          <w:sz w:val="24"/>
          <w:highlight w:val="none"/>
        </w:rPr>
        <w:t xml:space="preserve">包括响应时间、服务期限、运维服务工作内容</w:t>
      </w:r>
      <w:r>
        <w:rPr>
          <w:rStyle w:val="1232"/>
          <w:rFonts w:hint="eastAsia" w:ascii="宋体" w:hAnsi="宋体" w:cs="宋体"/>
          <w:color w:val="auto"/>
          <w:sz w:val="24"/>
          <w:highlight w:val="none"/>
        </w:rPr>
        <w:t xml:space="preserve">）</w:t>
      </w:r>
      <w:r>
        <w:rPr>
          <w:rStyle w:val="1232"/>
          <w:rFonts w:ascii="宋体" w:hAnsi="宋体" w:cs="宋体"/>
          <w:color w:val="auto"/>
          <w:sz w:val="24"/>
          <w:highlight w:val="none"/>
        </w:rPr>
        <w:t xml:space="preserve">等</w:t>
      </w:r>
      <w:r>
        <w:rPr>
          <w:rStyle w:val="1232"/>
          <w:rFonts w:hint="eastAsia" w:ascii="宋体" w:hAnsi="宋体" w:cs="宋体"/>
          <w:color w:val="auto"/>
          <w:sz w:val="24"/>
          <w:highlight w:val="none"/>
        </w:rPr>
        <w:t xml:space="preserve">。方案完全包含上述内容且内容有实质性意义满足项目需求的，得9分；方案内有部分缺少或部分内容无实质性意义的，得6分；方案内容简略且基本无实质性意义的，得3分；未提供方案说明的不得分。【9/6/3/0】</w:t>
      </w:r>
      <w:r/>
    </w:p>
    <w:p>
      <w:pPr>
        <w:pStyle w:val="1508"/>
        <w:ind w:firstLine="480"/>
        <w:spacing w:line="440" w:lineRule="exact"/>
        <w:rPr>
          <w:rStyle w:val="1159"/>
          <w:rFonts w:hint="eastAsia" w:ascii="宋体" w:hAnsi="宋体" w:eastAsia="宋体" w:cs="宋体"/>
          <w:color w:val="auto"/>
          <w:spacing w:val="7"/>
          <w:highlight w:val="none"/>
          <w:lang w:val="en-US" w:eastAsia="zh-CN"/>
        </w:rPr>
      </w:pPr>
      <w:r>
        <w:rPr>
          <w:rStyle w:val="1232"/>
          <w:rFonts w:hint="eastAsia" w:ascii="宋体" w:hAnsi="宋体" w:cs="宋体"/>
          <w:color w:val="auto"/>
          <w:sz w:val="24"/>
          <w:highlight w:val="none"/>
        </w:rPr>
        <w:t xml:space="preserve">6</w:t>
      </w:r>
      <w:r>
        <w:rPr>
          <w:rStyle w:val="1232"/>
          <w:rFonts w:ascii="宋体" w:hAnsi="宋体" w:cs="宋体"/>
          <w:color w:val="auto"/>
          <w:sz w:val="24"/>
          <w:highlight w:val="none"/>
        </w:rPr>
        <w:t xml:space="preserve">.</w:t>
      </w:r>
      <w:r>
        <w:rPr>
          <w:rFonts w:hint="eastAsia" w:ascii="宋体" w:hAnsi="宋体" w:cs="宋体"/>
          <w:color w:val="auto"/>
          <w:spacing w:val="7"/>
          <w:highlight w:val="none"/>
        </w:rPr>
        <w:t xml:space="preserve"> </w:t>
      </w:r>
      <w:r>
        <w:rPr>
          <w:rStyle w:val="1159"/>
          <w:rFonts w:hint="eastAsia" w:ascii="宋体" w:hAnsi="宋体" w:eastAsia="宋体" w:cs="宋体"/>
          <w:color w:val="auto"/>
          <w:spacing w:val="7"/>
          <w:highlight w:val="none"/>
        </w:rPr>
        <w:t xml:space="preserve">培训方案</w:t>
      </w:r>
      <w:r>
        <w:rPr>
          <w:rStyle w:val="1159"/>
          <w:rFonts w:hint="eastAsia" w:ascii="宋体" w:hAnsi="宋体" w:eastAsia="宋体" w:cs="宋体"/>
          <w:color w:val="auto"/>
          <w:spacing w:val="7"/>
          <w:highlight w:val="none"/>
          <w:lang w:val="en-US" w:eastAsia="zh-CN"/>
        </w:rPr>
        <w:t xml:space="preserve">分</w:t>
      </w:r>
      <w:r/>
    </w:p>
    <w:p>
      <w:pPr>
        <w:ind w:firstLine="508"/>
        <w:spacing w:line="360" w:lineRule="auto"/>
        <w:rPr>
          <w:rStyle w:val="1232"/>
          <w:rFonts w:hint="eastAsia" w:ascii="宋体" w:hAnsi="宋体" w:cs="宋体"/>
          <w:color w:val="auto"/>
          <w:sz w:val="24"/>
          <w:highlight w:val="none"/>
        </w:rPr>
      </w:pPr>
      <w:r>
        <w:rPr>
          <w:rStyle w:val="1159"/>
          <w:rFonts w:hint="eastAsia" w:ascii="宋体" w:hAnsi="宋体" w:cs="宋体"/>
          <w:color w:val="auto"/>
          <w:spacing w:val="7"/>
          <w:sz w:val="24"/>
          <w:highlight w:val="none"/>
        </w:rPr>
        <w:t xml:space="preserve">根据投标人提供的培训方案进行综合评定，培训方案内容应包含培训目标、培训计划、培训内容、培训人员配置、培训保障措施。方案完全包含上述内容且满足项目需求，得</w:t>
      </w:r>
      <w:r>
        <w:rPr>
          <w:rStyle w:val="1159"/>
          <w:rFonts w:ascii="宋体" w:hAnsi="宋体" w:cs="宋体"/>
          <w:color w:val="auto"/>
          <w:spacing w:val="7"/>
          <w:sz w:val="24"/>
          <w:highlight w:val="none"/>
        </w:rPr>
        <w:t xml:space="preserve">6</w:t>
      </w:r>
      <w:r>
        <w:rPr>
          <w:rStyle w:val="1159"/>
          <w:rFonts w:hint="eastAsia" w:ascii="宋体" w:hAnsi="宋体" w:cs="宋体"/>
          <w:color w:val="auto"/>
          <w:spacing w:val="7"/>
          <w:sz w:val="24"/>
          <w:highlight w:val="none"/>
        </w:rPr>
        <w:t xml:space="preserve">分；方案内有部分缺少或部分内容不能完全满足项目需求的，但缺少量不满2项上述内容的，得</w:t>
      </w:r>
      <w:r>
        <w:rPr>
          <w:rStyle w:val="1159"/>
          <w:rFonts w:ascii="宋体" w:hAnsi="宋体" w:cs="宋体"/>
          <w:color w:val="auto"/>
          <w:spacing w:val="7"/>
          <w:sz w:val="24"/>
          <w:highlight w:val="none"/>
        </w:rPr>
        <w:t xml:space="preserve">4</w:t>
      </w:r>
      <w:r>
        <w:rPr>
          <w:rStyle w:val="1159"/>
          <w:rFonts w:hint="eastAsia" w:ascii="宋体" w:hAnsi="宋体" w:cs="宋体"/>
          <w:color w:val="auto"/>
          <w:spacing w:val="7"/>
          <w:sz w:val="24"/>
          <w:highlight w:val="none"/>
        </w:rPr>
        <w:t xml:space="preserve">分；方案内有缺少或部分内容不能完全满足项目需求的，缺少量大于等于2项上述内容的，得</w:t>
      </w:r>
      <w:r>
        <w:rPr>
          <w:rStyle w:val="1159"/>
          <w:rFonts w:ascii="宋体" w:hAnsi="宋体" w:cs="宋体"/>
          <w:color w:val="auto"/>
          <w:spacing w:val="7"/>
          <w:sz w:val="24"/>
          <w:highlight w:val="none"/>
        </w:rPr>
        <w:t xml:space="preserve">2</w:t>
      </w:r>
      <w:r>
        <w:rPr>
          <w:rStyle w:val="1159"/>
          <w:rFonts w:hint="eastAsia" w:ascii="宋体" w:hAnsi="宋体" w:cs="宋体"/>
          <w:color w:val="auto"/>
          <w:spacing w:val="7"/>
          <w:sz w:val="24"/>
          <w:highlight w:val="none"/>
        </w:rPr>
        <w:t xml:space="preserve">分；不提供不得分。</w:t>
      </w:r>
      <w:r>
        <w:rPr>
          <w:rStyle w:val="1232"/>
          <w:rFonts w:hint="eastAsia" w:ascii="宋体" w:hAnsi="宋体" w:cs="宋体"/>
          <w:color w:val="auto"/>
          <w:sz w:val="24"/>
          <w:highlight w:val="none"/>
        </w:rPr>
        <w:t xml:space="preserve">【</w:t>
      </w:r>
      <w:r>
        <w:rPr>
          <w:rStyle w:val="1232"/>
          <w:rFonts w:ascii="宋体" w:hAnsi="宋体" w:cs="宋体"/>
          <w:color w:val="auto"/>
          <w:sz w:val="24"/>
          <w:highlight w:val="none"/>
        </w:rPr>
        <w:t xml:space="preserve">6</w:t>
      </w:r>
      <w:r>
        <w:rPr>
          <w:rStyle w:val="1232"/>
          <w:rFonts w:hint="eastAsia" w:ascii="宋体" w:hAnsi="宋体" w:cs="宋体"/>
          <w:color w:val="auto"/>
          <w:sz w:val="24"/>
          <w:highlight w:val="none"/>
        </w:rPr>
        <w:t xml:space="preserve">/</w:t>
      </w:r>
      <w:r>
        <w:rPr>
          <w:rStyle w:val="1232"/>
          <w:rFonts w:ascii="宋体" w:hAnsi="宋体" w:cs="宋体"/>
          <w:color w:val="auto"/>
          <w:sz w:val="24"/>
          <w:highlight w:val="none"/>
        </w:rPr>
        <w:t xml:space="preserve">4</w:t>
      </w:r>
      <w:r>
        <w:rPr>
          <w:rStyle w:val="1232"/>
          <w:rFonts w:hint="eastAsia" w:ascii="宋体" w:hAnsi="宋体" w:cs="宋体"/>
          <w:color w:val="auto"/>
          <w:sz w:val="24"/>
          <w:highlight w:val="none"/>
        </w:rPr>
        <w:t xml:space="preserve">/2/0】</w:t>
      </w:r>
      <w:r/>
    </w:p>
    <w:p>
      <w:pPr>
        <w:ind w:firstLine="480"/>
        <w:spacing w:line="360" w:lineRule="auto"/>
        <w:rPr>
          <w:rStyle w:val="1232"/>
          <w:rFonts w:hint="eastAsia" w:ascii="宋体" w:hAnsi="宋体" w:cs="宋体"/>
          <w:color w:val="auto"/>
          <w:sz w:val="24"/>
          <w:highlight w:val="none"/>
        </w:rPr>
      </w:pPr>
      <w:r>
        <w:rPr>
          <w:rFonts w:hint="eastAsia" w:ascii="宋体" w:hAnsi="宋体" w:cs="宋体"/>
          <w:color w:val="auto"/>
          <w:sz w:val="24"/>
          <w:szCs w:val="22"/>
          <w:highlight w:val="none"/>
        </w:rPr>
        <w:t xml:space="preserve">7.重大、突发事件</w:t>
      </w:r>
      <w:r>
        <w:rPr>
          <w:rStyle w:val="1232"/>
          <w:rFonts w:hint="eastAsia" w:ascii="宋体" w:hAnsi="宋体" w:cs="宋体"/>
          <w:color w:val="auto"/>
          <w:sz w:val="24"/>
          <w:highlight w:val="none"/>
        </w:rPr>
        <w:t xml:space="preserve">应急响应方案</w:t>
      </w:r>
      <w:r/>
    </w:p>
    <w:p>
      <w:pPr>
        <w:ind w:firstLine="508"/>
        <w:spacing w:line="360" w:lineRule="auto"/>
        <w:rPr>
          <w:rStyle w:val="1232"/>
          <w:rFonts w:hint="eastAsia" w:ascii="宋体" w:hAnsi="宋体" w:cs="宋体"/>
          <w:color w:val="auto"/>
          <w:sz w:val="24"/>
          <w:highlight w:val="none"/>
        </w:rPr>
      </w:pPr>
      <w:r>
        <w:rPr>
          <w:rStyle w:val="1159"/>
          <w:rFonts w:hint="eastAsia" w:ascii="宋体" w:hAnsi="宋体" w:cs="宋体"/>
          <w:color w:val="auto"/>
          <w:spacing w:val="7"/>
          <w:sz w:val="24"/>
          <w:highlight w:val="none"/>
        </w:rPr>
        <w:t xml:space="preserve">根据投标人提供的重大、突发事件应急响应方案进行综合评定，重大、突发事件应急响应方案内容应包含应急处理流程、应急设备保障、相关应急措施、应急人员安排。方案完全包含上述内容且满足项目需求，得</w:t>
      </w:r>
      <w:r>
        <w:rPr>
          <w:rStyle w:val="1159"/>
          <w:rFonts w:ascii="宋体" w:hAnsi="宋体" w:cs="宋体"/>
          <w:color w:val="auto"/>
          <w:spacing w:val="7"/>
          <w:sz w:val="24"/>
          <w:highlight w:val="none"/>
        </w:rPr>
        <w:t xml:space="preserve">6</w:t>
      </w:r>
      <w:r>
        <w:rPr>
          <w:rStyle w:val="1159"/>
          <w:rFonts w:hint="eastAsia" w:ascii="宋体" w:hAnsi="宋体" w:cs="宋体"/>
          <w:color w:val="auto"/>
          <w:spacing w:val="7"/>
          <w:sz w:val="24"/>
          <w:highlight w:val="none"/>
        </w:rPr>
        <w:t xml:space="preserve">分；方案内有部分缺少或部分内容不能完全满足项目需求的，但缺少量不满2项上述内容的，得</w:t>
      </w:r>
      <w:r>
        <w:rPr>
          <w:rStyle w:val="1159"/>
          <w:rFonts w:ascii="宋体" w:hAnsi="宋体" w:cs="宋体"/>
          <w:color w:val="auto"/>
          <w:spacing w:val="7"/>
          <w:sz w:val="24"/>
          <w:highlight w:val="none"/>
        </w:rPr>
        <w:t xml:space="preserve">4</w:t>
      </w:r>
      <w:r>
        <w:rPr>
          <w:rStyle w:val="1159"/>
          <w:rFonts w:hint="eastAsia" w:ascii="宋体" w:hAnsi="宋体" w:cs="宋体"/>
          <w:color w:val="auto"/>
          <w:spacing w:val="7"/>
          <w:sz w:val="24"/>
          <w:highlight w:val="none"/>
        </w:rPr>
        <w:t xml:space="preserve">分；方案内有缺少或部分内容不能完全满足项目需求的，缺少量大于等于2项上述内容的，得</w:t>
      </w:r>
      <w:r>
        <w:rPr>
          <w:rStyle w:val="1159"/>
          <w:rFonts w:ascii="宋体" w:hAnsi="宋体" w:cs="宋体"/>
          <w:color w:val="auto"/>
          <w:spacing w:val="7"/>
          <w:sz w:val="24"/>
          <w:highlight w:val="none"/>
        </w:rPr>
        <w:t xml:space="preserve">2</w:t>
      </w:r>
      <w:r>
        <w:rPr>
          <w:rStyle w:val="1159"/>
          <w:rFonts w:hint="eastAsia" w:ascii="宋体" w:hAnsi="宋体" w:cs="宋体"/>
          <w:color w:val="auto"/>
          <w:spacing w:val="7"/>
          <w:sz w:val="24"/>
          <w:highlight w:val="none"/>
        </w:rPr>
        <w:t xml:space="preserve">分；不提供不得分。</w:t>
      </w:r>
      <w:r>
        <w:rPr>
          <w:rStyle w:val="1232"/>
          <w:rFonts w:hint="eastAsia" w:ascii="宋体" w:hAnsi="宋体" w:cs="宋体"/>
          <w:color w:val="auto"/>
          <w:sz w:val="24"/>
          <w:highlight w:val="none"/>
        </w:rPr>
        <w:t xml:space="preserve">【</w:t>
      </w:r>
      <w:r>
        <w:rPr>
          <w:rStyle w:val="1232"/>
          <w:rFonts w:ascii="宋体" w:hAnsi="宋体" w:cs="宋体"/>
          <w:color w:val="auto"/>
          <w:sz w:val="24"/>
          <w:highlight w:val="none"/>
        </w:rPr>
        <w:t xml:space="preserve">6</w:t>
      </w:r>
      <w:r>
        <w:rPr>
          <w:rStyle w:val="1232"/>
          <w:rFonts w:hint="eastAsia" w:ascii="宋体" w:hAnsi="宋体" w:cs="宋体"/>
          <w:color w:val="auto"/>
          <w:sz w:val="24"/>
          <w:highlight w:val="none"/>
        </w:rPr>
        <w:t xml:space="preserve">/</w:t>
      </w:r>
      <w:r>
        <w:rPr>
          <w:rStyle w:val="1232"/>
          <w:rFonts w:ascii="宋体" w:hAnsi="宋体" w:cs="宋体"/>
          <w:color w:val="auto"/>
          <w:sz w:val="24"/>
          <w:highlight w:val="none"/>
        </w:rPr>
        <w:t xml:space="preserve">4</w:t>
      </w:r>
      <w:r>
        <w:rPr>
          <w:rStyle w:val="1232"/>
          <w:rFonts w:hint="eastAsia" w:ascii="宋体" w:hAnsi="宋体" w:cs="宋体"/>
          <w:color w:val="auto"/>
          <w:sz w:val="24"/>
          <w:highlight w:val="none"/>
        </w:rPr>
        <w:t xml:space="preserve">/2/0】</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三</w:t>
      </w:r>
      <w:r>
        <w:rPr>
          <w:rFonts w:hint="eastAsia" w:ascii="宋体" w:hAnsi="宋体" w:cs="宋体"/>
          <w:color w:val="auto"/>
          <w:sz w:val="24"/>
          <w:highlight w:val="none"/>
        </w:rPr>
        <w:t xml:space="preserve">）人员证书</w:t>
      </w:r>
      <w:r>
        <w:rPr>
          <w:rFonts w:hint="eastAsia" w:ascii="宋体" w:hAnsi="宋体" w:cs="宋体"/>
          <w:color w:val="auto"/>
          <w:sz w:val="24"/>
          <w:highlight w:val="none"/>
          <w:lang w:val="en-US" w:eastAsia="zh-CN"/>
        </w:rPr>
        <w:t xml:space="preserve">8分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.项目经理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投标人拟投入本项目的项目经理(除技术负责人、运维负</w:t>
      </w:r>
      <w:r>
        <w:rPr>
          <w:rFonts w:hint="eastAsia" w:ascii="宋体" w:hAnsi="宋体" w:eastAsia="宋体" w:cs="宋体"/>
          <w:color w:val="auto"/>
          <w:sz w:val="24"/>
          <w:highlight w:val="none"/>
        </w:rPr>
        <w:t xml:space="preserve">责人)具有</w:t>
      </w:r>
      <w:r>
        <w:rPr>
          <w:rFonts w:hint="eastAsia" w:ascii="宋体" w:hAnsi="宋体" w:eastAsia="宋体" w:cs="宋体"/>
          <w:color w:val="auto"/>
          <w:sz w:val="24"/>
          <w:highlight w:val="none"/>
          <w:lang w:eastAsia="zh-CN"/>
        </w:rPr>
        <w:t xml:space="preserve">一级建造师（</w:t>
      </w:r>
      <w:r>
        <w:rPr>
          <w:rFonts w:hint="eastAsia" w:ascii="宋体" w:hAnsi="宋体" w:eastAsia="宋体" w:cs="宋体"/>
          <w:color w:val="auto"/>
          <w:sz w:val="24"/>
          <w:highlight w:val="none"/>
          <w:lang w:val="en-US" w:eastAsia="zh-CN"/>
        </w:rPr>
        <w:t xml:space="preserve">机电工程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高级工程</w:t>
      </w:r>
      <w:r>
        <w:rPr>
          <w:rFonts w:hint="eastAsia" w:ascii="宋体" w:hAnsi="宋体" w:eastAsia="宋体" w:cs="宋体"/>
          <w:color w:val="auto"/>
          <w:sz w:val="24"/>
          <w:highlight w:val="none"/>
        </w:rPr>
        <w:t xml:space="preserve">师</w:t>
      </w:r>
      <w:r>
        <w:rPr>
          <w:rFonts w:hint="eastAsia" w:ascii="宋体" w:hAnsi="宋体" w:eastAsia="宋体" w:cs="宋体"/>
          <w:color w:val="auto"/>
          <w:sz w:val="24"/>
          <w:highlight w:val="none"/>
          <w:lang w:val="en-US" w:eastAsia="zh-CN"/>
        </w:rPr>
        <w:t xml:space="preserve">证书</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rPr>
        <w:t xml:space="preserve">，有一个证书得</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分，本项最多得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分。(请在投标文件中提供相关人员的证书，不提供不得分)【0/1.5</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技术负责人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投标人拟投入本项目的技术负责人(除项目经理、</w:t>
      </w:r>
      <w:r>
        <w:rPr>
          <w:rFonts w:hint="eastAsia" w:ascii="宋体" w:hAnsi="宋体" w:eastAsia="宋体" w:cs="宋体"/>
          <w:color w:val="auto"/>
          <w:sz w:val="24"/>
          <w:highlight w:val="none"/>
        </w:rPr>
        <w:t xml:space="preserve">运维负责人)具有网络工程师</w:t>
      </w:r>
      <w:r>
        <w:rPr>
          <w:rFonts w:hint="eastAsia" w:ascii="宋体" w:hAnsi="宋体" w:eastAsia="宋体" w:cs="宋体"/>
          <w:color w:val="auto"/>
          <w:sz w:val="24"/>
          <w:highlight w:val="none"/>
          <w:lang w:eastAsia="zh-CN"/>
        </w:rPr>
        <w:t xml:space="preserve">，高级工程师、CISAW信息安全保障人员认证（应急服务）证书</w:t>
      </w:r>
      <w:r>
        <w:rPr>
          <w:rFonts w:hint="eastAsia" w:ascii="宋体" w:hAnsi="宋体" w:eastAsia="宋体" w:cs="宋体"/>
          <w:color w:val="auto"/>
          <w:sz w:val="24"/>
          <w:highlight w:val="none"/>
        </w:rPr>
        <w:t xml:space="preserve">的，有</w:t>
      </w:r>
      <w:r>
        <w:rPr>
          <w:rFonts w:hint="eastAsia" w:ascii="宋体" w:hAnsi="宋体" w:cs="宋体"/>
          <w:color w:val="auto"/>
          <w:sz w:val="24"/>
          <w:highlight w:val="none"/>
        </w:rPr>
        <w:t xml:space="preserve">一个证书得1分，本项最多得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分。(请在投标文件中提供相关人员的证书，不提供不得分)【0/1/2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运维负责人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拟投入本项目的运维负责人(除项目经理、技术负责人)具有CISAW信息安全保障人员认证（安全运维）、高级工程师证书的，有一个证书得1分，本项最多得2分。(请在投标文件中提供相关人员的证书，不提供不得分)【0/1/2】</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）履约能力分</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投标人202</w:t>
      </w:r>
      <w:r>
        <w:rPr>
          <w:rFonts w:ascii="宋体" w:hAnsi="宋体" w:cs="宋体"/>
          <w:color w:val="auto"/>
          <w:sz w:val="24"/>
          <w:highlight w:val="none"/>
        </w:rPr>
        <w:t xml:space="preserve">2</w:t>
      </w:r>
      <w:r>
        <w:rPr>
          <w:rFonts w:hint="eastAsia" w:ascii="宋体" w:hAnsi="宋体" w:cs="宋体"/>
          <w:color w:val="auto"/>
          <w:sz w:val="24"/>
          <w:highlight w:val="none"/>
        </w:rPr>
        <w:t xml:space="preserve">年以来的类似项目业绩，有一个得2分，本项最多得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分（请在投标文件中提供合同的</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，不提供不得分）【0-</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p>
    <w:p>
      <w:pPr>
        <w:ind w:firstLine="420"/>
        <w:rPr>
          <w:color w:val="auto"/>
          <w:highlight w:val="none"/>
        </w:rPr>
      </w:pPr>
      <w:r>
        <w:rPr>
          <w:color w:val="auto"/>
          <w:highlight w:val="none"/>
        </w:rPr>
      </w:r>
      <w:r/>
    </w:p>
    <w:p>
      <w:pPr>
        <w:contextualSpacing/>
        <w:ind w:firstLine="883"/>
        <w:jc w:val="center"/>
        <w:pageBreakBefore/>
        <w:spacing w:line="360" w:lineRule="auto"/>
        <w:rPr>
          <w:rFonts w:hint="eastAsia" w:ascii="宋体" w:hAnsi="宋体"/>
          <w:b/>
          <w:bCs/>
          <w:color w:val="auto"/>
          <w:sz w:val="44"/>
          <w:szCs w:val="32"/>
          <w:highlight w:val="none"/>
        </w:rPr>
        <w:outlineLvl w:val="0"/>
      </w:pPr>
      <w:r>
        <w:rPr>
          <w:rFonts w:hint="eastAsia" w:ascii="宋体" w:hAnsi="宋体"/>
          <w:b/>
          <w:bCs/>
          <w:color w:val="auto"/>
          <w:sz w:val="44"/>
          <w:szCs w:val="32"/>
          <w:highlight w:val="none"/>
        </w:rPr>
        <w:t xml:space="preserve">第六章 投标文件格式</w:t>
      </w:r>
      <w:bookmarkEnd w:id="200"/>
      <w:r/>
      <w:bookmarkEnd w:id="201"/>
      <w:r/>
      <w:bookmarkEnd w:id="202"/>
      <w:r/>
      <w:bookmarkEnd w:id="203"/>
      <w:r/>
      <w:bookmarkEnd w:id="204"/>
      <w:r/>
      <w:bookmarkStart w:id="208" w:name="_Hlt26955039"/>
      <w:r/>
      <w:bookmarkStart w:id="209" w:name="_Toc26554094"/>
      <w:r/>
      <w:r/>
    </w:p>
    <w:p>
      <w:pPr>
        <w:contextualSpacing/>
        <w:ind w:firstLine="800"/>
        <w:jc w:val="center"/>
        <w:spacing w:line="360" w:lineRule="auto"/>
        <w:widowControl/>
        <w:rPr>
          <w:rFonts w:hint="eastAsia" w:ascii="宋体" w:hAnsi="宋体" w:cs="宋体"/>
          <w:color w:val="auto"/>
          <w:sz w:val="40"/>
          <w:szCs w:val="40"/>
          <w:highlight w:val="none"/>
        </w:rPr>
      </w:pPr>
      <w:r>
        <w:rPr>
          <w:rFonts w:ascii="宋体" w:hAnsi="宋体" w:cs="宋体"/>
          <w:color w:val="auto"/>
          <w:sz w:val="40"/>
          <w:szCs w:val="40"/>
          <w:highlight w:val="none"/>
        </w:rPr>
        <w:t xml:space="preserve">投标主要文件目录</w:t>
      </w:r>
      <w:r/>
    </w:p>
    <w:p>
      <w:pPr>
        <w:pStyle w:val="1529"/>
        <w:keepLines w:val="0"/>
        <w:keepNext w:val="0"/>
        <w:pageBreakBefore w:val="0"/>
        <w:spacing w:line="36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color w:val="000000"/>
          <w:highlight w:val="none"/>
        </w:rPr>
        <w:t xml:space="preserve">一、封面</w:t>
      </w:r>
      <w:r/>
    </w:p>
    <w:p>
      <w:pPr>
        <w:pStyle w:val="1529"/>
        <w:keepLines w:val="0"/>
        <w:keepNext w:val="0"/>
        <w:pageBreakBefore w:val="0"/>
        <w:spacing w:line="36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二、投标函格式</w:t>
      </w:r>
      <w:r/>
    </w:p>
    <w:p>
      <w:pPr>
        <w:pStyle w:val="1529"/>
        <w:keepLines w:val="0"/>
        <w:keepNext w:val="0"/>
        <w:pageBreakBefore w:val="0"/>
        <w:spacing w:line="36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三、开标一览表</w:t>
      </w:r>
      <w:r/>
    </w:p>
    <w:p>
      <w:pPr>
        <w:pStyle w:val="1529"/>
        <w:keepLines w:val="0"/>
        <w:keepNext w:val="0"/>
        <w:pageBreakBefore w:val="0"/>
        <w:spacing w:line="36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四、资格证明文件</w:t>
      </w:r>
      <w:r/>
    </w:p>
    <w:p>
      <w:pPr>
        <w:pStyle w:val="1524"/>
        <w:numPr>
          <w:ilvl w:val="0"/>
          <w:numId w:val="0"/>
        </w:numPr>
        <w:keepLines w:val="0"/>
        <w:keepNext w:val="0"/>
        <w:pageBreakBefore w:val="0"/>
        <w:spacing w:line="360" w:lineRule="auto"/>
        <w:widowControl/>
        <w:rPr>
          <w:rFonts w:hint="eastAsia" w:ascii="Times New Roman Regular" w:hAnsi="Times New Roman Regular" w:eastAsia="宋体" w:cs="Times New Roman Regular"/>
          <w:highlight w:val="none"/>
          <w:lang w:val="en-US" w:eastAsia="zh-CN"/>
        </w:rPr>
        <w:outlineLvl w:val="1"/>
      </w:pPr>
      <w:r>
        <w:rPr>
          <w:rFonts w:hint="eastAsia" w:ascii="Times New Roman Regular" w:hAnsi="Times New Roman Regular" w:eastAsia="宋体" w:cs="Times New Roman Regular"/>
          <w:highlight w:val="none"/>
          <w:lang w:val="en-US" w:eastAsia="zh-CN"/>
        </w:rPr>
        <w:t xml:space="preserve">五、经费测算明细表</w:t>
      </w:r>
      <w:r/>
    </w:p>
    <w:p>
      <w:pPr>
        <w:pStyle w:val="1524"/>
        <w:numPr>
          <w:ilvl w:val="0"/>
          <w:numId w:val="0"/>
        </w:numPr>
        <w:keepLines w:val="0"/>
        <w:keepNext w:val="0"/>
        <w:pageBreakBefore w:val="0"/>
        <w:spacing w:line="360" w:lineRule="auto"/>
        <w:widowControl/>
        <w:rPr>
          <w:rFonts w:hint="eastAsia" w:ascii="Times New Roman Regular" w:hAnsi="Times New Roman Regular" w:eastAsia="宋体" w:cs="Times New Roman Regular"/>
          <w:highlight w:val="none"/>
        </w:rPr>
        <w:outlineLvl w:val="1"/>
      </w:pPr>
      <w:r>
        <w:rPr>
          <w:rFonts w:hint="eastAsia" w:ascii="Times New Roman Regular" w:hAnsi="Times New Roman Regular" w:eastAsia="宋体" w:cs="Times New Roman Regular"/>
          <w:highlight w:val="none"/>
          <w:lang w:val="en-US" w:eastAsia="zh-CN"/>
        </w:rPr>
        <w:t xml:space="preserve">六、</w:t>
      </w:r>
      <w:r>
        <w:rPr>
          <w:rFonts w:hint="eastAsia" w:ascii="Times New Roman Regular" w:hAnsi="Times New Roman Regular" w:eastAsia="宋体" w:cs="Times New Roman Regular"/>
          <w:highlight w:val="none"/>
        </w:rPr>
        <w:t xml:space="preserve">第四章项目需求中实质性要求响应对照表</w:t>
      </w:r>
      <w:r/>
    </w:p>
    <w:p>
      <w:pPr>
        <w:pStyle w:val="1524"/>
        <w:numPr>
          <w:ilvl w:val="0"/>
          <w:numId w:val="0"/>
        </w:numPr>
        <w:keepLines w:val="0"/>
        <w:keepNext w:val="0"/>
        <w:pageBreakBefore w:val="0"/>
        <w:spacing w:line="360" w:lineRule="auto"/>
        <w:widowControl/>
        <w:rPr>
          <w:rFonts w:hint="eastAsia" w:ascii="Times New Roman Regular" w:hAnsi="Times New Roman Regular" w:eastAsia="宋体" w:cs="Times New Roman Regular"/>
          <w:highlight w:val="none"/>
          <w:lang w:val="en-US" w:eastAsia="zh-CN"/>
        </w:rPr>
        <w:outlineLvl w:val="1"/>
      </w:pPr>
      <w:r>
        <w:rPr>
          <w:rFonts w:hint="eastAsia" w:ascii="Times New Roman Regular" w:hAnsi="Times New Roman Regular" w:eastAsia="宋体" w:cs="Times New Roman Regular"/>
          <w:highlight w:val="none"/>
          <w:lang w:val="en-US" w:eastAsia="zh-CN"/>
        </w:rPr>
        <w:t xml:space="preserve">七、技术参数响应及偏离表</w:t>
      </w:r>
      <w:r/>
    </w:p>
    <w:p>
      <w:pPr>
        <w:pStyle w:val="1524"/>
        <w:numPr>
          <w:ilvl w:val="0"/>
          <w:numId w:val="0"/>
        </w:numPr>
        <w:keepLines w:val="0"/>
        <w:keepNext w:val="0"/>
        <w:pageBreakBefore w:val="0"/>
        <w:spacing w:line="360" w:lineRule="auto"/>
        <w:widowControl/>
        <w:rPr>
          <w:rFonts w:hint="eastAsia" w:ascii="Times New Roman Regular" w:hAnsi="Times New Roman Regular" w:eastAsia="宋体" w:cs="Times New Roman Regular"/>
          <w:highlight w:val="none"/>
        </w:rPr>
        <w:outlineLvl w:val="1"/>
      </w:pPr>
      <w:r>
        <w:rPr>
          <w:rFonts w:hint="eastAsia" w:ascii="Times New Roman Regular" w:hAnsi="Times New Roman Regular" w:eastAsia="宋体" w:cs="Times New Roman Regular"/>
          <w:highlight w:val="none"/>
          <w:lang w:val="en-US" w:eastAsia="zh-CN"/>
        </w:rPr>
        <w:t xml:space="preserve">八、技术方案、服务方案</w:t>
      </w:r>
      <w:r/>
    </w:p>
    <w:p>
      <w:pPr>
        <w:pStyle w:val="1524"/>
        <w:numPr>
          <w:ilvl w:val="0"/>
          <w:numId w:val="0"/>
        </w:numPr>
        <w:keepLines w:val="0"/>
        <w:keepNext w:val="0"/>
        <w:pageBreakBefore w:val="0"/>
        <w:spacing w:line="360" w:lineRule="auto"/>
        <w:widowControl/>
        <w:rPr>
          <w:rFonts w:hint="eastAsia" w:ascii="Times New Roman Regular" w:hAnsi="Times New Roman Regular" w:eastAsia="宋体" w:cs="Times New Roman Regular"/>
          <w:highlight w:val="none"/>
        </w:rPr>
        <w:outlineLvl w:val="1"/>
      </w:pPr>
      <w:r>
        <w:rPr>
          <w:rFonts w:hint="eastAsia" w:ascii="Times New Roman Regular" w:hAnsi="Times New Roman Regular" w:eastAsia="宋体" w:cs="Times New Roman Regular"/>
          <w:highlight w:val="none"/>
          <w:lang w:val="en-US" w:eastAsia="zh-CN"/>
        </w:rPr>
        <w:t xml:space="preserve">九、投标人情况介绍</w:t>
      </w:r>
      <w:r/>
    </w:p>
    <w:p>
      <w:pPr>
        <w:pStyle w:val="1524"/>
        <w:numPr>
          <w:ilvl w:val="0"/>
          <w:numId w:val="0"/>
        </w:numPr>
        <w:keepLines w:val="0"/>
        <w:keepNext w:val="0"/>
        <w:pageBreakBefore w:val="0"/>
        <w:spacing w:line="360" w:lineRule="auto"/>
        <w:widowControl/>
        <w:rPr>
          <w:rFonts w:hint="eastAsia" w:ascii="Times New Roman Regular" w:hAnsi="Times New Roman Regular" w:eastAsia="宋体" w:cs="Times New Roman Regular"/>
          <w:highlight w:val="none"/>
        </w:rPr>
        <w:outlineLvl w:val="1"/>
      </w:pPr>
      <w:r>
        <w:rPr>
          <w:rFonts w:hint="eastAsia" w:ascii="Times New Roman Regular" w:hAnsi="Times New Roman Regular" w:eastAsia="宋体" w:cs="Times New Roman Regular"/>
          <w:highlight w:val="none"/>
          <w:lang w:val="en-US" w:eastAsia="zh-CN"/>
        </w:rPr>
        <w:t xml:space="preserve">十、</w:t>
      </w:r>
      <w:r>
        <w:rPr>
          <w:rFonts w:hint="eastAsia" w:ascii="Times New Roman Regular" w:hAnsi="Times New Roman Regular" w:eastAsia="宋体" w:cs="Times New Roman Regular"/>
          <w:highlight w:val="none"/>
        </w:rPr>
        <w:t xml:space="preserve">检测报告</w:t>
      </w:r>
      <w:r/>
    </w:p>
    <w:p>
      <w:pPr>
        <w:pStyle w:val="1524"/>
        <w:numPr>
          <w:ilvl w:val="0"/>
          <w:numId w:val="0"/>
        </w:numPr>
        <w:keepLines w:val="0"/>
        <w:keepNext w:val="0"/>
        <w:pageBreakBefore w:val="0"/>
        <w:spacing w:line="360" w:lineRule="auto"/>
        <w:widowControl/>
        <w:rPr>
          <w:rFonts w:hint="eastAsia" w:ascii="Times New Roman Regular" w:hAnsi="Times New Roman Regular" w:eastAsia="宋体" w:cs="Times New Roman Regular"/>
          <w:highlight w:val="none"/>
          <w:lang w:val="en-US" w:eastAsia="zh-CN"/>
        </w:rPr>
        <w:outlineLvl w:val="1"/>
      </w:pPr>
      <w:r>
        <w:rPr>
          <w:rFonts w:hint="eastAsia" w:ascii="Times New Roman Regular" w:hAnsi="Times New Roman Regular" w:eastAsia="宋体" w:cs="Times New Roman Regular"/>
          <w:highlight w:val="none"/>
          <w:lang w:val="en-US" w:eastAsia="zh-CN"/>
        </w:rPr>
        <w:t xml:space="preserve">十一、其他材料</w:t>
      </w:r>
      <w:r/>
    </w:p>
    <w:p>
      <w:pPr>
        <w:pStyle w:val="1524"/>
        <w:numPr>
          <w:ilvl w:val="0"/>
          <w:numId w:val="0"/>
        </w:numPr>
        <w:keepLines w:val="0"/>
        <w:keepNext w:val="0"/>
        <w:pageBreakBefore w:val="0"/>
        <w:spacing w:line="360" w:lineRule="auto"/>
        <w:widowControl/>
        <w:rPr>
          <w:rFonts w:ascii="Times New Roman" w:hAnsi="Times New Roman" w:eastAsia="Times New Roman"/>
          <w:color w:val="auto"/>
          <w:sz w:val="24"/>
          <w:szCs w:val="24"/>
          <w:highlight w:val="none"/>
        </w:rPr>
        <w:outlineLvl w:val="1"/>
      </w:pPr>
      <w:r>
        <w:rPr>
          <w:rFonts w:hint="eastAsia" w:ascii="Times New Roman Regular" w:hAnsi="Times New Roman Regular" w:eastAsia="宋体" w:cs="Times New Roman Regular"/>
          <w:highlight w:val="none"/>
          <w:lang w:val="en-US" w:eastAsia="zh-CN"/>
        </w:rPr>
        <w:t xml:space="preserve">十二、中小企业声明函</w:t>
      </w:r>
      <w:r>
        <w:rPr>
          <w:rFonts w:hint="eastAsia" w:ascii="Times New Roman Regular" w:hAnsi="Times New Roman Regular" w:eastAsia="宋体" w:cs="Times New Roman Regular"/>
          <w:highlight w:val="none"/>
        </w:rPr>
        <w:br w:type="page" w:clear="all"/>
      </w:r>
      <w:bookmarkStart w:id="210" w:name="_Toc160042799"/>
      <w:r/>
      <w:bookmarkStart w:id="211" w:name="_Toc185684873"/>
      <w:r>
        <w:rPr>
          <w:rFonts w:ascii="宋体" w:hAnsi="宋体" w:cs="宋体"/>
          <w:b/>
          <w:color w:val="auto"/>
          <w:sz w:val="32"/>
          <w:szCs w:val="24"/>
          <w:highlight w:val="none"/>
        </w:rPr>
        <w:t xml:space="preserve">一、封面</w:t>
      </w:r>
      <w:bookmarkEnd w:id="210"/>
      <w:r/>
      <w:bookmarkEnd w:id="211"/>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contextualSpacing/>
        <w:ind w:firstLine="1080"/>
        <w:jc w:val="center"/>
        <w:spacing w:line="360" w:lineRule="auto"/>
        <w:widowControl/>
        <w:rPr>
          <w:rFonts w:hint="eastAsia" w:ascii="宋体" w:hAnsi="宋体" w:cs="宋体"/>
          <w:color w:val="auto"/>
          <w:sz w:val="54"/>
          <w:szCs w:val="54"/>
          <w:highlight w:val="none"/>
        </w:rPr>
      </w:pPr>
      <w:r>
        <w:rPr>
          <w:rFonts w:ascii="宋体" w:hAnsi="宋体" w:cs="宋体"/>
          <w:color w:val="auto"/>
          <w:sz w:val="54"/>
          <w:szCs w:val="54"/>
          <w:highlight w:val="none"/>
        </w:rPr>
        <w:t xml:space="preserve">投 标 文 件</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800"/>
        <w:jc w:val="center"/>
        <w:spacing w:line="360" w:lineRule="auto"/>
        <w:widowControl/>
        <w:rPr>
          <w:rFonts w:hint="eastAsia" w:ascii="宋体" w:hAnsi="宋体" w:cs="宋体"/>
          <w:color w:val="auto"/>
          <w:sz w:val="40"/>
          <w:szCs w:val="40"/>
          <w:highlight w:val="none"/>
        </w:rPr>
      </w:pPr>
      <w:r>
        <w:rPr>
          <w:rFonts w:ascii="宋体" w:hAnsi="宋体" w:cs="宋体"/>
          <w:color w:val="auto"/>
          <w:sz w:val="40"/>
          <w:szCs w:val="40"/>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项目名称：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招标编号：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投标人名称：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日期：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12" w:name="_Toc160042800"/>
      <w:r/>
      <w:bookmarkStart w:id="213" w:name="_Toc185684874"/>
      <w:r>
        <w:rPr>
          <w:rFonts w:ascii="宋体" w:hAnsi="宋体" w:cs="宋体"/>
          <w:b/>
          <w:color w:val="auto"/>
          <w:sz w:val="32"/>
          <w:szCs w:val="24"/>
          <w:highlight w:val="none"/>
        </w:rPr>
        <w:t xml:space="preserve">二、投标函格式</w:t>
      </w:r>
      <w:bookmarkEnd w:id="212"/>
      <w:r/>
      <w:bookmarkEnd w:id="213"/>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contextualSpacing/>
        <w:ind w:firstLine="643"/>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投标函</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致：</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根据贵方的</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号招标文件，正式授权下述签字人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(姓名和职务)代表我方</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（投标人的名称），全权处理本次项目投标的有关事宜。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据此函，签字人兹宣布同意如下：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1、同意向贵方提供贵方可能另外要求的与投标有关的任何证据或资料；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2、我们完全理解贵方不一定将合同授予最低报价的投标人；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3、我们已详细审核全部招标文件及其有效补充文件，我们知道必须放弃提出含糊不清或误解问题的权利；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4、一旦我方中标，我们将根据招标文件的规定，严格履行合同条款的责任和义务，并保证按照合同条款提供服务；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5、与本投标有关的正式通讯地址为：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地址：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邮编：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电话：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传真：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投标单位代表姓名：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投标单位名称：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公章：</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日期：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14" w:name="_Toc160042801"/>
      <w:r/>
      <w:bookmarkStart w:id="215" w:name="_Toc185684875"/>
      <w:r>
        <w:rPr>
          <w:rFonts w:ascii="宋体" w:hAnsi="宋体" w:cs="宋体"/>
          <w:b/>
          <w:color w:val="auto"/>
          <w:sz w:val="32"/>
          <w:szCs w:val="24"/>
          <w:highlight w:val="none"/>
        </w:rPr>
        <w:t xml:space="preserve">三、开标一览表</w:t>
      </w:r>
      <w:bookmarkEnd w:id="214"/>
      <w:r/>
      <w:bookmarkEnd w:id="215"/>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contextualSpacing/>
        <w:ind w:firstLine="803"/>
        <w:jc w:val="center"/>
        <w:spacing w:line="360" w:lineRule="auto"/>
        <w:widowControl/>
        <w:rPr>
          <w:rFonts w:hint="eastAsia"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开标一览表</w:t>
      </w:r>
      <w:r/>
    </w:p>
    <w:p>
      <w:pPr>
        <w:contextualSpacing/>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投标单位全称（加盖公章）：    </w:t>
      </w:r>
      <w:r/>
    </w:p>
    <w:p>
      <w:pPr>
        <w:contextualSpacing/>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contextualSpacing/>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分包号：</w:t>
      </w:r>
      <w:r/>
    </w:p>
    <w:tbl>
      <w:tblPr>
        <w:tblStyle w:val="954"/>
        <w:tblW w:w="8985" w:type="dxa"/>
        <w:tblInd w:w="20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59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rPr>
                <w:rFonts w:ascii="宋体" w:hAnsi="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小写：      （元人民币）</w:t>
            </w:r>
            <w:r/>
          </w:p>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w:t>
            </w:r>
            <w:r>
              <w:rPr>
                <w:rFonts w:hint="eastAsia" w:ascii="宋体" w:hAnsi="宋体" w:cs="宋体"/>
                <w:color w:val="auto"/>
                <w:sz w:val="24"/>
                <w:szCs w:val="24"/>
                <w:highlight w:val="none"/>
              </w:rPr>
              <w:t xml:space="preserve">报价大写金额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金额大写</w:t>
            </w:r>
            <w:r>
              <w:rPr>
                <w:rFonts w:ascii="宋体" w:hAnsi="宋体" w:cs="宋体"/>
                <w:color w:val="auto"/>
                <w:sz w:val="24"/>
                <w:szCs w:val="24"/>
                <w:highlight w:val="none"/>
              </w:rPr>
              <w:t xml:space="preserve">  </w:t>
            </w:r>
            <w:r/>
          </w:p>
        </w:tc>
      </w:tr>
    </w:tbl>
    <w:p>
      <w:pPr>
        <w:contextualSpacing/>
        <w:ind w:right="240" w:firstLine="480"/>
        <w:jc w:val="righ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日期：  年   月   日</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填写说明：</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i/>
          <w:iCs/>
          <w:color w:val="auto"/>
          <w:sz w:val="24"/>
          <w:szCs w:val="24"/>
          <w:highlight w:val="none"/>
          <w:u w:val="single"/>
        </w:rPr>
        <w:t xml:space="preserve">1、开标一览表必须加盖投标人公章（</w:t>
      </w:r>
      <w:r>
        <w:rPr>
          <w:rFonts w:hint="eastAsia" w:ascii="宋体" w:hAnsi="宋体" w:cs="宋体"/>
          <w:i/>
          <w:iCs/>
          <w:color w:val="auto"/>
          <w:sz w:val="24"/>
          <w:szCs w:val="24"/>
          <w:highlight w:val="none"/>
          <w:u w:val="single"/>
          <w:lang w:eastAsia="zh-CN"/>
        </w:rPr>
        <w:t xml:space="preserve">扫描件</w:t>
      </w:r>
      <w:r>
        <w:rPr>
          <w:rFonts w:ascii="宋体" w:hAnsi="宋体" w:cs="宋体"/>
          <w:i/>
          <w:iCs/>
          <w:color w:val="auto"/>
          <w:sz w:val="24"/>
          <w:szCs w:val="24"/>
          <w:highlight w:val="none"/>
          <w:u w:val="single"/>
        </w:rPr>
        <w:t xml:space="preserve">无效）。</w:t>
      </w:r>
      <w:r/>
    </w:p>
    <w:p>
      <w:pPr>
        <w:jc w:val="left"/>
        <w:spacing w:before="100" w:beforeAutospacing="1" w:after="100" w:afterAutospacing="1"/>
        <w:widowControl/>
        <w:rPr>
          <w:rFonts w:ascii="宋体" w:hAnsi="宋体" w:cs="宋体"/>
          <w:i/>
          <w:iCs/>
          <w:color w:val="auto"/>
          <w:sz w:val="24"/>
          <w:szCs w:val="24"/>
          <w:highlight w:val="none"/>
          <w:u w:val="single"/>
        </w:rPr>
      </w:pPr>
      <w:r>
        <w:rPr>
          <w:rFonts w:ascii="宋体" w:hAnsi="宋体" w:cs="宋体"/>
          <w:i/>
          <w:iCs/>
          <w:color w:val="auto"/>
          <w:sz w:val="24"/>
          <w:szCs w:val="24"/>
          <w:highlight w:val="none"/>
          <w:u w:val="single"/>
        </w:rPr>
        <w:t xml:space="preserve">2、如有分包，投标人投任何一个包的标的，都需单独填写开标一览表。</w:t>
      </w:r>
      <w:r/>
    </w:p>
    <w:p>
      <w:pPr>
        <w:rPr>
          <w:rFonts w:hint="eastAsia" w:ascii="宋体" w:hAnsi="宋体" w:cs="宋体"/>
          <w:b/>
          <w:color w:val="auto"/>
          <w:sz w:val="32"/>
          <w:szCs w:val="24"/>
          <w:highlight w:val="none"/>
        </w:rPr>
      </w:pPr>
      <w:r/>
      <w:bookmarkStart w:id="216" w:name="_Toc185684876"/>
      <w:r/>
      <w:bookmarkStart w:id="217" w:name="_Toc160042802"/>
      <w:r>
        <w:rPr>
          <w:rFonts w:hint="eastAsia" w:ascii="宋体" w:hAnsi="宋体" w:cs="宋体"/>
          <w:b/>
          <w:color w:val="auto"/>
          <w:sz w:val="32"/>
          <w:szCs w:val="24"/>
          <w:highlight w:val="none"/>
        </w:rPr>
        <w:br w:type="page" w:clear="all"/>
      </w:r>
      <w:r/>
    </w:p>
    <w:p>
      <w:pPr>
        <w:contextualSpacing/>
        <w:ind w:firstLine="480"/>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四</w:t>
      </w:r>
      <w:r>
        <w:rPr>
          <w:rFonts w:ascii="宋体" w:hAnsi="宋体" w:cs="宋体"/>
          <w:b/>
          <w:color w:val="auto"/>
          <w:sz w:val="32"/>
          <w:szCs w:val="24"/>
          <w:highlight w:val="none"/>
        </w:rPr>
        <w:t xml:space="preserve">、资格证明文件</w:t>
      </w:r>
      <w:bookmarkEnd w:id="216"/>
      <w:r/>
      <w:bookmarkEnd w:id="217"/>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2.财务状况报告（成立不满一年不需提供）；</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3.依法缴纳税收和社会保障资金的相关材料（如依法享受缓缴、免缴税收、社会保障资金的，应提供相关证明材料）；</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4.具备履行合同所必需的设备和专业技术能力的书面声明；（格式见后）</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5.参加政府采购活动前3年内在经营活动中没有重大违法记录的书面声明；（格式见后）</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6.关于资格证明文件的书面承诺；（格式见后）</w:t>
      </w:r>
      <w:r/>
    </w:p>
    <w:p>
      <w:pPr>
        <w:ind w:firstLine="480"/>
        <w:spacing w:line="440" w:lineRule="exact"/>
        <w:tabs>
          <w:tab w:val="left" w:pos="709" w:leader="none"/>
        </w:tabs>
        <w:rPr>
          <w:rFonts w:ascii="宋体" w:hAnsi="宋体"/>
          <w:i/>
          <w:color w:val="auto"/>
          <w:sz w:val="24"/>
          <w:szCs w:val="24"/>
          <w:highlight w:val="none"/>
          <w:u w:val="single"/>
        </w:rPr>
      </w:pPr>
      <w:r>
        <w:rPr>
          <w:rFonts w:ascii="宋体" w:hAnsi="宋体"/>
          <w:i/>
          <w:color w:val="auto"/>
          <w:sz w:val="24"/>
          <w:szCs w:val="24"/>
          <w:highlight w:val="none"/>
          <w:u w:val="single"/>
        </w:rPr>
        <w:t xml:space="preserve">7.授权委托书（被授权人非法定代表人的，应提供授权委托书原件、身份证原件的扫描件；被授权人是法定代表人的，应提供法定代表人身份证明书）。（格式见后）</w:t>
      </w:r>
      <w:r/>
    </w:p>
    <w:p>
      <w:pPr>
        <w:ind w:firstLine="480"/>
        <w:spacing w:line="440" w:lineRule="exact"/>
        <w:tabs>
          <w:tab w:val="left" w:pos="709" w:leader="none"/>
        </w:tabs>
        <w:rPr>
          <w:rFonts w:hint="default" w:ascii="宋体" w:hAnsi="宋体" w:eastAsia="宋体"/>
          <w:i/>
          <w:color w:val="auto"/>
          <w:sz w:val="24"/>
          <w:szCs w:val="24"/>
          <w:highlight w:val="none"/>
          <w:u w:val="single"/>
          <w:lang w:val="en-US" w:eastAsia="zh-CN"/>
        </w:rPr>
      </w:pPr>
      <w:r>
        <w:rPr>
          <w:rFonts w:hint="eastAsia" w:ascii="宋体" w:hAnsi="宋体"/>
          <w:i/>
          <w:color w:val="auto"/>
          <w:sz w:val="24"/>
          <w:szCs w:val="24"/>
          <w:highlight w:val="none"/>
          <w:u w:val="single"/>
          <w:lang w:val="en-US" w:eastAsia="zh-CN"/>
        </w:rPr>
        <w:t xml:space="preserve">8.未被“信用中国”网站（www.creditchina.gov.cn）列入失信被执行人、重大税收违法案件当事人名单、政府采购严重失信行为记录名单。</w:t>
      </w:r>
      <w:r/>
    </w:p>
    <w:p>
      <w:pPr>
        <w:ind w:left="105" w:firstLine="480"/>
        <w:spacing w:line="440" w:lineRule="exact"/>
        <w:tabs>
          <w:tab w:val="left" w:pos="709" w:leader="none"/>
        </w:tabs>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ind w:left="105" w:firstLine="480"/>
        <w:spacing w:line="440" w:lineRule="exact"/>
        <w:tabs>
          <w:tab w:val="left" w:pos="709" w:leader="none"/>
        </w:tabs>
        <w:rPr>
          <w:rFonts w:hint="eastAsia" w:ascii="宋体" w:hAnsi="宋体"/>
          <w:bCs/>
          <w:i/>
          <w:color w:val="auto"/>
          <w:sz w:val="24"/>
          <w:szCs w:val="24"/>
          <w:highlight w:val="none"/>
          <w:u w:val="single"/>
        </w:rPr>
      </w:pPr>
      <w:r>
        <w:rPr>
          <w:rFonts w:hint="eastAsia" w:ascii="宋体" w:hAnsi="宋体"/>
          <w:bCs/>
          <w:i/>
          <w:color w:val="auto"/>
          <w:sz w:val="24"/>
          <w:szCs w:val="24"/>
          <w:highlight w:val="none"/>
          <w:u w:val="single"/>
        </w:rPr>
      </w:r>
      <w:r/>
    </w:p>
    <w:p>
      <w:pPr>
        <w:contextualSpacing/>
        <w:ind w:firstLine="480"/>
        <w:jc w:val="left"/>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法人或者其他组织的营业执照等证明文件，自然人的身份证明</w:t>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eastAsia="Times New Roman" w:cs="Tahoma"/>
          <w:color w:val="auto"/>
          <w:sz w:val="24"/>
          <w:szCs w:val="24"/>
          <w:highlight w:val="none"/>
        </w:rPr>
        <w:t xml:space="preserve">﻿</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jc w:val="center"/>
        <w:spacing w:line="360" w:lineRule="auto"/>
        <w:widowControl/>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法人或者其他组织的营业执照等证明文件，自然人的身份</w:t>
      </w:r>
      <w:r/>
    </w:p>
    <w:p>
      <w:pPr>
        <w:contextualSpacing/>
        <w:jc w:val="center"/>
        <w:spacing w:line="360" w:lineRule="auto"/>
        <w:widowControl/>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证明 </w:t>
      </w:r>
      <w:r/>
    </w:p>
    <w:p>
      <w:pPr>
        <w:contextualSpacing/>
        <w:ind w:firstLine="480"/>
        <w:jc w:val="left"/>
        <w:spacing w:line="360" w:lineRule="auto"/>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ind w:firstLine="480"/>
        <w:jc w:val="left"/>
        <w:spacing w:line="360" w:lineRule="auto"/>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ind w:firstLine="480"/>
        <w:jc w:val="left"/>
        <w:spacing w:line="360" w:lineRule="auto"/>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jc w:val="center"/>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ind w:firstLine="480"/>
        <w:jc w:val="center"/>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财务状况报告（成立不满一年不需要提供）</w:t>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eastAsia="Times New Roman" w:cs="Tahoma"/>
          <w:color w:val="auto"/>
          <w:sz w:val="24"/>
          <w:szCs w:val="24"/>
          <w:highlight w:val="none"/>
        </w:rPr>
        <w:t xml:space="preserve">﻿</w:t>
      </w:r>
      <w:r>
        <w:rPr>
          <w:rFonts w:ascii="Times New Roman" w:hAnsi="Times New Roman" w:eastAsia="Times New Roman"/>
          <w:color w:val="auto"/>
          <w:sz w:val="24"/>
          <w:szCs w:val="24"/>
          <w:highlight w:val="none"/>
        </w:rPr>
        <w:t xml:space="preserve"> </w:t>
      </w:r>
      <w:r/>
    </w:p>
    <w:p>
      <w:pPr>
        <w:contextualSpacing/>
        <w:ind w:firstLine="723"/>
        <w:jc w:val="center"/>
        <w:spacing w:line="360" w:lineRule="auto"/>
        <w:widowControl/>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p>
      <w:pPr>
        <w:contextualSpacing/>
        <w:ind w:firstLine="723"/>
        <w:jc w:val="left"/>
        <w:spacing w:line="360" w:lineRule="auto"/>
        <w:widowControl/>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contextualSpacing/>
        <w:ind w:firstLine="480"/>
        <w:jc w:val="center"/>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依法缴纳税收和社会保障资金的相关材料</w:t>
      </w:r>
      <w:r/>
    </w:p>
    <w:p>
      <w:pPr>
        <w:contextualSpacing/>
        <w:ind w:firstLine="420"/>
        <w:jc w:val="center"/>
        <w:spacing w:line="360" w:lineRule="auto"/>
        <w:rPr>
          <w:color w:val="auto"/>
          <w:highlight w:val="none"/>
        </w:rPr>
      </w:pPr>
      <w:r>
        <w:rPr>
          <w:rFonts w:hint="eastAsia"/>
          <w:color w:val="auto"/>
          <w:highlight w:val="none"/>
        </w:rPr>
        <w:t xml:space="preserve">依法缴纳税收和社会保障资金的相关材料</w:t>
      </w:r>
      <w:r/>
    </w:p>
    <w:p>
      <w:pPr>
        <w:ind w:firstLine="42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（如依法享受缓缴、免缴税收、社会保障资金的，应提供相关证明材料）</w:t>
      </w:r>
      <w:r/>
    </w:p>
    <w:p>
      <w:pPr>
        <w:contextualSpacing/>
        <w:ind w:firstLine="420"/>
        <w:jc w:val="center"/>
        <w:spacing w:line="360" w:lineRule="auto"/>
        <w:rPr>
          <w:color w:val="auto"/>
          <w:highlight w:val="none"/>
        </w:rPr>
      </w:pPr>
      <w:r>
        <w:rPr>
          <w:color w:val="auto"/>
          <w:highlight w:val="none"/>
        </w:rPr>
      </w:r>
      <w:r/>
    </w:p>
    <w:p>
      <w:pPr>
        <w:contextualSpacing/>
        <w:jc w:val="left"/>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jc w:val="center"/>
        <w:spacing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具备履行合同所必需的设备和专业技术能力的书面声明</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643"/>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我单位郑重声明： 我单位具备履行本项采购合同所必需的设备和专业技术能力。 </w:t>
      </w:r>
      <w:r/>
    </w:p>
    <w:p>
      <w:pPr>
        <w:contextualSpacing/>
        <w:ind w:firstLine="720"/>
        <w:jc w:val="left"/>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480"/>
        <w:jc w:val="left"/>
        <w:spacing w:line="360" w:lineRule="auto"/>
        <w:widowControl/>
        <w:rPr>
          <w:rFonts w:hint="eastAsia" w:ascii="宋体" w:hAnsi="宋体" w:cs="宋体"/>
          <w:color w:val="auto"/>
          <w:szCs w:val="21"/>
          <w:highlight w:val="none"/>
        </w:rPr>
      </w:pPr>
      <w:r>
        <w:rPr>
          <w:rFonts w:ascii="宋体" w:hAnsi="宋体" w:cs="宋体"/>
          <w:color w:val="auto"/>
          <w:sz w:val="24"/>
          <w:szCs w:val="24"/>
          <w:highlight w:val="none"/>
        </w:rPr>
        <w:t xml:space="preserve"> 投标单位（加盖公章）：</w:t>
      </w:r>
      <w:r>
        <w:rPr>
          <w:rFonts w:ascii="宋体" w:hAnsi="宋体" w:cs="宋体"/>
          <w:color w:val="auto"/>
          <w:szCs w:val="21"/>
          <w:highlight w:val="none"/>
        </w:rPr>
        <w:t xml:space="preserve">   </w:t>
      </w:r>
      <w:r/>
    </w:p>
    <w:p>
      <w:pPr>
        <w:contextualSpacing/>
        <w:jc w:val="center"/>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imes New Roman" w:hAnsi="Times New Roman" w:eastAsia="Times New Roman"/>
          <w:color w:val="auto"/>
          <w:spacing w:val="7"/>
          <w:sz w:val="24"/>
          <w:szCs w:val="24"/>
          <w:highlight w:val="none"/>
        </w:rPr>
      </w:r>
      <w:r/>
    </w:p>
    <w:p>
      <w:pPr>
        <w:contextualSpacing/>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参加政府采购活动前3年内在经营活动中没有重大违法记录的</w:t>
      </w:r>
      <w:r/>
    </w:p>
    <w:p>
      <w:pPr>
        <w:contextualSpacing/>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书面声明</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ascii="宋体" w:hAnsi="宋体" w:cs="宋体"/>
          <w:b/>
          <w:bCs/>
          <w:color w:val="auto"/>
          <w:sz w:val="32"/>
          <w:szCs w:val="32"/>
          <w:highlight w:val="none"/>
        </w:rPr>
        <w:t xml:space="preserve"> </w:t>
      </w: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投标单位（加盖公章）：   </w:t>
      </w:r>
      <w:r/>
    </w:p>
    <w:p>
      <w:pPr>
        <w:contextualSpacing/>
        <w:ind w:firstLine="480"/>
        <w:jc w:val="center"/>
        <w:spacing w:line="360" w:lineRule="auto"/>
        <w:widowControl/>
        <w:rPr>
          <w:rFonts w:hint="eastAsia" w:ascii="宋体" w:hAnsi="宋体" w:cs="宋体"/>
          <w:color w:val="auto"/>
          <w:sz w:val="32"/>
          <w:szCs w:val="32"/>
          <w:highlight w:val="none"/>
        </w:rPr>
        <w:outlineLvl w:val="2"/>
      </w:pPr>
      <w:r>
        <w:rPr>
          <w:rFonts w:ascii="Times New Roman" w:hAnsi="Times New Roman" w:eastAsia="Times New Roman"/>
          <w:color w:val="auto"/>
          <w:sz w:val="24"/>
          <w:szCs w:val="24"/>
          <w:highlight w:val="none"/>
        </w:rPr>
        <w:br w:type="page" w:clear="all"/>
      </w:r>
      <w:r>
        <w:rPr>
          <w:rFonts w:ascii="宋体" w:hAnsi="宋体" w:cs="宋体"/>
          <w:color w:val="auto"/>
          <w:sz w:val="32"/>
          <w:szCs w:val="32"/>
          <w:highlight w:val="none"/>
        </w:rPr>
        <w:t xml:space="preserve">关于资格证明文件的书面承诺</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643"/>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投标单位（加盖公章）：   </w:t>
      </w:r>
      <w:r/>
    </w:p>
    <w:p>
      <w:pPr>
        <w:contextualSpacing/>
        <w:ind w:firstLine="480"/>
        <w:jc w:val="left"/>
        <w:spacing w:line="360" w:lineRule="auto"/>
        <w:widowControl/>
        <w:rPr>
          <w:rFonts w:ascii="Times New Roman" w:hAnsi="Times New Roman" w:eastAsia="Times New Roman"/>
          <w:color w:val="auto"/>
          <w:spacing w:val="7"/>
          <w:sz w:val="24"/>
          <w:szCs w:val="24"/>
          <w:highlight w:val="none"/>
        </w:rPr>
        <w:outlineLvl w:val="2"/>
      </w:pPr>
      <w:r>
        <w:rPr>
          <w:rFonts w:ascii="Times New Roman" w:hAnsi="Times New Roman" w:eastAsia="Times New Roman"/>
          <w:color w:val="auto"/>
          <w:sz w:val="24"/>
          <w:szCs w:val="24"/>
          <w:highlight w:val="none"/>
        </w:rPr>
        <w:br w:type="page" w:clear="all"/>
      </w:r>
      <w:bookmarkStart w:id="218" w:name="_Toc160042803"/>
      <w:r/>
      <w:r/>
    </w:p>
    <w:p>
      <w:pPr>
        <w:contextualSpacing/>
        <w:ind w:firstLine="643"/>
        <w:jc w:val="center"/>
        <w:spacing w:line="360" w:lineRule="auto"/>
        <w:widowControl/>
        <w:rPr>
          <w:rFonts w:ascii="Times New Roman" w:hAnsi="Times New Roman" w:eastAsia="Times New Roman"/>
          <w:b/>
          <w:bCs/>
          <w:color w:val="auto"/>
          <w:sz w:val="32"/>
          <w:szCs w:val="32"/>
          <w:highlight w:val="none"/>
        </w:rPr>
      </w:pPr>
      <w:r>
        <w:rPr>
          <w:rFonts w:hint="eastAsia" w:ascii="宋体" w:hAnsi="宋体" w:cs="宋体"/>
          <w:b/>
          <w:bCs/>
          <w:color w:val="auto"/>
          <w:sz w:val="32"/>
          <w:szCs w:val="32"/>
          <w:highlight w:val="none"/>
        </w:rPr>
        <w:t xml:space="preserve">1.授权委托书</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本授权书声明：</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（投标人名称）授权</w:t>
      </w:r>
      <w:bookmarkStart w:id="219" w:name="sys_STR"/>
      <w:r/>
      <w:bookmarkEnd w:id="219"/>
      <w:r>
        <w:rPr>
          <w:rFonts w:ascii="Times New Roman" w:hAnsi="Times New Roman" w:eastAsia="Times New Roman"/>
          <w:color w:val="auto"/>
          <w:sz w:val="24"/>
          <w:szCs w:val="24"/>
          <w:highlight w:val="none"/>
        </w:rPr>
        <w:t xml:space="preserve">(</w:t>
      </w:r>
      <w:r>
        <w:rPr>
          <w:rFonts w:hint="eastAsia" w:ascii="宋体" w:hAnsi="宋体" w:cs="宋体"/>
          <w:color w:val="auto"/>
          <w:sz w:val="24"/>
          <w:szCs w:val="24"/>
          <w:highlight w:val="none"/>
        </w:rPr>
        <w:t xml:space="preserve">被授权人的姓名</w:t>
      </w:r>
      <w:r>
        <w:rPr>
          <w:rFonts w:ascii="Times New Roman" w:hAnsi="Times New Roman" w:eastAsia="Times New Roman"/>
          <w:color w:val="auto"/>
          <w:sz w:val="24"/>
          <w:szCs w:val="24"/>
          <w:highlight w:val="none"/>
        </w:rPr>
        <w:t xml:space="preserve">)</w:t>
      </w:r>
      <w:r>
        <w:rPr>
          <w:rFonts w:hint="eastAsia" w:ascii="宋体" w:hAnsi="宋体" w:cs="宋体"/>
          <w:color w:val="auto"/>
          <w:sz w:val="24"/>
          <w:szCs w:val="24"/>
          <w:highlight w:val="none"/>
        </w:rPr>
        <w:t xml:space="preserve">为我方就</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项目采购活动的合法代理人，以本单位名义全权处理一切与该项目采购有关的事务。</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本授权书于</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起生效，特此声明。</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被授权人身份证号码：</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被授权人联系电话：（手机）</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授权单位名称：</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（加盖公章）</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单位地址：</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color w:val="auto"/>
          <w:sz w:val="24"/>
          <w:szCs w:val="24"/>
          <w:highlight w:val="none"/>
        </w:rPr>
      </w:pPr>
      <w:r>
        <w:rPr>
          <w:rFonts w:hint="eastAsia" w:ascii="宋体" w:hAnsi="宋体" w:cs="宋体"/>
          <w:color w:val="auto"/>
          <w:sz w:val="24"/>
          <w:szCs w:val="24"/>
          <w:highlight w:val="none"/>
        </w:rPr>
        <w:t xml:space="preserve">日期：</w:t>
      </w:r>
      <w:r>
        <w:rPr>
          <w:rFonts w:ascii="Times New Roman" w:hAnsi="Times New Roman" w:eastAsia="Times New Roman"/>
          <w:color w:val="auto"/>
          <w:sz w:val="24"/>
          <w:szCs w:val="24"/>
          <w:highlight w:val="none"/>
        </w:rPr>
        <w:t xml:space="preserve"> </w:t>
      </w:r>
      <w:bookmarkEnd w:id="208"/>
      <w:r/>
      <w:bookmarkEnd w:id="209"/>
      <w:r/>
      <w:bookmarkEnd w:id="218"/>
      <w:r/>
      <w:r/>
    </w:p>
    <w:p>
      <w:pPr>
        <w:jc w:val="center"/>
        <w:spacing w:before="240" w:after="240"/>
        <w:rPr>
          <w:rFonts w:ascii="Times New Roman" w:hAnsi="Times New Roman"/>
          <w:color w:val="auto"/>
          <w:sz w:val="24"/>
          <w:szCs w:val="24"/>
          <w:highlight w:val="none"/>
        </w:rPr>
      </w:pPr>
      <w:r/>
      <w:bookmarkStart w:id="220" w:name="_Toc17611"/>
      <w:r>
        <w:rPr>
          <w:rFonts w:hint="eastAsia"/>
          <w:b/>
          <w:bCs/>
          <w:color w:val="auto"/>
          <w:sz w:val="32"/>
          <w:szCs w:val="32"/>
          <w:highlight w:val="none"/>
        </w:rPr>
        <w:t xml:space="preserve">2、法定代表人身份证明书</w:t>
      </w:r>
      <w:r/>
    </w:p>
    <w:p>
      <w:pPr>
        <w:ind w:firstLine="500"/>
        <w:spacing w:before="240" w:after="240"/>
        <w:rPr>
          <w:rFonts w:hint="eastAsia" w:ascii="宋体" w:hAnsi="宋体"/>
          <w:color w:val="auto"/>
          <w:sz w:val="24"/>
          <w:szCs w:val="24"/>
          <w:highlight w:val="none"/>
        </w:rPr>
      </w:pPr>
      <w:r>
        <w:rPr>
          <w:rFonts w:hint="eastAsia" w:ascii="宋体" w:hAnsi="宋体"/>
          <w:color w:val="auto"/>
          <w:sz w:val="24"/>
          <w:szCs w:val="24"/>
          <w:highlight w:val="none"/>
        </w:rPr>
        <w:t xml:space="preserve">兹证明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rPr>
          <w:rFonts w:hint="eastAsia" w:ascii="宋体" w:hAnsi="宋体"/>
          <w:color w:val="auto"/>
          <w:sz w:val="24"/>
          <w:szCs w:val="24"/>
          <w:highlight w:val="none"/>
        </w:rPr>
        <w:t xml:space="preserve">法定代表人身份证号码</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担任</w:t>
      </w:r>
      <w:r>
        <w:rPr>
          <w:rFonts w:ascii="宋体" w:hAnsi="宋体"/>
          <w:color w:val="auto"/>
          <w:sz w:val="24"/>
          <w:szCs w:val="24"/>
          <w:highlight w:val="none"/>
        </w:rPr>
        <w:t xml:space="preserve">(</w:t>
      </w:r>
      <w:r>
        <w:rPr>
          <w:rFonts w:hint="eastAsia" w:ascii="宋体" w:hAnsi="宋体"/>
          <w:color w:val="auto"/>
          <w:sz w:val="24"/>
          <w:szCs w:val="24"/>
          <w:highlight w:val="none"/>
        </w:rPr>
        <w:t xml:space="preserve">供应商名称</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      （职位 ）</w:t>
      </w:r>
      <w:r>
        <w:rPr>
          <w:rFonts w:hint="eastAsia" w:ascii="宋体" w:hAnsi="宋体"/>
          <w:color w:val="auto"/>
          <w:sz w:val="24"/>
          <w:szCs w:val="24"/>
          <w:highlight w:val="none"/>
        </w:rPr>
        <w:t xml:space="preserve">，是我单位的法定代表人</w:t>
      </w:r>
      <w:r>
        <w:rPr>
          <w:rFonts w:ascii="宋体" w:hAnsi="宋体"/>
          <w:color w:val="auto"/>
          <w:sz w:val="24"/>
          <w:szCs w:val="24"/>
          <w:highlight w:val="none"/>
        </w:rPr>
        <w:t xml:space="preserve">。 </w:t>
      </w:r>
      <w:r/>
    </w:p>
    <w:p>
      <w:pPr>
        <w:ind w:firstLine="50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特此</w:t>
      </w:r>
      <w:r>
        <w:rPr>
          <w:rFonts w:hint="eastAsia" w:ascii="宋体" w:hAnsi="宋体"/>
          <w:color w:val="auto"/>
          <w:sz w:val="24"/>
          <w:szCs w:val="24"/>
          <w:highlight w:val="none"/>
        </w:rPr>
        <w:t xml:space="preserve">证</w:t>
      </w:r>
      <w:r>
        <w:rPr>
          <w:rFonts w:ascii="宋体" w:hAnsi="宋体"/>
          <w:color w:val="auto"/>
          <w:sz w:val="24"/>
          <w:szCs w:val="24"/>
          <w:highlight w:val="none"/>
        </w:rPr>
        <w:t xml:space="preserve">明。  </w:t>
      </w:r>
      <w:r/>
    </w:p>
    <w:p>
      <w:pPr>
        <w:ind w:firstLine="500"/>
        <w:spacing w:before="240" w:after="240"/>
        <w:rPr>
          <w:rFonts w:hint="eastAsia" w:ascii="宋体" w:hAnsi="宋体"/>
          <w:color w:val="auto"/>
          <w:sz w:val="24"/>
          <w:szCs w:val="24"/>
          <w:highlight w:val="none"/>
        </w:rPr>
      </w:pPr>
      <w:r>
        <w:rPr>
          <w:rFonts w:hint="eastAsia" w:ascii="宋体" w:hAnsi="宋体"/>
          <w:color w:val="auto"/>
          <w:sz w:val="24"/>
          <w:szCs w:val="24"/>
          <w:highlight w:val="none"/>
        </w:rPr>
      </w:r>
      <w:r/>
    </w:p>
    <w:p>
      <w:pPr>
        <w:ind w:firstLine="21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 </w:t>
      </w:r>
      <w:r/>
    </w:p>
    <w:p>
      <w:pPr>
        <w:ind w:firstLine="3570"/>
        <w:spacing w:before="240" w:after="240"/>
        <w:rPr>
          <w:rFonts w:hint="eastAsia" w:ascii="宋体" w:hAnsi="宋体"/>
          <w:color w:val="auto"/>
          <w:sz w:val="24"/>
          <w:szCs w:val="24"/>
          <w:highlight w:val="none"/>
        </w:rPr>
      </w:pPr>
      <w:r>
        <w:rPr>
          <w:rFonts w:hint="eastAsia" w:ascii="宋体" w:hAnsi="宋体"/>
          <w:color w:val="auto"/>
          <w:sz w:val="24"/>
          <w:szCs w:val="24"/>
          <w:highlight w:val="none"/>
        </w:rPr>
        <w:t xml:space="preserve">法定代表人</w:t>
      </w:r>
      <w:r>
        <w:rPr>
          <w:rFonts w:ascii="宋体" w:hAnsi="宋体"/>
          <w:color w:val="auto"/>
          <w:sz w:val="24"/>
          <w:szCs w:val="24"/>
          <w:highlight w:val="none"/>
        </w:rPr>
        <w:t xml:space="preserve">联系电话：（手机）   </w:t>
      </w:r>
      <w:r/>
    </w:p>
    <w:p>
      <w:pPr>
        <w:ind w:firstLine="357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单位名称：   （加盖公章）</w:t>
      </w:r>
      <w:r/>
    </w:p>
    <w:p>
      <w:pPr>
        <w:ind w:firstLine="357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单位地址：   </w:t>
      </w:r>
      <w:r/>
    </w:p>
    <w:p>
      <w:pPr>
        <w:ind w:firstLine="360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日期：   </w:t>
      </w:r>
      <w:r>
        <w:rPr>
          <w:rFonts w:hint="eastAsia" w:ascii="宋体" w:hAnsi="宋体"/>
          <w:color w:val="auto"/>
          <w:sz w:val="24"/>
          <w:szCs w:val="24"/>
          <w:highlight w:val="none"/>
        </w:rPr>
        <w:t xml:space="preserve">年   月   日</w:t>
      </w:r>
      <w:r/>
    </w:p>
    <w:p>
      <w:pPr>
        <w:spacing w:line="560" w:lineRule="exact"/>
        <w:rPr>
          <w:color w:val="auto"/>
          <w:highlight w:val="none"/>
        </w:rPr>
      </w:pPr>
      <w:r>
        <w:rPr>
          <w:color w:val="auto"/>
          <w:highlight w:val="none"/>
        </w:rPr>
      </w:r>
      <w:r/>
    </w:p>
    <w:p>
      <w:pPr>
        <w:contextualSpacing/>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contextualSpacing/>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rPr>
          <w:rFonts w:ascii="Times New Roman" w:hAnsi="Times New Roman" w:cs="宋体"/>
          <w:color w:val="auto"/>
          <w:sz w:val="24"/>
          <w:szCs w:val="24"/>
          <w:highlight w:val="none"/>
        </w:rPr>
        <w:t xml:space="preserve">被授权人非法定代表人的，应提供授权委托书原件</w:t>
      </w:r>
      <w:r>
        <w:rPr>
          <w:rFonts w:hint="eastAsia" w:ascii="Times New Roman" w:hAnsi="Times New Roman" w:cs="宋体"/>
          <w:color w:val="auto"/>
          <w:sz w:val="24"/>
          <w:szCs w:val="24"/>
          <w:highlight w:val="none"/>
        </w:rPr>
        <w:t xml:space="preserve">、</w:t>
      </w:r>
      <w:r>
        <w:rPr>
          <w:rFonts w:ascii="Times New Roman" w:hAnsi="Times New Roman" w:cs="宋体"/>
          <w:color w:val="auto"/>
          <w:sz w:val="24"/>
          <w:szCs w:val="24"/>
          <w:highlight w:val="none"/>
        </w:rPr>
        <w:t xml:space="preserve">身份证原件的扫描件；</w:t>
      </w:r>
      <w:r>
        <w:rPr>
          <w:rFonts w:ascii="宋体" w:hAnsi="宋体" w:cs="宋体"/>
          <w:color w:val="auto"/>
          <w:sz w:val="24"/>
          <w:highlight w:val="none"/>
        </w:rPr>
        <w:t xml:space="preserve">被授权人是法定代表人的，应提供</w:t>
      </w:r>
      <w:r>
        <w:rPr>
          <w:rFonts w:hint="eastAsia" w:ascii="宋体" w:hAnsi="宋体" w:cs="宋体"/>
          <w:color w:val="auto"/>
          <w:sz w:val="24"/>
          <w:highlight w:val="none"/>
        </w:rPr>
        <w:t xml:space="preserve">法定代表人身份证明书</w:t>
      </w:r>
      <w:r>
        <w:rPr>
          <w:rFonts w:ascii="宋体" w:hAnsi="宋体" w:cs="宋体"/>
          <w:color w:val="auto"/>
          <w:sz w:val="24"/>
          <w:highlight w:val="none"/>
        </w:rPr>
        <w:t xml:space="preserve">）</w:t>
      </w:r>
      <w:r>
        <w:rPr>
          <w:rFonts w:hint="eastAsia" w:ascii="宋体" w:hAnsi="宋体" w:cs="宋体"/>
          <w:color w:val="auto"/>
          <w:sz w:val="24"/>
          <w:szCs w:val="24"/>
          <w:highlight w:val="none"/>
        </w:rPr>
        <w:t xml:space="preserve">。</w:t>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i/>
          <w:color w:val="auto"/>
          <w:spacing w:val="8"/>
          <w:sz w:val="24"/>
          <w:highlight w:val="none"/>
          <w:u w:val="single"/>
          <w:lang w:val="en-US" w:eastAsia="zh-CN"/>
        </w:rPr>
      </w:pPr>
      <w:r>
        <w:rPr>
          <w:rFonts w:hint="eastAsia" w:ascii="宋体" w:hAnsi="宋体" w:cs="宋体"/>
          <w:i/>
          <w:color w:val="auto"/>
          <w:spacing w:val="8"/>
          <w:sz w:val="24"/>
          <w:highlight w:val="none"/>
          <w:u w:val="single"/>
          <w:lang w:val="en-US" w:eastAsia="zh-CN"/>
        </w:rPr>
      </w:r>
      <w:r/>
    </w:p>
    <w:p>
      <w:pPr>
        <w:contextualSpacing/>
        <w:ind w:firstLine="480"/>
        <w:jc w:val="center"/>
        <w:spacing w:line="360" w:lineRule="auto"/>
        <w:widowControl/>
        <w:rPr>
          <w:rFonts w:hint="eastAsia" w:ascii="宋体" w:hAnsi="宋体" w:cs="宋体"/>
          <w:color w:val="auto"/>
          <w:sz w:val="32"/>
          <w:szCs w:val="32"/>
          <w:highlight w:val="none"/>
        </w:rPr>
        <w:outlineLvl w:val="2"/>
      </w:pPr>
      <w:r>
        <w:rPr>
          <w:rFonts w:hint="eastAsia" w:ascii="宋体" w:hAnsi="宋体" w:cs="宋体"/>
          <w:color w:val="auto"/>
          <w:sz w:val="32"/>
          <w:szCs w:val="32"/>
          <w:highlight w:val="none"/>
          <w:lang w:val="en-US" w:eastAsia="zh-CN"/>
        </w:rPr>
        <w:t xml:space="preserve">未</w:t>
      </w:r>
      <w:r>
        <w:rPr>
          <w:rFonts w:hint="eastAsia" w:ascii="宋体" w:hAnsi="宋体" w:cs="宋体"/>
          <w:color w:val="auto"/>
          <w:sz w:val="32"/>
          <w:szCs w:val="32"/>
          <w:highlight w:val="none"/>
        </w:rPr>
        <w:t xml:space="preserve">被“信用中国”网站（www.creditchina.gov.cn）列入失信被执行人、重大税收违法案件当事人名单、政府采购严重失信行为记录名单。</w:t>
      </w:r>
      <w:r/>
    </w:p>
    <w:p>
      <w:pPr>
        <w:rPr>
          <w:rFonts w:ascii="宋体" w:hAnsi="宋体" w:eastAsia="宋体" w:cs="宋体"/>
          <w:b/>
          <w:color w:val="auto"/>
          <w:sz w:val="32"/>
          <w:highlight w:val="none"/>
        </w:rPr>
      </w:pPr>
      <w:r/>
      <w:bookmarkStart w:id="221" w:name="_Toc185684877"/>
      <w:r>
        <w:rPr>
          <w:rFonts w:ascii="宋体" w:hAnsi="宋体" w:eastAsia="宋体" w:cs="宋体"/>
          <w:b/>
          <w:color w:val="auto"/>
          <w:sz w:val="32"/>
          <w:highlight w:val="none"/>
        </w:rPr>
        <w:br w:type="page" w:clear="all"/>
      </w:r>
      <w:r/>
    </w:p>
    <w:p>
      <w:pPr>
        <w:pStyle w:val="1560"/>
        <w:rPr>
          <w:color w:val="auto"/>
          <w:highlight w:val="none"/>
        </w:rPr>
        <w:outlineLvl w:val="1"/>
      </w:pPr>
      <w:r>
        <w:rPr>
          <w:rFonts w:ascii="宋体" w:hAnsi="宋体" w:eastAsia="宋体" w:cs="宋体"/>
          <w:b/>
          <w:color w:val="auto"/>
          <w:sz w:val="32"/>
          <w:highlight w:val="none"/>
        </w:rPr>
        <w:t xml:space="preserve">五、</w:t>
      </w:r>
      <w:r>
        <w:rPr>
          <w:rFonts w:hint="eastAsia" w:ascii="宋体" w:hAnsi="宋体" w:eastAsia="宋体" w:cs="宋体"/>
          <w:b/>
          <w:color w:val="auto"/>
          <w:sz w:val="32"/>
          <w:highlight w:val="none"/>
        </w:rPr>
        <w:t xml:space="preserve">经费测算明细表</w:t>
      </w:r>
      <w:r/>
    </w:p>
    <w:p>
      <w:pPr>
        <w:pStyle w:val="1561"/>
        <w:jc w:val="center"/>
        <w:spacing w:before="400" w:after="400" w:line="300" w:lineRule="auto"/>
        <w:rPr>
          <w:rStyle w:val="1159"/>
          <w:rFonts w:hint="eastAsia" w:ascii="黑体" w:hAnsi="黑体" w:eastAsia="黑体" w:cs="黑体"/>
          <w:b/>
          <w:bCs/>
          <w:sz w:val="40"/>
          <w:szCs w:val="40"/>
          <w:highlight w:val="none"/>
        </w:rPr>
      </w:pPr>
      <w:r>
        <w:rPr>
          <w:rStyle w:val="1159"/>
          <w:rFonts w:ascii="黑体" w:hAnsi="黑体" w:eastAsia="黑体" w:cs="黑体"/>
          <w:b/>
          <w:bCs/>
          <w:sz w:val="40"/>
          <w:szCs w:val="40"/>
          <w:highlight w:val="none"/>
        </w:rPr>
        <w:t xml:space="preserve">经费测算明细表 </w:t>
      </w:r>
      <w:r/>
    </w:p>
    <w:p>
      <w:pPr>
        <w:pStyle w:val="1561"/>
        <w:spacing w:before="240" w:after="240"/>
        <w:rPr>
          <w:rStyle w:val="1159"/>
          <w:rFonts w:hint="eastAsia" w:ascii="宋体" w:hAnsi="宋体" w:eastAsia="宋体" w:cs="宋体"/>
          <w:highlight w:val="none"/>
        </w:rPr>
      </w:pPr>
      <w:r>
        <w:rPr>
          <w:rStyle w:val="1159"/>
          <w:rFonts w:ascii="宋体" w:hAnsi="宋体" w:eastAsia="宋体" w:cs="宋体"/>
          <w:highlight w:val="none"/>
        </w:rPr>
        <w:t xml:space="preserve">  </w:t>
      </w:r>
      <w:r/>
    </w:p>
    <w:tbl>
      <w:tblPr>
        <w:tblStyle w:val="954"/>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Borders>
              <w:top w:val="single" w:color="auto" w:sz="4" w:space="0"/>
              <w:left w:val="single" w:color="auto" w:sz="4" w:space="0"/>
            </w:tcBorders>
            <w:tcMar>
              <w:left w:w="0" w:type="dxa"/>
              <w:top w:w="0" w:type="dxa"/>
              <w:right w:w="0" w:type="dxa"/>
              <w:bottom w:w="0" w:type="dxa"/>
            </w:tcMar>
            <w:tcW w:w="484"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序号</w:t>
            </w:r>
            <w:r/>
          </w:p>
        </w:tc>
        <w:tc>
          <w:tcPr>
            <w:tcBorders>
              <w:top w:val="single" w:color="auto" w:sz="4" w:space="0"/>
            </w:tcBorders>
            <w:tcMar>
              <w:left w:w="0" w:type="dxa"/>
              <w:top w:w="0" w:type="dxa"/>
              <w:right w:w="0" w:type="dxa"/>
              <w:bottom w:w="0" w:type="dxa"/>
            </w:tcMar>
            <w:tcW w:w="2183"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项目</w:t>
            </w:r>
            <w:r/>
          </w:p>
        </w:tc>
        <w:tc>
          <w:tcPr>
            <w:tcBorders>
              <w:top w:val="single" w:color="auto" w:sz="4" w:space="0"/>
            </w:tcBorders>
            <w:tcMar>
              <w:left w:w="0" w:type="dxa"/>
              <w:top w:w="0" w:type="dxa"/>
              <w:right w:w="0" w:type="dxa"/>
              <w:bottom w:w="0" w:type="dxa"/>
            </w:tcMar>
            <w:tcW w:w="2817"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测算依据和测算式</w:t>
            </w:r>
            <w:r/>
          </w:p>
        </w:tc>
        <w:tc>
          <w:tcPr>
            <w:tcBorders>
              <w:top w:val="single" w:color="auto" w:sz="4" w:space="0"/>
            </w:tcBorders>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Style w:val="1159"/>
                <w:rFonts w:hint="eastAsia" w:ascii="宋体" w:hAnsi="宋体" w:eastAsia="宋体" w:cs="宋体"/>
                <w:highlight w:val="none"/>
                <w:lang w:val="en-US" w:eastAsia="zh-CN"/>
              </w:rPr>
              <w:t xml:space="preserve">单价</w:t>
            </w:r>
            <w:r>
              <w:rPr>
                <w:rStyle w:val="1159"/>
                <w:rFonts w:ascii="宋体" w:hAnsi="宋体" w:eastAsia="宋体" w:cs="宋体"/>
                <w:highlight w:val="none"/>
              </w:rPr>
              <w:t xml:space="preserve">（元）</w:t>
            </w:r>
            <w:r/>
          </w:p>
        </w:tc>
        <w:tc>
          <w:tcPr>
            <w:tcBorders>
              <w:top w:val="single" w:color="auto" w:sz="4" w:space="0"/>
            </w:tcBorders>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金额（元）</w:t>
            </w:r>
            <w:r/>
          </w:p>
        </w:tc>
        <w:tc>
          <w:tcPr>
            <w:tcBorders>
              <w:top w:val="single" w:color="auto" w:sz="4" w:space="0"/>
              <w:right w:val="single" w:color="auto" w:sz="4" w:space="0"/>
            </w:tcBorders>
            <w:tcMar>
              <w:left w:w="0" w:type="dxa"/>
              <w:top w:w="0" w:type="dxa"/>
              <w:right w:w="0" w:type="dxa"/>
              <w:bottom w:w="0" w:type="dxa"/>
            </w:tcMar>
            <w:tcW w:w="1421"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备注</w:t>
            </w:r>
            <w:r/>
          </w:p>
        </w:tc>
      </w:tr>
      <w:tr>
        <w:trPr>
          <w:trHeight w:val="287"/>
        </w:trPr>
        <w:tc>
          <w:tcPr>
            <w:tcBorders>
              <w:left w:val="single" w:color="auto" w:sz="4" w:space="0"/>
            </w:tcBorders>
            <w:tcMar>
              <w:left w:w="0" w:type="dxa"/>
              <w:top w:w="0" w:type="dxa"/>
              <w:right w:w="0" w:type="dxa"/>
              <w:bottom w:w="0" w:type="dxa"/>
            </w:tcMar>
            <w:tcW w:w="484"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1</w:t>
            </w:r>
            <w:r/>
          </w:p>
        </w:tc>
        <w:tc>
          <w:tcPr>
            <w:tcMar>
              <w:left w:w="0" w:type="dxa"/>
              <w:top w:w="0" w:type="dxa"/>
              <w:right w:w="0" w:type="dxa"/>
              <w:bottom w:w="0" w:type="dxa"/>
            </w:tcMar>
            <w:tcW w:w="2183"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    </w:t>
            </w:r>
            <w:r/>
          </w:p>
        </w:tc>
        <w:tc>
          <w:tcPr>
            <w:tcMar>
              <w:left w:w="0" w:type="dxa"/>
              <w:top w:w="0" w:type="dxa"/>
              <w:right w:w="0" w:type="dxa"/>
              <w:bottom w:w="0" w:type="dxa"/>
            </w:tcMar>
            <w:tcW w:w="2817"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    </w:t>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    </w:t>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    </w:t>
            </w:r>
            <w:r/>
          </w:p>
        </w:tc>
        <w:tc>
          <w:tcPr>
            <w:tcBorders>
              <w:right w:val="single" w:color="auto" w:sz="4" w:space="0"/>
            </w:tcBorders>
            <w:tcMar>
              <w:left w:w="0" w:type="dxa"/>
              <w:top w:w="0" w:type="dxa"/>
              <w:right w:w="0" w:type="dxa"/>
              <w:bottom w:w="0" w:type="dxa"/>
            </w:tcMar>
            <w:tcW w:w="1421"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    </w:t>
            </w:r>
            <w:r/>
          </w:p>
        </w:tc>
      </w:tr>
      <w:tr>
        <w:trPr>
          <w:trHeight w:val="287"/>
        </w:trPr>
        <w:tc>
          <w:tcPr>
            <w:tcBorders>
              <w:left w:val="single" w:color="auto" w:sz="4" w:space="0"/>
            </w:tcBorders>
            <w:tcMar>
              <w:left w:w="0" w:type="dxa"/>
              <w:top w:w="0" w:type="dxa"/>
              <w:right w:w="0" w:type="dxa"/>
              <w:bottom w:w="0" w:type="dxa"/>
            </w:tcMar>
            <w:tcW w:w="484"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2183"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2817"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Borders>
              <w:right w:val="single" w:color="auto" w:sz="4" w:space="0"/>
            </w:tcBorders>
            <w:tcMar>
              <w:left w:w="0" w:type="dxa"/>
              <w:top w:w="0" w:type="dxa"/>
              <w:right w:w="0" w:type="dxa"/>
              <w:bottom w:w="0" w:type="dxa"/>
            </w:tcMar>
            <w:tcW w:w="1421"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r>
      <w:tr>
        <w:trPr>
          <w:trHeight w:val="287"/>
        </w:trPr>
        <w:tc>
          <w:tcPr>
            <w:tcBorders>
              <w:left w:val="single" w:color="auto" w:sz="4" w:space="0"/>
            </w:tcBorders>
            <w:tcMar>
              <w:left w:w="0" w:type="dxa"/>
              <w:top w:w="0" w:type="dxa"/>
              <w:right w:w="0" w:type="dxa"/>
              <w:bottom w:w="0" w:type="dxa"/>
            </w:tcMar>
            <w:tcW w:w="484"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2183"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2817"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Borders>
              <w:right w:val="single" w:color="auto" w:sz="4" w:space="0"/>
            </w:tcBorders>
            <w:tcMar>
              <w:left w:w="0" w:type="dxa"/>
              <w:top w:w="0" w:type="dxa"/>
              <w:right w:w="0" w:type="dxa"/>
              <w:bottom w:w="0" w:type="dxa"/>
            </w:tcMar>
            <w:tcW w:w="1421"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r>
      <w:tr>
        <w:trPr>
          <w:trHeight w:val="287"/>
        </w:trPr>
        <w:tc>
          <w:tcPr>
            <w:tcBorders>
              <w:left w:val="single" w:color="auto" w:sz="4" w:space="0"/>
            </w:tcBorders>
            <w:tcMar>
              <w:left w:w="0" w:type="dxa"/>
              <w:top w:w="0" w:type="dxa"/>
              <w:right w:w="0" w:type="dxa"/>
              <w:bottom w:w="0" w:type="dxa"/>
            </w:tcMar>
            <w:tcW w:w="484"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2183"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2817"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Borders>
              <w:right w:val="single" w:color="auto" w:sz="4" w:space="0"/>
            </w:tcBorders>
            <w:tcMar>
              <w:left w:w="0" w:type="dxa"/>
              <w:top w:w="0" w:type="dxa"/>
              <w:right w:w="0" w:type="dxa"/>
              <w:bottom w:w="0" w:type="dxa"/>
            </w:tcMar>
            <w:tcW w:w="1421"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r>
      <w:tr>
        <w:trPr>
          <w:trHeight w:val="287"/>
        </w:trPr>
        <w:tc>
          <w:tcPr>
            <w:tcBorders>
              <w:left w:val="single" w:color="auto" w:sz="4" w:space="0"/>
            </w:tcBorders>
            <w:tcMar>
              <w:left w:w="0" w:type="dxa"/>
              <w:top w:w="0" w:type="dxa"/>
              <w:right w:w="0" w:type="dxa"/>
              <w:bottom w:w="0" w:type="dxa"/>
            </w:tcMar>
            <w:tcW w:w="484"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2183"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2817"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Borders>
              <w:right w:val="single" w:color="auto" w:sz="4" w:space="0"/>
            </w:tcBorders>
            <w:tcMar>
              <w:left w:w="0" w:type="dxa"/>
              <w:top w:w="0" w:type="dxa"/>
              <w:right w:w="0" w:type="dxa"/>
              <w:bottom w:w="0" w:type="dxa"/>
            </w:tcMar>
            <w:tcW w:w="1421"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r>
      <w:tr>
        <w:trPr>
          <w:trHeight w:val="287"/>
        </w:trPr>
        <w:tc>
          <w:tcPr>
            <w:gridSpan w:val="3"/>
            <w:tcBorders>
              <w:left w:val="single" w:color="auto" w:sz="4" w:space="0"/>
              <w:bottom w:val="single" w:color="auto" w:sz="4" w:space="0"/>
            </w:tcBorders>
            <w:tcMar>
              <w:left w:w="0" w:type="dxa"/>
              <w:top w:w="0" w:type="dxa"/>
              <w:right w:w="0" w:type="dxa"/>
              <w:bottom w:w="0" w:type="dxa"/>
            </w:tcMar>
            <w:tcW w:w="5484" w:type="dxa"/>
            <w:vAlign w:val="center"/>
            <w:textDirection w:val="lrTb"/>
            <w:noWrap w:val="false"/>
          </w:tcPr>
          <w:p>
            <w:pPr>
              <w:pStyle w:val="1561"/>
              <w:jc w:val="center"/>
              <w:rPr>
                <w:rStyle w:val="1159"/>
                <w:rFonts w:hint="eastAsia" w:ascii="宋体" w:hAnsi="宋体" w:eastAsia="宋体" w:cs="宋体"/>
                <w:highlight w:val="none"/>
              </w:rPr>
            </w:pPr>
            <w:r>
              <w:rPr>
                <w:rStyle w:val="1159"/>
                <w:rFonts w:ascii="宋体" w:hAnsi="宋体" w:eastAsia="宋体" w:cs="宋体"/>
                <w:highlight w:val="none"/>
              </w:rPr>
              <w:t xml:space="preserve">合计</w:t>
            </w:r>
            <w:r/>
          </w:p>
        </w:tc>
        <w:tc>
          <w:tcPr>
            <w:tcBorders>
              <w:bottom w:val="single" w:color="auto" w:sz="4" w:space="0"/>
            </w:tcBorders>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Borders>
              <w:bottom w:val="single" w:color="auto" w:sz="4" w:space="0"/>
            </w:tcBorders>
            <w:tcMar>
              <w:left w:w="0" w:type="dxa"/>
              <w:top w:w="0" w:type="dxa"/>
              <w:right w:w="0" w:type="dxa"/>
              <w:bottom w:w="0" w:type="dxa"/>
            </w:tcMar>
            <w:tcW w:w="1040"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c>
          <w:tcPr>
            <w:tcBorders>
              <w:bottom w:val="single" w:color="auto" w:sz="4" w:space="0"/>
              <w:right w:val="single" w:color="auto" w:sz="4" w:space="0"/>
            </w:tcBorders>
            <w:tcMar>
              <w:left w:w="0" w:type="dxa"/>
              <w:top w:w="0" w:type="dxa"/>
              <w:right w:w="0" w:type="dxa"/>
              <w:bottom w:w="0" w:type="dxa"/>
            </w:tcMar>
            <w:tcW w:w="1421" w:type="dxa"/>
            <w:vAlign w:val="center"/>
            <w:textDirection w:val="lrTb"/>
            <w:noWrap w:val="false"/>
          </w:tcPr>
          <w:p>
            <w:pPr>
              <w:pStyle w:val="1561"/>
              <w:jc w:val="center"/>
              <w:rPr>
                <w:rStyle w:val="1159"/>
                <w:rFonts w:hint="eastAsia" w:ascii="宋体" w:hAnsi="宋体" w:eastAsia="宋体" w:cs="宋体"/>
                <w:highlight w:val="none"/>
              </w:rPr>
            </w:pPr>
            <w:r>
              <w:rPr>
                <w:rFonts w:hint="eastAsia" w:ascii="宋体" w:hAnsi="宋体" w:eastAsia="宋体" w:cs="宋体"/>
                <w:highlight w:val="none"/>
              </w:rPr>
            </w:r>
            <w:r/>
          </w:p>
        </w:tc>
      </w:tr>
    </w:tbl>
    <w:p>
      <w:pPr>
        <w:pStyle w:val="1561"/>
        <w:rPr>
          <w:rStyle w:val="1159"/>
          <w:vanish/>
          <w:highlight w:val="none"/>
        </w:rPr>
      </w:pPr>
      <w:r>
        <w:rPr>
          <w:vanish/>
          <w:highlight w:val="none"/>
        </w:rPr>
      </w:r>
      <w:r/>
    </w:p>
    <w:p>
      <w:pPr>
        <w:pStyle w:val="1561"/>
        <w:spacing w:before="240" w:after="240"/>
        <w:rPr>
          <w:rStyle w:val="1159"/>
          <w:rFonts w:hint="eastAsia" w:ascii="宋体" w:hAnsi="宋体" w:eastAsia="宋体" w:cs="宋体"/>
          <w:highlight w:val="none"/>
        </w:rPr>
      </w:pPr>
      <w:r>
        <w:rPr>
          <w:rStyle w:val="1159"/>
          <w:rFonts w:ascii="宋体" w:hAnsi="宋体" w:eastAsia="宋体" w:cs="宋体"/>
          <w:highlight w:val="none"/>
        </w:rPr>
        <w:t xml:space="preserve">  </w:t>
      </w:r>
      <w:r/>
    </w:p>
    <w:p>
      <w:pPr>
        <w:pStyle w:val="1561"/>
        <w:spacing w:before="240" w:after="240"/>
        <w:rPr>
          <w:rStyle w:val="1159"/>
          <w:rFonts w:hint="eastAsia" w:ascii="宋体" w:hAnsi="宋体" w:eastAsia="宋体" w:cs="宋体"/>
          <w:highlight w:val="none"/>
        </w:rPr>
      </w:pPr>
      <w:r>
        <w:rPr>
          <w:rStyle w:val="1159"/>
          <w:rFonts w:ascii="宋体" w:hAnsi="宋体" w:eastAsia="宋体" w:cs="宋体"/>
          <w:highlight w:val="none"/>
        </w:rPr>
        <w:t xml:space="preserve">注：以上表格必须如实提供，内容表述不全的可自行调整或添加。此表的合计金额应与开标一览表相符，如有不符，以开标一览表为准。 </w:t>
      </w:r>
      <w:r/>
    </w:p>
    <w:p>
      <w:pPr>
        <w:contextualSpacing/>
        <w:ind w:firstLine="480"/>
        <w:jc w:val="left"/>
        <w:spacing w:line="360" w:lineRule="auto"/>
        <w:widowControl/>
        <w:rPr>
          <w:rFonts w:ascii="Times New Roman" w:hAnsi="Times New Roman"/>
          <w:color w:val="auto"/>
          <w:sz w:val="24"/>
          <w:szCs w:val="24"/>
          <w:highlight w:val="none"/>
        </w:rPr>
        <w:outlineLvl w:val="1"/>
      </w:pPr>
      <w:r>
        <w:rPr>
          <w:rStyle w:val="1159"/>
          <w:highlight w:val="none"/>
        </w:rPr>
        <w:br w:type="page" w:clear="all"/>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widowControl/>
        <w:rPr>
          <w:rFonts w:ascii="Times New Roman" w:hAnsi="Times New Roman" w:eastAsia="Times New Roman"/>
          <w:color w:val="auto"/>
          <w:sz w:val="24"/>
          <w:szCs w:val="24"/>
          <w:highlight w:val="none"/>
        </w:rPr>
        <w:outlineLvl w:val="1"/>
      </w:pPr>
      <w:r>
        <w:rPr>
          <w:rFonts w:hint="eastAsia" w:ascii="宋体" w:hAnsi="宋体" w:cs="宋体"/>
          <w:b/>
          <w:color w:val="auto"/>
          <w:sz w:val="32"/>
          <w:szCs w:val="24"/>
          <w:highlight w:val="none"/>
          <w:lang w:val="en-US" w:eastAsia="zh-CN"/>
        </w:rPr>
        <w:t xml:space="preserve">六</w:t>
      </w:r>
      <w:r>
        <w:rPr>
          <w:rFonts w:ascii="宋体" w:hAnsi="宋体" w:cs="宋体"/>
          <w:b/>
          <w:color w:val="auto"/>
          <w:sz w:val="32"/>
          <w:szCs w:val="24"/>
          <w:highlight w:val="none"/>
        </w:rPr>
        <w:t xml:space="preserve">、第四章项目需求中实质性要求响应对照表</w:t>
      </w:r>
      <w:bookmarkEnd w:id="220"/>
      <w:r/>
      <w:bookmarkEnd w:id="221"/>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440" w:lineRule="exact"/>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1、商务条款的实质性格式</w:t>
      </w:r>
      <w:r/>
    </w:p>
    <w:tbl>
      <w:tblPr>
        <w:tblStyle w:val="954"/>
        <w:tblW w:w="907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6442"/>
        <w:gridCol w:w="2126"/>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商务条款</w:t>
            </w:r>
            <w:r>
              <w:rPr>
                <w:rFonts w:ascii="宋体" w:hAnsi="宋体" w:cs="宋体"/>
                <w:color w:val="auto"/>
                <w:sz w:val="24"/>
                <w:szCs w:val="24"/>
                <w:highlight w:val="none"/>
              </w:rPr>
              <w:t xml:space="preserve">的实质性要求</w:t>
            </w:r>
            <w:r/>
          </w:p>
          <w:p>
            <w:pPr>
              <w:jc w:val="center"/>
              <w:rPr>
                <w:rFonts w:hint="eastAsia" w:ascii="宋体" w:hAnsi="宋体" w:cs="宋体"/>
                <w:color w:val="auto"/>
                <w:sz w:val="24"/>
                <w:szCs w:val="24"/>
                <w:highlight w:val="none"/>
              </w:rPr>
            </w:pPr>
            <w:r>
              <w:rPr>
                <w:rFonts w:hint="eastAsia" w:ascii="宋体" w:hAnsi="宋体" w:eastAsia="Times New Roman"/>
                <w:i/>
                <w:color w:val="auto"/>
                <w:sz w:val="24"/>
                <w:szCs w:val="24"/>
                <w:highlight w:val="none"/>
                <w:u w:val="single"/>
              </w:rPr>
              <w:t xml:space="preserve">（加</w:t>
            </w:r>
            <w:r>
              <w:rPr>
                <w:rFonts w:ascii="宋体" w:hAnsi="宋体" w:eastAsia="Times New Roman"/>
                <w:i/>
                <w:color w:val="auto"/>
                <w:sz w:val="24"/>
                <w:szCs w:val="24"/>
                <w:highlight w:val="none"/>
                <w:u w:val="single"/>
              </w:rPr>
              <w:t xml:space="preserve">斜体下划线内容</w:t>
            </w:r>
            <w:r>
              <w:rPr>
                <w:rFonts w:hint="eastAsia" w:ascii="宋体" w:hAnsi="宋体" w:eastAsia="Times New Roman"/>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（填是或者否）</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2、技术要求的实质性格式</w:t>
      </w:r>
      <w:r/>
    </w:p>
    <w:tbl>
      <w:tblPr>
        <w:tblStyle w:val="954"/>
        <w:tblW w:w="907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6472"/>
        <w:gridCol w:w="2126"/>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w:t>
            </w:r>
            <w:r>
              <w:rPr>
                <w:rFonts w:ascii="宋体" w:hAnsi="宋体" w:cs="宋体"/>
                <w:color w:val="auto"/>
                <w:sz w:val="24"/>
                <w:szCs w:val="24"/>
                <w:highlight w:val="none"/>
              </w:rPr>
              <w:t xml:space="preserve">的实质性要求</w:t>
            </w:r>
            <w:r/>
          </w:p>
          <w:p>
            <w:pPr>
              <w:jc w:val="center"/>
              <w:rPr>
                <w:rFonts w:hint="eastAsia" w:ascii="宋体" w:hAnsi="宋体" w:cs="宋体"/>
                <w:color w:val="auto"/>
                <w:sz w:val="24"/>
                <w:szCs w:val="24"/>
                <w:highlight w:val="none"/>
              </w:rPr>
            </w:pPr>
            <w:r>
              <w:rPr>
                <w:rFonts w:hint="eastAsia" w:ascii="宋体" w:hAnsi="宋体" w:eastAsia="Times New Roman"/>
                <w:i/>
                <w:color w:val="auto"/>
                <w:sz w:val="24"/>
                <w:szCs w:val="24"/>
                <w:highlight w:val="none"/>
                <w:u w:val="single"/>
              </w:rPr>
              <w:t xml:space="preserve">（加</w:t>
            </w:r>
            <w:r>
              <w:rPr>
                <w:rFonts w:ascii="宋体" w:hAnsi="宋体" w:eastAsia="Times New Roman"/>
                <w:i/>
                <w:color w:val="auto"/>
                <w:sz w:val="24"/>
                <w:szCs w:val="24"/>
                <w:highlight w:val="none"/>
                <w:u w:val="single"/>
              </w:rPr>
              <w:t xml:space="preserve">斜体下划线内容</w:t>
            </w:r>
            <w:r>
              <w:rPr>
                <w:rFonts w:hint="eastAsia" w:ascii="宋体" w:hAnsi="宋体" w:eastAsia="Times New Roman"/>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（填是或者否）</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ascii="宋体" w:hAnsi="宋体" w:eastAsia="Times New Roman" w:cs="宋体"/>
                <w:b/>
                <w:i/>
                <w:iCs/>
                <w:color w:val="auto"/>
                <w:sz w:val="24"/>
                <w:szCs w:val="24"/>
                <w:highlight w:val="none"/>
                <w:u w:val="single"/>
              </w:rPr>
            </w:pPr>
            <w:r>
              <w:rPr>
                <w:rFonts w:ascii="宋体" w:hAnsi="宋体" w:eastAsia="Times New Roman" w:cs="宋体"/>
                <w:b/>
                <w:i/>
                <w:iCs/>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left"/>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contextualSpacing/>
        <w:ind w:firstLine="480"/>
        <w:jc w:val="left"/>
        <w:spacing w:line="360" w:lineRule="auto"/>
        <w:widowControl/>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eastAsia="宋体" w:cs="宋体"/>
          <w:b/>
          <w:sz w:val="32"/>
          <w:highlight w:val="none"/>
          <w:lang w:val="en-US" w:eastAsia="zh-CN"/>
        </w:rPr>
      </w:pPr>
      <w:r/>
      <w:bookmarkStart w:id="222" w:name="_Toc256000018"/>
      <w:r>
        <w:rPr>
          <w:rFonts w:hint="eastAsia" w:ascii="宋体" w:hAnsi="宋体" w:eastAsia="宋体" w:cs="宋体"/>
          <w:b/>
          <w:sz w:val="32"/>
          <w:highlight w:val="none"/>
          <w:lang w:val="en-US" w:eastAsia="zh-CN"/>
        </w:rPr>
        <w:br w:type="page" w:clear="all"/>
      </w:r>
      <w:r/>
    </w:p>
    <w:p>
      <w:pPr>
        <w:pStyle w:val="1554"/>
        <w:rPr>
          <w:highlight w:val="none"/>
        </w:rPr>
        <w:outlineLvl w:val="1"/>
      </w:pPr>
      <w:r>
        <w:rPr>
          <w:rFonts w:hint="eastAsia" w:ascii="宋体" w:hAnsi="宋体" w:eastAsia="宋体" w:cs="宋体"/>
          <w:b/>
          <w:sz w:val="32"/>
          <w:highlight w:val="none"/>
          <w:lang w:val="en-US" w:eastAsia="zh-CN"/>
        </w:rPr>
        <w:t xml:space="preserve">七</w:t>
      </w:r>
      <w:r>
        <w:rPr>
          <w:rFonts w:ascii="宋体" w:hAnsi="宋体" w:eastAsia="宋体" w:cs="宋体"/>
          <w:b/>
          <w:sz w:val="32"/>
          <w:highlight w:val="none"/>
        </w:rPr>
        <w:t xml:space="preserve">、</w:t>
      </w:r>
      <w:bookmarkEnd w:id="222"/>
      <w:r>
        <w:rPr>
          <w:rFonts w:hint="eastAsia" w:ascii="宋体" w:hAnsi="宋体" w:eastAsia="宋体" w:cs="宋体"/>
          <w:b/>
          <w:sz w:val="32"/>
          <w:highlight w:val="none"/>
        </w:rPr>
        <w:t xml:space="preserve">技术参数响应及偏离表</w:t>
      </w:r>
      <w:r/>
    </w:p>
    <w:p>
      <w:pPr>
        <w:pStyle w:val="1555"/>
        <w:spacing w:line="440" w:lineRule="exact"/>
        <w:rPr>
          <w:spacing w:val="7"/>
          <w:highlight w:val="none"/>
        </w:rPr>
      </w:pPr>
      <w:r>
        <w:rPr>
          <w:rFonts w:ascii="宋体" w:hAnsi="宋体" w:eastAsia="宋体" w:cs="宋体"/>
          <w:highlight w:val="none"/>
        </w:rPr>
        <w:t xml:space="preserve">﻿ </w:t>
      </w:r>
      <w:r/>
    </w:p>
    <w:p>
      <w:pPr>
        <w:jc w:val="center"/>
        <w:spacing w:before="320" w:after="320" w:line="300" w:lineRule="auto"/>
        <w:widowControl/>
        <w:rPr>
          <w:rFonts w:ascii="黑体" w:hAnsi="黑体" w:eastAsia="黑体" w:cs="黑体"/>
          <w:b/>
          <w:bCs/>
          <w:sz w:val="32"/>
          <w:szCs w:val="32"/>
          <w:highlight w:val="none"/>
        </w:rPr>
      </w:pPr>
      <w:r>
        <w:rPr>
          <w:rFonts w:ascii="黑体" w:hAnsi="黑体" w:eastAsia="黑体" w:cs="黑体"/>
          <w:b/>
          <w:bCs/>
          <w:sz w:val="32"/>
          <w:szCs w:val="32"/>
          <w:highlight w:val="none"/>
        </w:rPr>
        <w:t xml:space="preserve">技术参数响应及偏离表 </w:t>
      </w: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p>
    <w:tbl>
      <w:tblPr>
        <w:tblStyle w:val="954"/>
        <w:tblW w:w="9046"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9"/>
        <w:gridCol w:w="1113"/>
        <w:gridCol w:w="2341"/>
        <w:gridCol w:w="2136"/>
        <w:gridCol w:w="705"/>
        <w:gridCol w:w="2224"/>
        <w:gridCol w:w="28"/>
      </w:tblGrid>
      <w:tr>
        <w:trPr>
          <w:trHeight w:val="551"/>
        </w:trPr>
        <w:tc>
          <w:tcPr>
            <w:tcBorders>
              <w:bottom w:val="single" w:color="000000" w:sz="6" w:space="0"/>
              <w:right w:val="single" w:color="000000" w:sz="6" w:space="0"/>
            </w:tcBorders>
            <w:tcMar>
              <w:left w:w="0" w:type="dxa"/>
              <w:top w:w="0" w:type="dxa"/>
              <w:right w:w="0" w:type="dxa"/>
              <w:bottom w:w="0" w:type="dxa"/>
            </w:tcMar>
            <w:tcW w:w="499"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序号</w:t>
            </w:r>
            <w:r/>
          </w:p>
        </w:tc>
        <w:tc>
          <w:tcPr>
            <w:tcBorders>
              <w:left w:val="single" w:color="000000" w:sz="6" w:space="0"/>
              <w:bottom w:val="single" w:color="000000" w:sz="6" w:space="0"/>
              <w:right w:val="single" w:color="000000" w:sz="6" w:space="0"/>
            </w:tcBorders>
            <w:tcMar>
              <w:left w:w="0" w:type="dxa"/>
              <w:top w:w="0" w:type="dxa"/>
              <w:right w:w="0" w:type="dxa"/>
              <w:bottom w:w="0" w:type="dxa"/>
            </w:tcMar>
            <w:tcW w:w="1113"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名称</w:t>
            </w:r>
            <w:r/>
          </w:p>
        </w:tc>
        <w:tc>
          <w:tcPr>
            <w:tcBorders>
              <w:left w:val="single" w:color="000000" w:sz="6" w:space="0"/>
              <w:bottom w:val="single" w:color="000000" w:sz="6" w:space="0"/>
              <w:right w:val="single" w:color="000000" w:sz="6" w:space="0"/>
            </w:tcBorders>
            <w:tcMar>
              <w:left w:w="0" w:type="dxa"/>
              <w:top w:w="0" w:type="dxa"/>
              <w:right w:w="0" w:type="dxa"/>
              <w:bottom w:w="0" w:type="dxa"/>
            </w:tcMar>
            <w:tcW w:w="2341"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招标货物的技术性能</w:t>
            </w:r>
            <w:r/>
          </w:p>
        </w:tc>
        <w:tc>
          <w:tcPr>
            <w:tcBorders>
              <w:left w:val="single" w:color="000000" w:sz="6" w:space="0"/>
              <w:bottom w:val="single" w:color="000000" w:sz="6" w:space="0"/>
              <w:right w:val="single" w:color="000000" w:sz="6" w:space="0"/>
            </w:tcBorders>
            <w:tcMar>
              <w:left w:w="0" w:type="dxa"/>
              <w:top w:w="0" w:type="dxa"/>
              <w:right w:w="0" w:type="dxa"/>
              <w:bottom w:w="0" w:type="dxa"/>
            </w:tcMar>
            <w:tcW w:w="2136"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参与投标的货物的技术性能</w:t>
            </w:r>
            <w:r/>
          </w:p>
        </w:tc>
        <w:tc>
          <w:tcPr>
            <w:tcBorders>
              <w:left w:val="single" w:color="000000" w:sz="6" w:space="0"/>
              <w:bottom w:val="single" w:color="000000" w:sz="6" w:space="0"/>
              <w:right w:val="single" w:color="000000" w:sz="6" w:space="0"/>
            </w:tcBorders>
            <w:tcMar>
              <w:left w:w="0" w:type="dxa"/>
              <w:top w:w="0" w:type="dxa"/>
              <w:right w:w="0" w:type="dxa"/>
              <w:bottom w:w="0" w:type="dxa"/>
            </w:tcMar>
            <w:tcW w:w="705"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有无偏离</w:t>
            </w:r>
            <w:r/>
          </w:p>
        </w:tc>
        <w:tc>
          <w:tcPr>
            <w:gridSpan w:val="2"/>
            <w:tcBorders>
              <w:left w:val="single" w:color="000000" w:sz="6" w:space="0"/>
              <w:bottom w:val="single" w:color="000000" w:sz="6" w:space="0"/>
              <w:right w:val="single" w:color="000000" w:sz="6" w:space="0"/>
            </w:tcBorders>
            <w:tcMar>
              <w:left w:w="0" w:type="dxa"/>
              <w:top w:w="0" w:type="dxa"/>
              <w:right w:w="0" w:type="dxa"/>
              <w:bottom w:w="0" w:type="dxa"/>
            </w:tcMar>
            <w:tcW w:w="2252" w:type="dxa"/>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t xml:space="preserve">偏离内容及原因</w:t>
            </w:r>
            <w:r/>
          </w:p>
        </w:tc>
      </w:tr>
      <w:tr>
        <w:trPr>
          <w:trHeight w:val="287"/>
        </w:trPr>
        <w:tc>
          <w:tcPr>
            <w:tcBorders>
              <w:top w:val="single" w:color="000000" w:sz="6" w:space="0"/>
              <w:bottom w:val="single" w:color="000000" w:sz="6" w:space="0"/>
              <w:right w:val="single" w:color="000000" w:sz="6" w:space="0"/>
            </w:tcBorders>
            <w:tcMar>
              <w:left w:w="0" w:type="dxa"/>
              <w:top w:w="0" w:type="dxa"/>
              <w:right w:w="0" w:type="dxa"/>
              <w:bottom w:w="0" w:type="dxa"/>
            </w:tcMar>
            <w:tcW w:w="499"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13"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41"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36"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5"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24" w:type="dxa"/>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Borders>
              <w:left w:val="single" w:color="000000" w:sz="6" w:space="0"/>
            </w:tcBorders>
            <w:tcW w:w="28" w:type="dxa"/>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r>
      <w:tr>
        <w:trPr>
          <w:trHeight w:val="287"/>
        </w:trPr>
        <w:tc>
          <w:tcPr>
            <w:tcBorders>
              <w:top w:val="single" w:color="000000" w:sz="6" w:space="0"/>
              <w:bottom w:val="single" w:color="000000" w:sz="6" w:space="0"/>
              <w:right w:val="single" w:color="000000" w:sz="6" w:space="0"/>
            </w:tcBorders>
            <w:tcMar>
              <w:left w:w="0" w:type="dxa"/>
              <w:top w:w="0" w:type="dxa"/>
              <w:right w:w="0" w:type="dxa"/>
              <w:bottom w:w="0" w:type="dxa"/>
            </w:tcMar>
            <w:tcW w:w="499"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13"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41"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36"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05"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224" w:type="dxa"/>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Borders>
              <w:left w:val="single" w:color="000000" w:sz="6" w:space="0"/>
            </w:tcBorders>
            <w:tcW w:w="28" w:type="dxa"/>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r>
      <w:tr>
        <w:trPr>
          <w:trHeight w:val="287"/>
        </w:trPr>
        <w:tc>
          <w:tcPr>
            <w:tcBorders>
              <w:top w:val="single" w:color="000000" w:sz="6" w:space="0"/>
              <w:right w:val="single" w:color="000000" w:sz="6" w:space="0"/>
            </w:tcBorders>
            <w:tcMar>
              <w:left w:w="0" w:type="dxa"/>
              <w:top w:w="0" w:type="dxa"/>
              <w:right w:w="0" w:type="dxa"/>
              <w:bottom w:w="0" w:type="dxa"/>
            </w:tcMar>
            <w:tcW w:w="499"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right w:val="single" w:color="000000" w:sz="6" w:space="0"/>
            </w:tcBorders>
            <w:tcMar>
              <w:left w:w="0" w:type="dxa"/>
              <w:top w:w="0" w:type="dxa"/>
              <w:right w:w="0" w:type="dxa"/>
              <w:bottom w:w="0" w:type="dxa"/>
            </w:tcMar>
            <w:tcW w:w="1113"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right w:val="single" w:color="000000" w:sz="6" w:space="0"/>
            </w:tcBorders>
            <w:tcMar>
              <w:left w:w="0" w:type="dxa"/>
              <w:top w:w="0" w:type="dxa"/>
              <w:right w:w="0" w:type="dxa"/>
              <w:bottom w:w="0" w:type="dxa"/>
            </w:tcMar>
            <w:tcW w:w="2341"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right w:val="single" w:color="000000" w:sz="6" w:space="0"/>
            </w:tcBorders>
            <w:tcMar>
              <w:left w:w="0" w:type="dxa"/>
              <w:top w:w="0" w:type="dxa"/>
              <w:right w:w="0" w:type="dxa"/>
              <w:bottom w:w="0" w:type="dxa"/>
            </w:tcMar>
            <w:tcW w:w="2136"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right w:val="single" w:color="000000" w:sz="6" w:space="0"/>
            </w:tcBorders>
            <w:tcMar>
              <w:left w:w="0" w:type="dxa"/>
              <w:top w:w="0" w:type="dxa"/>
              <w:right w:w="0" w:type="dxa"/>
              <w:bottom w:w="0" w:type="dxa"/>
            </w:tcMar>
            <w:tcW w:w="705" w:type="dxa"/>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right w:val="single" w:color="000000" w:sz="6" w:space="0"/>
            </w:tcBorders>
            <w:tcMar>
              <w:left w:w="0" w:type="dxa"/>
              <w:top w:w="0" w:type="dxa"/>
              <w:right w:w="0" w:type="dxa"/>
              <w:bottom w:w="0" w:type="dxa"/>
            </w:tcMar>
            <w:tcW w:w="2224" w:type="dxa"/>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Borders>
              <w:left w:val="single" w:color="000000" w:sz="6" w:space="0"/>
            </w:tcBorders>
            <w:tcW w:w="28" w:type="dxa"/>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r>
    </w:tbl>
    <w:p>
      <w:pPr>
        <w:jc w:val="left"/>
        <w:spacing w:before="240" w:after="240"/>
        <w:widowControl/>
        <w:rPr>
          <w:rFonts w:ascii="宋体" w:hAnsi="宋体" w:cs="宋体"/>
          <w:sz w:val="24"/>
          <w:szCs w:val="24"/>
          <w:highlight w:val="none"/>
        </w:rPr>
      </w:pPr>
      <w:r>
        <w:rPr>
          <w:rFonts w:ascii="宋体" w:hAnsi="宋体" w:cs="宋体"/>
          <w:sz w:val="24"/>
          <w:szCs w:val="24"/>
          <w:highlight w:val="none"/>
        </w:rPr>
      </w:r>
      <w:r/>
    </w:p>
    <w:p>
      <w:pPr>
        <w:jc w:val="left"/>
        <w:spacing w:before="240" w:after="240"/>
        <w:widowControl/>
        <w:rPr>
          <w:rFonts w:ascii="宋体" w:hAnsi="宋体" w:cs="宋体"/>
          <w:sz w:val="24"/>
          <w:szCs w:val="24"/>
          <w:highlight w:val="none"/>
        </w:rPr>
      </w:pPr>
      <w:r>
        <w:rPr>
          <w:rFonts w:ascii="宋体" w:hAnsi="宋体" w:cs="宋体"/>
          <w:sz w:val="24"/>
          <w:szCs w:val="24"/>
          <w:highlight w:val="none"/>
        </w:rPr>
        <w:t xml:space="preserve">注： </w:t>
      </w:r>
      <w:r/>
    </w:p>
    <w:p>
      <w:pPr>
        <w:jc w:val="left"/>
        <w:spacing w:before="240" w:after="240"/>
        <w:widowControl/>
        <w:rPr>
          <w:rFonts w:ascii="宋体" w:hAnsi="宋体" w:cs="宋体"/>
          <w:sz w:val="24"/>
          <w:szCs w:val="24"/>
          <w:highlight w:val="none"/>
        </w:rPr>
      </w:pPr>
      <w:r>
        <w:rPr>
          <w:rFonts w:ascii="宋体" w:hAnsi="宋体" w:cs="宋体"/>
          <w:sz w:val="24"/>
          <w:szCs w:val="24"/>
          <w:highlight w:val="none"/>
        </w:rPr>
        <w:t xml:space="preserve">1、投标人应根据“技术要求”中的参数要求，对照所投报货物的技术性能进行逐项填写。因未标明或表述含糊导致的评标风险将由投标人承担。 </w:t>
      </w:r>
      <w:r/>
    </w:p>
    <w:p>
      <w:pPr>
        <w:jc w:val="left"/>
        <w:spacing w:before="240" w:after="240"/>
        <w:widowControl/>
        <w:rPr>
          <w:rFonts w:ascii="宋体" w:hAnsi="宋体" w:cs="宋体"/>
          <w:sz w:val="24"/>
          <w:szCs w:val="24"/>
          <w:highlight w:val="none"/>
        </w:rPr>
      </w:pPr>
      <w:r>
        <w:rPr>
          <w:rFonts w:ascii="宋体" w:hAnsi="宋体" w:cs="宋体"/>
          <w:sz w:val="24"/>
          <w:szCs w:val="24"/>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jc w:val="left"/>
        <w:spacing w:before="240" w:after="240"/>
        <w:widowControl/>
        <w:rPr>
          <w:rFonts w:ascii="宋体" w:hAnsi="宋体" w:cs="宋体"/>
          <w:sz w:val="24"/>
          <w:szCs w:val="24"/>
          <w:highlight w:val="none"/>
        </w:rPr>
      </w:pPr>
      <w:r>
        <w:rPr>
          <w:rFonts w:ascii="宋体" w:hAnsi="宋体" w:cs="宋体"/>
          <w:sz w:val="24"/>
          <w:szCs w:val="24"/>
          <w:highlight w:val="none"/>
        </w:rPr>
        <w:t xml:space="preserve">3、表格不够可另接。 </w:t>
      </w:r>
      <w:r/>
    </w:p>
    <w:p>
      <w:pPr>
        <w:contextualSpacing/>
        <w:ind w:firstLine="480"/>
        <w:jc w:val="left"/>
        <w:spacing w:line="360" w:lineRule="auto"/>
        <w:widowControl/>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eastAsia="宋体" w:cs="宋体"/>
          <w:b/>
          <w:sz w:val="32"/>
          <w:highlight w:val="none"/>
          <w:lang w:val="en-US" w:eastAsia="zh-CN"/>
        </w:rPr>
      </w:pPr>
      <w:r/>
      <w:bookmarkStart w:id="223" w:name="_Toc256000022"/>
      <w:r>
        <w:rPr>
          <w:rFonts w:hint="eastAsia" w:ascii="宋体" w:hAnsi="宋体" w:eastAsia="宋体" w:cs="宋体"/>
          <w:b/>
          <w:sz w:val="32"/>
          <w:highlight w:val="none"/>
          <w:lang w:val="en-US" w:eastAsia="zh-CN"/>
        </w:rPr>
        <w:br w:type="page" w:clear="all"/>
      </w:r>
      <w:r/>
    </w:p>
    <w:p>
      <w:pPr>
        <w:pStyle w:val="1565"/>
        <w:rPr>
          <w:highlight w:val="none"/>
        </w:rPr>
        <w:outlineLvl w:val="1"/>
      </w:pPr>
      <w:r>
        <w:rPr>
          <w:rFonts w:hint="eastAsia" w:ascii="宋体" w:hAnsi="宋体" w:eastAsia="宋体" w:cs="宋体"/>
          <w:b/>
          <w:sz w:val="32"/>
          <w:highlight w:val="none"/>
          <w:lang w:val="en-US" w:eastAsia="zh-CN"/>
        </w:rPr>
        <w:t xml:space="preserve">八</w:t>
      </w:r>
      <w:r>
        <w:rPr>
          <w:rFonts w:ascii="宋体" w:hAnsi="宋体" w:eastAsia="宋体" w:cs="宋体"/>
          <w:b/>
          <w:sz w:val="32"/>
          <w:highlight w:val="none"/>
        </w:rPr>
        <w:t xml:space="preserve">、技术方案、服务方案</w:t>
      </w:r>
      <w:bookmarkEnd w:id="223"/>
      <w:r/>
      <w:r/>
    </w:p>
    <w:p>
      <w:pPr>
        <w:pStyle w:val="1557"/>
        <w:jc w:val="center"/>
        <w:keepLines/>
        <w:keepNext/>
        <w:spacing w:before="260" w:after="260" w:line="415" w:lineRule="auto"/>
        <w:rPr>
          <w:rFonts w:hint="eastAsia" w:ascii="宋体" w:hAnsi="宋体"/>
          <w:sz w:val="28"/>
          <w:szCs w:val="28"/>
          <w:highlight w:val="none"/>
        </w:rPr>
      </w:pPr>
      <w:r/>
      <w:bookmarkStart w:id="224" w:name="_Toc35244892"/>
      <w:r/>
      <w:bookmarkStart w:id="225" w:name="_Toc40430380"/>
      <w:r>
        <w:rPr>
          <w:rFonts w:hint="eastAsia" w:ascii="宋体" w:hAnsi="宋体"/>
          <w:sz w:val="28"/>
          <w:szCs w:val="28"/>
          <w:highlight w:val="none"/>
        </w:rPr>
        <w:t xml:space="preserve">技术方案、服务方案</w:t>
      </w:r>
      <w:bookmarkEnd w:id="224"/>
      <w:r/>
      <w:bookmarkEnd w:id="225"/>
      <w:r/>
      <w:r/>
    </w:p>
    <w:p>
      <w:pPr>
        <w:pStyle w:val="1557"/>
        <w:jc w:val="center"/>
        <w:spacing w:line="360" w:lineRule="auto"/>
        <w:rPr>
          <w:rFonts w:hint="eastAsia" w:ascii="宋体" w:hAnsi="宋体" w:cs="Arial"/>
          <w:sz w:val="24"/>
          <w:szCs w:val="21"/>
          <w:highlight w:val="none"/>
        </w:rPr>
      </w:pPr>
      <w:r>
        <w:rPr>
          <w:rFonts w:hint="eastAsia" w:ascii="宋体" w:hAnsi="宋体" w:cs="Arial"/>
          <w:sz w:val="24"/>
          <w:szCs w:val="21"/>
          <w:highlight w:val="none"/>
        </w:rPr>
        <w:t xml:space="preserve">（技术方案及服务方案的内容编排等由投标人自定）</w:t>
      </w:r>
      <w:r/>
    </w:p>
    <w:p>
      <w:pPr>
        <w:jc w:val="left"/>
        <w:widowControl/>
        <w:rPr>
          <w:rFonts w:ascii="Times New Roman" w:hAnsi="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26" w:name="_Toc256000021"/>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bookmarkEnd w:id="226"/>
      <w:r/>
      <w:r/>
    </w:p>
    <w:p>
      <w:pPr>
        <w:pStyle w:val="1569"/>
        <w:rPr>
          <w:rFonts w:hint="eastAsia" w:ascii="宋体" w:hAnsi="宋体" w:eastAsia="宋体" w:cs="宋体"/>
          <w:color w:val="000000"/>
          <w:highlight w:val="none"/>
          <w:lang w:bidi="ar"/>
        </w:rPr>
        <w:outlineLvl w:val="0"/>
      </w:pPr>
      <w:r>
        <w:rPr>
          <w:rFonts w:hint="eastAsia" w:ascii="宋体" w:hAnsi="宋体" w:eastAsia="宋体" w:cs="宋体"/>
          <w:b/>
          <w:sz w:val="32"/>
          <w:highlight w:val="none"/>
          <w:lang w:val="en-US" w:eastAsia="zh-CN"/>
        </w:rPr>
        <w:t xml:space="preserve">九</w:t>
      </w:r>
      <w:r>
        <w:rPr>
          <w:rFonts w:ascii="宋体" w:hAnsi="宋体" w:eastAsia="宋体" w:cs="宋体"/>
          <w:b/>
          <w:sz w:val="32"/>
          <w:highlight w:val="none"/>
        </w:rPr>
        <w:t xml:space="preserve">、</w:t>
      </w:r>
      <w:r>
        <w:rPr>
          <w:rStyle w:val="1232"/>
          <w:rFonts w:ascii="宋体" w:hAnsi="宋体" w:eastAsia="宋体" w:cs="宋体"/>
          <w:b/>
          <w:color w:val="000000"/>
          <w:sz w:val="32"/>
          <w:szCs w:val="22"/>
          <w:highlight w:val="none"/>
        </w:rPr>
        <w:t xml:space="preserve">投标人情况介绍</w:t>
      </w:r>
      <w:r>
        <w:rPr>
          <w:rStyle w:val="1232"/>
          <w:rFonts w:hint="eastAsia" w:ascii="宋体" w:hAnsi="宋体" w:eastAsia="宋体" w:cs="Arial"/>
          <w:color w:val="000000"/>
          <w:sz w:val="24"/>
          <w:szCs w:val="24"/>
          <w:highlight w:val="none"/>
        </w:rPr>
        <w:t xml:space="preserve">（内容自定，可参考如下）</w:t>
      </w:r>
      <w:r/>
    </w:p>
    <w:p>
      <w:pPr>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bidi="ar"/>
        </w:rPr>
        <w:t xml:space="preserve">类似业绩</w:t>
      </w:r>
      <w:r/>
    </w:p>
    <w:p>
      <w:pPr>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.相关证书</w:t>
      </w:r>
      <w:r/>
    </w:p>
    <w:p>
      <w:pPr>
        <w:spacing w:line="440" w:lineRule="exact"/>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3.投标人针对本项目配备的人员情况</w:t>
      </w:r>
      <w:r/>
    </w:p>
    <w:p>
      <w:pPr>
        <w:pStyle w:val="1566"/>
        <w:rPr>
          <w:rFonts w:ascii="宋体" w:hAnsi="宋体" w:eastAsia="宋体" w:cs="宋体"/>
          <w:b/>
          <w:sz w:val="32"/>
          <w:highlight w:val="none"/>
        </w:rPr>
        <w:outlineLvl w:val="1"/>
      </w:pPr>
      <w:r>
        <w:rPr>
          <w:rFonts w:ascii="宋体" w:hAnsi="宋体" w:eastAsia="宋体" w:cs="宋体"/>
          <w:b/>
          <w:sz w:val="32"/>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rPr>
          <w:rFonts w:hint="eastAsia" w:ascii="宋体" w:hAnsi="宋体" w:eastAsia="宋体" w:cs="宋体"/>
          <w:b/>
          <w:sz w:val="28"/>
          <w:highlight w:val="none"/>
          <w:lang w:val="en-US" w:eastAsia="zh-CN"/>
        </w:rPr>
      </w:pPr>
      <w:r>
        <w:rPr>
          <w:rFonts w:hint="eastAsia" w:ascii="宋体" w:hAnsi="宋体" w:eastAsia="宋体" w:cs="宋体"/>
          <w:b/>
          <w:sz w:val="28"/>
          <w:highlight w:val="none"/>
          <w:lang w:val="en-US" w:eastAsia="zh-CN"/>
        </w:rPr>
        <w:br w:type="page" w:clear="all"/>
      </w:r>
      <w:r/>
    </w:p>
    <w:p>
      <w:pPr>
        <w:pStyle w:val="1570"/>
        <w:rPr>
          <w:highlight w:val="none"/>
        </w:rPr>
        <w:outlineLvl w:val="2"/>
      </w:pPr>
      <w:r>
        <w:rPr>
          <w:rFonts w:hint="eastAsia" w:ascii="宋体" w:hAnsi="宋体" w:eastAsia="宋体" w:cs="宋体"/>
          <w:b/>
          <w:sz w:val="28"/>
          <w:highlight w:val="none"/>
          <w:lang w:val="en-US" w:eastAsia="zh-CN"/>
        </w:rPr>
        <w:t xml:space="preserve">1.</w:t>
      </w:r>
      <w:r>
        <w:rPr>
          <w:rFonts w:ascii="宋体" w:hAnsi="宋体" w:eastAsia="宋体" w:cs="宋体"/>
          <w:b/>
          <w:sz w:val="28"/>
          <w:highlight w:val="none"/>
        </w:rPr>
        <w:t xml:space="preserve">类似业绩一览表</w:t>
      </w:r>
      <w:r/>
    </w:p>
    <w:p>
      <w:pPr>
        <w:pStyle w:val="1571"/>
        <w:spacing w:line="440" w:lineRule="exact"/>
        <w:rPr>
          <w:spacing w:val="7"/>
          <w:highlight w:val="none"/>
        </w:rPr>
      </w:pPr>
      <w:r>
        <w:rPr>
          <w:highlight w:val="none"/>
        </w:rPr>
        <w:t xml:space="preserve">﻿ </w:t>
      </w:r>
      <w:r/>
    </w:p>
    <w:p>
      <w:pPr>
        <w:pStyle w:val="1571"/>
        <w:jc w:val="center"/>
        <w:spacing w:before="360" w:after="360" w:line="300" w:lineRule="auto"/>
        <w:rPr>
          <w:rFonts w:ascii="黑体" w:hAnsi="黑体" w:eastAsia="黑体" w:cs="黑体"/>
          <w:b/>
          <w:bCs/>
          <w:sz w:val="36"/>
          <w:szCs w:val="36"/>
          <w:highlight w:val="none"/>
        </w:rPr>
      </w:pPr>
      <w:r>
        <w:rPr>
          <w:rFonts w:ascii="黑体" w:hAnsi="黑体" w:eastAsia="黑体" w:cs="黑体"/>
          <w:b/>
          <w:bCs/>
          <w:sz w:val="36"/>
          <w:szCs w:val="36"/>
          <w:highlight w:val="none"/>
        </w:rPr>
        <w:t xml:space="preserve">类似业绩一览表 </w:t>
      </w:r>
      <w:r/>
    </w:p>
    <w:tbl>
      <w:tblPr>
        <w:tblStyle w:val="954"/>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571"/>
              <w:rPr>
                <w:rFonts w:ascii="宋体" w:hAnsi="宋体" w:eastAsia="宋体" w:cs="宋体"/>
                <w:highlight w:val="none"/>
              </w:rPr>
            </w:pPr>
            <w:r>
              <w:rPr>
                <w:rFonts w:ascii="宋体" w:hAnsi="宋体" w:eastAsia="宋体" w:cs="宋体"/>
                <w:highlight w:val="none"/>
              </w:rPr>
              <w:t xml:space="preserve">序号 </w:t>
            </w:r>
            <w:r/>
          </w:p>
        </w:tc>
        <w:tc>
          <w:tcPr>
            <w:tcMar>
              <w:left w:w="0" w:type="dxa"/>
              <w:top w:w="0" w:type="dxa"/>
              <w:right w:w="0" w:type="dxa"/>
              <w:bottom w:w="0" w:type="dxa"/>
            </w:tcMar>
            <w:tcW w:w="2246" w:type="dxa"/>
            <w:vAlign w:val="center"/>
            <w:textDirection w:val="lrTb"/>
            <w:noWrap w:val="false"/>
          </w:tcPr>
          <w:p>
            <w:pPr>
              <w:pStyle w:val="1571"/>
              <w:rPr>
                <w:rFonts w:ascii="宋体" w:hAnsi="宋体" w:eastAsia="宋体" w:cs="宋体"/>
                <w:highlight w:val="none"/>
              </w:rPr>
            </w:pPr>
            <w:r>
              <w:rPr>
                <w:rFonts w:ascii="宋体" w:hAnsi="宋体" w:eastAsia="宋体" w:cs="宋体"/>
                <w:highlight w:val="none"/>
              </w:rPr>
              <w:t xml:space="preserve">项目名称 </w:t>
            </w:r>
            <w:r/>
          </w:p>
        </w:tc>
        <w:tc>
          <w:tcPr>
            <w:tcMar>
              <w:left w:w="0" w:type="dxa"/>
              <w:top w:w="0" w:type="dxa"/>
              <w:right w:w="0" w:type="dxa"/>
              <w:bottom w:w="0" w:type="dxa"/>
            </w:tcMar>
            <w:tcW w:w="3351" w:type="dxa"/>
            <w:vAlign w:val="center"/>
            <w:textDirection w:val="lrTb"/>
            <w:noWrap w:val="false"/>
          </w:tcPr>
          <w:p>
            <w:pPr>
              <w:pStyle w:val="1571"/>
              <w:rPr>
                <w:rFonts w:ascii="宋体" w:hAnsi="宋体" w:eastAsia="宋体" w:cs="宋体"/>
                <w:highlight w:val="none"/>
              </w:rPr>
            </w:pPr>
            <w:r>
              <w:rPr>
                <w:rFonts w:ascii="宋体" w:hAnsi="宋体" w:eastAsia="宋体" w:cs="宋体"/>
                <w:highlight w:val="none"/>
              </w:rPr>
              <w:t xml:space="preserve">合同期（天） </w:t>
            </w:r>
            <w:r/>
          </w:p>
        </w:tc>
        <w:tc>
          <w:tcPr>
            <w:tcMar>
              <w:left w:w="0" w:type="dxa"/>
              <w:top w:w="0" w:type="dxa"/>
              <w:right w:w="0" w:type="dxa"/>
              <w:bottom w:w="0" w:type="dxa"/>
            </w:tcMar>
            <w:tcW w:w="2246" w:type="dxa"/>
            <w:vAlign w:val="center"/>
            <w:textDirection w:val="lrTb"/>
            <w:noWrap w:val="false"/>
          </w:tcPr>
          <w:p>
            <w:pPr>
              <w:pStyle w:val="1571"/>
              <w:rPr>
                <w:rFonts w:ascii="宋体" w:hAnsi="宋体" w:eastAsia="宋体" w:cs="宋体"/>
                <w:highlight w:val="none"/>
              </w:rPr>
            </w:pPr>
            <w:r>
              <w:rPr>
                <w:rFonts w:ascii="宋体" w:hAnsi="宋体" w:eastAsia="宋体" w:cs="宋体"/>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pStyle w:val="1571"/>
              <w:rPr>
                <w:rFonts w:ascii="宋体" w:hAnsi="宋体" w:eastAsia="宋体" w:cs="宋体"/>
                <w:highlight w:val="none"/>
              </w:rPr>
            </w:pPr>
            <w:r/>
            <w:bookmarkStart w:id="227" w:name="xh"/>
            <w:r/>
            <w:bookmarkEnd w:id="227"/>
            <w:r/>
            <w:r/>
          </w:p>
        </w:tc>
        <w:tc>
          <w:tcPr>
            <w:tcMar>
              <w:left w:w="0" w:type="dxa"/>
              <w:top w:w="0" w:type="dxa"/>
              <w:right w:w="0" w:type="dxa"/>
              <w:bottom w:w="0" w:type="dxa"/>
            </w:tcMar>
            <w:tcW w:w="2246" w:type="dxa"/>
            <w:vAlign w:val="center"/>
            <w:textDirection w:val="lrTb"/>
            <w:noWrap w:val="false"/>
          </w:tcPr>
          <w:p>
            <w:pPr>
              <w:pStyle w:val="1571"/>
              <w:rPr>
                <w:rFonts w:ascii="宋体" w:hAnsi="宋体" w:eastAsia="宋体" w:cs="宋体"/>
                <w:highlight w:val="none"/>
              </w:rPr>
            </w:pPr>
            <w:r/>
            <w:bookmarkStart w:id="228" w:name="XmName"/>
            <w:r/>
            <w:bookmarkEnd w:id="228"/>
            <w:r/>
            <w:r/>
          </w:p>
        </w:tc>
        <w:tc>
          <w:tcPr>
            <w:tcMar>
              <w:left w:w="0" w:type="dxa"/>
              <w:top w:w="0" w:type="dxa"/>
              <w:right w:w="0" w:type="dxa"/>
              <w:bottom w:w="0" w:type="dxa"/>
            </w:tcMar>
            <w:tcW w:w="3351" w:type="dxa"/>
            <w:vAlign w:val="center"/>
            <w:textDirection w:val="lrTb"/>
            <w:noWrap w:val="false"/>
          </w:tcPr>
          <w:p>
            <w:pPr>
              <w:pStyle w:val="1571"/>
              <w:rPr>
                <w:rFonts w:ascii="宋体" w:hAnsi="宋体" w:eastAsia="宋体" w:cs="宋体"/>
                <w:highlight w:val="none"/>
              </w:rPr>
            </w:pPr>
            <w:r>
              <w:rPr>
                <w:rFonts w:ascii="宋体" w:hAnsi="宋体" w:eastAsia="宋体" w:cs="宋体"/>
                <w:highlight w:val="none"/>
              </w:rPr>
              <w:t xml:space="preserve">    </w:t>
            </w:r>
            <w:r/>
          </w:p>
        </w:tc>
        <w:tc>
          <w:tcPr>
            <w:tcMar>
              <w:left w:w="0" w:type="dxa"/>
              <w:top w:w="0" w:type="dxa"/>
              <w:right w:w="0" w:type="dxa"/>
              <w:bottom w:w="0" w:type="dxa"/>
            </w:tcMar>
            <w:tcW w:w="2246" w:type="dxa"/>
            <w:vAlign w:val="center"/>
            <w:textDirection w:val="lrTb"/>
            <w:noWrap w:val="false"/>
          </w:tcPr>
          <w:p>
            <w:pPr>
              <w:pStyle w:val="1571"/>
              <w:rPr>
                <w:rFonts w:ascii="宋体" w:hAnsi="宋体" w:eastAsia="宋体" w:cs="宋体"/>
                <w:highlight w:val="none"/>
              </w:rPr>
            </w:pPr>
            <w:r/>
            <w:bookmarkStart w:id="229" w:name="ZhongBiaoJia"/>
            <w:r/>
            <w:bookmarkEnd w:id="229"/>
            <w:r/>
            <w:r/>
          </w:p>
        </w:tc>
      </w:tr>
    </w:tbl>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lang w:val="en-US" w:eastAsia="zh-CN"/>
        </w:rPr>
        <w:t xml:space="preserve">2.</w:t>
      </w:r>
      <w:r>
        <w:rPr>
          <w:rFonts w:ascii="宋体" w:hAnsi="宋体" w:cs="宋体"/>
          <w:b/>
          <w:color w:val="000000"/>
          <w:sz w:val="28"/>
          <w:highlight w:val="none"/>
        </w:rPr>
        <w:t xml:space="preserve">投标人获得的相关证书</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p>
      <w:pPr>
        <w:jc w:val="center"/>
        <w:spacing w:before="360" w:after="360" w:line="7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各类证书</w:t>
      </w:r>
      <w:r/>
    </w:p>
    <w:tbl>
      <w:tblPr>
        <w:tblStyle w:val="9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8"/>
        <w:gridCol w:w="4110"/>
      </w:tblGrid>
      <w:tr>
        <w:trPr/>
        <w:tc>
          <w:tcPr>
            <w:tcMar>
              <w:left w:w="0" w:type="dxa"/>
              <w:top w:w="0" w:type="dxa"/>
              <w:right w:w="0" w:type="dxa"/>
              <w:bottom w:w="0" w:type="dxa"/>
            </w:tcMar>
            <w:tcW w:w="4088"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证书名称 </w:t>
            </w:r>
            <w:r/>
          </w:p>
        </w:tc>
        <w:tc>
          <w:tcPr>
            <w:tcMar>
              <w:left w:w="0" w:type="dxa"/>
              <w:top w:w="0" w:type="dxa"/>
              <w:right w:w="0" w:type="dxa"/>
              <w:bottom w:w="0" w:type="dxa"/>
            </w:tcMar>
            <w:tcW w:w="4110"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查看 </w:t>
            </w:r>
            <w:r/>
          </w:p>
        </w:tc>
      </w:tr>
      <w:tr>
        <w:trPr/>
        <w:tc>
          <w:tcPr>
            <w:tcMar>
              <w:left w:w="0" w:type="dxa"/>
              <w:top w:w="0" w:type="dxa"/>
              <w:right w:w="0" w:type="dxa"/>
              <w:bottom w:w="0" w:type="dxa"/>
            </w:tcMar>
            <w:tcW w:w="4088"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Mar>
              <w:left w:w="0" w:type="dxa"/>
              <w:top w:w="0" w:type="dxa"/>
              <w:right w:w="0" w:type="dxa"/>
              <w:bottom w:w="0" w:type="dxa"/>
            </w:tcMar>
            <w:tcW w:w="4110"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bl>
    <w:p>
      <w:pP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spacing w:before="240" w:after="240"/>
        <w:rPr>
          <w:rFonts w:ascii="宋体" w:hAnsi="宋体" w:eastAsia="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val="en-US" w:eastAsia="zh-CN"/>
        </w:rPr>
        <w:t xml:space="preserve">3.投标人针对本项目配备的人员情况</w:t>
      </w:r>
      <w:r/>
    </w:p>
    <w:p>
      <w:pPr>
        <w:jc w:val="left"/>
        <w:widowControl/>
        <w:rPr>
          <w:rFonts w:hint="default" w:ascii="宋体" w:hAnsi="宋体" w:eastAsia="宋体"/>
          <w:color w:val="auto"/>
          <w:sz w:val="24"/>
          <w:szCs w:val="24"/>
          <w:highlight w:val="none"/>
          <w:lang w:val="en-US" w:eastAsia="zh-CN"/>
        </w:rPr>
        <w:outlineLvl w:val="2"/>
      </w:pPr>
      <w:r>
        <w:rPr>
          <w:rFonts w:hint="default" w:ascii="宋体" w:hAnsi="宋体" w:eastAsia="宋体"/>
          <w:color w:val="auto"/>
          <w:sz w:val="24"/>
          <w:szCs w:val="24"/>
          <w:highlight w:val="none"/>
          <w:lang w:val="en-US" w:eastAsia="zh-CN"/>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rPr>
          <w:rFonts w:hint="eastAsia" w:ascii="宋体" w:hAnsi="宋体"/>
          <w:color w:val="auto"/>
          <w:sz w:val="24"/>
          <w:szCs w:val="24"/>
          <w:highlight w:val="none"/>
        </w:rPr>
      </w:pPr>
      <w:r>
        <w:rPr>
          <w:rFonts w:hint="eastAsia" w:ascii="宋体" w:hAnsi="宋体" w:eastAsia="宋体" w:cs="宋体"/>
          <w:b/>
          <w:color w:val="000000"/>
          <w:sz w:val="32"/>
          <w:highlight w:val="none"/>
        </w:rPr>
        <w:br w:type="page" w:clear="all"/>
      </w:r>
      <w:r/>
    </w:p>
    <w:p>
      <w:pPr>
        <w:numPr>
          <w:ilvl w:val="0"/>
          <w:numId w:val="0"/>
        </w:numPr>
        <w:jc w:val="left"/>
        <w:widowControl/>
        <w:rPr>
          <w:rFonts w:hint="eastAsia"/>
          <w:b/>
          <w:sz w:val="28"/>
          <w:szCs w:val="24"/>
          <w:highlight w:val="none"/>
        </w:rPr>
      </w:pPr>
      <w:r>
        <w:rPr>
          <w:rFonts w:hint="eastAsia"/>
          <w:b/>
          <w:sz w:val="28"/>
          <w:szCs w:val="24"/>
          <w:highlight w:val="none"/>
          <w:lang w:val="en-US" w:eastAsia="zh-CN"/>
        </w:rPr>
        <w:t xml:space="preserve">十、</w:t>
      </w:r>
      <w:r>
        <w:rPr>
          <w:rFonts w:hint="eastAsia"/>
          <w:b/>
          <w:sz w:val="28"/>
          <w:szCs w:val="24"/>
          <w:highlight w:val="none"/>
        </w:rPr>
        <w:t xml:space="preserve">检测报告</w:t>
      </w:r>
      <w:r/>
    </w:p>
    <w:p>
      <w:pPr>
        <w:rPr>
          <w:rFonts w:hint="eastAsia"/>
          <w:b/>
          <w:sz w:val="28"/>
          <w:szCs w:val="24"/>
          <w:highlight w:val="none"/>
        </w:rPr>
      </w:pPr>
      <w:r>
        <w:rPr>
          <w:rFonts w:hint="eastAsia"/>
          <w:b/>
          <w:sz w:val="28"/>
          <w:szCs w:val="24"/>
          <w:highlight w:val="none"/>
        </w:rPr>
        <w:br w:type="page" w:clear="all"/>
      </w:r>
      <w:r/>
    </w:p>
    <w:p>
      <w:pPr>
        <w:numPr>
          <w:ilvl w:val="0"/>
          <w:numId w:val="0"/>
        </w:numPr>
        <w:jc w:val="left"/>
        <w:widowControl/>
        <w:rPr>
          <w:rFonts w:hint="eastAsia"/>
          <w:b/>
          <w:sz w:val="28"/>
          <w:szCs w:val="24"/>
          <w:highlight w:val="none"/>
          <w:lang w:val="en-US" w:eastAsia="zh-CN"/>
        </w:rPr>
      </w:pPr>
      <w:r>
        <w:rPr>
          <w:rFonts w:hint="eastAsia"/>
          <w:b/>
          <w:sz w:val="28"/>
          <w:szCs w:val="24"/>
          <w:highlight w:val="none"/>
          <w:lang w:val="en-US" w:eastAsia="zh-CN"/>
        </w:rPr>
        <w:t xml:space="preserve">十一、其他材料</w:t>
      </w:r>
      <w:r/>
    </w:p>
    <w:p>
      <w:pPr>
        <w:rPr>
          <w:rFonts w:hint="eastAsia"/>
          <w:b/>
          <w:sz w:val="28"/>
          <w:szCs w:val="24"/>
          <w:highlight w:val="none"/>
          <w:lang w:val="en-US" w:eastAsia="zh-CN"/>
        </w:rPr>
      </w:pPr>
      <w:r>
        <w:rPr>
          <w:rFonts w:hint="eastAsia"/>
          <w:b/>
          <w:sz w:val="28"/>
          <w:szCs w:val="24"/>
          <w:highlight w:val="none"/>
          <w:lang w:val="en-US" w:eastAsia="zh-CN"/>
        </w:rPr>
        <w:br w:type="page" w:clear="all"/>
      </w:r>
      <w:r/>
    </w:p>
    <w:p>
      <w:pPr>
        <w:numPr>
          <w:ilvl w:val="0"/>
          <w:numId w:val="0"/>
        </w:numPr>
        <w:jc w:val="left"/>
        <w:widowControl/>
        <w:rPr>
          <w:rFonts w:hint="eastAsia" w:eastAsia="宋体"/>
          <w:b/>
          <w:sz w:val="28"/>
          <w:szCs w:val="24"/>
          <w:highlight w:val="none"/>
          <w:lang w:eastAsia="zh-CN"/>
        </w:rPr>
      </w:pPr>
      <w:r>
        <w:rPr>
          <w:rFonts w:hint="eastAsia"/>
          <w:b/>
          <w:sz w:val="28"/>
          <w:szCs w:val="24"/>
          <w:highlight w:val="none"/>
          <w:lang w:val="en-US" w:eastAsia="zh-CN"/>
        </w:rPr>
        <w:t xml:space="preserve">十二、</w:t>
      </w:r>
      <w:r>
        <w:rPr>
          <w:rFonts w:hint="eastAsia"/>
          <w:b/>
          <w:sz w:val="28"/>
          <w:szCs w:val="24"/>
          <w:highlight w:val="none"/>
        </w:rPr>
        <w:t xml:space="preserve">中小企业声明函</w:t>
      </w:r>
      <w:r/>
    </w:p>
    <w:p>
      <w:pPr>
        <w:ind w:firstLine="2801"/>
        <w:jc w:val="left"/>
        <w:widowControl/>
        <w:rPr>
          <w:rFonts w:ascii="宋体" w:hAnsi="宋体" w:cs="宋体"/>
          <w:sz w:val="24"/>
          <w:szCs w:val="24"/>
          <w:highlight w:val="none"/>
          <w:lang w:bidi="ar"/>
        </w:rPr>
      </w:pPr>
      <w:r>
        <w:rPr>
          <w:rFonts w:hint="eastAsia" w:ascii="黑体" w:hAnsi="黑体" w:eastAsia="黑体" w:cs="黑体"/>
          <w:b/>
          <w:bCs/>
          <w:sz w:val="31"/>
          <w:szCs w:val="31"/>
          <w:highlight w:val="none"/>
          <w:lang w:bidi="ar"/>
        </w:rPr>
        <w:t xml:space="preserve">中小企业声明函（</w:t>
      </w:r>
      <w:r>
        <w:rPr>
          <w:rFonts w:hint="eastAsia" w:ascii="黑体" w:hAnsi="黑体" w:eastAsia="黑体" w:cs="黑体"/>
          <w:b/>
          <w:bCs/>
          <w:sz w:val="31"/>
          <w:szCs w:val="31"/>
          <w:highlight w:val="none"/>
          <w:lang w:val="en-US" w:eastAsia="zh-CN" w:bidi="ar"/>
        </w:rPr>
        <w:t xml:space="preserve">服务</w:t>
      </w:r>
      <w:r>
        <w:rPr>
          <w:rFonts w:hint="eastAsia" w:ascii="黑体" w:hAnsi="黑体" w:eastAsia="黑体" w:cs="黑体"/>
          <w:b/>
          <w:bCs/>
          <w:sz w:val="31"/>
          <w:szCs w:val="31"/>
          <w:highlight w:val="none"/>
          <w:lang w:bidi="ar"/>
        </w:rPr>
        <w:t xml:space="preserve">）</w:t>
      </w:r>
      <w:r>
        <w:rPr>
          <w:rFonts w:hint="eastAsia" w:ascii="宋体" w:hAnsi="宋体" w:cs="宋体"/>
          <w:b/>
          <w:bCs/>
          <w:sz w:val="31"/>
          <w:szCs w:val="31"/>
          <w:highlight w:val="none"/>
          <w:lang w:bidi="ar"/>
        </w:rPr>
        <w:t xml:space="preserve"> </w:t>
      </w:r>
      <w:r/>
    </w:p>
    <w:p>
      <w:pPr>
        <w:pStyle w:val="1003"/>
        <w:ind w:firstLine="420"/>
        <w:rPr>
          <w:rFonts w:ascii="宋体" w:hAnsi="宋体" w:eastAsia="宋体" w:cs="宋体"/>
          <w:highlight w:val="none"/>
        </w:rPr>
      </w:pPr>
      <w:r>
        <w:rPr>
          <w:rFonts w:ascii="宋体" w:hAnsi="宋体" w:eastAsia="宋体" w:cs="宋体"/>
          <w:highlight w:val="none"/>
        </w:rPr>
        <w:t xml:space="preserve">本公司郑重声明，根据《政府采购促进中小企业发展管理办法》 </w:t>
      </w:r>
      <w:r>
        <w:rPr>
          <w:rFonts w:hint="eastAsia" w:ascii="宋体" w:hAnsi="宋体" w:eastAsia="宋体" w:cs="宋体"/>
          <w:highlight w:val="none"/>
        </w:rPr>
        <w:t xml:space="preserve">（</w:t>
      </w:r>
      <w:r>
        <w:rPr>
          <w:rFonts w:ascii="宋体" w:hAnsi="宋体" w:eastAsia="宋体" w:cs="宋体"/>
          <w:highlight w:val="none"/>
        </w:rPr>
        <w:t xml:space="preserve">财库〔2020〕46号</w:t>
      </w:r>
      <w:r>
        <w:rPr>
          <w:rFonts w:hint="eastAsia" w:ascii="宋体" w:hAnsi="宋体" w:eastAsia="宋体" w:cs="宋体"/>
          <w:highlight w:val="none"/>
        </w:rPr>
        <w:t xml:space="preserve">）</w:t>
      </w:r>
      <w:r>
        <w:rPr>
          <w:rFonts w:ascii="宋体" w:hAnsi="宋体" w:eastAsia="宋体" w:cs="宋体"/>
          <w:highlight w:val="none"/>
        </w:rPr>
        <w:t xml:space="preserve">的规定，本公司参加</w:t>
      </w:r>
      <w:r>
        <w:rPr>
          <w:rFonts w:ascii="宋体" w:hAnsi="宋体" w:eastAsia="宋体" w:cs="宋体"/>
          <w:highlight w:val="none"/>
          <w:u w:val="single"/>
        </w:rPr>
        <w:t xml:space="preserve">   </w:t>
      </w:r>
      <w:r>
        <w:rPr>
          <w:rFonts w:ascii="宋体" w:hAnsi="宋体" w:eastAsia="宋体" w:cs="宋体"/>
          <w:highlight w:val="none"/>
        </w:rPr>
        <w:t xml:space="preserve">（单位名称）的</w:t>
      </w:r>
      <w:r>
        <w:rPr>
          <w:rFonts w:ascii="宋体" w:hAnsi="宋体" w:eastAsia="宋体" w:cs="宋体"/>
          <w:highlight w:val="none"/>
          <w:u w:val="single"/>
        </w:rPr>
        <w:t xml:space="preserve">   </w:t>
      </w:r>
      <w:r>
        <w:rPr>
          <w:rFonts w:ascii="宋体" w:hAnsi="宋体" w:eastAsia="宋体" w:cs="宋体"/>
          <w:highlight w:val="none"/>
        </w:rPr>
        <w:t xml:space="preserve">（项目名称）采购活动，</w:t>
      </w:r>
      <w:r>
        <w:rPr>
          <w:rFonts w:hint="eastAsia" w:ascii="宋体" w:hAnsi="宋体" w:eastAsia="宋体" w:cs="宋体"/>
          <w:color w:val="auto"/>
          <w:sz w:val="24"/>
          <w:szCs w:val="24"/>
          <w:highlight w:val="none"/>
          <w:lang w:val="en-US"/>
        </w:rPr>
        <w:t xml:space="preserve">服务全部由符合政策要求的中小企业承接。相关企业的具体情况如下：</w:t>
      </w:r>
      <w:r/>
    </w:p>
    <w:p>
      <w:pPr>
        <w:pStyle w:val="100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u w:val="single"/>
          <w:lang w:val="en-US"/>
        </w:rPr>
        <w:t xml:space="preserve">（项目名称）</w:t>
      </w:r>
      <w:r>
        <w:rPr>
          <w:rFonts w:hint="eastAsia" w:ascii="宋体" w:hAnsi="宋体" w:eastAsia="宋体" w:cs="宋体"/>
          <w:color w:val="auto"/>
          <w:sz w:val="24"/>
          <w:szCs w:val="24"/>
          <w:highlight w:val="none"/>
          <w:lang w:val="en-US"/>
        </w:rPr>
        <w:t xml:space="preserve">，属于（</w:t>
      </w:r>
      <w:r>
        <w:rPr>
          <w:rFonts w:hint="eastAsia" w:ascii="宋体" w:hAnsi="宋体" w:eastAsia="宋体" w:cs="宋体"/>
          <w:color w:val="auto"/>
          <w:sz w:val="24"/>
          <w:szCs w:val="24"/>
          <w:highlight w:val="none"/>
          <w:u w:val="single"/>
          <w:lang w:val="en-US"/>
        </w:rPr>
        <w:t xml:space="preserve">采购文件中明确的所属行业</w:t>
      </w:r>
      <w:r>
        <w:rPr>
          <w:rFonts w:hint="eastAsia" w:ascii="宋体" w:hAnsi="宋体" w:eastAsia="宋体" w:cs="宋体"/>
          <w:color w:val="auto"/>
          <w:sz w:val="24"/>
          <w:szCs w:val="24"/>
          <w:highlight w:val="none"/>
          <w:lang w:val="en-US"/>
        </w:rPr>
        <w:t xml:space="preserve">）行业；承接企业为</w:t>
      </w:r>
      <w:r>
        <w:rPr>
          <w:rFonts w:hint="eastAsia" w:ascii="宋体" w:hAnsi="宋体" w:eastAsia="宋体" w:cs="宋体"/>
          <w:color w:val="auto"/>
          <w:sz w:val="24"/>
          <w:szCs w:val="24"/>
          <w:highlight w:val="none"/>
          <w:u w:val="single"/>
          <w:lang w:val="en-US"/>
        </w:rPr>
        <w:t xml:space="preserve">（企业名称）</w:t>
      </w:r>
      <w:r>
        <w:rPr>
          <w:rFonts w:hint="eastAsia" w:ascii="宋体" w:hAnsi="宋体" w:eastAsia="宋体" w:cs="宋体"/>
          <w:color w:val="auto"/>
          <w:sz w:val="24"/>
          <w:szCs w:val="24"/>
          <w:highlight w:val="none"/>
          <w:lang w:val="en-US"/>
        </w:rPr>
        <w:t xml:space="preserve">，从业人员</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 xml:space="preserve">人，营业收入为</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 xml:space="preserve">万元，资产总额为</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 xml:space="preserve">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属于（□中型企业、□小型企业、□微型企业）；</w:t>
      </w:r>
      <w:r/>
    </w:p>
    <w:p>
      <w:pPr>
        <w:pStyle w:val="100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w:t>
      </w:r>
      <w:r/>
    </w:p>
    <w:p>
      <w:pPr>
        <w:pStyle w:val="100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以上企业，不属于大企业的分支机构，不存在控股股东为大企业的情形，也不存在与大企业的负责人为同一人的情形。</w:t>
      </w:r>
      <w:r/>
    </w:p>
    <w:p>
      <w:pPr>
        <w:pStyle w:val="100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本企业对上述声明内容的真实性负责。如有虚假，将依法承担相应责任。</w:t>
      </w:r>
      <w:r/>
    </w:p>
    <w:p>
      <w:pPr>
        <w:jc w:val="center"/>
        <w:spacing w:line="360" w:lineRule="exact"/>
        <w:widowControl/>
        <w:rPr>
          <w:highlight w:val="none"/>
        </w:rPr>
      </w:pPr>
      <w:r>
        <w:rPr>
          <w:rFonts w:hint="eastAsia" w:ascii="宋体" w:hAnsi="宋体" w:cs="宋体"/>
          <w:sz w:val="24"/>
          <w:szCs w:val="24"/>
          <w:highlight w:val="none"/>
          <w:lang w:bidi="ar"/>
        </w:rPr>
        <w:t xml:space="preserve">企业名称（盖章）：</w:t>
      </w:r>
      <w:r/>
    </w:p>
    <w:p>
      <w:pPr>
        <w:jc w:val="center"/>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日期：</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pStyle w:val="1571"/>
        <w:ind w:firstLine="480"/>
        <w:spacing w:before="240" w:after="240" w:line="360" w:lineRule="auto"/>
        <w:rPr>
          <w:rStyle w:val="1583"/>
          <w:rFonts w:hint="eastAsia" w:ascii="宋体" w:hAnsi="宋体" w:eastAsia="宋体" w:cs="宋体"/>
          <w:color w:val="auto"/>
          <w:sz w:val="24"/>
          <w:szCs w:val="24"/>
          <w:highlight w:val="none"/>
        </w:rPr>
      </w:pPr>
      <w:r>
        <w:rPr>
          <w:rStyle w:val="1583"/>
          <w:rFonts w:hint="eastAsia" w:ascii="宋体" w:hAnsi="宋体" w:eastAsia="宋体" w:cs="宋体"/>
          <w:color w:val="auto"/>
          <w:sz w:val="24"/>
          <w:szCs w:val="24"/>
          <w:highlight w:val="none"/>
        </w:rPr>
        <w:t xml:space="preserve">注：供应商对照《关于印发中小企业划型标准规定的通知》（工信部联企业【2011】300号）中的标准，明确标的承接企业所属企业类型。</w:t>
      </w:r>
      <w:r/>
    </w:p>
    <w:p>
      <w:pPr>
        <w:pStyle w:val="1571"/>
        <w:ind w:firstLine="480"/>
        <w:spacing w:before="240" w:after="240" w:line="360" w:lineRule="auto"/>
        <w:rPr>
          <w:rStyle w:val="1583"/>
          <w:rFonts w:hint="eastAsia" w:ascii="宋体" w:hAnsi="宋体" w:eastAsia="宋体" w:cs="宋体"/>
          <w:color w:val="auto"/>
          <w:sz w:val="24"/>
          <w:szCs w:val="24"/>
          <w:highlight w:val="none"/>
        </w:rPr>
      </w:pPr>
      <w:r>
        <w:rPr>
          <w:rStyle w:val="1583"/>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571"/>
        <w:spacing w:before="240" w:after="240" w:line="360" w:lineRule="auto"/>
        <w:rPr>
          <w:rStyle w:val="1583"/>
          <w:rFonts w:hint="eastAsia" w:ascii="宋体" w:hAnsi="宋体" w:eastAsia="宋体" w:cs="宋体"/>
          <w:color w:val="auto"/>
          <w:sz w:val="24"/>
          <w:szCs w:val="24"/>
          <w:highlight w:val="none"/>
        </w:rPr>
      </w:pPr>
      <w:r>
        <w:rPr>
          <w:rStyle w:val="1583"/>
          <w:rFonts w:hint="eastAsia" w:ascii="宋体" w:hAnsi="宋体" w:eastAsia="宋体" w:cs="宋体"/>
          <w:color w:val="auto"/>
          <w:sz w:val="24"/>
          <w:szCs w:val="24"/>
          <w:highlight w:val="none"/>
        </w:rPr>
        <w:t xml:space="preserve">   2.在服务采购项目中，服务由中小企业承接，即提供服务的人员为中小企业依照《中华人民共和国劳动合同法》订立劳动合同的从业人员。</w:t>
      </w:r>
      <w:r>
        <w:rPr>
          <w:rStyle w:val="1583"/>
          <w:rFonts w:hint="eastAsia" w:ascii="宋体" w:hAnsi="宋体" w:eastAsia="宋体" w:cs="宋体"/>
          <w:b/>
          <w:bCs/>
          <w:color w:val="auto"/>
          <w:sz w:val="24"/>
          <w:szCs w:val="24"/>
          <w:highlight w:val="none"/>
        </w:rPr>
        <w:t xml:space="preserve">服务类项目中供应商若使用退休人员，将不享受相应扶持政策。</w:t>
      </w:r>
      <w:r/>
    </w:p>
    <w:p>
      <w:pPr>
        <w:pStyle w:val="1571"/>
        <w:ind w:firstLine="720"/>
        <w:spacing w:before="240" w:after="240" w:line="360" w:lineRule="auto"/>
        <w:rPr>
          <w:rStyle w:val="158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本项目所属行业：</w:t>
      </w:r>
      <w:r>
        <w:rPr>
          <w:rFonts w:hint="eastAsia" w:ascii="宋体" w:hAnsi="宋体" w:eastAsia="宋体" w:cs="宋体"/>
          <w:b/>
          <w:bCs/>
          <w:color w:val="auto"/>
          <w:sz w:val="24"/>
          <w:szCs w:val="24"/>
          <w:highlight w:val="none"/>
        </w:rPr>
        <w:t xml:space="preserve">租赁和商务服务业</w:t>
      </w:r>
      <w:r>
        <w:rPr>
          <w:rFonts w:hint="eastAsia" w:ascii="宋体" w:hAnsi="宋体" w:eastAsia="宋体" w:cs="宋体"/>
          <w:color w:val="auto"/>
          <w:sz w:val="24"/>
          <w:szCs w:val="24"/>
          <w:highlight w:val="none"/>
        </w:rPr>
        <w:t xml:space="preserve">。</w:t>
      </w:r>
      <w:r/>
    </w:p>
    <w:p>
      <w:pPr>
        <w:jc w:val="left"/>
        <w:spacing w:line="360" w:lineRule="exact"/>
        <w:widowControl/>
        <w:rPr>
          <w:highlight w:val="none"/>
        </w:rPr>
      </w:pPr>
      <w:r>
        <w:rPr>
          <w:rFonts w:hint="eastAsia" w:ascii="宋体" w:hAnsi="宋体" w:cs="宋体"/>
          <w:sz w:val="24"/>
          <w:szCs w:val="24"/>
          <w:highlight w:val="none"/>
          <w:lang w:bidi="ar"/>
        </w:rPr>
        <w:t xml:space="preserve">附：中小企业划型标准规定 </w:t>
      </w:r>
      <w:r/>
    </w:p>
    <w:p>
      <w:pPr>
        <w:numPr>
          <w:ilvl w:val="0"/>
          <w:numId w:val="13"/>
        </w:numPr>
        <w:jc w:val="left"/>
        <w:spacing w:line="36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农、林、牧、渔业。营业收入 20000 万元以下的为中小微型企业。其中，营业收入 500 万元及以上的为中型企业，营业收入 50 万元及以上的为小型企业，营业收入 50 万元以下的为微型企业。 </w:t>
      </w:r>
      <w:r/>
    </w:p>
    <w:p>
      <w:pPr>
        <w:numPr>
          <w:ilvl w:val="0"/>
          <w:numId w:val="0"/>
        </w:numPr>
        <w:jc w:val="left"/>
        <w:spacing w:line="36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r>
      <w:r/>
    </w:p>
    <w:p>
      <w:pPr>
        <w:jc w:val="left"/>
        <w:spacing w:line="360" w:lineRule="exact"/>
        <w:widowControl/>
        <w:rPr>
          <w:highlight w:val="none"/>
        </w:rPr>
      </w:pPr>
      <w:r>
        <w:rPr>
          <w:rFonts w:hint="eastAsia" w:ascii="宋体" w:hAnsi="宋体" w:cs="宋体"/>
          <w:sz w:val="24"/>
          <w:szCs w:val="24"/>
          <w:highlight w:val="none"/>
          <w:lang w:bidi="ar"/>
        </w:rPr>
        <w:t xml:space="preserve">（二）工业。从业人员 1000 人以下或营业收入 40000 万元以下的为中小微型企业。 </w:t>
      </w:r>
      <w:r/>
    </w:p>
    <w:p>
      <w:pPr>
        <w:jc w:val="left"/>
        <w:spacing w:line="360" w:lineRule="exact"/>
        <w:widowControl/>
        <w:rPr>
          <w:rFonts w:hint="eastAsia" w:ascii="宋体" w:hAnsi="宋体" w:cs="宋体"/>
          <w:sz w:val="24"/>
          <w:szCs w:val="24"/>
          <w:highlight w:val="none"/>
          <w:lang w:eastAsia="zh-CN" w:bidi="ar"/>
        </w:rPr>
      </w:pPr>
      <w:r>
        <w:rPr>
          <w:rFonts w:hint="eastAsia" w:ascii="宋体" w:hAnsi="宋体" w:cs="宋体"/>
          <w:sz w:val="24"/>
          <w:szCs w:val="24"/>
          <w:highlight w:val="none"/>
          <w:lang w:bidi="ar"/>
        </w:rPr>
        <w:t xml:space="preserve">其中，从业人员 300 人及以上，且营业收入 2000 万元及以上的为中型企业；从业人员 20 人及以上，且营业收入 300 万元及以上的为小型企业；从业人员 20 人以下或营业收入 300 万元以下的为微型企业</w:t>
      </w:r>
      <w:r>
        <w:rPr>
          <w:rFonts w:hint="eastAsia" w:ascii="宋体" w:hAnsi="宋体" w:cs="宋体"/>
          <w:sz w:val="24"/>
          <w:szCs w:val="24"/>
          <w:highlight w:val="none"/>
          <w:lang w:eastAsia="zh-CN" w:bidi="ar"/>
        </w:rPr>
        <w:t xml:space="preserve">。</w:t>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highlight w:val="none"/>
        </w:rPr>
      </w:pPr>
      <w:r>
        <w:rPr>
          <w:rFonts w:hint="eastAsia" w:ascii="宋体" w:hAnsi="宋体" w:cs="宋体"/>
          <w:sz w:val="24"/>
          <w:szCs w:val="24"/>
          <w:highlight w:val="none"/>
          <w:lang w:bidi="ar"/>
        </w:rPr>
        <w:t xml:space="preserve">（四）批发业。从业人员 200 人以下或营业收入 40000 万元以下的为中小微型企业。 </w:t>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其中，从业人员 20 人及以上，且营业收入 5000 万元及以上的为中型企业；从业人员 5 人及以上，且营业收入 1000 万元及以上的为小型企业；从业人员 5 人以下或营业收入 1000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highlight w:val="none"/>
        </w:rPr>
      </w:pPr>
      <w:r>
        <w:rPr>
          <w:rFonts w:hint="eastAsia" w:ascii="宋体" w:hAnsi="宋体" w:cs="宋体"/>
          <w:sz w:val="24"/>
          <w:szCs w:val="24"/>
          <w:highlight w:val="none"/>
          <w:lang w:bidi="ar"/>
        </w:rPr>
        <w:t xml:space="preserve">（五）零售业。从业人员 300 人以下或营业收入 20000 万元以下的为中小微型企业。 </w:t>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其中，从业人员 50 人及以上，且营业收入 500 万元及以上的为中型企业；从业人员10 人及以上，且营业收入 100 万元及以上的为小型企业；从业人员 10 人以下或营业收入 100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numPr>
          <w:ilvl w:val="0"/>
          <w:numId w:val="0"/>
        </w:num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六</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交通运输业。从业人员 1000 人以下或营业收入 30000 万元以下的为中小微型企业。其中，从业人员 300 人及以上，且营业收入 3000 万元及以上的为中型企业；从业人员 20 人及以上，且营业收入 200 万元及以上的为小型企业；从业人员 20 人以下或营业收入 200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highlight w:val="none"/>
        </w:rPr>
      </w:pPr>
      <w:r>
        <w:rPr>
          <w:rFonts w:hint="eastAsia" w:ascii="宋体" w:hAnsi="宋体" w:cs="宋体"/>
          <w:sz w:val="24"/>
          <w:szCs w:val="24"/>
          <w:highlight w:val="none"/>
          <w:lang w:bidi="ar"/>
        </w:rPr>
        <w:t xml:space="preserve">（七）仓储业。从业人员 200 人以下或营业收入 30000 万元以下的为中小微型企业。 </w:t>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其中，从业人员 100 人及以上，且营业收入 1000 万元及以上的为中型企业；从业人员 20 人及以上，且营业收入 100 万元及以上的为小型企业；从业人员 20 人以下或营业收入 100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（八）邮政业。从业人员 1000 人以下或营业收入 30000 万元以下的为中小微型企业。 其中，从业人员 300 人及以上，且营业收入 2000 万元及以上的为中型企业；从业人 员 20 人及以上，且营业收入 100 万元及以上的为小型企业；从业人员 20 人以下或营业收入 100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（九）住宿业。从业人员 300 人以下或营业收入 10000 万元以下的为中小微型企业。 其中，从业人员 100 人及以上，且营业收入 2000 万元及以上的为中型企业；从业人员 10人及以上，且营业收入 100 万元及以上的为小型企业；从业人员 10 人以下或营业收入 100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highlight w:val="none"/>
        </w:rPr>
      </w:pPr>
      <w:r>
        <w:rPr>
          <w:rFonts w:hint="eastAsia" w:ascii="宋体" w:hAnsi="宋体" w:cs="宋体"/>
          <w:sz w:val="24"/>
          <w:szCs w:val="24"/>
          <w:highlight w:val="none"/>
          <w:lang w:bidi="ar"/>
        </w:rPr>
        <w:t xml:space="preserve">（十）餐饮业。从业人员 300 人以下或营业收入 10000 万元以下的为中小微型企业。 </w:t>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其中，从业人员 100 人及以上，且营业收入 2000 万元及以上的为中型企业；从业人员 10 人及以上，且营业收入 100 万元及以上的为小型企业；从业人员 10 人以下或 营业收入 100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万元及以上的为小型企业；从业人员10 人以下或营业收入 100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highlight w:val="none"/>
        </w:rPr>
      </w:pPr>
      <w:r>
        <w:rPr>
          <w:rFonts w:hint="eastAsia" w:ascii="宋体" w:hAnsi="宋体" w:cs="宋体"/>
          <w:sz w:val="24"/>
          <w:szCs w:val="24"/>
          <w:highlight w:val="none"/>
          <w:lang w:bidi="ar"/>
        </w:rPr>
        <w:t xml:space="preserve">（十二）软件和信息技术服务业。从业人员 300 人以下或营业收入 10000 万元以下 </w:t>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的为中小微型企业。其中，从业人员 100 人及以上，且营业收入 1000 万元及以上的为中型企业；从业人员 10 人及以上，且营业收入 50 万元及以上的为小型企业；从业人员 10 人以下或营业收入 50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numPr>
          <w:ilvl w:val="0"/>
          <w:numId w:val="14"/>
        </w:num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highlight w:val="none"/>
        </w:rPr>
      </w:pPr>
      <w:r>
        <w:rPr>
          <w:rFonts w:hint="eastAsia" w:ascii="宋体" w:hAnsi="宋体" w:cs="宋体"/>
          <w:sz w:val="24"/>
          <w:szCs w:val="24"/>
          <w:highlight w:val="none"/>
          <w:lang w:bidi="ar"/>
        </w:rPr>
        <w:t xml:space="preserve">（十四）物业管理。从业人员 1000 人以下或营业收入 5000 万元以下的为中小微型企业。其中，从业人员 300 人及以上，且营业收入 1000 万元及以上的为中型企业； </w:t>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从业人员 100 人及以上，且营业收入 500 万元及以上的为小型企业；从业人员 100 人以下或营业收入 500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 员 10 人以下或资产总额 100 万元以下的为微型企业。 </w:t>
      </w:r>
      <w:r/>
    </w:p>
    <w:p>
      <w:pPr>
        <w:jc w:val="left"/>
        <w:spacing w:line="36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36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（十六）其他未列明行业。从业人员 300 人以下的为中小微型企业。其中，从业人员 100 人及以上的为中型企业；从业人员 10 人及以上的为小型企业；从业人员 10 人以下的为微型企业。</w:t>
      </w:r>
      <w:r/>
    </w:p>
    <w:p>
      <w:pPr>
        <w:rPr>
          <w:rFonts w:hint="eastAsia" w:ascii="宋体" w:hAnsi="宋体" w:cs="宋体"/>
          <w:b/>
          <w:bCs/>
          <w:sz w:val="28"/>
          <w:szCs w:val="28"/>
          <w:highlight w:val="none"/>
          <w:lang w:bidi="ar"/>
        </w:rPr>
      </w:pPr>
      <w:r>
        <w:rPr>
          <w:rFonts w:hint="eastAsia" w:ascii="宋体" w:hAnsi="宋体" w:cs="宋体"/>
          <w:b/>
          <w:bCs/>
          <w:sz w:val="28"/>
          <w:szCs w:val="28"/>
          <w:highlight w:val="none"/>
          <w:lang w:bidi="ar"/>
        </w:rPr>
        <w:br w:type="page" w:clear="all"/>
      </w:r>
      <w:r/>
    </w:p>
    <w:p>
      <w:pPr>
        <w:jc w:val="left"/>
        <w:widowControl/>
        <w:rPr>
          <w:highlight w:val="none"/>
        </w:rPr>
      </w:pPr>
      <w:r>
        <w:rPr>
          <w:rFonts w:hint="eastAsia" w:ascii="宋体" w:hAnsi="宋体" w:cs="宋体"/>
          <w:b/>
          <w:bCs/>
          <w:sz w:val="28"/>
          <w:szCs w:val="28"/>
          <w:highlight w:val="none"/>
          <w:lang w:bidi="ar"/>
        </w:rPr>
        <w:t xml:space="preserve">残疾人福利性单位声明函 </w:t>
      </w:r>
      <w:r/>
    </w:p>
    <w:p>
      <w:pPr>
        <w:ind w:firstLine="620"/>
        <w:jc w:val="left"/>
        <w:widowControl/>
        <w:rPr>
          <w:rFonts w:ascii="宋体" w:hAnsi="宋体" w:cs="宋体"/>
          <w:sz w:val="31"/>
          <w:szCs w:val="31"/>
          <w:highlight w:val="none"/>
          <w:lang w:bidi="ar"/>
        </w:rPr>
      </w:pPr>
      <w:r>
        <w:rPr>
          <w:rFonts w:ascii="宋体" w:hAnsi="宋体" w:cs="宋体"/>
          <w:sz w:val="31"/>
          <w:szCs w:val="31"/>
          <w:highlight w:val="none"/>
          <w:lang w:bidi="ar"/>
        </w:rPr>
      </w:r>
      <w:r/>
    </w:p>
    <w:p>
      <w:pPr>
        <w:jc w:val="center"/>
        <w:widowControl/>
        <w:rPr>
          <w:rFonts w:ascii="黑体" w:hAnsi="黑体" w:eastAsia="黑体" w:cs="黑体"/>
          <w:b/>
          <w:bCs/>
          <w:highlight w:val="none"/>
        </w:rPr>
      </w:pPr>
      <w:r>
        <w:rPr>
          <w:rFonts w:ascii="黑体" w:hAnsi="黑体" w:eastAsia="黑体" w:cs="黑体"/>
          <w:b/>
          <w:bCs/>
          <w:highlight w:val="none"/>
        </w:rPr>
      </w:r>
      <w:r/>
    </w:p>
    <w:p>
      <w:pPr>
        <w:jc w:val="center"/>
        <w:widowControl/>
        <w:rPr>
          <w:rFonts w:ascii="黑体" w:hAnsi="黑体" w:eastAsia="黑体" w:cs="黑体"/>
          <w:b/>
          <w:bCs/>
          <w:sz w:val="31"/>
          <w:szCs w:val="31"/>
          <w:highlight w:val="none"/>
          <w:lang w:bidi="ar"/>
        </w:rPr>
      </w:pPr>
      <w:r>
        <w:rPr>
          <w:rFonts w:hint="eastAsia" w:ascii="黑体" w:hAnsi="黑体" w:eastAsia="黑体" w:cs="黑体"/>
          <w:b/>
          <w:bCs/>
          <w:sz w:val="31"/>
          <w:szCs w:val="31"/>
          <w:highlight w:val="none"/>
          <w:lang w:bidi="ar"/>
        </w:rPr>
        <w:t xml:space="preserve">残疾人福利性单位声明函</w:t>
      </w:r>
      <w:r/>
    </w:p>
    <w:p>
      <w:pPr>
        <w:ind w:firstLine="480"/>
        <w:jc w:val="left"/>
        <w:spacing w:line="40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ind w:firstLine="480"/>
        <w:jc w:val="left"/>
        <w:spacing w:line="400" w:lineRule="exact"/>
        <w:widowControl/>
        <w:rPr>
          <w:highlight w:val="none"/>
        </w:rPr>
      </w:pPr>
      <w:r>
        <w:rPr>
          <w:rFonts w:hint="eastAsia" w:ascii="宋体" w:hAnsi="宋体" w:cs="宋体"/>
          <w:sz w:val="24"/>
          <w:szCs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line="400" w:lineRule="exact"/>
        <w:widowControl/>
        <w:rPr>
          <w:highlight w:val="none"/>
        </w:rPr>
      </w:pPr>
      <w:r>
        <w:rPr>
          <w:rFonts w:hint="eastAsia" w:ascii="宋体" w:hAnsi="宋体" w:cs="宋体"/>
          <w:sz w:val="24"/>
          <w:szCs w:val="24"/>
          <w:highlight w:val="none"/>
          <w:lang w:bidi="ar"/>
        </w:rPr>
        <w:t xml:space="preserve">本单位对上述声明的真实性负责。如有虚假，将依法承担相应责任。 </w:t>
      </w:r>
      <w:r/>
    </w:p>
    <w:p>
      <w:pPr>
        <w:jc w:val="left"/>
        <w:spacing w:line="40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40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400" w:lineRule="exact"/>
        <w:widowControl/>
        <w:rPr>
          <w:highlight w:val="none"/>
        </w:rPr>
      </w:pPr>
      <w:r>
        <w:rPr>
          <w:rFonts w:hint="eastAsia" w:ascii="宋体" w:hAnsi="宋体" w:cs="宋体"/>
          <w:sz w:val="24"/>
          <w:szCs w:val="24"/>
          <w:highlight w:val="none"/>
          <w:lang w:bidi="ar"/>
        </w:rPr>
        <w:t xml:space="preserve">单位名称（盖章）： </w:t>
      </w:r>
      <w:r/>
    </w:p>
    <w:p>
      <w:pPr>
        <w:jc w:val="left"/>
        <w:spacing w:line="400" w:lineRule="exact"/>
        <w:widowControl/>
        <w:rPr>
          <w:highlight w:val="none"/>
        </w:rPr>
      </w:pPr>
      <w:r>
        <w:rPr>
          <w:rFonts w:hint="eastAsia" w:ascii="宋体" w:hAnsi="宋体" w:cs="宋体"/>
          <w:sz w:val="24"/>
          <w:szCs w:val="24"/>
          <w:highlight w:val="none"/>
          <w:lang w:bidi="ar"/>
        </w:rPr>
        <w:t xml:space="preserve">日期： </w:t>
      </w:r>
      <w:r/>
    </w:p>
    <w:p>
      <w:pPr>
        <w:jc w:val="left"/>
        <w:spacing w:line="40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40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40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40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400" w:lineRule="exac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400" w:lineRule="exact"/>
        <w:widowControl/>
        <w:rPr>
          <w:highlight w:val="none"/>
        </w:rPr>
      </w:pPr>
      <w:r>
        <w:rPr>
          <w:rFonts w:hint="eastAsia" w:ascii="宋体" w:hAnsi="宋体" w:cs="宋体"/>
          <w:sz w:val="24"/>
          <w:szCs w:val="24"/>
          <w:highlight w:val="none"/>
          <w:lang w:bidi="ar"/>
        </w:rPr>
        <w:t xml:space="preserve">注：1、符合《关于促进残疾人就业政府采购政策的通知》（财库〔2017〕141 号）规定条件的残疾人福利性单位在参加政府采购活动时，应当提供《残疾人福利性单位声明函》，并对声明的真实性负责。 </w:t>
      </w:r>
      <w:r/>
    </w:p>
    <w:p>
      <w:pPr>
        <w:jc w:val="left"/>
        <w:spacing w:line="40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供应商提供的《残疾人福利性单位声明函》与事实不符的，依照《政府采购法》第七十七条第一款的规定追究法律责任。 </w:t>
      </w:r>
      <w:r/>
    </w:p>
    <w:p>
      <w:pPr>
        <w:jc w:val="left"/>
        <w:spacing w:line="400" w:lineRule="exact"/>
        <w:widowControl/>
        <w:rPr>
          <w:highlight w:val="none"/>
        </w:rPr>
      </w:pPr>
      <w:r>
        <w:rPr>
          <w:rFonts w:hint="eastAsia" w:ascii="宋体" w:hAnsi="宋体" w:cs="宋体"/>
          <w:sz w:val="24"/>
          <w:szCs w:val="24"/>
          <w:highlight w:val="none"/>
          <w:lang w:bidi="ar"/>
        </w:rPr>
        <w:t xml:space="preserve">中标、成交供应商为残疾人福利性单位的，采购人或者其委托的采购代理机构应当随中标、成交结果同时公告其《残疾人福利性单位声明函》，接受社会监督。 </w:t>
      </w:r>
      <w:r/>
    </w:p>
    <w:p>
      <w:pPr>
        <w:jc w:val="left"/>
        <w:spacing w:line="400" w:lineRule="exact"/>
        <w:widowControl/>
        <w:rPr>
          <w:highlight w:val="none"/>
        </w:rPr>
      </w:pPr>
      <w:r>
        <w:rPr>
          <w:rFonts w:hint="eastAsia" w:ascii="宋体" w:hAnsi="宋体" w:cs="宋体"/>
          <w:sz w:val="24"/>
          <w:szCs w:val="24"/>
          <w:highlight w:val="none"/>
          <w:lang w:bidi="ar"/>
        </w:rPr>
        <w:t xml:space="preserve">2、若供应商对照《关于促进残疾人就业政府采购政策的通知》（财库〔2017〕141 号）中的规定，明确不符合残疾人福利性单位条件的，则无需提供此声明函。 </w:t>
      </w:r>
      <w:r/>
    </w:p>
    <w:p>
      <w:pPr>
        <w:jc w:val="left"/>
        <w:widowControl/>
        <w:rPr>
          <w:rFonts w:ascii="宋体" w:hAnsi="宋体" w:cs="宋体"/>
          <w:b/>
          <w:bCs/>
          <w:sz w:val="28"/>
          <w:szCs w:val="28"/>
          <w:highlight w:val="none"/>
          <w:lang w:bidi="ar"/>
        </w:rPr>
      </w:pPr>
      <w:r>
        <w:rPr>
          <w:rFonts w:hint="eastAsia" w:ascii="宋体" w:hAnsi="宋体" w:cs="宋体"/>
          <w:b/>
          <w:bCs/>
          <w:sz w:val="28"/>
          <w:szCs w:val="28"/>
          <w:highlight w:val="none"/>
          <w:lang w:bidi="ar"/>
        </w:rPr>
        <w:br w:type="page" w:clear="all"/>
      </w:r>
      <w:r>
        <w:rPr>
          <w:rFonts w:hint="eastAsia" w:ascii="宋体" w:hAnsi="宋体" w:cs="宋体"/>
          <w:b/>
          <w:bCs/>
          <w:sz w:val="28"/>
          <w:szCs w:val="28"/>
          <w:highlight w:val="none"/>
          <w:lang w:bidi="ar"/>
        </w:rPr>
        <w:t xml:space="preserve">监狱企业的证明文件</w:t>
      </w:r>
      <w:r/>
    </w:p>
    <w:p>
      <w:pPr>
        <w:jc w:val="left"/>
        <w:widowControl/>
        <w:rPr>
          <w:rFonts w:ascii="宋体" w:hAnsi="宋体" w:cs="宋体"/>
          <w:sz w:val="31"/>
          <w:szCs w:val="31"/>
          <w:highlight w:val="none"/>
          <w:lang w:bidi="ar"/>
        </w:rPr>
      </w:pPr>
      <w:r>
        <w:rPr>
          <w:rFonts w:ascii="宋体" w:hAnsi="宋体" w:cs="宋体"/>
          <w:sz w:val="31"/>
          <w:szCs w:val="31"/>
          <w:highlight w:val="none"/>
          <w:lang w:bidi="ar"/>
        </w:rPr>
      </w:r>
      <w:r/>
    </w:p>
    <w:p>
      <w:pPr>
        <w:jc w:val="center"/>
        <w:widowControl/>
        <w:rPr>
          <w:rFonts w:ascii="宋体" w:hAnsi="宋体" w:cs="宋体"/>
          <w:sz w:val="24"/>
          <w:szCs w:val="24"/>
          <w:highlight w:val="none"/>
          <w:lang w:bidi="ar"/>
        </w:rPr>
      </w:pPr>
      <w:r>
        <w:rPr>
          <w:rFonts w:hint="eastAsia" w:ascii="黑体" w:hAnsi="黑体" w:eastAsia="黑体" w:cs="黑体"/>
          <w:b/>
          <w:bCs/>
          <w:sz w:val="31"/>
          <w:szCs w:val="31"/>
          <w:highlight w:val="none"/>
          <w:lang w:bidi="ar"/>
        </w:rPr>
        <w:t xml:space="preserve">监狱企业的证明文件</w:t>
      </w:r>
      <w:r/>
    </w:p>
    <w:p>
      <w:pPr>
        <w:jc w:val="left"/>
        <w:widowControl/>
        <w:rPr>
          <w:rFonts w:ascii="宋体" w:hAnsi="宋体" w:cs="宋体"/>
          <w:sz w:val="24"/>
          <w:szCs w:val="24"/>
          <w:highlight w:val="none"/>
          <w:lang w:bidi="ar"/>
        </w:rPr>
      </w:pPr>
      <w:r>
        <w:rPr>
          <w:rFonts w:ascii="宋体" w:hAnsi="宋体" w:cs="宋体"/>
          <w:sz w:val="24"/>
          <w:szCs w:val="24"/>
          <w:highlight w:val="none"/>
          <w:lang w:bidi="ar"/>
        </w:rPr>
      </w:r>
      <w:r/>
    </w:p>
    <w:p>
      <w:pPr>
        <w:jc w:val="left"/>
        <w:spacing w:line="400" w:lineRule="exact"/>
        <w:widowControl/>
        <w:rPr>
          <w:highlight w:val="none"/>
        </w:rPr>
      </w:pPr>
      <w:r>
        <w:rPr>
          <w:rFonts w:hint="eastAsia" w:ascii="宋体" w:hAnsi="宋体" w:cs="宋体"/>
          <w:sz w:val="24"/>
          <w:szCs w:val="24"/>
          <w:highlight w:val="none"/>
          <w:lang w:bidi="ar"/>
        </w:rPr>
        <w:t xml:space="preserve">注：1、符合《关于政府采购支持监狱企业发展有关问题的通知》（财库〔2014〕68 号）条件的监狱企业参加政府采购活动时，应当提供由省级以上监狱管理局、戒毒管理局（含新疆生产建设兵团）出具的属于监狱企业的证明文件。 </w:t>
      </w:r>
      <w:r/>
    </w:p>
    <w:p>
      <w:pPr>
        <w:jc w:val="left"/>
        <w:spacing w:line="400" w:lineRule="exact"/>
        <w:widowControl/>
        <w:rPr>
          <w:highlight w:val="none"/>
        </w:rPr>
      </w:pPr>
      <w:r>
        <w:rPr>
          <w:rFonts w:hint="eastAsia" w:ascii="宋体" w:hAnsi="宋体" w:cs="宋体"/>
          <w:sz w:val="24"/>
          <w:szCs w:val="24"/>
          <w:highlight w:val="none"/>
          <w:lang w:bidi="ar"/>
        </w:rPr>
        <w:t xml:space="preserve">2、若供应商对照《关于政府采购支持监狱企业发展有关问题的通知》（财库〔2014〕68 号）中的规定，明确不符合监狱企业条件的，则无需提供相关证明文件。 </w:t>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left"/>
        <w:spacing w:line="360" w:lineRule="exact"/>
        <w:widowControl/>
        <w:rPr>
          <w:highlight w:val="none"/>
        </w:rPr>
      </w:pPr>
      <w:r>
        <w:rPr>
          <w:highlight w:val="none"/>
        </w:rPr>
      </w:r>
      <w:r/>
    </w:p>
    <w:sectPr>
      <w:footerReference w:type="default" r:id="rId18"/>
      <w:footerReference w:type="even" r:id="rId19"/>
      <w:footerReference w:type="first" r:id="rId20"/>
      <w:footnotePr/>
      <w:endnotePr/>
      <w:type w:val="nextPage"/>
      <w:pgSz w:w="11906" w:h="16838" w:orient="portrait"/>
      <w:pgMar w:top="1100" w:right="1242" w:bottom="1213" w:left="14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Univers">
    <w:panose1 w:val="020B0503020202020204"/>
  </w:font>
  <w:font w:name="Symbol">
    <w:panose1 w:val="05050102010706020507"/>
  </w:font>
  <w:font w:name="新宋体">
    <w:panose1 w:val="02010609030101010101"/>
  </w:font>
  <w:font w:name="等线 Light">
    <w:panose1 w:val="02010600030101010101"/>
  </w:font>
  <w:font w:name="Arial Unicode MS">
    <w:panose1 w:val="020B0604020202020204"/>
  </w:font>
  <w:font w:name="方正仿宋简体">
    <w:panose1 w:val="020B0503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创艺简仿宋">
    <w:panose1 w:val="020B0503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6"/>
                            <w:rPr>
                              <w:rStyle w:val="1227"/>
                            </w:rPr>
                          </w:pPr>
                          <w:r>
                            <w:fldChar w:fldCharType="begin"/>
                          </w:r>
                          <w:r>
                            <w:rPr>
                              <w:rStyle w:val="1227"/>
                            </w:rPr>
                            <w:instrText xml:space="preserve">PAGE  </w:instrText>
                          </w:r>
                          <w:r>
                            <w:fldChar w:fldCharType="separate"/>
                          </w:r>
                          <w:r>
                            <w:rPr>
                              <w:rStyle w:val="1227"/>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6"/>
                      <w:rPr>
                        <w:rStyle w:val="1227"/>
                      </w:rPr>
                    </w:pPr>
                    <w:r>
                      <w:fldChar w:fldCharType="begin"/>
                    </w:r>
                    <w:r>
                      <w:rPr>
                        <w:rStyle w:val="1227"/>
                      </w:rPr>
                      <w:instrText xml:space="preserve">PAGE  </w:instrText>
                    </w:r>
                    <w:r>
                      <w:fldChar w:fldCharType="separate"/>
                    </w:r>
                    <w:r>
                      <w:rPr>
                        <w:rStyle w:val="1227"/>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rPr>
        <w:rStyle w:val="1227"/>
      </w:rPr>
      <w:framePr w:wrap="around" w:vAnchor="text" w:hAnchor="margin" w:xAlign="center" w:y="1"/>
    </w:pPr>
    <w:r>
      <w:fldChar w:fldCharType="begin"/>
    </w:r>
    <w:r>
      <w:rPr>
        <w:rStyle w:val="1227"/>
      </w:rPr>
      <w:instrText xml:space="preserve">PAGE  </w:instrText>
    </w:r>
    <w:r>
      <w:fldChar w:fldCharType="end"/>
    </w:r>
    <w:r/>
  </w:p>
  <w:p>
    <w:pPr>
      <w:pStyle w:val="11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360"/>
      <w:rPr>
        <w:rStyle w:val="1227"/>
      </w:rPr>
      <w:framePr w:wrap="around" w:vAnchor="text" w:hAnchor="margin" w:xAlign="right" w:y="1"/>
    </w:pPr>
    <w:r>
      <w:fldChar w:fldCharType="begin"/>
    </w:r>
    <w:r>
      <w:rPr>
        <w:rStyle w:val="1227"/>
        <w:color w:val="000000"/>
      </w:rPr>
      <w:instrText xml:space="preserve">PAGE  </w:instrText>
    </w:r>
    <w:r>
      <w:fldChar w:fldCharType="end"/>
    </w:r>
    <w:r/>
  </w:p>
  <w:p>
    <w:pPr>
      <w:pStyle w:val="1196"/>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119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left="0" w:firstLine="0"/>
      <w:jc w:val="both"/>
      <w:tabs>
        <w:tab w:val="center" w:pos="4153" w:leader="none"/>
        <w:tab w:val="clear" w:pos="7143" w:leader="none"/>
        <w:tab w:val="right" w:pos="8306" w:leader="none"/>
        <w:tab w:val="clear" w:pos="14287" w:leader="none"/>
      </w:tabs>
      <w:pBdr>
        <w:top w:val="none" w:color="auto" w:sz="0" w:space="0"/>
        <w:left w:val="none" w:color="auto" w:sz="0" w:space="0"/>
        <w:bottom w:val="none" w:color="auto"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5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1155"/>
      <w:isLgl w:val="false"/>
      <w:suff w:val="nothing"/>
      <w:lvlText w:val=""/>
      <w:lvlJc w:val="left"/>
      <w:pPr>
        <w:ind w:left="0" w:firstLine="0"/>
        <w:tabs>
          <w:tab w:val="left" w:pos="0" w:leader="none"/>
        </w:tabs>
      </w:pPr>
    </w:lvl>
    <w:lvl w:ilvl="6">
      <w:start w:val="1"/>
      <w:numFmt w:val="decimal"/>
      <w:pStyle w:val="1156"/>
      <w:isLgl w:val="false"/>
      <w:suff w:val="nothing"/>
      <w:lvlText w:val=""/>
      <w:lvlJc w:val="left"/>
      <w:pPr>
        <w:ind w:left="0" w:firstLine="0"/>
        <w:tabs>
          <w:tab w:val="left" w:pos="0" w:leader="none"/>
        </w:tabs>
      </w:pPr>
    </w:lvl>
    <w:lvl w:ilvl="7">
      <w:start w:val="1"/>
      <w:numFmt w:val="decimal"/>
      <w:pStyle w:val="1157"/>
      <w:isLgl w:val="false"/>
      <w:suff w:val="nothing"/>
      <w:lvlText w:val=""/>
      <w:lvlJc w:val="left"/>
      <w:pPr>
        <w:ind w:left="0" w:firstLine="0"/>
        <w:tabs>
          <w:tab w:val="left" w:pos="0" w:leader="none"/>
        </w:tabs>
      </w:pPr>
    </w:lvl>
    <w:lvl w:ilvl="8">
      <w:start w:val="1"/>
      <w:numFmt w:val="decimal"/>
      <w:pStyle w:val="1158"/>
      <w:isLgl w:val="false"/>
      <w:suff w:val="nothing"/>
      <w:lvlText w:val=""/>
      <w:lvlJc w:val="left"/>
      <w:pPr>
        <w:ind w:left="0" w:firstLine="0"/>
        <w:tabs>
          <w:tab w:val="left" w:pos="0" w:leader="none"/>
        </w:tabs>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2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361"/>
      <w:isLgl w:val="false"/>
      <w:suff w:val="tab"/>
      <w:lvlText w:val="第%1章"/>
      <w:lvlJc w:val="left"/>
      <w:pPr>
        <w:ind w:left="709" w:hanging="425"/>
      </w:pPr>
      <w:rPr>
        <w:rFonts w:hint="eastAsia" w:eastAsia="宋体"/>
        <w:sz w:val="28"/>
        <w:lang w:val="en-US"/>
      </w:rPr>
    </w:lvl>
    <w:lvl w:ilvl="1">
      <w:start w:val="1"/>
      <w:numFmt w:val="decimal"/>
      <w:pStyle w:val="1360"/>
      <w:isLgl w:val="false"/>
      <w:suff w:val="tab"/>
      <w:lvlText w:val="%1.%2"/>
      <w:lvlJc w:val="left"/>
      <w:pPr>
        <w:ind w:left="880" w:hanging="879"/>
      </w:pPr>
      <w:rPr>
        <w:rFonts w:hint="eastAsia" w:ascii="宋体" w:hAnsi="宋体" w:eastAsia="宋体"/>
        <w:sz w:val="28"/>
      </w:rPr>
    </w:lvl>
    <w:lvl w:ilvl="2">
      <w:start w:val="1"/>
      <w:numFmt w:val="decimal"/>
      <w:pStyle w:val="1385"/>
      <w:isLgl w:val="false"/>
      <w:suff w:val="tab"/>
      <w:lvlText w:val="%1.%2.%3"/>
      <w:lvlJc w:val="left"/>
      <w:pPr>
        <w:ind w:left="5444" w:hanging="1191"/>
      </w:pPr>
      <w:rPr>
        <w:rFonts w:hint="eastAsia" w:ascii="宋体" w:hAnsi="宋体" w:eastAsia="宋体"/>
        <w:sz w:val="28"/>
      </w:rPr>
    </w:lvl>
    <w:lvl w:ilvl="3">
      <w:start w:val="1"/>
      <w:numFmt w:val="decimal"/>
      <w:pStyle w:val="1384"/>
      <w:isLgl w:val="false"/>
      <w:suff w:val="tab"/>
      <w:lvlText w:val="%1.%2.%3.%4"/>
      <w:lvlJc w:val="left"/>
      <w:pPr>
        <w:ind w:left="1275" w:hanging="1644"/>
      </w:pPr>
      <w:rPr>
        <w:rFonts w:hint="eastAsia" w:ascii="宋体" w:hAnsi="宋体" w:eastAsia="宋体"/>
        <w:sz w:val="28"/>
      </w:rPr>
    </w:lvl>
    <w:lvl w:ilvl="4">
      <w:start w:val="1"/>
      <w:numFmt w:val="decimal"/>
      <w:pStyle w:val="1433"/>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8">
    <w:multiLevelType w:val="hybridMultilevel"/>
    <w:lvl w:ilvl="0">
      <w:start w:val="1"/>
      <w:numFmt w:val="upperLetter"/>
      <w:pStyle w:val="1386"/>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pStyle w:val="1453"/>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41"/>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3">
    <w:multiLevelType w:val="hybridMultilevel"/>
    <w:lvl w:ilvl="0">
      <w:start w:val="1"/>
      <w:numFmt w:val="japaneseCounting"/>
      <w:isLgl w:val="false"/>
      <w:suff w:val="tab"/>
      <w:lvlText w:val="第%1章"/>
      <w:lvlJc w:val="left"/>
      <w:pPr>
        <w:ind w:left="1830" w:hanging="183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1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3"/>
  </w:num>
  <w:num w:numId="10">
    <w:abstractNumId w:val="5"/>
  </w:num>
  <w:num w:numId="11">
    <w:abstractNumId w:val="10"/>
  </w:num>
  <w:num w:numId="12">
    <w:abstractNumId w:val="11"/>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23">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8">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9">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0">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5">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1">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42">
    <w:name w:val="TOC Heading"/>
    <w:uiPriority w:val="39"/>
    <w:unhideWhenUsed/>
  </w:style>
  <w:style w:type="paragraph" w:styleId="943" w:default="1">
    <w:name w:val="Normal"/>
    <w:link w:val="1588"/>
    <w:uiPriority w:val="0"/>
    <w:qFormat/>
    <w:pPr>
      <w:jc w:val="both"/>
      <w:widowControl w:val="off"/>
    </w:pPr>
    <w:rPr>
      <w:rFonts w:ascii="Calibri" w:hAnsi="Calibri" w:eastAsia="宋体" w:cs="Times New Roman"/>
      <w:sz w:val="21"/>
      <w:szCs w:val="22"/>
      <w:lang w:val="en-US" w:eastAsia="zh-CN" w:bidi="ar-SA"/>
    </w:rPr>
  </w:style>
  <w:style w:type="paragraph" w:styleId="944">
    <w:name w:val="Heading 1"/>
    <w:basedOn w:val="943"/>
    <w:next w:val="943"/>
    <w:link w:val="1004"/>
    <w:uiPriority w:val="9"/>
    <w:qFormat/>
    <w:pPr>
      <w:keepLines/>
      <w:keepNext/>
      <w:spacing w:before="480" w:after="200"/>
      <w:outlineLvl w:val="0"/>
    </w:pPr>
    <w:rPr>
      <w:rFonts w:ascii="Arial" w:hAnsi="Arial" w:eastAsia="Arial" w:cs="Arial"/>
      <w:sz w:val="40"/>
      <w:szCs w:val="40"/>
    </w:rPr>
  </w:style>
  <w:style w:type="paragraph" w:styleId="945">
    <w:name w:val="Heading 2"/>
    <w:basedOn w:val="943"/>
    <w:next w:val="943"/>
    <w:link w:val="1005"/>
    <w:uiPriority w:val="9"/>
    <w:unhideWhenUsed/>
    <w:qFormat/>
    <w:pPr>
      <w:keepLines/>
      <w:keepNext/>
      <w:spacing w:before="360" w:after="200"/>
      <w:outlineLvl w:val="1"/>
    </w:pPr>
    <w:rPr>
      <w:rFonts w:ascii="Arial" w:hAnsi="Arial" w:eastAsia="Arial" w:cs="Arial"/>
      <w:sz w:val="34"/>
    </w:rPr>
  </w:style>
  <w:style w:type="paragraph" w:styleId="946">
    <w:name w:val="Heading 3"/>
    <w:basedOn w:val="943"/>
    <w:next w:val="943"/>
    <w:link w:val="1006"/>
    <w:uiPriority w:val="9"/>
    <w:unhideWhenUsed/>
    <w:qFormat/>
    <w:pPr>
      <w:keepLines/>
      <w:keepNext/>
      <w:spacing w:before="320" w:after="200"/>
      <w:outlineLvl w:val="2"/>
    </w:pPr>
    <w:rPr>
      <w:rFonts w:ascii="Arial" w:hAnsi="Arial" w:eastAsia="Arial" w:cs="Arial"/>
      <w:sz w:val="30"/>
      <w:szCs w:val="30"/>
    </w:rPr>
  </w:style>
  <w:style w:type="paragraph" w:styleId="947">
    <w:name w:val="Heading 4"/>
    <w:basedOn w:val="943"/>
    <w:next w:val="943"/>
    <w:link w:val="1584"/>
    <w:uiPriority w:val="9"/>
    <w:unhideWhenUsed/>
    <w:qFormat/>
    <w:pPr>
      <w:keepLines/>
      <w:keepNext/>
      <w:spacing w:before="320" w:after="200"/>
      <w:outlineLvl w:val="3"/>
    </w:pPr>
    <w:rPr>
      <w:rFonts w:ascii="Arial" w:hAnsi="Arial" w:eastAsia="Arial" w:cs="Arial"/>
      <w:b/>
      <w:bCs/>
      <w:sz w:val="26"/>
      <w:szCs w:val="26"/>
    </w:rPr>
  </w:style>
  <w:style w:type="paragraph" w:styleId="948">
    <w:name w:val="Heading 5"/>
    <w:basedOn w:val="943"/>
    <w:next w:val="943"/>
    <w:link w:val="1008"/>
    <w:uiPriority w:val="9"/>
    <w:unhideWhenUsed/>
    <w:qFormat/>
    <w:pPr>
      <w:keepLines/>
      <w:keepNext/>
      <w:spacing w:before="320" w:after="200"/>
      <w:outlineLvl w:val="4"/>
    </w:pPr>
    <w:rPr>
      <w:rFonts w:ascii="Arial" w:hAnsi="Arial" w:eastAsia="Arial" w:cs="Arial"/>
      <w:b/>
      <w:bCs/>
      <w:sz w:val="24"/>
      <w:szCs w:val="24"/>
    </w:rPr>
  </w:style>
  <w:style w:type="paragraph" w:styleId="949">
    <w:name w:val="Heading 6"/>
    <w:basedOn w:val="943"/>
    <w:next w:val="943"/>
    <w:link w:val="1009"/>
    <w:uiPriority w:val="9"/>
    <w:unhideWhenUsed/>
    <w:qFormat/>
    <w:pPr>
      <w:keepLines/>
      <w:keepNext/>
      <w:spacing w:before="320" w:after="200"/>
      <w:outlineLvl w:val="5"/>
    </w:pPr>
    <w:rPr>
      <w:rFonts w:ascii="Arial" w:hAnsi="Arial" w:eastAsia="Arial" w:cs="Arial"/>
      <w:b/>
      <w:bCs/>
      <w:sz w:val="22"/>
    </w:rPr>
  </w:style>
  <w:style w:type="paragraph" w:styleId="950">
    <w:name w:val="Heading 7"/>
    <w:basedOn w:val="943"/>
    <w:next w:val="943"/>
    <w:link w:val="1010"/>
    <w:uiPriority w:val="9"/>
    <w:unhideWhenUsed/>
    <w:qFormat/>
    <w:pPr>
      <w:keepLines/>
      <w:keepNext/>
      <w:spacing w:before="320" w:after="200"/>
      <w:outlineLvl w:val="6"/>
    </w:pPr>
    <w:rPr>
      <w:rFonts w:ascii="Arial" w:hAnsi="Arial" w:eastAsia="Arial" w:cs="Arial"/>
      <w:b/>
      <w:bCs/>
      <w:i/>
      <w:iCs/>
      <w:sz w:val="22"/>
    </w:rPr>
  </w:style>
  <w:style w:type="paragraph" w:styleId="951">
    <w:name w:val="Heading 8"/>
    <w:basedOn w:val="943"/>
    <w:next w:val="943"/>
    <w:link w:val="1011"/>
    <w:uiPriority w:val="9"/>
    <w:unhideWhenUsed/>
    <w:qFormat/>
    <w:pPr>
      <w:keepLines/>
      <w:keepNext/>
      <w:spacing w:before="320" w:after="200"/>
      <w:outlineLvl w:val="7"/>
    </w:pPr>
    <w:rPr>
      <w:rFonts w:ascii="Arial" w:hAnsi="Arial" w:eastAsia="Arial" w:cs="Arial"/>
      <w:i/>
      <w:iCs/>
      <w:sz w:val="22"/>
    </w:rPr>
  </w:style>
  <w:style w:type="paragraph" w:styleId="952">
    <w:name w:val="Heading 9"/>
    <w:basedOn w:val="943"/>
    <w:next w:val="943"/>
    <w:link w:val="1012"/>
    <w:uiPriority w:val="9"/>
    <w:unhideWhenUsed/>
    <w:qFormat/>
    <w:pPr>
      <w:keepLines/>
      <w:keepNext/>
      <w:spacing w:before="320" w:after="200"/>
      <w:outlineLvl w:val="8"/>
    </w:pPr>
    <w:rPr>
      <w:rFonts w:ascii="Arial" w:hAnsi="Arial" w:eastAsia="Arial" w:cs="Arial"/>
      <w:i/>
      <w:iCs/>
      <w:szCs w:val="21"/>
    </w:rPr>
  </w:style>
  <w:style w:type="character" w:styleId="953" w:default="1">
    <w:name w:val="Default Paragraph Font"/>
    <w:uiPriority w:val="1"/>
    <w:semiHidden/>
    <w:unhideWhenUsed/>
    <w:qFormat/>
  </w:style>
  <w:style w:type="table" w:styleId="954" w:default="1">
    <w:name w:val="Normal Table"/>
    <w:uiPriority w:val="99"/>
    <w:semiHidden/>
    <w:unhideWhenUsed/>
    <w:qFormat/>
    <w:tblPr>
      <w:tblCellMar>
        <w:left w:w="108" w:type="dxa"/>
        <w:top w:w="0" w:type="dxa"/>
        <w:right w:w="108" w:type="dxa"/>
        <w:bottom w:w="0" w:type="dxa"/>
      </w:tblCellMar>
    </w:tblPr>
  </w:style>
  <w:style w:type="paragraph" w:styleId="955">
    <w:name w:val="toc 7"/>
    <w:basedOn w:val="943"/>
    <w:next w:val="943"/>
    <w:uiPriority w:val="39"/>
    <w:unhideWhenUsed/>
    <w:qFormat/>
    <w:pPr>
      <w:ind w:left="1701"/>
      <w:spacing w:after="57"/>
    </w:pPr>
  </w:style>
  <w:style w:type="paragraph" w:styleId="956">
    <w:name w:val="Normal Indent"/>
    <w:basedOn w:val="943"/>
    <w:next w:val="943"/>
    <w:uiPriority w:val="0"/>
    <w:qFormat/>
    <w:pPr>
      <w:ind w:firstLine="420"/>
    </w:pPr>
    <w:rPr>
      <w:szCs w:val="20"/>
    </w:rPr>
  </w:style>
  <w:style w:type="paragraph" w:styleId="957">
    <w:name w:val="Caption"/>
    <w:basedOn w:val="943"/>
    <w:next w:val="9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8">
    <w:name w:val="annotation text"/>
    <w:basedOn w:val="943"/>
    <w:uiPriority w:val="0"/>
    <w:qFormat/>
    <w:pPr>
      <w:jc w:val="left"/>
    </w:pPr>
    <w:rPr>
      <w:szCs w:val="21"/>
    </w:rPr>
  </w:style>
  <w:style w:type="paragraph" w:styleId="959">
    <w:name w:val="Body Text"/>
    <w:basedOn w:val="943"/>
    <w:next w:val="956"/>
    <w:uiPriority w:val="0"/>
    <w:qFormat/>
    <w:pPr>
      <w:jc w:val="left"/>
      <w:spacing w:after="60"/>
      <w:tabs>
        <w:tab w:val="right" w:pos="2520" w:leader="none"/>
        <w:tab w:val="left" w:pos="2880" w:leader="none"/>
      </w:tabs>
    </w:pPr>
    <w:rPr>
      <w:sz w:val="22"/>
      <w:szCs w:val="20"/>
    </w:rPr>
  </w:style>
  <w:style w:type="paragraph" w:styleId="960">
    <w:name w:val="Body Text Indent"/>
    <w:basedOn w:val="943"/>
    <w:uiPriority w:val="0"/>
    <w:qFormat/>
    <w:pPr>
      <w:ind w:firstLine="645"/>
    </w:pPr>
    <w:rPr>
      <w:rFonts w:ascii="楷体_GB2312" w:hAnsi="宋体" w:eastAsia="楷体_GB2312" w:cs="宋体"/>
      <w:sz w:val="32"/>
      <w:szCs w:val="32"/>
    </w:rPr>
  </w:style>
  <w:style w:type="paragraph" w:styleId="961">
    <w:name w:val="toc 5"/>
    <w:basedOn w:val="943"/>
    <w:next w:val="943"/>
    <w:uiPriority w:val="39"/>
    <w:unhideWhenUsed/>
    <w:qFormat/>
    <w:pPr>
      <w:ind w:left="1134"/>
      <w:spacing w:after="57"/>
    </w:pPr>
  </w:style>
  <w:style w:type="paragraph" w:styleId="962">
    <w:name w:val="toc 3"/>
    <w:basedOn w:val="943"/>
    <w:next w:val="943"/>
    <w:uiPriority w:val="39"/>
    <w:unhideWhenUsed/>
    <w:qFormat/>
    <w:pPr>
      <w:ind w:left="567"/>
      <w:spacing w:after="57"/>
    </w:pPr>
  </w:style>
  <w:style w:type="paragraph" w:styleId="963">
    <w:name w:val="toc 8"/>
    <w:basedOn w:val="943"/>
    <w:next w:val="943"/>
    <w:uiPriority w:val="39"/>
    <w:unhideWhenUsed/>
    <w:qFormat/>
    <w:pPr>
      <w:ind w:left="1984"/>
      <w:spacing w:after="57"/>
    </w:pPr>
  </w:style>
  <w:style w:type="paragraph" w:styleId="964">
    <w:name w:val="endnote text"/>
    <w:basedOn w:val="943"/>
    <w:link w:val="1148"/>
    <w:uiPriority w:val="99"/>
    <w:semiHidden/>
    <w:unhideWhenUsed/>
    <w:qFormat/>
    <w:rPr>
      <w:sz w:val="20"/>
    </w:rPr>
  </w:style>
  <w:style w:type="paragraph" w:styleId="965">
    <w:name w:val="Footer"/>
    <w:basedOn w:val="943"/>
    <w:link w:val="1021"/>
    <w:uiPriority w:val="99"/>
    <w:unhideWhenUsed/>
    <w:qFormat/>
    <w:pPr>
      <w:tabs>
        <w:tab w:val="center" w:pos="7143" w:leader="none"/>
        <w:tab w:val="right" w:pos="14287" w:leader="none"/>
      </w:tabs>
    </w:pPr>
  </w:style>
  <w:style w:type="paragraph" w:styleId="966">
    <w:name w:val="envelope return"/>
    <w:basedOn w:val="943"/>
    <w:uiPriority w:val="99"/>
    <w:qFormat/>
    <w:rPr>
      <w:rFonts w:ascii="Arial" w:hAnsi="Arial"/>
    </w:rPr>
  </w:style>
  <w:style w:type="paragraph" w:styleId="967">
    <w:name w:val="Header"/>
    <w:basedOn w:val="943"/>
    <w:link w:val="1019"/>
    <w:uiPriority w:val="99"/>
    <w:unhideWhenUsed/>
    <w:qFormat/>
    <w:pPr>
      <w:tabs>
        <w:tab w:val="center" w:pos="7143" w:leader="none"/>
        <w:tab w:val="right" w:pos="14287" w:leader="none"/>
      </w:tabs>
    </w:pPr>
  </w:style>
  <w:style w:type="paragraph" w:styleId="968">
    <w:name w:val="toc 1"/>
    <w:basedOn w:val="943"/>
    <w:next w:val="943"/>
    <w:uiPriority w:val="39"/>
    <w:unhideWhenUsed/>
    <w:qFormat/>
    <w:pPr>
      <w:spacing w:after="57"/>
    </w:pPr>
  </w:style>
  <w:style w:type="paragraph" w:styleId="969">
    <w:name w:val="toc 4"/>
    <w:basedOn w:val="943"/>
    <w:next w:val="943"/>
    <w:uiPriority w:val="39"/>
    <w:unhideWhenUsed/>
    <w:qFormat/>
    <w:pPr>
      <w:ind w:left="850"/>
      <w:spacing w:after="57"/>
    </w:pPr>
  </w:style>
  <w:style w:type="paragraph" w:styleId="970">
    <w:name w:val="Subtitle"/>
    <w:basedOn w:val="943"/>
    <w:next w:val="943"/>
    <w:link w:val="1014"/>
    <w:uiPriority w:val="11"/>
    <w:qFormat/>
    <w:pPr>
      <w:spacing w:before="200" w:after="200"/>
    </w:pPr>
    <w:rPr>
      <w:sz w:val="24"/>
      <w:szCs w:val="24"/>
    </w:rPr>
  </w:style>
  <w:style w:type="paragraph" w:styleId="971">
    <w:name w:val="footnote text"/>
    <w:basedOn w:val="943"/>
    <w:link w:val="1147"/>
    <w:uiPriority w:val="99"/>
    <w:semiHidden/>
    <w:unhideWhenUsed/>
    <w:qFormat/>
    <w:pPr>
      <w:spacing w:after="40"/>
    </w:pPr>
    <w:rPr>
      <w:sz w:val="18"/>
    </w:rPr>
  </w:style>
  <w:style w:type="paragraph" w:styleId="972">
    <w:name w:val="toc 6"/>
    <w:basedOn w:val="943"/>
    <w:next w:val="943"/>
    <w:uiPriority w:val="39"/>
    <w:unhideWhenUsed/>
    <w:qFormat/>
    <w:pPr>
      <w:ind w:left="1417"/>
      <w:spacing w:after="57"/>
    </w:pPr>
  </w:style>
  <w:style w:type="paragraph" w:styleId="973">
    <w:name w:val="table of figures"/>
    <w:basedOn w:val="943"/>
    <w:next w:val="943"/>
    <w:uiPriority w:val="99"/>
    <w:unhideWhenUsed/>
    <w:qFormat/>
  </w:style>
  <w:style w:type="paragraph" w:styleId="974">
    <w:name w:val="toc 2"/>
    <w:basedOn w:val="943"/>
    <w:next w:val="943"/>
    <w:uiPriority w:val="39"/>
    <w:unhideWhenUsed/>
    <w:qFormat/>
    <w:pPr>
      <w:ind w:left="283"/>
      <w:spacing w:after="57"/>
    </w:pPr>
  </w:style>
  <w:style w:type="paragraph" w:styleId="975">
    <w:name w:val="toc 9"/>
    <w:basedOn w:val="943"/>
    <w:next w:val="943"/>
    <w:uiPriority w:val="39"/>
    <w:unhideWhenUsed/>
    <w:qFormat/>
    <w:pPr>
      <w:ind w:left="2268"/>
      <w:spacing w:after="57"/>
    </w:pPr>
  </w:style>
  <w:style w:type="paragraph" w:styleId="976">
    <w:name w:val="Normal (Web)"/>
    <w:basedOn w:val="943"/>
    <w:link w:val="1589"/>
    <w:uiPriority w:val="99"/>
    <w:qFormat/>
    <w:pPr>
      <w:jc w:val="left"/>
      <w:spacing w:before="100" w:beforeAutospacing="1" w:after="100" w:afterAutospacing="1"/>
      <w:widowControl/>
    </w:pPr>
    <w:rPr>
      <w:rFonts w:ascii="宋体" w:hAnsi="宋体"/>
      <w:sz w:val="24"/>
    </w:rPr>
  </w:style>
  <w:style w:type="paragraph" w:styleId="977">
    <w:name w:val="Title"/>
    <w:basedOn w:val="943"/>
    <w:next w:val="943"/>
    <w:link w:val="1013"/>
    <w:uiPriority w:val="10"/>
    <w:qFormat/>
    <w:pPr>
      <w:contextualSpacing/>
      <w:spacing w:before="300" w:after="200"/>
    </w:pPr>
    <w:rPr>
      <w:sz w:val="48"/>
      <w:szCs w:val="48"/>
    </w:rPr>
  </w:style>
  <w:style w:type="paragraph" w:styleId="978">
    <w:name w:val="Body Text First Indent"/>
    <w:basedOn w:val="959"/>
    <w:next w:val="943"/>
    <w:uiPriority w:val="0"/>
    <w:qFormat/>
    <w:pPr>
      <w:ind w:left="420" w:firstLine="3748"/>
    </w:pPr>
    <w:rPr>
      <w:rFonts w:ascii="Calibri" w:hAnsi="Calibri"/>
    </w:rPr>
  </w:style>
  <w:style w:type="paragraph" w:styleId="979">
    <w:name w:val="Body Text First Indent 2"/>
    <w:basedOn w:val="960"/>
    <w:next w:val="978"/>
    <w:uiPriority w:val="99"/>
    <w:unhideWhenUsed/>
    <w:qFormat/>
    <w:pPr>
      <w:ind w:firstLine="420"/>
    </w:pPr>
  </w:style>
  <w:style w:type="table" w:styleId="9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1">
    <w:name w:val="endnote reference"/>
    <w:uiPriority w:val="99"/>
    <w:semiHidden/>
    <w:unhideWhenUsed/>
    <w:qFormat/>
    <w:rPr>
      <w:vertAlign w:val="superscript"/>
    </w:rPr>
  </w:style>
  <w:style w:type="character" w:styleId="982">
    <w:name w:val="FollowedHyperlink"/>
    <w:basedOn w:val="953"/>
    <w:uiPriority w:val="99"/>
    <w:semiHidden/>
    <w:unhideWhenUsed/>
    <w:qFormat/>
    <w:rPr>
      <w:color w:val="333333"/>
      <w:u w:val="none"/>
    </w:rPr>
  </w:style>
  <w:style w:type="character" w:styleId="983">
    <w:name w:val="Emphasis"/>
    <w:basedOn w:val="953"/>
    <w:uiPriority w:val="20"/>
    <w:qFormat/>
  </w:style>
  <w:style w:type="character" w:styleId="984">
    <w:name w:val="Hyperlink"/>
    <w:uiPriority w:val="99"/>
    <w:unhideWhenUsed/>
    <w:qFormat/>
    <w:rPr>
      <w:color w:val="0000ff" w:themeColor="hyperlink"/>
      <w:u w:val="single"/>
      <w14:textFill>
        <w14:solidFill>
          <w14:schemeClr w14:val="hlink"/>
        </w14:solidFill>
      </w14:textFill>
    </w:rPr>
  </w:style>
  <w:style w:type="character" w:styleId="985">
    <w:name w:val="footnote reference"/>
    <w:uiPriority w:val="99"/>
    <w:unhideWhenUsed/>
    <w:qFormat/>
    <w:rPr>
      <w:vertAlign w:val="superscript"/>
    </w:rPr>
  </w:style>
  <w:style w:type="character" w:styleId="986" w:customStyle="1">
    <w:name w:val="Heading 1 Char"/>
    <w:basedOn w:val="953"/>
    <w:uiPriority w:val="9"/>
    <w:qFormat/>
    <w:rPr>
      <w:rFonts w:ascii="Arial" w:hAnsi="Arial" w:eastAsia="Arial" w:cs="Arial"/>
      <w:sz w:val="40"/>
      <w:szCs w:val="40"/>
    </w:rPr>
  </w:style>
  <w:style w:type="character" w:styleId="987" w:customStyle="1">
    <w:name w:val="Heading 2 Char"/>
    <w:basedOn w:val="953"/>
    <w:uiPriority w:val="9"/>
    <w:qFormat/>
    <w:rPr>
      <w:rFonts w:ascii="Arial" w:hAnsi="Arial" w:eastAsia="Arial" w:cs="Arial"/>
      <w:sz w:val="34"/>
    </w:rPr>
  </w:style>
  <w:style w:type="character" w:styleId="988" w:customStyle="1">
    <w:name w:val="Heading 3 Char"/>
    <w:basedOn w:val="953"/>
    <w:uiPriority w:val="9"/>
    <w:qFormat/>
    <w:rPr>
      <w:rFonts w:ascii="Arial" w:hAnsi="Arial" w:eastAsia="Arial" w:cs="Arial"/>
      <w:sz w:val="30"/>
      <w:szCs w:val="30"/>
    </w:rPr>
  </w:style>
  <w:style w:type="character" w:styleId="989" w:customStyle="1">
    <w:name w:val="Heading 5 Char"/>
    <w:basedOn w:val="953"/>
    <w:uiPriority w:val="9"/>
    <w:qFormat/>
    <w:rPr>
      <w:rFonts w:ascii="Arial" w:hAnsi="Arial" w:eastAsia="Arial" w:cs="Arial"/>
      <w:b/>
      <w:bCs/>
      <w:sz w:val="24"/>
      <w:szCs w:val="24"/>
    </w:rPr>
  </w:style>
  <w:style w:type="character" w:styleId="990" w:customStyle="1">
    <w:name w:val="Heading 6 Char"/>
    <w:basedOn w:val="953"/>
    <w:uiPriority w:val="9"/>
    <w:qFormat/>
    <w:rPr>
      <w:rFonts w:ascii="Arial" w:hAnsi="Arial" w:eastAsia="Arial" w:cs="Arial"/>
      <w:b/>
      <w:bCs/>
      <w:sz w:val="22"/>
      <w:szCs w:val="22"/>
    </w:rPr>
  </w:style>
  <w:style w:type="character" w:styleId="991" w:customStyle="1">
    <w:name w:val="Heading 7 Char"/>
    <w:basedOn w:val="953"/>
    <w:uiPriority w:val="9"/>
    <w:qFormat/>
    <w:rPr>
      <w:rFonts w:ascii="Arial" w:hAnsi="Arial" w:eastAsia="Arial" w:cs="Arial"/>
      <w:b/>
      <w:bCs/>
      <w:i/>
      <w:iCs/>
      <w:sz w:val="22"/>
      <w:szCs w:val="22"/>
    </w:rPr>
  </w:style>
  <w:style w:type="character" w:styleId="992" w:customStyle="1">
    <w:name w:val="Heading 8 Char"/>
    <w:basedOn w:val="953"/>
    <w:uiPriority w:val="9"/>
    <w:qFormat/>
    <w:rPr>
      <w:rFonts w:ascii="Arial" w:hAnsi="Arial" w:eastAsia="Arial" w:cs="Arial"/>
      <w:i/>
      <w:iCs/>
      <w:sz w:val="22"/>
      <w:szCs w:val="22"/>
    </w:rPr>
  </w:style>
  <w:style w:type="character" w:styleId="993" w:customStyle="1">
    <w:name w:val="Heading 9 Char"/>
    <w:basedOn w:val="953"/>
    <w:uiPriority w:val="9"/>
    <w:qFormat/>
    <w:rPr>
      <w:rFonts w:ascii="Arial" w:hAnsi="Arial" w:eastAsia="Arial" w:cs="Arial"/>
      <w:i/>
      <w:iCs/>
      <w:sz w:val="21"/>
      <w:szCs w:val="21"/>
    </w:rPr>
  </w:style>
  <w:style w:type="character" w:styleId="994" w:customStyle="1">
    <w:name w:val="Title Char"/>
    <w:basedOn w:val="953"/>
    <w:uiPriority w:val="10"/>
    <w:qFormat/>
    <w:rPr>
      <w:sz w:val="48"/>
      <w:szCs w:val="48"/>
    </w:rPr>
  </w:style>
  <w:style w:type="character" w:styleId="995" w:customStyle="1">
    <w:name w:val="Subtitle Char"/>
    <w:basedOn w:val="953"/>
    <w:uiPriority w:val="11"/>
    <w:qFormat/>
    <w:rPr>
      <w:sz w:val="24"/>
      <w:szCs w:val="24"/>
    </w:rPr>
  </w:style>
  <w:style w:type="character" w:styleId="996" w:customStyle="1">
    <w:name w:val="Quote Char"/>
    <w:uiPriority w:val="29"/>
    <w:qFormat/>
    <w:rPr>
      <w:i/>
    </w:rPr>
  </w:style>
  <w:style w:type="character" w:styleId="997" w:customStyle="1">
    <w:name w:val="Intense Quote Char"/>
    <w:uiPriority w:val="30"/>
    <w:qFormat/>
    <w:rPr>
      <w:i/>
    </w:rPr>
  </w:style>
  <w:style w:type="character" w:styleId="998" w:customStyle="1">
    <w:name w:val="Header Char"/>
    <w:basedOn w:val="953"/>
    <w:uiPriority w:val="99"/>
    <w:qFormat/>
  </w:style>
  <w:style w:type="character" w:styleId="999" w:customStyle="1">
    <w:name w:val="Caption Char"/>
    <w:uiPriority w:val="99"/>
    <w:qFormat/>
  </w:style>
  <w:style w:type="character" w:styleId="1000" w:customStyle="1">
    <w:name w:val="Footnote Text Char"/>
    <w:uiPriority w:val="99"/>
    <w:qFormat/>
    <w:rPr>
      <w:sz w:val="18"/>
    </w:rPr>
  </w:style>
  <w:style w:type="character" w:styleId="1001" w:customStyle="1">
    <w:name w:val="Endnote Text Char"/>
    <w:uiPriority w:val="99"/>
    <w:qFormat/>
    <w:rPr>
      <w:sz w:val="20"/>
    </w:rPr>
  </w:style>
  <w:style w:type="paragraph" w:styleId="1002" w:customStyle="1">
    <w:name w:val="TOC 标题1"/>
    <w:uiPriority w:val="39"/>
    <w:unhideWhenUsed/>
    <w:qFormat/>
    <w:rPr>
      <w:rFonts w:ascii="Times New Roman" w:hAnsi="Times New Roman" w:eastAsia="宋体" w:cs="Times New Roman"/>
      <w:lang w:val="en-US" w:eastAsia="zh-CN" w:bidi="ar-SA"/>
    </w:rPr>
  </w:style>
  <w:style w:type="paragraph" w:styleId="1003" w:customStyle="1">
    <w:name w:val="首行缩进"/>
    <w:basedOn w:val="943"/>
    <w:next w:val="943"/>
    <w:uiPriority w:val="0"/>
    <w:qFormat/>
    <w:pPr>
      <w:ind w:firstLine="480"/>
      <w:jc w:val="left"/>
      <w:spacing w:line="360" w:lineRule="auto"/>
    </w:pPr>
    <w:rPr>
      <w:rFonts w:ascii="宋体" w:hAnsi="宋体"/>
      <w:sz w:val="24"/>
    </w:rPr>
  </w:style>
  <w:style w:type="character" w:styleId="1004" w:customStyle="1">
    <w:name w:val="标题 1 字符2"/>
    <w:link w:val="944"/>
    <w:uiPriority w:val="9"/>
    <w:qFormat/>
    <w:rPr>
      <w:rFonts w:ascii="Arial" w:hAnsi="Arial" w:eastAsia="Arial" w:cs="Arial"/>
      <w:sz w:val="40"/>
      <w:szCs w:val="40"/>
    </w:rPr>
  </w:style>
  <w:style w:type="character" w:styleId="1005" w:customStyle="1">
    <w:name w:val="标题 2 字符1"/>
    <w:link w:val="945"/>
    <w:uiPriority w:val="9"/>
    <w:qFormat/>
    <w:rPr>
      <w:rFonts w:ascii="Arial" w:hAnsi="Arial" w:eastAsia="Arial" w:cs="Arial"/>
      <w:sz w:val="34"/>
    </w:rPr>
  </w:style>
  <w:style w:type="character" w:styleId="1006" w:customStyle="1">
    <w:name w:val="标题 3 字符1"/>
    <w:link w:val="946"/>
    <w:uiPriority w:val="9"/>
    <w:qFormat/>
    <w:rPr>
      <w:rFonts w:ascii="Arial" w:hAnsi="Arial" w:eastAsia="Arial" w:cs="Arial"/>
      <w:sz w:val="30"/>
      <w:szCs w:val="30"/>
    </w:rPr>
  </w:style>
  <w:style w:type="character" w:styleId="1007" w:customStyle="1">
    <w:name w:val="Heading 4 Char"/>
    <w:uiPriority w:val="9"/>
    <w:qFormat/>
    <w:rPr>
      <w:rFonts w:ascii="Arial" w:hAnsi="Arial" w:eastAsia="Arial" w:cs="Arial"/>
      <w:b/>
      <w:bCs/>
      <w:sz w:val="26"/>
      <w:szCs w:val="26"/>
    </w:rPr>
  </w:style>
  <w:style w:type="character" w:styleId="1008" w:customStyle="1">
    <w:name w:val="标题 5 字符1"/>
    <w:link w:val="948"/>
    <w:uiPriority w:val="9"/>
    <w:qFormat/>
    <w:rPr>
      <w:rFonts w:ascii="Arial" w:hAnsi="Arial" w:eastAsia="Arial" w:cs="Arial"/>
      <w:b/>
      <w:bCs/>
      <w:sz w:val="24"/>
      <w:szCs w:val="24"/>
    </w:rPr>
  </w:style>
  <w:style w:type="character" w:styleId="1009" w:customStyle="1">
    <w:name w:val="标题 6 字符1"/>
    <w:link w:val="949"/>
    <w:uiPriority w:val="9"/>
    <w:qFormat/>
    <w:rPr>
      <w:rFonts w:ascii="Arial" w:hAnsi="Arial" w:eastAsia="Arial" w:cs="Arial"/>
      <w:b/>
      <w:bCs/>
      <w:sz w:val="22"/>
      <w:szCs w:val="22"/>
    </w:rPr>
  </w:style>
  <w:style w:type="character" w:styleId="1010" w:customStyle="1">
    <w:name w:val="标题 7 字符1"/>
    <w:link w:val="950"/>
    <w:uiPriority w:val="9"/>
    <w:qFormat/>
    <w:rPr>
      <w:rFonts w:ascii="Arial" w:hAnsi="Arial" w:eastAsia="Arial" w:cs="Arial"/>
      <w:b/>
      <w:bCs/>
      <w:i/>
      <w:iCs/>
      <w:sz w:val="22"/>
      <w:szCs w:val="22"/>
    </w:rPr>
  </w:style>
  <w:style w:type="character" w:styleId="1011" w:customStyle="1">
    <w:name w:val="标题 8 字符1"/>
    <w:link w:val="951"/>
    <w:uiPriority w:val="9"/>
    <w:qFormat/>
    <w:rPr>
      <w:rFonts w:ascii="Arial" w:hAnsi="Arial" w:eastAsia="Arial" w:cs="Arial"/>
      <w:i/>
      <w:iCs/>
      <w:sz w:val="22"/>
      <w:szCs w:val="22"/>
    </w:rPr>
  </w:style>
  <w:style w:type="character" w:styleId="1012" w:customStyle="1">
    <w:name w:val="标题 9 字符1"/>
    <w:link w:val="952"/>
    <w:uiPriority w:val="9"/>
    <w:qFormat/>
    <w:rPr>
      <w:rFonts w:ascii="Arial" w:hAnsi="Arial" w:eastAsia="Arial" w:cs="Arial"/>
      <w:i/>
      <w:iCs/>
      <w:sz w:val="21"/>
      <w:szCs w:val="21"/>
    </w:rPr>
  </w:style>
  <w:style w:type="character" w:styleId="1013" w:customStyle="1">
    <w:name w:val="标题 字符2"/>
    <w:link w:val="977"/>
    <w:uiPriority w:val="10"/>
    <w:qFormat/>
    <w:rPr>
      <w:sz w:val="48"/>
      <w:szCs w:val="48"/>
    </w:rPr>
  </w:style>
  <w:style w:type="character" w:styleId="1014" w:customStyle="1">
    <w:name w:val="副标题 字符2"/>
    <w:link w:val="970"/>
    <w:uiPriority w:val="11"/>
    <w:qFormat/>
    <w:rPr>
      <w:sz w:val="24"/>
      <w:szCs w:val="24"/>
    </w:rPr>
  </w:style>
  <w:style w:type="paragraph" w:styleId="1015">
    <w:name w:val="Quote"/>
    <w:basedOn w:val="943"/>
    <w:next w:val="943"/>
    <w:link w:val="1016"/>
    <w:uiPriority w:val="29"/>
    <w:qFormat/>
    <w:pPr>
      <w:ind w:left="720" w:right="720"/>
    </w:pPr>
    <w:rPr>
      <w:i/>
    </w:rPr>
  </w:style>
  <w:style w:type="character" w:styleId="1016" w:customStyle="1">
    <w:name w:val="引用 字符"/>
    <w:link w:val="1015"/>
    <w:uiPriority w:val="29"/>
    <w:qFormat/>
    <w:rPr>
      <w:i/>
    </w:rPr>
  </w:style>
  <w:style w:type="paragraph" w:styleId="1017">
    <w:name w:val="Intense Quote"/>
    <w:basedOn w:val="943"/>
    <w:next w:val="943"/>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明显引用 字符"/>
    <w:link w:val="1017"/>
    <w:uiPriority w:val="30"/>
    <w:qFormat/>
    <w:rPr>
      <w:i/>
    </w:rPr>
  </w:style>
  <w:style w:type="character" w:styleId="1019" w:customStyle="1">
    <w:name w:val="页眉 字符1"/>
    <w:link w:val="967"/>
    <w:uiPriority w:val="99"/>
    <w:qFormat/>
  </w:style>
  <w:style w:type="character" w:styleId="1020" w:customStyle="1">
    <w:name w:val="Footer Char"/>
    <w:uiPriority w:val="99"/>
    <w:qFormat/>
  </w:style>
  <w:style w:type="character" w:styleId="1021" w:customStyle="1">
    <w:name w:val="页脚 字符1"/>
    <w:link w:val="965"/>
    <w:uiPriority w:val="99"/>
    <w:qFormat/>
  </w:style>
  <w:style w:type="table" w:styleId="10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7" w:customStyle="1">
    <w:name w:val="脚注文本 字符"/>
    <w:link w:val="971"/>
    <w:uiPriority w:val="99"/>
    <w:qFormat/>
    <w:rPr>
      <w:sz w:val="18"/>
    </w:rPr>
  </w:style>
  <w:style w:type="character" w:styleId="1148" w:customStyle="1">
    <w:name w:val="尾注文本 字符"/>
    <w:link w:val="964"/>
    <w:uiPriority w:val="99"/>
    <w:qFormat/>
    <w:rPr>
      <w:sz w:val="20"/>
    </w:rPr>
  </w:style>
  <w:style w:type="paragraph" w:styleId="1149" w:customStyle="1">
    <w:name w:val="TOC 标题11"/>
    <w:uiPriority w:val="39"/>
    <w:unhideWhenUsed/>
    <w:qFormat/>
    <w:rPr>
      <w:rFonts w:ascii="Times New Roman" w:hAnsi="Times New Roman" w:eastAsia="宋体" w:cs="Times New Roman"/>
      <w:lang w:val="en-US" w:eastAsia="zh-CN" w:bidi="ar-SA"/>
    </w:rPr>
  </w:style>
  <w:style w:type="paragraph" w:styleId="1150" w:customStyle="1">
    <w:name w:val="标题 11"/>
    <w:basedOn w:val="943"/>
    <w:next w:val="943"/>
    <w:link w:val="1161"/>
    <w:uiPriority w:val="9"/>
    <w:qFormat/>
    <w:pPr>
      <w:jc w:val="center"/>
      <w:keepNext/>
      <w:outlineLvl w:val="0"/>
    </w:pPr>
    <w:rPr>
      <w:rFonts w:ascii="楷体_GB2312" w:hAnsi="宋体" w:eastAsia="楷体_GB2312"/>
      <w:sz w:val="28"/>
      <w:szCs w:val="28"/>
    </w:rPr>
  </w:style>
  <w:style w:type="paragraph" w:styleId="1151" w:customStyle="1">
    <w:name w:val="标题 21"/>
    <w:basedOn w:val="943"/>
    <w:link w:val="1162"/>
    <w:uiPriority w:val="0"/>
    <w:qFormat/>
    <w:pPr>
      <w:jc w:val="center"/>
      <w:keepLines/>
      <w:keepNext/>
      <w:spacing w:before="260" w:after="260" w:line="415" w:lineRule="auto"/>
      <w:outlineLvl w:val="1"/>
    </w:pPr>
    <w:rPr>
      <w:rFonts w:ascii="Arial" w:hAnsi="Arial" w:eastAsia="幼圆"/>
      <w:b/>
      <w:bCs/>
      <w:sz w:val="44"/>
      <w:szCs w:val="44"/>
    </w:rPr>
  </w:style>
  <w:style w:type="paragraph" w:styleId="1152" w:customStyle="1">
    <w:name w:val="标题 31"/>
    <w:basedOn w:val="943"/>
    <w:link w:val="1163"/>
    <w:uiPriority w:val="9"/>
    <w:qFormat/>
    <w:pPr>
      <w:keepLines/>
      <w:keepNext/>
      <w:spacing w:before="260" w:after="260" w:line="415" w:lineRule="auto"/>
      <w:outlineLvl w:val="2"/>
    </w:pPr>
    <w:rPr>
      <w:b/>
      <w:bCs/>
      <w:sz w:val="32"/>
      <w:szCs w:val="32"/>
    </w:rPr>
  </w:style>
  <w:style w:type="paragraph" w:styleId="1153" w:customStyle="1">
    <w:name w:val="标题 41"/>
    <w:basedOn w:val="943"/>
    <w:link w:val="1164"/>
    <w:uiPriority w:val="9"/>
    <w:qFormat/>
    <w:pPr>
      <w:keepLines/>
      <w:keepNext/>
      <w:spacing w:before="280" w:after="290" w:line="376" w:lineRule="auto"/>
      <w:outlineLvl w:val="3"/>
    </w:pPr>
    <w:rPr>
      <w:rFonts w:ascii="Arial" w:hAnsi="Arial" w:eastAsia="黑体"/>
      <w:b/>
      <w:bCs/>
      <w:sz w:val="28"/>
      <w:szCs w:val="28"/>
    </w:rPr>
  </w:style>
  <w:style w:type="paragraph" w:styleId="1154" w:customStyle="1">
    <w:name w:val="标题 51"/>
    <w:basedOn w:val="943"/>
    <w:link w:val="1165"/>
    <w:uiPriority w:val="0"/>
    <w:qFormat/>
    <w:pPr>
      <w:keepNext/>
      <w:outlineLvl w:val="4"/>
    </w:pPr>
    <w:rPr>
      <w:rFonts w:ascii="宋体" w:hAnsi="宋体"/>
      <w:color w:val="000000"/>
      <w:sz w:val="28"/>
      <w:szCs w:val="28"/>
    </w:rPr>
  </w:style>
  <w:style w:type="paragraph" w:styleId="1155" w:customStyle="1">
    <w:name w:val="标题 61"/>
    <w:basedOn w:val="943"/>
    <w:next w:val="943"/>
    <w:link w:val="1166"/>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1156" w:customStyle="1">
    <w:name w:val="标题 71"/>
    <w:basedOn w:val="943"/>
    <w:next w:val="943"/>
    <w:link w:val="1167"/>
    <w:uiPriority w:val="0"/>
    <w:qFormat/>
    <w:pPr>
      <w:numPr>
        <w:ilvl w:val="6"/>
        <w:numId w:val="1"/>
      </w:numPr>
      <w:keepLines/>
      <w:keepNext/>
      <w:spacing w:before="240" w:after="64" w:line="319" w:lineRule="auto"/>
      <w:outlineLvl w:val="6"/>
    </w:pPr>
    <w:rPr>
      <w:b/>
      <w:bCs/>
      <w:sz w:val="24"/>
    </w:rPr>
  </w:style>
  <w:style w:type="paragraph" w:styleId="1157" w:customStyle="1">
    <w:name w:val="标题 81"/>
    <w:basedOn w:val="943"/>
    <w:next w:val="943"/>
    <w:link w:val="1168"/>
    <w:uiPriority w:val="0"/>
    <w:qFormat/>
    <w:pPr>
      <w:numPr>
        <w:ilvl w:val="7"/>
        <w:numId w:val="1"/>
      </w:numPr>
      <w:keepLines/>
      <w:keepNext/>
      <w:spacing w:before="240" w:after="64" w:line="319" w:lineRule="auto"/>
      <w:outlineLvl w:val="7"/>
    </w:pPr>
    <w:rPr>
      <w:rFonts w:ascii="Arial" w:hAnsi="Arial" w:eastAsia="黑体"/>
      <w:sz w:val="24"/>
    </w:rPr>
  </w:style>
  <w:style w:type="paragraph" w:styleId="1158" w:customStyle="1">
    <w:name w:val="标题 91"/>
    <w:basedOn w:val="943"/>
    <w:next w:val="943"/>
    <w:link w:val="1169"/>
    <w:uiPriority w:val="0"/>
    <w:qFormat/>
    <w:pPr>
      <w:numPr>
        <w:ilvl w:val="8"/>
        <w:numId w:val="1"/>
      </w:numPr>
      <w:keepLines/>
      <w:keepNext/>
      <w:spacing w:before="240" w:after="64" w:line="319" w:lineRule="auto"/>
      <w:outlineLvl w:val="8"/>
    </w:pPr>
    <w:rPr>
      <w:rFonts w:ascii="Arial" w:hAnsi="Arial" w:eastAsia="黑体"/>
      <w:szCs w:val="21"/>
    </w:rPr>
  </w:style>
  <w:style w:type="character" w:styleId="1159" w:customStyle="1">
    <w:name w:val="默认段落字体12"/>
    <w:uiPriority w:val="1"/>
    <w:unhideWhenUsed/>
    <w:qFormat/>
  </w:style>
  <w:style w:type="table" w:styleId="1160" w:customStyle="1">
    <w:name w:val="普通表格1"/>
    <w:uiPriority w:val="0"/>
    <w:semiHidden/>
    <w:qFormat/>
    <w:tblPr>
      <w:tblCellMar>
        <w:left w:w="0" w:type="dxa"/>
        <w:top w:w="0" w:type="dxa"/>
        <w:right w:w="0" w:type="dxa"/>
        <w:bottom w:w="0" w:type="dxa"/>
      </w:tblCellMar>
    </w:tblPr>
  </w:style>
  <w:style w:type="character" w:styleId="1161" w:customStyle="1">
    <w:name w:val="标题 1 字符1"/>
    <w:link w:val="1150"/>
    <w:uiPriority w:val="9"/>
    <w:qFormat/>
    <w:rPr>
      <w:rFonts w:ascii="楷体_GB2312" w:hAnsi="宋体" w:eastAsia="楷体_GB2312" w:cs="宋体"/>
      <w:sz w:val="28"/>
      <w:szCs w:val="28"/>
    </w:rPr>
  </w:style>
  <w:style w:type="character" w:styleId="1162" w:customStyle="1">
    <w:name w:val="标题 2 字符"/>
    <w:link w:val="1151"/>
    <w:uiPriority w:val="0"/>
    <w:qFormat/>
    <w:rPr>
      <w:rFonts w:ascii="Arial" w:hAnsi="Arial" w:eastAsia="幼圆" w:cs="Arial"/>
      <w:b/>
      <w:bCs/>
      <w:sz w:val="44"/>
      <w:szCs w:val="44"/>
    </w:rPr>
  </w:style>
  <w:style w:type="character" w:styleId="1163" w:customStyle="1">
    <w:name w:val="标题 3 字符"/>
    <w:link w:val="1152"/>
    <w:uiPriority w:val="9"/>
    <w:qFormat/>
    <w:rPr>
      <w:b/>
      <w:bCs/>
      <w:sz w:val="32"/>
      <w:szCs w:val="32"/>
    </w:rPr>
  </w:style>
  <w:style w:type="character" w:styleId="1164" w:customStyle="1">
    <w:name w:val="标题 4 字符"/>
    <w:link w:val="1153"/>
    <w:uiPriority w:val="9"/>
    <w:qFormat/>
    <w:rPr>
      <w:rFonts w:ascii="Arial" w:hAnsi="Arial" w:eastAsia="黑体" w:cs="Arial"/>
      <w:b/>
      <w:bCs/>
      <w:sz w:val="28"/>
      <w:szCs w:val="28"/>
    </w:rPr>
  </w:style>
  <w:style w:type="character" w:styleId="1165" w:customStyle="1">
    <w:name w:val="标题 5 字符"/>
    <w:link w:val="1154"/>
    <w:uiPriority w:val="0"/>
    <w:qFormat/>
    <w:rPr>
      <w:rFonts w:ascii="宋体" w:hAnsi="宋体" w:cs="宋体"/>
      <w:color w:val="000000"/>
      <w:sz w:val="28"/>
      <w:szCs w:val="28"/>
    </w:rPr>
  </w:style>
  <w:style w:type="character" w:styleId="1166" w:customStyle="1">
    <w:name w:val="标题 6 字符"/>
    <w:link w:val="1155"/>
    <w:uiPriority w:val="0"/>
    <w:qFormat/>
    <w:rPr>
      <w:rFonts w:ascii="Arial" w:hAnsi="Arial" w:eastAsia="黑体"/>
      <w:b/>
      <w:bCs/>
      <w:sz w:val="24"/>
      <w:szCs w:val="24"/>
    </w:rPr>
  </w:style>
  <w:style w:type="character" w:styleId="1167" w:customStyle="1">
    <w:name w:val="标题 7 字符"/>
    <w:link w:val="1156"/>
    <w:uiPriority w:val="0"/>
    <w:qFormat/>
    <w:rPr>
      <w:b/>
      <w:bCs/>
      <w:sz w:val="24"/>
      <w:szCs w:val="24"/>
    </w:rPr>
  </w:style>
  <w:style w:type="character" w:styleId="1168" w:customStyle="1">
    <w:name w:val="标题 8 字符"/>
    <w:link w:val="1157"/>
    <w:uiPriority w:val="0"/>
    <w:qFormat/>
    <w:rPr>
      <w:rFonts w:ascii="Arial" w:hAnsi="Arial" w:eastAsia="黑体"/>
      <w:sz w:val="24"/>
      <w:szCs w:val="24"/>
    </w:rPr>
  </w:style>
  <w:style w:type="character" w:styleId="1169" w:customStyle="1">
    <w:name w:val="标题 9 字符"/>
    <w:link w:val="1158"/>
    <w:uiPriority w:val="0"/>
    <w:qFormat/>
    <w:rPr>
      <w:rFonts w:ascii="Arial" w:hAnsi="Arial" w:eastAsia="黑体"/>
      <w:sz w:val="21"/>
      <w:szCs w:val="21"/>
    </w:rPr>
  </w:style>
  <w:style w:type="paragraph" w:styleId="1170" w:customStyle="1">
    <w:name w:val="列表 311"/>
    <w:basedOn w:val="943"/>
    <w:uiPriority w:val="0"/>
    <w:qFormat/>
    <w:pPr>
      <w:ind w:hanging="200"/>
    </w:pPr>
    <w:rPr>
      <w:szCs w:val="21"/>
    </w:rPr>
  </w:style>
  <w:style w:type="paragraph" w:styleId="1171" w:customStyle="1">
    <w:name w:val="目录 71"/>
    <w:basedOn w:val="943"/>
    <w:next w:val="943"/>
    <w:uiPriority w:val="39"/>
    <w:qFormat/>
    <w:pPr>
      <w:ind w:left="1260"/>
      <w:jc w:val="left"/>
    </w:pPr>
    <w:rPr>
      <w:rFonts w:cs="Calibri"/>
      <w:sz w:val="18"/>
      <w:szCs w:val="18"/>
    </w:rPr>
  </w:style>
  <w:style w:type="paragraph" w:styleId="1172" w:customStyle="1">
    <w:name w:val="列表编号1"/>
    <w:basedOn w:val="943"/>
    <w:uiPriority w:val="0"/>
    <w:qFormat/>
    <w:pPr>
      <w:numPr>
        <w:ilvl w:val="0"/>
        <w:numId w:val="2"/>
      </w:numPr>
      <w:ind w:left="0" w:firstLine="0"/>
      <w:tabs>
        <w:tab w:val="clear" w:pos="420" w:leader="none"/>
      </w:tabs>
    </w:pPr>
    <w:rPr>
      <w:szCs w:val="20"/>
    </w:rPr>
  </w:style>
  <w:style w:type="paragraph" w:styleId="1173" w:customStyle="1">
    <w:name w:val="正文缩进1"/>
    <w:basedOn w:val="943"/>
    <w:next w:val="943"/>
    <w:link w:val="1174"/>
    <w:uiPriority w:val="99"/>
    <w:qFormat/>
    <w:pPr>
      <w:ind w:firstLine="420"/>
    </w:pPr>
    <w:rPr>
      <w:szCs w:val="21"/>
    </w:rPr>
  </w:style>
  <w:style w:type="character" w:styleId="1174" w:customStyle="1">
    <w:name w:val="正文缩进 字符"/>
    <w:link w:val="1173"/>
    <w:uiPriority w:val="99"/>
    <w:qFormat/>
    <w:rPr>
      <w:rFonts w:eastAsia="宋体"/>
      <w:sz w:val="21"/>
      <w:szCs w:val="21"/>
      <w:lang w:val="en-US" w:eastAsia="zh-CN" w:bidi="ar-SA"/>
    </w:rPr>
  </w:style>
  <w:style w:type="paragraph" w:styleId="1175" w:customStyle="1">
    <w:name w:val="文档结构图1"/>
    <w:basedOn w:val="943"/>
    <w:link w:val="1176"/>
    <w:uiPriority w:val="99"/>
    <w:qFormat/>
    <w:pPr>
      <w:shd w:val="clear" w:color="auto" w:fill="000080"/>
    </w:pPr>
    <w:rPr>
      <w:szCs w:val="21"/>
    </w:rPr>
  </w:style>
  <w:style w:type="character" w:styleId="1176" w:customStyle="1">
    <w:name w:val="文档结构图 字符"/>
    <w:link w:val="1175"/>
    <w:uiPriority w:val="99"/>
    <w:qFormat/>
    <w:rPr>
      <w:sz w:val="21"/>
      <w:szCs w:val="21"/>
      <w:shd w:val="clear" w:color="auto" w:fill="000080"/>
    </w:rPr>
  </w:style>
  <w:style w:type="paragraph" w:styleId="1177" w:customStyle="1">
    <w:name w:val="引文目录标题1"/>
    <w:basedOn w:val="943"/>
    <w:next w:val="943"/>
    <w:uiPriority w:val="0"/>
    <w:qFormat/>
    <w:pPr>
      <w:spacing w:before="120"/>
    </w:pPr>
    <w:rPr>
      <w:rFonts w:ascii="Arial" w:hAnsi="Arial" w:cs="Arial"/>
      <w:sz w:val="24"/>
    </w:rPr>
  </w:style>
  <w:style w:type="paragraph" w:styleId="1178" w:customStyle="1">
    <w:name w:val="批注文字1"/>
    <w:basedOn w:val="943"/>
    <w:link w:val="1179"/>
    <w:uiPriority w:val="99"/>
    <w:qFormat/>
    <w:pPr>
      <w:jc w:val="left"/>
    </w:pPr>
    <w:rPr>
      <w:szCs w:val="21"/>
    </w:rPr>
  </w:style>
  <w:style w:type="character" w:styleId="1179" w:customStyle="1">
    <w:name w:val="批注文字 字符"/>
    <w:link w:val="1178"/>
    <w:uiPriority w:val="99"/>
    <w:qFormat/>
    <w:rPr>
      <w:sz w:val="21"/>
      <w:szCs w:val="21"/>
    </w:rPr>
  </w:style>
  <w:style w:type="paragraph" w:styleId="1180" w:customStyle="1">
    <w:name w:val="正文文本 31"/>
    <w:basedOn w:val="943"/>
    <w:uiPriority w:val="0"/>
    <w:qFormat/>
    <w:rPr>
      <w:rFonts w:ascii="仿宋_GB2312" w:hAnsi="宋体" w:eastAsia="仿宋_GB2312" w:cs="宋体"/>
      <w:sz w:val="32"/>
      <w:szCs w:val="32"/>
    </w:rPr>
  </w:style>
  <w:style w:type="paragraph" w:styleId="1181" w:customStyle="1">
    <w:name w:val="正文文本1"/>
    <w:basedOn w:val="943"/>
    <w:link w:val="1182"/>
    <w:uiPriority w:val="99"/>
    <w:qFormat/>
    <w:rPr>
      <w:rFonts w:ascii="楷体_GB2312" w:hAnsi="宋体" w:eastAsia="楷体_GB2312"/>
      <w:sz w:val="28"/>
      <w:szCs w:val="28"/>
    </w:rPr>
  </w:style>
  <w:style w:type="character" w:styleId="1182" w:customStyle="1">
    <w:name w:val="正文文本 字符"/>
    <w:link w:val="1181"/>
    <w:uiPriority w:val="99"/>
    <w:qFormat/>
    <w:rPr>
      <w:rFonts w:ascii="楷体_GB2312" w:hAnsi="宋体" w:eastAsia="楷体_GB2312" w:cs="宋体"/>
      <w:sz w:val="28"/>
      <w:szCs w:val="28"/>
    </w:rPr>
  </w:style>
  <w:style w:type="paragraph" w:styleId="1183" w:customStyle="1">
    <w:name w:val="正文文本缩进11"/>
    <w:basedOn w:val="943"/>
    <w:uiPriority w:val="0"/>
    <w:qFormat/>
    <w:pPr>
      <w:ind w:firstLine="645"/>
    </w:pPr>
    <w:rPr>
      <w:rFonts w:ascii="楷体_GB2312" w:hAnsi="宋体" w:eastAsia="楷体_GB2312" w:cs="宋体"/>
      <w:sz w:val="32"/>
      <w:szCs w:val="32"/>
    </w:rPr>
  </w:style>
  <w:style w:type="paragraph" w:styleId="1184" w:customStyle="1">
    <w:name w:val="列表 211"/>
    <w:basedOn w:val="943"/>
    <w:uiPriority w:val="0"/>
    <w:qFormat/>
    <w:pPr>
      <w:ind w:hanging="200"/>
    </w:pPr>
    <w:rPr>
      <w:szCs w:val="21"/>
    </w:rPr>
  </w:style>
  <w:style w:type="paragraph" w:styleId="1185" w:customStyle="1">
    <w:name w:val="HTML 地址1"/>
    <w:basedOn w:val="943"/>
    <w:uiPriority w:val="0"/>
    <w:qFormat/>
    <w:rPr>
      <w:i/>
      <w:iCs/>
      <w:szCs w:val="21"/>
    </w:rPr>
  </w:style>
  <w:style w:type="paragraph" w:styleId="1186" w:customStyle="1">
    <w:name w:val="目录 51"/>
    <w:basedOn w:val="943"/>
    <w:next w:val="943"/>
    <w:uiPriority w:val="39"/>
    <w:qFormat/>
    <w:pPr>
      <w:ind w:left="840"/>
      <w:jc w:val="left"/>
    </w:pPr>
    <w:rPr>
      <w:rFonts w:cs="Calibri"/>
      <w:sz w:val="18"/>
      <w:szCs w:val="18"/>
    </w:rPr>
  </w:style>
  <w:style w:type="paragraph" w:styleId="1187" w:customStyle="1">
    <w:name w:val="目录 31"/>
    <w:basedOn w:val="943"/>
    <w:next w:val="943"/>
    <w:uiPriority w:val="39"/>
    <w:qFormat/>
    <w:pPr>
      <w:ind w:left="420"/>
      <w:jc w:val="left"/>
    </w:pPr>
    <w:rPr>
      <w:rFonts w:cs="Calibri"/>
      <w:i/>
      <w:iCs/>
      <w:sz w:val="20"/>
      <w:szCs w:val="20"/>
    </w:rPr>
  </w:style>
  <w:style w:type="paragraph" w:styleId="1188" w:customStyle="1">
    <w:name w:val="纯文本1"/>
    <w:basedOn w:val="943"/>
    <w:link w:val="1189"/>
    <w:uiPriority w:val="99"/>
    <w:qFormat/>
    <w:rPr>
      <w:rFonts w:ascii="宋体" w:hAnsi="宋体"/>
      <w:szCs w:val="21"/>
    </w:rPr>
  </w:style>
  <w:style w:type="character" w:styleId="1189" w:customStyle="1">
    <w:name w:val="纯文本 字符"/>
    <w:link w:val="1188"/>
    <w:uiPriority w:val="99"/>
    <w:qFormat/>
    <w:rPr>
      <w:rFonts w:ascii="宋体" w:hAnsi="宋体" w:cs="Courier New"/>
      <w:sz w:val="21"/>
      <w:szCs w:val="21"/>
    </w:rPr>
  </w:style>
  <w:style w:type="paragraph" w:styleId="1190" w:customStyle="1">
    <w:name w:val="目录 81"/>
    <w:basedOn w:val="943"/>
    <w:next w:val="943"/>
    <w:uiPriority w:val="39"/>
    <w:qFormat/>
    <w:pPr>
      <w:ind w:left="1470"/>
      <w:jc w:val="left"/>
    </w:pPr>
    <w:rPr>
      <w:rFonts w:cs="Calibri"/>
      <w:sz w:val="18"/>
      <w:szCs w:val="18"/>
    </w:rPr>
  </w:style>
  <w:style w:type="paragraph" w:styleId="1191" w:customStyle="1">
    <w:name w:val="日期1"/>
    <w:basedOn w:val="943"/>
    <w:next w:val="943"/>
    <w:link w:val="1192"/>
    <w:uiPriority w:val="0"/>
    <w:qFormat/>
    <w:rPr>
      <w:sz w:val="24"/>
    </w:rPr>
  </w:style>
  <w:style w:type="character" w:styleId="1192" w:customStyle="1">
    <w:name w:val="日期 字符"/>
    <w:link w:val="1191"/>
    <w:uiPriority w:val="0"/>
    <w:qFormat/>
    <w:rPr>
      <w:sz w:val="24"/>
      <w:szCs w:val="24"/>
    </w:rPr>
  </w:style>
  <w:style w:type="paragraph" w:styleId="1193" w:customStyle="1">
    <w:name w:val="正文文本缩进 21"/>
    <w:basedOn w:val="943"/>
    <w:uiPriority w:val="0"/>
    <w:qFormat/>
    <w:pPr>
      <w:ind w:left="630" w:firstLine="645"/>
    </w:pPr>
    <w:rPr>
      <w:rFonts w:ascii="Arial" w:hAnsi="Arial" w:eastAsia="仿宋_GB2312" w:cs="Arial"/>
      <w:sz w:val="32"/>
      <w:szCs w:val="32"/>
    </w:rPr>
  </w:style>
  <w:style w:type="paragraph" w:styleId="1194" w:customStyle="1">
    <w:name w:val="批注框文本1"/>
    <w:basedOn w:val="943"/>
    <w:link w:val="1195"/>
    <w:uiPriority w:val="99"/>
    <w:qFormat/>
    <w:rPr>
      <w:sz w:val="18"/>
      <w:szCs w:val="18"/>
    </w:rPr>
  </w:style>
  <w:style w:type="character" w:styleId="1195" w:customStyle="1">
    <w:name w:val="批注框文本 字符"/>
    <w:link w:val="1194"/>
    <w:uiPriority w:val="99"/>
    <w:qFormat/>
    <w:rPr>
      <w:sz w:val="18"/>
      <w:szCs w:val="18"/>
    </w:rPr>
  </w:style>
  <w:style w:type="paragraph" w:styleId="1196" w:customStyle="1">
    <w:name w:val="页脚1"/>
    <w:basedOn w:val="943"/>
    <w:link w:val="1197"/>
    <w:uiPriority w:val="99"/>
    <w:qFormat/>
    <w:pPr>
      <w:jc w:val="left"/>
      <w:tabs>
        <w:tab w:val="center" w:pos="4153" w:leader="none"/>
        <w:tab w:val="right" w:pos="8306" w:leader="none"/>
      </w:tabs>
    </w:pPr>
    <w:rPr>
      <w:sz w:val="18"/>
      <w:szCs w:val="18"/>
    </w:rPr>
  </w:style>
  <w:style w:type="character" w:styleId="1197" w:customStyle="1">
    <w:name w:val="页脚 字符"/>
    <w:link w:val="1196"/>
    <w:uiPriority w:val="99"/>
    <w:qFormat/>
    <w:rPr>
      <w:sz w:val="18"/>
      <w:szCs w:val="18"/>
    </w:rPr>
  </w:style>
  <w:style w:type="paragraph" w:styleId="1198" w:customStyle="1">
    <w:name w:val="页眉1"/>
    <w:basedOn w:val="943"/>
    <w:link w:val="1199"/>
    <w:uiPriority w:val="99"/>
    <w:qFormat/>
    <w:pPr>
      <w:jc w:val="center"/>
      <w:tabs>
        <w:tab w:val="center" w:pos="4153" w:leader="none"/>
        <w:tab w:val="right" w:pos="8306" w:leader="none"/>
      </w:tabs>
      <w:pBdr>
        <w:bottom w:val="single" w:color="000000" w:sz="6" w:space="1"/>
      </w:pBdr>
    </w:pPr>
    <w:rPr>
      <w:sz w:val="18"/>
      <w:szCs w:val="18"/>
    </w:rPr>
  </w:style>
  <w:style w:type="character" w:styleId="1199" w:customStyle="1">
    <w:name w:val="页眉 字符"/>
    <w:link w:val="1198"/>
    <w:uiPriority w:val="99"/>
    <w:qFormat/>
    <w:rPr>
      <w:sz w:val="18"/>
      <w:szCs w:val="18"/>
    </w:rPr>
  </w:style>
  <w:style w:type="paragraph" w:styleId="1200" w:customStyle="1">
    <w:name w:val="目录 11"/>
    <w:basedOn w:val="943"/>
    <w:next w:val="943"/>
    <w:uiPriority w:val="39"/>
    <w:qFormat/>
    <w:pPr>
      <w:jc w:val="left"/>
      <w:spacing w:before="120" w:after="120"/>
    </w:pPr>
    <w:rPr>
      <w:rFonts w:cs="Calibri"/>
      <w:b/>
      <w:bCs/>
      <w:caps/>
      <w:sz w:val="20"/>
      <w:szCs w:val="20"/>
    </w:rPr>
  </w:style>
  <w:style w:type="paragraph" w:styleId="1201" w:customStyle="1">
    <w:name w:val="目录 41"/>
    <w:basedOn w:val="943"/>
    <w:next w:val="943"/>
    <w:uiPriority w:val="39"/>
    <w:qFormat/>
    <w:pPr>
      <w:ind w:left="630"/>
      <w:jc w:val="left"/>
    </w:pPr>
    <w:rPr>
      <w:rFonts w:cs="Calibri"/>
      <w:sz w:val="18"/>
      <w:szCs w:val="18"/>
    </w:rPr>
  </w:style>
  <w:style w:type="paragraph" w:styleId="1202" w:customStyle="1">
    <w:name w:val="副标题1"/>
    <w:basedOn w:val="943"/>
    <w:next w:val="943"/>
    <w:link w:val="120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203" w:customStyle="1">
    <w:name w:val="副标题 字符"/>
    <w:link w:val="1202"/>
    <w:uiPriority w:val="0"/>
    <w:qFormat/>
    <w:rPr>
      <w:rFonts w:ascii="Cambria" w:hAnsi="Cambria"/>
      <w:b/>
      <w:bCs/>
      <w:sz w:val="32"/>
      <w:szCs w:val="32"/>
    </w:rPr>
  </w:style>
  <w:style w:type="paragraph" w:styleId="1204" w:customStyle="1">
    <w:name w:val="列表1"/>
    <w:basedOn w:val="943"/>
    <w:uiPriority w:val="99"/>
    <w:qFormat/>
    <w:pPr>
      <w:ind w:left="200" w:hanging="200"/>
    </w:pPr>
    <w:rPr>
      <w:szCs w:val="21"/>
    </w:rPr>
  </w:style>
  <w:style w:type="paragraph" w:styleId="1205" w:customStyle="1">
    <w:name w:val="脚注文本1"/>
    <w:basedOn w:val="943"/>
    <w:uiPriority w:val="0"/>
    <w:qFormat/>
    <w:pPr>
      <w:jc w:val="left"/>
      <w:widowControl/>
    </w:pPr>
    <w:rPr>
      <w:sz w:val="20"/>
      <w:szCs w:val="20"/>
    </w:rPr>
  </w:style>
  <w:style w:type="paragraph" w:styleId="1206" w:customStyle="1">
    <w:name w:val="目录 61"/>
    <w:basedOn w:val="943"/>
    <w:next w:val="943"/>
    <w:uiPriority w:val="39"/>
    <w:qFormat/>
    <w:pPr>
      <w:ind w:left="1050"/>
      <w:jc w:val="left"/>
    </w:pPr>
    <w:rPr>
      <w:rFonts w:cs="Calibri"/>
      <w:sz w:val="18"/>
      <w:szCs w:val="18"/>
    </w:rPr>
  </w:style>
  <w:style w:type="paragraph" w:styleId="1207" w:customStyle="1">
    <w:name w:val="正文文本缩进 31"/>
    <w:basedOn w:val="943"/>
    <w:uiPriority w:val="0"/>
    <w:qFormat/>
    <w:pPr>
      <w:ind w:left="645" w:firstLine="645"/>
    </w:pPr>
    <w:rPr>
      <w:rFonts w:ascii="Arial" w:hAnsi="Arial" w:eastAsia="仿宋_GB2312" w:cs="Arial"/>
      <w:color w:val="ffff00"/>
      <w:sz w:val="32"/>
      <w:szCs w:val="32"/>
    </w:rPr>
  </w:style>
  <w:style w:type="paragraph" w:styleId="1208" w:customStyle="1">
    <w:name w:val="图表目录1"/>
    <w:basedOn w:val="943"/>
    <w:next w:val="943"/>
    <w:uiPriority w:val="0"/>
    <w:qFormat/>
    <w:pPr>
      <w:ind w:left="840" w:hanging="420"/>
    </w:pPr>
    <w:rPr>
      <w:szCs w:val="21"/>
    </w:rPr>
  </w:style>
  <w:style w:type="paragraph" w:styleId="1209" w:customStyle="1">
    <w:name w:val="目录 21"/>
    <w:basedOn w:val="943"/>
    <w:next w:val="943"/>
    <w:uiPriority w:val="39"/>
    <w:qFormat/>
    <w:pPr>
      <w:ind w:left="210"/>
      <w:jc w:val="left"/>
    </w:pPr>
    <w:rPr>
      <w:rFonts w:cs="Calibri"/>
      <w:smallCaps/>
      <w:sz w:val="20"/>
      <w:szCs w:val="20"/>
    </w:rPr>
  </w:style>
  <w:style w:type="paragraph" w:styleId="1210" w:customStyle="1">
    <w:name w:val="目录 91"/>
    <w:basedOn w:val="943"/>
    <w:next w:val="943"/>
    <w:uiPriority w:val="39"/>
    <w:qFormat/>
    <w:pPr>
      <w:ind w:left="1680"/>
      <w:jc w:val="left"/>
    </w:pPr>
    <w:rPr>
      <w:rFonts w:cs="Calibri"/>
      <w:sz w:val="18"/>
      <w:szCs w:val="18"/>
    </w:rPr>
  </w:style>
  <w:style w:type="paragraph" w:styleId="1211" w:customStyle="1">
    <w:name w:val="正文文本 21"/>
    <w:basedOn w:val="943"/>
    <w:uiPriority w:val="0"/>
    <w:qFormat/>
    <w:pPr>
      <w:jc w:val="center"/>
      <w:widowControl/>
    </w:pPr>
    <w:rPr>
      <w:rFonts w:ascii="楷体_GB2312" w:hAnsi="宋体" w:eastAsia="楷体_GB2312" w:cs="宋体"/>
      <w:sz w:val="28"/>
      <w:szCs w:val="28"/>
    </w:rPr>
  </w:style>
  <w:style w:type="paragraph" w:styleId="1212" w:customStyle="1">
    <w:name w:val="列表 41"/>
    <w:basedOn w:val="943"/>
    <w:uiPriority w:val="0"/>
    <w:qFormat/>
    <w:pPr>
      <w:ind w:left="100" w:hanging="200"/>
    </w:pPr>
    <w:rPr>
      <w:szCs w:val="21"/>
    </w:rPr>
  </w:style>
  <w:style w:type="paragraph" w:styleId="1213" w:customStyle="1">
    <w:name w:val="HTML 预设格式1"/>
    <w:basedOn w:val="9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214" w:customStyle="1">
    <w:name w:val="普通(网站)1"/>
    <w:basedOn w:val="943"/>
    <w:link w:val="1215"/>
    <w:uiPriority w:val="99"/>
    <w:qFormat/>
    <w:pPr>
      <w:jc w:val="left"/>
      <w:spacing w:before="100" w:beforeAutospacing="1" w:after="100" w:afterAutospacing="1"/>
      <w:widowControl/>
    </w:pPr>
    <w:rPr>
      <w:rFonts w:ascii="宋体" w:hAnsi="宋体"/>
      <w:sz w:val="24"/>
    </w:rPr>
  </w:style>
  <w:style w:type="character" w:styleId="1215" w:customStyle="1">
    <w:name w:val="普通(网站) 字符"/>
    <w:link w:val="1214"/>
    <w:uiPriority w:val="99"/>
    <w:qFormat/>
    <w:rPr>
      <w:rFonts w:ascii="宋体" w:hAnsi="宋体" w:cs="宋体"/>
      <w:sz w:val="24"/>
      <w:szCs w:val="24"/>
    </w:rPr>
  </w:style>
  <w:style w:type="paragraph" w:styleId="1216" w:customStyle="1">
    <w:name w:val="列表接续 31"/>
    <w:basedOn w:val="943"/>
    <w:uiPriority w:val="0"/>
    <w:qFormat/>
    <w:pPr>
      <w:ind w:left="1260"/>
      <w:spacing w:after="120"/>
    </w:pPr>
    <w:rPr>
      <w:szCs w:val="20"/>
    </w:rPr>
  </w:style>
  <w:style w:type="paragraph" w:styleId="1217" w:customStyle="1">
    <w:name w:val="索引 11"/>
    <w:basedOn w:val="943"/>
    <w:next w:val="943"/>
    <w:uiPriority w:val="0"/>
    <w:qFormat/>
    <w:pPr>
      <w:spacing w:line="240" w:lineRule="atLeast"/>
    </w:pPr>
    <w:rPr>
      <w:b/>
      <w:bCs/>
      <w:szCs w:val="21"/>
    </w:rPr>
  </w:style>
  <w:style w:type="paragraph" w:styleId="1218" w:customStyle="1">
    <w:name w:val="标题11"/>
    <w:basedOn w:val="943"/>
    <w:link w:val="1219"/>
    <w:uiPriority w:val="0"/>
    <w:qFormat/>
    <w:pPr>
      <w:jc w:val="center"/>
      <w:spacing w:before="240" w:after="60"/>
      <w:outlineLvl w:val="0"/>
    </w:pPr>
    <w:rPr>
      <w:rFonts w:ascii="Arial" w:hAnsi="Arial" w:eastAsia="黑体"/>
      <w:b/>
      <w:bCs/>
      <w:sz w:val="44"/>
      <w:szCs w:val="32"/>
    </w:rPr>
  </w:style>
  <w:style w:type="character" w:styleId="1219" w:customStyle="1">
    <w:name w:val="标题 字符1"/>
    <w:link w:val="1218"/>
    <w:uiPriority w:val="0"/>
    <w:qFormat/>
    <w:rPr>
      <w:rFonts w:ascii="Arial" w:hAnsi="Arial" w:eastAsia="黑体" w:cs="Arial"/>
      <w:b/>
      <w:bCs/>
      <w:sz w:val="44"/>
      <w:szCs w:val="32"/>
    </w:rPr>
  </w:style>
  <w:style w:type="paragraph" w:styleId="1220" w:customStyle="1">
    <w:name w:val="批注主题1"/>
    <w:basedOn w:val="1178"/>
    <w:next w:val="1178"/>
    <w:link w:val="1221"/>
    <w:uiPriority w:val="99"/>
    <w:qFormat/>
    <w:rPr>
      <w:b/>
      <w:bCs/>
    </w:rPr>
  </w:style>
  <w:style w:type="character" w:styleId="1221" w:customStyle="1">
    <w:name w:val="批注主题 字符"/>
    <w:link w:val="1220"/>
    <w:uiPriority w:val="99"/>
    <w:qFormat/>
    <w:rPr>
      <w:b/>
      <w:bCs/>
      <w:sz w:val="21"/>
      <w:szCs w:val="21"/>
    </w:rPr>
  </w:style>
  <w:style w:type="paragraph" w:styleId="1222" w:customStyle="1">
    <w:name w:val="正文首行缩进11"/>
    <w:basedOn w:val="943"/>
    <w:link w:val="1223"/>
    <w:uiPriority w:val="0"/>
    <w:qFormat/>
    <w:pPr>
      <w:ind w:firstLine="200"/>
      <w:spacing w:line="360" w:lineRule="auto"/>
    </w:pPr>
    <w:rPr>
      <w:rFonts w:ascii="仿宋_GB2312" w:hAnsi="宋体" w:eastAsia="仿宋_GB2312"/>
      <w:sz w:val="30"/>
      <w:szCs w:val="30"/>
    </w:rPr>
  </w:style>
  <w:style w:type="character" w:styleId="1223" w:customStyle="1">
    <w:name w:val="正文首行缩进 字符"/>
    <w:link w:val="1222"/>
    <w:uiPriority w:val="0"/>
    <w:qFormat/>
    <w:rPr>
      <w:rFonts w:ascii="仿宋_GB2312" w:hAnsi="宋体" w:eastAsia="仿宋_GB2312" w:cs="宋体"/>
      <w:sz w:val="30"/>
      <w:szCs w:val="30"/>
    </w:rPr>
  </w:style>
  <w:style w:type="paragraph" w:styleId="1224" w:customStyle="1">
    <w:name w:val="正文首行缩进 21"/>
    <w:basedOn w:val="1183"/>
    <w:uiPriority w:val="0"/>
    <w:qFormat/>
    <w:pPr>
      <w:ind w:firstLine="200"/>
      <w:spacing w:line="360" w:lineRule="auto"/>
    </w:pPr>
    <w:rPr>
      <w:rFonts w:ascii="宋体" w:eastAsia="宋体"/>
      <w:sz w:val="21"/>
      <w:szCs w:val="20"/>
    </w:rPr>
  </w:style>
  <w:style w:type="table" w:styleId="1225" w:customStyle="1">
    <w:name w:val="网格型1"/>
    <w:basedOn w:val="1160"/>
    <w:uiPriority w:val="39"/>
    <w:qFormat/>
    <w:rPr>
      <w:rFonts w:ascii="Calibri" w:hAnsi="Calibri"/>
    </w:rPr>
    <w:tblPr/>
  </w:style>
  <w:style w:type="character" w:styleId="1226" w:customStyle="1">
    <w:name w:val="要点1"/>
    <w:uiPriority w:val="22"/>
    <w:qFormat/>
    <w:rPr>
      <w:b/>
      <w:bCs/>
    </w:rPr>
  </w:style>
  <w:style w:type="character" w:styleId="1227" w:customStyle="1">
    <w:name w:val="页码1"/>
    <w:uiPriority w:val="0"/>
    <w:qFormat/>
  </w:style>
  <w:style w:type="character" w:styleId="1228" w:customStyle="1">
    <w:name w:val="已访问的超链接1"/>
    <w:uiPriority w:val="99"/>
    <w:qFormat/>
    <w:rPr>
      <w:color w:val="800080"/>
      <w:u w:val="single"/>
    </w:rPr>
  </w:style>
  <w:style w:type="character" w:styleId="1229" w:customStyle="1">
    <w:name w:val="强调1"/>
    <w:uiPriority w:val="20"/>
    <w:qFormat/>
    <w:rPr>
      <w:i/>
      <w:iCs/>
    </w:rPr>
  </w:style>
  <w:style w:type="character" w:styleId="1230" w:customStyle="1">
    <w:name w:val="超链接1"/>
    <w:uiPriority w:val="99"/>
    <w:qFormat/>
    <w:rPr>
      <w:color w:val="0000ff"/>
      <w:u w:val="single"/>
    </w:rPr>
  </w:style>
  <w:style w:type="character" w:styleId="1231" w:customStyle="1">
    <w:name w:val="批注引用1"/>
    <w:uiPriority w:val="99"/>
    <w:qFormat/>
    <w:rPr>
      <w:sz w:val="21"/>
      <w:szCs w:val="21"/>
    </w:rPr>
  </w:style>
  <w:style w:type="character" w:styleId="1232" w:customStyle="1">
    <w:name w:val="默认段落字体11"/>
    <w:link w:val="943"/>
    <w:uiPriority w:val="1"/>
    <w:unhideWhenUsed/>
    <w:qFormat/>
    <w:rPr>
      <w:rFonts w:ascii="Calibri" w:hAnsi="Calibri"/>
      <w:sz w:val="21"/>
      <w:szCs w:val="22"/>
      <w:lang w:val="en-US" w:eastAsia="zh-CN" w:bidi="ar-SA"/>
    </w:rPr>
  </w:style>
  <w:style w:type="character" w:styleId="1233" w:customStyle="1">
    <w:name w:val="标题 8 Char1"/>
    <w:uiPriority w:val="0"/>
    <w:semiHidden/>
    <w:qFormat/>
    <w:rPr>
      <w:rFonts w:ascii="Cambria" w:hAnsi="Cambria" w:eastAsia="宋体" w:cs="Times New Roman"/>
      <w:sz w:val="24"/>
      <w:szCs w:val="24"/>
    </w:rPr>
  </w:style>
  <w:style w:type="character" w:styleId="1234" w:customStyle="1">
    <w:name w:val="标题 字符"/>
    <w:uiPriority w:val="10"/>
    <w:qFormat/>
    <w:rPr>
      <w:rFonts w:ascii="Cambria" w:hAnsi="Cambria" w:eastAsia="宋体" w:cs="Times New Roman"/>
      <w:b/>
      <w:bCs/>
      <w:sz w:val="32"/>
      <w:szCs w:val="32"/>
    </w:rPr>
  </w:style>
  <w:style w:type="character" w:styleId="1235" w:customStyle="1">
    <w:name w:val="font61"/>
    <w:uiPriority w:val="0"/>
    <w:qFormat/>
    <w:rPr>
      <w:rFonts w:hint="eastAsia" w:ascii="宋体" w:hAnsi="宋体" w:eastAsia="宋体" w:cs="宋体"/>
      <w:i/>
      <w:color w:val="000000"/>
      <w:sz w:val="20"/>
      <w:szCs w:val="20"/>
      <w:u w:val="single"/>
    </w:rPr>
  </w:style>
  <w:style w:type="character" w:styleId="1236" w:customStyle="1">
    <w:name w:val="font71"/>
    <w:uiPriority w:val="0"/>
    <w:qFormat/>
    <w:rPr>
      <w:rFonts w:hint="eastAsia" w:ascii="宋体" w:hAnsi="宋体" w:eastAsia="宋体" w:cs="宋体"/>
      <w:color w:val="000000"/>
      <w:sz w:val="20"/>
      <w:szCs w:val="20"/>
      <w:u w:val="none"/>
    </w:rPr>
  </w:style>
  <w:style w:type="character" w:styleId="1237" w:customStyle="1">
    <w:name w:val="副标题 Char1"/>
    <w:uiPriority w:val="11"/>
    <w:qFormat/>
    <w:rPr>
      <w:rFonts w:ascii="Cambria" w:hAnsi="Cambria" w:cs="Times New Roman"/>
      <w:b/>
      <w:bCs/>
      <w:sz w:val="32"/>
      <w:szCs w:val="32"/>
    </w:rPr>
  </w:style>
  <w:style w:type="character" w:styleId="1238" w:customStyle="1">
    <w:name w:val="标题 5 Char"/>
    <w:uiPriority w:val="0"/>
    <w:qFormat/>
    <w:rPr>
      <w:b/>
      <w:bCs/>
      <w:sz w:val="28"/>
      <w:szCs w:val="28"/>
    </w:rPr>
  </w:style>
  <w:style w:type="character" w:styleId="1239" w:customStyle="1">
    <w:name w:val="正文文本 Char"/>
    <w:uiPriority w:val="0"/>
    <w:qFormat/>
    <w:rPr>
      <w:rFonts w:ascii="Calibri" w:hAnsi="Calibri" w:eastAsia="宋体" w:cs="Times New Roman"/>
    </w:rPr>
  </w:style>
  <w:style w:type="character" w:styleId="1240" w:customStyle="1">
    <w:name w:val="Item List in Table Char Char"/>
    <w:link w:val="1241"/>
    <w:uiPriority w:val="99"/>
    <w:qFormat/>
    <w:rPr>
      <w:rFonts w:ascii="Arial" w:hAnsi="Arial"/>
      <w:sz w:val="18"/>
      <w:szCs w:val="22"/>
      <w:lang w:val="en-US" w:eastAsia="zh-CN" w:bidi="ar-SA"/>
    </w:rPr>
  </w:style>
  <w:style w:type="paragraph" w:styleId="1241" w:customStyle="1">
    <w:name w:val="Item List in Table"/>
    <w:link w:val="1240"/>
    <w:uiPriority w:val="99"/>
    <w:qFormat/>
    <w:pPr>
      <w:numPr>
        <w:ilvl w:val="0"/>
        <w:numId w:val="3"/>
      </w:numPr>
      <w:jc w:val="both"/>
      <w:spacing w:before="40" w:after="40"/>
    </w:pPr>
    <w:rPr>
      <w:rFonts w:ascii="Arial" w:hAnsi="Arial" w:eastAsia="宋体" w:cs="Times New Roman"/>
      <w:sz w:val="18"/>
      <w:szCs w:val="22"/>
      <w:lang w:val="en-US" w:eastAsia="zh-CN" w:bidi="ar-SA"/>
    </w:rPr>
  </w:style>
  <w:style w:type="character" w:styleId="1242" w:customStyle="1">
    <w:name w:val="标题 9 Char1"/>
    <w:uiPriority w:val="0"/>
    <w:semiHidden/>
    <w:qFormat/>
    <w:rPr>
      <w:rFonts w:ascii="Cambria" w:hAnsi="Cambria" w:eastAsia="宋体" w:cs="Times New Roman"/>
      <w:sz w:val="21"/>
      <w:szCs w:val="21"/>
    </w:rPr>
  </w:style>
  <w:style w:type="character" w:styleId="1243" w:customStyle="1">
    <w:name w:val="副标题 字符1"/>
    <w:uiPriority w:val="11"/>
    <w:qFormat/>
    <w:rPr>
      <w:b/>
      <w:bCs/>
      <w:sz w:val="32"/>
      <w:szCs w:val="32"/>
    </w:rPr>
  </w:style>
  <w:style w:type="character" w:styleId="1244" w:customStyle="1">
    <w:name w:val="font91"/>
    <w:uiPriority w:val="0"/>
    <w:qFormat/>
    <w:rPr>
      <w:rFonts w:ascii="Times New Roman" w:hAnsi="Times New Roman" w:cs="Times New Roman"/>
      <w:color w:val="000000"/>
      <w:sz w:val="20"/>
      <w:szCs w:val="20"/>
      <w:u w:val="none"/>
    </w:rPr>
  </w:style>
  <w:style w:type="character" w:styleId="1245" w:customStyle="1">
    <w:name w:val="Item List Char Char"/>
    <w:link w:val="1246"/>
    <w:uiPriority w:val="99"/>
    <w:qFormat/>
    <w:rPr>
      <w:rFonts w:ascii="Arial" w:hAnsi="Arial" w:cs="Arial"/>
      <w:lang w:eastAsia="en-US"/>
    </w:rPr>
  </w:style>
  <w:style w:type="paragraph" w:styleId="1246" w:customStyle="1">
    <w:name w:val="Item List"/>
    <w:basedOn w:val="943"/>
    <w:link w:val="1245"/>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247" w:customStyle="1">
    <w:name w:val="正文首行缩进 Char Char"/>
    <w:link w:val="1248"/>
    <w:uiPriority w:val="0"/>
    <w:qFormat/>
    <w:rPr>
      <w:szCs w:val="24"/>
    </w:rPr>
  </w:style>
  <w:style w:type="paragraph" w:styleId="1248" w:customStyle="1">
    <w:name w:val="正文首行缩进1"/>
    <w:basedOn w:val="1181"/>
    <w:link w:val="1247"/>
    <w:uiPriority w:val="0"/>
    <w:qFormat/>
    <w:pPr>
      <w:ind w:firstLine="420"/>
      <w:spacing w:after="120"/>
    </w:pPr>
    <w:rPr>
      <w:rFonts w:ascii="Times New Roman" w:hAnsi="Times New Roman" w:eastAsia="宋体"/>
      <w:sz w:val="20"/>
      <w:szCs w:val="24"/>
    </w:rPr>
  </w:style>
  <w:style w:type="character" w:styleId="1249" w:customStyle="1">
    <w:name w:val="正文样式 Char"/>
    <w:link w:val="1250"/>
    <w:uiPriority w:val="0"/>
    <w:qFormat/>
    <w:rPr>
      <w:rFonts w:ascii="宋体" w:hAnsi="宋体"/>
      <w:sz w:val="24"/>
      <w:szCs w:val="24"/>
    </w:rPr>
  </w:style>
  <w:style w:type="paragraph" w:styleId="1250" w:customStyle="1">
    <w:name w:val="正文样式"/>
    <w:basedOn w:val="943"/>
    <w:link w:val="1249"/>
    <w:uiPriority w:val="0"/>
    <w:qFormat/>
    <w:pPr>
      <w:ind w:firstLine="480"/>
      <w:spacing w:line="360" w:lineRule="auto"/>
    </w:pPr>
    <w:rPr>
      <w:rFonts w:ascii="宋体" w:hAnsi="宋体"/>
      <w:sz w:val="24"/>
    </w:rPr>
  </w:style>
  <w:style w:type="character" w:styleId="1251" w:customStyle="1">
    <w:name w:val="标题 5 Char1"/>
    <w:uiPriority w:val="0"/>
    <w:semiHidden/>
    <w:qFormat/>
    <w:rPr>
      <w:b/>
      <w:bCs/>
      <w:sz w:val="28"/>
      <w:szCs w:val="28"/>
    </w:rPr>
  </w:style>
  <w:style w:type="character" w:styleId="1252" w:customStyle="1">
    <w:name w:val="Table Text Char"/>
    <w:link w:val="1253"/>
    <w:uiPriority w:val="99"/>
    <w:qFormat/>
    <w:rPr>
      <w:rFonts w:ascii="Arial" w:hAnsi="Arial"/>
      <w:sz w:val="18"/>
      <w:szCs w:val="18"/>
      <w:lang w:val="en-US" w:eastAsia="zh-CN" w:bidi="ar-SA"/>
    </w:rPr>
  </w:style>
  <w:style w:type="paragraph" w:styleId="1253" w:customStyle="1">
    <w:name w:val="Table Text"/>
    <w:link w:val="1252"/>
    <w:uiPriority w:val="99"/>
    <w:qFormat/>
    <w:pPr>
      <w:spacing w:before="80" w:after="80"/>
    </w:pPr>
    <w:rPr>
      <w:rFonts w:ascii="Arial" w:hAnsi="Arial" w:eastAsia="宋体" w:cs="Times New Roman"/>
      <w:sz w:val="18"/>
      <w:szCs w:val="18"/>
      <w:lang w:val="en-US" w:eastAsia="zh-CN" w:bidi="ar-SA"/>
    </w:rPr>
  </w:style>
  <w:style w:type="character" w:styleId="1254" w:customStyle="1">
    <w:name w:val="样式1 Char"/>
    <w:link w:val="1255"/>
    <w:uiPriority w:val="0"/>
    <w:qFormat/>
    <w:rPr>
      <w:rFonts w:ascii="宋体" w:hAnsi="宋体"/>
      <w:sz w:val="21"/>
      <w:szCs w:val="21"/>
    </w:rPr>
  </w:style>
  <w:style w:type="paragraph" w:styleId="1255" w:customStyle="1">
    <w:name w:val="样式1"/>
    <w:basedOn w:val="943"/>
    <w:link w:val="1254"/>
    <w:uiPriority w:val="0"/>
    <w:qFormat/>
    <w:pPr>
      <w:numPr>
        <w:ilvl w:val="0"/>
        <w:numId w:val="4"/>
      </w:numPr>
    </w:pPr>
    <w:rPr>
      <w:rFonts w:ascii="宋体" w:hAnsi="宋体"/>
      <w:szCs w:val="21"/>
    </w:rPr>
  </w:style>
  <w:style w:type="character" w:styleId="1256" w:customStyle="1">
    <w:name w:val="标题 4 Char1"/>
    <w:uiPriority w:val="99"/>
    <w:semiHidden/>
    <w:qFormat/>
    <w:rPr>
      <w:rFonts w:ascii="Cambria" w:hAnsi="Cambria" w:eastAsia="宋体" w:cs="Times New Roman"/>
      <w:b/>
      <w:bCs/>
      <w:sz w:val="28"/>
      <w:szCs w:val="28"/>
    </w:rPr>
  </w:style>
  <w:style w:type="character" w:styleId="1257" w:customStyle="1">
    <w:name w:val="as-productsummary-addonupgrade"/>
    <w:uiPriority w:val="0"/>
    <w:qFormat/>
  </w:style>
  <w:style w:type="character" w:styleId="1258" w:customStyle="1">
    <w:name w:val="标题 2 Char1"/>
    <w:uiPriority w:val="99"/>
    <w:semiHidden/>
    <w:qFormat/>
    <w:rPr>
      <w:rFonts w:ascii="Cambria" w:hAnsi="Cambria" w:eastAsia="宋体" w:cs="Times New Roman"/>
      <w:b/>
      <w:bCs/>
      <w:sz w:val="32"/>
      <w:szCs w:val="32"/>
    </w:rPr>
  </w:style>
  <w:style w:type="character" w:styleId="1259" w:customStyle="1">
    <w:name w:val="标题 3 Char"/>
    <w:uiPriority w:val="0"/>
    <w:qFormat/>
    <w:rPr>
      <w:b/>
      <w:bCs/>
      <w:sz w:val="32"/>
      <w:szCs w:val="32"/>
    </w:rPr>
  </w:style>
  <w:style w:type="character" w:styleId="1260" w:customStyle="1">
    <w:name w:val="标题 4 Char"/>
    <w:uiPriority w:val="0"/>
    <w:qFormat/>
    <w:rPr>
      <w:rFonts w:ascii="Cambria" w:hAnsi="Cambria" w:eastAsia="宋体" w:cs="Times New Roman"/>
      <w:b/>
      <w:bCs/>
      <w:sz w:val="28"/>
      <w:szCs w:val="28"/>
    </w:rPr>
  </w:style>
  <w:style w:type="character" w:styleId="1261" w:customStyle="1">
    <w:name w:val="font41"/>
    <w:uiPriority w:val="0"/>
    <w:qFormat/>
    <w:rPr>
      <w:rFonts w:hint="eastAsia" w:ascii="宋体" w:hAnsi="宋体" w:eastAsia="宋体" w:cs="宋体"/>
      <w:color w:val="000000"/>
      <w:sz w:val="18"/>
      <w:szCs w:val="18"/>
      <w:u w:val="none"/>
    </w:rPr>
  </w:style>
  <w:style w:type="character" w:styleId="1262" w:customStyle="1">
    <w:name w:val="标题 6 Char"/>
    <w:uiPriority w:val="0"/>
    <w:qFormat/>
    <w:rPr>
      <w:rFonts w:ascii="Cambria" w:hAnsi="Cambria" w:eastAsia="宋体" w:cs="Times New Roman"/>
      <w:b/>
      <w:bCs/>
      <w:sz w:val="24"/>
      <w:szCs w:val="24"/>
    </w:rPr>
  </w:style>
  <w:style w:type="character" w:styleId="1263" w:customStyle="1">
    <w:name w:val="表格 Char Char"/>
    <w:link w:val="1264"/>
    <w:uiPriority w:val="0"/>
    <w:qFormat/>
    <w:rPr>
      <w:rFonts w:ascii="宋体" w:hAnsi="宋体" w:cs="宋体"/>
    </w:rPr>
  </w:style>
  <w:style w:type="paragraph" w:styleId="1264" w:customStyle="1">
    <w:name w:val="表格"/>
    <w:basedOn w:val="943"/>
    <w:link w:val="1263"/>
    <w:uiPriority w:val="0"/>
    <w:qFormat/>
    <w:pPr>
      <w:ind w:firstLine="21"/>
    </w:pPr>
    <w:rPr>
      <w:rFonts w:ascii="宋体" w:hAnsi="宋体"/>
      <w:sz w:val="20"/>
      <w:szCs w:val="20"/>
    </w:rPr>
  </w:style>
  <w:style w:type="character" w:styleId="1265" w:customStyle="1">
    <w:name w:val="普通正文 Char"/>
    <w:link w:val="1266"/>
    <w:uiPriority w:val="0"/>
    <w:qFormat/>
    <w:rPr>
      <w:rFonts w:ascii="Arial" w:hAnsi="Arial" w:cs="Arial"/>
      <w:sz w:val="24"/>
      <w:szCs w:val="24"/>
    </w:rPr>
  </w:style>
  <w:style w:type="paragraph" w:styleId="1266" w:customStyle="1">
    <w:name w:val="普通正文"/>
    <w:basedOn w:val="943"/>
    <w:link w:val="1265"/>
    <w:uiPriority w:val="0"/>
    <w:qFormat/>
    <w:pPr>
      <w:ind w:firstLine="480"/>
      <w:jc w:val="left"/>
      <w:spacing w:before="120" w:after="120" w:line="360" w:lineRule="auto"/>
    </w:pPr>
    <w:rPr>
      <w:rFonts w:ascii="Arial" w:hAnsi="Arial"/>
      <w:sz w:val="24"/>
    </w:rPr>
  </w:style>
  <w:style w:type="character" w:styleId="1267" w:customStyle="1">
    <w:name w:val="intro1"/>
    <w:uiPriority w:val="0"/>
    <w:qFormat/>
    <w:rPr>
      <w:rFonts w:ascii="Trebuchet MS"/>
      <w:sz w:val="21"/>
      <w:szCs w:val="21"/>
    </w:rPr>
  </w:style>
  <w:style w:type="character" w:styleId="1268" w:customStyle="1">
    <w:name w:val="批注框文本 Char"/>
    <w:uiPriority w:val="99"/>
    <w:qFormat/>
    <w:rPr>
      <w:sz w:val="18"/>
      <w:szCs w:val="18"/>
    </w:rPr>
  </w:style>
  <w:style w:type="character" w:styleId="1269" w:customStyle="1">
    <w:name w:val="文档结构图 Char"/>
    <w:uiPriority w:val="99"/>
    <w:qFormat/>
    <w:rPr>
      <w:rFonts w:ascii="宋体" w:eastAsia="宋体"/>
      <w:sz w:val="18"/>
      <w:szCs w:val="18"/>
    </w:rPr>
  </w:style>
  <w:style w:type="character" w:styleId="1270" w:customStyle="1">
    <w:name w:val="font81"/>
    <w:uiPriority w:val="0"/>
    <w:qFormat/>
    <w:rPr>
      <w:rFonts w:hint="eastAsia" w:ascii="宋体" w:hAnsi="宋体" w:eastAsia="宋体" w:cs="宋体"/>
      <w:color w:val="000000"/>
      <w:sz w:val="20"/>
      <w:szCs w:val="20"/>
      <w:u w:val="none"/>
    </w:rPr>
  </w:style>
  <w:style w:type="character" w:styleId="1271" w:customStyle="1">
    <w:name w:val="font112"/>
    <w:uiPriority w:val="0"/>
    <w:qFormat/>
    <w:rPr>
      <w:rFonts w:hint="eastAsia" w:ascii="宋体" w:hAnsi="宋体" w:eastAsia="宋体" w:cs="宋体"/>
      <w:color w:val="000000"/>
      <w:sz w:val="22"/>
      <w:szCs w:val="22"/>
      <w:u w:val="none"/>
    </w:rPr>
  </w:style>
  <w:style w:type="character" w:styleId="1272" w:customStyle="1">
    <w:name w:val="font132"/>
    <w:uiPriority w:val="0"/>
    <w:qFormat/>
    <w:rPr>
      <w:rFonts w:hint="eastAsia" w:ascii="宋体" w:hAnsi="宋体" w:eastAsia="宋体" w:cs="宋体"/>
      <w:color w:val="000000"/>
      <w:sz w:val="22"/>
      <w:szCs w:val="22"/>
      <w:u w:val="none"/>
    </w:rPr>
  </w:style>
  <w:style w:type="character" w:styleId="1273" w:customStyle="1">
    <w:name w:val="正文（绿盟科技） Char"/>
    <w:link w:val="1274"/>
    <w:uiPriority w:val="99"/>
    <w:qFormat/>
    <w:rPr>
      <w:rFonts w:ascii="Arial" w:hAnsi="Arial"/>
      <w:sz w:val="21"/>
      <w:szCs w:val="22"/>
      <w:lang w:val="en-US" w:eastAsia="zh-CN" w:bidi="ar-SA"/>
    </w:rPr>
  </w:style>
  <w:style w:type="paragraph" w:styleId="1274" w:customStyle="1">
    <w:name w:val="正文（绿盟科技）"/>
    <w:link w:val="1273"/>
    <w:uiPriority w:val="99"/>
    <w:qFormat/>
    <w:pPr>
      <w:spacing w:line="300" w:lineRule="auto"/>
    </w:pPr>
    <w:rPr>
      <w:rFonts w:ascii="Arial" w:hAnsi="Arial" w:eastAsia="宋体" w:cs="Times New Roman"/>
      <w:sz w:val="21"/>
      <w:szCs w:val="22"/>
      <w:lang w:val="en-US" w:eastAsia="zh-CN" w:bidi="ar-SA"/>
    </w:rPr>
  </w:style>
  <w:style w:type="character" w:styleId="1275" w:customStyle="1">
    <w:name w:val="标题 1 Char"/>
    <w:uiPriority w:val="0"/>
    <w:qFormat/>
    <w:rPr>
      <w:b/>
      <w:bCs/>
      <w:sz w:val="44"/>
      <w:szCs w:val="44"/>
    </w:rPr>
  </w:style>
  <w:style w:type="character" w:styleId="1276" w:customStyle="1">
    <w:name w:val="font131"/>
    <w:uiPriority w:val="0"/>
    <w:qFormat/>
    <w:rPr>
      <w:rFonts w:hint="eastAsia" w:ascii="宋体" w:hAnsi="宋体" w:eastAsia="宋体" w:cs="宋体"/>
      <w:color w:val="000000"/>
      <w:sz w:val="20"/>
      <w:szCs w:val="20"/>
      <w:u w:val="none"/>
    </w:rPr>
  </w:style>
  <w:style w:type="character" w:styleId="1277" w:customStyle="1">
    <w:name w:val="font101"/>
    <w:uiPriority w:val="0"/>
    <w:qFormat/>
    <w:rPr>
      <w:rFonts w:ascii="Tahoma" w:hAnsi="Tahoma" w:eastAsia="Tahoma" w:cs="Tahoma"/>
      <w:color w:val="000000"/>
      <w:sz w:val="22"/>
      <w:szCs w:val="22"/>
      <w:u w:val="none"/>
    </w:rPr>
  </w:style>
  <w:style w:type="character" w:styleId="1278" w:customStyle="1">
    <w:name w:val="标题 7 Char1"/>
    <w:uiPriority w:val="0"/>
    <w:semiHidden/>
    <w:qFormat/>
    <w:rPr>
      <w:b/>
      <w:bCs/>
      <w:sz w:val="24"/>
      <w:szCs w:val="24"/>
    </w:rPr>
  </w:style>
  <w:style w:type="character" w:styleId="1279" w:customStyle="1">
    <w:name w:val="列出段落 Char"/>
    <w:link w:val="1280"/>
    <w:uiPriority w:val="0"/>
    <w:qFormat/>
    <w:rPr>
      <w:rFonts w:ascii="Calibri" w:hAnsi="Calibri"/>
      <w:sz w:val="22"/>
    </w:rPr>
  </w:style>
  <w:style w:type="paragraph" w:styleId="1280" w:customStyle="1">
    <w:name w:val="2"/>
    <w:basedOn w:val="943"/>
    <w:next w:val="1281"/>
    <w:link w:val="1279"/>
    <w:uiPriority w:val="0"/>
    <w:qFormat/>
    <w:pPr>
      <w:ind w:firstLine="420"/>
    </w:pPr>
    <w:rPr>
      <w:sz w:val="22"/>
      <w:szCs w:val="20"/>
    </w:rPr>
  </w:style>
  <w:style w:type="paragraph" w:styleId="1281" w:customStyle="1">
    <w:name w:val="列出段落1"/>
    <w:basedOn w:val="943"/>
    <w:uiPriority w:val="34"/>
    <w:qFormat/>
    <w:pPr>
      <w:contextualSpacing/>
      <w:ind w:left="720"/>
      <w:jc w:val="left"/>
      <w:widowControl/>
    </w:pPr>
    <w:rPr>
      <w:rFonts w:cs="宋体"/>
      <w:sz w:val="24"/>
      <w:lang w:eastAsia="en-US"/>
    </w:rPr>
  </w:style>
  <w:style w:type="character" w:styleId="1282" w:customStyle="1">
    <w:name w:val="标题 1 字符"/>
    <w:uiPriority w:val="9"/>
    <w:qFormat/>
    <w:rPr>
      <w:rFonts w:ascii="Calibri" w:hAnsi="Calibri" w:eastAsia="宋体" w:cs="Times New Roman"/>
      <w:b/>
      <w:bCs/>
      <w:sz w:val="44"/>
      <w:szCs w:val="44"/>
    </w:rPr>
  </w:style>
  <w:style w:type="character" w:styleId="1283" w:customStyle="1">
    <w:name w:val="font5 Char"/>
    <w:uiPriority w:val="0"/>
    <w:qFormat/>
    <w:rPr>
      <w:rFonts w:ascii="宋体" w:eastAsia="宋体"/>
      <w:sz w:val="28"/>
      <w:szCs w:val="28"/>
      <w:lang w:val="en-US" w:eastAsia="zh-CN"/>
    </w:rPr>
  </w:style>
  <w:style w:type="character" w:styleId="1284" w:customStyle="1">
    <w:name w:val="页脚 Char"/>
    <w:uiPriority w:val="99"/>
    <w:qFormat/>
    <w:rPr>
      <w:sz w:val="18"/>
      <w:szCs w:val="18"/>
    </w:rPr>
  </w:style>
  <w:style w:type="character" w:styleId="1285" w:customStyle="1">
    <w:name w:val="列出段落 Char1"/>
    <w:link w:val="1286"/>
    <w:uiPriority w:val="34"/>
    <w:qFormat/>
    <w:rPr>
      <w:rFonts w:ascii="Calibri" w:hAnsi="Calibri"/>
      <w:sz w:val="21"/>
      <w:szCs w:val="22"/>
    </w:rPr>
  </w:style>
  <w:style w:type="paragraph" w:styleId="1286" w:customStyle="1">
    <w:name w:val="列出段落1111"/>
    <w:basedOn w:val="943"/>
    <w:link w:val="1285"/>
    <w:uiPriority w:val="34"/>
    <w:qFormat/>
    <w:pPr>
      <w:ind w:firstLine="420"/>
    </w:pPr>
  </w:style>
  <w:style w:type="character" w:styleId="1287" w:customStyle="1">
    <w:name w:val="批注主题 Char"/>
    <w:uiPriority w:val="99"/>
    <w:qFormat/>
    <w:rPr>
      <w:b/>
      <w:bCs/>
    </w:rPr>
  </w:style>
  <w:style w:type="character" w:styleId="1288" w:customStyle="1">
    <w:name w:val="批注文字 Char1"/>
    <w:uiPriority w:val="99"/>
    <w:qFormat/>
    <w:rPr>
      <w:rFonts w:ascii="Times New Roman" w:hAnsi="Times New Roman" w:eastAsia="宋体" w:cs="Times New Roman"/>
      <w:szCs w:val="24"/>
    </w:rPr>
  </w:style>
  <w:style w:type="character" w:styleId="1289" w:customStyle="1">
    <w:name w:val="modeltitle"/>
    <w:basedOn w:val="1159"/>
    <w:uiPriority w:val="0"/>
    <w:qFormat/>
  </w:style>
  <w:style w:type="character" w:styleId="1290" w:customStyle="1">
    <w:name w:val="font01"/>
    <w:uiPriority w:val="0"/>
    <w:qFormat/>
    <w:rPr>
      <w:rFonts w:hint="eastAsia" w:ascii="宋体" w:hAnsi="宋体" w:eastAsia="宋体" w:cs="宋体"/>
      <w:color w:val="000000"/>
      <w:sz w:val="20"/>
      <w:szCs w:val="20"/>
      <w:u w:val="none"/>
    </w:rPr>
  </w:style>
  <w:style w:type="character" w:styleId="1291" w:customStyle="1">
    <w:name w:val="标题 Char"/>
    <w:uiPriority w:val="0"/>
    <w:qFormat/>
    <w:rPr>
      <w:rFonts w:ascii="Cambria" w:hAnsi="Cambria" w:cs="Times New Roman"/>
      <w:b/>
      <w:bCs/>
      <w:sz w:val="32"/>
      <w:szCs w:val="32"/>
    </w:rPr>
  </w:style>
  <w:style w:type="character" w:styleId="1292" w:customStyle="1">
    <w:name w:val="标题 2 Char"/>
    <w:uiPriority w:val="9"/>
    <w:qFormat/>
    <w:rPr>
      <w:rFonts w:ascii="Cambria" w:hAnsi="Cambria" w:eastAsia="宋体" w:cs="Times New Roman"/>
      <w:b/>
      <w:bCs/>
      <w:sz w:val="32"/>
      <w:szCs w:val="32"/>
    </w:rPr>
  </w:style>
  <w:style w:type="character" w:styleId="1293" w:customStyle="1">
    <w:name w:val="列出段落字符"/>
    <w:uiPriority w:val="34"/>
    <w:qFormat/>
    <w:rPr>
      <w:rFonts w:ascii="Calibri" w:hAnsi="Calibri" w:eastAsia="宋体" w:cs="Times New Roman"/>
      <w:sz w:val="24"/>
      <w:szCs w:val="24"/>
    </w:rPr>
  </w:style>
  <w:style w:type="character" w:styleId="1294" w:customStyle="1">
    <w:name w:val="标题 1 Char1"/>
    <w:uiPriority w:val="99"/>
    <w:qFormat/>
    <w:rPr>
      <w:b/>
      <w:bCs/>
      <w:sz w:val="44"/>
      <w:szCs w:val="44"/>
    </w:rPr>
  </w:style>
  <w:style w:type="character" w:styleId="1295" w:customStyle="1">
    <w:name w:val="font51"/>
    <w:uiPriority w:val="0"/>
    <w:qFormat/>
    <w:rPr>
      <w:rFonts w:hint="eastAsia" w:ascii="宋体" w:hAnsi="宋体" w:eastAsia="宋体" w:cs="宋体"/>
      <w:i/>
      <w:color w:val="000000"/>
      <w:sz w:val="20"/>
      <w:szCs w:val="20"/>
      <w:u w:val="single"/>
    </w:rPr>
  </w:style>
  <w:style w:type="character" w:styleId="1296" w:customStyle="1">
    <w:name w:val="font121"/>
    <w:uiPriority w:val="0"/>
    <w:qFormat/>
    <w:rPr>
      <w:rFonts w:ascii="宋体-简" w:hAnsi="宋体-简" w:eastAsia="宋体-简" w:cs="宋体-简"/>
      <w:i/>
      <w:color w:val="000000"/>
      <w:sz w:val="20"/>
      <w:szCs w:val="20"/>
      <w:u w:val="single"/>
    </w:rPr>
  </w:style>
  <w:style w:type="character" w:styleId="1297" w:customStyle="1">
    <w:name w:val="正文首行缩进 Char"/>
    <w:uiPriority w:val="0"/>
    <w:qFormat/>
    <w:rPr>
      <w:rFonts w:ascii="Times New Roman" w:hAnsi="Times New Roman" w:eastAsia="宋体" w:cs="Times New Roman"/>
      <w:szCs w:val="20"/>
    </w:rPr>
  </w:style>
  <w:style w:type="character" w:styleId="1298" w:customStyle="1">
    <w:name w:val="表格非标题文字 Char"/>
    <w:link w:val="1299"/>
    <w:uiPriority w:val="99"/>
    <w:qFormat/>
    <w:rPr>
      <w:rFonts w:ascii="Futura Bk" w:hAnsi="Futura Bk"/>
      <w:sz w:val="18"/>
      <w:szCs w:val="21"/>
      <w:lang w:val="en-US" w:eastAsia="zh-CN" w:bidi="ar-SA"/>
    </w:rPr>
  </w:style>
  <w:style w:type="paragraph" w:styleId="1299" w:customStyle="1">
    <w:name w:val="表格非标题文字"/>
    <w:link w:val="1298"/>
    <w:uiPriority w:val="99"/>
    <w:qFormat/>
    <w:pPr>
      <w:spacing w:before="80" w:after="40"/>
    </w:pPr>
    <w:rPr>
      <w:rFonts w:ascii="Futura Bk" w:hAnsi="Futura Bk" w:eastAsia="宋体" w:cs="Times New Roman"/>
      <w:sz w:val="18"/>
      <w:szCs w:val="21"/>
      <w:lang w:val="en-US" w:eastAsia="zh-CN" w:bidi="ar-SA"/>
    </w:rPr>
  </w:style>
  <w:style w:type="character" w:styleId="1300" w:customStyle="1">
    <w:name w:val="普通(网站) Char1"/>
    <w:uiPriority w:val="99"/>
    <w:semiHidden/>
    <w:qFormat/>
    <w:rPr>
      <w:sz w:val="18"/>
      <w:szCs w:val="18"/>
    </w:rPr>
  </w:style>
  <w:style w:type="character" w:styleId="1301" w:customStyle="1">
    <w:name w:val="js-正文 Char"/>
    <w:link w:val="1302"/>
    <w:uiPriority w:val="0"/>
    <w:qFormat/>
    <w:rPr>
      <w:sz w:val="24"/>
      <w:szCs w:val="24"/>
    </w:rPr>
  </w:style>
  <w:style w:type="paragraph" w:styleId="1302" w:customStyle="1">
    <w:name w:val="js-正文"/>
    <w:basedOn w:val="943"/>
    <w:link w:val="1301"/>
    <w:uiPriority w:val="0"/>
    <w:qFormat/>
    <w:pPr>
      <w:ind w:firstLine="480"/>
      <w:spacing w:line="360" w:lineRule="auto"/>
    </w:pPr>
    <w:rPr>
      <w:sz w:val="24"/>
    </w:rPr>
  </w:style>
  <w:style w:type="character" w:styleId="1303" w:customStyle="1">
    <w:name w:val="标题 3 Char1"/>
    <w:uiPriority w:val="99"/>
    <w:semiHidden/>
    <w:qFormat/>
    <w:rPr>
      <w:b/>
      <w:bCs/>
      <w:sz w:val="32"/>
      <w:szCs w:val="32"/>
    </w:rPr>
  </w:style>
  <w:style w:type="character" w:styleId="1304" w:customStyle="1">
    <w:name w:val="正文首行缩进 Char1"/>
    <w:basedOn w:val="1239"/>
    <w:uiPriority w:val="99"/>
    <w:semiHidden/>
    <w:qFormat/>
    <w:rPr>
      <w:rFonts w:ascii="Calibri" w:hAnsi="Calibri" w:eastAsia="宋体" w:cs="Times New Roman"/>
    </w:rPr>
  </w:style>
  <w:style w:type="character" w:styleId="1305" w:customStyle="1">
    <w:name w:val="页眉 Char"/>
    <w:uiPriority w:val="99"/>
    <w:qFormat/>
    <w:rPr>
      <w:sz w:val="18"/>
      <w:szCs w:val="18"/>
    </w:rPr>
  </w:style>
  <w:style w:type="character" w:styleId="1306" w:customStyle="1">
    <w:name w:val="apple-converted-space"/>
    <w:basedOn w:val="1159"/>
    <w:uiPriority w:val="0"/>
    <w:qFormat/>
  </w:style>
  <w:style w:type="character" w:styleId="1307" w:customStyle="1">
    <w:name w:val="日期 Char"/>
    <w:uiPriority w:val="0"/>
    <w:qFormat/>
    <w:rPr>
      <w:rFonts w:eastAsia="宋体"/>
      <w:sz w:val="24"/>
      <w:szCs w:val="24"/>
    </w:rPr>
  </w:style>
  <w:style w:type="character" w:styleId="1308" w:customStyle="1">
    <w:name w:val="标题 6 Char1"/>
    <w:uiPriority w:val="0"/>
    <w:semiHidden/>
    <w:qFormat/>
    <w:rPr>
      <w:rFonts w:ascii="Cambria" w:hAnsi="Cambria" w:eastAsia="宋体" w:cs="Times New Roman"/>
      <w:b/>
      <w:bCs/>
      <w:sz w:val="24"/>
      <w:szCs w:val="24"/>
    </w:rPr>
  </w:style>
  <w:style w:type="character" w:styleId="1309" w:customStyle="1">
    <w:name w:val="apple-style-span"/>
    <w:uiPriority w:val="0"/>
    <w:qFormat/>
  </w:style>
  <w:style w:type="paragraph" w:styleId="1310" w:customStyle="1">
    <w:name w:val="段"/>
    <w:next w:val="943"/>
    <w:uiPriority w:val="0"/>
    <w:qFormat/>
    <w:pPr>
      <w:ind w:firstLine="200"/>
      <w:jc w:val="both"/>
    </w:pPr>
    <w:rPr>
      <w:rFonts w:ascii="宋体" w:hAnsi="Times New Roman" w:eastAsia="Times New Roman" w:cs="Times New Roman"/>
      <w:sz w:val="21"/>
      <w:szCs w:val="22"/>
      <w:lang w:val="en-US" w:eastAsia="zh-CN" w:bidi="ar-SA"/>
    </w:rPr>
  </w:style>
  <w:style w:type="paragraph" w:styleId="1311" w:customStyle="1">
    <w:name w:val="xl103"/>
    <w:basedOn w:val="94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2" w:customStyle="1">
    <w:name w:val="xl67"/>
    <w:basedOn w:val="94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3" w:customStyle="1">
    <w:name w:val="Default"/>
    <w:uiPriority w:val="0"/>
    <w:qFormat/>
    <w:pPr>
      <w:widowControl w:val="off"/>
    </w:pPr>
    <w:rPr>
      <w:rFonts w:ascii="Arial" w:hAnsi="Arial" w:eastAsia="宋体" w:cs="Arial"/>
      <w:color w:val="000000"/>
      <w:sz w:val="24"/>
      <w:szCs w:val="24"/>
      <w:lang w:val="en-US" w:eastAsia="zh-CN" w:bidi="ar-SA"/>
    </w:rPr>
  </w:style>
  <w:style w:type="paragraph" w:styleId="1314" w:customStyle="1">
    <w:name w:val="_Style 235"/>
    <w:basedOn w:val="1181"/>
    <w:next w:val="1222"/>
    <w:uiPriority w:val="0"/>
    <w:qFormat/>
    <w:pPr>
      <w:ind w:firstLine="420"/>
      <w:jc w:val="center"/>
      <w:spacing w:after="120"/>
    </w:pPr>
    <w:rPr>
      <w:rFonts w:ascii="Times New Roman" w:hAnsi="Times New Roman" w:eastAsia="宋体"/>
      <w:position w:val="6"/>
      <w:sz w:val="21"/>
      <w:szCs w:val="24"/>
    </w:rPr>
  </w:style>
  <w:style w:type="paragraph" w:styleId="1315" w:customStyle="1">
    <w:name w:val="xl86"/>
    <w:basedOn w:val="94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16" w:customStyle="1">
    <w:name w:val="Item List_3"/>
    <w:basedOn w:val="1317"/>
    <w:uiPriority w:val="99"/>
    <w:semiHidden/>
    <w:qFormat/>
    <w:pPr>
      <w:tabs>
        <w:tab w:val="left" w:pos="360" w:leader="none"/>
        <w:tab w:val="left" w:pos="840" w:leader="none"/>
        <w:tab w:val="left" w:pos="1134" w:leader="none"/>
      </w:tabs>
    </w:pPr>
  </w:style>
  <w:style w:type="paragraph" w:styleId="1317" w:customStyle="1">
    <w:name w:val="Item List_2"/>
    <w:basedOn w:val="1246"/>
    <w:uiPriority w:val="99"/>
    <w:qFormat/>
    <w:pPr>
      <w:ind w:left="840" w:hanging="420"/>
      <w:tabs>
        <w:tab w:val="left" w:pos="360" w:leader="none"/>
        <w:tab w:val="left" w:pos="840" w:leader="none"/>
      </w:tabs>
    </w:pPr>
  </w:style>
  <w:style w:type="paragraph" w:styleId="1318" w:customStyle="1">
    <w:name w:val="xl115"/>
    <w:basedOn w:val="943"/>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19" w:customStyle="1">
    <w:name w:val="xl91"/>
    <w:basedOn w:val="94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0" w:customStyle="1">
    <w:name w:val="xl96"/>
    <w:basedOn w:val="943"/>
    <w:uiPriority w:val="0"/>
    <w:qFormat/>
    <w:pPr>
      <w:jc w:val="center"/>
      <w:spacing w:before="100" w:beforeAutospacing="1" w:after="100" w:afterAutospacing="1"/>
      <w:widowControl/>
    </w:pPr>
    <w:rPr>
      <w:rFonts w:ascii="宋体" w:hAnsi="宋体" w:cs="宋体"/>
      <w:b/>
      <w:bCs/>
      <w:color w:val="000000"/>
      <w:sz w:val="24"/>
    </w:rPr>
  </w:style>
  <w:style w:type="paragraph" w:styleId="1321" w:customStyle="1">
    <w:name w:val="xl89"/>
    <w:basedOn w:val="9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2" w:customStyle="1">
    <w:name w:val="table_1stline"/>
    <w:basedOn w:val="943"/>
    <w:uiPriority w:val="0"/>
    <w:qFormat/>
    <w:pPr>
      <w:jc w:val="left"/>
      <w:spacing w:before="120"/>
      <w:widowControl/>
    </w:pPr>
    <w:rPr>
      <w:bCs/>
      <w:sz w:val="20"/>
      <w:szCs w:val="20"/>
      <w:lang w:val="de-DE" w:eastAsia="de-DE"/>
    </w:rPr>
  </w:style>
  <w:style w:type="paragraph" w:styleId="1323" w:customStyle="1">
    <w:name w:val="Char Char Char Char Char Char Char Char Char Char Char Char Char Char Char Char Char Char"/>
    <w:basedOn w:val="943"/>
    <w:uiPriority w:val="0"/>
    <w:qFormat/>
    <w:pPr>
      <w:jc w:val="center"/>
      <w:spacing w:line="480" w:lineRule="exact"/>
    </w:pPr>
    <w:rPr>
      <w:color w:val="000000"/>
      <w:sz w:val="28"/>
      <w:szCs w:val="52"/>
    </w:rPr>
  </w:style>
  <w:style w:type="paragraph" w:styleId="1324" w:customStyle="1">
    <w:name w:val="font16"/>
    <w:basedOn w:val="943"/>
    <w:uiPriority w:val="0"/>
    <w:qFormat/>
    <w:pPr>
      <w:jc w:val="left"/>
      <w:spacing w:before="100" w:beforeAutospacing="1" w:after="100" w:afterAutospacing="1"/>
      <w:widowControl/>
    </w:pPr>
    <w:rPr>
      <w:rFonts w:ascii="宋体" w:hAnsi="宋体" w:cs="宋体"/>
      <w:color w:val="000000"/>
      <w:sz w:val="22"/>
    </w:rPr>
  </w:style>
  <w:style w:type="paragraph" w:styleId="1325"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326" w:customStyle="1">
    <w:name w:val="列出段落2"/>
    <w:basedOn w:val="943"/>
    <w:uiPriority w:val="99"/>
    <w:qFormat/>
    <w:pPr>
      <w:ind w:firstLine="420"/>
      <w:jc w:val="left"/>
      <w:widowControl/>
    </w:pPr>
    <w:rPr>
      <w:sz w:val="24"/>
    </w:rPr>
  </w:style>
  <w:style w:type="paragraph" w:styleId="1327" w:customStyle="1">
    <w:name w:val="Char5 Char Char Char Char Char Char"/>
    <w:basedOn w:val="943"/>
    <w:uiPriority w:val="0"/>
    <w:qFormat/>
    <w:rPr>
      <w:rFonts w:ascii="Tahoma" w:hAnsi="Tahoma"/>
      <w:sz w:val="24"/>
      <w:szCs w:val="20"/>
    </w:rPr>
  </w:style>
  <w:style w:type="paragraph" w:styleId="1328" w:customStyle="1">
    <w:name w:val="xl90"/>
    <w:basedOn w:val="94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9" w:customStyle="1">
    <w:name w:val="修订1"/>
    <w:uiPriority w:val="99"/>
    <w:semiHidden/>
    <w:qFormat/>
    <w:rPr>
      <w:rFonts w:ascii="Times New Roman" w:hAnsi="Times New Roman" w:eastAsia="宋体" w:cs="Times New Roman"/>
      <w:sz w:val="21"/>
      <w:szCs w:val="24"/>
      <w:lang w:val="en-US" w:eastAsia="zh-CN" w:bidi="ar-SA"/>
    </w:rPr>
  </w:style>
  <w:style w:type="paragraph" w:styleId="1330" w:customStyle="1">
    <w:name w:val="xl71"/>
    <w:basedOn w:val="94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1" w:customStyle="1">
    <w:name w:val="Char Char Char Char Char Char Char Char"/>
    <w:basedOn w:val="943"/>
    <w:uiPriority w:val="0"/>
    <w:qFormat/>
    <w:pPr>
      <w:jc w:val="left"/>
      <w:spacing w:after="160" w:line="240" w:lineRule="exact"/>
      <w:widowControl/>
    </w:pPr>
    <w:rPr>
      <w:rFonts w:ascii="Verdana" w:hAnsi="Verdana"/>
      <w:sz w:val="20"/>
      <w:szCs w:val="20"/>
      <w:lang w:eastAsia="en-US"/>
    </w:rPr>
  </w:style>
  <w:style w:type="paragraph" w:styleId="1332" w:customStyle="1">
    <w:name w:val="Char"/>
    <w:basedOn w:val="943"/>
    <w:uiPriority w:val="0"/>
    <w:qFormat/>
    <w:rPr>
      <w:rFonts w:ascii="Tahoma" w:hAnsi="Tahoma"/>
      <w:sz w:val="24"/>
      <w:szCs w:val="20"/>
    </w:rPr>
  </w:style>
  <w:style w:type="paragraph" w:styleId="1333" w:customStyle="1">
    <w:name w:val="标题3"/>
    <w:basedOn w:val="943"/>
    <w:next w:val="943"/>
    <w:uiPriority w:val="0"/>
    <w:qFormat/>
    <w:pPr>
      <w:ind w:firstLine="624"/>
      <w:spacing w:line="590" w:lineRule="atLeast"/>
    </w:pPr>
    <w:rPr>
      <w:rFonts w:ascii="方正黑体_GBK" w:hAnsi="宋体" w:eastAsia="方正黑体_GBK" w:cs="宋体"/>
      <w:sz w:val="32"/>
      <w:szCs w:val="32"/>
    </w:rPr>
  </w:style>
  <w:style w:type="paragraph" w:styleId="1334">
    <w:name w:val="No Spacing"/>
    <w:uiPriority w:val="0"/>
    <w:qFormat/>
    <w:pPr>
      <w:jc w:val="both"/>
      <w:widowControl w:val="off"/>
    </w:pPr>
    <w:rPr>
      <w:rFonts w:ascii="Calibri" w:hAnsi="Calibri" w:eastAsia="宋体" w:cs="Calibri"/>
      <w:sz w:val="21"/>
      <w:szCs w:val="21"/>
      <w:lang w:val="en-US" w:eastAsia="zh-CN" w:bidi="ar-SA"/>
    </w:rPr>
  </w:style>
  <w:style w:type="paragraph" w:styleId="1335" w:customStyle="1">
    <w:name w:val="font18"/>
    <w:basedOn w:val="943"/>
    <w:uiPriority w:val="0"/>
    <w:qFormat/>
    <w:pPr>
      <w:jc w:val="left"/>
      <w:spacing w:before="100" w:beforeAutospacing="1" w:after="100" w:afterAutospacing="1"/>
      <w:widowControl/>
    </w:pPr>
    <w:rPr>
      <w:rFonts w:ascii="宋体" w:hAnsi="宋体" w:cs="宋体"/>
      <w:sz w:val="18"/>
      <w:szCs w:val="18"/>
    </w:rPr>
  </w:style>
  <w:style w:type="paragraph" w:styleId="1336" w:customStyle="1">
    <w:name w:val="xl92"/>
    <w:basedOn w:val="94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37" w:customStyle="1">
    <w:name w:val="xl97"/>
    <w:basedOn w:val="943"/>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338" w:customStyle="1">
    <w:name w:val="xl79"/>
    <w:basedOn w:val="9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9" w:customStyle="1">
    <w:name w:val="标题1"/>
    <w:basedOn w:val="943"/>
    <w:next w:val="94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40" w:customStyle="1">
    <w:name w:val="xl110"/>
    <w:basedOn w:val="94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41" w:customStyle="1">
    <w:name w:val="xl72"/>
    <w:basedOn w:val="943"/>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342" w:customStyle="1">
    <w:name w:val="xl64"/>
    <w:basedOn w:val="943"/>
    <w:uiPriority w:val="0"/>
    <w:qFormat/>
    <w:pPr>
      <w:jc w:val="left"/>
      <w:spacing w:before="100" w:beforeAutospacing="1" w:after="100" w:afterAutospacing="1"/>
      <w:widowControl/>
    </w:pPr>
    <w:rPr>
      <w:rFonts w:ascii="宋体" w:hAnsi="宋体" w:cs="宋体"/>
      <w:color w:val="000000"/>
      <w:sz w:val="24"/>
    </w:rPr>
  </w:style>
  <w:style w:type="paragraph" w:styleId="1343" w:customStyle="1">
    <w:name w:val="xl24"/>
    <w:basedOn w:val="9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4" w:customStyle="1">
    <w:name w:val="Char Char1 Char Char Char Char Char Char Char"/>
    <w:basedOn w:val="943"/>
    <w:uiPriority w:val="0"/>
    <w:qFormat/>
    <w:rPr>
      <w:rFonts w:ascii="Tahoma" w:hAnsi="Tahoma" w:cs="Tahoma"/>
      <w:sz w:val="24"/>
    </w:rPr>
  </w:style>
  <w:style w:type="paragraph" w:styleId="1345" w:customStyle="1">
    <w:name w:val="font6"/>
    <w:basedOn w:val="943"/>
    <w:uiPriority w:val="0"/>
    <w:qFormat/>
    <w:pPr>
      <w:jc w:val="left"/>
      <w:spacing w:before="100" w:beforeAutospacing="1" w:after="100" w:afterAutospacing="1"/>
      <w:widowControl/>
    </w:pPr>
    <w:rPr>
      <w:rFonts w:ascii="宋体" w:hAnsi="宋体" w:cs="宋体"/>
      <w:sz w:val="28"/>
      <w:szCs w:val="28"/>
      <w:u w:val="single"/>
    </w:rPr>
  </w:style>
  <w:style w:type="paragraph" w:styleId="1346" w:customStyle="1">
    <w:name w:val="xl84"/>
    <w:basedOn w:val="9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7" w:customStyle="1">
    <w:name w:val="xl107"/>
    <w:basedOn w:val="9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8" w:customStyle="1">
    <w:name w:val="Char2"/>
    <w:basedOn w:val="943"/>
    <w:uiPriority w:val="0"/>
    <w:qFormat/>
    <w:rPr>
      <w:rFonts w:ascii="仿宋_GB2312" w:eastAsia="仿宋_GB2312"/>
      <w:b/>
      <w:sz w:val="32"/>
      <w:szCs w:val="32"/>
    </w:rPr>
  </w:style>
  <w:style w:type="paragraph" w:styleId="1349" w:customStyle="1">
    <w:name w:val="font11"/>
    <w:basedOn w:val="943"/>
    <w:uiPriority w:val="0"/>
    <w:qFormat/>
    <w:pPr>
      <w:jc w:val="left"/>
      <w:spacing w:before="100" w:beforeAutospacing="1" w:after="100" w:afterAutospacing="1"/>
      <w:widowControl/>
    </w:pPr>
    <w:rPr>
      <w:rFonts w:ascii="宋体" w:hAnsi="宋体" w:cs="宋体"/>
      <w:b/>
      <w:bCs/>
      <w:sz w:val="18"/>
      <w:szCs w:val="18"/>
    </w:rPr>
  </w:style>
  <w:style w:type="paragraph" w:styleId="1350" w:customStyle="1">
    <w:name w:val="font8"/>
    <w:basedOn w:val="943"/>
    <w:uiPriority w:val="0"/>
    <w:qFormat/>
    <w:pPr>
      <w:jc w:val="left"/>
      <w:spacing w:before="100" w:beforeAutospacing="1" w:after="100" w:afterAutospacing="1"/>
      <w:widowControl/>
    </w:pPr>
    <w:rPr>
      <w:rFonts w:ascii="宋体" w:hAnsi="宋体" w:cs="宋体"/>
      <w:sz w:val="22"/>
    </w:rPr>
  </w:style>
  <w:style w:type="paragraph" w:styleId="1351" w:customStyle="1">
    <w:name w:val="xl98"/>
    <w:basedOn w:val="943"/>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35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xl30"/>
    <w:basedOn w:val="943"/>
    <w:uiPriority w:val="0"/>
    <w:qFormat/>
    <w:pPr>
      <w:jc w:val="center"/>
      <w:spacing w:before="100" w:beforeAutospacing="1" w:after="100" w:afterAutospacing="1"/>
      <w:widowControl/>
    </w:pPr>
    <w:rPr>
      <w:rFonts w:ascii="宋体" w:hAnsi="宋体" w:cs="宋体"/>
      <w:b/>
      <w:bCs/>
      <w:sz w:val="36"/>
      <w:szCs w:val="36"/>
    </w:rPr>
  </w:style>
  <w:style w:type="paragraph" w:styleId="1354" w:customStyle="1">
    <w:name w:val="font0"/>
    <w:basedOn w:val="943"/>
    <w:uiPriority w:val="0"/>
    <w:qFormat/>
    <w:pPr>
      <w:jc w:val="left"/>
      <w:spacing w:before="100" w:beforeAutospacing="1" w:after="100" w:afterAutospacing="1"/>
      <w:widowControl/>
    </w:pPr>
    <w:rPr>
      <w:rFonts w:ascii="宋体" w:hAnsi="宋体" w:cs="宋体"/>
      <w:color w:val="000000"/>
      <w:sz w:val="22"/>
    </w:rPr>
  </w:style>
  <w:style w:type="paragraph" w:styleId="1355" w:customStyle="1">
    <w:name w:val="xl77"/>
    <w:basedOn w:val="9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56" w:customStyle="1">
    <w:name w:val="列出段落31"/>
    <w:basedOn w:val="943"/>
    <w:uiPriority w:val="72"/>
    <w:qFormat/>
    <w:pPr>
      <w:ind w:firstLine="420"/>
      <w:jc w:val="left"/>
      <w:widowControl/>
    </w:pPr>
    <w:rPr>
      <w:rFonts w:ascii="Cambria" w:hAnsi="Cambria"/>
      <w:sz w:val="24"/>
    </w:rPr>
  </w:style>
  <w:style w:type="paragraph" w:styleId="1357" w:customStyle="1">
    <w:name w:val="reader-word-layer"/>
    <w:basedOn w:val="943"/>
    <w:uiPriority w:val="0"/>
    <w:qFormat/>
    <w:pPr>
      <w:jc w:val="left"/>
      <w:spacing w:before="100" w:beforeAutospacing="1" w:after="100" w:afterAutospacing="1"/>
      <w:widowControl/>
    </w:pPr>
    <w:rPr>
      <w:sz w:val="24"/>
    </w:rPr>
  </w:style>
  <w:style w:type="paragraph" w:styleId="1358" w:customStyle="1">
    <w:name w:val="xl109"/>
    <w:basedOn w:val="94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359" w:customStyle="1">
    <w:name w:val="Char1 Char Char Char"/>
    <w:basedOn w:val="943"/>
    <w:uiPriority w:val="0"/>
    <w:qFormat/>
    <w:rPr>
      <w:rFonts w:ascii="Tahoma" w:hAnsi="Tahoma" w:cs="Tahoma"/>
      <w:sz w:val="24"/>
      <w:szCs w:val="20"/>
    </w:rPr>
  </w:style>
  <w:style w:type="paragraph" w:styleId="1360" w:customStyle="1">
    <w:name w:val="二级标题"/>
    <w:basedOn w:val="1361"/>
    <w:uiPriority w:val="0"/>
    <w:qFormat/>
    <w:pPr>
      <w:numPr>
        <w:ilvl w:val="1"/>
      </w:numPr>
      <w:outlineLvl w:val="1"/>
    </w:pPr>
    <w:rPr>
      <w:lang w:eastAsia="zh-CN"/>
    </w:rPr>
  </w:style>
  <w:style w:type="paragraph" w:styleId="1361" w:customStyle="1">
    <w:name w:val="一级标题"/>
    <w:basedOn w:val="943"/>
    <w:uiPriority w:val="0"/>
    <w:qFormat/>
    <w:pPr>
      <w:numPr>
        <w:ilvl w:val="0"/>
        <w:numId w:val="5"/>
      </w:numPr>
      <w:ind w:firstLine="0"/>
      <w:jc w:val="left"/>
      <w:widowControl/>
      <w:outlineLvl w:val="0"/>
    </w:pPr>
    <w:rPr>
      <w:rFonts w:ascii="宋体" w:hAnsi="宋体"/>
      <w:b/>
      <w:sz w:val="30"/>
      <w:lang w:eastAsia="en-US" w:bidi="en-US"/>
    </w:rPr>
  </w:style>
  <w:style w:type="paragraph" w:styleId="1362" w:customStyle="1">
    <w:name w:val="xl73"/>
    <w:basedOn w:val="943"/>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63" w:customStyle="1">
    <w:name w:val="Char Char Char"/>
    <w:basedOn w:val="943"/>
    <w:uiPriority w:val="0"/>
    <w:qFormat/>
    <w:pPr>
      <w:jc w:val="left"/>
      <w:widowControl/>
    </w:pPr>
    <w:rPr>
      <w:rFonts w:ascii="Tahoma" w:hAnsi="Tahoma" w:cs="宋体"/>
      <w:sz w:val="24"/>
      <w:szCs w:val="20"/>
    </w:rPr>
  </w:style>
  <w:style w:type="paragraph" w:styleId="1364" w:customStyle="1">
    <w:name w:val="xl118"/>
    <w:basedOn w:val="94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65" w:customStyle="1">
    <w:name w:val="font14"/>
    <w:basedOn w:val="943"/>
    <w:uiPriority w:val="0"/>
    <w:qFormat/>
    <w:pPr>
      <w:jc w:val="left"/>
      <w:spacing w:before="100" w:beforeAutospacing="1" w:after="100" w:afterAutospacing="1"/>
      <w:widowControl/>
    </w:pPr>
    <w:rPr>
      <w:rFonts w:ascii="宋体" w:hAnsi="宋体" w:cs="宋体"/>
      <w:color w:val="000000"/>
      <w:sz w:val="22"/>
    </w:rPr>
  </w:style>
  <w:style w:type="paragraph" w:styleId="1366" w:customStyle="1">
    <w:name w:val="Char5 Char Char Char Char Char Char2"/>
    <w:basedOn w:val="943"/>
    <w:uiPriority w:val="0"/>
    <w:qFormat/>
    <w:rPr>
      <w:rFonts w:ascii="Tahoma" w:hAnsi="Tahoma"/>
      <w:sz w:val="24"/>
      <w:szCs w:val="20"/>
    </w:rPr>
  </w:style>
  <w:style w:type="paragraph" w:styleId="1367" w:customStyle="1">
    <w:name w:val="样式 样式 标题1 + 行距: 单倍行距 + 段前: 7.8 磅 段后: 7.8 磅"/>
    <w:basedOn w:val="943"/>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68" w:customStyle="1">
    <w:name w:val="xl28"/>
    <w:basedOn w:val="94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69" w:customStyle="1">
    <w:name w:val="默认段落字体 Para Char Char"/>
    <w:basedOn w:val="943"/>
    <w:uiPriority w:val="0"/>
    <w:qFormat/>
    <w:pPr>
      <w:spacing w:before="156" w:after="156"/>
    </w:pPr>
    <w:rPr>
      <w:szCs w:val="20"/>
    </w:rPr>
  </w:style>
  <w:style w:type="paragraph" w:styleId="1370" w:customStyle="1">
    <w:name w:val="Char Char1 Char Char Char Char Char Char Char Char"/>
    <w:basedOn w:val="943"/>
    <w:uiPriority w:val="0"/>
    <w:qFormat/>
    <w:pPr>
      <w:jc w:val="left"/>
      <w:spacing w:after="160" w:line="240" w:lineRule="exact"/>
      <w:widowControl/>
    </w:pPr>
    <w:rPr>
      <w:rFonts w:ascii="Verdana" w:hAnsi="Verdana" w:cs="宋体"/>
      <w:sz w:val="20"/>
      <w:szCs w:val="20"/>
      <w:lang w:eastAsia="en-US"/>
    </w:rPr>
  </w:style>
  <w:style w:type="paragraph" w:styleId="1371" w:customStyle="1">
    <w:name w:val="xl75"/>
    <w:basedOn w:val="94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72" w:customStyle="1">
    <w:name w:val="Char Char Char Char Char Char Char Char Char Char"/>
    <w:basedOn w:val="943"/>
    <w:uiPriority w:val="0"/>
    <w:qFormat/>
    <w:pPr>
      <w:spacing w:line="360" w:lineRule="auto"/>
    </w:pPr>
    <w:rPr>
      <w:sz w:val="24"/>
      <w:szCs w:val="20"/>
    </w:rPr>
  </w:style>
  <w:style w:type="paragraph" w:styleId="1373" w:customStyle="1">
    <w:name w:val="font15"/>
    <w:basedOn w:val="943"/>
    <w:uiPriority w:val="0"/>
    <w:qFormat/>
    <w:pPr>
      <w:jc w:val="left"/>
      <w:spacing w:before="100" w:beforeAutospacing="1" w:after="100" w:afterAutospacing="1"/>
      <w:widowControl/>
    </w:pPr>
    <w:rPr>
      <w:rFonts w:ascii="宋体" w:hAnsi="宋体" w:cs="宋体"/>
      <w:sz w:val="18"/>
      <w:szCs w:val="18"/>
    </w:rPr>
  </w:style>
  <w:style w:type="paragraph" w:styleId="1374" w:customStyle="1">
    <w:name w:val="Char3"/>
    <w:basedOn w:val="1175"/>
    <w:uiPriority w:val="0"/>
    <w:qFormat/>
    <w:pPr>
      <w:spacing w:line="360" w:lineRule="auto"/>
    </w:pPr>
    <w:rPr>
      <w:rFonts w:ascii="Tahoma" w:hAnsi="Tahoma" w:cs="Tahoma"/>
      <w:sz w:val="24"/>
      <w:szCs w:val="24"/>
    </w:rPr>
  </w:style>
  <w:style w:type="paragraph" w:styleId="1375" w:customStyle="1">
    <w:name w:val="xl122"/>
    <w:basedOn w:val="943"/>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76" w:customStyle="1">
    <w:name w:val="彩色列表 - 强调文字颜色 11"/>
    <w:basedOn w:val="943"/>
    <w:uiPriority w:val="34"/>
    <w:qFormat/>
    <w:pPr>
      <w:ind w:firstLine="420"/>
    </w:pPr>
    <w:rPr>
      <w:rFonts w:ascii="Cambria" w:hAnsi="Cambria"/>
      <w:sz w:val="24"/>
    </w:rPr>
  </w:style>
  <w:style w:type="paragraph" w:styleId="1377" w:customStyle="1">
    <w:name w:val="Char1"/>
    <w:basedOn w:val="943"/>
    <w:uiPriority w:val="0"/>
    <w:qFormat/>
    <w:pPr>
      <w:ind w:left="840" w:hanging="420"/>
      <w:tabs>
        <w:tab w:val="left" w:pos="840" w:leader="none"/>
      </w:tabs>
    </w:pPr>
    <w:rPr>
      <w:sz w:val="24"/>
    </w:rPr>
  </w:style>
  <w:style w:type="paragraph" w:styleId="1378" w:customStyle="1">
    <w:name w:val="默认段落字体 Para Char Char Char Char"/>
    <w:basedOn w:val="943"/>
    <w:uiPriority w:val="0"/>
    <w:qFormat/>
    <w:rPr>
      <w:rFonts w:ascii="Arial" w:hAnsi="Arial" w:cs="Arial"/>
      <w:szCs w:val="21"/>
    </w:rPr>
  </w:style>
  <w:style w:type="paragraph" w:styleId="1379" w:customStyle="1">
    <w:name w:val="xl66"/>
    <w:basedOn w:val="9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0" w:customStyle="1">
    <w:name w:val="xl83"/>
    <w:basedOn w:val="94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1" w:customStyle="1">
    <w:name w:val="font17"/>
    <w:basedOn w:val="943"/>
    <w:uiPriority w:val="0"/>
    <w:qFormat/>
    <w:pPr>
      <w:jc w:val="left"/>
      <w:spacing w:before="100" w:beforeAutospacing="1" w:after="100" w:afterAutospacing="1"/>
      <w:widowControl/>
    </w:pPr>
    <w:rPr>
      <w:rFonts w:ascii="宋体" w:hAnsi="宋体" w:cs="宋体"/>
      <w:color w:val="ff0000"/>
      <w:sz w:val="22"/>
    </w:rPr>
  </w:style>
  <w:style w:type="paragraph" w:styleId="1382" w:customStyle="1">
    <w:name w:val="标题5"/>
    <w:basedOn w:val="1154"/>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83" w:customStyle="1">
    <w:name w:val="xl104"/>
    <w:basedOn w:val="94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4" w:customStyle="1">
    <w:name w:val="四级标题"/>
    <w:basedOn w:val="1385"/>
    <w:uiPriority w:val="0"/>
    <w:qFormat/>
    <w:pPr>
      <w:numPr>
        <w:ilvl w:val="3"/>
      </w:numPr>
      <w:outlineLvl w:val="3"/>
    </w:pPr>
  </w:style>
  <w:style w:type="paragraph" w:styleId="1385" w:customStyle="1">
    <w:name w:val="三级标题"/>
    <w:basedOn w:val="1360"/>
    <w:uiPriority w:val="0"/>
    <w:qFormat/>
    <w:pPr>
      <w:numPr>
        <w:ilvl w:val="2"/>
      </w:numPr>
      <w:ind w:left="1191"/>
      <w:spacing w:before="50" w:after="50"/>
      <w:outlineLvl w:val="2"/>
    </w:pPr>
    <w:rPr>
      <w:sz w:val="24"/>
    </w:rPr>
  </w:style>
  <w:style w:type="paragraph" w:styleId="1386" w:customStyle="1">
    <w:name w:val="附录1"/>
    <w:uiPriority w:val="0"/>
    <w:qFormat/>
    <w:pPr>
      <w:numPr>
        <w:ilvl w:val="0"/>
        <w:numId w:val="6"/>
      </w:numPr>
      <w:spacing w:before="240" w:line="600" w:lineRule="atLeast"/>
    </w:pPr>
    <w:rPr>
      <w:rFonts w:ascii="Times New Roman" w:hAnsi="Times New Roman" w:eastAsia="宋体" w:cs="Times New Roman"/>
      <w:b/>
      <w:i/>
      <w:iCs/>
      <w:sz w:val="28"/>
      <w:szCs w:val="28"/>
      <w:lang w:val="en-US" w:eastAsia="zh-CN" w:bidi="ar-SA"/>
    </w:rPr>
  </w:style>
  <w:style w:type="paragraph" w:styleId="1387" w:customStyle="1">
    <w:name w:val="table_lines"/>
    <w:basedOn w:val="943"/>
    <w:uiPriority w:val="0"/>
    <w:qFormat/>
    <w:pPr>
      <w:jc w:val="left"/>
      <w:widowControl/>
    </w:pPr>
    <w:rPr>
      <w:sz w:val="20"/>
      <w:szCs w:val="20"/>
      <w:lang w:val="de-DE" w:eastAsia="de-DE"/>
    </w:rPr>
  </w:style>
  <w:style w:type="paragraph" w:styleId="1388" w:customStyle="1">
    <w:name w:val="xl114"/>
    <w:basedOn w:val="94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89" w:customStyle="1">
    <w:name w:val="Char Char Char Char Char Char Char Char Char"/>
    <w:basedOn w:val="943"/>
    <w:uiPriority w:val="0"/>
    <w:qFormat/>
    <w:rPr>
      <w:rFonts w:ascii="Tahoma" w:hAnsi="Tahoma" w:cs="Tahoma"/>
      <w:sz w:val="24"/>
      <w:szCs w:val="20"/>
    </w:rPr>
  </w:style>
  <w:style w:type="paragraph" w:styleId="1390" w:customStyle="1">
    <w:name w:val="xl74"/>
    <w:basedOn w:val="9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392" w:customStyle="1">
    <w:name w:val="xl112"/>
    <w:basedOn w:val="943"/>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93" w:customStyle="1">
    <w:name w:val="xl85"/>
    <w:basedOn w:val="94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94" w:customStyle="1">
    <w:name w:val="font5"/>
    <w:basedOn w:val="943"/>
    <w:uiPriority w:val="0"/>
    <w:qFormat/>
    <w:pPr>
      <w:jc w:val="left"/>
      <w:spacing w:before="100" w:beforeAutospacing="1" w:after="100" w:afterAutospacing="1"/>
      <w:widowControl/>
    </w:pPr>
    <w:rPr>
      <w:rFonts w:ascii="宋体" w:hAnsi="宋体" w:cs="宋体"/>
      <w:sz w:val="28"/>
      <w:szCs w:val="28"/>
    </w:rPr>
  </w:style>
  <w:style w:type="paragraph" w:styleId="1395" w:customStyle="1">
    <w:name w:val="Char Char Char Char"/>
    <w:basedOn w:val="1175"/>
    <w:uiPriority w:val="0"/>
    <w:qFormat/>
    <w:pPr>
      <w:spacing w:line="360" w:lineRule="auto"/>
    </w:pPr>
    <w:rPr>
      <w:rFonts w:ascii="Tahoma" w:hAnsi="Tahoma" w:cs="Tahoma"/>
      <w:sz w:val="24"/>
      <w:szCs w:val="24"/>
    </w:rPr>
  </w:style>
  <w:style w:type="paragraph" w:styleId="1396" w:customStyle="1">
    <w:name w:val="正文蓝"/>
    <w:basedOn w:val="1173"/>
    <w:uiPriority w:val="0"/>
    <w:qFormat/>
    <w:pPr>
      <w:ind w:firstLine="482"/>
      <w:spacing w:line="288" w:lineRule="auto"/>
    </w:pPr>
    <w:rPr>
      <w:rFonts w:ascii="仿宋_GB2312" w:hAnsi="宋体" w:eastAsia="仿宋_GB2312" w:cs="宋体"/>
      <w:bCs/>
      <w:color w:val="0000ff"/>
      <w:sz w:val="24"/>
      <w:szCs w:val="20"/>
    </w:rPr>
  </w:style>
  <w:style w:type="paragraph" w:styleId="1397" w:customStyle="1">
    <w:name w:val="xl25"/>
    <w:basedOn w:val="94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98">
    <w:name w:val="List Paragraph"/>
    <w:basedOn w:val="943"/>
    <w:uiPriority w:val="0"/>
    <w:qFormat/>
    <w:pPr>
      <w:ind w:firstLine="200"/>
    </w:pPr>
    <w:rPr>
      <w:rFonts w:cs="Arial"/>
    </w:rPr>
  </w:style>
  <w:style w:type="paragraph" w:styleId="1399" w:customStyle="1">
    <w:name w:val="xl93"/>
    <w:basedOn w:val="94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400" w:customStyle="1">
    <w:name w:val="Char Char Char1 Char Char Char Char"/>
    <w:basedOn w:val="943"/>
    <w:uiPriority w:val="0"/>
    <w:qFormat/>
    <w:pPr>
      <w:jc w:val="left"/>
      <w:spacing w:after="160" w:line="240" w:lineRule="exact"/>
      <w:widowControl/>
    </w:pPr>
    <w:rPr>
      <w:rFonts w:ascii="宋体" w:hAnsi="宋体" w:cs="宋体"/>
      <w:b/>
      <w:sz w:val="28"/>
      <w:szCs w:val="28"/>
    </w:rPr>
  </w:style>
  <w:style w:type="paragraph" w:styleId="1401" w:customStyle="1">
    <w:name w:val="font20"/>
    <w:basedOn w:val="943"/>
    <w:uiPriority w:val="0"/>
    <w:qFormat/>
    <w:pPr>
      <w:jc w:val="left"/>
      <w:spacing w:before="100" w:beforeAutospacing="1" w:after="100" w:afterAutospacing="1"/>
      <w:widowControl/>
    </w:pPr>
    <w:rPr>
      <w:rFonts w:ascii="Tahoma" w:hAnsi="Tahoma" w:cs="Tahoma"/>
      <w:b/>
      <w:bCs/>
      <w:color w:val="000000"/>
      <w:sz w:val="18"/>
      <w:szCs w:val="18"/>
    </w:rPr>
  </w:style>
  <w:style w:type="paragraph" w:styleId="1402" w:customStyle="1">
    <w:name w:val="标题2"/>
    <w:basedOn w:val="1151"/>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403" w:customStyle="1">
    <w:name w:val="xl27"/>
    <w:basedOn w:val="9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04" w:customStyle="1">
    <w:name w:val="xl106"/>
    <w:basedOn w:val="94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5" w:customStyle="1">
    <w:name w:val="font21"/>
    <w:basedOn w:val="943"/>
    <w:uiPriority w:val="0"/>
    <w:qFormat/>
    <w:pPr>
      <w:jc w:val="left"/>
      <w:spacing w:before="100" w:beforeAutospacing="1" w:after="100" w:afterAutospacing="1"/>
      <w:widowControl/>
    </w:pPr>
    <w:rPr>
      <w:rFonts w:ascii="宋体" w:hAnsi="宋体" w:cs="宋体"/>
      <w:b/>
      <w:bCs/>
      <w:color w:val="000000"/>
      <w:sz w:val="18"/>
      <w:szCs w:val="18"/>
    </w:rPr>
  </w:style>
  <w:style w:type="paragraph" w:styleId="1406" w:customStyle="1">
    <w:name w:val="标书正文"/>
    <w:basedOn w:val="943"/>
    <w:uiPriority w:val="99"/>
    <w:qFormat/>
    <w:pPr>
      <w:ind w:firstLine="431"/>
      <w:jc w:val="left"/>
      <w:spacing w:before="120" w:after="120" w:line="360" w:lineRule="auto"/>
      <w:widowControl/>
    </w:pPr>
    <w:rPr>
      <w:sz w:val="22"/>
      <w:szCs w:val="21"/>
      <w:lang w:eastAsia="en-US"/>
    </w:rPr>
  </w:style>
  <w:style w:type="paragraph" w:styleId="1407" w:customStyle="1">
    <w:name w:val="xl26"/>
    <w:basedOn w:val="9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8" w:customStyle="1">
    <w:name w:val="可研 + 首行缩进:  2 字符"/>
    <w:basedOn w:val="943"/>
    <w:uiPriority w:val="0"/>
    <w:qFormat/>
    <w:pPr>
      <w:ind w:firstLine="200"/>
      <w:spacing w:before="120" w:line="288" w:lineRule="auto"/>
    </w:pPr>
    <w:rPr>
      <w:rFonts w:eastAsia="仿宋_GB2312"/>
      <w:sz w:val="24"/>
      <w:szCs w:val="20"/>
    </w:rPr>
  </w:style>
  <w:style w:type="paragraph" w:styleId="1409" w:customStyle="1">
    <w:name w:val="font19"/>
    <w:basedOn w:val="943"/>
    <w:uiPriority w:val="0"/>
    <w:qFormat/>
    <w:pPr>
      <w:jc w:val="left"/>
      <w:spacing w:before="100" w:beforeAutospacing="1" w:after="100" w:afterAutospacing="1"/>
      <w:widowControl/>
    </w:pPr>
    <w:rPr>
      <w:rFonts w:ascii="宋体" w:hAnsi="宋体" w:cs="宋体"/>
      <w:sz w:val="18"/>
      <w:szCs w:val="18"/>
    </w:rPr>
  </w:style>
  <w:style w:type="paragraph" w:styleId="1410" w:customStyle="1">
    <w:name w:val="Char Char Char1 Char Char Char Char1"/>
    <w:basedOn w:val="943"/>
    <w:uiPriority w:val="0"/>
    <w:qFormat/>
    <w:pPr>
      <w:jc w:val="left"/>
      <w:spacing w:after="160" w:line="240" w:lineRule="exact"/>
      <w:widowControl/>
    </w:pPr>
    <w:rPr>
      <w:rFonts w:ascii="宋体" w:hAnsi="宋体"/>
      <w:b/>
      <w:sz w:val="28"/>
      <w:szCs w:val="28"/>
    </w:rPr>
  </w:style>
  <w:style w:type="paragraph" w:styleId="1411" w:customStyle="1">
    <w:name w:val="font9"/>
    <w:basedOn w:val="943"/>
    <w:uiPriority w:val="0"/>
    <w:qFormat/>
    <w:pPr>
      <w:jc w:val="left"/>
      <w:spacing w:before="100" w:beforeAutospacing="1" w:after="100" w:afterAutospacing="1"/>
      <w:widowControl/>
    </w:pPr>
    <w:rPr>
      <w:rFonts w:ascii="宋体" w:hAnsi="宋体" w:cs="宋体"/>
      <w:sz w:val="20"/>
      <w:szCs w:val="20"/>
    </w:rPr>
  </w:style>
  <w:style w:type="paragraph" w:styleId="1412" w:customStyle="1">
    <w:name w:val="xl113"/>
    <w:basedOn w:val="943"/>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413" w:customStyle="1">
    <w:name w:val="xl88"/>
    <w:basedOn w:val="9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4" w:customStyle="1">
    <w:name w:val="xl94"/>
    <w:basedOn w:val="9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5" w:customStyle="1">
    <w:name w:val="Char4"/>
    <w:basedOn w:val="943"/>
    <w:uiPriority w:val="0"/>
    <w:qFormat/>
    <w:pPr>
      <w:tabs>
        <w:tab w:val="left" w:pos="360" w:leader="none"/>
      </w:tabs>
    </w:pPr>
    <w:rPr>
      <w:sz w:val="24"/>
    </w:rPr>
  </w:style>
  <w:style w:type="paragraph" w:styleId="1416" w:customStyle="1">
    <w:name w:val="xl100"/>
    <w:basedOn w:val="94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417" w:customStyle="1">
    <w:name w:val="xl65"/>
    <w:basedOn w:val="943"/>
    <w:uiPriority w:val="0"/>
    <w:qFormat/>
    <w:pPr>
      <w:jc w:val="left"/>
      <w:spacing w:before="100" w:beforeAutospacing="1" w:after="100" w:afterAutospacing="1"/>
      <w:widowControl/>
    </w:pPr>
    <w:rPr>
      <w:rFonts w:ascii="宋体" w:hAnsi="宋体" w:cs="宋体"/>
      <w:b/>
      <w:bCs/>
      <w:color w:val="000000"/>
      <w:sz w:val="24"/>
    </w:rPr>
  </w:style>
  <w:style w:type="paragraph" w:styleId="1418" w:customStyle="1">
    <w:name w:val="Char Char Char Char1"/>
    <w:basedOn w:val="1175"/>
    <w:uiPriority w:val="0"/>
    <w:qFormat/>
    <w:pPr>
      <w:spacing w:line="360" w:lineRule="auto"/>
    </w:pPr>
    <w:rPr>
      <w:rFonts w:ascii="Tahoma" w:hAnsi="Tahoma"/>
      <w:sz w:val="24"/>
      <w:szCs w:val="24"/>
    </w:rPr>
  </w:style>
  <w:style w:type="paragraph" w:styleId="1419" w:customStyle="1">
    <w:name w:val="Main_heading"/>
    <w:basedOn w:val="943"/>
    <w:next w:val="943"/>
    <w:uiPriority w:val="0"/>
    <w:qFormat/>
    <w:pPr>
      <w:jc w:val="left"/>
      <w:spacing w:before="240" w:after="240" w:line="240" w:lineRule="atLeast"/>
      <w:widowControl/>
    </w:pPr>
    <w:rPr>
      <w:rFonts w:eastAsia="MS Mincho"/>
      <w:b/>
      <w:sz w:val="28"/>
      <w:szCs w:val="20"/>
      <w:lang w:eastAsia="ja-JP"/>
    </w:rPr>
  </w:style>
  <w:style w:type="paragraph" w:styleId="1420"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421" w:customStyle="1">
    <w:name w:val="标题6"/>
    <w:basedOn w:val="1155"/>
    <w:uiPriority w:val="0"/>
    <w:qFormat/>
    <w:pPr>
      <w:numPr>
        <w:ilvl w:val="0"/>
        <w:numId w:val="0"/>
      </w:numPr>
      <w:keepLines w:val="0"/>
      <w:keepNext w:val="0"/>
      <w:spacing w:before="0" w:after="0" w:line="360" w:lineRule="auto"/>
    </w:pPr>
    <w:rPr>
      <w:rFonts w:eastAsia="仿宋_GB2312"/>
      <w:b w:val="0"/>
      <w:sz w:val="30"/>
    </w:rPr>
  </w:style>
  <w:style w:type="paragraph" w:styleId="1422" w:customStyle="1">
    <w:name w:val="Char5 Char Char Char Char Char Char1"/>
    <w:basedOn w:val="943"/>
    <w:uiPriority w:val="0"/>
    <w:qFormat/>
    <w:rPr>
      <w:rFonts w:ascii="Tahoma" w:hAnsi="Tahoma"/>
      <w:sz w:val="24"/>
      <w:szCs w:val="20"/>
    </w:rPr>
  </w:style>
  <w:style w:type="paragraph" w:styleId="1423" w:customStyle="1">
    <w:name w:val="font10"/>
    <w:basedOn w:val="943"/>
    <w:uiPriority w:val="0"/>
    <w:qFormat/>
    <w:pPr>
      <w:jc w:val="left"/>
      <w:spacing w:before="100" w:beforeAutospacing="1" w:after="100" w:afterAutospacing="1"/>
      <w:widowControl/>
    </w:pPr>
    <w:rPr>
      <w:rFonts w:ascii="Tahoma" w:hAnsi="Tahoma" w:cs="Tahoma"/>
      <w:b/>
      <w:bCs/>
      <w:sz w:val="18"/>
      <w:szCs w:val="18"/>
    </w:rPr>
  </w:style>
  <w:style w:type="paragraph" w:styleId="1424" w:customStyle="1">
    <w:name w:val="样式3"/>
    <w:basedOn w:val="1188"/>
    <w:uiPriority w:val="0"/>
    <w:qFormat/>
    <w:rPr>
      <w:rFonts w:cs="宋体"/>
    </w:rPr>
  </w:style>
  <w:style w:type="paragraph" w:styleId="1425" w:customStyle="1">
    <w:name w:val="列表 31"/>
    <w:basedOn w:val="943"/>
    <w:uiPriority w:val="0"/>
    <w:qFormat/>
    <w:pPr>
      <w:contextualSpacing/>
      <w:ind w:left="100" w:hanging="200"/>
    </w:pPr>
  </w:style>
  <w:style w:type="paragraph" w:styleId="1426" w:customStyle="1">
    <w:name w:val="列出段落11"/>
    <w:basedOn w:val="943"/>
    <w:uiPriority w:val="99"/>
    <w:qFormat/>
    <w:pPr>
      <w:ind w:firstLine="420"/>
    </w:pPr>
  </w:style>
  <w:style w:type="paragraph" w:styleId="1427" w:customStyle="1">
    <w:name w:val="xl101"/>
    <w:basedOn w:val="94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28" w:customStyle="1">
    <w:name w:val="xl120"/>
    <w:basedOn w:val="943"/>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29" w:customStyle="1">
    <w:name w:val="xl87"/>
    <w:basedOn w:val="94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30" w:customStyle="1">
    <w:name w:val="默认段落字体 Para Char Char Char Char Char Char Char Char Char1 Char Char Char Char Char Char Char"/>
    <w:basedOn w:val="1175"/>
    <w:uiPriority w:val="0"/>
    <w:qFormat/>
    <w:rPr>
      <w:rFonts w:ascii="Tahoma" w:hAnsi="Tahoma" w:cs="Tahoma"/>
      <w:sz w:val="24"/>
      <w:szCs w:val="24"/>
    </w:rPr>
  </w:style>
  <w:style w:type="paragraph" w:styleId="1431" w:customStyle="1">
    <w:name w:val="xl111"/>
    <w:basedOn w:val="94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432" w:customStyle="1">
    <w:name w:val="xl121"/>
    <w:basedOn w:val="943"/>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433" w:customStyle="1">
    <w:name w:val="五级标题"/>
    <w:basedOn w:val="1384"/>
    <w:uiPriority w:val="0"/>
    <w:qFormat/>
    <w:pPr>
      <w:numPr>
        <w:ilvl w:val="4"/>
      </w:numPr>
      <w:ind w:right="278"/>
      <w:outlineLvl w:val="4"/>
    </w:pPr>
  </w:style>
  <w:style w:type="paragraph" w:styleId="1434" w:customStyle="1">
    <w:name w:val="xl117"/>
    <w:basedOn w:val="9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35" w:customStyle="1">
    <w:name w:val="xl70"/>
    <w:basedOn w:val="94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36" w:customStyle="1">
    <w:name w:val="图标"/>
    <w:basedOn w:val="943"/>
    <w:next w:val="94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37" w:customStyle="1">
    <w:name w:val="Char Char Char Char Char Char Char"/>
    <w:basedOn w:val="943"/>
    <w:uiPriority w:val="0"/>
    <w:qFormat/>
    <w:pPr>
      <w:ind w:left="432" w:hanging="432"/>
      <w:tabs>
        <w:tab w:val="left" w:pos="432" w:leader="none"/>
      </w:tabs>
    </w:pPr>
    <w:rPr>
      <w:rFonts w:ascii="Tahoma" w:hAnsi="Tahoma"/>
      <w:sz w:val="24"/>
      <w:szCs w:val="20"/>
    </w:rPr>
  </w:style>
  <w:style w:type="paragraph" w:styleId="1438" w:customStyle="1">
    <w:name w:val="xl69"/>
    <w:basedOn w:val="94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39" w:customStyle="1">
    <w:name w:val="xl105"/>
    <w:basedOn w:val="9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40" w:customStyle="1">
    <w:name w:val="标题9"/>
    <w:basedOn w:val="1158"/>
    <w:uiPriority w:val="0"/>
    <w:qFormat/>
    <w:pPr>
      <w:numPr>
        <w:ilvl w:val="0"/>
        <w:numId w:val="0"/>
      </w:numPr>
      <w:keepLines w:val="0"/>
      <w:keepNext w:val="0"/>
      <w:spacing w:before="0" w:after="0" w:line="360" w:lineRule="auto"/>
    </w:pPr>
    <w:rPr>
      <w:rFonts w:eastAsia="仿宋_GB2312"/>
      <w:sz w:val="30"/>
    </w:rPr>
  </w:style>
  <w:style w:type="paragraph" w:styleId="1441" w:customStyle="1">
    <w:name w:val="xl82"/>
    <w:basedOn w:val="94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2"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443" w:customStyle="1">
    <w:name w:val="xl116"/>
    <w:basedOn w:val="943"/>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444" w:customStyle="1">
    <w:name w:val="Char Char"/>
    <w:basedOn w:val="943"/>
    <w:uiPriority w:val="0"/>
    <w:qFormat/>
    <w:pPr>
      <w:ind w:left="360"/>
      <w:jc w:val="left"/>
      <w:spacing w:before="100" w:beforeAutospacing="1" w:after="100" w:afterAutospacing="1" w:line="360" w:lineRule="auto"/>
      <w:widowControl/>
    </w:pPr>
    <w:rPr>
      <w:szCs w:val="20"/>
    </w:rPr>
  </w:style>
  <w:style w:type="paragraph" w:styleId="1445" w:customStyle="1">
    <w:name w:val="Char5 Char Char Char Char Char Char3"/>
    <w:basedOn w:val="943"/>
    <w:uiPriority w:val="0"/>
    <w:qFormat/>
    <w:rPr>
      <w:rFonts w:ascii="Tahoma" w:hAnsi="Tahoma"/>
      <w:sz w:val="24"/>
      <w:szCs w:val="20"/>
    </w:rPr>
  </w:style>
  <w:style w:type="paragraph" w:styleId="1446" w:customStyle="1">
    <w:name w:val="xl95"/>
    <w:basedOn w:val="9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7" w:customStyle="1">
    <w:name w:val="font13"/>
    <w:basedOn w:val="943"/>
    <w:uiPriority w:val="0"/>
    <w:qFormat/>
    <w:pPr>
      <w:jc w:val="left"/>
      <w:spacing w:before="100" w:beforeAutospacing="1" w:after="100" w:afterAutospacing="1"/>
      <w:widowControl/>
    </w:pPr>
    <w:rPr>
      <w:rFonts w:ascii="宋体" w:hAnsi="宋体" w:cs="宋体"/>
      <w:b/>
      <w:bCs/>
      <w:color w:val="000000"/>
      <w:sz w:val="28"/>
      <w:szCs w:val="28"/>
    </w:rPr>
  </w:style>
  <w:style w:type="paragraph" w:styleId="1448" w:customStyle="1">
    <w:name w:val="纯文本2"/>
    <w:basedOn w:val="943"/>
    <w:uiPriority w:val="0"/>
    <w:qFormat/>
    <w:rPr>
      <w:rFonts w:ascii="宋体" w:hAnsi="Courier New" w:eastAsia="楷体_GB2312"/>
      <w:sz w:val="26"/>
      <w:szCs w:val="20"/>
    </w:rPr>
  </w:style>
  <w:style w:type="paragraph" w:styleId="1449" w:customStyle="1">
    <w:name w:val="p25"/>
    <w:basedOn w:val="943"/>
    <w:uiPriority w:val="0"/>
    <w:qFormat/>
    <w:pPr>
      <w:jc w:val="left"/>
      <w:widowControl/>
    </w:pPr>
    <w:rPr>
      <w:rFonts w:ascii="宋体" w:hAnsi="宋体" w:cs="宋体"/>
      <w:sz w:val="26"/>
      <w:szCs w:val="26"/>
    </w:rPr>
  </w:style>
  <w:style w:type="paragraph" w:styleId="1450" w:customStyle="1">
    <w:name w:val="indent-fix3"/>
    <w:basedOn w:val="943"/>
    <w:uiPriority w:val="0"/>
    <w:qFormat/>
    <w:pPr>
      <w:jc w:val="left"/>
      <w:spacing w:before="100" w:beforeAutospacing="1" w:after="100" w:afterAutospacing="1"/>
      <w:widowControl/>
    </w:pPr>
    <w:rPr>
      <w:rFonts w:ascii="宋体" w:hAnsi="宋体" w:cs="宋体"/>
      <w:sz w:val="24"/>
    </w:rPr>
  </w:style>
  <w:style w:type="paragraph" w:styleId="1451" w:customStyle="1">
    <w:name w:val="Char Char Char Char Char Char Char2"/>
    <w:basedOn w:val="943"/>
    <w:uiPriority w:val="0"/>
    <w:qFormat/>
    <w:pPr>
      <w:ind w:left="432" w:hanging="432"/>
      <w:tabs>
        <w:tab w:val="left" w:pos="432" w:leader="none"/>
      </w:tabs>
    </w:pPr>
    <w:rPr>
      <w:rFonts w:ascii="Tahoma" w:hAnsi="Tahoma"/>
      <w:sz w:val="24"/>
      <w:szCs w:val="20"/>
    </w:rPr>
  </w:style>
  <w:style w:type="paragraph" w:styleId="1452" w:customStyle="1">
    <w:name w:val="1 Char Char Char Char Char Char Char"/>
    <w:basedOn w:val="943"/>
    <w:uiPriority w:val="0"/>
    <w:qFormat/>
    <w:pPr>
      <w:spacing w:line="360" w:lineRule="auto"/>
    </w:pPr>
    <w:rPr>
      <w:rFonts w:ascii="仿宋_GB2312" w:hAnsi="宋体" w:eastAsia="仿宋_GB2312" w:cs="宋体"/>
      <w:szCs w:val="21"/>
    </w:rPr>
  </w:style>
  <w:style w:type="paragraph" w:styleId="1453" w:customStyle="1">
    <w:name w:val="样式2"/>
    <w:basedOn w:val="943"/>
    <w:uiPriority w:val="0"/>
    <w:qFormat/>
    <w:pPr>
      <w:numPr>
        <w:ilvl w:val="0"/>
        <w:numId w:val="8"/>
      </w:numPr>
      <w:spacing w:line="288" w:lineRule="auto"/>
    </w:pPr>
  </w:style>
  <w:style w:type="paragraph" w:styleId="1454" w:customStyle="1">
    <w:name w:val="Body Text(ch)"/>
    <w:basedOn w:val="943"/>
    <w:next w:val="1181"/>
    <w:uiPriority w:val="0"/>
    <w:qFormat/>
    <w:pPr>
      <w:spacing w:after="120"/>
    </w:pPr>
    <w:rPr>
      <w:rFonts w:ascii="宋体" w:hAnsi="宋体" w:cs="宋体"/>
      <w:bCs/>
      <w:iCs/>
    </w:rPr>
  </w:style>
  <w:style w:type="paragraph" w:styleId="1455" w:customStyle="1">
    <w:name w:val="TOC 标题2"/>
    <w:basedOn w:val="1150"/>
    <w:next w:val="943"/>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456" w:customStyle="1">
    <w:name w:val="正文格式"/>
    <w:basedOn w:val="943"/>
    <w:uiPriority w:val="0"/>
    <w:qFormat/>
    <w:pPr>
      <w:ind w:firstLine="482"/>
      <w:spacing w:line="400" w:lineRule="exact"/>
      <w:widowControl/>
    </w:pPr>
    <w:rPr>
      <w:rFonts w:ascii="Arial" w:hAnsi="Arial" w:eastAsia="新宋体" w:cs="Arial"/>
      <w:sz w:val="24"/>
      <w:szCs w:val="20"/>
    </w:rPr>
  </w:style>
  <w:style w:type="paragraph" w:styleId="1457" w:customStyle="1">
    <w:name w:val="xl119"/>
    <w:basedOn w:val="9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58" w:customStyle="1">
    <w:name w:val="1"/>
    <w:basedOn w:val="943"/>
    <w:next w:val="1281"/>
    <w:uiPriority w:val="34"/>
    <w:qFormat/>
    <w:pPr>
      <w:ind w:firstLine="420"/>
    </w:pPr>
  </w:style>
  <w:style w:type="paragraph" w:styleId="1459" w:customStyle="1">
    <w:name w:val="xl102"/>
    <w:basedOn w:val="94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60" w:customStyle="1">
    <w:name w:val="font7"/>
    <w:basedOn w:val="943"/>
    <w:uiPriority w:val="0"/>
    <w:qFormat/>
    <w:pPr>
      <w:jc w:val="left"/>
      <w:spacing w:before="100" w:beforeAutospacing="1" w:after="100" w:afterAutospacing="1"/>
      <w:widowControl/>
    </w:pPr>
    <w:rPr>
      <w:rFonts w:ascii="宋体" w:hAnsi="宋体" w:cs="宋体"/>
      <w:sz w:val="18"/>
      <w:szCs w:val="18"/>
    </w:rPr>
  </w:style>
  <w:style w:type="paragraph" w:styleId="1461" w:customStyle="1">
    <w:name w:val="font12"/>
    <w:basedOn w:val="943"/>
    <w:uiPriority w:val="0"/>
    <w:qFormat/>
    <w:pPr>
      <w:jc w:val="left"/>
      <w:spacing w:before="100" w:beforeAutospacing="1" w:after="100" w:afterAutospacing="1"/>
      <w:widowControl/>
    </w:pPr>
    <w:rPr>
      <w:rFonts w:ascii="宋体" w:hAnsi="宋体" w:cs="宋体"/>
      <w:sz w:val="18"/>
      <w:szCs w:val="18"/>
    </w:rPr>
  </w:style>
  <w:style w:type="paragraph" w:styleId="1462" w:customStyle="1">
    <w:name w:val="p0"/>
    <w:basedOn w:val="943"/>
    <w:uiPriority w:val="99"/>
    <w:qFormat/>
    <w:pPr>
      <w:widowControl/>
    </w:pPr>
    <w:rPr>
      <w:rFonts w:cs="宋体"/>
      <w:szCs w:val="21"/>
    </w:rPr>
  </w:style>
  <w:style w:type="paragraph" w:styleId="1463"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464" w:customStyle="1">
    <w:name w:val="_Style 7"/>
    <w:basedOn w:val="943"/>
    <w:uiPriority w:val="99"/>
    <w:qFormat/>
    <w:pPr>
      <w:ind w:firstLine="420"/>
    </w:pPr>
    <w:rPr>
      <w:szCs w:val="20"/>
    </w:rPr>
  </w:style>
  <w:style w:type="paragraph" w:styleId="1465" w:customStyle="1">
    <w:name w:val="标书内容123"/>
    <w:basedOn w:val="943"/>
    <w:uiPriority w:val="99"/>
    <w:qFormat/>
    <w:pPr>
      <w:ind w:left="432"/>
      <w:jc w:val="left"/>
      <w:spacing w:line="360" w:lineRule="auto"/>
      <w:widowControl/>
    </w:pPr>
    <w:rPr>
      <w:sz w:val="24"/>
    </w:rPr>
  </w:style>
  <w:style w:type="paragraph" w:styleId="1466" w:customStyle="1">
    <w:name w:val="xl80"/>
    <w:basedOn w:val="943"/>
    <w:uiPriority w:val="0"/>
    <w:qFormat/>
    <w:pPr>
      <w:jc w:val="center"/>
      <w:spacing w:before="100" w:beforeAutospacing="1" w:after="100" w:afterAutospacing="1"/>
      <w:widowControl/>
    </w:pPr>
    <w:rPr>
      <w:rFonts w:ascii="宋体" w:hAnsi="宋体" w:cs="宋体"/>
      <w:color w:val="000000"/>
      <w:sz w:val="24"/>
    </w:rPr>
  </w:style>
  <w:style w:type="paragraph" w:styleId="1467"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468" w:customStyle="1">
    <w:name w:val="文档正文"/>
    <w:basedOn w:val="943"/>
    <w:uiPriority w:val="0"/>
    <w:qFormat/>
    <w:pPr>
      <w:ind w:firstLine="567"/>
      <w:spacing w:line="480" w:lineRule="atLeast"/>
    </w:pPr>
    <w:rPr>
      <w:rFonts w:ascii="仿宋_GB2312" w:eastAsia="仿宋_GB2312"/>
      <w:b/>
      <w:bCs/>
      <w:sz w:val="28"/>
      <w:szCs w:val="20"/>
    </w:rPr>
  </w:style>
  <w:style w:type="paragraph" w:styleId="1469" w:customStyle="1">
    <w:name w:val="xl99"/>
    <w:basedOn w:val="9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470" w:customStyle="1">
    <w:name w:val="xl78"/>
    <w:basedOn w:val="9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71" w:customStyle="1">
    <w:name w:val="xl68"/>
    <w:basedOn w:val="9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72" w:customStyle="1">
    <w:name w:val="4"/>
    <w:basedOn w:val="943"/>
    <w:next w:val="1207"/>
    <w:uiPriority w:val="0"/>
    <w:qFormat/>
    <w:pPr>
      <w:ind w:firstLine="420"/>
      <w:spacing w:line="360" w:lineRule="auto"/>
    </w:pPr>
    <w:rPr>
      <w:color w:val="ff0000"/>
      <w:sz w:val="24"/>
    </w:rPr>
  </w:style>
  <w:style w:type="paragraph" w:styleId="1473" w:customStyle="1">
    <w:name w:val="xl29"/>
    <w:basedOn w:val="943"/>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474" w:customStyle="1">
    <w:name w:val="列表内容"/>
    <w:basedOn w:val="943"/>
    <w:next w:val="943"/>
    <w:uiPriority w:val="0"/>
    <w:qFormat/>
    <w:pPr>
      <w:ind w:left="840" w:hanging="420"/>
      <w:jc w:val="left"/>
      <w:widowControl/>
      <w:tabs>
        <w:tab w:val="left" w:pos="840" w:leader="none"/>
      </w:tabs>
    </w:pPr>
    <w:rPr>
      <w:sz w:val="18"/>
    </w:rPr>
  </w:style>
  <w:style w:type="paragraph" w:styleId="1475" w:customStyle="1">
    <w:name w:val="Char Char Char Char Char Char Char1"/>
    <w:basedOn w:val="943"/>
    <w:uiPriority w:val="0"/>
    <w:qFormat/>
    <w:pPr>
      <w:ind w:left="432" w:hanging="432"/>
      <w:tabs>
        <w:tab w:val="left" w:pos="432" w:leader="none"/>
      </w:tabs>
    </w:pPr>
    <w:rPr>
      <w:rFonts w:ascii="Tahoma" w:hAnsi="Tahoma"/>
      <w:sz w:val="24"/>
      <w:szCs w:val="20"/>
    </w:rPr>
  </w:style>
  <w:style w:type="paragraph" w:styleId="1476" w:customStyle="1">
    <w:name w:val="普通 (Web)"/>
    <w:basedOn w:val="943"/>
    <w:uiPriority w:val="0"/>
    <w:qFormat/>
    <w:pPr>
      <w:jc w:val="left"/>
      <w:spacing w:before="100" w:beforeAutospacing="1" w:after="100" w:afterAutospacing="1"/>
      <w:widowControl/>
    </w:pPr>
    <w:rPr>
      <w:rFonts w:ascii="宋体" w:hAnsi="宋体" w:cs="宋体"/>
      <w:sz w:val="24"/>
    </w:rPr>
  </w:style>
  <w:style w:type="paragraph" w:styleId="1477" w:customStyle="1">
    <w:name w:val="xl76"/>
    <w:basedOn w:val="9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78" w:customStyle="1">
    <w:name w:val="报告正文"/>
    <w:basedOn w:val="943"/>
    <w:uiPriority w:val="0"/>
    <w:qFormat/>
    <w:pPr>
      <w:ind w:firstLine="567"/>
    </w:pPr>
    <w:rPr>
      <w:rFonts w:ascii="Arial Narrow" w:hAnsi="Arial Narrow" w:eastAsia="仿宋_GB2312"/>
      <w:sz w:val="28"/>
      <w:szCs w:val="20"/>
    </w:rPr>
  </w:style>
  <w:style w:type="paragraph" w:styleId="1479" w:customStyle="1">
    <w:name w:val="标题8"/>
    <w:basedOn w:val="1157"/>
    <w:uiPriority w:val="0"/>
    <w:qFormat/>
    <w:pPr>
      <w:numPr>
        <w:ilvl w:val="0"/>
        <w:numId w:val="0"/>
      </w:numPr>
      <w:keepLines w:val="0"/>
      <w:keepNext w:val="0"/>
      <w:spacing w:before="0" w:after="0" w:line="360" w:lineRule="auto"/>
    </w:pPr>
    <w:rPr>
      <w:rFonts w:eastAsia="仿宋_GB2312"/>
      <w:sz w:val="30"/>
    </w:rPr>
  </w:style>
  <w:style w:type="paragraph" w:styleId="1480" w:customStyle="1">
    <w:name w:val="xl81"/>
    <w:basedOn w:val="94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81"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482" w:customStyle="1">
    <w:name w:val="列表 21"/>
    <w:basedOn w:val="943"/>
    <w:uiPriority w:val="0"/>
    <w:qFormat/>
    <w:pPr>
      <w:contextualSpacing/>
      <w:ind w:left="100" w:hanging="200"/>
    </w:pPr>
  </w:style>
  <w:style w:type="paragraph" w:styleId="1483" w:customStyle="1">
    <w:name w:val="列出段落111"/>
    <w:basedOn w:val="943"/>
    <w:uiPriority w:val="72"/>
    <w:qFormat/>
    <w:pPr>
      <w:ind w:firstLine="420"/>
      <w:jc w:val="left"/>
      <w:widowControl/>
    </w:pPr>
    <w:rPr>
      <w:sz w:val="24"/>
      <w:szCs w:val="20"/>
    </w:rPr>
  </w:style>
  <w:style w:type="paragraph" w:styleId="1484" w:customStyle="1">
    <w:name w:val="xl108"/>
    <w:basedOn w:val="94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85" w:customStyle="1">
    <w:name w:val="Char Char Char Char Char Char Char Char1"/>
    <w:basedOn w:val="943"/>
    <w:uiPriority w:val="0"/>
    <w:qFormat/>
    <w:pPr>
      <w:jc w:val="left"/>
      <w:spacing w:after="160" w:line="240" w:lineRule="exact"/>
      <w:widowControl/>
    </w:pPr>
    <w:rPr>
      <w:rFonts w:ascii="Verdana" w:hAnsi="Verdana" w:cs="宋体"/>
      <w:sz w:val="20"/>
      <w:szCs w:val="20"/>
      <w:lang w:eastAsia="en-US"/>
    </w:rPr>
  </w:style>
  <w:style w:type="paragraph" w:styleId="1486" w:customStyle="1">
    <w:name w:val="Char5 Char Char Char Char Char Char4"/>
    <w:basedOn w:val="943"/>
    <w:uiPriority w:val="0"/>
    <w:qFormat/>
    <w:rPr>
      <w:rFonts w:ascii="Tahoma" w:hAnsi="Tahoma"/>
      <w:sz w:val="24"/>
      <w:szCs w:val="20"/>
    </w:rPr>
  </w:style>
  <w:style w:type="paragraph" w:styleId="1487" w:customStyle="1">
    <w:name w:val="Normal_2"/>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488" w:customStyle="1">
    <w:name w:val="首行缩进_0"/>
    <w:basedOn w:val="1489"/>
    <w:uiPriority w:val="0"/>
    <w:qFormat/>
    <w:pPr>
      <w:ind w:firstLine="480"/>
      <w:spacing w:line="360" w:lineRule="auto"/>
    </w:pPr>
    <w:rPr>
      <w:rFonts w:ascii="宋体" w:hAnsi="宋体"/>
    </w:rPr>
  </w:style>
  <w:style w:type="paragraph" w:styleId="1489" w:customStyle="1">
    <w:name w:val="Normal_1"/>
    <w:next w:val="1488"/>
    <w:uiPriority w:val="0"/>
    <w:qFormat/>
    <w:rPr>
      <w:rFonts w:ascii="Times New Roman" w:hAnsi="Times New Roman" w:eastAsia="Times New Roman" w:cs="Times New Roman"/>
      <w:sz w:val="24"/>
      <w:szCs w:val="24"/>
      <w:lang w:val="en-US" w:eastAsia="zh-CN" w:bidi="ar-SA"/>
    </w:rPr>
  </w:style>
  <w:style w:type="paragraph" w:styleId="1490" w:customStyle="1">
    <w:name w:val="Normal_13"/>
    <w:next w:val="1488"/>
    <w:uiPriority w:val="0"/>
    <w:qFormat/>
    <w:rPr>
      <w:rFonts w:ascii="Times New Roman" w:hAnsi="Times New Roman" w:eastAsia="Times New Roman" w:cs="Times New Roman"/>
      <w:sz w:val="24"/>
      <w:szCs w:val="24"/>
      <w:lang w:val="en-US" w:eastAsia="zh-CN" w:bidi="ar-SA"/>
    </w:rPr>
  </w:style>
  <w:style w:type="paragraph" w:styleId="1491" w:customStyle="1">
    <w:name w:val="Normal_3"/>
    <w:next w:val="1488"/>
    <w:uiPriority w:val="0"/>
    <w:qFormat/>
    <w:rPr>
      <w:rFonts w:ascii="Times New Roman" w:hAnsi="Times New Roman" w:eastAsia="Times New Roman" w:cs="Times New Roman"/>
      <w:sz w:val="24"/>
      <w:szCs w:val="24"/>
      <w:lang w:val="en-US" w:eastAsia="zh-CN" w:bidi="ar-SA"/>
    </w:rPr>
  </w:style>
  <w:style w:type="paragraph" w:styleId="1492" w:customStyle="1">
    <w:name w:val="首行缩进_0_0"/>
    <w:basedOn w:val="1493"/>
    <w:uiPriority w:val="0"/>
    <w:qFormat/>
    <w:pPr>
      <w:ind w:firstLine="480"/>
      <w:jc w:val="left"/>
      <w:spacing w:line="360" w:lineRule="auto"/>
    </w:pPr>
    <w:rPr>
      <w:rFonts w:ascii="宋体" w:hAnsi="宋体"/>
      <w:sz w:val="24"/>
    </w:rPr>
  </w:style>
  <w:style w:type="paragraph" w:styleId="1493" w:customStyle="1">
    <w:name w:val="Normal_0"/>
    <w:next w:val="1488"/>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494" w:customStyle="1">
    <w:name w:val="首行缩进_0_0_0"/>
    <w:basedOn w:val="1493"/>
    <w:uiPriority w:val="0"/>
    <w:qFormat/>
    <w:pPr>
      <w:ind w:firstLine="480"/>
      <w:jc w:val="left"/>
      <w:spacing w:line="360" w:lineRule="auto"/>
    </w:pPr>
    <w:rPr>
      <w:rFonts w:ascii="宋体" w:hAnsi="宋体"/>
      <w:sz w:val="24"/>
    </w:rPr>
  </w:style>
  <w:style w:type="paragraph" w:styleId="1495" w:customStyle="1">
    <w:name w:val="p0_0"/>
    <w:basedOn w:val="1487"/>
    <w:uiPriority w:val="0"/>
    <w:qFormat/>
    <w:pPr>
      <w:widowControl/>
    </w:pPr>
    <w:rPr>
      <w:szCs w:val="21"/>
    </w:rPr>
  </w:style>
  <w:style w:type="paragraph" w:styleId="1496" w:customStyle="1">
    <w:name w:val="Normal_4"/>
    <w:uiPriority w:val="0"/>
    <w:qFormat/>
    <w:rPr>
      <w:rFonts w:ascii="Times New Roman" w:hAnsi="Times New Roman" w:eastAsia="Times New Roman" w:cs="Times New Roman"/>
      <w:sz w:val="24"/>
      <w:szCs w:val="24"/>
      <w:lang w:val="en-US" w:eastAsia="zh-CN" w:bidi="ar-SA"/>
    </w:rPr>
  </w:style>
  <w:style w:type="paragraph" w:styleId="1497" w:customStyle="1">
    <w:name w:val="Normal_5"/>
    <w:uiPriority w:val="0"/>
    <w:qFormat/>
    <w:rPr>
      <w:rFonts w:ascii="Times New Roman" w:hAnsi="Times New Roman" w:eastAsia="Times New Roman" w:cs="Times New Roman"/>
      <w:sz w:val="24"/>
      <w:szCs w:val="24"/>
      <w:lang w:val="en-US" w:eastAsia="zh-CN" w:bidi="ar-SA"/>
    </w:rPr>
  </w:style>
  <w:style w:type="paragraph" w:styleId="1498" w:customStyle="1">
    <w:name w:val="Normal_6"/>
    <w:uiPriority w:val="0"/>
    <w:qFormat/>
    <w:rPr>
      <w:rFonts w:ascii="Times New Roman" w:hAnsi="Times New Roman" w:eastAsia="Times New Roman" w:cs="Times New Roman"/>
      <w:sz w:val="24"/>
      <w:szCs w:val="24"/>
      <w:lang w:val="en-US" w:eastAsia="zh-CN" w:bidi="ar-SA"/>
    </w:rPr>
  </w:style>
  <w:style w:type="paragraph" w:styleId="1499" w:customStyle="1">
    <w:name w:val="Normal_7"/>
    <w:uiPriority w:val="0"/>
    <w:qFormat/>
    <w:rPr>
      <w:rFonts w:ascii="Times New Roman" w:hAnsi="Times New Roman" w:eastAsia="Times New Roman" w:cs="Times New Roman"/>
      <w:sz w:val="24"/>
      <w:szCs w:val="24"/>
      <w:lang w:val="en-US" w:eastAsia="zh-CN" w:bidi="ar-SA"/>
    </w:rPr>
  </w:style>
  <w:style w:type="paragraph" w:styleId="1500" w:customStyle="1">
    <w:name w:val="Normal_8"/>
    <w:uiPriority w:val="0"/>
    <w:qFormat/>
    <w:rPr>
      <w:rFonts w:ascii="Times New Roman" w:hAnsi="Times New Roman" w:eastAsia="Times New Roman" w:cs="Times New Roman"/>
      <w:sz w:val="24"/>
      <w:szCs w:val="24"/>
      <w:lang w:val="en-US" w:eastAsia="zh-CN" w:bidi="ar-SA"/>
    </w:rPr>
  </w:style>
  <w:style w:type="paragraph" w:styleId="1501" w:customStyle="1">
    <w:name w:val="Normal_9"/>
    <w:uiPriority w:val="0"/>
    <w:qFormat/>
    <w:rPr>
      <w:rFonts w:ascii="Times New Roman" w:hAnsi="Times New Roman" w:eastAsia="Times New Roman" w:cs="Times New Roman"/>
      <w:sz w:val="24"/>
      <w:szCs w:val="24"/>
      <w:lang w:val="en-US" w:eastAsia="zh-CN" w:bidi="ar-SA"/>
    </w:rPr>
  </w:style>
  <w:style w:type="paragraph" w:styleId="1502" w:customStyle="1">
    <w:name w:val="Normal_10"/>
    <w:uiPriority w:val="0"/>
    <w:qFormat/>
    <w:rPr>
      <w:rFonts w:ascii="Times New Roman" w:hAnsi="Times New Roman" w:eastAsia="Times New Roman" w:cs="Times New Roman"/>
      <w:sz w:val="24"/>
      <w:szCs w:val="24"/>
      <w:lang w:val="en-US" w:eastAsia="zh-CN" w:bidi="ar-SA"/>
    </w:rPr>
  </w:style>
  <w:style w:type="paragraph" w:styleId="1503" w:customStyle="1">
    <w:name w:val="Normal_11"/>
    <w:uiPriority w:val="0"/>
    <w:qFormat/>
    <w:rPr>
      <w:rFonts w:ascii="Times New Roman" w:hAnsi="Times New Roman" w:eastAsia="Times New Roman" w:cs="Times New Roman"/>
      <w:sz w:val="24"/>
      <w:szCs w:val="24"/>
      <w:lang w:val="en-US" w:eastAsia="zh-CN" w:bidi="ar-SA"/>
    </w:rPr>
  </w:style>
  <w:style w:type="paragraph" w:styleId="1504" w:customStyle="1">
    <w:name w:val="Normal_12"/>
    <w:uiPriority w:val="0"/>
    <w:qFormat/>
    <w:rPr>
      <w:rFonts w:ascii="Times New Roman" w:hAnsi="Times New Roman" w:eastAsia="Times New Roman" w:cs="Times New Roman"/>
      <w:sz w:val="24"/>
      <w:szCs w:val="24"/>
      <w:lang w:val="en-US" w:eastAsia="zh-CN" w:bidi="ar-SA"/>
    </w:rPr>
  </w:style>
  <w:style w:type="paragraph" w:styleId="1505" w:customStyle="1">
    <w:name w:val="Normal_14"/>
    <w:uiPriority w:val="0"/>
    <w:qFormat/>
    <w:rPr>
      <w:rFonts w:ascii="Times New Roman" w:hAnsi="Times New Roman" w:eastAsia="Times New Roman" w:cs="Times New Roman"/>
      <w:sz w:val="24"/>
      <w:szCs w:val="24"/>
      <w:lang w:val="en-US" w:eastAsia="zh-CN" w:bidi="ar-SA"/>
    </w:rPr>
  </w:style>
  <w:style w:type="paragraph" w:styleId="1506" w:customStyle="1">
    <w:name w:val="Normal_15"/>
    <w:uiPriority w:val="0"/>
    <w:qFormat/>
    <w:rPr>
      <w:rFonts w:ascii="Times New Roman" w:hAnsi="Times New Roman" w:eastAsia="Times New Roman" w:cs="Times New Roman"/>
      <w:sz w:val="24"/>
      <w:szCs w:val="24"/>
      <w:lang w:val="en-US" w:eastAsia="zh-CN" w:bidi="ar-SA"/>
    </w:rPr>
  </w:style>
  <w:style w:type="paragraph" w:styleId="1507" w:customStyle="1">
    <w:name w:val="Normal_16"/>
    <w:uiPriority w:val="0"/>
    <w:qFormat/>
    <w:rPr>
      <w:rFonts w:ascii="Times New Roman" w:hAnsi="Times New Roman" w:eastAsia="Times New Roman" w:cs="Times New Roman"/>
      <w:sz w:val="24"/>
      <w:szCs w:val="24"/>
      <w:lang w:val="en-US" w:eastAsia="zh-CN" w:bidi="ar-SA"/>
    </w:rPr>
  </w:style>
  <w:style w:type="paragraph" w:styleId="1508" w:customStyle="1">
    <w:name w:val="Normal_17"/>
    <w:uiPriority w:val="0"/>
    <w:qFormat/>
    <w:rPr>
      <w:rFonts w:ascii="Times New Roman" w:hAnsi="Times New Roman" w:eastAsia="Times New Roman" w:cs="Times New Roman"/>
      <w:sz w:val="24"/>
      <w:szCs w:val="24"/>
      <w:lang w:val="en-US" w:eastAsia="zh-CN" w:bidi="ar-SA"/>
    </w:rPr>
  </w:style>
  <w:style w:type="paragraph" w:styleId="1509" w:customStyle="1">
    <w:name w:val="Normal_18"/>
    <w:uiPriority w:val="0"/>
    <w:qFormat/>
    <w:rPr>
      <w:rFonts w:ascii="Times New Roman" w:hAnsi="Times New Roman" w:eastAsia="Times New Roman" w:cs="Times New Roman"/>
      <w:sz w:val="24"/>
      <w:szCs w:val="24"/>
      <w:lang w:val="en-US" w:eastAsia="zh-CN" w:bidi="ar-SA"/>
    </w:rPr>
  </w:style>
  <w:style w:type="paragraph" w:styleId="1510" w:customStyle="1">
    <w:name w:val="Normal_19"/>
    <w:uiPriority w:val="0"/>
    <w:qFormat/>
    <w:rPr>
      <w:rFonts w:ascii="Times New Roman" w:hAnsi="Times New Roman" w:eastAsia="Times New Roman" w:cs="Times New Roman"/>
      <w:sz w:val="24"/>
      <w:szCs w:val="24"/>
      <w:lang w:val="en-US" w:eastAsia="zh-CN" w:bidi="ar-SA"/>
    </w:rPr>
  </w:style>
  <w:style w:type="paragraph" w:styleId="1511" w:customStyle="1">
    <w:name w:val="Normal_0_0"/>
    <w:uiPriority w:val="0"/>
    <w:qFormat/>
    <w:rPr>
      <w:rFonts w:ascii="Times New Roman" w:hAnsi="Times New Roman" w:eastAsia="Times New Roman" w:cs="Times New Roman"/>
      <w:sz w:val="24"/>
      <w:szCs w:val="24"/>
      <w:lang w:val="en-US" w:eastAsia="zh-CN" w:bidi="ar-SA"/>
    </w:rPr>
  </w:style>
  <w:style w:type="paragraph" w:styleId="1512" w:customStyle="1">
    <w:name w:val="Normal_1_0"/>
    <w:uiPriority w:val="0"/>
    <w:qFormat/>
    <w:rPr>
      <w:rFonts w:ascii="Times New Roman" w:hAnsi="Times New Roman" w:eastAsia="Times New Roman" w:cs="Times New Roman"/>
      <w:sz w:val="24"/>
      <w:szCs w:val="24"/>
      <w:lang w:val="en-US" w:eastAsia="zh-CN" w:bidi="ar-SA"/>
    </w:rPr>
  </w:style>
  <w:style w:type="paragraph" w:styleId="1513" w:customStyle="1">
    <w:name w:val="Normal_2_0"/>
    <w:uiPriority w:val="0"/>
    <w:qFormat/>
    <w:rPr>
      <w:rFonts w:ascii="Times New Roman" w:hAnsi="Times New Roman" w:eastAsia="Times New Roman" w:cs="Times New Roman"/>
      <w:sz w:val="24"/>
      <w:szCs w:val="24"/>
      <w:lang w:val="en-US" w:eastAsia="zh-CN" w:bidi="ar-SA"/>
    </w:rPr>
  </w:style>
  <w:style w:type="paragraph" w:styleId="1514" w:customStyle="1">
    <w:name w:val="Normal_0_1"/>
    <w:uiPriority w:val="0"/>
    <w:qFormat/>
    <w:rPr>
      <w:rFonts w:ascii="Times New Roman" w:hAnsi="Times New Roman" w:eastAsia="Times New Roman" w:cs="Times New Roman"/>
      <w:sz w:val="24"/>
      <w:szCs w:val="24"/>
      <w:lang w:val="en-US" w:eastAsia="zh-CN" w:bidi="ar-SA"/>
    </w:rPr>
  </w:style>
  <w:style w:type="paragraph" w:styleId="1515" w:customStyle="1">
    <w:name w:val="Normal_0_0_0"/>
    <w:uiPriority w:val="0"/>
    <w:qFormat/>
    <w:rPr>
      <w:rFonts w:ascii="Times New Roman" w:hAnsi="Times New Roman" w:eastAsia="Times New Roman" w:cs="Times New Roman"/>
      <w:sz w:val="24"/>
      <w:szCs w:val="24"/>
      <w:lang w:val="en-US" w:eastAsia="zh-CN" w:bidi="ar-SA"/>
    </w:rPr>
  </w:style>
  <w:style w:type="paragraph" w:styleId="1516" w:customStyle="1">
    <w:name w:val="Normal_0_0_0_0"/>
    <w:uiPriority w:val="0"/>
    <w:qFormat/>
    <w:rPr>
      <w:rFonts w:ascii="Times New Roman" w:hAnsi="Times New Roman" w:eastAsia="Times New Roman" w:cs="Times New Roman"/>
      <w:sz w:val="24"/>
      <w:szCs w:val="24"/>
      <w:lang w:val="en-US" w:eastAsia="zh-CN" w:bidi="ar-SA"/>
    </w:rPr>
  </w:style>
  <w:style w:type="paragraph" w:styleId="1517" w:customStyle="1">
    <w:name w:val="Normal_1_1"/>
    <w:uiPriority w:val="0"/>
    <w:qFormat/>
    <w:rPr>
      <w:rFonts w:ascii="Times New Roman" w:hAnsi="Times New Roman" w:eastAsia="Times New Roman" w:cs="Times New Roman"/>
      <w:sz w:val="24"/>
      <w:szCs w:val="24"/>
      <w:lang w:val="en-US" w:eastAsia="zh-CN" w:bidi="ar-SA"/>
    </w:rPr>
  </w:style>
  <w:style w:type="paragraph" w:styleId="1518" w:customStyle="1">
    <w:name w:val="Normal_0_1_0"/>
    <w:uiPriority w:val="0"/>
    <w:qFormat/>
    <w:rPr>
      <w:rFonts w:ascii="Times New Roman" w:hAnsi="Times New Roman" w:eastAsia="Times New Roman" w:cs="Times New Roman"/>
      <w:sz w:val="24"/>
      <w:szCs w:val="24"/>
      <w:lang w:val="en-US" w:eastAsia="zh-CN" w:bidi="ar-SA"/>
    </w:rPr>
  </w:style>
  <w:style w:type="paragraph" w:styleId="1519" w:customStyle="1">
    <w:name w:val="Normal_2_1"/>
    <w:uiPriority w:val="0"/>
    <w:qFormat/>
    <w:rPr>
      <w:rFonts w:ascii="Times New Roman" w:hAnsi="Times New Roman" w:eastAsia="Times New Roman" w:cs="Times New Roman"/>
      <w:sz w:val="24"/>
      <w:szCs w:val="24"/>
      <w:lang w:val="en-US" w:eastAsia="zh-CN" w:bidi="ar-SA"/>
    </w:rPr>
  </w:style>
  <w:style w:type="paragraph" w:styleId="1520" w:customStyle="1">
    <w:name w:val="Normal_3_0"/>
    <w:uiPriority w:val="0"/>
    <w:qFormat/>
    <w:rPr>
      <w:rFonts w:ascii="Times New Roman" w:hAnsi="Times New Roman" w:eastAsia="Times New Roman" w:cs="Times New Roman"/>
      <w:sz w:val="24"/>
      <w:szCs w:val="24"/>
      <w:lang w:val="en-US" w:eastAsia="zh-CN" w:bidi="ar-SA"/>
    </w:rPr>
  </w:style>
  <w:style w:type="paragraph" w:styleId="1521" w:customStyle="1">
    <w:name w:val="Normal_5_0"/>
    <w:uiPriority w:val="0"/>
    <w:qFormat/>
    <w:rPr>
      <w:rFonts w:ascii="Times New Roman" w:hAnsi="Times New Roman" w:eastAsia="Times New Roman" w:cs="Times New Roman"/>
      <w:sz w:val="24"/>
      <w:szCs w:val="24"/>
      <w:lang w:val="en-US" w:eastAsia="zh-CN" w:bidi="ar-SA"/>
    </w:rPr>
  </w:style>
  <w:style w:type="paragraph" w:styleId="1522" w:customStyle="1">
    <w:name w:val="Normal_6_0"/>
    <w:uiPriority w:val="0"/>
    <w:qFormat/>
    <w:rPr>
      <w:rFonts w:ascii="Times New Roman" w:hAnsi="Times New Roman" w:eastAsia="Times New Roman" w:cs="Times New Roman"/>
      <w:sz w:val="24"/>
      <w:szCs w:val="24"/>
      <w:lang w:val="en-US" w:eastAsia="zh-CN" w:bidi="ar-SA"/>
    </w:rPr>
  </w:style>
  <w:style w:type="paragraph" w:styleId="1523" w:customStyle="1">
    <w:name w:val="Normal_0_2"/>
    <w:uiPriority w:val="0"/>
    <w:qFormat/>
    <w:rPr>
      <w:rFonts w:ascii="Times New Roman" w:hAnsi="Times New Roman" w:eastAsia="Times New Roman" w:cs="Times New Roman"/>
      <w:sz w:val="24"/>
      <w:szCs w:val="24"/>
      <w:lang w:val="en-US" w:eastAsia="zh-CN" w:bidi="ar-SA"/>
    </w:rPr>
  </w:style>
  <w:style w:type="paragraph" w:styleId="1524" w:customStyle="1">
    <w:name w:val="Normal_1_2"/>
    <w:uiPriority w:val="0"/>
    <w:qFormat/>
    <w:rPr>
      <w:rFonts w:ascii="Times New Roman" w:hAnsi="Times New Roman" w:eastAsia="Times New Roman" w:cs="Times New Roman"/>
      <w:sz w:val="24"/>
      <w:szCs w:val="24"/>
      <w:lang w:val="en-US" w:eastAsia="zh-CN" w:bidi="ar-SA"/>
    </w:rPr>
  </w:style>
  <w:style w:type="paragraph" w:styleId="1525" w:customStyle="1">
    <w:name w:val="Normal_0_3"/>
    <w:uiPriority w:val="0"/>
    <w:qFormat/>
    <w:rPr>
      <w:rFonts w:ascii="Times New Roman" w:hAnsi="Times New Roman" w:eastAsia="Times New Roman" w:cs="Times New Roman"/>
      <w:sz w:val="24"/>
      <w:szCs w:val="24"/>
      <w:lang w:val="en-US" w:eastAsia="zh-CN" w:bidi="ar-SA"/>
    </w:rPr>
  </w:style>
  <w:style w:type="paragraph" w:styleId="1526" w:customStyle="1">
    <w:name w:val="Normal_1_3"/>
    <w:uiPriority w:val="0"/>
    <w:qFormat/>
    <w:rPr>
      <w:rFonts w:ascii="Times New Roman" w:hAnsi="Times New Roman" w:eastAsia="Times New Roman" w:cs="Times New Roman"/>
      <w:sz w:val="24"/>
      <w:szCs w:val="24"/>
      <w:lang w:val="en-US" w:eastAsia="zh-CN" w:bidi="ar-SA"/>
    </w:rPr>
  </w:style>
  <w:style w:type="paragraph" w:styleId="1527" w:customStyle="1">
    <w:name w:val="Normal_20"/>
    <w:uiPriority w:val="0"/>
    <w:qFormat/>
    <w:pPr>
      <w:ind w:firstLine="508"/>
      <w:spacing w:before="240" w:after="240"/>
    </w:pPr>
    <w:rPr>
      <w:rFonts w:ascii="宋体" w:hAnsi="宋体" w:eastAsia="宋体" w:cs="宋体"/>
      <w:bCs/>
      <w:spacing w:val="7"/>
      <w:sz w:val="24"/>
      <w:szCs w:val="24"/>
      <w:lang w:val="en-US" w:eastAsia="zh-CN" w:bidi="ar-SA"/>
    </w:rPr>
  </w:style>
  <w:style w:type="paragraph" w:styleId="1528" w:customStyle="1">
    <w:name w:val="Normal_21"/>
    <w:uiPriority w:val="0"/>
    <w:qFormat/>
    <w:rPr>
      <w:rFonts w:ascii="Times New Roman" w:hAnsi="Times New Roman" w:eastAsia="Times New Roman" w:cs="Times New Roman"/>
      <w:sz w:val="24"/>
      <w:szCs w:val="24"/>
      <w:lang w:val="en-US" w:eastAsia="zh-CN" w:bidi="ar-SA"/>
    </w:rPr>
  </w:style>
  <w:style w:type="paragraph" w:styleId="1529" w:customStyle="1">
    <w:name w:val="Normal_0_4"/>
    <w:uiPriority w:val="0"/>
    <w:qFormat/>
    <w:rPr>
      <w:rFonts w:ascii="Times New Roman" w:hAnsi="Times New Roman" w:eastAsia="Times New Roman" w:cs="Times New Roman"/>
      <w:sz w:val="24"/>
      <w:szCs w:val="24"/>
      <w:lang w:val="en-US" w:eastAsia="zh-CN" w:bidi="ar-SA"/>
    </w:rPr>
  </w:style>
  <w:style w:type="paragraph" w:styleId="1530" w:customStyle="1">
    <w:name w:val="Normal_1_4"/>
    <w:uiPriority w:val="0"/>
    <w:qFormat/>
    <w:rPr>
      <w:rFonts w:ascii="Times New Roman" w:hAnsi="Times New Roman" w:eastAsia="Times New Roman" w:cs="Times New Roman"/>
      <w:sz w:val="24"/>
      <w:szCs w:val="24"/>
      <w:lang w:val="en-US" w:eastAsia="zh-CN" w:bidi="ar-SA"/>
    </w:rPr>
  </w:style>
  <w:style w:type="paragraph" w:styleId="1531" w:customStyle="1">
    <w:name w:val="Normal_2_2"/>
    <w:uiPriority w:val="0"/>
    <w:qFormat/>
    <w:rPr>
      <w:rFonts w:ascii="Times New Roman" w:hAnsi="Times New Roman" w:eastAsia="Times New Roman" w:cs="Times New Roman"/>
      <w:sz w:val="24"/>
      <w:szCs w:val="24"/>
      <w:lang w:val="en-US" w:eastAsia="zh-CN" w:bidi="ar-SA"/>
    </w:rPr>
  </w:style>
  <w:style w:type="paragraph" w:styleId="1532" w:customStyle="1">
    <w:name w:val="Normal_3_1"/>
    <w:uiPriority w:val="0"/>
    <w:qFormat/>
    <w:rPr>
      <w:rFonts w:ascii="Times New Roman" w:hAnsi="Times New Roman" w:eastAsia="Times New Roman" w:cs="Times New Roman"/>
      <w:sz w:val="24"/>
      <w:szCs w:val="24"/>
      <w:lang w:val="en-US" w:eastAsia="zh-CN" w:bidi="ar-SA"/>
    </w:rPr>
  </w:style>
  <w:style w:type="paragraph" w:styleId="1533" w:customStyle="1">
    <w:name w:val="Normal_4_0"/>
    <w:uiPriority w:val="0"/>
    <w:qFormat/>
    <w:rPr>
      <w:rFonts w:ascii="Times New Roman" w:hAnsi="Times New Roman" w:eastAsia="Times New Roman" w:cs="Times New Roman"/>
      <w:sz w:val="24"/>
      <w:szCs w:val="24"/>
      <w:lang w:val="en-US" w:eastAsia="zh-CN" w:bidi="ar-SA"/>
    </w:rPr>
  </w:style>
  <w:style w:type="paragraph" w:styleId="1534" w:customStyle="1">
    <w:name w:val="Normal_5_1"/>
    <w:uiPriority w:val="0"/>
    <w:qFormat/>
    <w:rPr>
      <w:rFonts w:ascii="Times New Roman" w:hAnsi="Times New Roman" w:eastAsia="Times New Roman" w:cs="Times New Roman"/>
      <w:sz w:val="24"/>
      <w:szCs w:val="24"/>
      <w:lang w:val="en-US" w:eastAsia="zh-CN" w:bidi="ar-SA"/>
    </w:rPr>
  </w:style>
  <w:style w:type="paragraph" w:styleId="1535" w:customStyle="1">
    <w:name w:val="Normal_6_1"/>
    <w:uiPriority w:val="0"/>
    <w:qFormat/>
    <w:rPr>
      <w:rFonts w:ascii="Times New Roman" w:hAnsi="Times New Roman" w:eastAsia="Times New Roman" w:cs="Times New Roman"/>
      <w:sz w:val="24"/>
      <w:szCs w:val="24"/>
      <w:lang w:val="en-US" w:eastAsia="zh-CN" w:bidi="ar-SA"/>
    </w:rPr>
  </w:style>
  <w:style w:type="paragraph" w:styleId="1536" w:customStyle="1">
    <w:name w:val="Normal_7_0"/>
    <w:uiPriority w:val="0"/>
    <w:qFormat/>
    <w:rPr>
      <w:rFonts w:ascii="Times New Roman" w:hAnsi="Times New Roman" w:eastAsia="Times New Roman" w:cs="Times New Roman"/>
      <w:sz w:val="24"/>
      <w:szCs w:val="24"/>
      <w:lang w:val="en-US" w:eastAsia="zh-CN" w:bidi="ar-SA"/>
    </w:rPr>
  </w:style>
  <w:style w:type="paragraph" w:styleId="1537" w:customStyle="1">
    <w:name w:val="Normal_8_0"/>
    <w:uiPriority w:val="0"/>
    <w:qFormat/>
    <w:rPr>
      <w:rFonts w:ascii="Times New Roman" w:hAnsi="Times New Roman" w:eastAsia="Times New Roman" w:cs="Times New Roman"/>
      <w:sz w:val="24"/>
      <w:szCs w:val="24"/>
      <w:lang w:val="en-US" w:eastAsia="zh-CN" w:bidi="ar-SA"/>
    </w:rPr>
  </w:style>
  <w:style w:type="paragraph" w:styleId="1538" w:customStyle="1">
    <w:name w:val="Normal_9_0"/>
    <w:uiPriority w:val="0"/>
    <w:qFormat/>
    <w:rPr>
      <w:rFonts w:ascii="Times New Roman" w:hAnsi="Times New Roman" w:eastAsia="Times New Roman" w:cs="Times New Roman"/>
      <w:sz w:val="24"/>
      <w:szCs w:val="24"/>
      <w:lang w:val="en-US" w:eastAsia="zh-CN" w:bidi="ar-SA"/>
    </w:rPr>
  </w:style>
  <w:style w:type="paragraph" w:styleId="1539" w:customStyle="1">
    <w:name w:val="Normal_10_0"/>
    <w:uiPriority w:val="0"/>
    <w:qFormat/>
    <w:rPr>
      <w:rFonts w:ascii="Times New Roman" w:hAnsi="Times New Roman" w:eastAsia="Times New Roman" w:cs="Times New Roman"/>
      <w:sz w:val="24"/>
      <w:szCs w:val="24"/>
      <w:lang w:val="en-US" w:eastAsia="zh-CN" w:bidi="ar-SA"/>
    </w:rPr>
  </w:style>
  <w:style w:type="paragraph" w:styleId="1540" w:customStyle="1">
    <w:name w:val="Normal_11_0"/>
    <w:uiPriority w:val="0"/>
    <w:qFormat/>
    <w:rPr>
      <w:rFonts w:ascii="Times New Roman" w:hAnsi="Times New Roman" w:eastAsia="Times New Roman" w:cs="Times New Roman"/>
      <w:sz w:val="24"/>
      <w:szCs w:val="24"/>
      <w:lang w:val="en-US" w:eastAsia="zh-CN" w:bidi="ar-SA"/>
    </w:rPr>
  </w:style>
  <w:style w:type="paragraph" w:styleId="1541" w:customStyle="1">
    <w:name w:val="Normal_12_0"/>
    <w:uiPriority w:val="0"/>
    <w:qFormat/>
    <w:rPr>
      <w:rFonts w:ascii="Times New Roman" w:hAnsi="Times New Roman" w:eastAsia="Times New Roman" w:cs="Times New Roman"/>
      <w:sz w:val="24"/>
      <w:szCs w:val="24"/>
      <w:lang w:val="en-US" w:eastAsia="zh-CN" w:bidi="ar-SA"/>
    </w:rPr>
  </w:style>
  <w:style w:type="paragraph" w:styleId="154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543" w:customStyle="1">
    <w:name w:val="Normal_13_0"/>
    <w:uiPriority w:val="0"/>
    <w:qFormat/>
    <w:rPr>
      <w:rFonts w:ascii="Times New Roman" w:hAnsi="Times New Roman" w:eastAsia="Times New Roman" w:cs="Times New Roman"/>
      <w:sz w:val="24"/>
      <w:szCs w:val="24"/>
      <w:lang w:val="en-US" w:eastAsia="zh-CN" w:bidi="ar-SA"/>
    </w:rPr>
  </w:style>
  <w:style w:type="paragraph" w:styleId="1544" w:customStyle="1">
    <w:name w:val="Normal_14_0"/>
    <w:uiPriority w:val="0"/>
    <w:qFormat/>
    <w:rPr>
      <w:rFonts w:ascii="Times New Roman" w:hAnsi="Times New Roman" w:eastAsia="Times New Roman" w:cs="Times New Roman"/>
      <w:sz w:val="24"/>
      <w:szCs w:val="24"/>
      <w:lang w:val="en-US" w:eastAsia="zh-CN" w:bidi="ar-SA"/>
    </w:rPr>
  </w:style>
  <w:style w:type="paragraph" w:styleId="1545" w:customStyle="1">
    <w:name w:val="Normal_15_0"/>
    <w:uiPriority w:val="0"/>
    <w:qFormat/>
    <w:rPr>
      <w:rFonts w:ascii="Times New Roman" w:hAnsi="Times New Roman" w:eastAsia="Times New Roman" w:cs="Times New Roman"/>
      <w:sz w:val="24"/>
      <w:szCs w:val="24"/>
      <w:lang w:val="en-US" w:eastAsia="zh-CN" w:bidi="ar-SA"/>
    </w:rPr>
  </w:style>
  <w:style w:type="paragraph" w:styleId="1546" w:customStyle="1">
    <w:name w:val="Normal_16_0"/>
    <w:uiPriority w:val="0"/>
    <w:qFormat/>
    <w:rPr>
      <w:rFonts w:ascii="Times New Roman" w:hAnsi="Times New Roman" w:eastAsia="Times New Roman" w:cs="Times New Roman"/>
      <w:sz w:val="24"/>
      <w:szCs w:val="24"/>
      <w:lang w:val="en-US" w:eastAsia="zh-CN" w:bidi="ar-SA"/>
    </w:rPr>
  </w:style>
  <w:style w:type="paragraph" w:styleId="1547" w:customStyle="1">
    <w:name w:val="Normal_17_0"/>
    <w:uiPriority w:val="0"/>
    <w:qFormat/>
    <w:rPr>
      <w:rFonts w:ascii="Times New Roman" w:hAnsi="Times New Roman" w:eastAsia="Times New Roman" w:cs="Times New Roman"/>
      <w:sz w:val="24"/>
      <w:szCs w:val="24"/>
      <w:lang w:val="en-US" w:eastAsia="zh-CN" w:bidi="ar-SA"/>
    </w:rPr>
  </w:style>
  <w:style w:type="paragraph" w:styleId="1548" w:customStyle="1">
    <w:name w:val="Normal_18_0"/>
    <w:uiPriority w:val="0"/>
    <w:qFormat/>
    <w:rPr>
      <w:rFonts w:ascii="Times New Roman" w:hAnsi="Times New Roman" w:eastAsia="Times New Roman" w:cs="Times New Roman"/>
      <w:sz w:val="24"/>
      <w:szCs w:val="24"/>
      <w:lang w:val="en-US" w:eastAsia="zh-CN" w:bidi="ar-SA"/>
    </w:rPr>
  </w:style>
  <w:style w:type="paragraph" w:styleId="1549" w:customStyle="1">
    <w:name w:val="Normal_19_0"/>
    <w:uiPriority w:val="0"/>
    <w:qFormat/>
    <w:rPr>
      <w:rFonts w:ascii="Times New Roman" w:hAnsi="Times New Roman" w:eastAsia="Times New Roman" w:cs="Times New Roman"/>
      <w:sz w:val="24"/>
      <w:szCs w:val="24"/>
      <w:lang w:val="en-US" w:eastAsia="zh-CN" w:bidi="ar-SA"/>
    </w:rPr>
  </w:style>
  <w:style w:type="paragraph" w:styleId="1550" w:customStyle="1">
    <w:name w:val="Normal_20_0"/>
    <w:uiPriority w:val="0"/>
    <w:qFormat/>
    <w:rPr>
      <w:rFonts w:ascii="Times New Roman" w:hAnsi="Times New Roman" w:eastAsia="Times New Roman" w:cs="Times New Roman"/>
      <w:sz w:val="24"/>
      <w:szCs w:val="24"/>
      <w:lang w:val="en-US" w:eastAsia="zh-CN" w:bidi="ar-SA"/>
    </w:rPr>
  </w:style>
  <w:style w:type="paragraph" w:styleId="1551" w:customStyle="1">
    <w:name w:val="Normal_21_0"/>
    <w:uiPriority w:val="0"/>
    <w:qFormat/>
    <w:rPr>
      <w:rFonts w:ascii="Times New Roman" w:hAnsi="Times New Roman" w:eastAsia="Times New Roman" w:cs="Times New Roman"/>
      <w:sz w:val="24"/>
      <w:szCs w:val="24"/>
      <w:lang w:val="en-US" w:eastAsia="zh-CN" w:bidi="ar-SA"/>
    </w:rPr>
  </w:style>
  <w:style w:type="paragraph" w:styleId="1552" w:customStyle="1">
    <w:name w:val="Normal_22"/>
    <w:uiPriority w:val="0"/>
    <w:qFormat/>
    <w:rPr>
      <w:rFonts w:ascii="Times New Roman" w:hAnsi="Times New Roman" w:eastAsia="Times New Roman" w:cs="Times New Roman"/>
      <w:sz w:val="24"/>
      <w:szCs w:val="24"/>
      <w:lang w:val="en-US" w:eastAsia="zh-CN" w:bidi="ar-SA"/>
    </w:rPr>
  </w:style>
  <w:style w:type="paragraph" w:styleId="1553" w:customStyle="1">
    <w:name w:val="Normal_23"/>
    <w:uiPriority w:val="0"/>
    <w:qFormat/>
    <w:rPr>
      <w:rFonts w:ascii="Times New Roman" w:hAnsi="Times New Roman" w:eastAsia="Times New Roman" w:cs="Times New Roman"/>
      <w:sz w:val="24"/>
      <w:szCs w:val="24"/>
      <w:lang w:val="en-US" w:eastAsia="zh-CN" w:bidi="ar-SA"/>
    </w:rPr>
  </w:style>
  <w:style w:type="paragraph" w:styleId="1554" w:customStyle="1">
    <w:name w:val="Normal_24"/>
    <w:uiPriority w:val="0"/>
    <w:qFormat/>
    <w:rPr>
      <w:rFonts w:ascii="Times New Roman" w:hAnsi="Times New Roman" w:eastAsia="Times New Roman" w:cs="Times New Roman"/>
      <w:sz w:val="24"/>
      <w:szCs w:val="24"/>
      <w:lang w:val="en-US" w:eastAsia="zh-CN" w:bidi="ar-SA"/>
    </w:rPr>
  </w:style>
  <w:style w:type="paragraph" w:styleId="1555" w:customStyle="1">
    <w:name w:val="Normal_25"/>
    <w:uiPriority w:val="0"/>
    <w:qFormat/>
    <w:rPr>
      <w:rFonts w:ascii="Times New Roman" w:hAnsi="Times New Roman" w:eastAsia="Times New Roman" w:cs="Times New Roman"/>
      <w:sz w:val="24"/>
      <w:szCs w:val="24"/>
      <w:lang w:val="en-US" w:eastAsia="zh-CN" w:bidi="ar-SA"/>
    </w:rPr>
  </w:style>
  <w:style w:type="paragraph" w:styleId="1556" w:customStyle="1">
    <w:name w:val="Normal_26"/>
    <w:uiPriority w:val="0"/>
    <w:qFormat/>
    <w:rPr>
      <w:rFonts w:ascii="Times New Roman" w:hAnsi="Times New Roman" w:eastAsia="Times New Roman" w:cs="Times New Roman"/>
      <w:sz w:val="24"/>
      <w:szCs w:val="24"/>
      <w:lang w:val="en-US" w:eastAsia="zh-CN" w:bidi="ar-SA"/>
    </w:rPr>
  </w:style>
  <w:style w:type="paragraph" w:styleId="1557" w:customStyle="1">
    <w:name w:val="正文_0_0"/>
    <w:next w:val="1558"/>
    <w:uiPriority w:val="0"/>
    <w:qFormat/>
    <w:pPr>
      <w:jc w:val="both"/>
      <w:widowControl w:val="off"/>
    </w:pPr>
    <w:rPr>
      <w:rFonts w:ascii="Calibri" w:hAnsi="Calibri" w:eastAsia="宋体" w:cs="Times New Roman"/>
      <w:sz w:val="21"/>
      <w:szCs w:val="22"/>
      <w:lang w:val="en-US" w:eastAsia="zh-CN" w:bidi="ar-SA"/>
    </w:rPr>
  </w:style>
  <w:style w:type="paragraph" w:styleId="1558" w:customStyle="1">
    <w:name w:val="正文文本_0"/>
    <w:basedOn w:val="1559"/>
    <w:uiPriority w:val="0"/>
    <w:qFormat/>
    <w:pPr>
      <w:spacing w:line="400" w:lineRule="exact"/>
    </w:pPr>
    <w:rPr>
      <w:sz w:val="24"/>
    </w:rPr>
  </w:style>
  <w:style w:type="paragraph" w:styleId="1559" w:customStyle="1">
    <w:name w:val="正文_1"/>
    <w:next w:val="1558"/>
    <w:uiPriority w:val="0"/>
    <w:qFormat/>
    <w:pPr>
      <w:jc w:val="both"/>
      <w:widowControl w:val="off"/>
    </w:pPr>
    <w:rPr>
      <w:rFonts w:ascii="Times New Roman" w:hAnsi="Times New Roman" w:eastAsia="宋体" w:cs="Times New Roman"/>
      <w:sz w:val="21"/>
      <w:lang w:val="en-US" w:eastAsia="zh-CN" w:bidi="ar-SA"/>
    </w:rPr>
  </w:style>
  <w:style w:type="paragraph" w:styleId="1560" w:customStyle="1">
    <w:name w:val="Normal_27"/>
    <w:uiPriority w:val="0"/>
    <w:qFormat/>
    <w:rPr>
      <w:rFonts w:ascii="Times New Roman" w:hAnsi="Times New Roman" w:eastAsia="Times New Roman" w:cs="Times New Roman"/>
      <w:sz w:val="24"/>
      <w:szCs w:val="24"/>
      <w:lang w:val="en-US" w:eastAsia="zh-CN" w:bidi="ar-SA"/>
    </w:rPr>
  </w:style>
  <w:style w:type="paragraph" w:styleId="1561" w:customStyle="1">
    <w:name w:val="Normal_28"/>
    <w:uiPriority w:val="0"/>
    <w:qFormat/>
    <w:rPr>
      <w:rFonts w:ascii="Times New Roman" w:hAnsi="Times New Roman" w:eastAsia="Times New Roman" w:cs="Times New Roman"/>
      <w:sz w:val="24"/>
      <w:szCs w:val="24"/>
      <w:lang w:val="en-US" w:eastAsia="zh-CN" w:bidi="ar-SA"/>
    </w:rPr>
  </w:style>
  <w:style w:type="paragraph" w:styleId="1562" w:customStyle="1">
    <w:name w:val="Normal_29"/>
    <w:uiPriority w:val="0"/>
    <w:qFormat/>
    <w:rPr>
      <w:rFonts w:ascii="Times New Roman" w:hAnsi="Times New Roman" w:eastAsia="Times New Roman" w:cs="Times New Roman"/>
      <w:sz w:val="24"/>
      <w:szCs w:val="24"/>
      <w:lang w:val="en-US" w:eastAsia="zh-CN" w:bidi="ar-SA"/>
    </w:rPr>
  </w:style>
  <w:style w:type="paragraph" w:styleId="1563" w:customStyle="1">
    <w:name w:val="Normal_30"/>
    <w:uiPriority w:val="0"/>
    <w:qFormat/>
    <w:rPr>
      <w:rFonts w:ascii="Times New Roman" w:hAnsi="Times New Roman" w:eastAsia="Times New Roman" w:cs="Times New Roman"/>
      <w:sz w:val="24"/>
      <w:szCs w:val="24"/>
      <w:lang w:val="en-US" w:eastAsia="zh-CN" w:bidi="ar-SA"/>
    </w:rPr>
  </w:style>
  <w:style w:type="paragraph" w:styleId="1564" w:customStyle="1">
    <w:name w:val="Normal_31"/>
    <w:uiPriority w:val="0"/>
    <w:qFormat/>
    <w:rPr>
      <w:rFonts w:ascii="Times New Roman" w:hAnsi="Times New Roman" w:eastAsia="Times New Roman" w:cs="Times New Roman"/>
      <w:sz w:val="24"/>
      <w:szCs w:val="24"/>
      <w:lang w:val="en-US" w:eastAsia="zh-CN" w:bidi="ar-SA"/>
    </w:rPr>
  </w:style>
  <w:style w:type="paragraph" w:styleId="1565" w:customStyle="1">
    <w:name w:val="Normal_32"/>
    <w:uiPriority w:val="0"/>
    <w:qFormat/>
    <w:rPr>
      <w:rFonts w:ascii="Times New Roman" w:hAnsi="Times New Roman" w:eastAsia="Times New Roman" w:cs="Times New Roman"/>
      <w:sz w:val="24"/>
      <w:szCs w:val="24"/>
      <w:lang w:val="en-US" w:eastAsia="zh-CN" w:bidi="ar-SA"/>
    </w:rPr>
  </w:style>
  <w:style w:type="paragraph" w:styleId="1566" w:customStyle="1">
    <w:name w:val="Normal_33"/>
    <w:uiPriority w:val="0"/>
    <w:qFormat/>
    <w:rPr>
      <w:rFonts w:ascii="Times New Roman" w:hAnsi="Times New Roman" w:eastAsia="Times New Roman" w:cs="Times New Roman"/>
      <w:sz w:val="24"/>
      <w:szCs w:val="24"/>
      <w:lang w:val="en-US" w:eastAsia="zh-CN" w:bidi="ar-SA"/>
    </w:rPr>
  </w:style>
  <w:style w:type="paragraph" w:styleId="1567" w:customStyle="1">
    <w:name w:val="正文_2"/>
    <w:next w:val="1568"/>
    <w:uiPriority w:val="0"/>
    <w:qFormat/>
    <w:pPr>
      <w:jc w:val="both"/>
      <w:widowControl w:val="off"/>
    </w:pPr>
    <w:rPr>
      <w:rFonts w:ascii="Times New Roman" w:hAnsi="Times New Roman" w:eastAsia="宋体" w:cs="Times New Roman"/>
      <w:sz w:val="21"/>
      <w:lang w:val="en-US" w:eastAsia="zh-CN" w:bidi="ar-SA"/>
    </w:rPr>
  </w:style>
  <w:style w:type="paragraph" w:styleId="1568" w:customStyle="1">
    <w:name w:val="正文文本_0_0"/>
    <w:basedOn w:val="1567"/>
    <w:uiPriority w:val="0"/>
    <w:qFormat/>
    <w:pPr>
      <w:spacing w:line="400" w:lineRule="exact"/>
    </w:pPr>
    <w:rPr>
      <w:sz w:val="24"/>
    </w:rPr>
  </w:style>
  <w:style w:type="paragraph" w:styleId="1569" w:customStyle="1">
    <w:name w:val="Normal_34"/>
    <w:uiPriority w:val="0"/>
    <w:qFormat/>
    <w:rPr>
      <w:rFonts w:ascii="Times New Roman" w:hAnsi="Times New Roman" w:eastAsia="Times New Roman" w:cs="Times New Roman"/>
      <w:sz w:val="24"/>
      <w:szCs w:val="24"/>
      <w:lang w:val="en-US" w:eastAsia="zh-CN" w:bidi="ar-SA"/>
    </w:rPr>
  </w:style>
  <w:style w:type="paragraph" w:styleId="1570" w:customStyle="1">
    <w:name w:val="Normal_35"/>
    <w:uiPriority w:val="0"/>
    <w:qFormat/>
    <w:rPr>
      <w:rFonts w:ascii="Times New Roman" w:hAnsi="Times New Roman" w:eastAsia="Times New Roman" w:cs="Times New Roman"/>
      <w:sz w:val="24"/>
      <w:szCs w:val="24"/>
      <w:lang w:val="en-US" w:eastAsia="zh-CN" w:bidi="ar-SA"/>
    </w:rPr>
  </w:style>
  <w:style w:type="paragraph" w:styleId="1571" w:customStyle="1">
    <w:name w:val="Normal_36"/>
    <w:uiPriority w:val="0"/>
    <w:qFormat/>
    <w:rPr>
      <w:rFonts w:ascii="Times New Roman" w:hAnsi="Times New Roman" w:eastAsia="Times New Roman" w:cs="Times New Roman"/>
      <w:sz w:val="24"/>
      <w:szCs w:val="24"/>
      <w:lang w:val="en-US" w:eastAsia="zh-CN" w:bidi="ar-SA"/>
    </w:rPr>
  </w:style>
  <w:style w:type="paragraph" w:styleId="1572" w:customStyle="1">
    <w:name w:val="Normal_37"/>
    <w:uiPriority w:val="0"/>
    <w:qFormat/>
    <w:rPr>
      <w:rFonts w:ascii="Times New Roman" w:hAnsi="Times New Roman" w:eastAsia="Times New Roman" w:cs="Times New Roman"/>
      <w:sz w:val="24"/>
      <w:szCs w:val="24"/>
      <w:lang w:val="en-US" w:eastAsia="zh-CN" w:bidi="ar-SA"/>
    </w:rPr>
  </w:style>
  <w:style w:type="paragraph" w:styleId="1573" w:customStyle="1">
    <w:name w:val="Normal_38"/>
    <w:uiPriority w:val="0"/>
    <w:qFormat/>
    <w:rPr>
      <w:rFonts w:ascii="Times New Roman" w:hAnsi="Times New Roman" w:eastAsia="Times New Roman" w:cs="Times New Roman"/>
      <w:sz w:val="24"/>
      <w:szCs w:val="24"/>
      <w:lang w:val="en-US" w:eastAsia="zh-CN" w:bidi="ar-SA"/>
    </w:rPr>
  </w:style>
  <w:style w:type="paragraph" w:styleId="1574" w:customStyle="1">
    <w:name w:val="Normal_39"/>
    <w:uiPriority w:val="0"/>
    <w:qFormat/>
    <w:rPr>
      <w:rFonts w:ascii="Times New Roman" w:hAnsi="Times New Roman" w:eastAsia="Times New Roman" w:cs="Times New Roman"/>
      <w:sz w:val="24"/>
      <w:szCs w:val="24"/>
      <w:lang w:val="en-US" w:eastAsia="zh-CN" w:bidi="ar-SA"/>
    </w:rPr>
  </w:style>
  <w:style w:type="paragraph" w:styleId="1575" w:customStyle="1">
    <w:name w:val="Normal_40"/>
    <w:uiPriority w:val="0"/>
    <w:qFormat/>
    <w:rPr>
      <w:rFonts w:ascii="Times New Roman" w:hAnsi="Times New Roman" w:eastAsia="Times New Roman" w:cs="Times New Roman"/>
      <w:sz w:val="24"/>
      <w:szCs w:val="24"/>
      <w:lang w:val="en-US" w:eastAsia="zh-CN" w:bidi="ar-SA"/>
    </w:rPr>
  </w:style>
  <w:style w:type="paragraph" w:styleId="1576" w:customStyle="1">
    <w:name w:val="Normal_41"/>
    <w:uiPriority w:val="0"/>
    <w:qFormat/>
    <w:rPr>
      <w:rFonts w:ascii="Times New Roman" w:hAnsi="Times New Roman" w:eastAsia="Times New Roman" w:cs="Times New Roman"/>
      <w:sz w:val="24"/>
      <w:szCs w:val="24"/>
      <w:lang w:val="en-US" w:eastAsia="zh-CN" w:bidi="ar-SA"/>
    </w:rPr>
  </w:style>
  <w:style w:type="paragraph" w:styleId="1577" w:customStyle="1">
    <w:name w:val="Normal_42"/>
    <w:uiPriority w:val="0"/>
    <w:qFormat/>
    <w:rPr>
      <w:rFonts w:ascii="Times New Roman" w:hAnsi="Times New Roman" w:eastAsia="Times New Roman" w:cs="Times New Roman"/>
      <w:sz w:val="24"/>
      <w:szCs w:val="24"/>
      <w:lang w:val="en-US" w:eastAsia="zh-CN" w:bidi="ar-SA"/>
    </w:rPr>
  </w:style>
  <w:style w:type="paragraph" w:styleId="1578" w:customStyle="1">
    <w:name w:val="Normal_43"/>
    <w:uiPriority w:val="0"/>
    <w:qFormat/>
    <w:rPr>
      <w:rFonts w:ascii="Times New Roman" w:hAnsi="Times New Roman" w:eastAsia="Times New Roman" w:cs="Times New Roman"/>
      <w:sz w:val="24"/>
      <w:szCs w:val="24"/>
      <w:lang w:val="en-US" w:eastAsia="zh-CN" w:bidi="ar-SA"/>
    </w:rPr>
  </w:style>
  <w:style w:type="paragraph" w:styleId="1579" w:customStyle="1">
    <w:name w:val="Normal_44"/>
    <w:uiPriority w:val="0"/>
    <w:qFormat/>
    <w:rPr>
      <w:rFonts w:ascii="Times New Roman" w:hAnsi="Times New Roman" w:eastAsia="Times New Roman" w:cs="Times New Roman"/>
      <w:sz w:val="24"/>
      <w:szCs w:val="24"/>
      <w:lang w:val="en-US" w:eastAsia="zh-CN" w:bidi="ar-SA"/>
    </w:rPr>
  </w:style>
  <w:style w:type="paragraph" w:styleId="1580" w:customStyle="1">
    <w:name w:val="Normal_45"/>
    <w:uiPriority w:val="0"/>
    <w:qFormat/>
    <w:rPr>
      <w:rFonts w:ascii="Times New Roman" w:hAnsi="Times New Roman" w:eastAsia="Times New Roman" w:cs="Times New Roman"/>
      <w:sz w:val="24"/>
      <w:szCs w:val="24"/>
      <w:lang w:val="en-US" w:eastAsia="zh-CN" w:bidi="ar-SA"/>
    </w:rPr>
  </w:style>
  <w:style w:type="paragraph" w:styleId="1581" w:customStyle="1">
    <w:name w:val="正文文本缩进1"/>
    <w:next w:val="1582"/>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582" w:customStyle="1">
    <w:name w:val="寄信人地址1"/>
    <w:uiPriority w:val="0"/>
    <w:qFormat/>
    <w:pPr>
      <w:jc w:val="both"/>
      <w:widowControl w:val="off"/>
    </w:pPr>
    <w:rPr>
      <w:rFonts w:ascii="Arial" w:hAnsi="Arial" w:eastAsia="楷体_GB2312" w:cs="Times New Roman"/>
      <w:sz w:val="26"/>
      <w:lang w:val="en-US" w:eastAsia="zh-CN" w:bidi="ar-SA"/>
    </w:rPr>
  </w:style>
  <w:style w:type="character" w:styleId="1583" w:customStyle="1">
    <w:name w:val="默认段落字体1"/>
    <w:link w:val="943"/>
    <w:uiPriority w:val="0"/>
    <w:semiHidden/>
    <w:qFormat/>
    <w:rPr>
      <w:rFonts w:ascii="Calibri" w:hAnsi="Calibri"/>
      <w:sz w:val="21"/>
      <w:szCs w:val="22"/>
      <w:lang w:val="en-US" w:eastAsia="zh-CN" w:bidi="ar-SA"/>
    </w:rPr>
  </w:style>
  <w:style w:type="character" w:styleId="1584" w:customStyle="1">
    <w:name w:val="标题 4 字符1"/>
    <w:link w:val="947"/>
    <w:uiPriority w:val="0"/>
    <w:qFormat/>
    <w:rPr>
      <w:rFonts w:ascii="Cambria" w:hAnsi="Cambria" w:eastAsia="宋体" w:cs="Times New Roman"/>
      <w:b/>
      <w:bCs/>
      <w:sz w:val="28"/>
      <w:szCs w:val="28"/>
    </w:rPr>
  </w:style>
  <w:style w:type="paragraph" w:styleId="1585"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1586" w:customStyle="1">
    <w:name w:val="NormalCharacter"/>
    <w:uiPriority w:val="0"/>
    <w:qFormat/>
  </w:style>
  <w:style w:type="character" w:styleId="1587" w:customStyle="1">
    <w:name w:val="fontstyle01"/>
    <w:uiPriority w:val="0"/>
    <w:qFormat/>
    <w:rPr>
      <w:rFonts w:hint="eastAsia" w:ascii="宋体" w:hAnsi="宋体" w:eastAsia="宋体"/>
      <w:color w:val="000000"/>
      <w:sz w:val="24"/>
      <w:szCs w:val="24"/>
    </w:rPr>
  </w:style>
  <w:style w:type="character" w:styleId="1588" w:customStyle="1">
    <w:name w:val="10"/>
    <w:link w:val="943"/>
    <w:uiPriority w:val="0"/>
    <w:qFormat/>
    <w:rPr>
      <w:rFonts w:ascii="Calibri" w:hAnsi="Calibri" w:eastAsia="宋体" w:cs="Times New Roman"/>
      <w:sz w:val="21"/>
      <w:szCs w:val="22"/>
      <w:lang w:val="en-US" w:eastAsia="zh-CN" w:bidi="ar-SA"/>
    </w:rPr>
  </w:style>
  <w:style w:type="character" w:styleId="1589" w:customStyle="1">
    <w:name w:val="普通(网站) 字符1"/>
    <w:link w:val="976"/>
    <w:uiPriority w:val="99"/>
    <w:qFormat/>
    <w:rPr>
      <w:rFonts w:ascii="宋体" w:hAnsi="宋体"/>
      <w:sz w:val="24"/>
      <w:szCs w:val="22"/>
    </w:rPr>
  </w:style>
  <w:style w:type="paragraph" w:styleId="1590" w:customStyle="1">
    <w:name w:val="列出段落"/>
    <w:basedOn w:val="943"/>
    <w:uiPriority w:val="34"/>
    <w:qFormat/>
    <w:pPr>
      <w:contextualSpacing/>
      <w:ind w:left="720"/>
      <w:jc w:val="left"/>
      <w:widowControl/>
    </w:pPr>
    <w:rPr>
      <w:rFonts w:cs="宋体"/>
      <w:sz w:val="24"/>
      <w:lang w:eastAsia="en-US"/>
    </w:rPr>
  </w:style>
  <w:style w:type="paragraph" w:styleId="1591" w:customStyle="1">
    <w:name w:val="正文文本首行缩进 21"/>
    <w:basedOn w:val="960"/>
    <w:uiPriority w:val="0"/>
    <w:qFormat/>
    <w:pPr>
      <w:ind w:firstLine="420"/>
    </w:pPr>
  </w:style>
  <w:style w:type="character" w:styleId="1592" w:customStyle="1">
    <w:name w:val="font31"/>
    <w:basedOn w:val="953"/>
    <w:uiPriority w:val="0"/>
    <w:qFormat/>
    <w:rPr>
      <w:rFonts w:hint="eastAsia" w:ascii="宋体" w:hAnsi="宋体" w:eastAsia="宋体" w:cs="宋体"/>
      <w:color w:val="0066cc"/>
      <w:sz w:val="20"/>
      <w:szCs w:val="20"/>
      <w:u w:val="none"/>
    </w:rPr>
  </w:style>
  <w:style w:type="paragraph" w:styleId="1593" w:customStyle="1">
    <w:name w:val="正文文本11"/>
    <w:basedOn w:val="943"/>
    <w:next w:val="1173"/>
    <w:uiPriority w:val="99"/>
    <w:qFormat/>
    <w:rPr>
      <w:rFonts w:ascii="楷体_GB2312" w:hAnsi="宋体" w:eastAsia="楷体_GB2312"/>
      <w:sz w:val="28"/>
      <w:szCs w:val="28"/>
      <w:lang w:val="en-US" w:eastAsia="en-US"/>
    </w:rPr>
  </w:style>
  <w:style w:type="paragraph" w:styleId="1594" w:customStyle="1">
    <w:name w:val="Normal_47"/>
    <w:uiPriority w:val="0"/>
    <w:qFormat/>
    <w:rPr>
      <w:rFonts w:hint="default" w:ascii="Times New Roman" w:hAnsi="Times New Roman" w:eastAsia="Times New Roman" w:cs="Times New Roman"/>
      <w:sz w:val="24"/>
      <w:szCs w:val="24"/>
      <w:lang w:bidi="ar-SA"/>
    </w:rPr>
  </w:style>
  <w:style w:type="numbering" w:styleId="15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朱小燕</cp:lastModifiedBy>
  <cp:revision>6</cp:revision>
  <dcterms:created xsi:type="dcterms:W3CDTF">2025-03-14T04:36:00Z</dcterms:created>
  <dcterms:modified xsi:type="dcterms:W3CDTF">2025-09-25T06:13:46Z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7262AE0048784FF98AAFD1C2FBCAF2E5_13</vt:lpwstr>
  </property>
  <property fmtid="{D5CDD505-2E9C-101B-9397-08002B2CF9AE}" pid="4" name="KSOTemplateDocerSaveRecord">
    <vt:lpwstr>eyJoZGlkIjoiODYzNTExN2UxYWJkMjRiODk2NThiY2Y4YTJkZTA0OWIiLCJ1c2VySWQiOiIzMjU5NjI5NzIifQ==</vt:lpwstr>
  </property>
</Properties>
</file>