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364A1780">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横塘河湿地公园安保服务</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横塘河湿地公园安保服务</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JSZC-320402-SYZB-G2025-0057</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常州市天宁区青龙街道办事处</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3"/>
        <w:spacing w:line="360" w:lineRule="auto"/>
        <w:rPr>
          <w:b w:val="0"/>
          <w:bCs/>
          <w:color w:val="auto"/>
          <w:sz w:val="44"/>
          <w:highlight w:val="none"/>
        </w:rPr>
      </w:pPr>
    </w:p>
    <w:p w14:paraId="036DD580">
      <w:pPr>
        <w:pStyle w:val="33"/>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3"/>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3"/>
        <w:spacing w:line="360" w:lineRule="auto"/>
        <w:jc w:val="center"/>
        <w:rPr>
          <w:color w:val="auto"/>
          <w:sz w:val="36"/>
          <w:szCs w:val="36"/>
          <w:highlight w:val="none"/>
        </w:rPr>
      </w:pPr>
      <w:r>
        <w:rPr>
          <w:rFonts w:hint="eastAsia" w:cs="宋体"/>
          <w:color w:val="auto"/>
          <w:sz w:val="32"/>
          <w:szCs w:val="32"/>
          <w:highlight w:val="none"/>
        </w:rPr>
        <w:br w:type="page"/>
      </w:r>
      <w:bookmarkStart w:id="1" w:name="_Toc15932"/>
      <w:bookmarkStart w:id="2" w:name="_Toc99301419"/>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35393790"/>
      <w:bookmarkStart w:id="4" w:name="_Toc35393621"/>
      <w:bookmarkStart w:id="5" w:name="_Toc28359079"/>
      <w:bookmarkStart w:id="6" w:name="_Toc28359002"/>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JSZC-320402-SYZB-G2025-0057</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横塘河湿地公园安保服务</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600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200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105"/>
        <w:gridCol w:w="845"/>
        <w:gridCol w:w="4764"/>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横塘河湿地公园安保服务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60</w:t>
            </w:r>
            <w:r>
              <w:rPr>
                <w:rFonts w:hint="eastAsia" w:ascii="宋体" w:hAnsi="宋体" w:cs="宋体"/>
                <w:bCs/>
                <w:color w:val="auto"/>
                <w:sz w:val="24"/>
                <w:szCs w:val="24"/>
                <w:highlight w:val="none"/>
                <w:lang w:val="en-US" w:eastAsia="zh-CN"/>
              </w:rPr>
              <w:t>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653D3CC">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本项目是横塘河湿地公园安保服务，服务内容包括但不仅限于对横塘河湿地公园等采购人指定区域内进行安全秩序维护服务等工作，以及招标文件所要求的其他相关服务等全部内容，具体详见第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lang w:eastAsia="zh-CN"/>
              </w:rPr>
              <w:t>章《采购需求》。</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cs="宋体"/>
          <w:color w:val="auto"/>
          <w:sz w:val="24"/>
          <w:highlight w:val="none"/>
          <w:u w:val="single"/>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35393622"/>
      <w:bookmarkStart w:id="9" w:name="_Toc35393791"/>
      <w:bookmarkStart w:id="10" w:name="_Toc28359080"/>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04"/>
      <w:bookmarkStart w:id="13" w:name="_Toc28359081"/>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投标人具有有效的</w:t>
      </w:r>
      <w:r>
        <w:rPr>
          <w:rFonts w:hint="eastAsia" w:ascii="宋体" w:hAnsi="宋体" w:eastAsia="宋体" w:cs="宋体"/>
          <w:color w:val="auto"/>
          <w:sz w:val="24"/>
          <w:szCs w:val="24"/>
          <w:highlight w:val="none"/>
          <w:u w:val="single"/>
          <w:lang w:val="en-US" w:eastAsia="zh-CN"/>
        </w:rPr>
        <w:t xml:space="preserve">公安机关颁发的保安服务许可证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82"/>
      <w:bookmarkStart w:id="17" w:name="_Toc28359005"/>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2025</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7</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22</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9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625"/>
      <w:bookmarkStart w:id="21" w:name="_Toc28359007"/>
      <w:bookmarkStart w:id="22" w:name="_Toc35393794"/>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28359085"/>
      <w:bookmarkStart w:id="27" w:name="_Toc35393796"/>
      <w:bookmarkStart w:id="28" w:name="_Toc28359008"/>
      <w:bookmarkStart w:id="29" w:name="_Toc35393627"/>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1D956CB3">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600 </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 xml:space="preserve"> 200 </w:t>
      </w:r>
      <w:r>
        <w:rPr>
          <w:rFonts w:hint="eastAsia" w:ascii="宋体" w:hAnsi="宋体" w:cs="宋体"/>
          <w:color w:val="auto"/>
          <w:sz w:val="24"/>
          <w:highlight w:val="none"/>
          <w:lang w:val="en-US" w:eastAsia="zh-CN"/>
        </w:rPr>
        <w:t>万元。</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.本项目采用远程“不见面”交易方式，无需到现场提交，请投标供应商在提交时间截止前提前登入“苏采云”，通过系统在线提交电子投标文件。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供应商，视为未参与该项政府采购活动，不具备对该政府采购项目提出质疑的法定权利，但因</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供应商资格条件或报名时间设定不符合有关法律法规规定等原因使</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305158854"/>
      <w:bookmarkStart w:id="31" w:name="_Toc264969275"/>
      <w:bookmarkStart w:id="32" w:name="_Toc265228423"/>
      <w:bookmarkStart w:id="33" w:name="_Toc127151777"/>
      <w:bookmarkStart w:id="34" w:name="_Toc512937850"/>
      <w:bookmarkStart w:id="35" w:name="_Toc226965856"/>
      <w:bookmarkStart w:id="36" w:name="_Toc305158928"/>
      <w:bookmarkStart w:id="37" w:name="_Toc99301420"/>
      <w:bookmarkStart w:id="38" w:name="_Toc150774783"/>
      <w:bookmarkStart w:id="39" w:name="_Toc195842950"/>
      <w:bookmarkStart w:id="40" w:name="_Toc353873938"/>
      <w:bookmarkStart w:id="41" w:name="_Toc127161488"/>
      <w:bookmarkStart w:id="42" w:name="_Toc353825548"/>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常州市天宁区青龙街道办事处</w:t>
      </w:r>
      <w:r>
        <w:rPr>
          <w:rFonts w:hint="eastAsia" w:ascii="宋体" w:hAnsi="宋体" w:cs="宋体"/>
          <w:color w:val="auto"/>
          <w:sz w:val="24"/>
          <w:highlight w:val="none"/>
          <w:u w:val="single"/>
          <w:lang w:bidi="ar"/>
        </w:rPr>
        <w:t xml:space="preserve"> </w:t>
      </w:r>
    </w:p>
    <w:p w14:paraId="25C88FA9">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常州市天宁区河海东路9号 </w:t>
      </w:r>
    </w:p>
    <w:p w14:paraId="047B8F94">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刘先生、0519-85508920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 xml:space="preserve">嵇玲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0519-88818295（8000）</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51193689"/>
      <w:bookmarkStart w:id="45" w:name="_Toc164229214"/>
      <w:bookmarkStart w:id="46" w:name="_Toc164608633"/>
      <w:bookmarkStart w:id="47" w:name="_Toc127161433"/>
      <w:bookmarkStart w:id="48" w:name="_Toc151193617"/>
      <w:bookmarkStart w:id="49" w:name="_Toc151190146"/>
      <w:bookmarkStart w:id="50" w:name="_Toc226965792"/>
      <w:bookmarkStart w:id="51" w:name="_Toc150509270"/>
      <w:bookmarkStart w:id="52" w:name="_Toc164229360"/>
      <w:bookmarkStart w:id="53" w:name="_Toc520356144"/>
      <w:bookmarkStart w:id="54" w:name="_Toc226337215"/>
      <w:bookmarkStart w:id="55" w:name="_Toc150774724"/>
      <w:bookmarkStart w:id="56" w:name="_Toc150774619"/>
      <w:bookmarkStart w:id="57" w:name="_Toc164608788"/>
      <w:bookmarkStart w:id="58" w:name="_Toc195842884"/>
      <w:bookmarkStart w:id="59" w:name="_Toc164351613"/>
      <w:bookmarkStart w:id="60" w:name="_Toc151193833"/>
      <w:bookmarkStart w:id="61" w:name="_Toc226309763"/>
      <w:bookmarkStart w:id="62" w:name="_Toc226965709"/>
      <w:bookmarkStart w:id="63" w:name="_Toc127151519"/>
      <w:bookmarkStart w:id="64" w:name="_Toc149720812"/>
      <w:bookmarkStart w:id="65" w:name="_Toc150480757"/>
      <w:bookmarkStart w:id="66" w:name="_Toc151193761"/>
      <w:bookmarkStart w:id="67" w:name="_Toc151193907"/>
      <w:bookmarkStart w:id="68" w:name="_Toc142311021"/>
      <w:bookmarkStart w:id="69" w:name="_Toc127151720"/>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租赁和商务服务</w:t>
            </w:r>
            <w:r>
              <w:rPr>
                <w:rFonts w:hint="eastAsia" w:ascii="宋体" w:hAnsi="宋体" w:cs="宋体"/>
                <w:b/>
                <w:bCs/>
                <w:color w:val="auto"/>
                <w:kern w:val="0"/>
                <w:sz w:val="24"/>
                <w:highlight w:val="none"/>
                <w:u w:val="single"/>
                <w:lang w:bidi="ar"/>
              </w:rPr>
              <w:t>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2025</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嵇玲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0519-88818295（8000）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ascii="宋体" w:hAnsi="宋体" w:cs="宋体"/>
                <w:color w:val="auto"/>
                <w:sz w:val="24"/>
                <w:highlight w:val="none"/>
              </w:rPr>
            </w:pPr>
            <w:r>
              <w:rPr>
                <w:rFonts w:hint="eastAsia" w:ascii="宋体" w:hAnsi="宋体" w:cs="宋体"/>
                <w:color w:val="auto"/>
                <w:sz w:val="24"/>
                <w:highlight w:val="none"/>
              </w:rPr>
              <w:t>■中标供应商</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cs="宋体"/>
                <w:color w:val="auto"/>
                <w:sz w:val="24"/>
                <w:szCs w:val="24"/>
                <w:highlight w:val="none"/>
                <w:u w:val="single"/>
                <w:shd w:val="clear" w:color="auto" w:fill="auto"/>
                <w:lang w:val="en-US" w:eastAsia="zh-CN"/>
              </w:rPr>
              <w:t>的95%</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中标供应商应在领取中标通知书时将中标服务费付至采购代理机构的账户并备注项目编号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64185924">
            <w:pPr>
              <w:jc w:val="left"/>
              <w:rPr>
                <w:rFonts w:ascii="宋体" w:hAnsi="宋体" w:cs="宋体"/>
                <w:color w:val="auto"/>
                <w:sz w:val="24"/>
                <w:highlight w:val="none"/>
              </w:rPr>
            </w:pPr>
            <w:r>
              <w:rPr>
                <w:rFonts w:hint="eastAsia" w:ascii="宋体" w:hAnsi="宋体" w:cs="宋体"/>
                <w:color w:val="auto"/>
                <w:sz w:val="24"/>
                <w:highlight w:val="none"/>
                <w:u w:val="single"/>
              </w:rPr>
              <w:t>开户银行：兴业银行股份有限公司常州分行</w:t>
            </w:r>
          </w:p>
        </w:tc>
      </w:tr>
    </w:tbl>
    <w:p w14:paraId="131671AA">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50480755"/>
      <w:bookmarkStart w:id="71" w:name="_Toc150774722"/>
      <w:bookmarkStart w:id="72" w:name="_Toc195842882"/>
      <w:bookmarkStart w:id="73" w:name="_Toc353825542"/>
      <w:bookmarkStart w:id="74" w:name="_Toc264969207"/>
      <w:bookmarkStart w:id="75" w:name="_Toc142311019"/>
      <w:bookmarkStart w:id="76" w:name="_Toc127151517"/>
      <w:bookmarkStart w:id="77" w:name="_Toc305158859"/>
      <w:bookmarkStart w:id="78" w:name="_Toc265228355"/>
      <w:bookmarkStart w:id="79" w:name="_Toc353873932"/>
      <w:bookmarkStart w:id="80" w:name="_Toc226965790"/>
      <w:bookmarkStart w:id="81" w:name="_Toc226337213"/>
      <w:bookmarkStart w:id="82" w:name="_Toc305158785"/>
      <w:bookmarkStart w:id="83" w:name="_Toc353873662"/>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150509269"/>
      <w:bookmarkStart w:id="85" w:name="_Toc226965708"/>
      <w:bookmarkStart w:id="86" w:name="_Toc520356143"/>
      <w:bookmarkStart w:id="87" w:name="_Toc142311020"/>
      <w:bookmarkStart w:id="88" w:name="_Toc151190145"/>
      <w:bookmarkStart w:id="89" w:name="_Toc265228356"/>
      <w:bookmarkStart w:id="90" w:name="_Toc305158860"/>
      <w:bookmarkStart w:id="91" w:name="_Toc305158786"/>
      <w:bookmarkStart w:id="92" w:name="_Toc151193688"/>
      <w:bookmarkStart w:id="93" w:name="_Toc151193616"/>
      <w:bookmarkStart w:id="94" w:name="_Toc226309762"/>
      <w:bookmarkStart w:id="95" w:name="_Toc226337214"/>
      <w:bookmarkStart w:id="96" w:name="_Toc150774618"/>
      <w:bookmarkStart w:id="97" w:name="_Toc151193760"/>
      <w:bookmarkStart w:id="98" w:name="_Toc151193906"/>
      <w:bookmarkStart w:id="99" w:name="_Toc150774723"/>
      <w:bookmarkStart w:id="100" w:name="_Toc195842883"/>
      <w:bookmarkStart w:id="101" w:name="_Toc150480756"/>
      <w:bookmarkStart w:id="102" w:name="_Toc226965791"/>
      <w:bookmarkStart w:id="103" w:name="_Toc151193832"/>
      <w:bookmarkStart w:id="104" w:name="_Toc127151518"/>
      <w:bookmarkStart w:id="105" w:name="_Toc264969208"/>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264969209"/>
      <w:bookmarkStart w:id="107" w:name="_Toc305158861"/>
      <w:bookmarkStart w:id="108" w:name="_Toc305158787"/>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305158788"/>
      <w:bookmarkStart w:id="111" w:name="_Toc151190147"/>
      <w:bookmarkStart w:id="112" w:name="_Toc164351614"/>
      <w:bookmarkStart w:id="113" w:name="_Toc151193834"/>
      <w:bookmarkStart w:id="114" w:name="_Toc127161434"/>
      <w:bookmarkStart w:id="115" w:name="_Toc265228358"/>
      <w:bookmarkStart w:id="116" w:name="_Toc164229215"/>
      <w:bookmarkStart w:id="117" w:name="_Toc164229361"/>
      <w:bookmarkStart w:id="118" w:name="_Toc150480758"/>
      <w:bookmarkStart w:id="119" w:name="_Toc127151520"/>
      <w:bookmarkStart w:id="120" w:name="_Toc150774725"/>
      <w:bookmarkStart w:id="121" w:name="_Toc164608634"/>
      <w:bookmarkStart w:id="122" w:name="_Toc264969210"/>
      <w:bookmarkStart w:id="123" w:name="_Toc164608789"/>
      <w:bookmarkStart w:id="124" w:name="_Toc226337216"/>
      <w:bookmarkStart w:id="125" w:name="_Toc149720813"/>
      <w:bookmarkStart w:id="126" w:name="_Toc226965793"/>
      <w:bookmarkStart w:id="127" w:name="_Toc151193618"/>
      <w:bookmarkStart w:id="128" w:name="_Toc226965710"/>
      <w:bookmarkStart w:id="129" w:name="_Toc151193690"/>
      <w:bookmarkStart w:id="130" w:name="_Toc127151721"/>
      <w:bookmarkStart w:id="131" w:name="_Toc305158862"/>
      <w:bookmarkStart w:id="132" w:name="_Toc195842885"/>
      <w:bookmarkStart w:id="133" w:name="_Toc151193762"/>
      <w:bookmarkStart w:id="134" w:name="_Toc150774620"/>
      <w:bookmarkStart w:id="135" w:name="_Toc142311022"/>
      <w:bookmarkStart w:id="136" w:name="_Toc226309764"/>
      <w:bookmarkStart w:id="137" w:name="_Toc150509271"/>
      <w:bookmarkStart w:id="138" w:name="_Toc151193908"/>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3764"/>
      <w:bookmarkStart w:id="140" w:name="_Toc305158864"/>
      <w:bookmarkStart w:id="141" w:name="_Toc151193692"/>
      <w:bookmarkStart w:id="142" w:name="_Toc151193620"/>
      <w:bookmarkStart w:id="143" w:name="_Toc151190149"/>
      <w:bookmarkStart w:id="144" w:name="_Toc150774622"/>
      <w:bookmarkStart w:id="145" w:name="_Toc226965712"/>
      <w:bookmarkStart w:id="146" w:name="_Toc520356146"/>
      <w:bookmarkStart w:id="147" w:name="_Toc226965795"/>
      <w:bookmarkStart w:id="148" w:name="_Toc305158790"/>
      <w:bookmarkStart w:id="149" w:name="_Toc150480760"/>
      <w:bookmarkStart w:id="150" w:name="_Toc226309766"/>
      <w:bookmarkStart w:id="151" w:name="_Toc151193910"/>
      <w:bookmarkStart w:id="152" w:name="_Toc265228360"/>
      <w:bookmarkStart w:id="153" w:name="_Toc226337218"/>
      <w:bookmarkStart w:id="154" w:name="_Toc264969212"/>
      <w:bookmarkStart w:id="155" w:name="_Toc151193836"/>
      <w:bookmarkStart w:id="156" w:name="_Toc150774727"/>
      <w:bookmarkStart w:id="157" w:name="_Toc150509273"/>
      <w:bookmarkStart w:id="158" w:name="_Toc142311024"/>
      <w:bookmarkStart w:id="159" w:name="_Toc195842887"/>
      <w:bookmarkStart w:id="160" w:name="_Toc127151522"/>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226309767"/>
      <w:bookmarkStart w:id="163" w:name="_Toc265228361"/>
      <w:bookmarkStart w:id="164" w:name="_Toc164351617"/>
      <w:bookmarkStart w:id="165" w:name="_Toc127151724"/>
      <w:bookmarkStart w:id="166" w:name="_Toc164229218"/>
      <w:bookmarkStart w:id="167" w:name="_Toc151193621"/>
      <w:bookmarkStart w:id="168" w:name="_Toc520356147"/>
      <w:bookmarkStart w:id="169" w:name="_Toc150480761"/>
      <w:bookmarkStart w:id="170" w:name="_Toc150509274"/>
      <w:bookmarkStart w:id="171" w:name="_Toc127161437"/>
      <w:bookmarkStart w:id="172" w:name="_Toc305158791"/>
      <w:bookmarkStart w:id="173" w:name="_Toc151193693"/>
      <w:bookmarkStart w:id="174" w:name="_Toc151193765"/>
      <w:bookmarkStart w:id="175" w:name="_Toc151193911"/>
      <w:bookmarkStart w:id="176" w:name="_Toc264969213"/>
      <w:bookmarkStart w:id="177" w:name="_Toc226337219"/>
      <w:bookmarkStart w:id="178" w:name="_Toc151193837"/>
      <w:bookmarkStart w:id="179" w:name="_Toc164608637"/>
      <w:bookmarkStart w:id="180" w:name="_Toc226965796"/>
      <w:bookmarkStart w:id="181" w:name="_Toc164229364"/>
      <w:bookmarkStart w:id="182" w:name="_Toc226965713"/>
      <w:bookmarkStart w:id="183" w:name="_Toc127151523"/>
      <w:bookmarkStart w:id="184" w:name="_Toc149720816"/>
      <w:bookmarkStart w:id="185" w:name="_Toc142311025"/>
      <w:bookmarkStart w:id="186" w:name="_Toc305158865"/>
      <w:bookmarkStart w:id="187" w:name="_Toc195842888"/>
      <w:bookmarkStart w:id="188" w:name="_Toc150774623"/>
      <w:bookmarkStart w:id="189" w:name="_Toc150774728"/>
      <w:bookmarkStart w:id="190" w:name="_Toc151190150"/>
      <w:bookmarkStart w:id="191" w:name="_Toc164608792"/>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265228364"/>
      <w:bookmarkStart w:id="194" w:name="_Toc305158868"/>
      <w:bookmarkStart w:id="195" w:name="_Toc127151526"/>
      <w:bookmarkStart w:id="196" w:name="_Toc151193696"/>
      <w:bookmarkStart w:id="197" w:name="_Toc520356150"/>
      <w:bookmarkStart w:id="198" w:name="_Toc151193624"/>
      <w:bookmarkStart w:id="199" w:name="_Toc151193840"/>
      <w:bookmarkStart w:id="200" w:name="_Toc226965799"/>
      <w:bookmarkStart w:id="201" w:name="_Toc264969216"/>
      <w:bookmarkStart w:id="202" w:name="_Toc150774626"/>
      <w:bookmarkStart w:id="203" w:name="_Toc151193768"/>
      <w:bookmarkStart w:id="204" w:name="_Toc150480764"/>
      <w:bookmarkStart w:id="205" w:name="_Toc226337222"/>
      <w:bookmarkStart w:id="206" w:name="_Toc151193914"/>
      <w:bookmarkStart w:id="207" w:name="_Toc195842891"/>
      <w:bookmarkStart w:id="208" w:name="_Toc226965716"/>
      <w:bookmarkStart w:id="209" w:name="_Toc150509277"/>
      <w:bookmarkStart w:id="210" w:name="_Toc151190153"/>
      <w:bookmarkStart w:id="211" w:name="_Toc142311028"/>
      <w:bookmarkStart w:id="212" w:name="_Toc226309770"/>
      <w:bookmarkStart w:id="213" w:name="_Toc150774731"/>
      <w:bookmarkStart w:id="214" w:name="_Toc305158794"/>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64229222"/>
      <w:bookmarkStart w:id="216" w:name="_Toc164351621"/>
      <w:bookmarkStart w:id="217" w:name="_Toc151193915"/>
      <w:bookmarkStart w:id="218" w:name="_Toc151190154"/>
      <w:bookmarkStart w:id="219" w:name="_Toc265228365"/>
      <w:bookmarkStart w:id="220" w:name="_Toc151193625"/>
      <w:bookmarkStart w:id="221" w:name="_Toc226965717"/>
      <w:bookmarkStart w:id="222" w:name="_Toc195842892"/>
      <w:bookmarkStart w:id="223" w:name="_Toc164608641"/>
      <w:bookmarkStart w:id="224" w:name="_Toc151193841"/>
      <w:bookmarkStart w:id="225" w:name="_Toc164608796"/>
      <w:bookmarkStart w:id="226" w:name="_Toc164229368"/>
      <w:bookmarkStart w:id="227" w:name="_Toc149720820"/>
      <w:bookmarkStart w:id="228" w:name="_Toc150480765"/>
      <w:bookmarkStart w:id="229" w:name="_Toc226309771"/>
      <w:bookmarkStart w:id="230" w:name="_Toc150509278"/>
      <w:bookmarkStart w:id="231" w:name="_Toc150774732"/>
      <w:bookmarkStart w:id="232" w:name="_Toc226337223"/>
      <w:bookmarkStart w:id="233" w:name="_Toc150774627"/>
      <w:bookmarkStart w:id="234" w:name="_Toc305158795"/>
      <w:bookmarkStart w:id="235" w:name="_Toc520356151"/>
      <w:bookmarkStart w:id="236" w:name="_Toc305158869"/>
      <w:bookmarkStart w:id="237" w:name="_Toc151193769"/>
      <w:bookmarkStart w:id="238" w:name="_Toc226965800"/>
      <w:bookmarkStart w:id="239" w:name="_Toc127151527"/>
      <w:bookmarkStart w:id="240" w:name="_Toc264969217"/>
      <w:bookmarkStart w:id="241" w:name="_Toc127151728"/>
      <w:bookmarkStart w:id="242" w:name="_Toc516367021"/>
      <w:bookmarkStart w:id="243" w:name="_Toc142311029"/>
      <w:bookmarkStart w:id="244" w:name="_Toc151193697"/>
      <w:bookmarkStart w:id="245" w:name="_Toc127161441"/>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195"/>
      <w:bookmarkStart w:id="247" w:name="_Toc516367022"/>
      <w:bookmarkStart w:id="248" w:name="_Ref467306676"/>
      <w:bookmarkStart w:id="249" w:name="_Toc164351622"/>
      <w:bookmarkStart w:id="250" w:name="_Toc164608642"/>
      <w:bookmarkStart w:id="251" w:name="_Toc151193842"/>
      <w:bookmarkStart w:id="252" w:name="_Toc151193698"/>
      <w:bookmarkStart w:id="253" w:name="_Toc150509279"/>
      <w:bookmarkStart w:id="254" w:name="_Toc305158796"/>
      <w:bookmarkStart w:id="255" w:name="_Toc150774628"/>
      <w:bookmarkStart w:id="256" w:name="_Toc305158870"/>
      <w:bookmarkStart w:id="257" w:name="_Toc164229223"/>
      <w:bookmarkStart w:id="258" w:name="_Toc127151729"/>
      <w:bookmarkStart w:id="259" w:name="_Toc151190155"/>
      <w:bookmarkStart w:id="260" w:name="_Toc150480766"/>
      <w:bookmarkStart w:id="261" w:name="_Toc226337224"/>
      <w:bookmarkStart w:id="262" w:name="_Toc226965718"/>
      <w:bookmarkStart w:id="263" w:name="_Toc127151528"/>
      <w:bookmarkStart w:id="264" w:name="_Toc151193916"/>
      <w:bookmarkStart w:id="265" w:name="_Toc149720821"/>
      <w:bookmarkStart w:id="266" w:name="_Toc226309772"/>
      <w:bookmarkStart w:id="267" w:name="_Toc127161442"/>
      <w:bookmarkStart w:id="268" w:name="_Toc520356152"/>
      <w:bookmarkStart w:id="269" w:name="_Toc142311030"/>
      <w:bookmarkStart w:id="270" w:name="_Toc195842893"/>
      <w:bookmarkStart w:id="271" w:name="_Toc164608797"/>
      <w:bookmarkStart w:id="272" w:name="_Toc164229369"/>
      <w:bookmarkStart w:id="273" w:name="_Toc150774733"/>
      <w:bookmarkStart w:id="274" w:name="_Toc151193770"/>
      <w:bookmarkStart w:id="275" w:name="_Toc264969218"/>
      <w:bookmarkStart w:id="276" w:name="_Toc265228366"/>
      <w:bookmarkStart w:id="277" w:name="_Toc226965801"/>
      <w:bookmarkStart w:id="278" w:name="_Toc151193626"/>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0774735"/>
      <w:bookmarkStart w:id="281" w:name="_Toc150509281"/>
      <w:bookmarkStart w:id="282" w:name="_Toc164229371"/>
      <w:bookmarkStart w:id="283" w:name="_Toc520356155"/>
      <w:bookmarkStart w:id="284" w:name="_Toc164229225"/>
      <w:bookmarkStart w:id="285" w:name="_Toc151193918"/>
      <w:bookmarkStart w:id="286" w:name="_Toc151193628"/>
      <w:bookmarkStart w:id="287" w:name="_Toc151193844"/>
      <w:bookmarkStart w:id="288" w:name="_Toc142311032"/>
      <w:bookmarkStart w:id="289" w:name="_Toc151190157"/>
      <w:bookmarkStart w:id="290" w:name="_Toc150480768"/>
      <w:bookmarkStart w:id="291" w:name="_Toc149720823"/>
      <w:bookmarkStart w:id="292" w:name="_Toc127151530"/>
      <w:bookmarkStart w:id="293" w:name="_Toc195842895"/>
      <w:bookmarkStart w:id="294" w:name="_Toc164608644"/>
      <w:bookmarkStart w:id="295" w:name="_Toc164608799"/>
      <w:bookmarkStart w:id="296" w:name="_Toc127151731"/>
      <w:bookmarkStart w:id="297" w:name="_Toc150774630"/>
      <w:bookmarkStart w:id="298" w:name="_Toc127161444"/>
      <w:bookmarkStart w:id="299" w:name="_Toc151193772"/>
      <w:bookmarkStart w:id="300" w:name="_Toc151193700"/>
      <w:bookmarkStart w:id="301" w:name="_Toc164351624"/>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0774631"/>
      <w:bookmarkStart w:id="303" w:name="_Toc265228369"/>
      <w:bookmarkStart w:id="304" w:name="_Toc151193701"/>
      <w:bookmarkStart w:id="305" w:name="_Toc164608800"/>
      <w:bookmarkStart w:id="306" w:name="_Toc127161445"/>
      <w:bookmarkStart w:id="307" w:name="_Toc151193773"/>
      <w:bookmarkStart w:id="308" w:name="_Toc151193845"/>
      <w:bookmarkStart w:id="309" w:name="_Toc226965804"/>
      <w:bookmarkStart w:id="310" w:name="_Toc164229226"/>
      <w:bookmarkStart w:id="311" w:name="_Toc150774736"/>
      <w:bookmarkStart w:id="312" w:name="_Toc520356156"/>
      <w:bookmarkStart w:id="313" w:name="_Toc127151531"/>
      <w:bookmarkStart w:id="314" w:name="_Toc150509282"/>
      <w:bookmarkStart w:id="315" w:name="_Toc151193919"/>
      <w:bookmarkStart w:id="316" w:name="_Ref467306513"/>
      <w:bookmarkStart w:id="317" w:name="_Toc264969221"/>
      <w:bookmarkStart w:id="318" w:name="_Toc226965721"/>
      <w:bookmarkStart w:id="319" w:name="_Toc226309775"/>
      <w:bookmarkStart w:id="320" w:name="_Toc195842896"/>
      <w:bookmarkStart w:id="321" w:name="_Toc305158873"/>
      <w:bookmarkStart w:id="322" w:name="_Toc305158799"/>
      <w:bookmarkStart w:id="323" w:name="_Toc164229372"/>
      <w:bookmarkStart w:id="324" w:name="_Toc226337227"/>
      <w:bookmarkStart w:id="325" w:name="_Toc149720824"/>
      <w:bookmarkStart w:id="326" w:name="_Toc164608645"/>
      <w:bookmarkStart w:id="327" w:name="_Toc127151732"/>
      <w:bookmarkStart w:id="328" w:name="_Toc164351625"/>
      <w:bookmarkStart w:id="329" w:name="_Toc151190158"/>
      <w:bookmarkStart w:id="330" w:name="_Toc142311033"/>
      <w:bookmarkStart w:id="331" w:name="_Toc150480769"/>
      <w:bookmarkStart w:id="332" w:name="_Toc151193629"/>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27151532"/>
      <w:bookmarkStart w:id="334" w:name="_Toc151193846"/>
      <w:bookmarkStart w:id="335" w:name="_Toc226965722"/>
      <w:bookmarkStart w:id="336" w:name="_Toc164229227"/>
      <w:bookmarkStart w:id="337" w:name="_Toc305158874"/>
      <w:bookmarkStart w:id="338" w:name="_Toc520356157"/>
      <w:bookmarkStart w:id="339" w:name="_Toc195842897"/>
      <w:bookmarkStart w:id="340" w:name="_Toc151190159"/>
      <w:bookmarkStart w:id="341" w:name="_Toc151193920"/>
      <w:bookmarkStart w:id="342" w:name="_Toc226337228"/>
      <w:bookmarkStart w:id="343" w:name="_Toc164608646"/>
      <w:bookmarkStart w:id="344" w:name="_Toc151193702"/>
      <w:bookmarkStart w:id="345" w:name="_Toc127161446"/>
      <w:bookmarkStart w:id="346" w:name="_Toc127151733"/>
      <w:bookmarkStart w:id="347" w:name="_Toc150774632"/>
      <w:bookmarkStart w:id="348" w:name="_Toc264969222"/>
      <w:bookmarkStart w:id="349" w:name="_Toc164608801"/>
      <w:bookmarkStart w:id="350" w:name="_Toc226309776"/>
      <w:bookmarkStart w:id="351" w:name="_Toc164229373"/>
      <w:bookmarkStart w:id="352" w:name="_Toc142311034"/>
      <w:bookmarkStart w:id="353" w:name="_Toc265228370"/>
      <w:bookmarkStart w:id="354" w:name="_Toc151193630"/>
      <w:bookmarkStart w:id="355" w:name="_Toc150509283"/>
      <w:bookmarkStart w:id="356" w:name="_Toc305158800"/>
      <w:bookmarkStart w:id="357" w:name="_Toc151193774"/>
      <w:bookmarkStart w:id="358" w:name="_Toc226965805"/>
      <w:bookmarkStart w:id="359" w:name="_Toc149720825"/>
      <w:bookmarkStart w:id="360" w:name="_Toc150774737"/>
      <w:bookmarkStart w:id="361" w:name="_Toc164351626"/>
      <w:bookmarkStart w:id="362" w:name="_Toc150480770"/>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50774633"/>
      <w:bookmarkStart w:id="364" w:name="_Toc150774738"/>
      <w:bookmarkStart w:id="365" w:name="_Toc151193631"/>
      <w:bookmarkStart w:id="366" w:name="_Toc127151734"/>
      <w:bookmarkStart w:id="367" w:name="_Toc151193703"/>
      <w:bookmarkStart w:id="368" w:name="_Toc305158801"/>
      <w:bookmarkStart w:id="369" w:name="_Toc127161447"/>
      <w:bookmarkStart w:id="370" w:name="_Toc151193921"/>
      <w:bookmarkStart w:id="371" w:name="_Toc305158875"/>
      <w:bookmarkStart w:id="372" w:name="_Toc226965806"/>
      <w:bookmarkStart w:id="373" w:name="_Toc127151533"/>
      <w:bookmarkStart w:id="374" w:name="_Toc151190160"/>
      <w:bookmarkStart w:id="375" w:name="_Toc195842898"/>
      <w:bookmarkStart w:id="376" w:name="_Toc164229228"/>
      <w:bookmarkStart w:id="377" w:name="_Toc151193775"/>
      <w:bookmarkStart w:id="378" w:name="_Toc226965723"/>
      <w:bookmarkStart w:id="379" w:name="_Toc226337229"/>
      <w:bookmarkStart w:id="380" w:name="_Toc264969223"/>
      <w:bookmarkStart w:id="381" w:name="_Toc142311035"/>
      <w:bookmarkStart w:id="382" w:name="_Toc164229374"/>
      <w:bookmarkStart w:id="383" w:name="_Toc150509284"/>
      <w:bookmarkStart w:id="384" w:name="_Toc226309777"/>
      <w:bookmarkStart w:id="385" w:name="_Toc164608802"/>
      <w:bookmarkStart w:id="386" w:name="_Toc164608647"/>
      <w:bookmarkStart w:id="387" w:name="_Toc149720826"/>
      <w:bookmarkStart w:id="388" w:name="_Toc151193847"/>
      <w:bookmarkStart w:id="389" w:name="_Toc150480771"/>
      <w:bookmarkStart w:id="390" w:name="_Toc520356158"/>
      <w:bookmarkStart w:id="391" w:name="_Toc265228371"/>
      <w:bookmarkStart w:id="392" w:name="_Toc164351627"/>
      <w:bookmarkStart w:id="393" w:name="_Toc151193848"/>
      <w:bookmarkStart w:id="394" w:name="_Toc265228372"/>
      <w:bookmarkStart w:id="395" w:name="_Toc151193632"/>
      <w:bookmarkStart w:id="396" w:name="_Toc195842899"/>
      <w:bookmarkStart w:id="397" w:name="_Toc305158802"/>
      <w:bookmarkStart w:id="398" w:name="_Toc142311036"/>
      <w:bookmarkStart w:id="399" w:name="_Toc264969224"/>
      <w:bookmarkStart w:id="400" w:name="_Toc151190161"/>
      <w:bookmarkStart w:id="401" w:name="_Toc150774739"/>
      <w:bookmarkStart w:id="402" w:name="_Toc226309778"/>
      <w:bookmarkStart w:id="403" w:name="_Toc226337230"/>
      <w:bookmarkStart w:id="404" w:name="_Toc226965724"/>
      <w:bookmarkStart w:id="405" w:name="_Toc150509285"/>
      <w:bookmarkStart w:id="406" w:name="_Toc520356159"/>
      <w:bookmarkStart w:id="407" w:name="_Toc150774634"/>
      <w:bookmarkStart w:id="408" w:name="_Toc226965807"/>
      <w:bookmarkStart w:id="409" w:name="_Toc151193704"/>
      <w:bookmarkStart w:id="410" w:name="_Toc305158876"/>
      <w:bookmarkStart w:id="411" w:name="_Toc151193922"/>
      <w:bookmarkStart w:id="412" w:name="_Toc151193776"/>
      <w:bookmarkStart w:id="413" w:name="_Toc150480772"/>
      <w:bookmarkStart w:id="414" w:name="_Toc127151534"/>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5"/>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150509286"/>
      <w:bookmarkStart w:id="417" w:name="_Toc150774740"/>
      <w:bookmarkStart w:id="418" w:name="_Toc164608649"/>
      <w:bookmarkStart w:id="419" w:name="_Toc151193633"/>
      <w:bookmarkStart w:id="420" w:name="_Toc164229230"/>
      <w:bookmarkStart w:id="421" w:name="_Toc151193923"/>
      <w:bookmarkStart w:id="422" w:name="_Toc142311037"/>
      <w:bookmarkStart w:id="423" w:name="_Toc265228373"/>
      <w:bookmarkStart w:id="424" w:name="_Toc164351629"/>
      <w:bookmarkStart w:id="425" w:name="_Toc151190162"/>
      <w:bookmarkStart w:id="426" w:name="_Toc226337231"/>
      <w:bookmarkStart w:id="427" w:name="_Toc127151736"/>
      <w:bookmarkStart w:id="428" w:name="_Toc520356160"/>
      <w:bookmarkStart w:id="429" w:name="_Toc150480773"/>
      <w:bookmarkStart w:id="430" w:name="_Toc127161449"/>
      <w:bookmarkStart w:id="431" w:name="_Toc151193777"/>
      <w:bookmarkStart w:id="432" w:name="_Toc150774635"/>
      <w:bookmarkStart w:id="433" w:name="_Toc305158877"/>
      <w:bookmarkStart w:id="434" w:name="_Toc151193849"/>
      <w:bookmarkStart w:id="435" w:name="_Toc164229376"/>
      <w:bookmarkStart w:id="436" w:name="_Toc195842900"/>
      <w:bookmarkStart w:id="437" w:name="_Toc149720828"/>
      <w:bookmarkStart w:id="438" w:name="_Toc226965725"/>
      <w:bookmarkStart w:id="439" w:name="_Toc226965808"/>
      <w:bookmarkStart w:id="440" w:name="_Toc151193705"/>
      <w:bookmarkStart w:id="441" w:name="_Toc305158803"/>
      <w:bookmarkStart w:id="442" w:name="_Toc127151535"/>
      <w:bookmarkStart w:id="443" w:name="_Toc226309779"/>
      <w:bookmarkStart w:id="444" w:name="_Toc164608804"/>
      <w:bookmarkStart w:id="445" w:name="_Toc264969225"/>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51193634"/>
      <w:bookmarkStart w:id="447" w:name="_Toc149720829"/>
      <w:bookmarkStart w:id="448" w:name="_Toc151193850"/>
      <w:bookmarkStart w:id="449" w:name="_Toc150509287"/>
      <w:bookmarkStart w:id="450" w:name="_Toc305158804"/>
      <w:bookmarkStart w:id="451" w:name="_Toc305158878"/>
      <w:bookmarkStart w:id="452" w:name="_Toc226965809"/>
      <w:bookmarkStart w:id="453" w:name="_Toc226309780"/>
      <w:bookmarkStart w:id="454" w:name="_Toc150774741"/>
      <w:bookmarkStart w:id="455" w:name="_Toc151190163"/>
      <w:bookmarkStart w:id="456" w:name="_Toc142311038"/>
      <w:bookmarkStart w:id="457" w:name="_Toc127151737"/>
      <w:bookmarkStart w:id="458" w:name="_Toc164229377"/>
      <w:bookmarkStart w:id="459" w:name="_Toc520356161"/>
      <w:bookmarkStart w:id="460" w:name="_Toc264969226"/>
      <w:bookmarkStart w:id="461" w:name="_Toc226965726"/>
      <w:bookmarkStart w:id="462" w:name="_Toc151193706"/>
      <w:bookmarkStart w:id="463" w:name="_Toc150480774"/>
      <w:bookmarkStart w:id="464" w:name="_Toc164608650"/>
      <w:bookmarkStart w:id="465" w:name="_Toc164229231"/>
      <w:bookmarkStart w:id="466" w:name="_Toc127151536"/>
      <w:bookmarkStart w:id="467" w:name="_Toc164351630"/>
      <w:bookmarkStart w:id="468" w:name="_Toc127161450"/>
      <w:bookmarkStart w:id="469" w:name="_Toc195842901"/>
      <w:bookmarkStart w:id="470" w:name="_Toc151193924"/>
      <w:bookmarkStart w:id="471" w:name="_Toc151193778"/>
      <w:bookmarkStart w:id="472" w:name="_Toc226337232"/>
      <w:bookmarkStart w:id="473" w:name="_Toc150774636"/>
      <w:bookmarkStart w:id="474" w:name="_Toc164608805"/>
      <w:bookmarkStart w:id="475" w:name="_Toc265228374"/>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51193707"/>
      <w:bookmarkStart w:id="477" w:name="_Toc142311039"/>
      <w:bookmarkStart w:id="478" w:name="_Toc264969227"/>
      <w:bookmarkStart w:id="479" w:name="_Toc164229232"/>
      <w:bookmarkStart w:id="480" w:name="_Toc305158879"/>
      <w:bookmarkStart w:id="481" w:name="_Toc151190164"/>
      <w:bookmarkStart w:id="482" w:name="_Toc164351631"/>
      <w:bookmarkStart w:id="483" w:name="_Toc265228375"/>
      <w:bookmarkStart w:id="484" w:name="_Toc151193851"/>
      <w:bookmarkStart w:id="485" w:name="_Toc226309781"/>
      <w:bookmarkStart w:id="486" w:name="_Toc226965727"/>
      <w:bookmarkStart w:id="487" w:name="_Toc150509288"/>
      <w:bookmarkStart w:id="488" w:name="_Toc164608651"/>
      <w:bookmarkStart w:id="489" w:name="_Toc127161451"/>
      <w:bookmarkStart w:id="490" w:name="_Toc151193925"/>
      <w:bookmarkStart w:id="491" w:name="_Toc226965810"/>
      <w:bookmarkStart w:id="492" w:name="_Toc520356162"/>
      <w:bookmarkStart w:id="493" w:name="_Toc305158805"/>
      <w:bookmarkStart w:id="494" w:name="_Toc150480775"/>
      <w:bookmarkStart w:id="495" w:name="_Toc164229378"/>
      <w:bookmarkStart w:id="496" w:name="_Toc151193635"/>
      <w:bookmarkStart w:id="497" w:name="_Toc127151738"/>
      <w:bookmarkStart w:id="498" w:name="_Toc127151537"/>
      <w:bookmarkStart w:id="499" w:name="_Toc226337233"/>
      <w:bookmarkStart w:id="500" w:name="_Toc164608806"/>
      <w:bookmarkStart w:id="501" w:name="_Toc150774742"/>
      <w:bookmarkStart w:id="502" w:name="_Toc149720830"/>
      <w:bookmarkStart w:id="503" w:name="_Toc195842902"/>
      <w:bookmarkStart w:id="504" w:name="_Toc151193779"/>
      <w:bookmarkStart w:id="505" w:name="_Toc150774637"/>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5"/>
        <w:spacing w:before="0" w:line="360" w:lineRule="auto"/>
        <w:rPr>
          <w:rFonts w:ascii="Times New Roman" w:hAnsi="Times New Roman" w:eastAsia="宋体"/>
          <w:color w:val="auto"/>
          <w:sz w:val="28"/>
          <w:highlight w:val="none"/>
        </w:rPr>
      </w:pPr>
      <w:bookmarkStart w:id="506" w:name="_Toc520356163"/>
      <w:bookmarkStart w:id="507" w:name="_Toc142311040"/>
      <w:bookmarkStart w:id="508" w:name="_Toc127151538"/>
      <w:bookmarkStart w:id="509" w:name="_Toc151190165"/>
      <w:bookmarkStart w:id="510" w:name="_Toc150509289"/>
      <w:bookmarkStart w:id="511" w:name="_Toc305158806"/>
      <w:bookmarkStart w:id="512" w:name="_Toc226965811"/>
      <w:bookmarkStart w:id="513" w:name="_Toc226309782"/>
      <w:bookmarkStart w:id="514" w:name="_Toc305158880"/>
      <w:bookmarkStart w:id="515" w:name="_Toc150774743"/>
      <w:bookmarkStart w:id="516" w:name="_Toc226965728"/>
      <w:bookmarkStart w:id="517" w:name="_Toc151193780"/>
      <w:bookmarkStart w:id="518" w:name="_Toc265228376"/>
      <w:bookmarkStart w:id="519" w:name="_Toc151193926"/>
      <w:bookmarkStart w:id="520" w:name="_Toc150774638"/>
      <w:bookmarkStart w:id="521" w:name="_Toc151193636"/>
      <w:bookmarkStart w:id="522" w:name="_Toc151193708"/>
      <w:bookmarkStart w:id="523" w:name="_Toc264969228"/>
      <w:bookmarkStart w:id="524" w:name="_Toc195842903"/>
      <w:bookmarkStart w:id="525" w:name="_Toc151193852"/>
      <w:bookmarkStart w:id="526" w:name="_Toc226337234"/>
      <w:bookmarkStart w:id="527" w:name="_Toc150480776"/>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264969229"/>
      <w:bookmarkStart w:id="529" w:name="_Toc142311041"/>
      <w:bookmarkStart w:id="530" w:name="_Toc149720832"/>
      <w:bookmarkStart w:id="531" w:name="_Toc305158881"/>
      <w:bookmarkStart w:id="532" w:name="_Toc151193781"/>
      <w:bookmarkStart w:id="533" w:name="_Toc151193853"/>
      <w:bookmarkStart w:id="534" w:name="_Toc226337235"/>
      <w:bookmarkStart w:id="535" w:name="_Toc150509290"/>
      <w:bookmarkStart w:id="536" w:name="_Toc226309783"/>
      <w:bookmarkStart w:id="537" w:name="_Toc265228377"/>
      <w:bookmarkStart w:id="538" w:name="_Toc195842904"/>
      <w:bookmarkStart w:id="539" w:name="_Toc305158807"/>
      <w:bookmarkStart w:id="540" w:name="_Toc164229234"/>
      <w:bookmarkStart w:id="541" w:name="_Toc226965812"/>
      <w:bookmarkStart w:id="542" w:name="_Toc151190166"/>
      <w:bookmarkStart w:id="543" w:name="_Toc164608808"/>
      <w:bookmarkStart w:id="544" w:name="_Toc150774639"/>
      <w:bookmarkStart w:id="545" w:name="_Toc150774744"/>
      <w:bookmarkStart w:id="546" w:name="_Toc151193927"/>
      <w:bookmarkStart w:id="547" w:name="_Toc127151740"/>
      <w:bookmarkStart w:id="548" w:name="_Toc151193637"/>
      <w:bookmarkStart w:id="549" w:name="_Toc164608653"/>
      <w:bookmarkStart w:id="550" w:name="_Toc164351633"/>
      <w:bookmarkStart w:id="551" w:name="_Toc127161453"/>
      <w:bookmarkStart w:id="552" w:name="_Toc164229380"/>
      <w:bookmarkStart w:id="553" w:name="_Toc127151539"/>
      <w:bookmarkStart w:id="554" w:name="_Toc226965729"/>
      <w:bookmarkStart w:id="555" w:name="_Toc150480777"/>
      <w:bookmarkStart w:id="556" w:name="_Toc520356164"/>
      <w:bookmarkStart w:id="557" w:name="_Toc151193709"/>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264969230"/>
      <w:bookmarkStart w:id="560" w:name="_Toc164229235"/>
      <w:bookmarkStart w:id="561" w:name="_Toc127151741"/>
      <w:bookmarkStart w:id="562" w:name="_Toc305158882"/>
      <w:bookmarkStart w:id="563" w:name="_Toc150480778"/>
      <w:bookmarkStart w:id="564" w:name="_Toc151193710"/>
      <w:bookmarkStart w:id="565" w:name="_Toc151193928"/>
      <w:bookmarkStart w:id="566" w:name="_Toc151193782"/>
      <w:bookmarkStart w:id="567" w:name="_Toc305158808"/>
      <w:bookmarkStart w:id="568" w:name="_Toc150774745"/>
      <w:bookmarkStart w:id="569" w:name="_Toc195842905"/>
      <w:bookmarkStart w:id="570" w:name="_Toc164608654"/>
      <w:bookmarkStart w:id="571" w:name="_Toc265228378"/>
      <w:bookmarkStart w:id="572" w:name="_Toc151193854"/>
      <w:bookmarkStart w:id="573" w:name="_Toc226965730"/>
      <w:bookmarkStart w:id="574" w:name="_Toc226965813"/>
      <w:bookmarkStart w:id="575" w:name="_Toc151193638"/>
      <w:bookmarkStart w:id="576" w:name="_Toc164351634"/>
      <w:bookmarkStart w:id="577" w:name="_Toc149720833"/>
      <w:bookmarkStart w:id="578" w:name="_Toc226309784"/>
      <w:bookmarkStart w:id="579" w:name="_Toc164229381"/>
      <w:bookmarkStart w:id="580" w:name="_Toc142311042"/>
      <w:bookmarkStart w:id="581" w:name="_Toc127151540"/>
      <w:bookmarkStart w:id="582" w:name="_Toc150509291"/>
      <w:bookmarkStart w:id="583" w:name="_Toc127161454"/>
      <w:bookmarkStart w:id="584" w:name="_Toc164608809"/>
      <w:bookmarkStart w:id="585" w:name="_Toc150774640"/>
      <w:bookmarkStart w:id="586" w:name="_Toc151190167"/>
      <w:bookmarkStart w:id="587" w:name="_Toc226337236"/>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305158887"/>
      <w:bookmarkStart w:id="590" w:name="_Toc151193933"/>
      <w:bookmarkStart w:id="591" w:name="_Toc226965735"/>
      <w:bookmarkStart w:id="592" w:name="_Toc195842910"/>
      <w:bookmarkStart w:id="593" w:name="_Toc127151545"/>
      <w:bookmarkStart w:id="594" w:name="_Toc151193643"/>
      <w:bookmarkStart w:id="595" w:name="_Toc305158813"/>
      <w:bookmarkStart w:id="596" w:name="_Toc151193787"/>
      <w:bookmarkStart w:id="597" w:name="_Toc265228383"/>
      <w:bookmarkStart w:id="598" w:name="_Toc150480783"/>
      <w:bookmarkStart w:id="599" w:name="_Toc142311047"/>
      <w:bookmarkStart w:id="600" w:name="_Toc150774750"/>
      <w:bookmarkStart w:id="601" w:name="_Toc151193715"/>
      <w:bookmarkStart w:id="602" w:name="_Toc151190172"/>
      <w:bookmarkStart w:id="603" w:name="_Toc226965818"/>
      <w:bookmarkStart w:id="604" w:name="_Toc150509296"/>
      <w:bookmarkStart w:id="605" w:name="_Toc226309789"/>
      <w:bookmarkStart w:id="606" w:name="_Toc264969235"/>
      <w:bookmarkStart w:id="607" w:name="_Toc226337241"/>
      <w:bookmarkStart w:id="608" w:name="_Toc151193859"/>
      <w:bookmarkStart w:id="609" w:name="_Toc15077464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95842912"/>
      <w:bookmarkStart w:id="611" w:name="_Toc151193861"/>
      <w:bookmarkStart w:id="612" w:name="_Toc164608661"/>
      <w:bookmarkStart w:id="613" w:name="_Toc149720840"/>
      <w:bookmarkStart w:id="614" w:name="_Toc127151748"/>
      <w:bookmarkStart w:id="615" w:name="_Toc127151547"/>
      <w:bookmarkStart w:id="616" w:name="_Toc142311049"/>
      <w:bookmarkStart w:id="617" w:name="_Toc150509298"/>
      <w:bookmarkStart w:id="618" w:name="_Toc164229242"/>
      <w:bookmarkStart w:id="619" w:name="_Toc305158815"/>
      <w:bookmarkStart w:id="620" w:name="_Toc164608816"/>
      <w:bookmarkStart w:id="621" w:name="_Toc127161461"/>
      <w:bookmarkStart w:id="622" w:name="_Toc226337243"/>
      <w:bookmarkStart w:id="623" w:name="_Toc226965820"/>
      <w:bookmarkStart w:id="624" w:name="_Toc305158889"/>
      <w:bookmarkStart w:id="625" w:name="_Toc151193935"/>
      <w:bookmarkStart w:id="626" w:name="_Toc151193645"/>
      <w:bookmarkStart w:id="627" w:name="_Toc150774647"/>
      <w:bookmarkStart w:id="628" w:name="_Toc151190174"/>
      <w:bookmarkStart w:id="629" w:name="_Toc265228385"/>
      <w:bookmarkStart w:id="630" w:name="_Toc264969237"/>
      <w:bookmarkStart w:id="631" w:name="_Toc151193717"/>
      <w:bookmarkStart w:id="632" w:name="_Toc150480785"/>
      <w:bookmarkStart w:id="633" w:name="_Toc164229388"/>
      <w:bookmarkStart w:id="634" w:name="_Toc151193789"/>
      <w:bookmarkStart w:id="635" w:name="_Toc164351641"/>
      <w:bookmarkStart w:id="636" w:name="_Toc150774752"/>
      <w:bookmarkStart w:id="637" w:name="_Toc226965737"/>
      <w:bookmarkStart w:id="638" w:name="_Toc226309791"/>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rPr>
        <w:t>中标供应商</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采购人将在评标报告确定的中标候选人名单中按顺序确定中标供应商，中标候选人并列的，由采购人依法确定。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226337245"/>
      <w:bookmarkStart w:id="642" w:name="_Toc164229390"/>
      <w:bookmarkStart w:id="643" w:name="_Toc151193719"/>
      <w:bookmarkStart w:id="644" w:name="_Toc164229244"/>
      <w:bookmarkStart w:id="645" w:name="_Toc150774649"/>
      <w:bookmarkStart w:id="646" w:name="_Toc151193937"/>
      <w:bookmarkStart w:id="647" w:name="_Toc164351643"/>
      <w:bookmarkStart w:id="648" w:name="_Toc265228387"/>
      <w:bookmarkStart w:id="649" w:name="_Toc151193863"/>
      <w:bookmarkStart w:id="650" w:name="_Toc142311051"/>
      <w:bookmarkStart w:id="651" w:name="_Toc150480787"/>
      <w:bookmarkStart w:id="652" w:name="_Toc164608818"/>
      <w:bookmarkStart w:id="653" w:name="_Toc149720842"/>
      <w:bookmarkStart w:id="654" w:name="_Toc127161463"/>
      <w:bookmarkStart w:id="655" w:name="_Toc127151750"/>
      <w:bookmarkStart w:id="656" w:name="_Toc151190176"/>
      <w:bookmarkStart w:id="657" w:name="_Toc151193791"/>
      <w:bookmarkStart w:id="658" w:name="_Toc151193647"/>
      <w:bookmarkStart w:id="659" w:name="_Toc150774754"/>
      <w:bookmarkStart w:id="660" w:name="_Toc226309793"/>
      <w:bookmarkStart w:id="661" w:name="_Toc264969239"/>
      <w:bookmarkStart w:id="662" w:name="_Toc226965739"/>
      <w:bookmarkStart w:id="663" w:name="_Toc164608663"/>
      <w:bookmarkStart w:id="664" w:name="_Toc226965822"/>
      <w:bookmarkStart w:id="665" w:name="_Toc195842914"/>
      <w:bookmarkStart w:id="666" w:name="_Toc150509300"/>
      <w:bookmarkStart w:id="667" w:name="_Toc127151549"/>
      <w:bookmarkStart w:id="668" w:name="_Toc520356176"/>
      <w:bookmarkStart w:id="669" w:name="_Ref467306425"/>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采购人或采购代理机构自中标供应商确定之日起2个工作日内，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，同时向中标供应商发出中标通知书，中标公告期限为1个工作日。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符合专业条件的投标供应商或者对招标文件作实质响应的投标供应商不足三家的；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305158818"/>
      <w:bookmarkStart w:id="672" w:name="_Toc226309794"/>
      <w:bookmarkStart w:id="673" w:name="_Toc150509301"/>
      <w:bookmarkStart w:id="674" w:name="_Toc164608819"/>
      <w:bookmarkStart w:id="675" w:name="_Toc195842915"/>
      <w:bookmarkStart w:id="676" w:name="_Toc127161464"/>
      <w:bookmarkStart w:id="677" w:name="_Toc127151751"/>
      <w:bookmarkStart w:id="678" w:name="_Toc164608664"/>
      <w:bookmarkStart w:id="679" w:name="_Toc265228388"/>
      <w:bookmarkStart w:id="680" w:name="_Toc151193938"/>
      <w:bookmarkStart w:id="681" w:name="_Toc226337246"/>
      <w:bookmarkStart w:id="682" w:name="_Toc150480788"/>
      <w:bookmarkStart w:id="683" w:name="_Toc151193792"/>
      <w:bookmarkStart w:id="684" w:name="_Toc164351644"/>
      <w:bookmarkStart w:id="685" w:name="_Toc142311052"/>
      <w:bookmarkStart w:id="686" w:name="_Toc151193720"/>
      <w:bookmarkStart w:id="687" w:name="_Ref467307204"/>
      <w:bookmarkStart w:id="688" w:name="_Toc520356175"/>
      <w:bookmarkStart w:id="689" w:name="_Toc305158892"/>
      <w:bookmarkStart w:id="690" w:name="_Toc164229245"/>
      <w:bookmarkStart w:id="691" w:name="_Toc164229391"/>
      <w:bookmarkStart w:id="692" w:name="_Toc151193864"/>
      <w:bookmarkStart w:id="693" w:name="_Toc151190177"/>
      <w:bookmarkStart w:id="694" w:name="_Toc127151550"/>
      <w:bookmarkStart w:id="695" w:name="_Ref467306978"/>
      <w:bookmarkStart w:id="696" w:name="_Ref467306377"/>
      <w:bookmarkStart w:id="697" w:name="_Toc151193648"/>
      <w:bookmarkStart w:id="698" w:name="_Toc150774755"/>
      <w:bookmarkStart w:id="699" w:name="_Toc264969240"/>
      <w:bookmarkStart w:id="700" w:name="_Toc226965740"/>
      <w:bookmarkStart w:id="701" w:name="_Toc150774650"/>
      <w:bookmarkStart w:id="702" w:name="_Toc149720843"/>
      <w:bookmarkStart w:id="703" w:name="_Toc226965823"/>
      <w:bookmarkStart w:id="704" w:name="_Ref467307062"/>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中标供应商、采购人应当自中标通知书发出之日起30日内，按照招标文件和中标供应商投标文件的规定签订书面合同。所签订的合同不得对招标文件确定的事项和中标供应商的投标文件作实质性修改。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中标供应商拒绝与采购人签订合同的，采购人可以按照评标报告推荐的中标候选人名单排序，确定下一候选人为中标供应商，也可以重新开展政府采购活动。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采购人或采购代理机构对投标供应商依法提出的询问，在3个工作日内作出答复，但答复的内容不得涉及商业秘密。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4"/>
      <w:bookmarkStart w:id="707" w:name="_Hlt100653993"/>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收费对象、收费标准及缴纳时间见《投标人须知资料表》。由中标供应商支付的，中标供应商须一次性向采购代理机构缴纳代理费，投标报价应包含代理费用。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05158822"/>
      <w:bookmarkStart w:id="709" w:name="_Toc353873934"/>
      <w:bookmarkStart w:id="710" w:name="_Toc265228392"/>
      <w:bookmarkStart w:id="711" w:name="_Toc353873664"/>
      <w:bookmarkStart w:id="712" w:name="_Toc264969244"/>
      <w:bookmarkStart w:id="713" w:name="_Toc142311056"/>
      <w:bookmarkStart w:id="714" w:name="_Toc150480792"/>
      <w:bookmarkStart w:id="715" w:name="_Toc150774759"/>
      <w:bookmarkStart w:id="716" w:name="_Toc226965827"/>
      <w:bookmarkStart w:id="717" w:name="_Toc226337250"/>
      <w:bookmarkStart w:id="718" w:name="_Toc305158896"/>
      <w:bookmarkStart w:id="719" w:name="_Toc353825544"/>
      <w:bookmarkStart w:id="720" w:name="_Toc127151554"/>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127161490"/>
            <w:bookmarkStart w:id="727" w:name="_Toc127151779"/>
            <w:bookmarkStart w:id="728" w:name="_Toc226965858"/>
            <w:bookmarkStart w:id="729" w:name="_Toc353873940"/>
            <w:bookmarkStart w:id="730" w:name="_Toc353825550"/>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4185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19413D4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w:t>
            </w:r>
          </w:p>
        </w:tc>
        <w:tc>
          <w:tcPr>
            <w:tcW w:w="0" w:type="auto"/>
            <w:shd w:val="clear" w:color="auto" w:fill="auto"/>
            <w:vAlign w:val="center"/>
          </w:tcPr>
          <w:p w14:paraId="5C72B9F2">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本项目的特定资格要求</w:t>
            </w:r>
          </w:p>
        </w:tc>
        <w:tc>
          <w:tcPr>
            <w:tcW w:w="0" w:type="auto"/>
            <w:shd w:val="clear" w:color="auto" w:fill="auto"/>
            <w:vAlign w:val="center"/>
          </w:tcPr>
          <w:p w14:paraId="6740DF23">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7FA1E36C">
            <w:pPr>
              <w:tabs>
                <w:tab w:val="left" w:pos="1080"/>
              </w:tabs>
              <w:snapToGrid w:val="0"/>
              <w:outlineLvl w:val="9"/>
              <w:rPr>
                <w:rFonts w:hint="eastAsia" w:ascii="宋体" w:hAnsi="宋体" w:eastAsia="宋体" w:cs="宋体"/>
                <w:color w:val="auto"/>
                <w:kern w:val="2"/>
                <w:sz w:val="24"/>
                <w:szCs w:val="24"/>
                <w:highlight w:val="none"/>
                <w:lang w:val="en-US" w:eastAsia="zh-CN" w:bidi="ar-SA"/>
              </w:rPr>
            </w:pPr>
          </w:p>
        </w:tc>
      </w:tr>
      <w:tr w14:paraId="2912A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07777D8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3-1</w:t>
            </w:r>
          </w:p>
        </w:tc>
        <w:tc>
          <w:tcPr>
            <w:tcW w:w="0" w:type="auto"/>
            <w:shd w:val="clear" w:color="auto" w:fill="auto"/>
            <w:vAlign w:val="center"/>
          </w:tcPr>
          <w:p w14:paraId="57E56974">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其他特定资格要求</w:t>
            </w:r>
          </w:p>
        </w:tc>
        <w:tc>
          <w:tcPr>
            <w:tcW w:w="0" w:type="auto"/>
            <w:shd w:val="clear" w:color="auto" w:fill="auto"/>
            <w:vAlign w:val="center"/>
          </w:tcPr>
          <w:p w14:paraId="13B97B2C">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666340FB">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bl>
    <w:p w14:paraId="29F4A380">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8940"/>
      <w:bookmarkStart w:id="732" w:name="_Toc99301423"/>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27161455"/>
      <w:bookmarkStart w:id="735" w:name="_Toc151193711"/>
      <w:bookmarkStart w:id="736" w:name="_Toc150480779"/>
      <w:bookmarkStart w:id="737" w:name="_Toc151193639"/>
      <w:bookmarkStart w:id="738" w:name="_Toc151193855"/>
      <w:bookmarkStart w:id="739" w:name="_Toc164229382"/>
      <w:bookmarkStart w:id="740" w:name="_Toc150774641"/>
      <w:bookmarkStart w:id="741" w:name="_Toc164608810"/>
      <w:bookmarkStart w:id="742" w:name="_Toc150774746"/>
      <w:bookmarkStart w:id="743" w:name="_Toc127151742"/>
      <w:bookmarkStart w:id="744" w:name="_Toc265228379"/>
      <w:bookmarkStart w:id="745" w:name="_Toc149720834"/>
      <w:bookmarkStart w:id="746" w:name="_Toc226309785"/>
      <w:bookmarkStart w:id="747" w:name="_Toc226965814"/>
      <w:bookmarkStart w:id="748" w:name="_Toc164608655"/>
      <w:bookmarkStart w:id="749" w:name="_Toc164229236"/>
      <w:bookmarkStart w:id="750" w:name="_Toc151190168"/>
      <w:bookmarkStart w:id="751" w:name="_Toc305158883"/>
      <w:bookmarkStart w:id="752" w:name="_Toc150509292"/>
      <w:bookmarkStart w:id="753" w:name="_Toc264969231"/>
      <w:bookmarkStart w:id="754" w:name="_Toc195842906"/>
      <w:bookmarkStart w:id="755" w:name="_Toc164351635"/>
      <w:bookmarkStart w:id="756" w:name="_Toc151193783"/>
      <w:bookmarkStart w:id="757" w:name="_Toc305158809"/>
      <w:bookmarkStart w:id="758" w:name="_Toc127151541"/>
      <w:bookmarkStart w:id="759" w:name="_Toc142311043"/>
      <w:bookmarkStart w:id="760" w:name="_Toc226965731"/>
      <w:bookmarkStart w:id="761" w:name="_Toc151193929"/>
      <w:bookmarkStart w:id="762" w:name="_Toc226337237"/>
      <w:bookmarkStart w:id="763" w:name="_Toc353873941"/>
      <w:bookmarkStart w:id="764" w:name="_Toc353825551"/>
      <w:bookmarkStart w:id="765" w:name="_Toc142311057"/>
      <w:bookmarkStart w:id="766" w:name="_Toc226337251"/>
      <w:bookmarkStart w:id="767" w:name="_Toc195842920"/>
      <w:bookmarkStart w:id="768" w:name="_Toc353873665"/>
      <w:bookmarkStart w:id="769" w:name="_Toc305158897"/>
      <w:bookmarkStart w:id="770" w:name="_Toc226965828"/>
      <w:bookmarkStart w:id="771" w:name="_Toc127151555"/>
      <w:bookmarkStart w:id="772" w:name="_Toc305158823"/>
      <w:bookmarkStart w:id="773" w:name="_Toc264969245"/>
      <w:bookmarkStart w:id="774" w:name="_Toc150774760"/>
      <w:bookmarkStart w:id="775" w:name="_Toc150480793"/>
      <w:bookmarkStart w:id="776" w:name="_Toc353825545"/>
      <w:bookmarkStart w:id="777" w:name="_Toc265228393"/>
      <w:bookmarkStart w:id="778" w:name="_Toc353873935"/>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color w:val="auto"/>
                <w:kern w:val="0"/>
                <w:sz w:val="24"/>
                <w:highlight w:val="none"/>
              </w:rPr>
            </w:pPr>
            <w:r>
              <w:rPr>
                <w:color w:val="auto"/>
                <w:kern w:val="0"/>
                <w:sz w:val="24"/>
                <w:highlight w:val="none"/>
              </w:rPr>
              <w:t>8</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BE0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BA07A5F">
            <w:pPr>
              <w:widowControl/>
              <w:jc w:val="center"/>
              <w:rPr>
                <w:rFonts w:hint="eastAsia" w:eastAsia="宋体"/>
                <w:color w:val="auto"/>
                <w:kern w:val="0"/>
                <w:sz w:val="24"/>
                <w:highlight w:val="none"/>
                <w:lang w:val="en-US" w:eastAsia="zh-CN"/>
              </w:rPr>
            </w:pPr>
            <w:r>
              <w:rPr>
                <w:rFonts w:hint="eastAsia"/>
                <w:color w:val="auto"/>
                <w:kern w:val="0"/>
                <w:sz w:val="24"/>
                <w:highlight w:val="none"/>
                <w:lang w:val="en-US" w:eastAsia="zh-CN"/>
              </w:rPr>
              <w:t>9</w:t>
            </w:r>
          </w:p>
        </w:tc>
        <w:tc>
          <w:tcPr>
            <w:tcW w:w="1813" w:type="dxa"/>
            <w:vAlign w:val="center"/>
          </w:tcPr>
          <w:p w14:paraId="1851ABE5">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6725" w:type="dxa"/>
            <w:vAlign w:val="center"/>
          </w:tcPr>
          <w:p w14:paraId="4EE21789">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56ADB7E">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14</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lang w:val="en-US" w:eastAsia="zh-CN"/>
        </w:rPr>
        <w:t>包</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49720839"/>
      <w:bookmarkStart w:id="781" w:name="_Ref467307010"/>
      <w:bookmarkStart w:id="782" w:name="_Toc520356170"/>
      <w:bookmarkStart w:id="783" w:name="_Toc305158814"/>
      <w:bookmarkStart w:id="784" w:name="_Toc151193716"/>
      <w:bookmarkStart w:id="785" w:name="_Toc195842911"/>
      <w:bookmarkStart w:id="786" w:name="_Toc164608660"/>
      <w:bookmarkStart w:id="787" w:name="_Toc150774751"/>
      <w:bookmarkStart w:id="788" w:name="_Toc164608815"/>
      <w:bookmarkStart w:id="789" w:name="_Toc151193860"/>
      <w:bookmarkStart w:id="790" w:name="_Toc127161460"/>
      <w:bookmarkStart w:id="791" w:name="_Toc150480784"/>
      <w:bookmarkStart w:id="792" w:name="_Toc151193644"/>
      <w:bookmarkStart w:id="793" w:name="_Toc150774646"/>
      <w:bookmarkStart w:id="794" w:name="_Toc127151747"/>
      <w:bookmarkStart w:id="795" w:name="_Toc151193934"/>
      <w:bookmarkStart w:id="796" w:name="_Toc151190173"/>
      <w:bookmarkStart w:id="797" w:name="_Toc305158888"/>
      <w:bookmarkStart w:id="798" w:name="_Toc127151546"/>
      <w:bookmarkStart w:id="799" w:name="_Toc226309790"/>
      <w:bookmarkStart w:id="800" w:name="_Toc164229241"/>
      <w:bookmarkStart w:id="801" w:name="_Toc150509297"/>
      <w:bookmarkStart w:id="802" w:name="_Toc226337242"/>
      <w:bookmarkStart w:id="803" w:name="_Toc265228384"/>
      <w:bookmarkStart w:id="804" w:name="_Toc164229387"/>
      <w:bookmarkStart w:id="805" w:name="_Toc142311048"/>
      <w:bookmarkStart w:id="806" w:name="_Toc164351640"/>
      <w:bookmarkStart w:id="807" w:name="_Toc264969236"/>
      <w:bookmarkStart w:id="808" w:name="_Toc226965819"/>
      <w:bookmarkStart w:id="809" w:name="_Toc226965736"/>
      <w:bookmarkStart w:id="810" w:name="_Toc151193788"/>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评标委员会将根据各投标人的评标排序，依次推荐本项目（各采购包）的中标候选人，起草并签署评标报告。本项目（各采购包）评标委员会共推荐不少于3名中标候选人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0"/>
        <w:tblW w:w="52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6"/>
        <w:gridCol w:w="675"/>
        <w:gridCol w:w="574"/>
        <w:gridCol w:w="6864"/>
      </w:tblGrid>
      <w:tr w14:paraId="6B8C8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noWrap w:val="0"/>
            <w:vAlign w:val="center"/>
          </w:tcPr>
          <w:p w14:paraId="6EACA40A">
            <w:pPr>
              <w:keepNext w:val="0"/>
              <w:keepLines w:val="0"/>
              <w:pageBreakBefore w:val="0"/>
              <w:tabs>
                <w:tab w:val="left" w:pos="426"/>
              </w:tabs>
              <w:autoSpaceDE w:val="0"/>
              <w:autoSpaceDN w:val="0"/>
              <w:spacing w:line="36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74" w:type="dxa"/>
            <w:noWrap w:val="0"/>
            <w:vAlign w:val="center"/>
          </w:tcPr>
          <w:p w14:paraId="554479EA">
            <w:pPr>
              <w:keepNext w:val="0"/>
              <w:keepLines w:val="0"/>
              <w:pageBreakBefore w:val="0"/>
              <w:tabs>
                <w:tab w:val="left" w:pos="426"/>
              </w:tabs>
              <w:autoSpaceDE w:val="0"/>
              <w:autoSpaceDN w:val="0"/>
              <w:spacing w:line="36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73" w:type="dxa"/>
            <w:noWrap w:val="0"/>
            <w:vAlign w:val="center"/>
          </w:tcPr>
          <w:p w14:paraId="18DAB4D7">
            <w:pPr>
              <w:keepNext w:val="0"/>
              <w:keepLines w:val="0"/>
              <w:pageBreakBefore w:val="0"/>
              <w:tabs>
                <w:tab w:val="left" w:pos="426"/>
              </w:tabs>
              <w:autoSpaceDE w:val="0"/>
              <w:autoSpaceDN w:val="0"/>
              <w:spacing w:line="36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856" w:type="dxa"/>
            <w:noWrap w:val="0"/>
            <w:vAlign w:val="center"/>
          </w:tcPr>
          <w:p w14:paraId="3D28DB66">
            <w:pPr>
              <w:keepNext w:val="0"/>
              <w:keepLines w:val="0"/>
              <w:pageBreakBefore w:val="0"/>
              <w:tabs>
                <w:tab w:val="left" w:pos="426"/>
              </w:tabs>
              <w:autoSpaceDE w:val="0"/>
              <w:autoSpaceDN w:val="0"/>
              <w:spacing w:line="36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2735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89" w:type="dxa"/>
            <w:gridSpan w:val="4"/>
            <w:noWrap w:val="0"/>
            <w:vAlign w:val="center"/>
          </w:tcPr>
          <w:p w14:paraId="2355EA14">
            <w:pPr>
              <w:keepNext w:val="0"/>
              <w:keepLines w:val="0"/>
              <w:pageBreakBefore w:val="0"/>
              <w:tabs>
                <w:tab w:val="left" w:pos="426"/>
              </w:tabs>
              <w:autoSpaceDE w:val="0"/>
              <w:autoSpaceDN w:val="0"/>
              <w:spacing w:line="360" w:lineRule="exact"/>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tc>
      </w:tr>
      <w:tr w14:paraId="452D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noWrap w:val="0"/>
            <w:vAlign w:val="center"/>
          </w:tcPr>
          <w:p w14:paraId="268A96AB">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74" w:type="dxa"/>
            <w:noWrap w:val="0"/>
            <w:vAlign w:val="center"/>
          </w:tcPr>
          <w:p w14:paraId="025910C9">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573" w:type="dxa"/>
            <w:noWrap w:val="0"/>
            <w:vAlign w:val="center"/>
          </w:tcPr>
          <w:p w14:paraId="1465280B">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856" w:type="dxa"/>
            <w:noWrap w:val="0"/>
            <w:vAlign w:val="center"/>
          </w:tcPr>
          <w:p w14:paraId="79C5C442">
            <w:pPr>
              <w:keepNext w:val="0"/>
              <w:keepLines w:val="0"/>
              <w:pageBreakBefore w:val="0"/>
              <w:tabs>
                <w:tab w:val="left" w:pos="1200"/>
              </w:tabs>
              <w:kinsoku/>
              <w:wordWrap/>
              <w:overflowPunct/>
              <w:topLinePunct w:val="0"/>
              <w:autoSpaceDE/>
              <w:autoSpaceDN/>
              <w:bidi w:val="0"/>
              <w:adjustRightInd/>
              <w:snapToGrid/>
              <w:spacing w:line="360" w:lineRule="exact"/>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要求且报价最低的报价为评标基准价，其价格分为满分。其他</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的价格分统一按照下列公式计算：价格分得分＝（评标基准价/报价）×分值。</w:t>
            </w:r>
          </w:p>
          <w:p w14:paraId="5E077482">
            <w:pPr>
              <w:keepNext w:val="0"/>
              <w:keepLines w:val="0"/>
              <w:pageBreakBefore w:val="0"/>
              <w:widowControl w:val="0"/>
              <w:autoSpaceDE w:val="0"/>
              <w:autoSpaceDN w:val="0"/>
              <w:spacing w:line="360" w:lineRule="exact"/>
              <w:ind w:firstLine="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tc>
      </w:tr>
      <w:tr w14:paraId="4354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89" w:type="dxa"/>
            <w:gridSpan w:val="4"/>
            <w:noWrap w:val="0"/>
            <w:vAlign w:val="center"/>
          </w:tcPr>
          <w:p w14:paraId="7297833B">
            <w:pPr>
              <w:keepNext w:val="0"/>
              <w:keepLines w:val="0"/>
              <w:pageBreakBefore w:val="0"/>
              <w:tabs>
                <w:tab w:val="left" w:pos="426"/>
              </w:tabs>
              <w:autoSpaceDE w:val="0"/>
              <w:autoSpaceDN w:val="0"/>
              <w:spacing w:line="360" w:lineRule="exact"/>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主观</w:t>
            </w:r>
            <w:r>
              <w:rPr>
                <w:rFonts w:hint="eastAsia" w:ascii="宋体" w:hAnsi="宋体" w:eastAsia="宋体" w:cs="宋体"/>
                <w:b/>
                <w:color w:val="auto"/>
                <w:sz w:val="24"/>
                <w:szCs w:val="24"/>
                <w:highlight w:val="none"/>
                <w:lang w:val="en-US" w:eastAsia="zh-CN"/>
              </w:rPr>
              <w:t>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50</w:t>
            </w:r>
            <w:r>
              <w:rPr>
                <w:rFonts w:hint="eastAsia" w:ascii="宋体" w:hAnsi="宋体" w:eastAsia="宋体" w:cs="宋体"/>
                <w:b/>
                <w:color w:val="auto"/>
                <w:sz w:val="24"/>
                <w:szCs w:val="24"/>
                <w:highlight w:val="none"/>
              </w:rPr>
              <w:t>分）</w:t>
            </w:r>
          </w:p>
        </w:tc>
      </w:tr>
      <w:tr w14:paraId="250C3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noWrap w:val="0"/>
            <w:vAlign w:val="center"/>
          </w:tcPr>
          <w:p w14:paraId="5EA26914">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74" w:type="dxa"/>
            <w:shd w:val="clear" w:color="auto" w:fill="auto"/>
            <w:noWrap w:val="0"/>
            <w:vAlign w:val="center"/>
          </w:tcPr>
          <w:p w14:paraId="432E6CB4">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总体服务方案</w:t>
            </w:r>
          </w:p>
        </w:tc>
        <w:tc>
          <w:tcPr>
            <w:tcW w:w="573" w:type="dxa"/>
            <w:noWrap w:val="0"/>
            <w:vAlign w:val="center"/>
          </w:tcPr>
          <w:p w14:paraId="04D8E351">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856" w:type="dxa"/>
            <w:noWrap w:val="0"/>
            <w:vAlign w:val="center"/>
          </w:tcPr>
          <w:p w14:paraId="0C1F6799">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评标委员会</w:t>
            </w:r>
            <w:r>
              <w:rPr>
                <w:rFonts w:hint="default" w:ascii="宋体" w:hAnsi="宋体" w:eastAsia="宋体" w:cs="宋体"/>
                <w:color w:val="auto"/>
                <w:sz w:val="24"/>
                <w:szCs w:val="24"/>
                <w:highlight w:val="none"/>
                <w:lang w:val="en-US" w:eastAsia="zh-CN" w:bidi="ar-SA"/>
              </w:rPr>
              <w:t>根据</w:t>
            </w:r>
            <w:r>
              <w:rPr>
                <w:rFonts w:hint="eastAsia" w:ascii="宋体" w:hAnsi="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提供的</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进行综合评审。</w:t>
            </w:r>
          </w:p>
          <w:p w14:paraId="384D1F13">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科学、严密、合理，描述详细且具有针对性的，得10分；</w:t>
            </w:r>
          </w:p>
          <w:p w14:paraId="1B347906">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较合理、严密、描述较为详细，不存在实施难度的，得8分；</w:t>
            </w:r>
          </w:p>
          <w:p w14:paraId="30570BBB">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基本合理、描述一般、存在可操作性的，得6分；</w:t>
            </w:r>
          </w:p>
          <w:p w14:paraId="0DC700FE">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具有不合理项、描述略欠缺、存在一定的实施难度的，得4分；</w:t>
            </w:r>
          </w:p>
          <w:p w14:paraId="07643FF0">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（5）</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具有明显不合理项、描述欠缺、存在实施难度的，得2分；</w:t>
            </w:r>
          </w:p>
          <w:p w14:paraId="2401FFF8">
            <w:pPr>
              <w:keepNext w:val="0"/>
              <w:keepLines w:val="0"/>
              <w:pageBreakBefore w:val="0"/>
              <w:autoSpaceDE w:val="0"/>
              <w:autoSpaceDN w:val="0"/>
              <w:spacing w:line="360" w:lineRule="exact"/>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（6）不符合</w:t>
            </w:r>
            <w:r>
              <w:rPr>
                <w:rFonts w:hint="eastAsia" w:ascii="宋体" w:hAnsi="宋体" w:cs="宋体"/>
                <w:color w:val="auto"/>
                <w:sz w:val="24"/>
                <w:szCs w:val="24"/>
                <w:highlight w:val="none"/>
                <w:lang w:val="en-US" w:eastAsia="zh-CN" w:bidi="ar-SA"/>
              </w:rPr>
              <w:t>招标文件</w:t>
            </w:r>
            <w:r>
              <w:rPr>
                <w:rFonts w:hint="default" w:ascii="宋体" w:hAnsi="宋体" w:eastAsia="宋体" w:cs="宋体"/>
                <w:color w:val="auto"/>
                <w:sz w:val="24"/>
                <w:szCs w:val="24"/>
                <w:highlight w:val="none"/>
                <w:lang w:val="en-US" w:eastAsia="zh-CN" w:bidi="ar-SA"/>
              </w:rPr>
              <w:t>要求或未提供的不得分。</w:t>
            </w:r>
          </w:p>
        </w:tc>
      </w:tr>
      <w:tr w14:paraId="36F04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noWrap w:val="0"/>
            <w:vAlign w:val="center"/>
          </w:tcPr>
          <w:p w14:paraId="1A814283">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74" w:type="dxa"/>
            <w:shd w:val="clear" w:color="auto" w:fill="auto"/>
            <w:noWrap w:val="0"/>
            <w:vAlign w:val="center"/>
          </w:tcPr>
          <w:p w14:paraId="152ABD64">
            <w:pPr>
              <w:tabs>
                <w:tab w:val="left" w:pos="426"/>
              </w:tabs>
              <w:autoSpaceDE w:val="0"/>
              <w:autoSpaceDN w:val="0"/>
              <w:adjustRightInd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bCs/>
                <w:color w:val="auto"/>
                <w:kern w:val="0"/>
                <w:sz w:val="24"/>
                <w:szCs w:val="24"/>
                <w:highlight w:val="none"/>
                <w:lang w:val="en-US" w:eastAsia="zh-CN" w:bidi="ar-SA"/>
              </w:rPr>
              <w:t>人员组织架构</w:t>
            </w:r>
          </w:p>
        </w:tc>
        <w:tc>
          <w:tcPr>
            <w:tcW w:w="573" w:type="dxa"/>
            <w:noWrap w:val="0"/>
            <w:vAlign w:val="center"/>
          </w:tcPr>
          <w:p w14:paraId="539981EC">
            <w:pPr>
              <w:autoSpaceDE w:val="0"/>
              <w:autoSpaceDN w:val="0"/>
              <w:adjustRightInd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10</w:t>
            </w:r>
          </w:p>
        </w:tc>
        <w:tc>
          <w:tcPr>
            <w:tcW w:w="6856" w:type="dxa"/>
            <w:noWrap w:val="0"/>
            <w:vAlign w:val="center"/>
          </w:tcPr>
          <w:p w14:paraId="602F93FA">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人员组织架构（包括：规章制度、岗位职责、岗位分工、工作流程、培训计划等）</w:t>
            </w:r>
            <w:r>
              <w:rPr>
                <w:rFonts w:hint="eastAsia" w:ascii="宋体" w:hAnsi="宋体" w:eastAsia="宋体" w:cs="宋体"/>
                <w:color w:val="auto"/>
                <w:kern w:val="0"/>
                <w:sz w:val="24"/>
                <w:highlight w:val="none"/>
                <w:lang w:val="zh-CN"/>
              </w:rPr>
              <w:t>进行综合评审。</w:t>
            </w:r>
          </w:p>
          <w:p w14:paraId="44A0BD1E">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组织构架和岗位职责完整、制度建设健全</w:t>
            </w:r>
            <w:r>
              <w:rPr>
                <w:rFonts w:hint="eastAsia" w:ascii="宋体" w:hAnsi="宋体" w:eastAsia="宋体" w:cs="宋体"/>
                <w:color w:val="auto"/>
                <w:kern w:val="0"/>
                <w:sz w:val="24"/>
                <w:highlight w:val="none"/>
                <w:lang w:val="zh-CN"/>
              </w:rPr>
              <w:t>的，得10分；</w:t>
            </w:r>
          </w:p>
          <w:p w14:paraId="01517849">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组织构架和岗位职责比较完整、制度建设比较健全</w:t>
            </w:r>
            <w:r>
              <w:rPr>
                <w:rFonts w:hint="eastAsia" w:ascii="宋体" w:hAnsi="宋体" w:eastAsia="宋体" w:cs="宋体"/>
                <w:color w:val="auto"/>
                <w:kern w:val="0"/>
                <w:sz w:val="24"/>
                <w:highlight w:val="none"/>
                <w:lang w:val="zh-CN"/>
              </w:rPr>
              <w:t>的，得</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lang w:val="zh-CN"/>
              </w:rPr>
              <w:t>分；</w:t>
            </w:r>
          </w:p>
          <w:p w14:paraId="2F76CFF5">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组织构架、岗位职责、制度建设</w:t>
            </w:r>
            <w:r>
              <w:rPr>
                <w:rFonts w:hint="eastAsia" w:ascii="宋体" w:hAnsi="宋体" w:eastAsia="宋体" w:cs="宋体"/>
                <w:color w:val="auto"/>
                <w:kern w:val="0"/>
                <w:sz w:val="24"/>
                <w:szCs w:val="24"/>
                <w:highlight w:val="none"/>
                <w:lang w:val="en-US" w:eastAsia="zh-CN" w:bidi="ar-SA"/>
              </w:rPr>
              <w:t>一般</w:t>
            </w:r>
            <w:r>
              <w:rPr>
                <w:rFonts w:hint="eastAsia" w:ascii="宋体" w:hAnsi="宋体" w:eastAsia="宋体" w:cs="宋体"/>
                <w:color w:val="auto"/>
                <w:kern w:val="0"/>
                <w:sz w:val="24"/>
                <w:szCs w:val="24"/>
                <w:highlight w:val="none"/>
                <w:lang w:val="zh-Hans" w:eastAsia="zh-CN" w:bidi="ar-SA"/>
              </w:rPr>
              <w:t>的</w:t>
            </w:r>
            <w:r>
              <w:rPr>
                <w:rFonts w:hint="eastAsia" w:ascii="宋体" w:hAnsi="宋体" w:eastAsia="宋体" w:cs="宋体"/>
                <w:color w:val="auto"/>
                <w:kern w:val="0"/>
                <w:sz w:val="24"/>
                <w:highlight w:val="none"/>
                <w:lang w:val="zh-CN"/>
              </w:rPr>
              <w:t>，得</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lang w:val="zh-CN"/>
              </w:rPr>
              <w:t>分；</w:t>
            </w:r>
          </w:p>
          <w:p w14:paraId="65B244E0">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组织构架、岗位职责及制度建设不健全有欠缺的</w:t>
            </w:r>
            <w:r>
              <w:rPr>
                <w:rFonts w:hint="eastAsia" w:ascii="宋体" w:hAnsi="宋体" w:eastAsia="宋体" w:cs="宋体"/>
                <w:color w:val="auto"/>
                <w:kern w:val="0"/>
                <w:sz w:val="24"/>
                <w:highlight w:val="none"/>
                <w:lang w:val="zh-CN"/>
              </w:rPr>
              <w:t>，得</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val="zh-CN"/>
              </w:rPr>
              <w:t>分；</w:t>
            </w:r>
          </w:p>
          <w:p w14:paraId="7F722C4D">
            <w:pPr>
              <w:keepNext w:val="0"/>
              <w:keepLines w:val="0"/>
              <w:pageBreakBefore w:val="0"/>
              <w:autoSpaceDE w:val="0"/>
              <w:autoSpaceDN w:val="0"/>
              <w:spacing w:line="360" w:lineRule="exac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highlight w:val="none"/>
                <w:lang w:val="zh-CN"/>
              </w:rPr>
              <w:t>（5）不符合</w:t>
            </w:r>
            <w:r>
              <w:rPr>
                <w:rFonts w:hint="eastAsia" w:ascii="宋体" w:hAnsi="宋体" w:cs="宋体"/>
                <w:color w:val="auto"/>
                <w:kern w:val="0"/>
                <w:sz w:val="24"/>
                <w:highlight w:val="none"/>
                <w:lang w:val="zh-CN"/>
              </w:rPr>
              <w:t>招标文件</w:t>
            </w:r>
            <w:r>
              <w:rPr>
                <w:rFonts w:hint="eastAsia" w:ascii="宋体" w:hAnsi="宋体" w:eastAsia="宋体" w:cs="宋体"/>
                <w:color w:val="auto"/>
                <w:kern w:val="0"/>
                <w:sz w:val="24"/>
                <w:highlight w:val="none"/>
                <w:lang w:val="zh-CN"/>
              </w:rPr>
              <w:t>要求或未提供的不得分。</w:t>
            </w:r>
          </w:p>
        </w:tc>
      </w:tr>
      <w:tr w14:paraId="3CC53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735855C9">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674" w:type="dxa"/>
            <w:shd w:val="clear" w:color="auto" w:fill="auto"/>
            <w:noWrap w:val="0"/>
            <w:vAlign w:val="center"/>
          </w:tcPr>
          <w:p w14:paraId="2AF30E02">
            <w:pPr>
              <w:tabs>
                <w:tab w:val="left" w:pos="426"/>
              </w:tabs>
              <w:autoSpaceDE w:val="0"/>
              <w:autoSpaceDN w:val="0"/>
              <w:adjustRightInd w:val="0"/>
              <w:spacing w:line="36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秩序维护服务方案</w:t>
            </w:r>
          </w:p>
        </w:tc>
        <w:tc>
          <w:tcPr>
            <w:tcW w:w="573" w:type="dxa"/>
            <w:shd w:val="clear" w:color="auto" w:fill="auto"/>
            <w:noWrap w:val="0"/>
            <w:vAlign w:val="center"/>
          </w:tcPr>
          <w:p w14:paraId="78877811">
            <w:pPr>
              <w:autoSpaceDE w:val="0"/>
              <w:autoSpaceDN w:val="0"/>
              <w:adjustRightInd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10</w:t>
            </w:r>
          </w:p>
        </w:tc>
        <w:tc>
          <w:tcPr>
            <w:tcW w:w="6856" w:type="dxa"/>
            <w:shd w:val="clear" w:color="auto" w:fill="auto"/>
            <w:noWrap w:val="0"/>
            <w:vAlign w:val="top"/>
          </w:tcPr>
          <w:p w14:paraId="165153D0">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default" w:ascii="宋体" w:hAnsi="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default" w:ascii="宋体" w:hAnsi="宋体" w:cs="宋体"/>
                <w:color w:val="auto"/>
                <w:kern w:val="0"/>
                <w:sz w:val="24"/>
                <w:szCs w:val="24"/>
                <w:highlight w:val="none"/>
                <w:lang w:val="en-US" w:eastAsia="zh-CN" w:bidi="ar-SA"/>
              </w:rPr>
              <w:t>提供的</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进行综合评审。</w:t>
            </w:r>
          </w:p>
          <w:p w14:paraId="4BBD55EE">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，得10分；</w:t>
            </w:r>
          </w:p>
          <w:p w14:paraId="05040ED8">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，得8分；</w:t>
            </w:r>
          </w:p>
          <w:p w14:paraId="332C2A49">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，得6分；</w:t>
            </w:r>
          </w:p>
          <w:p w14:paraId="648EEC83">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较差、无针对性或可行性较差</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，得4分；</w:t>
            </w:r>
          </w:p>
          <w:p w14:paraId="5179EEF3">
            <w:pPr>
              <w:autoSpaceDE w:val="0"/>
              <w:autoSpaceDN w:val="0"/>
              <w:adjustRightInd w:val="0"/>
              <w:snapToGrid w:val="0"/>
              <w:spacing w:line="360" w:lineRule="exact"/>
              <w:rPr>
                <w:rFonts w:hint="eastAsia" w:ascii="宋体" w:hAnsi="宋体" w:eastAsia="宋体" w:cs="宋体"/>
                <w:color w:val="auto"/>
                <w:kern w:val="0"/>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6959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5CB96A50">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674" w:type="dxa"/>
            <w:shd w:val="clear" w:color="auto" w:fill="auto"/>
            <w:noWrap w:val="0"/>
            <w:vAlign w:val="center"/>
          </w:tcPr>
          <w:p w14:paraId="3822B710">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设施设备服务方案</w:t>
            </w:r>
          </w:p>
        </w:tc>
        <w:tc>
          <w:tcPr>
            <w:tcW w:w="573" w:type="dxa"/>
            <w:noWrap w:val="0"/>
            <w:vAlign w:val="center"/>
          </w:tcPr>
          <w:p w14:paraId="25C61451">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856" w:type="dxa"/>
            <w:noWrap w:val="0"/>
            <w:vAlign w:val="center"/>
          </w:tcPr>
          <w:p w14:paraId="7D052BD3">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设施设备服务方案</w:t>
            </w:r>
            <w:r>
              <w:rPr>
                <w:rFonts w:hint="eastAsia" w:ascii="宋体" w:hAnsi="宋体" w:eastAsia="宋体" w:cs="宋体"/>
                <w:color w:val="auto"/>
                <w:kern w:val="0"/>
                <w:sz w:val="24"/>
                <w:highlight w:val="none"/>
                <w:lang w:val="zh-CN"/>
              </w:rPr>
              <w:t>进行综合评审。</w:t>
            </w:r>
          </w:p>
          <w:p w14:paraId="0014DFFA">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，得10分；</w:t>
            </w:r>
          </w:p>
          <w:p w14:paraId="5178FE80">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，得8分；</w:t>
            </w:r>
          </w:p>
          <w:p w14:paraId="702EF08A">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，得6分；</w:t>
            </w:r>
          </w:p>
          <w:p w14:paraId="4165D5CE">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较差、无针对性或可行性较差</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，得4分；</w:t>
            </w:r>
          </w:p>
          <w:p w14:paraId="5A31025D">
            <w:pPr>
              <w:keepNext w:val="0"/>
              <w:keepLines w:val="0"/>
              <w:pageBreakBefore w:val="0"/>
              <w:autoSpaceDE w:val="0"/>
              <w:autoSpaceDN w:val="0"/>
              <w:spacing w:line="360" w:lineRule="exact"/>
              <w:outlineLvl w:val="9"/>
              <w:rPr>
                <w:rFonts w:hint="eastAsia" w:ascii="宋体" w:hAnsi="宋体" w:eastAsia="宋体" w:cs="宋体"/>
                <w:color w:val="auto"/>
                <w:sz w:val="24"/>
                <w:szCs w:val="24"/>
                <w:highlight w:val="none"/>
                <w:lang w:val="en-US"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7377D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noWrap w:val="0"/>
            <w:vAlign w:val="center"/>
          </w:tcPr>
          <w:p w14:paraId="5DBA043A">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674" w:type="dxa"/>
            <w:shd w:val="clear" w:color="auto" w:fill="auto"/>
            <w:noWrap w:val="0"/>
            <w:vAlign w:val="center"/>
          </w:tcPr>
          <w:p w14:paraId="55212EEF">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应急事件处理预案</w:t>
            </w:r>
          </w:p>
        </w:tc>
        <w:tc>
          <w:tcPr>
            <w:tcW w:w="573" w:type="dxa"/>
            <w:shd w:val="clear" w:color="auto" w:fill="auto"/>
            <w:noWrap w:val="0"/>
            <w:vAlign w:val="center"/>
          </w:tcPr>
          <w:p w14:paraId="3107E9DF">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856" w:type="dxa"/>
            <w:shd w:val="clear" w:color="auto" w:fill="auto"/>
            <w:noWrap w:val="0"/>
            <w:vAlign w:val="center"/>
          </w:tcPr>
          <w:p w14:paraId="6171136C">
            <w:pPr>
              <w:autoSpaceDE w:val="0"/>
              <w:autoSpaceDN w:val="0"/>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应急事件处理预案</w:t>
            </w:r>
            <w:r>
              <w:rPr>
                <w:rFonts w:hint="eastAsia" w:ascii="宋体" w:hAnsi="宋体" w:eastAsia="宋体" w:cs="宋体"/>
                <w:color w:val="auto"/>
                <w:kern w:val="0"/>
                <w:sz w:val="24"/>
                <w:highlight w:val="none"/>
                <w:lang w:val="zh-CN"/>
              </w:rPr>
              <w:t>进行综合评审。</w:t>
            </w:r>
          </w:p>
          <w:p w14:paraId="38B83C58">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，得10分；</w:t>
            </w:r>
          </w:p>
          <w:p w14:paraId="133A7095">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，得8分；</w:t>
            </w:r>
          </w:p>
          <w:p w14:paraId="55FA0868">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，得6分；</w:t>
            </w:r>
          </w:p>
          <w:p w14:paraId="14A2DCDA">
            <w:pPr>
              <w:autoSpaceDE w:val="0"/>
              <w:autoSpaceDN w:val="0"/>
              <w:adjustRightInd w:val="0"/>
              <w:snapToGrid w:val="0"/>
              <w:spacing w:line="360" w:lineRule="exact"/>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较差、无针对性或可行性较差</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，得4分；</w:t>
            </w:r>
          </w:p>
          <w:p w14:paraId="42410082">
            <w:pPr>
              <w:keepNext w:val="0"/>
              <w:keepLines w:val="0"/>
              <w:pageBreakBefore w:val="0"/>
              <w:autoSpaceDE w:val="0"/>
              <w:autoSpaceDN w:val="0"/>
              <w:spacing w:line="360" w:lineRule="exact"/>
              <w:outlineLvl w:val="9"/>
              <w:rPr>
                <w:rFonts w:hint="eastAsia" w:ascii="宋体" w:hAnsi="宋体" w:eastAsia="宋体" w:cs="宋体"/>
                <w:color w:val="auto"/>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06A2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689" w:type="dxa"/>
            <w:gridSpan w:val="4"/>
            <w:noWrap w:val="0"/>
            <w:vAlign w:val="center"/>
          </w:tcPr>
          <w:p w14:paraId="652FFE3C">
            <w:pPr>
              <w:keepNext w:val="0"/>
              <w:keepLines w:val="0"/>
              <w:pageBreakBefore w:val="0"/>
              <w:tabs>
                <w:tab w:val="left" w:pos="426"/>
              </w:tabs>
              <w:autoSpaceDE w:val="0"/>
              <w:autoSpaceDN w:val="0"/>
              <w:spacing w:line="360" w:lineRule="exact"/>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客</w:t>
            </w:r>
            <w:r>
              <w:rPr>
                <w:rFonts w:hint="eastAsia" w:ascii="宋体" w:hAnsi="宋体" w:eastAsia="宋体" w:cs="宋体"/>
                <w:b/>
                <w:color w:val="auto"/>
                <w:sz w:val="24"/>
                <w:szCs w:val="24"/>
                <w:highlight w:val="none"/>
                <w:lang w:val="en-US" w:eastAsia="zh-CN"/>
              </w:rPr>
              <w:t>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p>
        </w:tc>
      </w:tr>
      <w:tr w14:paraId="5166C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2565B438">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674" w:type="dxa"/>
            <w:shd w:val="clear" w:color="auto" w:fill="auto"/>
            <w:noWrap w:val="0"/>
            <w:vAlign w:val="center"/>
          </w:tcPr>
          <w:p w14:paraId="41B9DBA5">
            <w:pPr>
              <w:keepNext w:val="0"/>
              <w:keepLines w:val="0"/>
              <w:pageBreakBefore w:val="0"/>
              <w:tabs>
                <w:tab w:val="left" w:pos="426"/>
              </w:tabs>
              <w:autoSpaceDE w:val="0"/>
              <w:autoSpaceDN w:val="0"/>
              <w:spacing w:line="360" w:lineRule="exact"/>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业绩</w:t>
            </w:r>
          </w:p>
        </w:tc>
        <w:tc>
          <w:tcPr>
            <w:tcW w:w="573" w:type="dxa"/>
            <w:shd w:val="clear" w:color="auto" w:fill="auto"/>
            <w:noWrap w:val="0"/>
            <w:vAlign w:val="center"/>
          </w:tcPr>
          <w:p w14:paraId="11FA653F">
            <w:pPr>
              <w:keepNext w:val="0"/>
              <w:keepLines w:val="0"/>
              <w:pageBreakBefore w:val="0"/>
              <w:tabs>
                <w:tab w:val="left" w:pos="426"/>
              </w:tabs>
              <w:autoSpaceDE w:val="0"/>
              <w:autoSpaceDN w:val="0"/>
              <w:spacing w:line="360" w:lineRule="exact"/>
              <w:jc w:val="center"/>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15</w:t>
            </w:r>
          </w:p>
        </w:tc>
        <w:tc>
          <w:tcPr>
            <w:tcW w:w="6856" w:type="dxa"/>
            <w:shd w:val="clear" w:color="auto" w:fill="auto"/>
            <w:noWrap w:val="0"/>
            <w:vAlign w:val="center"/>
          </w:tcPr>
          <w:p w14:paraId="0F906354">
            <w:pPr>
              <w:keepNext w:val="0"/>
              <w:keepLines w:val="0"/>
              <w:pageBreakBefore w:val="0"/>
              <w:autoSpaceDE w:val="0"/>
              <w:autoSpaceDN w:val="0"/>
              <w:spacing w:line="360" w:lineRule="exact"/>
              <w:outlineLvl w:val="9"/>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投标人自2022年6月1日以来（以合同签订时间为准）承担过专项保安服务项目业绩（至少包含秩序维护内容），有一个得3分，最高得15分。</w:t>
            </w:r>
          </w:p>
          <w:p w14:paraId="1CD5B0A7">
            <w:pPr>
              <w:keepNext w:val="0"/>
              <w:keepLines w:val="0"/>
              <w:pageBreakBefore w:val="0"/>
              <w:autoSpaceDE w:val="0"/>
              <w:autoSpaceDN w:val="0"/>
              <w:spacing w:line="360" w:lineRule="exact"/>
              <w:outlineLvl w:val="9"/>
              <w:rPr>
                <w:rFonts w:hint="eastAsia" w:ascii="宋体" w:hAnsi="宋体" w:eastAsia="宋体" w:cs="宋体"/>
                <w:color w:val="auto"/>
                <w:kern w:val="2"/>
                <w:sz w:val="24"/>
                <w:szCs w:val="24"/>
                <w:highlight w:val="none"/>
                <w:lang w:val="zh-CN" w:eastAsia="zh-CN" w:bidi="ar-SA"/>
              </w:rPr>
            </w:pPr>
            <w:r>
              <w:rPr>
                <w:rFonts w:hint="eastAsia" w:ascii="宋体" w:hAnsi="宋体" w:cs="宋体"/>
                <w:b/>
                <w:bCs/>
                <w:color w:val="auto"/>
                <w:sz w:val="24"/>
                <w:szCs w:val="24"/>
                <w:highlight w:val="none"/>
                <w:lang w:val="en-US" w:eastAsia="zh-CN" w:bidi="ar-SA"/>
              </w:rPr>
              <w:t>注：同一项目不重复得分，投标文件中提供</w:t>
            </w:r>
            <w:r>
              <w:rPr>
                <w:rFonts w:hint="eastAsia" w:ascii="宋体" w:hAnsi="宋体" w:eastAsia="宋体" w:cs="宋体"/>
                <w:b/>
                <w:bCs/>
                <w:color w:val="auto"/>
                <w:sz w:val="24"/>
                <w:szCs w:val="24"/>
                <w:highlight w:val="none"/>
                <w:lang w:val="en-US" w:eastAsia="zh-CN" w:bidi="ar-SA"/>
              </w:rPr>
              <w:t>合同并加盖</w:t>
            </w:r>
            <w:r>
              <w:rPr>
                <w:rFonts w:hint="eastAsia" w:ascii="宋体" w:hAnsi="宋体" w:cs="宋体"/>
                <w:b/>
                <w:bCs/>
                <w:color w:val="auto"/>
                <w:sz w:val="24"/>
                <w:szCs w:val="24"/>
                <w:highlight w:val="none"/>
                <w:lang w:val="en-US" w:eastAsia="zh-CN" w:bidi="ar-SA"/>
              </w:rPr>
              <w:t>投标人公章，否则不得分。</w:t>
            </w:r>
          </w:p>
        </w:tc>
      </w:tr>
      <w:tr w14:paraId="7FE1E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143125DD">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p>
        </w:tc>
        <w:tc>
          <w:tcPr>
            <w:tcW w:w="674" w:type="dxa"/>
            <w:shd w:val="clear" w:color="auto" w:fill="auto"/>
            <w:noWrap w:val="0"/>
            <w:vAlign w:val="center"/>
          </w:tcPr>
          <w:p w14:paraId="2826792D">
            <w:pPr>
              <w:autoSpaceDE w:val="0"/>
              <w:autoSpaceDN w:val="0"/>
              <w:spacing w:line="360" w:lineRule="auto"/>
              <w:jc w:val="center"/>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认证证书</w:t>
            </w:r>
          </w:p>
        </w:tc>
        <w:tc>
          <w:tcPr>
            <w:tcW w:w="573" w:type="dxa"/>
            <w:shd w:val="clear" w:color="auto" w:fill="auto"/>
            <w:noWrap w:val="0"/>
            <w:vAlign w:val="center"/>
          </w:tcPr>
          <w:p w14:paraId="5A8CCF14">
            <w:pPr>
              <w:keepNext w:val="0"/>
              <w:keepLines w:val="0"/>
              <w:pageBreakBefore w:val="0"/>
              <w:tabs>
                <w:tab w:val="left" w:pos="426"/>
              </w:tabs>
              <w:autoSpaceDE w:val="0"/>
              <w:autoSpaceDN w:val="0"/>
              <w:spacing w:line="360" w:lineRule="exact"/>
              <w:jc w:val="center"/>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9</w:t>
            </w:r>
          </w:p>
        </w:tc>
        <w:tc>
          <w:tcPr>
            <w:tcW w:w="6856" w:type="dxa"/>
            <w:shd w:val="clear" w:color="auto" w:fill="auto"/>
            <w:noWrap w:val="0"/>
            <w:vAlign w:val="center"/>
          </w:tcPr>
          <w:p w14:paraId="772E48FE">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投标人具有有效的与物业服务相关的质量管理体系认证证书、职业健康安全管理体系认证证书、环境管理体系认证证书的，有一个得3分，最高得9分。</w:t>
            </w:r>
          </w:p>
          <w:p w14:paraId="7DD1B1A7">
            <w:pPr>
              <w:keepNext w:val="0"/>
              <w:keepLines w:val="0"/>
              <w:pageBreakBefore w:val="0"/>
              <w:autoSpaceDE w:val="0"/>
              <w:autoSpaceDN w:val="0"/>
              <w:spacing w:line="360" w:lineRule="exac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注：投标文件中提供证书</w:t>
            </w:r>
            <w:r>
              <w:rPr>
                <w:rFonts w:hint="eastAsia" w:ascii="宋体" w:hAnsi="宋体" w:eastAsia="宋体" w:cs="宋体"/>
                <w:b/>
                <w:bCs/>
                <w:color w:val="auto"/>
                <w:sz w:val="24"/>
                <w:szCs w:val="24"/>
                <w:highlight w:val="none"/>
                <w:lang w:val="en-US" w:eastAsia="zh-CN" w:bidi="ar-SA"/>
              </w:rPr>
              <w:t>并加盖</w:t>
            </w:r>
            <w:r>
              <w:rPr>
                <w:rFonts w:hint="eastAsia" w:ascii="宋体" w:hAnsi="宋体" w:cs="宋体"/>
                <w:b/>
                <w:bCs/>
                <w:color w:val="auto"/>
                <w:sz w:val="24"/>
                <w:szCs w:val="24"/>
                <w:highlight w:val="none"/>
                <w:lang w:val="en-US" w:eastAsia="zh-CN" w:bidi="ar-SA"/>
              </w:rPr>
              <w:t>投标人公章，否则不得分。</w:t>
            </w:r>
          </w:p>
        </w:tc>
      </w:tr>
      <w:tr w14:paraId="148B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15A573FD">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674" w:type="dxa"/>
            <w:shd w:val="clear" w:color="auto" w:fill="auto"/>
            <w:noWrap w:val="0"/>
            <w:vAlign w:val="center"/>
          </w:tcPr>
          <w:p w14:paraId="5FAC9467">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项目负责人</w:t>
            </w:r>
          </w:p>
        </w:tc>
        <w:tc>
          <w:tcPr>
            <w:tcW w:w="573" w:type="dxa"/>
            <w:shd w:val="clear" w:color="auto" w:fill="auto"/>
            <w:noWrap w:val="0"/>
            <w:vAlign w:val="center"/>
          </w:tcPr>
          <w:p w14:paraId="0E642ABE">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6856" w:type="dxa"/>
            <w:shd w:val="clear" w:color="auto" w:fill="auto"/>
            <w:noWrap w:val="0"/>
            <w:vAlign w:val="center"/>
          </w:tcPr>
          <w:p w14:paraId="5542D3AE">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项目负责人1人，45周岁及以下：</w:t>
            </w:r>
          </w:p>
          <w:p w14:paraId="40EF0276">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1.拟投入本项目的</w:t>
            </w:r>
            <w:r>
              <w:rPr>
                <w:rFonts w:hint="eastAsia" w:ascii="宋体" w:hAnsi="宋体" w:cs="宋体"/>
                <w:b/>
                <w:bCs/>
                <w:color w:val="auto"/>
                <w:sz w:val="24"/>
                <w:szCs w:val="24"/>
                <w:highlight w:val="none"/>
                <w:lang w:val="en-US" w:eastAsia="zh-CN" w:bidi="ar-SA"/>
              </w:rPr>
              <w:t>项目负责人</w:t>
            </w:r>
            <w:r>
              <w:rPr>
                <w:rFonts w:hint="eastAsia" w:ascii="宋体" w:hAnsi="宋体" w:cs="宋体"/>
                <w:b w:val="0"/>
                <w:bCs w:val="0"/>
                <w:color w:val="auto"/>
                <w:sz w:val="24"/>
                <w:szCs w:val="24"/>
                <w:highlight w:val="none"/>
                <w:lang w:val="en-US" w:eastAsia="zh-CN" w:bidi="ar-SA"/>
              </w:rPr>
              <w:t>具有大专及以上学历的，得1分。</w:t>
            </w:r>
          </w:p>
          <w:p w14:paraId="0FE9AB67">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2.拟投入本项目的</w:t>
            </w:r>
            <w:r>
              <w:rPr>
                <w:rFonts w:hint="eastAsia" w:ascii="宋体" w:hAnsi="宋体" w:cs="宋体"/>
                <w:b/>
                <w:bCs/>
                <w:color w:val="auto"/>
                <w:sz w:val="24"/>
                <w:szCs w:val="24"/>
                <w:highlight w:val="none"/>
                <w:lang w:val="en-US" w:eastAsia="zh-CN" w:bidi="ar-SA"/>
              </w:rPr>
              <w:t>项目负责人</w:t>
            </w:r>
            <w:r>
              <w:rPr>
                <w:rFonts w:hint="eastAsia" w:ascii="宋体" w:hAnsi="宋体" w:cs="宋体"/>
                <w:b w:val="0"/>
                <w:bCs w:val="0"/>
                <w:color w:val="auto"/>
                <w:sz w:val="24"/>
                <w:szCs w:val="24"/>
                <w:highlight w:val="none"/>
                <w:lang w:val="en-US" w:eastAsia="zh-CN" w:bidi="ar-SA"/>
              </w:rPr>
              <w:t>是中共党员的，得1分。</w:t>
            </w:r>
          </w:p>
          <w:p w14:paraId="1B441802">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3.拟投入本项目的</w:t>
            </w:r>
            <w:r>
              <w:rPr>
                <w:rFonts w:hint="eastAsia" w:ascii="宋体" w:hAnsi="宋体" w:cs="宋体"/>
                <w:b/>
                <w:bCs/>
                <w:color w:val="auto"/>
                <w:sz w:val="24"/>
                <w:szCs w:val="24"/>
                <w:highlight w:val="none"/>
                <w:lang w:val="en-US" w:eastAsia="zh-CN" w:bidi="ar-SA"/>
              </w:rPr>
              <w:t>项目负责人</w:t>
            </w:r>
            <w:r>
              <w:rPr>
                <w:rFonts w:hint="eastAsia" w:ascii="宋体" w:hAnsi="宋体" w:cs="宋体"/>
                <w:b w:val="0"/>
                <w:bCs w:val="0"/>
                <w:color w:val="auto"/>
                <w:sz w:val="24"/>
                <w:szCs w:val="24"/>
                <w:highlight w:val="none"/>
                <w:lang w:val="en-US" w:eastAsia="zh-CN" w:bidi="ar-SA"/>
              </w:rPr>
              <w:t>具有退役军人证书的，得1分。</w:t>
            </w:r>
          </w:p>
          <w:p w14:paraId="30A4FCDC">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4.拟投入本项目的</w:t>
            </w:r>
            <w:r>
              <w:rPr>
                <w:rFonts w:hint="eastAsia" w:ascii="宋体" w:hAnsi="宋体" w:cs="宋体"/>
                <w:b/>
                <w:bCs/>
                <w:color w:val="auto"/>
                <w:sz w:val="24"/>
                <w:szCs w:val="24"/>
                <w:highlight w:val="none"/>
                <w:lang w:val="en-US" w:eastAsia="zh-CN" w:bidi="ar-SA"/>
              </w:rPr>
              <w:t>项目负责人</w:t>
            </w:r>
            <w:r>
              <w:rPr>
                <w:rFonts w:hint="eastAsia" w:ascii="宋体" w:hAnsi="宋体" w:cs="宋体"/>
                <w:b w:val="0"/>
                <w:bCs w:val="0"/>
                <w:color w:val="auto"/>
                <w:sz w:val="24"/>
                <w:szCs w:val="24"/>
                <w:highlight w:val="none"/>
                <w:lang w:val="en-US" w:eastAsia="zh-CN" w:bidi="ar-SA"/>
              </w:rPr>
              <w:t>具有人社部门颁发的三级（高级）保安员职业资格证的，得2分。</w:t>
            </w:r>
          </w:p>
          <w:p w14:paraId="33704CD7">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5.拟投入本项目的</w:t>
            </w:r>
            <w:r>
              <w:rPr>
                <w:rFonts w:hint="eastAsia" w:ascii="宋体" w:hAnsi="宋体" w:cs="宋体"/>
                <w:b/>
                <w:bCs/>
                <w:color w:val="auto"/>
                <w:sz w:val="24"/>
                <w:szCs w:val="24"/>
                <w:highlight w:val="none"/>
                <w:lang w:val="en-US" w:eastAsia="zh-CN" w:bidi="ar-SA"/>
              </w:rPr>
              <w:t>项目负责人</w:t>
            </w:r>
            <w:r>
              <w:rPr>
                <w:rFonts w:hint="eastAsia" w:ascii="宋体" w:hAnsi="宋体" w:cs="宋体"/>
                <w:b w:val="0"/>
                <w:bCs w:val="0"/>
                <w:color w:val="auto"/>
                <w:sz w:val="24"/>
                <w:szCs w:val="24"/>
                <w:highlight w:val="none"/>
                <w:lang w:val="en-US" w:eastAsia="zh-CN" w:bidi="ar-SA"/>
              </w:rPr>
              <w:t>近三年（自投标截止之日起往前推算）具有行政主管部门颁发荣誉证书的，得2分。</w:t>
            </w:r>
          </w:p>
          <w:p w14:paraId="62BBCF68">
            <w:pPr>
              <w:keepNext w:val="0"/>
              <w:keepLines w:val="0"/>
              <w:pageBreakBefore w:val="0"/>
              <w:autoSpaceDE w:val="0"/>
              <w:autoSpaceDN w:val="0"/>
              <w:spacing w:line="360" w:lineRule="exac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注：投标文件中提供相关证书、社区出具的中共党员证明及近三个月（2025年4月-6月）投标人为项目负责人缴纳的社保证明材料，并加盖投标人公章，否则不得分。</w:t>
            </w:r>
          </w:p>
        </w:tc>
      </w:tr>
      <w:tr w14:paraId="1D2E9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2751D765">
            <w:pPr>
              <w:keepNext w:val="0"/>
              <w:keepLines w:val="0"/>
              <w:pageBreakBefore w:val="0"/>
              <w:widowControl/>
              <w:tabs>
                <w:tab w:val="left" w:pos="1200"/>
              </w:tabs>
              <w:autoSpaceDE w:val="0"/>
              <w:autoSpaceDN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674" w:type="dxa"/>
            <w:shd w:val="clear" w:color="auto" w:fill="auto"/>
            <w:noWrap w:val="0"/>
            <w:vAlign w:val="center"/>
          </w:tcPr>
          <w:p w14:paraId="58130E9C">
            <w:pPr>
              <w:tabs>
                <w:tab w:val="left" w:pos="426"/>
              </w:tabs>
              <w:autoSpaceDE w:val="0"/>
              <w:autoSpaceDN w:val="0"/>
              <w:adjustRightInd w:val="0"/>
              <w:spacing w:line="36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秩序主管</w:t>
            </w:r>
          </w:p>
        </w:tc>
        <w:tc>
          <w:tcPr>
            <w:tcW w:w="573" w:type="dxa"/>
            <w:shd w:val="clear" w:color="auto" w:fill="auto"/>
            <w:noWrap w:val="0"/>
            <w:vAlign w:val="center"/>
          </w:tcPr>
          <w:p w14:paraId="2B37EF03">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6856" w:type="dxa"/>
            <w:shd w:val="clear" w:color="auto" w:fill="auto"/>
            <w:noWrap w:val="0"/>
            <w:vAlign w:val="center"/>
          </w:tcPr>
          <w:p w14:paraId="682CB606">
            <w:pPr>
              <w:keepNext w:val="0"/>
              <w:keepLines w:val="0"/>
              <w:pageBreakBefore w:val="0"/>
              <w:autoSpaceDE w:val="0"/>
              <w:autoSpaceDN w:val="0"/>
              <w:spacing w:line="360" w:lineRule="exact"/>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秩序主管</w:t>
            </w:r>
            <w:r>
              <w:rPr>
                <w:rFonts w:hint="eastAsia" w:ascii="宋体" w:hAnsi="宋体" w:eastAsia="宋体" w:cs="宋体"/>
                <w:bCs/>
                <w:color w:val="auto"/>
                <w:kern w:val="2"/>
                <w:sz w:val="24"/>
                <w:szCs w:val="24"/>
                <w:highlight w:val="none"/>
                <w:lang w:val="en-US" w:eastAsia="zh-CN" w:bidi="ar-SA"/>
              </w:rPr>
              <w:t>1人，</w:t>
            </w:r>
            <w:r>
              <w:rPr>
                <w:rFonts w:hint="eastAsia" w:ascii="宋体" w:hAnsi="宋体" w:cs="宋体"/>
                <w:bCs/>
                <w:color w:val="auto"/>
                <w:kern w:val="2"/>
                <w:sz w:val="24"/>
                <w:szCs w:val="24"/>
                <w:highlight w:val="none"/>
                <w:lang w:val="en-US" w:eastAsia="zh-CN" w:bidi="ar-SA"/>
              </w:rPr>
              <w:t>60</w:t>
            </w:r>
            <w:r>
              <w:rPr>
                <w:rFonts w:hint="eastAsia" w:ascii="宋体" w:hAnsi="宋体" w:eastAsia="宋体" w:cs="宋体"/>
                <w:bCs/>
                <w:color w:val="auto"/>
                <w:kern w:val="2"/>
                <w:sz w:val="24"/>
                <w:szCs w:val="24"/>
                <w:highlight w:val="none"/>
                <w:lang w:val="en-US" w:eastAsia="zh-CN" w:bidi="ar-SA"/>
              </w:rPr>
              <w:t>周岁及以下：</w:t>
            </w:r>
          </w:p>
          <w:p w14:paraId="6E588F3B">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1.拟投入本项目的</w:t>
            </w:r>
            <w:r>
              <w:rPr>
                <w:rFonts w:hint="eastAsia" w:ascii="宋体" w:hAnsi="宋体" w:cs="宋体"/>
                <w:b/>
                <w:bCs/>
                <w:color w:val="auto"/>
                <w:sz w:val="24"/>
                <w:szCs w:val="24"/>
                <w:highlight w:val="none"/>
                <w:lang w:val="en-US" w:eastAsia="zh-CN" w:bidi="ar-SA"/>
              </w:rPr>
              <w:t>秩序主管</w:t>
            </w:r>
            <w:r>
              <w:rPr>
                <w:rFonts w:hint="eastAsia" w:ascii="宋体" w:hAnsi="宋体" w:cs="宋体"/>
                <w:b w:val="0"/>
                <w:bCs w:val="0"/>
                <w:color w:val="auto"/>
                <w:sz w:val="24"/>
                <w:szCs w:val="24"/>
                <w:highlight w:val="none"/>
                <w:lang w:val="en-US" w:eastAsia="zh-CN" w:bidi="ar-SA"/>
              </w:rPr>
              <w:t>具有公安机关颁发的保安员证的，得1分。</w:t>
            </w:r>
          </w:p>
          <w:p w14:paraId="7E5563D2">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2.拟投入本项目的</w:t>
            </w:r>
            <w:r>
              <w:rPr>
                <w:rFonts w:hint="eastAsia" w:ascii="宋体" w:hAnsi="宋体" w:cs="宋体"/>
                <w:b/>
                <w:bCs/>
                <w:color w:val="auto"/>
                <w:sz w:val="24"/>
                <w:szCs w:val="24"/>
                <w:highlight w:val="none"/>
                <w:lang w:val="en-US" w:eastAsia="zh-CN" w:bidi="ar-SA"/>
              </w:rPr>
              <w:t>秩序主管近三年</w:t>
            </w:r>
            <w:r>
              <w:rPr>
                <w:rFonts w:hint="eastAsia" w:ascii="宋体" w:hAnsi="宋体" w:cs="宋体"/>
                <w:b w:val="0"/>
                <w:bCs w:val="0"/>
                <w:color w:val="auto"/>
                <w:sz w:val="24"/>
                <w:szCs w:val="24"/>
                <w:highlight w:val="none"/>
                <w:lang w:val="en-US" w:eastAsia="zh-CN" w:bidi="ar-SA"/>
              </w:rPr>
              <w:t>（自投标截止之日起往前推算）具有行政主管部门颁发荣誉证书的，得2分。</w:t>
            </w:r>
          </w:p>
          <w:p w14:paraId="054A1D3C">
            <w:pPr>
              <w:keepNext w:val="0"/>
              <w:keepLines w:val="0"/>
              <w:pageBreakBefore w:val="0"/>
              <w:autoSpaceDE w:val="0"/>
              <w:autoSpaceDN w:val="0"/>
              <w:spacing w:line="360" w:lineRule="exact"/>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注：投标文件中提供相关证书及近三个月（2025年4月-6月）投标人为秩序主管缴纳的社保证明材料，</w:t>
            </w:r>
            <w:r>
              <w:rPr>
                <w:rFonts w:hint="eastAsia" w:ascii="宋体" w:hAnsi="宋体" w:eastAsia="宋体" w:cs="宋体"/>
                <w:b/>
                <w:bCs/>
                <w:color w:val="auto"/>
                <w:sz w:val="24"/>
                <w:szCs w:val="24"/>
                <w:highlight w:val="none"/>
                <w:lang w:val="en-US" w:eastAsia="zh-CN" w:bidi="ar-SA"/>
              </w:rPr>
              <w:t>并加盖</w:t>
            </w:r>
            <w:r>
              <w:rPr>
                <w:rFonts w:hint="eastAsia" w:ascii="宋体" w:hAnsi="宋体" w:cs="宋体"/>
                <w:b/>
                <w:bCs/>
                <w:color w:val="auto"/>
                <w:sz w:val="24"/>
                <w:szCs w:val="24"/>
                <w:highlight w:val="none"/>
                <w:lang w:val="en-US" w:eastAsia="zh-CN" w:bidi="ar-SA"/>
              </w:rPr>
              <w:t>投标人公章，否则不得分。</w:t>
            </w:r>
          </w:p>
        </w:tc>
      </w:tr>
      <w:tr w14:paraId="7229F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6" w:type="dxa"/>
            <w:shd w:val="clear" w:color="auto" w:fill="auto"/>
            <w:noWrap w:val="0"/>
            <w:vAlign w:val="center"/>
          </w:tcPr>
          <w:p w14:paraId="2E3D93EA">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674" w:type="dxa"/>
            <w:shd w:val="clear" w:color="auto" w:fill="auto"/>
            <w:noWrap w:val="0"/>
            <w:vAlign w:val="center"/>
          </w:tcPr>
          <w:p w14:paraId="4C2856E6">
            <w:pPr>
              <w:tabs>
                <w:tab w:val="left" w:pos="426"/>
              </w:tabs>
              <w:autoSpaceDE w:val="0"/>
              <w:autoSpaceDN w:val="0"/>
              <w:adjustRightInd w:val="0"/>
              <w:spacing w:line="360" w:lineRule="exact"/>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团队其他成员</w:t>
            </w:r>
          </w:p>
        </w:tc>
        <w:tc>
          <w:tcPr>
            <w:tcW w:w="573" w:type="dxa"/>
            <w:shd w:val="clear" w:color="auto" w:fill="auto"/>
            <w:noWrap w:val="0"/>
            <w:vAlign w:val="center"/>
          </w:tcPr>
          <w:p w14:paraId="7D9A1AA7">
            <w:pPr>
              <w:keepNext w:val="0"/>
              <w:keepLines w:val="0"/>
              <w:pageBreakBefore w:val="0"/>
              <w:widowControl/>
              <w:tabs>
                <w:tab w:val="left" w:pos="1200"/>
              </w:tabs>
              <w:autoSpaceDE w:val="0"/>
              <w:autoSpaceDN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6856" w:type="dxa"/>
            <w:shd w:val="clear" w:color="auto" w:fill="auto"/>
            <w:noWrap w:val="0"/>
            <w:vAlign w:val="center"/>
          </w:tcPr>
          <w:p w14:paraId="56B3D5FF">
            <w:pPr>
              <w:keepNext w:val="0"/>
              <w:keepLines w:val="0"/>
              <w:pageBreakBefore w:val="0"/>
              <w:numPr>
                <w:ilvl w:val="0"/>
                <w:numId w:val="0"/>
              </w:numPr>
              <w:autoSpaceDE w:val="0"/>
              <w:autoSpaceDN w:val="0"/>
              <w:spacing w:line="360" w:lineRule="exact"/>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拟投入本项目的</w:t>
            </w:r>
            <w:r>
              <w:rPr>
                <w:rFonts w:hint="eastAsia" w:ascii="宋体" w:hAnsi="宋体" w:cs="宋体"/>
                <w:b/>
                <w:bCs/>
                <w:color w:val="auto"/>
                <w:sz w:val="24"/>
                <w:szCs w:val="24"/>
                <w:highlight w:val="none"/>
                <w:lang w:val="en-US" w:eastAsia="zh-CN" w:bidi="ar-SA"/>
              </w:rPr>
              <w:t>团队其他成员（除项目负责人、秩序主管外）、</w:t>
            </w:r>
            <w:r>
              <w:rPr>
                <w:rFonts w:hint="eastAsia" w:ascii="宋体" w:hAnsi="宋体" w:cs="宋体"/>
                <w:bCs/>
                <w:color w:val="auto"/>
                <w:kern w:val="2"/>
                <w:sz w:val="24"/>
                <w:szCs w:val="24"/>
                <w:highlight w:val="none"/>
                <w:lang w:val="en-US" w:eastAsia="zh-CN" w:bidi="ar-SA"/>
              </w:rPr>
              <w:t>60周岁及以下</w:t>
            </w:r>
            <w:r>
              <w:rPr>
                <w:rFonts w:hint="eastAsia" w:ascii="宋体" w:hAnsi="宋体" w:eastAsia="宋体" w:cs="宋体"/>
                <w:bCs/>
                <w:color w:val="auto"/>
                <w:kern w:val="2"/>
                <w:sz w:val="24"/>
                <w:szCs w:val="24"/>
                <w:highlight w:val="none"/>
                <w:lang w:val="en-US" w:eastAsia="zh-CN" w:bidi="ar-SA"/>
              </w:rPr>
              <w:t>：</w:t>
            </w:r>
          </w:p>
          <w:p w14:paraId="7E28F029">
            <w:pPr>
              <w:keepNext w:val="0"/>
              <w:keepLines w:val="0"/>
              <w:pageBreakBefore w:val="0"/>
              <w:numPr>
                <w:ilvl w:val="0"/>
                <w:numId w:val="0"/>
              </w:numPr>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1.具有人社部门颁发的五级及以上消防设施操作员证书的，有一个得1分，最高得2分。</w:t>
            </w:r>
          </w:p>
          <w:p w14:paraId="7113E792">
            <w:pPr>
              <w:keepNext w:val="0"/>
              <w:keepLines w:val="0"/>
              <w:pageBreakBefore w:val="0"/>
              <w:autoSpaceDE w:val="0"/>
              <w:autoSpaceDN w:val="0"/>
              <w:spacing w:line="360" w:lineRule="exact"/>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2.具有应急管理部门颁发的高、低压电工操作证书的，有一个得2分，最高得4分。</w:t>
            </w:r>
          </w:p>
          <w:p w14:paraId="06C1B346">
            <w:pPr>
              <w:keepNext w:val="0"/>
              <w:keepLines w:val="0"/>
              <w:pageBreakBefore w:val="0"/>
              <w:autoSpaceDE w:val="0"/>
              <w:autoSpaceDN w:val="0"/>
              <w:spacing w:line="360" w:lineRule="exact"/>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注：投标文件中提供相关证书证明材料，</w:t>
            </w:r>
            <w:r>
              <w:rPr>
                <w:rFonts w:hint="eastAsia" w:ascii="宋体" w:hAnsi="宋体" w:eastAsia="宋体" w:cs="宋体"/>
                <w:b/>
                <w:bCs/>
                <w:color w:val="auto"/>
                <w:sz w:val="24"/>
                <w:szCs w:val="24"/>
                <w:highlight w:val="none"/>
                <w:lang w:val="en-US" w:eastAsia="zh-CN" w:bidi="ar-SA"/>
              </w:rPr>
              <w:t>并加盖</w:t>
            </w:r>
            <w:r>
              <w:rPr>
                <w:rFonts w:hint="eastAsia" w:ascii="宋体" w:hAnsi="宋体" w:cs="宋体"/>
                <w:b/>
                <w:bCs/>
                <w:color w:val="auto"/>
                <w:sz w:val="24"/>
                <w:szCs w:val="24"/>
                <w:highlight w:val="none"/>
                <w:lang w:val="en-US" w:eastAsia="zh-CN" w:bidi="ar-SA"/>
              </w:rPr>
              <w:t>投标人公章，否则不得分。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2"/>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337738B3">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1</w:t>
      </w:r>
      <w:r>
        <w:rPr>
          <w:rFonts w:hint="eastAsia" w:ascii="宋体" w:hAnsi="宋体" w:cs="宋体"/>
          <w:color w:val="auto"/>
          <w:spacing w:val="2"/>
          <w:sz w:val="24"/>
          <w:szCs w:val="24"/>
          <w:highlight w:val="none"/>
          <w:u w:val="none"/>
          <w:lang w:eastAsia="zh-CN"/>
        </w:rPr>
        <w:t>.项目内容：本项目主要是对横塘河湿地公园等采购人指定区域内进行安全秩序维护服务等工作，以及招标文件所要求的其他相关服务等全部内容。</w:t>
      </w:r>
    </w:p>
    <w:p w14:paraId="2C7A883B">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eastAsia="zh-CN"/>
        </w:rPr>
        <w:t>.项目地点：横塘河湿地公园</w:t>
      </w:r>
    </w:p>
    <w:p w14:paraId="689E1B91">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3</w:t>
      </w:r>
      <w:r>
        <w:rPr>
          <w:rFonts w:hint="eastAsia" w:ascii="宋体" w:hAnsi="宋体" w:cs="宋体"/>
          <w:color w:val="auto"/>
          <w:spacing w:val="2"/>
          <w:sz w:val="24"/>
          <w:szCs w:val="24"/>
          <w:highlight w:val="none"/>
          <w:u w:val="none"/>
          <w:lang w:eastAsia="zh-CN"/>
        </w:rPr>
        <w:t>.公园概况</w:t>
      </w:r>
    </w:p>
    <w:p w14:paraId="12231740">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eastAsia="zh-CN"/>
        </w:rPr>
        <w:t>横塘河湿地公园位于横塘河西路以东、横塘河东路以西、北塘河以南、青龙西路以北，长2.4公里，规划用地面积约53公顷（含主河道），公园净用地面积约34.2公顷。主要建设内容为湿地改造、绿化、配套用房、道路场地、公共服务设施等工程。</w:t>
      </w:r>
    </w:p>
    <w:p w14:paraId="181E8A8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6CAA889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服务期限</w:t>
      </w:r>
    </w:p>
    <w:p w14:paraId="0E1504F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p>
    <w:p w14:paraId="189C877F">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2.付款方式</w:t>
      </w:r>
    </w:p>
    <w:p w14:paraId="5F1EF77E">
      <w:pPr>
        <w:spacing w:line="360" w:lineRule="auto"/>
        <w:ind w:firstLine="480" w:firstLineChars="200"/>
        <w:contextualSpacing/>
        <w:outlineLvl w:val="9"/>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根据考核结果季度按实结算付款。</w:t>
      </w:r>
    </w:p>
    <w:p w14:paraId="2900C5DD">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三、技术要求</w:t>
      </w:r>
    </w:p>
    <w:p w14:paraId="6AEDE51A">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（一）秩序维护服务管理范围及职责：</w:t>
      </w:r>
    </w:p>
    <w:p w14:paraId="592CCE8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1.管理范围</w:t>
      </w:r>
    </w:p>
    <w:p w14:paraId="4E2A8B9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（1）公园管理用房、各主、次入口、停车场、运动场所及全园各区域二十四小时秩序维护、消防安全。</w:t>
      </w:r>
    </w:p>
    <w:p w14:paraId="119DD27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（2）停车场安全管理及秩序维护。</w:t>
      </w:r>
    </w:p>
    <w:p w14:paraId="609D3B0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（3）重大活动的安全保障及现场配合。</w:t>
      </w:r>
    </w:p>
    <w:p w14:paraId="52B956C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（4）园区公共区域设施、设备的安全检查。</w:t>
      </w:r>
    </w:p>
    <w:p w14:paraId="4C1652F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2.管理职责</w:t>
      </w:r>
    </w:p>
    <w:p w14:paraId="458BB0F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（1）负责公园内公共设施及游客的安全保障工作及园区消防安全，确保游览秩序正常。</w:t>
      </w:r>
    </w:p>
    <w:p w14:paraId="40A1381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（2）负责公园区域内停车场安全保卫及秩序正常。</w:t>
      </w:r>
    </w:p>
    <w:p w14:paraId="7C86746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（3）负责配合重大活动现场秩序及消防、安全防护工作。</w:t>
      </w:r>
    </w:p>
    <w:p w14:paraId="0FB3699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（4）负责做好园区特殊及应急事项的配合处理工作。</w:t>
      </w:r>
    </w:p>
    <w:p w14:paraId="3AD57B7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（5）负责公园游园秩序、劝阻游客不文明行为、设施设备的安全保卫等工作。</w:t>
      </w:r>
    </w:p>
    <w:p w14:paraId="4C9302D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（6）</w:t>
      </w:r>
      <w:r>
        <w:rPr>
          <w:rFonts w:hint="eastAsia" w:ascii="宋体" w:hAnsi="宋体" w:eastAsia="宋体" w:cs="宋体"/>
          <w:bCs/>
          <w:color w:val="auto"/>
          <w:kern w:val="2"/>
          <w:sz w:val="24"/>
          <w:szCs w:val="24"/>
          <w:highlight w:val="none"/>
          <w:lang w:val="en-US" w:eastAsia="zh-CN" w:bidi="ar-SA"/>
        </w:rPr>
        <w:t>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指挥来单位车辆在规定地方停放，对未按规定停放和车头朝向不对的车辆及时纠正，始终保持道路畅通和有序。</w:t>
      </w:r>
    </w:p>
    <w:p w14:paraId="085E8E3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7</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中标人</w:t>
      </w:r>
      <w:r>
        <w:rPr>
          <w:rFonts w:hint="eastAsia" w:ascii="宋体" w:hAnsi="宋体" w:eastAsia="宋体" w:cs="宋体"/>
          <w:bCs/>
          <w:color w:val="auto"/>
          <w:kern w:val="2"/>
          <w:sz w:val="24"/>
          <w:szCs w:val="24"/>
          <w:highlight w:val="none"/>
          <w:lang w:val="en-US" w:eastAsia="zh-CN" w:bidi="ar-SA"/>
        </w:rPr>
        <w:t>制定的各类突发事件应急预案，并将预案内容在办公室、监控室等处张榜悬挂。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p>
    <w:p w14:paraId="006047D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（8）</w:t>
      </w:r>
      <w:r>
        <w:rPr>
          <w:rFonts w:hint="eastAsia" w:ascii="宋体" w:hAnsi="宋体" w:eastAsia="宋体" w:cs="宋体"/>
          <w:bCs/>
          <w:color w:val="auto"/>
          <w:kern w:val="2"/>
          <w:sz w:val="24"/>
          <w:szCs w:val="24"/>
          <w:highlight w:val="none"/>
          <w:lang w:val="en-US" w:eastAsia="zh-CN" w:bidi="ar-SA"/>
        </w:rPr>
        <w:t>服从采购人临时性工作安排。</w:t>
      </w:r>
    </w:p>
    <w:p w14:paraId="72605488">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（二）人员要求</w:t>
      </w:r>
    </w:p>
    <w:p w14:paraId="6454FFE2">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项目负责人</w:t>
      </w:r>
    </w:p>
    <w:p w14:paraId="7B1AABD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1.项目负责人1人，45周岁（含）以下，具有本岗位多年管理工作经验，有综合服务和协调能力，同时做好：</w:t>
      </w:r>
    </w:p>
    <w:p w14:paraId="645178B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（1）负责做好队员的培训工作，确保队伍整体素质，工作质量符合园区要求。</w:t>
      </w:r>
    </w:p>
    <w:p w14:paraId="0E9C87D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（2）负责日常考核工作。</w:t>
      </w:r>
    </w:p>
    <w:p w14:paraId="5F7004C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（3）编制管理台帐。</w:t>
      </w:r>
    </w:p>
    <w:p w14:paraId="5496458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（4）服从公园临时性工作安排。</w:t>
      </w:r>
    </w:p>
    <w:p w14:paraId="111025B4">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秩序维护人员</w:t>
      </w:r>
    </w:p>
    <w:p w14:paraId="42431D7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w:t>
      </w:r>
    </w:p>
    <w:p w14:paraId="656A783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（1）秩序维护队长1人，男性，年龄在</w:t>
      </w:r>
      <w:r>
        <w:rPr>
          <w:rFonts w:hint="eastAsia" w:ascii="宋体" w:hAnsi="宋体" w:cs="宋体"/>
          <w:bCs/>
          <w:color w:val="auto"/>
          <w:kern w:val="2"/>
          <w:sz w:val="24"/>
          <w:szCs w:val="24"/>
          <w:highlight w:val="none"/>
          <w:lang w:val="en-US" w:eastAsia="zh-CN" w:bidi="ar-SA"/>
        </w:rPr>
        <w:t>60周岁（含）以下</w:t>
      </w:r>
      <w:r>
        <w:rPr>
          <w:rFonts w:hint="eastAsia" w:ascii="宋体" w:hAnsi="宋体" w:eastAsia="宋体" w:cs="宋体"/>
          <w:bCs/>
          <w:color w:val="auto"/>
          <w:kern w:val="2"/>
          <w:sz w:val="24"/>
          <w:szCs w:val="24"/>
          <w:highlight w:val="none"/>
          <w:lang w:val="en-US" w:eastAsia="zh-CN" w:bidi="ar-SA"/>
        </w:rPr>
        <w:t>，有较高的政治思想素养和业务水平（退伍军人优先），有较高的组织协调能力，受过专门的秩序维护业务培训能听懂常州话、会讲普通话，具有应急救援相关知识。</w:t>
      </w:r>
    </w:p>
    <w:p w14:paraId="7230845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（2）秩序维护人员至少32人，男性，年龄在60周岁（含）以下，</w:t>
      </w:r>
      <w:r>
        <w:rPr>
          <w:rFonts w:hint="eastAsia" w:ascii="宋体" w:hAnsi="宋体" w:eastAsia="宋体" w:cs="宋体"/>
          <w:bCs/>
          <w:color w:val="auto"/>
          <w:kern w:val="2"/>
          <w:sz w:val="24"/>
          <w:szCs w:val="24"/>
          <w:highlight w:val="none"/>
          <w:lang w:val="en-US" w:eastAsia="zh-CN" w:bidi="ar-SA"/>
        </w:rPr>
        <w:t>要具备初中以上学历，有较高的政治思想素养和业务水平（退伍军人优先），有较高的组织协调能力，受过专门的秩序维护业务培训能听懂常州话、会讲常州话、普通话、英语。</w:t>
      </w:r>
    </w:p>
    <w:p w14:paraId="2E5FE65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2.工作时间</w:t>
      </w:r>
    </w:p>
    <w:p w14:paraId="4C6FEC0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（1）秩序维护人员工作时间8小时，双休。秩序维护实行四班三运转运行。</w:t>
      </w:r>
    </w:p>
    <w:p w14:paraId="61819A1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（2）重大活动、特殊时期、事件期间等，必须按采购人要求在岗，产生的加班费用由投标人承担，对此投标人报价时应考虑在内。</w:t>
      </w:r>
    </w:p>
    <w:p w14:paraId="2E06432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3.人员其他要求</w:t>
      </w:r>
    </w:p>
    <w:p w14:paraId="1112596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从业人员应知法、懂法、守法、依法办事，必须严格遵守从业规范，模范遵守安全管理规定。所有人员须身体健康，政治素质过硬，具有较强事业心、责任感，有较高的业务水准，较强的组织协调与管理能力；现场应急处置能力强，具备复杂环境下较强的应急处置能力。服从采购人的领导与指挥。</w:t>
      </w:r>
    </w:p>
    <w:p w14:paraId="6E2B730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（2）秩序维护队长，要具备大专以上学历，有较高的政治思想素养和业务水平（退伍军人优先），有较高的组织协调能力，受过专门的秩序维护业务培训。</w:t>
      </w:r>
    </w:p>
    <w:p w14:paraId="11CBE8E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（3）秩序维护人员个人素质条件须符合公安部门要求。有岗前培训，人员100%经过岗前或在岗培训合格才能独立在岗。所有上岗秩序维护员持有保安员资格证书。</w:t>
      </w:r>
    </w:p>
    <w:p w14:paraId="68D7D3C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（4）所聘用的秩序维护人员有吃苦耐劳的精神和高度的责任感，受过专门岗前培训，熟知采购人的管理规定，严格履行岗位职责，善于发现各类问题，具备一定的管理经验和处理突发事件的能力。</w:t>
      </w:r>
    </w:p>
    <w:p w14:paraId="79198F5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（5）人员必须相对固定，避免经常更换。投标人在服务期间必须将项目成员名单向采购人备案，期间有人员更换的，必须向采购人报备，同时做好人员出勤记录等详细工作台账。</w:t>
      </w:r>
    </w:p>
    <w:p w14:paraId="74B64A4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（6）根据专业服务的要求，所有人员尽职尽责，为保证服务质量和维护采购人的形象，所有服务人员均要求品行端正，政治上信得过，政治面貌清楚。必须加强对所有工作人员保密制度的学习与培训。</w:t>
      </w:r>
    </w:p>
    <w:p w14:paraId="6F7E07A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4.人员服装及装备要求</w:t>
      </w:r>
    </w:p>
    <w:p w14:paraId="02E2B61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当值时统一着单位配发的制服，制服应干净、整齐、纽扣要全部扣好，不敞开外衣，不得卷起裤脚，按规定戴秩序维护专用帽，佩戴工作证（红袖章）。秩序维护人员形象得体，举止文明。随身装备：对讲机、巡更棒、口哨、照明灯（夜班）、影像记录仪。</w:t>
      </w:r>
    </w:p>
    <w:p w14:paraId="352061F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（2）应急装备：盾牌、防刺背心、钢叉、皮辊、防割手套、头盔、应急手电。</w:t>
      </w:r>
    </w:p>
    <w:p w14:paraId="2724745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（3）装备数量根据公园要求配置。</w:t>
      </w:r>
    </w:p>
    <w:p w14:paraId="47CEA8B2">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临时零星工程维修人员</w:t>
      </w:r>
    </w:p>
    <w:p w14:paraId="547EB7C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1.维修人员</w:t>
      </w:r>
    </w:p>
    <w:p w14:paraId="52C5454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（1）维修主管1人，男性，年龄在</w:t>
      </w:r>
      <w:r>
        <w:rPr>
          <w:rFonts w:hint="eastAsia" w:ascii="宋体" w:hAnsi="宋体" w:cs="宋体"/>
          <w:bCs/>
          <w:color w:val="auto"/>
          <w:kern w:val="2"/>
          <w:sz w:val="24"/>
          <w:szCs w:val="24"/>
          <w:highlight w:val="none"/>
          <w:lang w:val="en-US" w:eastAsia="zh-CN" w:bidi="ar-SA"/>
        </w:rPr>
        <w:t>60周岁（含）以下</w:t>
      </w:r>
      <w:r>
        <w:rPr>
          <w:rFonts w:hint="eastAsia" w:ascii="宋体" w:hAnsi="宋体" w:eastAsia="宋体" w:cs="宋体"/>
          <w:bCs/>
          <w:color w:val="auto"/>
          <w:kern w:val="2"/>
          <w:sz w:val="24"/>
          <w:szCs w:val="24"/>
          <w:highlight w:val="none"/>
          <w:lang w:val="en-US" w:eastAsia="zh-CN" w:bidi="ar-SA"/>
        </w:rPr>
        <w:t>。完成高压变电箱管理和维护等方面的相关事宜；公园公共部位水电日常维修；</w:t>
      </w:r>
      <w:r>
        <w:rPr>
          <w:rFonts w:hint="eastAsia" w:ascii="宋体" w:hAnsi="宋体" w:cs="宋体"/>
          <w:bCs/>
          <w:color w:val="auto"/>
          <w:kern w:val="2"/>
          <w:sz w:val="24"/>
          <w:szCs w:val="24"/>
          <w:highlight w:val="none"/>
          <w:lang w:val="en-US" w:eastAsia="zh-CN" w:bidi="ar-SA"/>
        </w:rPr>
        <w:t>消控室的日常管理</w:t>
      </w:r>
      <w:r>
        <w:rPr>
          <w:rFonts w:hint="eastAsia" w:ascii="宋体" w:hAnsi="宋体" w:eastAsia="宋体" w:cs="宋体"/>
          <w:bCs/>
          <w:color w:val="auto"/>
          <w:kern w:val="2"/>
          <w:sz w:val="24"/>
          <w:szCs w:val="24"/>
          <w:highlight w:val="none"/>
          <w:lang w:val="en-US" w:eastAsia="zh-CN" w:bidi="ar-SA"/>
        </w:rPr>
        <w:t>。</w:t>
      </w:r>
    </w:p>
    <w:p w14:paraId="065D50E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（2）维修1人。具备高压电工作业证。协助完成高压变电箱管理和维护等方面的相关事宜；公园公共部位水电日常维修；</w:t>
      </w:r>
      <w:r>
        <w:rPr>
          <w:rFonts w:hint="eastAsia" w:ascii="宋体" w:hAnsi="宋体" w:cs="宋体"/>
          <w:bCs/>
          <w:color w:val="auto"/>
          <w:kern w:val="2"/>
          <w:sz w:val="24"/>
          <w:szCs w:val="24"/>
          <w:highlight w:val="none"/>
          <w:lang w:val="en-US" w:eastAsia="zh-CN" w:bidi="ar-SA"/>
        </w:rPr>
        <w:t>消控室的日常管理</w:t>
      </w:r>
      <w:r>
        <w:rPr>
          <w:rFonts w:hint="eastAsia" w:ascii="宋体" w:hAnsi="宋体" w:eastAsia="宋体" w:cs="宋体"/>
          <w:bCs/>
          <w:color w:val="auto"/>
          <w:kern w:val="2"/>
          <w:sz w:val="24"/>
          <w:szCs w:val="24"/>
          <w:highlight w:val="none"/>
          <w:lang w:val="en-US" w:eastAsia="zh-CN" w:bidi="ar-SA"/>
        </w:rPr>
        <w:t>。</w:t>
      </w:r>
    </w:p>
    <w:p w14:paraId="0007B08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2.工作时间</w:t>
      </w:r>
    </w:p>
    <w:p w14:paraId="09765A5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（1）工作时间8小时，双休。</w:t>
      </w:r>
    </w:p>
    <w:p w14:paraId="1AD6740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（2）重大活动、特殊时期、事件期间等，必须按采购人要求在岗，产生的加班费用由投标人承担，对此投标人报价时应考虑在内。</w:t>
      </w:r>
    </w:p>
    <w:p w14:paraId="7EBC2F7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3.公园零星维修工作内容</w:t>
      </w:r>
    </w:p>
    <w:p w14:paraId="6EC1DB4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（1）配合做好园区内公共设施的零星维修保养工作(包括雕塑物、音响、休闲椅、栏杆、标示标牌、龙头管道等)</w:t>
      </w:r>
      <w:r>
        <w:rPr>
          <w:rFonts w:hint="eastAsia" w:ascii="宋体" w:hAnsi="宋体" w:cs="宋体"/>
          <w:bCs/>
          <w:color w:val="auto"/>
          <w:kern w:val="2"/>
          <w:sz w:val="24"/>
          <w:szCs w:val="24"/>
          <w:highlight w:val="none"/>
          <w:lang w:val="en-US" w:eastAsia="zh-CN" w:bidi="ar-SA"/>
        </w:rPr>
        <w:t>。</w:t>
      </w:r>
    </w:p>
    <w:p w14:paraId="085BE72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（2）每天巡查各用电设施的安全可靠性，确保无安全责任事故发生</w:t>
      </w:r>
      <w:r>
        <w:rPr>
          <w:rFonts w:hint="eastAsia" w:ascii="宋体" w:hAnsi="宋体" w:cs="宋体"/>
          <w:bCs/>
          <w:color w:val="auto"/>
          <w:kern w:val="2"/>
          <w:sz w:val="24"/>
          <w:szCs w:val="24"/>
          <w:highlight w:val="none"/>
          <w:lang w:val="en-US" w:eastAsia="zh-CN" w:bidi="ar-SA"/>
        </w:rPr>
        <w:t>。</w:t>
      </w:r>
    </w:p>
    <w:p w14:paraId="1E0F97B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（3）做好公园监控、消防、通讯、网络系统等专业维保、施工单位的维保监管工作，发现问题及时解决并汇报。</w:t>
      </w:r>
    </w:p>
    <w:p w14:paraId="4F16883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（4）做好公园园事花事活动的配合工作。</w:t>
      </w:r>
    </w:p>
    <w:p w14:paraId="1C25044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（5）配合做好防汛设施设备的维修工作，确保防汛设施的完好。</w:t>
      </w:r>
    </w:p>
    <w:p w14:paraId="2123F38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（6）包含公园内办公场所设施、设备的日常零星维修工作。</w:t>
      </w:r>
    </w:p>
    <w:p w14:paraId="790AD38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4</w:t>
      </w:r>
      <w:r>
        <w:rPr>
          <w:rFonts w:hint="eastAsia" w:ascii="宋体" w:hAnsi="宋体" w:eastAsia="宋体" w:cs="宋体"/>
          <w:bCs/>
          <w:color w:val="auto"/>
          <w:kern w:val="2"/>
          <w:sz w:val="24"/>
          <w:szCs w:val="24"/>
          <w:highlight w:val="none"/>
          <w:lang w:val="en-US" w:eastAsia="zh-CN" w:bidi="ar-SA"/>
        </w:rPr>
        <w:t>.人员其他要求</w:t>
      </w:r>
    </w:p>
    <w:p w14:paraId="7CF27A1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从业人员应知法、懂法、守法、依法办事，必须严格遵守从业规范，模范遵守安全管理规定。所有人员须身体健康，政治素质过硬，具有较强事业心、责任感，有较高的业务水准，较强的组织协调与管理能力；现场应急处置能力强，具备复杂环境下较强的应急处置能力。服从采购人的领导与指挥。</w:t>
      </w:r>
    </w:p>
    <w:p w14:paraId="135C01F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（2）所聘用的维修人员有吃苦耐劳的精神和高度的责任感，受过专门岗前培训，熟知采购人的管理规定，严格履行岗位职责，善于发现各类问题，具备一定的管理经验和处理突发事件的能力。</w:t>
      </w:r>
    </w:p>
    <w:p w14:paraId="3CB2AAF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（3）人员必须相对固定，避免经常更换。投标人在服务期间必须将项目成员名单向采购人备案，期间有人员更换的，必须向采购人报备，同时做好人员出勤记录等详细工作台账。</w:t>
      </w:r>
    </w:p>
    <w:p w14:paraId="2D3C29E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（4）根据专业服务的要求，所有人员尽职尽责，为保证服务质量和维护采购人的形象，所有服务人员均要求品行端正，政治上信得过，政治面貌清楚。必须加强对所有工作人员保密制度的学习与培训。</w:t>
      </w:r>
    </w:p>
    <w:p w14:paraId="129A060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（5）各岗位人员工作时间、工作地点最终按采购人实际要求执行。中标人按采购人要求合理安排好加班人员，</w:t>
      </w:r>
      <w:r>
        <w:rPr>
          <w:rFonts w:hint="eastAsia" w:ascii="宋体" w:hAnsi="宋体" w:cs="宋体"/>
          <w:bCs/>
          <w:color w:val="auto"/>
          <w:kern w:val="2"/>
          <w:sz w:val="24"/>
          <w:szCs w:val="24"/>
          <w:highlight w:val="none"/>
          <w:lang w:val="en-US" w:eastAsia="zh-CN" w:bidi="ar-SA"/>
        </w:rPr>
        <w:t>法定加班人数不低于28人</w:t>
      </w:r>
      <w:r>
        <w:rPr>
          <w:rFonts w:hint="eastAsia" w:ascii="宋体" w:hAnsi="宋体" w:eastAsia="宋体" w:cs="宋体"/>
          <w:bCs/>
          <w:color w:val="auto"/>
          <w:kern w:val="2"/>
          <w:sz w:val="24"/>
          <w:szCs w:val="24"/>
          <w:highlight w:val="none"/>
          <w:lang w:val="en-US" w:eastAsia="zh-CN" w:bidi="ar-SA"/>
        </w:rPr>
        <w:t>。法定节假日加班费用均应考虑在投标报价之内，采购人不再另行支付加班费用。</w:t>
      </w:r>
    </w:p>
    <w:p w14:paraId="697E626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w:t>
      </w:r>
      <w:r>
        <w:rPr>
          <w:rFonts w:hint="eastAsia" w:ascii="宋体" w:hAnsi="宋体" w:eastAsia="宋体" w:cs="宋体"/>
          <w:bCs/>
          <w:color w:val="auto"/>
          <w:kern w:val="2"/>
          <w:sz w:val="24"/>
          <w:szCs w:val="24"/>
          <w:highlight w:val="none"/>
          <w:lang w:val="en-US" w:eastAsia="zh-CN" w:bidi="ar-SA"/>
        </w:rPr>
        <w:t>.人员服装及装备要求</w:t>
      </w:r>
    </w:p>
    <w:p w14:paraId="7F04610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（1）维修人员当值时统一着单位配发的制服，制服应干净、整齐、纽扣要全部扣好，不敞开外衣，不得卷起裤脚，按规定戴秩序维护专用帽，佩戴工作证（红袖章）。维修人员形象得体，举止文明。</w:t>
      </w:r>
    </w:p>
    <w:p w14:paraId="316CF28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（2）随身装备：维修设备。</w:t>
      </w:r>
    </w:p>
    <w:p w14:paraId="7E66DBE2">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（三）设备要求</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6"/>
        <w:gridCol w:w="1956"/>
        <w:gridCol w:w="1089"/>
        <w:gridCol w:w="5433"/>
      </w:tblGrid>
      <w:tr w14:paraId="5D0AD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34" w:type="pct"/>
            <w:tcBorders>
              <w:top w:val="single" w:color="000000" w:sz="4" w:space="0"/>
              <w:left w:val="single" w:color="000000" w:sz="4" w:space="0"/>
              <w:bottom w:val="single" w:color="000000" w:sz="4" w:space="0"/>
              <w:right w:val="single" w:color="000000" w:sz="4" w:space="0"/>
            </w:tcBorders>
            <w:noWrap w:val="0"/>
            <w:vAlign w:val="center"/>
          </w:tcPr>
          <w:p w14:paraId="182735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1053" w:type="pct"/>
            <w:tcBorders>
              <w:top w:val="single" w:color="000000" w:sz="4" w:space="0"/>
              <w:left w:val="nil"/>
              <w:bottom w:val="single" w:color="000000" w:sz="4" w:space="0"/>
              <w:right w:val="single" w:color="000000" w:sz="4" w:space="0"/>
            </w:tcBorders>
            <w:noWrap w:val="0"/>
            <w:vAlign w:val="center"/>
          </w:tcPr>
          <w:p w14:paraId="033EA43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设备</w:t>
            </w:r>
          </w:p>
        </w:tc>
        <w:tc>
          <w:tcPr>
            <w:tcW w:w="586" w:type="pct"/>
            <w:tcBorders>
              <w:top w:val="single" w:color="000000" w:sz="4" w:space="0"/>
              <w:left w:val="nil"/>
              <w:bottom w:val="single" w:color="000000" w:sz="4" w:space="0"/>
              <w:right w:val="single" w:color="000000" w:sz="4" w:space="0"/>
            </w:tcBorders>
            <w:noWrap w:val="0"/>
            <w:vAlign w:val="center"/>
          </w:tcPr>
          <w:p w14:paraId="66E7093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数量</w:t>
            </w:r>
          </w:p>
        </w:tc>
        <w:tc>
          <w:tcPr>
            <w:tcW w:w="2924" w:type="pct"/>
            <w:tcBorders>
              <w:top w:val="single" w:color="000000" w:sz="4" w:space="0"/>
              <w:left w:val="nil"/>
              <w:bottom w:val="single" w:color="000000" w:sz="4" w:space="0"/>
              <w:right w:val="single" w:color="000000" w:sz="4" w:space="0"/>
            </w:tcBorders>
            <w:noWrap w:val="0"/>
            <w:vAlign w:val="center"/>
          </w:tcPr>
          <w:p w14:paraId="1E49DEA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要求</w:t>
            </w:r>
          </w:p>
        </w:tc>
      </w:tr>
      <w:tr w14:paraId="1B0DD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trPr>
        <w:tc>
          <w:tcPr>
            <w:tcW w:w="434" w:type="pct"/>
            <w:tcBorders>
              <w:top w:val="single" w:color="000000" w:sz="4" w:space="0"/>
              <w:left w:val="single" w:color="000000" w:sz="4" w:space="0"/>
              <w:bottom w:val="single" w:color="000000" w:sz="4" w:space="0"/>
              <w:right w:val="single" w:color="000000" w:sz="4" w:space="0"/>
            </w:tcBorders>
            <w:noWrap w:val="0"/>
            <w:vAlign w:val="center"/>
          </w:tcPr>
          <w:p w14:paraId="7314BCB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1053" w:type="pct"/>
            <w:tcBorders>
              <w:top w:val="single" w:color="000000" w:sz="4" w:space="0"/>
              <w:left w:val="nil"/>
              <w:bottom w:val="single" w:color="000000" w:sz="4" w:space="0"/>
              <w:right w:val="single" w:color="000000" w:sz="4" w:space="0"/>
            </w:tcBorders>
            <w:noWrap w:val="0"/>
            <w:vAlign w:val="center"/>
          </w:tcPr>
          <w:p w14:paraId="525A64B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两轮电动巡逻车</w:t>
            </w:r>
          </w:p>
        </w:tc>
        <w:tc>
          <w:tcPr>
            <w:tcW w:w="586" w:type="pct"/>
            <w:tcBorders>
              <w:top w:val="single" w:color="000000" w:sz="4" w:space="0"/>
              <w:left w:val="nil"/>
              <w:bottom w:val="single" w:color="000000" w:sz="4" w:space="0"/>
              <w:right w:val="single" w:color="000000" w:sz="4" w:space="0"/>
            </w:tcBorders>
            <w:noWrap w:val="0"/>
            <w:vAlign w:val="center"/>
          </w:tcPr>
          <w:p w14:paraId="041DF6A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5辆</w:t>
            </w:r>
          </w:p>
        </w:tc>
        <w:tc>
          <w:tcPr>
            <w:tcW w:w="2924" w:type="pct"/>
            <w:tcBorders>
              <w:top w:val="nil"/>
              <w:left w:val="nil"/>
              <w:bottom w:val="single" w:color="000000" w:sz="4" w:space="0"/>
              <w:right w:val="single" w:color="000000" w:sz="4" w:space="0"/>
            </w:tcBorders>
            <w:noWrap w:val="0"/>
            <w:vAlign w:val="center"/>
          </w:tcPr>
          <w:p w14:paraId="7F3816A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1.服务期内若损坏影响使用，必须重新购置。</w:t>
            </w:r>
          </w:p>
          <w:p w14:paraId="54043C8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2.电瓶更换及日常维保等所有费用由投标人承担。</w:t>
            </w:r>
          </w:p>
        </w:tc>
      </w:tr>
    </w:tbl>
    <w:p w14:paraId="0FB5F730">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（四）其他说明</w:t>
      </w:r>
    </w:p>
    <w:p w14:paraId="017A7D5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1.日常秩序维护耗材：对讲机、服装、遮阳伞、雨具等公园要求配置的所有装备由投标人负责配备。</w:t>
      </w:r>
    </w:p>
    <w:p w14:paraId="4D09C89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2.应急救灾及公园园事、花事活动期间，投标人必须无条件配合，人员加班费包含在投标报价中。</w:t>
      </w:r>
    </w:p>
    <w:p w14:paraId="2A1AF97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3.投标人必须保证参与项目的所有人员的法定待遇，并按照国家有关规定参加项目所在地企业职工社会保险。物业办公用房、水、电等固定设施由采购人提供。</w:t>
      </w:r>
    </w:p>
    <w:p w14:paraId="4DF338E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4.园区内承接重大活动时，保安服务力量由青龙街道直接管理并且调配。安保人员必须服从</w:t>
      </w:r>
      <w:r>
        <w:rPr>
          <w:rFonts w:hint="eastAsia" w:ascii="宋体" w:hAnsi="宋体" w:cs="宋体"/>
          <w:bCs/>
          <w:color w:val="auto"/>
          <w:kern w:val="2"/>
          <w:sz w:val="24"/>
          <w:szCs w:val="24"/>
          <w:highlight w:val="none"/>
          <w:lang w:val="en-US" w:eastAsia="zh-CN" w:bidi="ar-SA"/>
        </w:rPr>
        <w:t>采购人</w:t>
      </w:r>
      <w:r>
        <w:rPr>
          <w:rFonts w:hint="eastAsia" w:ascii="宋体" w:hAnsi="宋体" w:eastAsia="宋体" w:cs="宋体"/>
          <w:bCs/>
          <w:color w:val="auto"/>
          <w:kern w:val="2"/>
          <w:sz w:val="24"/>
          <w:szCs w:val="24"/>
          <w:highlight w:val="none"/>
          <w:lang w:val="en-US" w:eastAsia="zh-CN" w:bidi="ar-SA"/>
        </w:rPr>
        <w:t>调配，</w:t>
      </w:r>
      <w:r>
        <w:rPr>
          <w:rFonts w:hint="eastAsia" w:ascii="宋体" w:hAnsi="宋体" w:cs="宋体"/>
          <w:bCs/>
          <w:color w:val="auto"/>
          <w:kern w:val="2"/>
          <w:sz w:val="24"/>
          <w:szCs w:val="24"/>
          <w:highlight w:val="none"/>
          <w:lang w:val="en-US" w:eastAsia="zh-CN" w:bidi="ar-SA"/>
        </w:rPr>
        <w:t>中标人</w:t>
      </w:r>
      <w:r>
        <w:rPr>
          <w:rFonts w:hint="eastAsia" w:ascii="宋体" w:hAnsi="宋体" w:eastAsia="宋体" w:cs="宋体"/>
          <w:bCs/>
          <w:color w:val="auto"/>
          <w:kern w:val="2"/>
          <w:sz w:val="24"/>
          <w:szCs w:val="24"/>
          <w:highlight w:val="none"/>
          <w:lang w:val="en-US" w:eastAsia="zh-CN" w:bidi="ar-SA"/>
        </w:rPr>
        <w:t>必须做好应急预案并加以演练，确保重大活动的秩序井然，同时加大园区的安全巡查和预防因重大活动造成治安案件及人身财产的的事件发生。因活动需要增强安保力量的由</w:t>
      </w:r>
      <w:r>
        <w:rPr>
          <w:rFonts w:hint="eastAsia" w:ascii="宋体" w:hAnsi="宋体" w:cs="宋体"/>
          <w:bCs/>
          <w:color w:val="auto"/>
          <w:kern w:val="2"/>
          <w:sz w:val="24"/>
          <w:szCs w:val="24"/>
          <w:highlight w:val="none"/>
          <w:lang w:val="en-US" w:eastAsia="zh-CN" w:bidi="ar-SA"/>
        </w:rPr>
        <w:t>采购人、中标人</w:t>
      </w:r>
      <w:r>
        <w:rPr>
          <w:rFonts w:hint="eastAsia" w:ascii="宋体" w:hAnsi="宋体" w:eastAsia="宋体" w:cs="宋体"/>
          <w:bCs/>
          <w:color w:val="auto"/>
          <w:kern w:val="2"/>
          <w:sz w:val="24"/>
          <w:szCs w:val="24"/>
          <w:highlight w:val="none"/>
          <w:lang w:val="en-US" w:eastAsia="zh-CN" w:bidi="ar-SA"/>
        </w:rPr>
        <w:t>双方协商，可按照临保范围内收取服务费用，确保活动的正常安全管控。</w:t>
      </w:r>
    </w:p>
    <w:p w14:paraId="7C8345D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w:t>
      </w:r>
      <w:r>
        <w:rPr>
          <w:rFonts w:hint="eastAsia" w:ascii="宋体" w:hAnsi="宋体" w:eastAsia="宋体" w:cs="宋体"/>
          <w:bCs/>
          <w:color w:val="auto"/>
          <w:kern w:val="2"/>
          <w:sz w:val="24"/>
          <w:szCs w:val="24"/>
          <w:highlight w:val="none"/>
          <w:lang w:val="en-US" w:eastAsia="zh-CN" w:bidi="ar-SA"/>
        </w:rPr>
        <w:t>.采购人要求配置的设备，投标人必须配置到位，投入公园使用。</w:t>
      </w:r>
    </w:p>
    <w:p w14:paraId="4BECE5F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6</w:t>
      </w:r>
      <w:r>
        <w:rPr>
          <w:rFonts w:hint="eastAsia" w:ascii="宋体" w:hAnsi="宋体" w:eastAsia="宋体" w:cs="宋体"/>
          <w:bCs/>
          <w:color w:val="auto"/>
          <w:kern w:val="2"/>
          <w:sz w:val="24"/>
          <w:szCs w:val="24"/>
          <w:highlight w:val="none"/>
          <w:lang w:val="en-US" w:eastAsia="zh-CN" w:bidi="ar-SA"/>
        </w:rPr>
        <w:t>.投标人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p>
    <w:p w14:paraId="0C5EC0C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7</w:t>
      </w:r>
      <w:r>
        <w:rPr>
          <w:rFonts w:hint="eastAsia" w:ascii="宋体" w:hAnsi="宋体" w:eastAsia="宋体" w:cs="宋体"/>
          <w:bCs/>
          <w:color w:val="auto"/>
          <w:kern w:val="2"/>
          <w:sz w:val="24"/>
          <w:szCs w:val="24"/>
          <w:highlight w:val="none"/>
          <w:lang w:val="en-US" w:eastAsia="zh-CN" w:bidi="ar-SA"/>
        </w:rPr>
        <w:t>.本次采购实行合同年度费用包干原则，投标人应该充分考虑物价、政策性调整因素，如遇常州市市区最低工资标准、社会保险缴费基数等调整，合同期内一律不做调整，所有风险由投标人承担。</w:t>
      </w:r>
    </w:p>
    <w:p w14:paraId="7F5DEE7B">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（五）建立健全管理制度</w:t>
      </w:r>
    </w:p>
    <w:p w14:paraId="783EAFC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根据本项目的具体情况，中标人应制定有关制度，如企业内部管理制度，日常服务的运作管理制度等。主要包括以下内容：员工行为规范、办公室工作职责、秩序维护部职责、管理人员岗位责任制、操作人员岗位责任制、管理人员岗位考核细则（百分考核）、操作人员岗位考核细则（百分考核）、经济考核制度、考核奖惩制度、见义勇为奖励制度、秩序维护执勤制度、综合服务制度、值班制度，进退场交接制度、应急预案制度及对各项制度的监督落实制度等。</w:t>
      </w:r>
    </w:p>
    <w:p w14:paraId="09471F8B">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（六）档案、资料管理</w:t>
      </w:r>
    </w:p>
    <w:p w14:paraId="6CD0A45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加强有关项目档案和资料的管理，档案和资料管理包括：设备设施档案、投诉和意见档案、安全管理记录档案、安全管理档案、秩序维护管理档案、人事管理及人员培训档案等。服务单位必须运用计算机管理所有档案，要求做到保存完整、管理完善、交接手续完备、检索方便准确。</w:t>
      </w:r>
    </w:p>
    <w:p w14:paraId="027CD5F2">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（七）明确管理目标</w:t>
      </w:r>
    </w:p>
    <w:p w14:paraId="3BF430D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总体风格定位：横塘河湿地公园安保服务具有明显的专业特色，对此服务单位要有针对性，具有相关政策水平，树立良好服务形象，延续并提升服务品质，明确管理质量目标和长效管理方式，具有一整套清晰的，并与公园安保服务特色相吻合的管理方案。</w:t>
      </w:r>
    </w:p>
    <w:p w14:paraId="2190125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2.根据园林系统、公园物业服务的管理要求，具有管理内容的整体设想和规程策划，对秩序维护、维修管理工作等内容，制订管理服务质量目标及服务响应时间等，并承诺保证目标的实现程度。</w:t>
      </w:r>
    </w:p>
    <w:p w14:paraId="5D572D0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3.与公园系统作息制度相匹配，合理安排长效管理与突击性任务的关系，做到保障有力。</w:t>
      </w:r>
    </w:p>
    <w:p w14:paraId="48ADA675">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（八）服务标准与考核办法</w:t>
      </w:r>
    </w:p>
    <w:p w14:paraId="660CA27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零星维修、秩序维护具体的工作标准、操作规范等根据公园标准化制度进行。</w:t>
      </w:r>
    </w:p>
    <w:p w14:paraId="2E9D1F2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1.公园秩序维护服务管理工作标准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741"/>
        <w:gridCol w:w="1727"/>
        <w:gridCol w:w="6120"/>
      </w:tblGrid>
      <w:tr w14:paraId="4963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375" w:type="pct"/>
            <w:noWrap w:val="0"/>
            <w:vAlign w:val="center"/>
          </w:tcPr>
          <w:p w14:paraId="2034FF6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1329" w:type="pct"/>
            <w:gridSpan w:val="2"/>
            <w:noWrap w:val="0"/>
            <w:vAlign w:val="center"/>
          </w:tcPr>
          <w:p w14:paraId="669CF24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工作内容</w:t>
            </w:r>
          </w:p>
        </w:tc>
        <w:tc>
          <w:tcPr>
            <w:tcW w:w="3295" w:type="pct"/>
            <w:noWrap w:val="0"/>
            <w:vAlign w:val="center"/>
          </w:tcPr>
          <w:p w14:paraId="003425C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工作要求</w:t>
            </w:r>
          </w:p>
        </w:tc>
      </w:tr>
      <w:tr w14:paraId="0097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restart"/>
            <w:noWrap w:val="0"/>
            <w:vAlign w:val="center"/>
          </w:tcPr>
          <w:p w14:paraId="1B09B0A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399" w:type="pct"/>
            <w:vMerge w:val="restart"/>
            <w:noWrap w:val="0"/>
            <w:vAlign w:val="center"/>
          </w:tcPr>
          <w:p w14:paraId="37E9FFF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w:t>
            </w:r>
          </w:p>
        </w:tc>
        <w:tc>
          <w:tcPr>
            <w:tcW w:w="930" w:type="pct"/>
            <w:noWrap w:val="0"/>
            <w:vAlign w:val="center"/>
          </w:tcPr>
          <w:p w14:paraId="7D2999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道口、区域值守巡查</w:t>
            </w:r>
          </w:p>
        </w:tc>
        <w:tc>
          <w:tcPr>
            <w:tcW w:w="3295" w:type="pct"/>
            <w:noWrap w:val="0"/>
            <w:vAlign w:val="center"/>
          </w:tcPr>
          <w:p w14:paraId="765B0AC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保持良好的窗口服务人员形象，礼貌待人，文明执勤；</w:t>
            </w:r>
          </w:p>
          <w:p w14:paraId="0066A19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维护各自区域秩序，对各类未经公园批准的活动进行劝阻、制止；</w:t>
            </w:r>
          </w:p>
          <w:p w14:paraId="13DE042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禁止未办理手续者在园内散发广告宣传单、扫码送礼品等。</w:t>
            </w:r>
          </w:p>
        </w:tc>
      </w:tr>
      <w:tr w14:paraId="4509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6A6C4C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62C33A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593C7CD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不文明游园行为劝阻</w:t>
            </w:r>
          </w:p>
        </w:tc>
        <w:tc>
          <w:tcPr>
            <w:tcW w:w="3295" w:type="pct"/>
            <w:noWrap w:val="0"/>
            <w:vAlign w:val="center"/>
          </w:tcPr>
          <w:p w14:paraId="4A5D27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对各类违反公园规定的不文明行为进行劝阻、制止，不服从管理的，呼叫班长处理，仍不服从管理的，报公园安保部门或报警协助处理。</w:t>
            </w:r>
          </w:p>
          <w:p w14:paraId="62D6298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不文明行为有：赤膊、躺卧、攀枝摘花、攀爬假山、踩踏绿地、游泳戏水、随地吐痰、便溺、乱刻乱画、损坏公物、打架斗殴、戏弄鱼类、携带危险品入园、带赌博性质的下棋打牌等。</w:t>
            </w:r>
          </w:p>
        </w:tc>
      </w:tr>
      <w:tr w14:paraId="4E00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47D45A3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DAD396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5211914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流动摊贩、乞讨、看相算命等人群管理</w:t>
            </w:r>
          </w:p>
        </w:tc>
        <w:tc>
          <w:tcPr>
            <w:tcW w:w="3295" w:type="pct"/>
            <w:noWrap w:val="0"/>
            <w:vAlign w:val="center"/>
          </w:tcPr>
          <w:p w14:paraId="1B01B78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对在公园区域内设摊或沿路兜售流动摊贩进行驱赶；</w:t>
            </w:r>
          </w:p>
          <w:p w14:paraId="231C47A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对乞讨、看相算命、强拉游客合影等干扰游客者进行驱赶；</w:t>
            </w:r>
          </w:p>
        </w:tc>
      </w:tr>
      <w:tr w14:paraId="2169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67E9C47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1BF4413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7149D9E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外来车辆、宠物入园管理</w:t>
            </w:r>
          </w:p>
        </w:tc>
        <w:tc>
          <w:tcPr>
            <w:tcW w:w="3295" w:type="pct"/>
            <w:noWrap w:val="0"/>
            <w:vAlign w:val="center"/>
          </w:tcPr>
          <w:p w14:paraId="2CE9453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禁止宠物、非机动车、未经公园批准的外来车辆入园；</w:t>
            </w:r>
          </w:p>
          <w:p w14:paraId="1A46A1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对各出入口及公园广场上的秩序进行管理，禁止车辆乱停放。</w:t>
            </w:r>
          </w:p>
          <w:p w14:paraId="6C0471D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如已有车辆违规入园，及时劝离，如司机不在现场，拍照上传到自助移车平台。</w:t>
            </w:r>
          </w:p>
        </w:tc>
      </w:tr>
      <w:tr w14:paraId="2EDE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54E44BC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55DD11C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4CB2366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公园各项活动的秩序维护</w:t>
            </w:r>
          </w:p>
        </w:tc>
        <w:tc>
          <w:tcPr>
            <w:tcW w:w="3295" w:type="pct"/>
            <w:noWrap w:val="0"/>
            <w:vAlign w:val="center"/>
          </w:tcPr>
          <w:p w14:paraId="5391A8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维护好活动现场秩序，劝阻、制止游客的危险行为，疏导游客，防止意外发生，保障公园各项活动的顺利进行。</w:t>
            </w:r>
          </w:p>
          <w:p w14:paraId="515C45A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p>
        </w:tc>
      </w:tr>
      <w:tr w14:paraId="74F0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restart"/>
            <w:noWrap w:val="0"/>
            <w:vAlign w:val="center"/>
          </w:tcPr>
          <w:p w14:paraId="28187F6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399" w:type="pct"/>
            <w:vMerge w:val="restart"/>
            <w:noWrap w:val="0"/>
            <w:vAlign w:val="center"/>
          </w:tcPr>
          <w:p w14:paraId="5A632E4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秩序</w:t>
            </w:r>
          </w:p>
          <w:p w14:paraId="2FBAE0A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w:t>
            </w:r>
          </w:p>
        </w:tc>
        <w:tc>
          <w:tcPr>
            <w:tcW w:w="930" w:type="pct"/>
            <w:noWrap w:val="0"/>
            <w:vAlign w:val="center"/>
          </w:tcPr>
          <w:p w14:paraId="12E7009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公共设施财产看护</w:t>
            </w:r>
          </w:p>
        </w:tc>
        <w:tc>
          <w:tcPr>
            <w:tcW w:w="3295" w:type="pct"/>
            <w:noWrap w:val="0"/>
            <w:vAlign w:val="center"/>
          </w:tcPr>
          <w:p w14:paraId="764EBFB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加强对园区路面、场地、建筑、亭台楼阁、桥梁、排水设施、照明设施、健身设施、条凳、座椅、展馆等的巡查，发现损坏或失窃，及时上报，做好交接。</w:t>
            </w:r>
          </w:p>
          <w:p w14:paraId="340E803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发现破坏公共设施、偷盗公共财产的行为应立即上报并制止，情节严重者须立即报警，并及时汇报，把控好现场。</w:t>
            </w:r>
          </w:p>
        </w:tc>
      </w:tr>
      <w:tr w14:paraId="25DD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66E43A6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E7CB5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00F711F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消防巡查</w:t>
            </w:r>
          </w:p>
        </w:tc>
        <w:tc>
          <w:tcPr>
            <w:tcW w:w="3295" w:type="pct"/>
            <w:noWrap w:val="0"/>
            <w:vAlign w:val="center"/>
          </w:tcPr>
          <w:p w14:paraId="7E1504F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定期检查消防器材，掌握消防栓、灭火器的位置和使用方法；严禁他人擅自动用消防设施；</w:t>
            </w:r>
          </w:p>
          <w:p w14:paraId="016AE9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加强木结构建筑周边的巡查，发现火灾隐患立即上报；发生火情，按应急预案进行报警、人员疏散、组织扑救、抢救物资等一系列处置。</w:t>
            </w:r>
          </w:p>
        </w:tc>
      </w:tr>
      <w:tr w14:paraId="5366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1D78F2B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036FB68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36E830D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安全隐患巡查处置</w:t>
            </w:r>
          </w:p>
        </w:tc>
        <w:tc>
          <w:tcPr>
            <w:tcW w:w="3295" w:type="pct"/>
            <w:noWrap w:val="0"/>
            <w:vAlign w:val="center"/>
          </w:tcPr>
          <w:p w14:paraId="46FC44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巡查中发现安全隐患，及时上报，并根据情况做好现场的围护，提醒游客注意人身安全，放置警示标志或设置安全围栏。</w:t>
            </w:r>
          </w:p>
        </w:tc>
      </w:tr>
      <w:tr w14:paraId="78CD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4816B5C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443D31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73202E3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突发事件应急处理</w:t>
            </w:r>
          </w:p>
        </w:tc>
        <w:tc>
          <w:tcPr>
            <w:tcW w:w="3295" w:type="pct"/>
            <w:noWrap w:val="0"/>
            <w:vAlign w:val="center"/>
          </w:tcPr>
          <w:p w14:paraId="7FA6598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发生治安突发事件，立即制止，迅速上报，积极协助游客，保障游客人身、财产安全。</w:t>
            </w:r>
          </w:p>
        </w:tc>
      </w:tr>
      <w:tr w14:paraId="436F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6939C33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33B2CE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1D0F80E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恶劣天气巡查</w:t>
            </w:r>
          </w:p>
        </w:tc>
        <w:tc>
          <w:tcPr>
            <w:tcW w:w="3295" w:type="pct"/>
            <w:noWrap w:val="0"/>
            <w:vAlign w:val="center"/>
          </w:tcPr>
          <w:p w14:paraId="4D2220A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恶劣天气加强区域巡查，发现隐患及时上报，采取临时措施，保障游客人身安全。</w:t>
            </w:r>
          </w:p>
        </w:tc>
      </w:tr>
      <w:tr w14:paraId="7745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3B7CB35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2DF2979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5BE1AF4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监控工作</w:t>
            </w:r>
          </w:p>
        </w:tc>
        <w:tc>
          <w:tcPr>
            <w:tcW w:w="3295" w:type="pct"/>
            <w:noWrap w:val="0"/>
            <w:vAlign w:val="center"/>
          </w:tcPr>
          <w:p w14:paraId="150427D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1.严密监视荧屏，如发现有异常或可疑情况时，应立即放大视频讯号并跟踪。</w:t>
            </w:r>
          </w:p>
          <w:p w14:paraId="621F1F3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2.如发现有违法行为（抢劫、打架、非礼、蓄意破坏、非法聚集等），应立即通知巡逻秩序维护赶赴现埸，采取有效紧急措施制止违法违纪行为。必要时须报告部门负责人协助处理。</w:t>
            </w:r>
          </w:p>
          <w:p w14:paraId="1E54F1A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 24小时对闭路监视各点连续录像，录像资料保留十天，每周抽查三次，每次15分钟，并做好记录。</w:t>
            </w:r>
          </w:p>
          <w:p w14:paraId="3D0009E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4.如巡逻秩序维护发现异常情况，应立即回复监控中心，告知现埸警情，并进行相应的处理。</w:t>
            </w:r>
          </w:p>
          <w:p w14:paraId="771AAC8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5.禁止无关人员入内，其它部门确因工作需要来监控室的人员应做好登记。</w:t>
            </w:r>
          </w:p>
          <w:p w14:paraId="090A1E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6.外单位或上级有关部门需经审批后方可调取、查阅监控有关资料，并做好详细记录。</w:t>
            </w:r>
          </w:p>
          <w:p w14:paraId="6A1DD69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7.认真记录相关信息资料，做好突发事件影像资料的采集，并负责信息资料的上报和存档工作。</w:t>
            </w:r>
          </w:p>
          <w:p w14:paraId="151BD3C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8.监控中心实行24小时三班轮流值班制，当班时不得擅自离开监控中心，并对监控图像及情况保密。</w:t>
            </w:r>
          </w:p>
        </w:tc>
      </w:tr>
      <w:tr w14:paraId="5043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5" w:type="pct"/>
            <w:noWrap w:val="0"/>
            <w:vAlign w:val="center"/>
          </w:tcPr>
          <w:p w14:paraId="4AFE261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329" w:type="pct"/>
            <w:gridSpan w:val="2"/>
            <w:noWrap w:val="0"/>
            <w:vAlign w:val="center"/>
          </w:tcPr>
          <w:p w14:paraId="6C11072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台账记录要求</w:t>
            </w:r>
          </w:p>
        </w:tc>
        <w:tc>
          <w:tcPr>
            <w:tcW w:w="3295" w:type="pct"/>
            <w:noWrap w:val="0"/>
            <w:vAlign w:val="center"/>
          </w:tcPr>
          <w:p w14:paraId="612D07C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及时记录、整合，记录完整、工整，检查时间（月、季度、年）</w:t>
            </w:r>
          </w:p>
        </w:tc>
      </w:tr>
    </w:tbl>
    <w:p w14:paraId="6D6E48B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2.公园秩序维护服务管理考核标准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3335"/>
        <w:gridCol w:w="669"/>
        <w:gridCol w:w="3500"/>
        <w:gridCol w:w="556"/>
        <w:gridCol w:w="556"/>
      </w:tblGrid>
      <w:tr w14:paraId="1C273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4CB49C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w:t>
            </w:r>
          </w:p>
          <w:p w14:paraId="3E64D76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号</w:t>
            </w:r>
          </w:p>
        </w:tc>
        <w:tc>
          <w:tcPr>
            <w:tcW w:w="1795" w:type="pct"/>
            <w:noWrap w:val="0"/>
            <w:vAlign w:val="center"/>
          </w:tcPr>
          <w:p w14:paraId="7930FC0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检查项目和内容</w:t>
            </w:r>
          </w:p>
        </w:tc>
        <w:tc>
          <w:tcPr>
            <w:tcW w:w="360" w:type="pct"/>
            <w:noWrap w:val="0"/>
            <w:vAlign w:val="center"/>
          </w:tcPr>
          <w:p w14:paraId="027442A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分值</w:t>
            </w:r>
          </w:p>
        </w:tc>
        <w:tc>
          <w:tcPr>
            <w:tcW w:w="1884" w:type="pct"/>
            <w:noWrap w:val="0"/>
            <w:vAlign w:val="center"/>
          </w:tcPr>
          <w:p w14:paraId="11C0B2C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评分细则</w:t>
            </w:r>
          </w:p>
        </w:tc>
        <w:tc>
          <w:tcPr>
            <w:tcW w:w="299" w:type="pct"/>
            <w:noWrap w:val="0"/>
            <w:vAlign w:val="center"/>
          </w:tcPr>
          <w:p w14:paraId="206F0A6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得分</w:t>
            </w:r>
          </w:p>
        </w:tc>
        <w:tc>
          <w:tcPr>
            <w:tcW w:w="299" w:type="pct"/>
            <w:noWrap w:val="0"/>
            <w:vAlign w:val="center"/>
          </w:tcPr>
          <w:p w14:paraId="010A85A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扣款</w:t>
            </w:r>
          </w:p>
        </w:tc>
      </w:tr>
      <w:tr w14:paraId="1FD2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58026EE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1795" w:type="pct"/>
            <w:noWrap w:val="0"/>
            <w:vAlign w:val="center"/>
          </w:tcPr>
          <w:p w14:paraId="53CED89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着装整齐、佩戴工号牌，仪容端正，举止文明</w:t>
            </w:r>
          </w:p>
        </w:tc>
        <w:tc>
          <w:tcPr>
            <w:tcW w:w="360" w:type="pct"/>
            <w:noWrap w:val="0"/>
            <w:vAlign w:val="center"/>
          </w:tcPr>
          <w:p w14:paraId="0FE5752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2E0765C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着装不整齐、仪容仪表有问题或举止不文明的，一次扣2分。</w:t>
            </w:r>
          </w:p>
        </w:tc>
        <w:tc>
          <w:tcPr>
            <w:tcW w:w="299" w:type="pct"/>
            <w:noWrap w:val="0"/>
            <w:vAlign w:val="center"/>
          </w:tcPr>
          <w:p w14:paraId="5FB3D9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16557C3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FD1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1005C7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1795" w:type="pct"/>
            <w:noWrap w:val="0"/>
            <w:vAlign w:val="center"/>
          </w:tcPr>
          <w:p w14:paraId="4B96CC9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上下班准时，不迟到，不早退，不串岗，不旷工</w:t>
            </w:r>
          </w:p>
        </w:tc>
        <w:tc>
          <w:tcPr>
            <w:tcW w:w="360" w:type="pct"/>
            <w:noWrap w:val="0"/>
            <w:vAlign w:val="center"/>
          </w:tcPr>
          <w:p w14:paraId="5684D19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1317502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迟到、早退、串岗的，一次扣3分，旷工的，一次扣5分；</w:t>
            </w:r>
          </w:p>
        </w:tc>
        <w:tc>
          <w:tcPr>
            <w:tcW w:w="299" w:type="pct"/>
            <w:noWrap w:val="0"/>
            <w:vAlign w:val="center"/>
          </w:tcPr>
          <w:p w14:paraId="08C1E2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392B52F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1E1B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8D9324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795" w:type="pct"/>
            <w:noWrap w:val="0"/>
            <w:vAlign w:val="center"/>
          </w:tcPr>
          <w:p w14:paraId="63D1930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上班时间不做违反公园规定的事情（如喝酒、吸游烟、打牌、下棋、睡觉、打游戏等）；不得酒后上岗。</w:t>
            </w:r>
          </w:p>
        </w:tc>
        <w:tc>
          <w:tcPr>
            <w:tcW w:w="360" w:type="pct"/>
            <w:noWrap w:val="0"/>
            <w:vAlign w:val="center"/>
          </w:tcPr>
          <w:p w14:paraId="2B0CC52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7F6A44D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酒后上岗的，作旷工处理，其他情况发现一次扣3分；</w:t>
            </w:r>
          </w:p>
        </w:tc>
        <w:tc>
          <w:tcPr>
            <w:tcW w:w="299" w:type="pct"/>
            <w:noWrap w:val="0"/>
            <w:vAlign w:val="center"/>
          </w:tcPr>
          <w:p w14:paraId="2AF5AFD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637089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514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56CA3C9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w:t>
            </w:r>
          </w:p>
        </w:tc>
        <w:tc>
          <w:tcPr>
            <w:tcW w:w="1795" w:type="pct"/>
            <w:noWrap w:val="0"/>
            <w:vAlign w:val="center"/>
          </w:tcPr>
          <w:p w14:paraId="2E68CD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严格遵守纪律，按规定时间交接班，区域化责任制管理到位，坚守岗位，巡逻、巡更时间间隔不超过10分钟，按规定报岗。巡查有台帐记录。</w:t>
            </w:r>
          </w:p>
        </w:tc>
        <w:tc>
          <w:tcPr>
            <w:tcW w:w="360" w:type="pct"/>
            <w:noWrap w:val="0"/>
            <w:vAlign w:val="center"/>
          </w:tcPr>
          <w:p w14:paraId="59746E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3805A4A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无责任制管理的扣2分；工作时间偷懒发现一次扣2分；发现有人脱岗一次扣5分；巡查间隔时间超时1次，扣1分，未报岗一次扣1分。</w:t>
            </w:r>
          </w:p>
        </w:tc>
        <w:tc>
          <w:tcPr>
            <w:tcW w:w="299" w:type="pct"/>
            <w:noWrap w:val="0"/>
            <w:vAlign w:val="center"/>
          </w:tcPr>
          <w:p w14:paraId="45DDEF0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1D713C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5F4F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679488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795" w:type="pct"/>
            <w:noWrap w:val="0"/>
            <w:vAlign w:val="center"/>
          </w:tcPr>
          <w:p w14:paraId="0A62DB6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车辆管理</w:t>
            </w:r>
          </w:p>
        </w:tc>
        <w:tc>
          <w:tcPr>
            <w:tcW w:w="360" w:type="pct"/>
            <w:noWrap w:val="0"/>
            <w:vAlign w:val="center"/>
          </w:tcPr>
          <w:p w14:paraId="0CC2774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1F4B0CB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没有经过允许，有外来车辆入园的，一次扣2分；</w:t>
            </w:r>
          </w:p>
        </w:tc>
        <w:tc>
          <w:tcPr>
            <w:tcW w:w="299" w:type="pct"/>
            <w:noWrap w:val="0"/>
            <w:vAlign w:val="center"/>
          </w:tcPr>
          <w:p w14:paraId="08A782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C1AF26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74F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77AB16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w:t>
            </w:r>
          </w:p>
        </w:tc>
        <w:tc>
          <w:tcPr>
            <w:tcW w:w="1795" w:type="pct"/>
            <w:noWrap w:val="0"/>
            <w:vAlign w:val="center"/>
          </w:tcPr>
          <w:p w14:paraId="50FAE87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设施管理（破坏、缺损及时修复）</w:t>
            </w:r>
          </w:p>
        </w:tc>
        <w:tc>
          <w:tcPr>
            <w:tcW w:w="360" w:type="pct"/>
            <w:noWrap w:val="0"/>
            <w:vAlign w:val="center"/>
          </w:tcPr>
          <w:p w14:paraId="6CE2A11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3D72095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由于管理不善，设施遭受破坏的，一次扣1分；</w:t>
            </w:r>
          </w:p>
        </w:tc>
        <w:tc>
          <w:tcPr>
            <w:tcW w:w="299" w:type="pct"/>
            <w:noWrap w:val="0"/>
            <w:vAlign w:val="center"/>
          </w:tcPr>
          <w:p w14:paraId="7CE81B8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6F9EB7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0F5E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080A399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1795" w:type="pct"/>
            <w:noWrap w:val="0"/>
            <w:vAlign w:val="center"/>
          </w:tcPr>
          <w:p w14:paraId="327DAF7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绿化管理（破坏、缺损及时修复）</w:t>
            </w:r>
          </w:p>
        </w:tc>
        <w:tc>
          <w:tcPr>
            <w:tcW w:w="360" w:type="pct"/>
            <w:noWrap w:val="0"/>
            <w:vAlign w:val="center"/>
          </w:tcPr>
          <w:p w14:paraId="7D1CAA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22D8EB9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由于管理不善，绿化遭受破坏的，一次扣2分；情节严重的，扣5分；</w:t>
            </w:r>
          </w:p>
        </w:tc>
        <w:tc>
          <w:tcPr>
            <w:tcW w:w="299" w:type="pct"/>
            <w:noWrap w:val="0"/>
            <w:vAlign w:val="center"/>
          </w:tcPr>
          <w:p w14:paraId="4683776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1D1A231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9517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75C9F8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w:t>
            </w:r>
          </w:p>
        </w:tc>
        <w:tc>
          <w:tcPr>
            <w:tcW w:w="1795" w:type="pct"/>
            <w:noWrap w:val="0"/>
            <w:vAlign w:val="center"/>
          </w:tcPr>
          <w:p w14:paraId="43EFE84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安全隐患和消防设施管理</w:t>
            </w:r>
          </w:p>
        </w:tc>
        <w:tc>
          <w:tcPr>
            <w:tcW w:w="360" w:type="pct"/>
            <w:noWrap w:val="0"/>
            <w:vAlign w:val="center"/>
          </w:tcPr>
          <w:p w14:paraId="7B02F5B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259931C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定期进行检查，有情况及时汇报，有检查记录。消防安全设施损坏或有安全隐患不汇报、不处理的，发现一次扣2分；未经同意使用各类电器的，发现一次扣2分，造成损坏的，酌情赔偿。</w:t>
            </w:r>
          </w:p>
        </w:tc>
        <w:tc>
          <w:tcPr>
            <w:tcW w:w="299" w:type="pct"/>
            <w:noWrap w:val="0"/>
            <w:vAlign w:val="center"/>
          </w:tcPr>
          <w:p w14:paraId="0783E11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03EED38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1C5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DB28BB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w:t>
            </w:r>
          </w:p>
        </w:tc>
        <w:tc>
          <w:tcPr>
            <w:tcW w:w="1795" w:type="pct"/>
            <w:noWrap w:val="0"/>
            <w:vAlign w:val="center"/>
          </w:tcPr>
          <w:p w14:paraId="67A62CD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游园秩序管理</w:t>
            </w:r>
          </w:p>
        </w:tc>
        <w:tc>
          <w:tcPr>
            <w:tcW w:w="360" w:type="pct"/>
            <w:noWrap w:val="0"/>
            <w:vAlign w:val="center"/>
          </w:tcPr>
          <w:p w14:paraId="433C1D1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0248C8B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游园秩序混乱不及时维护处理，一次扣2分；有宠物、流动摊贩入园的，一次扣2分；</w:t>
            </w:r>
          </w:p>
        </w:tc>
        <w:tc>
          <w:tcPr>
            <w:tcW w:w="299" w:type="pct"/>
            <w:noWrap w:val="0"/>
            <w:vAlign w:val="center"/>
          </w:tcPr>
          <w:p w14:paraId="42A4B4F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0BC13BD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59EB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4BB1CBC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795" w:type="pct"/>
            <w:noWrap w:val="0"/>
            <w:vAlign w:val="center"/>
          </w:tcPr>
          <w:p w14:paraId="3DBC296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监控管理</w:t>
            </w:r>
          </w:p>
        </w:tc>
        <w:tc>
          <w:tcPr>
            <w:tcW w:w="360" w:type="pct"/>
            <w:noWrap w:val="0"/>
            <w:vAlign w:val="center"/>
          </w:tcPr>
          <w:p w14:paraId="2BC6B5A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1884" w:type="pct"/>
            <w:noWrap w:val="0"/>
            <w:vAlign w:val="center"/>
          </w:tcPr>
          <w:p w14:paraId="1B2F434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未能履行监控室工作职责，一次扣2分。</w:t>
            </w:r>
          </w:p>
        </w:tc>
        <w:tc>
          <w:tcPr>
            <w:tcW w:w="299" w:type="pct"/>
            <w:noWrap w:val="0"/>
            <w:vAlign w:val="center"/>
          </w:tcPr>
          <w:p w14:paraId="503C178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083EF40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4FC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AA6C0F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1795" w:type="pct"/>
            <w:noWrap w:val="0"/>
            <w:vAlign w:val="center"/>
          </w:tcPr>
          <w:p w14:paraId="6A049C2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台帐记录和管理</w:t>
            </w:r>
          </w:p>
        </w:tc>
        <w:tc>
          <w:tcPr>
            <w:tcW w:w="360" w:type="pct"/>
            <w:noWrap w:val="0"/>
            <w:vAlign w:val="center"/>
          </w:tcPr>
          <w:p w14:paraId="5EDC6A6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6F821EB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台帐及时记录，真实详尽；不按时记录的，一次扣2分，记录不详的，一次扣1分；</w:t>
            </w:r>
          </w:p>
        </w:tc>
        <w:tc>
          <w:tcPr>
            <w:tcW w:w="299" w:type="pct"/>
            <w:noWrap w:val="0"/>
            <w:vAlign w:val="center"/>
          </w:tcPr>
          <w:p w14:paraId="2B3FAAA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11FFB7D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515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4DF010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12</w:t>
            </w:r>
          </w:p>
        </w:tc>
        <w:tc>
          <w:tcPr>
            <w:tcW w:w="1795" w:type="pct"/>
            <w:noWrap w:val="0"/>
            <w:vAlign w:val="center"/>
          </w:tcPr>
          <w:p w14:paraId="3848CC9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工作场所岗亭等物品摆放整齐，室内整洁卫生</w:t>
            </w:r>
          </w:p>
        </w:tc>
        <w:tc>
          <w:tcPr>
            <w:tcW w:w="360" w:type="pct"/>
            <w:noWrap w:val="0"/>
            <w:vAlign w:val="center"/>
          </w:tcPr>
          <w:p w14:paraId="166E8A2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433792D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卫生状况不佳的，发现一次扣1分；办公场所物品杂乱的，发现一次扣1分。</w:t>
            </w:r>
          </w:p>
        </w:tc>
        <w:tc>
          <w:tcPr>
            <w:tcW w:w="299" w:type="pct"/>
            <w:noWrap w:val="0"/>
            <w:vAlign w:val="center"/>
          </w:tcPr>
          <w:p w14:paraId="42F8091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42AA03D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51E5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6E5492D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w:t>
            </w:r>
          </w:p>
        </w:tc>
        <w:tc>
          <w:tcPr>
            <w:tcW w:w="1795" w:type="pct"/>
            <w:noWrap w:val="0"/>
            <w:vAlign w:val="center"/>
          </w:tcPr>
          <w:p w14:paraId="42AEFEB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文明执勤、礼貌待客，不发生与游客无理争吵、打架等恶性事件</w:t>
            </w:r>
          </w:p>
        </w:tc>
        <w:tc>
          <w:tcPr>
            <w:tcW w:w="360" w:type="pct"/>
            <w:noWrap w:val="0"/>
            <w:vAlign w:val="center"/>
          </w:tcPr>
          <w:p w14:paraId="75FAD4E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533F00D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和游客无理争吵的，一次扣2分；出现有责投诉的，一次扣3分，打架的，一次扣5分；</w:t>
            </w:r>
          </w:p>
        </w:tc>
        <w:tc>
          <w:tcPr>
            <w:tcW w:w="299" w:type="pct"/>
            <w:noWrap w:val="0"/>
            <w:vAlign w:val="center"/>
          </w:tcPr>
          <w:p w14:paraId="63510BB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124CB6B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3BE9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E55341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w:t>
            </w:r>
          </w:p>
        </w:tc>
        <w:tc>
          <w:tcPr>
            <w:tcW w:w="1795" w:type="pct"/>
            <w:noWrap w:val="0"/>
            <w:vAlign w:val="center"/>
          </w:tcPr>
          <w:p w14:paraId="168C87C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管辖区内无安全事故</w:t>
            </w:r>
          </w:p>
        </w:tc>
        <w:tc>
          <w:tcPr>
            <w:tcW w:w="360" w:type="pct"/>
            <w:noWrap w:val="0"/>
            <w:vAlign w:val="center"/>
          </w:tcPr>
          <w:p w14:paraId="65E013B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4C95597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辖区内发生盗抢、水淹、火灾等事故，处理不当的，一次扣2分，造成严重后果的，一次扣10分；</w:t>
            </w:r>
          </w:p>
        </w:tc>
        <w:tc>
          <w:tcPr>
            <w:tcW w:w="299" w:type="pct"/>
            <w:noWrap w:val="0"/>
            <w:vAlign w:val="center"/>
          </w:tcPr>
          <w:p w14:paraId="090215C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ED1C2B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223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39F1C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w:t>
            </w:r>
          </w:p>
        </w:tc>
        <w:tc>
          <w:tcPr>
            <w:tcW w:w="1795" w:type="pct"/>
            <w:noWrap w:val="0"/>
            <w:vAlign w:val="center"/>
          </w:tcPr>
          <w:p w14:paraId="7150CA7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配合做好公园的各项活动及创建工作</w:t>
            </w:r>
          </w:p>
        </w:tc>
        <w:tc>
          <w:tcPr>
            <w:tcW w:w="360" w:type="pct"/>
            <w:noWrap w:val="0"/>
            <w:vAlign w:val="center"/>
          </w:tcPr>
          <w:p w14:paraId="417FA98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1DB9C55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不配合的，发生一次扣5分；配合不到位的，一次扣2分</w:t>
            </w:r>
          </w:p>
        </w:tc>
        <w:tc>
          <w:tcPr>
            <w:tcW w:w="299" w:type="pct"/>
            <w:noWrap w:val="0"/>
            <w:vAlign w:val="center"/>
          </w:tcPr>
          <w:p w14:paraId="4057D67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364CA3F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71D1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01213E2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w:t>
            </w:r>
          </w:p>
        </w:tc>
        <w:tc>
          <w:tcPr>
            <w:tcW w:w="1795" w:type="pct"/>
            <w:noWrap w:val="0"/>
            <w:vAlign w:val="center"/>
          </w:tcPr>
          <w:p w14:paraId="76127FA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负责人在岗情况</w:t>
            </w:r>
          </w:p>
        </w:tc>
        <w:tc>
          <w:tcPr>
            <w:tcW w:w="360" w:type="pct"/>
            <w:noWrap w:val="0"/>
            <w:vAlign w:val="center"/>
          </w:tcPr>
          <w:p w14:paraId="3AD838C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884" w:type="pct"/>
            <w:noWrap w:val="0"/>
            <w:vAlign w:val="center"/>
          </w:tcPr>
          <w:p w14:paraId="40F3886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无故不到岗，发现一次扣3分</w:t>
            </w:r>
          </w:p>
        </w:tc>
        <w:tc>
          <w:tcPr>
            <w:tcW w:w="299" w:type="pct"/>
            <w:noWrap w:val="0"/>
            <w:vAlign w:val="center"/>
          </w:tcPr>
          <w:p w14:paraId="0FCFA26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0D517A3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0E56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25377A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合计</w:t>
            </w:r>
          </w:p>
        </w:tc>
        <w:tc>
          <w:tcPr>
            <w:tcW w:w="1795" w:type="pct"/>
            <w:noWrap w:val="0"/>
            <w:vAlign w:val="center"/>
          </w:tcPr>
          <w:p w14:paraId="19FAE21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总分</w:t>
            </w:r>
          </w:p>
        </w:tc>
        <w:tc>
          <w:tcPr>
            <w:tcW w:w="360" w:type="pct"/>
            <w:noWrap w:val="0"/>
            <w:vAlign w:val="center"/>
          </w:tcPr>
          <w:p w14:paraId="70D0824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100</w:t>
            </w:r>
          </w:p>
        </w:tc>
        <w:tc>
          <w:tcPr>
            <w:tcW w:w="1884" w:type="pct"/>
            <w:noWrap w:val="0"/>
            <w:vAlign w:val="center"/>
          </w:tcPr>
          <w:p w14:paraId="6B8C4C9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以上各项情节严重的，均可酌情扣款。</w:t>
            </w:r>
          </w:p>
        </w:tc>
        <w:tc>
          <w:tcPr>
            <w:tcW w:w="299" w:type="pct"/>
            <w:noWrap w:val="0"/>
            <w:vAlign w:val="center"/>
          </w:tcPr>
          <w:p w14:paraId="1D150C7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3DA86B7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bl>
    <w:p w14:paraId="5973069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3.零星维修服务考核标准</w:t>
      </w:r>
    </w:p>
    <w:tbl>
      <w:tblPr>
        <w:tblStyle w:val="46"/>
        <w:tblW w:w="4998" w:type="pct"/>
        <w:tblInd w:w="0" w:type="dxa"/>
        <w:tblLayout w:type="autofit"/>
        <w:tblCellMar>
          <w:top w:w="0" w:type="dxa"/>
          <w:left w:w="108" w:type="dxa"/>
          <w:bottom w:w="0" w:type="dxa"/>
          <w:right w:w="108" w:type="dxa"/>
        </w:tblCellMar>
      </w:tblPr>
      <w:tblGrid>
        <w:gridCol w:w="710"/>
        <w:gridCol w:w="6840"/>
        <w:gridCol w:w="756"/>
        <w:gridCol w:w="489"/>
        <w:gridCol w:w="489"/>
      </w:tblGrid>
      <w:tr w14:paraId="66ECCE13">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3459519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3682" w:type="pct"/>
            <w:tcBorders>
              <w:top w:val="single" w:color="auto" w:sz="4" w:space="0"/>
              <w:left w:val="single" w:color="auto" w:sz="4" w:space="0"/>
              <w:bottom w:val="single" w:color="auto" w:sz="4" w:space="0"/>
              <w:right w:val="single" w:color="auto" w:sz="4" w:space="0"/>
            </w:tcBorders>
            <w:vAlign w:val="center"/>
          </w:tcPr>
          <w:p w14:paraId="421798C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零星工程维修</w:t>
            </w:r>
          </w:p>
        </w:tc>
        <w:tc>
          <w:tcPr>
            <w:tcW w:w="407" w:type="pct"/>
            <w:tcBorders>
              <w:top w:val="single" w:color="auto" w:sz="4" w:space="0"/>
              <w:left w:val="nil"/>
              <w:bottom w:val="single" w:color="auto" w:sz="4" w:space="0"/>
              <w:right w:val="single" w:color="auto" w:sz="4" w:space="0"/>
            </w:tcBorders>
            <w:vAlign w:val="center"/>
          </w:tcPr>
          <w:p w14:paraId="79F73BD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分值</w:t>
            </w:r>
          </w:p>
        </w:tc>
        <w:tc>
          <w:tcPr>
            <w:tcW w:w="263" w:type="pct"/>
            <w:tcBorders>
              <w:top w:val="single" w:color="auto" w:sz="4" w:space="0"/>
              <w:left w:val="nil"/>
              <w:bottom w:val="single" w:color="auto" w:sz="4" w:space="0"/>
              <w:right w:val="single" w:color="auto" w:sz="4" w:space="0"/>
            </w:tcBorders>
            <w:vAlign w:val="center"/>
          </w:tcPr>
          <w:p w14:paraId="409CA2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452BB6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6310A43A">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0A446E5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3682" w:type="pct"/>
            <w:tcBorders>
              <w:top w:val="single" w:color="auto" w:sz="4" w:space="0"/>
              <w:left w:val="single" w:color="auto" w:sz="4" w:space="0"/>
              <w:bottom w:val="single" w:color="auto" w:sz="4" w:space="0"/>
              <w:right w:val="single" w:color="auto" w:sz="4" w:space="0"/>
            </w:tcBorders>
            <w:vAlign w:val="center"/>
          </w:tcPr>
          <w:p w14:paraId="03A98CA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技术人员须熟悉岗位职责，具备实操能力，认真负责，新进人员要书面资料报备。被投诉每次扣1分</w:t>
            </w:r>
          </w:p>
        </w:tc>
        <w:tc>
          <w:tcPr>
            <w:tcW w:w="407" w:type="pct"/>
            <w:tcBorders>
              <w:top w:val="single" w:color="auto" w:sz="4" w:space="0"/>
              <w:left w:val="nil"/>
              <w:bottom w:val="single" w:color="auto" w:sz="4" w:space="0"/>
              <w:right w:val="single" w:color="auto" w:sz="4" w:space="0"/>
            </w:tcBorders>
            <w:vAlign w:val="center"/>
          </w:tcPr>
          <w:p w14:paraId="2C31888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7D3FEA3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0995C86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08BBC84">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54ABC3C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3682" w:type="pct"/>
            <w:tcBorders>
              <w:top w:val="single" w:color="auto" w:sz="4" w:space="0"/>
              <w:left w:val="single" w:color="auto" w:sz="4" w:space="0"/>
              <w:bottom w:val="single" w:color="auto" w:sz="4" w:space="0"/>
              <w:right w:val="single" w:color="auto" w:sz="4" w:space="0"/>
            </w:tcBorders>
            <w:vAlign w:val="center"/>
          </w:tcPr>
          <w:p w14:paraId="10A2FB2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熟悉配电系统性能和运行，按操作规定实施操作，按规定巡视检查各种设施、设备运行，及时消除设备隐患，做好维护、检查等相关记录，确保配电系统正常运行，高配机房外来人员按规登记。值班替班人员须培训合格，培训不合格、无相关证明无资格上岗。每次扣0.5分</w:t>
            </w:r>
          </w:p>
        </w:tc>
        <w:tc>
          <w:tcPr>
            <w:tcW w:w="407" w:type="pct"/>
            <w:tcBorders>
              <w:top w:val="single" w:color="auto" w:sz="4" w:space="0"/>
              <w:left w:val="nil"/>
              <w:bottom w:val="single" w:color="auto" w:sz="4" w:space="0"/>
              <w:right w:val="single" w:color="auto" w:sz="4" w:space="0"/>
            </w:tcBorders>
            <w:vAlign w:val="center"/>
          </w:tcPr>
          <w:p w14:paraId="5298EED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12</w:t>
            </w:r>
          </w:p>
        </w:tc>
        <w:tc>
          <w:tcPr>
            <w:tcW w:w="263" w:type="pct"/>
            <w:tcBorders>
              <w:top w:val="single" w:color="auto" w:sz="4" w:space="0"/>
              <w:left w:val="nil"/>
              <w:bottom w:val="single" w:color="auto" w:sz="4" w:space="0"/>
              <w:right w:val="single" w:color="auto" w:sz="4" w:space="0"/>
            </w:tcBorders>
            <w:vAlign w:val="center"/>
          </w:tcPr>
          <w:p w14:paraId="62D70AE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1EC18FF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81E83BF">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3496A8B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3682" w:type="pct"/>
            <w:tcBorders>
              <w:top w:val="single" w:color="auto" w:sz="4" w:space="0"/>
              <w:left w:val="nil"/>
              <w:bottom w:val="single" w:color="auto" w:sz="4" w:space="0"/>
              <w:right w:val="single" w:color="auto" w:sz="4" w:space="0"/>
            </w:tcBorders>
            <w:vAlign w:val="center"/>
          </w:tcPr>
          <w:p w14:paraId="6D30ED2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熟悉空调系统性能和运行，按操作规定实施操作，按规定巡视检查各种设施、设备运行情况，及时消除设备隐患，做好维护、检查等相关记录，确保空调系统正常运行。值班替班人员须培训合格，培训不合格、无相关证明无资格上岗。每次扣0.5分</w:t>
            </w:r>
          </w:p>
        </w:tc>
        <w:tc>
          <w:tcPr>
            <w:tcW w:w="407" w:type="pct"/>
            <w:tcBorders>
              <w:top w:val="single" w:color="auto" w:sz="4" w:space="0"/>
              <w:left w:val="nil"/>
              <w:bottom w:val="single" w:color="auto" w:sz="4" w:space="0"/>
              <w:right w:val="single" w:color="auto" w:sz="4" w:space="0"/>
            </w:tcBorders>
            <w:vAlign w:val="center"/>
          </w:tcPr>
          <w:p w14:paraId="3E0711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5516636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110247F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1CED88B">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1377F26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w:t>
            </w:r>
          </w:p>
        </w:tc>
        <w:tc>
          <w:tcPr>
            <w:tcW w:w="3682" w:type="pct"/>
            <w:tcBorders>
              <w:top w:val="single" w:color="auto" w:sz="4" w:space="0"/>
              <w:left w:val="nil"/>
              <w:bottom w:val="single" w:color="auto" w:sz="4" w:space="0"/>
              <w:right w:val="single" w:color="auto" w:sz="4" w:space="0"/>
            </w:tcBorders>
            <w:vAlign w:val="center"/>
          </w:tcPr>
          <w:p w14:paraId="5EFCA26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消防值班人员业务熟悉，消防系统设施设备齐全、完好无损，可随时启用，消控室24小时不失守，记录齐全专人专管，室内保持整洁。每次扣0.3分</w:t>
            </w:r>
          </w:p>
        </w:tc>
        <w:tc>
          <w:tcPr>
            <w:tcW w:w="407" w:type="pct"/>
            <w:tcBorders>
              <w:top w:val="single" w:color="auto" w:sz="4" w:space="0"/>
              <w:left w:val="nil"/>
              <w:bottom w:val="single" w:color="auto" w:sz="4" w:space="0"/>
              <w:right w:val="single" w:color="auto" w:sz="4" w:space="0"/>
            </w:tcBorders>
            <w:vAlign w:val="center"/>
          </w:tcPr>
          <w:p w14:paraId="528B760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7120C53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1D91284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656047C5">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3BE8E15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3682" w:type="pct"/>
            <w:tcBorders>
              <w:top w:val="single" w:color="auto" w:sz="4" w:space="0"/>
              <w:left w:val="single" w:color="auto" w:sz="4" w:space="0"/>
              <w:bottom w:val="single" w:color="auto" w:sz="4" w:space="0"/>
              <w:right w:val="single" w:color="auto" w:sz="4" w:space="0"/>
            </w:tcBorders>
            <w:vAlign w:val="center"/>
          </w:tcPr>
          <w:p w14:paraId="4A5D89A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设备机房内整洁，无烟头、无乱堆现象，保持机身洁净、仪表清晰，设备、阀门、管道工作正常、无跑冒滴漏。每次扣0.2分</w:t>
            </w:r>
          </w:p>
        </w:tc>
        <w:tc>
          <w:tcPr>
            <w:tcW w:w="407" w:type="pct"/>
            <w:tcBorders>
              <w:top w:val="single" w:color="auto" w:sz="4" w:space="0"/>
              <w:left w:val="single" w:color="auto" w:sz="4" w:space="0"/>
              <w:bottom w:val="single" w:color="auto" w:sz="4" w:space="0"/>
              <w:right w:val="single" w:color="auto" w:sz="4" w:space="0"/>
            </w:tcBorders>
            <w:vAlign w:val="center"/>
          </w:tcPr>
          <w:p w14:paraId="67F816B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single" w:color="auto" w:sz="4" w:space="0"/>
              <w:bottom w:val="single" w:color="auto" w:sz="4" w:space="0"/>
              <w:right w:val="single" w:color="auto" w:sz="4" w:space="0"/>
            </w:tcBorders>
            <w:vAlign w:val="center"/>
          </w:tcPr>
          <w:p w14:paraId="53648A8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single" w:color="auto" w:sz="4" w:space="0"/>
              <w:bottom w:val="single" w:color="auto" w:sz="4" w:space="0"/>
              <w:right w:val="single" w:color="auto" w:sz="4" w:space="0"/>
            </w:tcBorders>
            <w:vAlign w:val="center"/>
          </w:tcPr>
          <w:p w14:paraId="4AAB8FF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31F2C264">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7F2A2D0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w:t>
            </w:r>
          </w:p>
        </w:tc>
        <w:tc>
          <w:tcPr>
            <w:tcW w:w="3682" w:type="pct"/>
            <w:tcBorders>
              <w:top w:val="single" w:color="auto" w:sz="4" w:space="0"/>
              <w:left w:val="nil"/>
              <w:bottom w:val="single" w:color="auto" w:sz="4" w:space="0"/>
              <w:right w:val="single" w:color="auto" w:sz="4" w:space="0"/>
            </w:tcBorders>
            <w:vAlign w:val="center"/>
          </w:tcPr>
          <w:p w14:paraId="2FA0281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交办的维修工作须及时、保质保量，完成有回复并做好书面记录。每次扣0.2分</w:t>
            </w:r>
          </w:p>
        </w:tc>
        <w:tc>
          <w:tcPr>
            <w:tcW w:w="407" w:type="pct"/>
            <w:tcBorders>
              <w:top w:val="single" w:color="auto" w:sz="4" w:space="0"/>
              <w:left w:val="nil"/>
              <w:bottom w:val="single" w:color="auto" w:sz="4" w:space="0"/>
              <w:right w:val="single" w:color="auto" w:sz="4" w:space="0"/>
            </w:tcBorders>
            <w:vAlign w:val="center"/>
          </w:tcPr>
          <w:p w14:paraId="03E0611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1B54E2D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60E6E26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6BF37C24">
        <w:tblPrEx>
          <w:tblCellMar>
            <w:top w:w="0" w:type="dxa"/>
            <w:left w:w="108" w:type="dxa"/>
            <w:bottom w:w="0" w:type="dxa"/>
            <w:right w:w="108" w:type="dxa"/>
          </w:tblCellMar>
        </w:tblPrEx>
        <w:trPr>
          <w:trHeight w:val="283" w:hRule="atLeast"/>
        </w:trPr>
        <w:tc>
          <w:tcPr>
            <w:tcW w:w="383" w:type="pct"/>
            <w:tcBorders>
              <w:top w:val="nil"/>
              <w:left w:val="single" w:color="auto" w:sz="4" w:space="0"/>
              <w:bottom w:val="single" w:color="auto" w:sz="4" w:space="0"/>
              <w:right w:val="single" w:color="auto" w:sz="4" w:space="0"/>
            </w:tcBorders>
            <w:vAlign w:val="center"/>
          </w:tcPr>
          <w:p w14:paraId="5A74D90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3682" w:type="pct"/>
            <w:tcBorders>
              <w:top w:val="nil"/>
              <w:left w:val="nil"/>
              <w:bottom w:val="single" w:color="auto" w:sz="4" w:space="0"/>
              <w:right w:val="single" w:color="auto" w:sz="4" w:space="0"/>
            </w:tcBorders>
            <w:vAlign w:val="center"/>
          </w:tcPr>
          <w:p w14:paraId="5050C93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安全措施行之有效，无安全事故。遇各类应急抢修必须按照应急预案处理，处理得当可加分，有漏报瞒报现象不得分。</w:t>
            </w:r>
          </w:p>
        </w:tc>
        <w:tc>
          <w:tcPr>
            <w:tcW w:w="407" w:type="pct"/>
            <w:tcBorders>
              <w:top w:val="nil"/>
              <w:left w:val="nil"/>
              <w:bottom w:val="single" w:color="auto" w:sz="4" w:space="0"/>
              <w:right w:val="single" w:color="auto" w:sz="4" w:space="0"/>
            </w:tcBorders>
            <w:vAlign w:val="center"/>
          </w:tcPr>
          <w:p w14:paraId="0A68BDD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nil"/>
              <w:left w:val="nil"/>
              <w:bottom w:val="single" w:color="auto" w:sz="4" w:space="0"/>
              <w:right w:val="single" w:color="auto" w:sz="4" w:space="0"/>
            </w:tcBorders>
            <w:vAlign w:val="center"/>
          </w:tcPr>
          <w:p w14:paraId="4E3984F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nil"/>
              <w:left w:val="nil"/>
              <w:bottom w:val="single" w:color="auto" w:sz="4" w:space="0"/>
              <w:right w:val="single" w:color="auto" w:sz="4" w:space="0"/>
            </w:tcBorders>
            <w:vAlign w:val="center"/>
          </w:tcPr>
          <w:p w14:paraId="0A0E69F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3C6AD87">
        <w:tblPrEx>
          <w:tblCellMar>
            <w:top w:w="0" w:type="dxa"/>
            <w:left w:w="108" w:type="dxa"/>
            <w:bottom w:w="0" w:type="dxa"/>
            <w:right w:w="108" w:type="dxa"/>
          </w:tblCellMar>
        </w:tblPrEx>
        <w:trPr>
          <w:trHeight w:val="283" w:hRule="atLeast"/>
        </w:trPr>
        <w:tc>
          <w:tcPr>
            <w:tcW w:w="383" w:type="pct"/>
            <w:tcBorders>
              <w:top w:val="nil"/>
              <w:left w:val="single" w:color="auto" w:sz="4" w:space="0"/>
              <w:bottom w:val="single" w:color="auto" w:sz="4" w:space="0"/>
              <w:right w:val="single" w:color="auto" w:sz="4" w:space="0"/>
            </w:tcBorders>
            <w:vAlign w:val="center"/>
          </w:tcPr>
          <w:p w14:paraId="4A7B39D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w:t>
            </w:r>
          </w:p>
        </w:tc>
        <w:tc>
          <w:tcPr>
            <w:tcW w:w="3682" w:type="pct"/>
            <w:tcBorders>
              <w:top w:val="nil"/>
              <w:left w:val="nil"/>
              <w:bottom w:val="single" w:color="auto" w:sz="4" w:space="0"/>
              <w:right w:val="single" w:color="auto" w:sz="4" w:space="0"/>
            </w:tcBorders>
            <w:vAlign w:val="center"/>
          </w:tcPr>
          <w:p w14:paraId="1204949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定期进行技能培训，每季度不少于一次，培训内容和计划要报备。</w:t>
            </w:r>
          </w:p>
        </w:tc>
        <w:tc>
          <w:tcPr>
            <w:tcW w:w="407" w:type="pct"/>
            <w:tcBorders>
              <w:top w:val="nil"/>
              <w:left w:val="nil"/>
              <w:bottom w:val="single" w:color="auto" w:sz="4" w:space="0"/>
              <w:right w:val="single" w:color="auto" w:sz="4" w:space="0"/>
            </w:tcBorders>
            <w:vAlign w:val="center"/>
          </w:tcPr>
          <w:p w14:paraId="428EBB9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nil"/>
              <w:left w:val="nil"/>
              <w:bottom w:val="single" w:color="auto" w:sz="4" w:space="0"/>
              <w:right w:val="single" w:color="auto" w:sz="4" w:space="0"/>
            </w:tcBorders>
            <w:vAlign w:val="center"/>
          </w:tcPr>
          <w:p w14:paraId="0082C6E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nil"/>
              <w:left w:val="nil"/>
              <w:bottom w:val="single" w:color="auto" w:sz="4" w:space="0"/>
              <w:right w:val="single" w:color="auto" w:sz="4" w:space="0"/>
            </w:tcBorders>
            <w:vAlign w:val="center"/>
          </w:tcPr>
          <w:p w14:paraId="072858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1624DEE5">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01432BD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w:t>
            </w:r>
          </w:p>
        </w:tc>
        <w:tc>
          <w:tcPr>
            <w:tcW w:w="3682" w:type="pct"/>
            <w:tcBorders>
              <w:top w:val="single" w:color="auto" w:sz="4" w:space="0"/>
              <w:left w:val="single" w:color="auto" w:sz="4" w:space="0"/>
              <w:bottom w:val="single" w:color="auto" w:sz="4" w:space="0"/>
              <w:right w:val="single" w:color="auto" w:sz="4" w:space="0"/>
            </w:tcBorders>
            <w:vAlign w:val="center"/>
          </w:tcPr>
          <w:p w14:paraId="54859CA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安排工程人员对外来施工过程监管，值班人员要严格监督按规范安全文明施工，监管不力每次扣1分。</w:t>
            </w:r>
          </w:p>
        </w:tc>
        <w:tc>
          <w:tcPr>
            <w:tcW w:w="407" w:type="pct"/>
            <w:tcBorders>
              <w:top w:val="single" w:color="auto" w:sz="4" w:space="0"/>
              <w:left w:val="single" w:color="auto" w:sz="4" w:space="0"/>
              <w:bottom w:val="single" w:color="auto" w:sz="4" w:space="0"/>
              <w:right w:val="single" w:color="auto" w:sz="4" w:space="0"/>
            </w:tcBorders>
            <w:vAlign w:val="center"/>
          </w:tcPr>
          <w:p w14:paraId="277C6F8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single" w:color="auto" w:sz="4" w:space="0"/>
              <w:bottom w:val="single" w:color="auto" w:sz="4" w:space="0"/>
              <w:right w:val="single" w:color="auto" w:sz="4" w:space="0"/>
            </w:tcBorders>
            <w:vAlign w:val="center"/>
          </w:tcPr>
          <w:p w14:paraId="3E70943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single" w:color="auto" w:sz="4" w:space="0"/>
              <w:bottom w:val="single" w:color="auto" w:sz="4" w:space="0"/>
              <w:right w:val="single" w:color="auto" w:sz="4" w:space="0"/>
            </w:tcBorders>
            <w:vAlign w:val="center"/>
          </w:tcPr>
          <w:p w14:paraId="20CB71F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bl>
    <w:p w14:paraId="47A93FB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4.奖惩措施</w:t>
      </w:r>
    </w:p>
    <w:p w14:paraId="78A200C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（1）采购人根据考核标准每天对中标人的人员到岗、工作成绩、现场效果、优质服务等情况进行百分制考核。</w:t>
      </w:r>
    </w:p>
    <w:p w14:paraId="7064A55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（2）每月考核与城市长效管理考核相结合，如因中标人工作不到位而导致被扣分，则当月考核扣分数为长效考核扣分数的3倍。</w:t>
      </w:r>
    </w:p>
    <w:p w14:paraId="4CA3D66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（3）中标人每月上报工作计划，经采购人审核后安排每月工作，采购人根据工作计划完成情况及考核标准对管理公司进行考核。</w:t>
      </w:r>
    </w:p>
    <w:p w14:paraId="0744346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月度内累计得出当月得分。月考核得分低于85分，低一分则扣除月度应支付总额的1%。当月付款时兑现；月度考核得分在90分（不含）以上的，每高1分，奖励当月应支付总额的1%，以此类推计算，奖励金额在年终支付。月考核得分累计3次（含3次）以上低于85分，采购人有权解除合同。</w:t>
      </w:r>
    </w:p>
    <w:p w14:paraId="437EEC9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注：（1）如现场负责人无故不在管理现场，加大考核扣分力度，发现一次无故不在现场扣2分。</w:t>
      </w:r>
    </w:p>
    <w:p w14:paraId="1137BA8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2"/>
          <w:sz w:val="24"/>
          <w:szCs w:val="24"/>
          <w:highlight w:val="none"/>
          <w:lang w:val="en-US" w:eastAsia="zh-CN" w:bidi="ar-SA"/>
        </w:rPr>
        <w:t>（2）公园考核时，中标人负责人必须参加，考核结果应双方签字认可。</w:t>
      </w:r>
    </w:p>
    <w:p w14:paraId="2E399A42">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四、其他要求</w:t>
      </w:r>
    </w:p>
    <w:p w14:paraId="31728F52">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10</w:t>
      </w:r>
      <w:r>
        <w:rPr>
          <w:rFonts w:hint="eastAsia" w:ascii="宋体" w:hAnsi="宋体" w:eastAsia="宋体" w:cs="宋体"/>
          <w:color w:val="auto"/>
          <w:kern w:val="0"/>
          <w:sz w:val="24"/>
          <w:szCs w:val="24"/>
          <w:highlight w:val="none"/>
          <w:u w:val="single"/>
          <w:lang w:val="en-US" w:eastAsia="zh-CN"/>
        </w:rPr>
        <w:t>0</w:t>
      </w:r>
      <w:r>
        <w:rPr>
          <w:rFonts w:hint="eastAsia" w:ascii="宋体" w:hAnsi="宋体" w:eastAsia="宋体" w:cs="宋体"/>
          <w:color w:val="auto"/>
          <w:kern w:val="0"/>
          <w:sz w:val="24"/>
          <w:szCs w:val="24"/>
          <w:highlight w:val="none"/>
          <w:u w:val="single"/>
          <w:lang w:val="zh-CN" w:eastAsia="zh-CN"/>
        </w:rPr>
        <w:t xml:space="preserve"> </w:t>
      </w:r>
      <w:r>
        <w:rPr>
          <w:rFonts w:hint="eastAsia" w:ascii="宋体" w:hAnsi="宋体" w:eastAsia="宋体" w:cs="宋体"/>
          <w:color w:val="auto"/>
          <w:kern w:val="0"/>
          <w:sz w:val="24"/>
          <w:szCs w:val="24"/>
          <w:highlight w:val="none"/>
          <w:lang w:val="zh-CN" w:eastAsia="zh-CN"/>
        </w:rPr>
        <w:t>%。</w:t>
      </w:r>
    </w:p>
    <w:p w14:paraId="28EE905E">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rPr>
        <w:t>、报价方式</w:t>
      </w:r>
    </w:p>
    <w:p w14:paraId="3F8039BD">
      <w:pPr>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本项目报价为</w:t>
      </w:r>
      <w:r>
        <w:rPr>
          <w:rFonts w:hint="eastAsia" w:ascii="宋体" w:hAnsi="宋体" w:eastAsia="宋体" w:cs="宋体"/>
          <w:b/>
          <w:bCs/>
          <w:color w:val="auto"/>
          <w:spacing w:val="2"/>
          <w:sz w:val="24"/>
          <w:szCs w:val="24"/>
          <w:highlight w:val="none"/>
          <w:u w:val="none"/>
        </w:rPr>
        <w:t>固定</w:t>
      </w:r>
      <w:r>
        <w:rPr>
          <w:rFonts w:hint="eastAsia" w:ascii="宋体" w:hAnsi="宋体" w:cs="宋体"/>
          <w:b/>
          <w:bCs/>
          <w:color w:val="auto"/>
          <w:spacing w:val="2"/>
          <w:sz w:val="24"/>
          <w:szCs w:val="24"/>
          <w:highlight w:val="none"/>
          <w:u w:val="none"/>
          <w:lang w:val="en-US" w:eastAsia="zh-CN"/>
        </w:rPr>
        <w:t>总</w:t>
      </w:r>
      <w:r>
        <w:rPr>
          <w:rFonts w:hint="eastAsia" w:ascii="宋体" w:hAnsi="宋体" w:eastAsia="宋体" w:cs="宋体"/>
          <w:b/>
          <w:bCs/>
          <w:color w:val="auto"/>
          <w:spacing w:val="2"/>
          <w:sz w:val="24"/>
          <w:szCs w:val="24"/>
          <w:highlight w:val="none"/>
          <w:u w:val="none"/>
          <w:lang w:val="en-US" w:eastAsia="zh-CN"/>
        </w:rPr>
        <w:t>价</w:t>
      </w:r>
      <w:r>
        <w:rPr>
          <w:rFonts w:hint="eastAsia" w:ascii="宋体" w:hAnsi="宋体" w:eastAsia="宋体" w:cs="宋体"/>
          <w:color w:val="auto"/>
          <w:spacing w:val="2"/>
          <w:sz w:val="24"/>
          <w:szCs w:val="24"/>
          <w:highlight w:val="none"/>
          <w:u w:val="none"/>
        </w:rPr>
        <w:t>，</w:t>
      </w:r>
      <w:r>
        <w:rPr>
          <w:rFonts w:hint="eastAsia" w:ascii="宋体" w:hAnsi="宋体" w:eastAsia="宋体" w:cs="宋体"/>
          <w:color w:val="auto"/>
          <w:spacing w:val="2"/>
          <w:sz w:val="24"/>
          <w:szCs w:val="24"/>
          <w:highlight w:val="none"/>
          <w:u w:val="none"/>
          <w:lang w:val="en-US" w:eastAsia="zh-CN"/>
        </w:rPr>
        <w:t>投标报价</w:t>
      </w:r>
      <w:r>
        <w:rPr>
          <w:rFonts w:hint="eastAsia" w:ascii="宋体" w:hAnsi="宋体" w:eastAsia="宋体" w:cs="宋体"/>
          <w:color w:val="auto"/>
          <w:spacing w:val="2"/>
          <w:sz w:val="24"/>
          <w:szCs w:val="24"/>
          <w:highlight w:val="none"/>
          <w:u w:val="none"/>
        </w:rPr>
        <w:t>应包括</w:t>
      </w:r>
      <w:r>
        <w:rPr>
          <w:rFonts w:hint="eastAsia" w:ascii="宋体" w:hAnsi="宋体" w:eastAsia="宋体" w:cs="宋体"/>
          <w:color w:val="auto"/>
          <w:spacing w:val="2"/>
          <w:sz w:val="24"/>
          <w:szCs w:val="24"/>
          <w:highlight w:val="none"/>
          <w:u w:val="none"/>
          <w:lang w:eastAsia="zh-CN"/>
        </w:rPr>
        <w:t>招标文件</w:t>
      </w:r>
      <w:r>
        <w:rPr>
          <w:rFonts w:hint="eastAsia" w:ascii="宋体" w:hAnsi="宋体" w:eastAsia="宋体" w:cs="宋体"/>
          <w:color w:val="auto"/>
          <w:spacing w:val="2"/>
          <w:sz w:val="24"/>
          <w:szCs w:val="24"/>
          <w:highlight w:val="none"/>
          <w:u w:val="none"/>
        </w:rPr>
        <w:t>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pacing w:val="2"/>
          <w:sz w:val="24"/>
          <w:szCs w:val="24"/>
          <w:highlight w:val="none"/>
          <w:u w:val="none"/>
          <w:lang w:eastAsia="zh-CN"/>
        </w:rPr>
        <w:t>采购人</w:t>
      </w:r>
      <w:r>
        <w:rPr>
          <w:rFonts w:hint="eastAsia" w:ascii="宋体" w:hAnsi="宋体" w:eastAsia="宋体" w:cs="宋体"/>
          <w:color w:val="auto"/>
          <w:spacing w:val="2"/>
          <w:sz w:val="24"/>
          <w:szCs w:val="24"/>
          <w:highlight w:val="none"/>
          <w:u w:val="none"/>
        </w:rPr>
        <w:t>不再支付其他任何费用。</w:t>
      </w:r>
    </w:p>
    <w:p w14:paraId="3A0C8268">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报价货币为人民币，评审时以人民币为准。</w:t>
      </w:r>
    </w:p>
    <w:p w14:paraId="16AFB6C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rPr>
      </w:pPr>
    </w:p>
    <w:p w14:paraId="5474D1D7">
      <w:pPr>
        <w:pStyle w:val="113"/>
        <w:adjustRightInd w:val="0"/>
        <w:spacing w:line="360" w:lineRule="auto"/>
        <w:ind w:firstLine="480"/>
        <w:contextualSpacing/>
        <w:jc w:val="left"/>
        <w:rPr>
          <w:rFonts w:ascii="宋体" w:hAnsi="宋体"/>
          <w:bCs/>
          <w:color w:val="auto"/>
          <w:sz w:val="24"/>
          <w:highlight w:val="none"/>
        </w:rPr>
      </w:pPr>
    </w:p>
    <w:p w14:paraId="2B95C471">
      <w:pPr>
        <w:pStyle w:val="113"/>
        <w:adjustRightInd w:val="0"/>
        <w:spacing w:line="360" w:lineRule="auto"/>
        <w:ind w:firstLine="480"/>
        <w:contextualSpacing/>
        <w:jc w:val="left"/>
        <w:rPr>
          <w:rFonts w:ascii="宋体" w:hAnsi="宋体"/>
          <w:bCs/>
          <w:color w:val="auto"/>
          <w:sz w:val="24"/>
          <w:highlight w:val="none"/>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14:paraId="244B58E3">
      <w:pPr>
        <w:spacing w:line="360" w:lineRule="auto"/>
        <w:jc w:val="center"/>
        <w:outlineLvl w:val="0"/>
        <w:rPr>
          <w:b/>
          <w:color w:val="auto"/>
          <w:sz w:val="36"/>
          <w:szCs w:val="36"/>
          <w:highlight w:val="none"/>
        </w:rPr>
      </w:pPr>
      <w:bookmarkStart w:id="813" w:name="_Toc13366"/>
      <w:bookmarkStart w:id="814" w:name="_Toc99301425"/>
      <w:r>
        <w:rPr>
          <w:b/>
          <w:color w:val="auto"/>
          <w:sz w:val="36"/>
          <w:szCs w:val="36"/>
          <w:highlight w:val="none"/>
        </w:rPr>
        <w:t>第六章   拟签订的合同文本</w:t>
      </w:r>
      <w:bookmarkEnd w:id="813"/>
      <w:bookmarkEnd w:id="814"/>
    </w:p>
    <w:p w14:paraId="07E04CAE">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18832"/>
      <w:bookmarkStart w:id="816" w:name="_Toc99301426"/>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常州市天宁区青龙街道办事处</w:t>
      </w:r>
      <w:r>
        <w:rPr>
          <w:rFonts w:hint="eastAsia" w:ascii="宋体" w:hAnsi="宋体" w:eastAsia="宋体" w:cs="宋体"/>
          <w:color w:val="auto"/>
          <w:sz w:val="24"/>
          <w:szCs w:val="24"/>
          <w:highlight w:val="none"/>
          <w:u w:val="single"/>
        </w:rPr>
        <w:t xml:space="preserve"> </w:t>
      </w:r>
    </w:p>
    <w:p w14:paraId="3EC90781">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6"/>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6"/>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6"/>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服务期限</w:t>
      </w:r>
      <w:r>
        <w:rPr>
          <w:rFonts w:hint="eastAsia" w:ascii="宋体" w:hAnsi="宋体" w:eastAsia="宋体" w:cs="宋体"/>
          <w:b/>
          <w:bCs w:val="0"/>
          <w:color w:val="auto"/>
          <w:sz w:val="24"/>
          <w:szCs w:val="24"/>
          <w:highlight w:val="none"/>
          <w:lang w:eastAsia="zh-CN"/>
        </w:rPr>
        <w:t>：</w:t>
      </w:r>
      <w:r>
        <w:rPr>
          <w:rFonts w:hint="eastAsia" w:ascii="宋体" w:hAnsi="宋体" w:cs="宋体"/>
          <w:bCs/>
          <w:color w:val="auto"/>
          <w:sz w:val="24"/>
          <w:szCs w:val="24"/>
          <w:highlight w:val="none"/>
          <w:lang w:val="en-US" w:eastAsia="zh-CN"/>
        </w:rPr>
        <w:t>三年，合同一年一签。第一年服务期限为</w:t>
      </w:r>
      <w:r>
        <w:rPr>
          <w:rFonts w:hint="eastAsia" w:ascii="宋体" w:hAnsi="宋体" w:eastAsia="宋体" w:cs="宋体"/>
          <w:color w:val="auto"/>
          <w:sz w:val="24"/>
          <w:szCs w:val="24"/>
          <w:highlight w:val="none"/>
          <w:u w:val="single"/>
        </w:rPr>
        <w:t xml:space="preserve">    年   月   日</w:t>
      </w:r>
      <w:r>
        <w:rPr>
          <w:rFonts w:hint="eastAsia" w:ascii="宋体" w:hAnsi="宋体" w:cs="宋体"/>
          <w:bCs/>
          <w:color w:val="auto"/>
          <w:sz w:val="24"/>
          <w:szCs w:val="24"/>
          <w:highlight w:val="none"/>
          <w:lang w:val="en-US" w:eastAsia="zh-CN"/>
        </w:rPr>
        <w:t>至</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u w:val="none"/>
          <w:lang w:eastAsia="zh-CN"/>
        </w:rPr>
        <w:t>，</w:t>
      </w:r>
      <w:r>
        <w:rPr>
          <w:rFonts w:hint="eastAsia" w:ascii="宋体" w:hAnsi="宋体" w:cs="宋体"/>
          <w:bCs/>
          <w:color w:val="auto"/>
          <w:sz w:val="24"/>
          <w:szCs w:val="24"/>
          <w:highlight w:val="none"/>
          <w:lang w:val="en-US" w:eastAsia="zh-CN"/>
        </w:rPr>
        <w:t>其中首次进场后的第一个月为试用期，试用期满须经甲方考核，考核不合格，甲方可以解除合同，对此甲方不承担经济与法律责任。每年合同期满经甲方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r>
        <w:rPr>
          <w:rFonts w:hint="eastAsia" w:ascii="宋体" w:hAnsi="宋体" w:eastAsia="宋体" w:cs="宋体"/>
          <w:b/>
          <w:color w:val="auto"/>
          <w:sz w:val="24"/>
          <w:szCs w:val="24"/>
          <w:highlight w:val="none"/>
        </w:rPr>
        <w:t>第二条 合同价格</w:t>
      </w:r>
    </w:p>
    <w:p w14:paraId="0E8C72E7">
      <w:pPr>
        <w:pStyle w:val="25"/>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rPr>
        <w:t>。</w:t>
      </w:r>
    </w:p>
    <w:p w14:paraId="4813236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59A9761A">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第三条 服务内容及要求</w:t>
      </w:r>
    </w:p>
    <w:p w14:paraId="4603EFE7">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（一）秩序维护服务管理范围及职责：</w:t>
      </w:r>
    </w:p>
    <w:p w14:paraId="1469BDD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1.管理范围</w:t>
      </w:r>
    </w:p>
    <w:p w14:paraId="0C3D0D09">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（1）公园管理用房、各主、次入口、停车场、运动场所及全园各区域二十四小时秩序维护、消防安全。</w:t>
      </w:r>
    </w:p>
    <w:p w14:paraId="52B61ED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（2）停车场安全管理及秩序维护。</w:t>
      </w:r>
    </w:p>
    <w:p w14:paraId="3F4A396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（3）重大活动的安全保障及现场配合。</w:t>
      </w:r>
    </w:p>
    <w:p w14:paraId="6508015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（4）园区公共区域设施、设备的安全检查。</w:t>
      </w:r>
    </w:p>
    <w:p w14:paraId="12A7B1A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2.管理职责</w:t>
      </w:r>
    </w:p>
    <w:p w14:paraId="1B46999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（1）负责公园内公共设施及游客的安全保障工作及园区消防安全，确保游览秩序正常。</w:t>
      </w:r>
    </w:p>
    <w:p w14:paraId="09EFDB7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（2）负责公园区域内停车场安全保卫及秩序正常。</w:t>
      </w:r>
    </w:p>
    <w:p w14:paraId="318A092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（3）负责配合重大活动现场秩序及消防、安全防护工作。</w:t>
      </w:r>
    </w:p>
    <w:p w14:paraId="40DB19E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（4）负责做好园区特殊及应急事项的配合处理工作。</w:t>
      </w:r>
    </w:p>
    <w:p w14:paraId="1D1D06F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（5）负责公园游园秩序、劝阻游客不文明行为、设施设备的安全保卫等工作。</w:t>
      </w:r>
    </w:p>
    <w:p w14:paraId="59958AB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（6）</w:t>
      </w:r>
      <w:r>
        <w:rPr>
          <w:rFonts w:hint="eastAsia" w:ascii="宋体" w:hAnsi="宋体" w:eastAsia="宋体" w:cs="宋体"/>
          <w:bCs/>
          <w:color w:val="auto"/>
          <w:kern w:val="2"/>
          <w:sz w:val="24"/>
          <w:szCs w:val="24"/>
          <w:highlight w:val="none"/>
          <w:lang w:val="en-US" w:eastAsia="zh-CN" w:bidi="ar-SA"/>
        </w:rPr>
        <w:t>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指挥来单位车辆在规定地方停放，对未按规定停放和车头朝向不对的车辆及时纠正，始终保持道路畅通和有序。</w:t>
      </w:r>
    </w:p>
    <w:p w14:paraId="537DD78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7</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制定的各类突发事件应急预案，并将预案内容在办公室、监控室等处张榜悬挂。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p>
    <w:p w14:paraId="5B9C25F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（8）</w:t>
      </w:r>
      <w:r>
        <w:rPr>
          <w:rFonts w:hint="eastAsia" w:ascii="宋体" w:hAnsi="宋体" w:eastAsia="宋体" w:cs="宋体"/>
          <w:bCs/>
          <w:color w:val="auto"/>
          <w:kern w:val="2"/>
          <w:sz w:val="24"/>
          <w:szCs w:val="24"/>
          <w:highlight w:val="none"/>
          <w:lang w:val="en-US" w:eastAsia="zh-CN" w:bidi="ar-SA"/>
        </w:rPr>
        <w:t>服从</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临时性工作安排。</w:t>
      </w:r>
    </w:p>
    <w:p w14:paraId="6939AE72">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（二）人员要求</w:t>
      </w:r>
    </w:p>
    <w:p w14:paraId="208EF75B">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项目负责人</w:t>
      </w:r>
    </w:p>
    <w:p w14:paraId="05A232B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1.项目负责人1人，45周岁（含）以下，具有本岗位多年管理工作经验，有综合服务和协调能力，同时做好：</w:t>
      </w:r>
    </w:p>
    <w:p w14:paraId="2EB5025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（1）负责做好队员的培训工作，确保队伍整体素质，工作质量符合园区要求。</w:t>
      </w:r>
    </w:p>
    <w:p w14:paraId="1838471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（2）负责日常考核工作。</w:t>
      </w:r>
    </w:p>
    <w:p w14:paraId="02F772D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（3）编制管理台帐。</w:t>
      </w:r>
    </w:p>
    <w:p w14:paraId="567AD51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（4）服从公园临时性工作安排。</w:t>
      </w:r>
    </w:p>
    <w:p w14:paraId="6058FC18">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秩序维护人员</w:t>
      </w:r>
    </w:p>
    <w:p w14:paraId="3C9C03D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w:t>
      </w:r>
    </w:p>
    <w:p w14:paraId="24BFD45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（1）秩序维护队长1人，男性，年龄在</w:t>
      </w:r>
      <w:r>
        <w:rPr>
          <w:rFonts w:hint="eastAsia" w:ascii="宋体" w:hAnsi="宋体" w:cs="宋体"/>
          <w:bCs/>
          <w:color w:val="auto"/>
          <w:kern w:val="2"/>
          <w:sz w:val="24"/>
          <w:szCs w:val="24"/>
          <w:highlight w:val="none"/>
          <w:lang w:val="en-US" w:eastAsia="zh-CN" w:bidi="ar-SA"/>
        </w:rPr>
        <w:t>60周岁（含）以下</w:t>
      </w:r>
      <w:r>
        <w:rPr>
          <w:rFonts w:hint="eastAsia" w:ascii="宋体" w:hAnsi="宋体" w:eastAsia="宋体" w:cs="宋体"/>
          <w:bCs/>
          <w:color w:val="auto"/>
          <w:kern w:val="2"/>
          <w:sz w:val="24"/>
          <w:szCs w:val="24"/>
          <w:highlight w:val="none"/>
          <w:lang w:val="en-US" w:eastAsia="zh-CN" w:bidi="ar-SA"/>
        </w:rPr>
        <w:t>，有较高的政治思想素养和业务水平（退伍军人优先），有较高的组织协调能力，受过专门的秩序维护业务培训能听懂常州话、会讲普通话，具有应急救援相关知识。</w:t>
      </w:r>
    </w:p>
    <w:p w14:paraId="0755DAA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（2）秩序维护人员至少32人，男性，年龄在60周岁（含）以下，</w:t>
      </w:r>
      <w:r>
        <w:rPr>
          <w:rFonts w:hint="eastAsia" w:ascii="宋体" w:hAnsi="宋体" w:eastAsia="宋体" w:cs="宋体"/>
          <w:bCs/>
          <w:color w:val="auto"/>
          <w:kern w:val="2"/>
          <w:sz w:val="24"/>
          <w:szCs w:val="24"/>
          <w:highlight w:val="none"/>
          <w:lang w:val="en-US" w:eastAsia="zh-CN" w:bidi="ar-SA"/>
        </w:rPr>
        <w:t>要具备初中以上学历，有较高的政治思想素养和业务水平（退伍军人优先），有较高的组织协调能力，受过专门的秩序维护业务培训能听懂常州话、会讲常州话、普通话、英语</w:t>
      </w:r>
      <w:bookmarkStart w:id="909" w:name="_GoBack"/>
      <w:bookmarkEnd w:id="909"/>
      <w:r>
        <w:rPr>
          <w:rFonts w:hint="eastAsia" w:ascii="宋体" w:hAnsi="宋体" w:eastAsia="宋体" w:cs="宋体"/>
          <w:bCs/>
          <w:color w:val="auto"/>
          <w:kern w:val="2"/>
          <w:sz w:val="24"/>
          <w:szCs w:val="24"/>
          <w:highlight w:val="none"/>
          <w:lang w:val="en-US" w:eastAsia="zh-CN" w:bidi="ar-SA"/>
        </w:rPr>
        <w:t>。</w:t>
      </w:r>
    </w:p>
    <w:p w14:paraId="3240497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2.工作时间</w:t>
      </w:r>
    </w:p>
    <w:p w14:paraId="5B0969E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（1）秩序维护人员工作时间8小时，双休。秩序维护实行四班三运转运行。</w:t>
      </w:r>
    </w:p>
    <w:p w14:paraId="54C8292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（2）重大活动、特殊时期、事件期间等，必须按</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要求在岗，产生的加班费用由</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承担，对此</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报价时应考虑在内。</w:t>
      </w:r>
    </w:p>
    <w:p w14:paraId="184005A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3.人员其他要求</w:t>
      </w:r>
    </w:p>
    <w:p w14:paraId="1BEB334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从业人员应知法、懂法、守法、依法办事，必须严格遵守从业规范，模范遵守安全管理规定。所有人员须身体健康，政治素质过硬，具有较强事业心、责任感，有较高的业务水准，较强的组织协调与管理能力；现场应急处置能力强，具备复杂环境下较强的应急处置能力。服从</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的领导与指挥。</w:t>
      </w:r>
    </w:p>
    <w:p w14:paraId="38A13A33">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（2）秩序维护队长，要具备大专以上学历，有较高的政治思想素养和业务水平（退伍军人优先），有较高的组织协调能力，受过专门的秩序维护业务培训。</w:t>
      </w:r>
    </w:p>
    <w:p w14:paraId="5E82F5E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（3）秩序维护人员个人素质条件须符合公安部门要求。有岗前培训，人员100%经过岗前或在岗培训合格才能独立在岗。所有上岗秩序维护员持有保安员资格证书。</w:t>
      </w:r>
    </w:p>
    <w:p w14:paraId="538BBC6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（4）所聘用的秩序维护人员有吃苦耐劳的精神和高度的责任感，受过专门岗前培训，熟知</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的管理规定，严格履行岗位职责，善于发现各类问题，具备一定的管理经验和处理突发事件的能力。</w:t>
      </w:r>
    </w:p>
    <w:p w14:paraId="5D47F51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（5）人员必须相对固定，避免经常更换。</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在服务期间必须将项目成员名单向</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备案，期间有人员更换的，必须向</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报备，同时做好人员出勤记录等详细工作台账。</w:t>
      </w:r>
    </w:p>
    <w:p w14:paraId="409C682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（6）根据专业服务的要求，所有人员尽职尽责，为保证服务质量和维护</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的形象，所有服务人员均要求品行端正，政治上信得过，政治面貌清楚。必须加强对所有工作人员保密制度的学习与培训。</w:t>
      </w:r>
    </w:p>
    <w:p w14:paraId="7D8AEE4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4.人员服装及装备要求</w:t>
      </w:r>
    </w:p>
    <w:p w14:paraId="44B42C1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秩序维护人员当值时统一着单位配发的制服，制服应干净、整齐、纽扣要全部扣好，不敞开外衣，不得卷起裤脚，按规定戴秩序维护专用帽，佩戴工作证（红袖章）。秩序维护人员形象得体，举止文明。随身装备：对讲机、巡更棒、口哨、照明灯（夜班）、影像记录仪。</w:t>
      </w:r>
    </w:p>
    <w:p w14:paraId="22F808D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（2）应急装备：盾牌、防刺背心、钢叉、皮辊、防割手套、头盔、应急手电。</w:t>
      </w:r>
    </w:p>
    <w:p w14:paraId="4CA6F12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（3）装备数量根据公园要求配置。</w:t>
      </w:r>
    </w:p>
    <w:p w14:paraId="703709E3">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临时零星工程维修人员</w:t>
      </w:r>
    </w:p>
    <w:p w14:paraId="3F60198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1.维修人员</w:t>
      </w:r>
    </w:p>
    <w:p w14:paraId="5597D46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（1）维修主管1人，男性，年龄在</w:t>
      </w:r>
      <w:r>
        <w:rPr>
          <w:rFonts w:hint="eastAsia" w:ascii="宋体" w:hAnsi="宋体" w:cs="宋体"/>
          <w:bCs/>
          <w:color w:val="auto"/>
          <w:kern w:val="2"/>
          <w:sz w:val="24"/>
          <w:szCs w:val="24"/>
          <w:highlight w:val="none"/>
          <w:lang w:val="en-US" w:eastAsia="zh-CN" w:bidi="ar-SA"/>
        </w:rPr>
        <w:t>60周岁（含）以下</w:t>
      </w:r>
      <w:r>
        <w:rPr>
          <w:rFonts w:hint="eastAsia" w:ascii="宋体" w:hAnsi="宋体" w:eastAsia="宋体" w:cs="宋体"/>
          <w:bCs/>
          <w:color w:val="auto"/>
          <w:kern w:val="2"/>
          <w:sz w:val="24"/>
          <w:szCs w:val="24"/>
          <w:highlight w:val="none"/>
          <w:lang w:val="en-US" w:eastAsia="zh-CN" w:bidi="ar-SA"/>
        </w:rPr>
        <w:t>。完成高压变电箱管理和维护等方面的相关事宜；公园公共部位水电日常维修；</w:t>
      </w:r>
      <w:r>
        <w:rPr>
          <w:rFonts w:hint="eastAsia" w:ascii="宋体" w:hAnsi="宋体" w:cs="宋体"/>
          <w:bCs/>
          <w:color w:val="auto"/>
          <w:kern w:val="2"/>
          <w:sz w:val="24"/>
          <w:szCs w:val="24"/>
          <w:highlight w:val="none"/>
          <w:lang w:val="en-US" w:eastAsia="zh-CN" w:bidi="ar-SA"/>
        </w:rPr>
        <w:t>消控室的日常管理</w:t>
      </w:r>
      <w:r>
        <w:rPr>
          <w:rFonts w:hint="eastAsia" w:ascii="宋体" w:hAnsi="宋体" w:eastAsia="宋体" w:cs="宋体"/>
          <w:bCs/>
          <w:color w:val="auto"/>
          <w:kern w:val="2"/>
          <w:sz w:val="24"/>
          <w:szCs w:val="24"/>
          <w:highlight w:val="none"/>
          <w:lang w:val="en-US" w:eastAsia="zh-CN" w:bidi="ar-SA"/>
        </w:rPr>
        <w:t>。</w:t>
      </w:r>
    </w:p>
    <w:p w14:paraId="2E5D880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（2）维修1人。具备高压电工作业证。协助完成高压变电箱管理和维护等方面的相关事宜；公园公共部位水电日常维修；</w:t>
      </w:r>
      <w:r>
        <w:rPr>
          <w:rFonts w:hint="eastAsia" w:ascii="宋体" w:hAnsi="宋体" w:cs="宋体"/>
          <w:bCs/>
          <w:color w:val="auto"/>
          <w:kern w:val="2"/>
          <w:sz w:val="24"/>
          <w:szCs w:val="24"/>
          <w:highlight w:val="none"/>
          <w:lang w:val="en-US" w:eastAsia="zh-CN" w:bidi="ar-SA"/>
        </w:rPr>
        <w:t>消控室的日常管理</w:t>
      </w:r>
      <w:r>
        <w:rPr>
          <w:rFonts w:hint="eastAsia" w:ascii="宋体" w:hAnsi="宋体" w:eastAsia="宋体" w:cs="宋体"/>
          <w:bCs/>
          <w:color w:val="auto"/>
          <w:kern w:val="2"/>
          <w:sz w:val="24"/>
          <w:szCs w:val="24"/>
          <w:highlight w:val="none"/>
          <w:lang w:val="en-US" w:eastAsia="zh-CN" w:bidi="ar-SA"/>
        </w:rPr>
        <w:t>。</w:t>
      </w:r>
    </w:p>
    <w:p w14:paraId="08488D8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2.工作时间</w:t>
      </w:r>
    </w:p>
    <w:p w14:paraId="4778A32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（1）工作时间8小时，双休。</w:t>
      </w:r>
    </w:p>
    <w:p w14:paraId="60D7BFE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（2）重大活动、特殊时期、事件期间等，必须按</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要求在岗，产生的加班费用由</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承担，对此</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报价时应考虑在内。</w:t>
      </w:r>
    </w:p>
    <w:p w14:paraId="1DA60C8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3.公园零星维修工作内容</w:t>
      </w:r>
    </w:p>
    <w:p w14:paraId="3F15F25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（1）配合做好园区内公共设施的零星维修保养工作(包括雕塑物、音响、休闲椅、栏杆、标示标牌、龙头管道等)</w:t>
      </w:r>
      <w:r>
        <w:rPr>
          <w:rFonts w:hint="eastAsia" w:ascii="宋体" w:hAnsi="宋体" w:cs="宋体"/>
          <w:bCs/>
          <w:color w:val="auto"/>
          <w:kern w:val="2"/>
          <w:sz w:val="24"/>
          <w:szCs w:val="24"/>
          <w:highlight w:val="none"/>
          <w:lang w:val="en-US" w:eastAsia="zh-CN" w:bidi="ar-SA"/>
        </w:rPr>
        <w:t>。</w:t>
      </w:r>
    </w:p>
    <w:p w14:paraId="09E3B05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（2）每天巡查各用电设施的安全可靠性，确保无安全责任事故发生</w:t>
      </w:r>
      <w:r>
        <w:rPr>
          <w:rFonts w:hint="eastAsia" w:ascii="宋体" w:hAnsi="宋体" w:cs="宋体"/>
          <w:bCs/>
          <w:color w:val="auto"/>
          <w:kern w:val="2"/>
          <w:sz w:val="24"/>
          <w:szCs w:val="24"/>
          <w:highlight w:val="none"/>
          <w:lang w:val="en-US" w:eastAsia="zh-CN" w:bidi="ar-SA"/>
        </w:rPr>
        <w:t>。</w:t>
      </w:r>
    </w:p>
    <w:p w14:paraId="6F94846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（3）做好公园监控、消防、通讯、网络系统等专业维保、施工单位的维保监管工作，发现问题及时解决并汇报。</w:t>
      </w:r>
    </w:p>
    <w:p w14:paraId="30A9E9C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（4）做好公园园事花事活动的配合工作。</w:t>
      </w:r>
    </w:p>
    <w:p w14:paraId="1DEFD8C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（5）配合做好防汛设施设备的维修工作，确保防汛设施的完好。</w:t>
      </w:r>
    </w:p>
    <w:p w14:paraId="6568E43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（6）包含公园内办公场所设施、设备的日常零星维修工作。</w:t>
      </w:r>
    </w:p>
    <w:p w14:paraId="2025E26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4</w:t>
      </w:r>
      <w:r>
        <w:rPr>
          <w:rFonts w:hint="eastAsia" w:ascii="宋体" w:hAnsi="宋体" w:eastAsia="宋体" w:cs="宋体"/>
          <w:bCs/>
          <w:color w:val="auto"/>
          <w:kern w:val="2"/>
          <w:sz w:val="24"/>
          <w:szCs w:val="24"/>
          <w:highlight w:val="none"/>
          <w:lang w:val="en-US" w:eastAsia="zh-CN" w:bidi="ar-SA"/>
        </w:rPr>
        <w:t>.人员其他要求</w:t>
      </w:r>
    </w:p>
    <w:p w14:paraId="67AF4BD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从业人员应知法、懂法、守法、依法办事，必须严格遵守从业规范，模范遵守安全管理规定。所有人员须身体健康，政治素质过硬，具有较强事业心、责任感，有较高的业务水准，较强的组织协调与管理能力；现场应急处置能力强，具备复杂环境下较强的应急处置能力。服从</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的领导与指挥。</w:t>
      </w:r>
    </w:p>
    <w:p w14:paraId="4A47FBF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（2）所聘用的维修人员有吃苦耐劳的精神和高度的责任感，受过专门岗前培训，熟知</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的管理规定，严格履行岗位职责，善于发现各类问题，具备一定的管理经验和处理突发事件的能力。</w:t>
      </w:r>
    </w:p>
    <w:p w14:paraId="5DB2872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（3）人员必须相对固定，避免经常更换。</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在服务期间必须将项目成员名单向</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备案，期间有人员更换的，必须向</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报备，同时做好人员出勤记录等详细工作台账。</w:t>
      </w:r>
    </w:p>
    <w:p w14:paraId="4721686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（4）根据专业服务的要求，所有人员尽职尽责，为保证服务质量和维护</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的形象，所有服务人员均要求品行端正，政治上信得过，政治面貌清楚。必须加强对所有工作人员保密制度的学习与培训。</w:t>
      </w:r>
    </w:p>
    <w:p w14:paraId="3C0A676A">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（5）各岗位人员工作时间、工作地点最终按</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实际要求执行。</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按</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要求合理安排好加班人员，</w:t>
      </w:r>
      <w:r>
        <w:rPr>
          <w:rFonts w:hint="eastAsia" w:ascii="宋体" w:hAnsi="宋体" w:cs="宋体"/>
          <w:bCs/>
          <w:color w:val="auto"/>
          <w:kern w:val="2"/>
          <w:sz w:val="24"/>
          <w:szCs w:val="24"/>
          <w:highlight w:val="none"/>
          <w:lang w:val="en-US" w:eastAsia="zh-CN" w:bidi="ar-SA"/>
        </w:rPr>
        <w:t>法定加班人数不低于28人</w:t>
      </w:r>
      <w:r>
        <w:rPr>
          <w:rFonts w:hint="eastAsia" w:ascii="宋体" w:hAnsi="宋体" w:eastAsia="宋体" w:cs="宋体"/>
          <w:bCs/>
          <w:color w:val="auto"/>
          <w:kern w:val="2"/>
          <w:sz w:val="24"/>
          <w:szCs w:val="24"/>
          <w:highlight w:val="none"/>
          <w:lang w:val="en-US" w:eastAsia="zh-CN" w:bidi="ar-SA"/>
        </w:rPr>
        <w:t>。法定节假日加班费用均应考虑在投标报价之内，</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不再另行支付加班费用。</w:t>
      </w:r>
    </w:p>
    <w:p w14:paraId="0D259590">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w:t>
      </w:r>
      <w:r>
        <w:rPr>
          <w:rFonts w:hint="eastAsia" w:ascii="宋体" w:hAnsi="宋体" w:eastAsia="宋体" w:cs="宋体"/>
          <w:bCs/>
          <w:color w:val="auto"/>
          <w:kern w:val="2"/>
          <w:sz w:val="24"/>
          <w:szCs w:val="24"/>
          <w:highlight w:val="none"/>
          <w:lang w:val="en-US" w:eastAsia="zh-CN" w:bidi="ar-SA"/>
        </w:rPr>
        <w:t>.人员服装及装备要求</w:t>
      </w:r>
    </w:p>
    <w:p w14:paraId="620041E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（1）维修人员当值时统一着单位配发的制服，制服应干净、整齐、纽扣要全部扣好，不敞开外衣，不得卷起裤脚，按规定戴秩序维护专用帽，佩戴工作证（红袖章）。维修人员形象得体，举止文明。</w:t>
      </w:r>
    </w:p>
    <w:p w14:paraId="1CACC31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（2）随身装备：维修设备。</w:t>
      </w:r>
    </w:p>
    <w:p w14:paraId="076E6C8E">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default" w:ascii="宋体" w:hAnsi="宋体" w:eastAsia="宋体" w:cs="宋体"/>
          <w:b/>
          <w:bCs/>
          <w:color w:val="auto"/>
          <w:kern w:val="2"/>
          <w:sz w:val="24"/>
          <w:szCs w:val="24"/>
          <w:highlight w:val="none"/>
          <w:lang w:val="en-US" w:eastAsia="zh-CN" w:bidi="ar-SA"/>
        </w:rPr>
      </w:pPr>
      <w:r>
        <w:rPr>
          <w:rFonts w:ascii="Segoe UI Symbol" w:hAnsi="Segoe UI Symbol" w:cs="Segoe UI Symbol"/>
          <w:b/>
          <w:bCs/>
          <w:color w:val="auto"/>
          <w:kern w:val="0"/>
          <w:sz w:val="24"/>
          <w:highlight w:val="none"/>
        </w:rPr>
        <w:t>★</w:t>
      </w:r>
      <w:r>
        <w:rPr>
          <w:rFonts w:hint="eastAsia" w:ascii="宋体" w:hAnsi="宋体" w:eastAsia="宋体" w:cs="宋体"/>
          <w:b/>
          <w:bCs/>
          <w:color w:val="auto"/>
          <w:kern w:val="2"/>
          <w:sz w:val="24"/>
          <w:szCs w:val="24"/>
          <w:highlight w:val="none"/>
          <w:lang w:val="en-US" w:eastAsia="zh-CN" w:bidi="ar-SA"/>
        </w:rPr>
        <w:t>投标人承诺中标后的秩序维护人员中有能用常州话、普通话、英语正常交流的人员。</w:t>
      </w:r>
      <w:r>
        <w:rPr>
          <w:rFonts w:hint="eastAsia" w:ascii="宋体" w:hAnsi="宋体" w:cs="宋体"/>
          <w:b/>
          <w:bCs/>
          <w:color w:val="auto"/>
          <w:kern w:val="2"/>
          <w:sz w:val="24"/>
          <w:szCs w:val="24"/>
          <w:highlight w:val="none"/>
          <w:lang w:val="en-US" w:eastAsia="zh-CN" w:bidi="ar-SA"/>
        </w:rPr>
        <w:t>投标文件中提供承诺书并加盖投标人公章，否则视为无效响应。</w:t>
      </w:r>
    </w:p>
    <w:p w14:paraId="501BECD3">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（三）设备要求</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1795"/>
        <w:gridCol w:w="999"/>
        <w:gridCol w:w="4985"/>
      </w:tblGrid>
      <w:tr w14:paraId="6FC55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34" w:type="pct"/>
            <w:tcBorders>
              <w:top w:val="single" w:color="000000" w:sz="4" w:space="0"/>
              <w:left w:val="single" w:color="000000" w:sz="4" w:space="0"/>
              <w:bottom w:val="single" w:color="000000" w:sz="4" w:space="0"/>
              <w:right w:val="single" w:color="000000" w:sz="4" w:space="0"/>
            </w:tcBorders>
            <w:noWrap w:val="0"/>
            <w:vAlign w:val="center"/>
          </w:tcPr>
          <w:p w14:paraId="7AEFB80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1053" w:type="pct"/>
            <w:tcBorders>
              <w:top w:val="single" w:color="000000" w:sz="4" w:space="0"/>
              <w:left w:val="nil"/>
              <w:bottom w:val="single" w:color="000000" w:sz="4" w:space="0"/>
              <w:right w:val="single" w:color="000000" w:sz="4" w:space="0"/>
            </w:tcBorders>
            <w:noWrap w:val="0"/>
            <w:vAlign w:val="center"/>
          </w:tcPr>
          <w:p w14:paraId="48F72E1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设备</w:t>
            </w:r>
          </w:p>
        </w:tc>
        <w:tc>
          <w:tcPr>
            <w:tcW w:w="586" w:type="pct"/>
            <w:tcBorders>
              <w:top w:val="single" w:color="000000" w:sz="4" w:space="0"/>
              <w:left w:val="nil"/>
              <w:bottom w:val="single" w:color="000000" w:sz="4" w:space="0"/>
              <w:right w:val="single" w:color="000000" w:sz="4" w:space="0"/>
            </w:tcBorders>
            <w:noWrap w:val="0"/>
            <w:vAlign w:val="center"/>
          </w:tcPr>
          <w:p w14:paraId="18E31C3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数量</w:t>
            </w:r>
          </w:p>
        </w:tc>
        <w:tc>
          <w:tcPr>
            <w:tcW w:w="2924" w:type="pct"/>
            <w:tcBorders>
              <w:top w:val="single" w:color="000000" w:sz="4" w:space="0"/>
              <w:left w:val="nil"/>
              <w:bottom w:val="single" w:color="000000" w:sz="4" w:space="0"/>
              <w:right w:val="single" w:color="000000" w:sz="4" w:space="0"/>
            </w:tcBorders>
            <w:noWrap w:val="0"/>
            <w:vAlign w:val="center"/>
          </w:tcPr>
          <w:p w14:paraId="5DE2BB9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要求</w:t>
            </w:r>
          </w:p>
        </w:tc>
      </w:tr>
      <w:tr w14:paraId="54314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trPr>
        <w:tc>
          <w:tcPr>
            <w:tcW w:w="434" w:type="pct"/>
            <w:tcBorders>
              <w:top w:val="single" w:color="000000" w:sz="4" w:space="0"/>
              <w:left w:val="single" w:color="000000" w:sz="4" w:space="0"/>
              <w:bottom w:val="single" w:color="000000" w:sz="4" w:space="0"/>
              <w:right w:val="single" w:color="000000" w:sz="4" w:space="0"/>
            </w:tcBorders>
            <w:noWrap w:val="0"/>
            <w:vAlign w:val="center"/>
          </w:tcPr>
          <w:p w14:paraId="1293401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1053" w:type="pct"/>
            <w:tcBorders>
              <w:top w:val="single" w:color="000000" w:sz="4" w:space="0"/>
              <w:left w:val="nil"/>
              <w:bottom w:val="single" w:color="000000" w:sz="4" w:space="0"/>
              <w:right w:val="single" w:color="000000" w:sz="4" w:space="0"/>
            </w:tcBorders>
            <w:noWrap w:val="0"/>
            <w:vAlign w:val="center"/>
          </w:tcPr>
          <w:p w14:paraId="70421EE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两轮电动巡逻车</w:t>
            </w:r>
          </w:p>
        </w:tc>
        <w:tc>
          <w:tcPr>
            <w:tcW w:w="586" w:type="pct"/>
            <w:tcBorders>
              <w:top w:val="single" w:color="000000" w:sz="4" w:space="0"/>
              <w:left w:val="nil"/>
              <w:bottom w:val="single" w:color="000000" w:sz="4" w:space="0"/>
              <w:right w:val="single" w:color="000000" w:sz="4" w:space="0"/>
            </w:tcBorders>
            <w:noWrap w:val="0"/>
            <w:vAlign w:val="center"/>
          </w:tcPr>
          <w:p w14:paraId="1975FA9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5辆</w:t>
            </w:r>
          </w:p>
        </w:tc>
        <w:tc>
          <w:tcPr>
            <w:tcW w:w="2924" w:type="pct"/>
            <w:tcBorders>
              <w:top w:val="nil"/>
              <w:left w:val="nil"/>
              <w:bottom w:val="single" w:color="000000" w:sz="4" w:space="0"/>
              <w:right w:val="single" w:color="000000" w:sz="4" w:space="0"/>
            </w:tcBorders>
            <w:noWrap w:val="0"/>
            <w:vAlign w:val="center"/>
          </w:tcPr>
          <w:p w14:paraId="7E8A5AD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1.服务期内若损坏影响使用，必须重新购置。</w:t>
            </w:r>
          </w:p>
          <w:p w14:paraId="53575AC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2.电瓶更换及日常维保等所有费用由</w:t>
            </w:r>
            <w:r>
              <w:rPr>
                <w:rFonts w:hint="eastAsia" w:ascii="宋体" w:hAnsi="宋体" w:cs="宋体"/>
                <w:bCs/>
                <w:color w:val="auto"/>
                <w:kern w:val="0"/>
                <w:sz w:val="21"/>
                <w:szCs w:val="21"/>
                <w:highlight w:val="none"/>
                <w:lang w:val="en-US" w:eastAsia="zh-CN" w:bidi="ar-SA"/>
              </w:rPr>
              <w:t>乙方</w:t>
            </w:r>
            <w:r>
              <w:rPr>
                <w:rFonts w:hint="eastAsia" w:ascii="宋体" w:hAnsi="宋体" w:eastAsia="宋体" w:cs="宋体"/>
                <w:bCs/>
                <w:color w:val="auto"/>
                <w:kern w:val="0"/>
                <w:sz w:val="21"/>
                <w:szCs w:val="21"/>
                <w:highlight w:val="none"/>
                <w:lang w:val="en-US" w:eastAsia="zh-CN" w:bidi="ar-SA"/>
              </w:rPr>
              <w:t>承担。</w:t>
            </w:r>
          </w:p>
        </w:tc>
      </w:tr>
    </w:tbl>
    <w:p w14:paraId="72D681F7">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（四）其他说明</w:t>
      </w:r>
    </w:p>
    <w:p w14:paraId="0D40BD4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1.日常秩序维护耗材：对讲机、服装、遮阳伞、雨具等公园要求配置的所有装备由</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负责配备。</w:t>
      </w:r>
    </w:p>
    <w:p w14:paraId="55504AD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2.应急救灾及公园园事、花事活动期间，</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必须无条件配合，人员加班费包含在投标报价中。</w:t>
      </w:r>
    </w:p>
    <w:p w14:paraId="41D94A5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必须保证参与项目的所有人员的法定待遇，并按照国家有关规定参加项目所在地企业职工社会保险。物业办公用房、水、电等固定设施由</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提供。</w:t>
      </w:r>
    </w:p>
    <w:p w14:paraId="4C3063A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4.园区内承接重大活动时，保安服务力量由青龙街道直接管理并且调配。安保人员必须服从</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调配，</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必须做好应急预案并加以演练，确保重大活动的秩序井然，同时加大园区的安全巡查和预防因重大活动造成治安案件及人身财产的的事件发生。因活动需要增强安保力量的由</w:t>
      </w:r>
      <w:r>
        <w:rPr>
          <w:rFonts w:hint="eastAsia" w:ascii="宋体" w:hAnsi="宋体" w:cs="宋体"/>
          <w:bCs/>
          <w:color w:val="auto"/>
          <w:kern w:val="2"/>
          <w:sz w:val="24"/>
          <w:szCs w:val="24"/>
          <w:highlight w:val="none"/>
          <w:lang w:val="en-US" w:eastAsia="zh-CN" w:bidi="ar-SA"/>
        </w:rPr>
        <w:t>甲方、乙方</w:t>
      </w:r>
      <w:r>
        <w:rPr>
          <w:rFonts w:hint="eastAsia" w:ascii="宋体" w:hAnsi="宋体" w:eastAsia="宋体" w:cs="宋体"/>
          <w:bCs/>
          <w:color w:val="auto"/>
          <w:kern w:val="2"/>
          <w:sz w:val="24"/>
          <w:szCs w:val="24"/>
          <w:highlight w:val="none"/>
          <w:lang w:val="en-US" w:eastAsia="zh-CN" w:bidi="ar-SA"/>
        </w:rPr>
        <w:t>双方协商，可按照临保范围内收取服务费用，确保活动的正常安全管控。</w:t>
      </w:r>
    </w:p>
    <w:p w14:paraId="1873031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default" w:ascii="宋体" w:hAnsi="宋体" w:eastAsia="宋体" w:cs="宋体"/>
          <w:b/>
          <w:bCs w:val="0"/>
          <w:color w:val="auto"/>
          <w:kern w:val="2"/>
          <w:sz w:val="24"/>
          <w:szCs w:val="24"/>
          <w:highlight w:val="none"/>
          <w:lang w:val="en-US" w:eastAsia="zh-CN" w:bidi="ar-SA"/>
        </w:rPr>
      </w:pPr>
      <w:r>
        <w:rPr>
          <w:rFonts w:ascii="Segoe UI Symbol" w:hAnsi="Segoe UI Symbol" w:cs="Segoe UI Symbol"/>
          <w:color w:val="auto"/>
          <w:kern w:val="0"/>
          <w:sz w:val="24"/>
          <w:highlight w:val="none"/>
        </w:rPr>
        <w:t>★</w:t>
      </w:r>
      <w:r>
        <w:rPr>
          <w:rFonts w:hint="eastAsia" w:ascii="宋体" w:hAnsi="宋体" w:cs="宋体"/>
          <w:b/>
          <w:bCs w:val="0"/>
          <w:color w:val="auto"/>
          <w:kern w:val="2"/>
          <w:sz w:val="24"/>
          <w:szCs w:val="24"/>
          <w:highlight w:val="none"/>
          <w:lang w:val="en-US" w:eastAsia="zh-CN" w:bidi="ar-SA"/>
        </w:rPr>
        <w:t>5</w:t>
      </w:r>
      <w:r>
        <w:rPr>
          <w:rFonts w:hint="eastAsia" w:ascii="宋体" w:hAnsi="宋体" w:eastAsia="宋体" w:cs="宋体"/>
          <w:b/>
          <w:bCs w:val="0"/>
          <w:color w:val="auto"/>
          <w:kern w:val="2"/>
          <w:sz w:val="24"/>
          <w:szCs w:val="24"/>
          <w:highlight w:val="none"/>
          <w:lang w:val="en-US" w:eastAsia="zh-CN" w:bidi="ar-SA"/>
        </w:rPr>
        <w:t>.投标人承诺有能力于采购人要求时间进场交接。</w:t>
      </w:r>
      <w:r>
        <w:rPr>
          <w:rFonts w:hint="eastAsia" w:ascii="宋体" w:hAnsi="宋体" w:cs="宋体"/>
          <w:b/>
          <w:bCs w:val="0"/>
          <w:color w:val="auto"/>
          <w:kern w:val="2"/>
          <w:sz w:val="24"/>
          <w:szCs w:val="24"/>
          <w:highlight w:val="none"/>
          <w:lang w:val="en-US" w:eastAsia="zh-CN" w:bidi="ar-SA"/>
        </w:rPr>
        <w:t>投标文件中提供承诺书并加盖投标人公章，否则视为无效响应。</w:t>
      </w:r>
    </w:p>
    <w:p w14:paraId="4EE6FCB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6</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要求配置的设备，</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必须配置到位，投入公园使用。</w:t>
      </w:r>
    </w:p>
    <w:p w14:paraId="291D8122">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7</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p>
    <w:p w14:paraId="3268F11E">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8</w:t>
      </w:r>
      <w:r>
        <w:rPr>
          <w:rFonts w:hint="eastAsia" w:ascii="宋体" w:hAnsi="宋体" w:eastAsia="宋体" w:cs="宋体"/>
          <w:bCs/>
          <w:color w:val="auto"/>
          <w:kern w:val="2"/>
          <w:sz w:val="24"/>
          <w:szCs w:val="24"/>
          <w:highlight w:val="none"/>
          <w:lang w:val="en-US" w:eastAsia="zh-CN" w:bidi="ar-SA"/>
        </w:rPr>
        <w:t>.本次采购实行合同年度费用包干原则，</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应该充分考虑物价、政策性调整因素，如遇常州市市区最低工资标准、社会保险缴费基数等调整，合同期内一律不做调整，所有风险由</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承担。</w:t>
      </w:r>
    </w:p>
    <w:p w14:paraId="7B028496">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（五）建立健全管理制度</w:t>
      </w:r>
    </w:p>
    <w:p w14:paraId="4D0C5A4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根据本项目的具体情况，</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应制定有关制度，如企业内部管理制度，日常服务的运作管理制度等。主要包括以下内容：员工行为规范、办公室工作职责、秩序维护部职责、管理人员岗位责任制、操作人员岗位责任制、管理人员岗位考核细则（百分考核）、操作人员岗位考核细则（百分考核）、经济考核制度、考核奖惩制度、见义勇为奖励制度、秩序维护执勤制度、综合服务制度、值班制度，进退场交接制度、应急预案制度及对各项制度的监督落实制度等。</w:t>
      </w:r>
    </w:p>
    <w:p w14:paraId="722EAE50">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（六）档案、资料管理</w:t>
      </w:r>
    </w:p>
    <w:p w14:paraId="4CE7A6D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加强有关项目档案和资料的管理，档案和资料管理包括：设备设施档案、投诉和意见档案、安全管理记录档案、安全管理档案、秩序维护管理档案、人事管理及人员培训档案等。服务单位必须运用计算机管理所有档案，要求做到保存完整、管理完善、交接手续完备、检索方便准确。</w:t>
      </w:r>
    </w:p>
    <w:p w14:paraId="0A5A364C">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（七）明确管理目标</w:t>
      </w:r>
    </w:p>
    <w:p w14:paraId="5E4F703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总体风格定位：横塘河湿地公园安保服务具有明显的专业特色，对此服务单位要有针对性，具有相关政策水平，树立良好服务形象，延续并提升服务品质，明确管理质量目标和长效管理方式，具有一整套清晰的，并与公园安保服务特色相吻合的管理方案。</w:t>
      </w:r>
    </w:p>
    <w:p w14:paraId="7C70A6D6">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2.根据园林系统、公园物业服务的管理要求，具有管理内容的整体设想和规程策划，对秩序维护、维修管理工作等内容，制订管理服务质量目标及服务响应时间等，并承诺保证目标的实现程度。</w:t>
      </w:r>
    </w:p>
    <w:p w14:paraId="3B58936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3.与公园系统作息制度相匹配，合理安排长效管理与突击性任务的关系，做到保障有力。</w:t>
      </w:r>
    </w:p>
    <w:p w14:paraId="63C95D2F">
      <w:pPr>
        <w:keepNext w:val="0"/>
        <w:keepLines w:val="0"/>
        <w:pageBreakBefore w:val="0"/>
        <w:widowControl w:val="0"/>
        <w:kinsoku/>
        <w:wordWrap/>
        <w:overflowPunct/>
        <w:topLinePunct w:val="0"/>
        <w:autoSpaceDE/>
        <w:autoSpaceDN/>
        <w:bidi w:val="0"/>
        <w:adjustRightInd/>
        <w:spacing w:before="0" w:after="0" w:line="360" w:lineRule="auto"/>
        <w:ind w:firstLine="482" w:firstLineChars="200"/>
        <w:contextualSpacing/>
        <w:textAlignment w:val="auto"/>
        <w:outlineLvl w:val="9"/>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（八）服务标准与考核办法</w:t>
      </w:r>
    </w:p>
    <w:p w14:paraId="22103E48">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零星维修、秩序维护具体的工作标准、操作规范等根据公园标准化制度进行。</w:t>
      </w:r>
    </w:p>
    <w:p w14:paraId="56F85CE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1.公园秩序维护服务管理工作标准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680"/>
        <w:gridCol w:w="1585"/>
        <w:gridCol w:w="5615"/>
      </w:tblGrid>
      <w:tr w14:paraId="5EBD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5" w:type="pct"/>
            <w:noWrap w:val="0"/>
            <w:vAlign w:val="center"/>
          </w:tcPr>
          <w:p w14:paraId="404A56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1329" w:type="pct"/>
            <w:gridSpan w:val="2"/>
            <w:noWrap w:val="0"/>
            <w:vAlign w:val="center"/>
          </w:tcPr>
          <w:p w14:paraId="4588FC2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工作内容</w:t>
            </w:r>
          </w:p>
        </w:tc>
        <w:tc>
          <w:tcPr>
            <w:tcW w:w="3295" w:type="pct"/>
            <w:noWrap w:val="0"/>
            <w:vAlign w:val="center"/>
          </w:tcPr>
          <w:p w14:paraId="1865E77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工作要求</w:t>
            </w:r>
          </w:p>
        </w:tc>
      </w:tr>
      <w:tr w14:paraId="2020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restart"/>
            <w:noWrap w:val="0"/>
            <w:vAlign w:val="center"/>
          </w:tcPr>
          <w:p w14:paraId="67486E7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399" w:type="pct"/>
            <w:vMerge w:val="restart"/>
            <w:noWrap w:val="0"/>
            <w:vAlign w:val="center"/>
          </w:tcPr>
          <w:p w14:paraId="737F6D3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w:t>
            </w:r>
          </w:p>
        </w:tc>
        <w:tc>
          <w:tcPr>
            <w:tcW w:w="930" w:type="pct"/>
            <w:noWrap w:val="0"/>
            <w:vAlign w:val="center"/>
          </w:tcPr>
          <w:p w14:paraId="36723AB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道口、区域值守巡查</w:t>
            </w:r>
          </w:p>
        </w:tc>
        <w:tc>
          <w:tcPr>
            <w:tcW w:w="3295" w:type="pct"/>
            <w:noWrap w:val="0"/>
            <w:vAlign w:val="center"/>
          </w:tcPr>
          <w:p w14:paraId="1FB0E6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保持良好的窗口服务人员形象，礼貌待人，文明执勤；</w:t>
            </w:r>
          </w:p>
          <w:p w14:paraId="3EF984D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维护各自区域秩序，对各类未经公园批准的活动进行劝阻、制止；</w:t>
            </w:r>
          </w:p>
          <w:p w14:paraId="6A404A3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禁止未办理手续者在园内散发广告宣传单、扫码送礼品等。</w:t>
            </w:r>
          </w:p>
        </w:tc>
      </w:tr>
      <w:tr w14:paraId="36D1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3C912B0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4283D6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5F74AD7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不文明游园行为劝阻</w:t>
            </w:r>
          </w:p>
        </w:tc>
        <w:tc>
          <w:tcPr>
            <w:tcW w:w="3295" w:type="pct"/>
            <w:noWrap w:val="0"/>
            <w:vAlign w:val="center"/>
          </w:tcPr>
          <w:p w14:paraId="0C6C6D2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对各类违反公园规定的不文明行为进行劝阻、制止，不服从管理的，呼叫班长处理，仍不服从管理的，报公园安保部门或报警协助处理。</w:t>
            </w:r>
          </w:p>
          <w:p w14:paraId="092DB44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不文明行为有：赤膊、躺卧、攀枝摘花、攀爬假山、踩踏绿地、游泳戏水、随地吐痰、便溺、乱刻乱画、损坏公物、打架斗殴、戏弄鱼类、携带危险品入园、带赌博性质的下棋打牌等。</w:t>
            </w:r>
          </w:p>
        </w:tc>
      </w:tr>
      <w:tr w14:paraId="7977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3598824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22B2BBB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715CBBC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流动摊贩、乞讨、看相算命等人群管理</w:t>
            </w:r>
          </w:p>
        </w:tc>
        <w:tc>
          <w:tcPr>
            <w:tcW w:w="3295" w:type="pct"/>
            <w:noWrap w:val="0"/>
            <w:vAlign w:val="center"/>
          </w:tcPr>
          <w:p w14:paraId="37973EC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对在公园区域内设摊或沿路兜售流动摊贩进行驱赶；</w:t>
            </w:r>
          </w:p>
          <w:p w14:paraId="78B55F4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对乞讨、看相算命、强拉游客合影等干扰游客者进行驱赶；</w:t>
            </w:r>
          </w:p>
        </w:tc>
      </w:tr>
      <w:tr w14:paraId="24E84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5D9D6BB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7E6DBF2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32E7AA0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外来车辆、宠物入园管理</w:t>
            </w:r>
          </w:p>
        </w:tc>
        <w:tc>
          <w:tcPr>
            <w:tcW w:w="3295" w:type="pct"/>
            <w:noWrap w:val="0"/>
            <w:vAlign w:val="center"/>
          </w:tcPr>
          <w:p w14:paraId="002CD02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禁止宠物、非机动车、未经公园批准的外来车辆入园；</w:t>
            </w:r>
          </w:p>
          <w:p w14:paraId="11BCE9D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对各出入口及公园广场上的秩序进行管理，禁止车辆乱停放。</w:t>
            </w:r>
          </w:p>
          <w:p w14:paraId="68546EF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如已有车辆违规入园，及时劝离，如司机不在现场，拍照上传到自助移车平台。</w:t>
            </w:r>
          </w:p>
        </w:tc>
      </w:tr>
      <w:tr w14:paraId="2141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452D50B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14BEAE1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1DA82B6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公园各项活动的秩序维护</w:t>
            </w:r>
          </w:p>
        </w:tc>
        <w:tc>
          <w:tcPr>
            <w:tcW w:w="3295" w:type="pct"/>
            <w:noWrap w:val="0"/>
            <w:vAlign w:val="center"/>
          </w:tcPr>
          <w:p w14:paraId="37DE063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维护好活动现场秩序，劝阻、制止游客的危险行为，疏导游客，防止意外发生，保障公园各项活动的顺利进行。</w:t>
            </w:r>
          </w:p>
          <w:p w14:paraId="3401C56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p>
        </w:tc>
      </w:tr>
      <w:tr w14:paraId="7DF4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restart"/>
            <w:noWrap w:val="0"/>
            <w:vAlign w:val="center"/>
          </w:tcPr>
          <w:p w14:paraId="380DC6E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399" w:type="pct"/>
            <w:vMerge w:val="restart"/>
            <w:noWrap w:val="0"/>
            <w:vAlign w:val="center"/>
          </w:tcPr>
          <w:p w14:paraId="1B7932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秩序</w:t>
            </w:r>
          </w:p>
          <w:p w14:paraId="32069CC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维护</w:t>
            </w:r>
          </w:p>
        </w:tc>
        <w:tc>
          <w:tcPr>
            <w:tcW w:w="930" w:type="pct"/>
            <w:noWrap w:val="0"/>
            <w:vAlign w:val="center"/>
          </w:tcPr>
          <w:p w14:paraId="57F59C5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公共设施财产看护</w:t>
            </w:r>
          </w:p>
        </w:tc>
        <w:tc>
          <w:tcPr>
            <w:tcW w:w="3295" w:type="pct"/>
            <w:noWrap w:val="0"/>
            <w:vAlign w:val="center"/>
          </w:tcPr>
          <w:p w14:paraId="03D4844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加强对园区路面、场地、建筑、亭台楼阁、桥梁、排水设施、照明设施、健身设施、条凳、座椅、展馆等的巡查，发现损坏或失窃，及时上报，做好交接。</w:t>
            </w:r>
          </w:p>
          <w:p w14:paraId="480991F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发现破坏公共设施、偷盗公共财产的行为应立即上报并制止，情节严重者须立即报警，并及时汇报，把控好现场。</w:t>
            </w:r>
          </w:p>
        </w:tc>
      </w:tr>
      <w:tr w14:paraId="702C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2D4B2FC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716B15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56DF596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消防巡查</w:t>
            </w:r>
          </w:p>
        </w:tc>
        <w:tc>
          <w:tcPr>
            <w:tcW w:w="3295" w:type="pct"/>
            <w:noWrap w:val="0"/>
            <w:vAlign w:val="center"/>
          </w:tcPr>
          <w:p w14:paraId="2C430B2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定期检查消防器材，掌握消防栓、灭火器的位置和使用方法；严禁他人擅自动用消防设施；</w:t>
            </w:r>
          </w:p>
          <w:p w14:paraId="14285DB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加强木结构建筑周边的巡查，发现火灾隐患立即上报；发生火情，按应急预案进行报警、人员疏散、组织扑救、抢救物资等一系列处置。</w:t>
            </w:r>
          </w:p>
        </w:tc>
      </w:tr>
      <w:tr w14:paraId="602C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36961B9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2B1DDDB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789FBEC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安全隐患巡查处置</w:t>
            </w:r>
          </w:p>
        </w:tc>
        <w:tc>
          <w:tcPr>
            <w:tcW w:w="3295" w:type="pct"/>
            <w:noWrap w:val="0"/>
            <w:vAlign w:val="center"/>
          </w:tcPr>
          <w:p w14:paraId="4E31DD6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巡查中发现安全隐患，及时上报，并根据情况做好现场的围护，提醒游客注意人身安全，放置警示标志或设置安全围栏。</w:t>
            </w:r>
          </w:p>
        </w:tc>
      </w:tr>
      <w:tr w14:paraId="1FEE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123CE67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584B6BA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0B12136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突发事件应急处理</w:t>
            </w:r>
          </w:p>
        </w:tc>
        <w:tc>
          <w:tcPr>
            <w:tcW w:w="3295" w:type="pct"/>
            <w:noWrap w:val="0"/>
            <w:vAlign w:val="center"/>
          </w:tcPr>
          <w:p w14:paraId="1A9D956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发生治安突发事件，立即制止，迅速上报，积极协助游客，保障游客人身、财产安全。</w:t>
            </w:r>
          </w:p>
        </w:tc>
      </w:tr>
      <w:tr w14:paraId="4B00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5859F44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C16F57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1530E6F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恶劣天气巡查</w:t>
            </w:r>
          </w:p>
        </w:tc>
        <w:tc>
          <w:tcPr>
            <w:tcW w:w="3295" w:type="pct"/>
            <w:noWrap w:val="0"/>
            <w:vAlign w:val="center"/>
          </w:tcPr>
          <w:p w14:paraId="5822C70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恶劣天气加强区域巡查，发现隐患及时上报，采取临时措施，保障游客人身安全。</w:t>
            </w:r>
          </w:p>
        </w:tc>
      </w:tr>
      <w:tr w14:paraId="66A7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75" w:type="pct"/>
            <w:vMerge w:val="continue"/>
            <w:noWrap w:val="0"/>
            <w:vAlign w:val="center"/>
          </w:tcPr>
          <w:p w14:paraId="60E0A48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399" w:type="pct"/>
            <w:vMerge w:val="continue"/>
            <w:noWrap w:val="0"/>
            <w:vAlign w:val="center"/>
          </w:tcPr>
          <w:p w14:paraId="63D770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930" w:type="pct"/>
            <w:noWrap w:val="0"/>
            <w:vAlign w:val="center"/>
          </w:tcPr>
          <w:p w14:paraId="6A0A923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监控工作</w:t>
            </w:r>
          </w:p>
        </w:tc>
        <w:tc>
          <w:tcPr>
            <w:tcW w:w="3295" w:type="pct"/>
            <w:noWrap w:val="0"/>
            <w:vAlign w:val="center"/>
          </w:tcPr>
          <w:p w14:paraId="155F1C6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1.严密监视荧屏，如发现有异常或可疑情况时，应立即放大视频讯号并跟踪。</w:t>
            </w:r>
          </w:p>
          <w:p w14:paraId="3C4CAC6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2.如发现有违法行为（抢劫、打架、非礼、蓄意破坏、非法聚集等），应立即通知巡逻秩序维护赶赴现埸，采取有效紧急措施制止违法违纪行为。必要时须报告部门负责人协助处理。</w:t>
            </w:r>
          </w:p>
          <w:p w14:paraId="65B8E6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 24小时对闭路监视各点连续录像，录像资料保留十天，每周抽查三次，每次15分钟，并做好记录。</w:t>
            </w:r>
          </w:p>
          <w:p w14:paraId="325B6C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4.如巡逻秩序维护发现异常情况，应立即回复监控中心，告知现埸警情，并进行相应的处理。</w:t>
            </w:r>
          </w:p>
          <w:p w14:paraId="721439B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5.禁止无关人员入内，其它部门确因工作需要来监控室的人员应做好登记。</w:t>
            </w:r>
          </w:p>
          <w:p w14:paraId="7CE2E81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6.外单位或上级有关部门需经审批后方可调取、查阅监控有关资料，并做好详细记录。</w:t>
            </w:r>
          </w:p>
          <w:p w14:paraId="0B43BEE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7.认真记录相关信息资料，做好突发事件影像资料的采集，并负责信息资料的上报和存档工作。</w:t>
            </w:r>
          </w:p>
          <w:p w14:paraId="72DD395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8.监控中心实行24小时三班轮流值班制，当班时不得擅自离开监控中心，并对监控图像及情况保密。</w:t>
            </w:r>
          </w:p>
        </w:tc>
      </w:tr>
      <w:tr w14:paraId="38B62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75" w:type="pct"/>
            <w:noWrap w:val="0"/>
            <w:vAlign w:val="center"/>
          </w:tcPr>
          <w:p w14:paraId="6C3FB39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329" w:type="pct"/>
            <w:gridSpan w:val="2"/>
            <w:noWrap w:val="0"/>
            <w:vAlign w:val="center"/>
          </w:tcPr>
          <w:p w14:paraId="292094E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台账记录要求</w:t>
            </w:r>
          </w:p>
        </w:tc>
        <w:tc>
          <w:tcPr>
            <w:tcW w:w="3295" w:type="pct"/>
            <w:noWrap w:val="0"/>
            <w:vAlign w:val="center"/>
          </w:tcPr>
          <w:p w14:paraId="4ADC058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及时记录、整合，记录完整、工整，检查时间（月、季度、年）</w:t>
            </w:r>
          </w:p>
        </w:tc>
      </w:tr>
    </w:tbl>
    <w:p w14:paraId="7E65525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2.公园秩序维护服务管理考核标准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3060"/>
        <w:gridCol w:w="614"/>
        <w:gridCol w:w="3212"/>
        <w:gridCol w:w="510"/>
        <w:gridCol w:w="510"/>
      </w:tblGrid>
      <w:tr w14:paraId="74A61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5A0DAF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w:t>
            </w:r>
          </w:p>
          <w:p w14:paraId="7E6576B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号</w:t>
            </w:r>
          </w:p>
        </w:tc>
        <w:tc>
          <w:tcPr>
            <w:tcW w:w="1795" w:type="pct"/>
            <w:noWrap w:val="0"/>
            <w:vAlign w:val="center"/>
          </w:tcPr>
          <w:p w14:paraId="10C3788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检查项目和内容</w:t>
            </w:r>
          </w:p>
        </w:tc>
        <w:tc>
          <w:tcPr>
            <w:tcW w:w="360" w:type="pct"/>
            <w:noWrap w:val="0"/>
            <w:vAlign w:val="center"/>
          </w:tcPr>
          <w:p w14:paraId="4108217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分值</w:t>
            </w:r>
          </w:p>
        </w:tc>
        <w:tc>
          <w:tcPr>
            <w:tcW w:w="1884" w:type="pct"/>
            <w:noWrap w:val="0"/>
            <w:vAlign w:val="center"/>
          </w:tcPr>
          <w:p w14:paraId="6278442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评分细则</w:t>
            </w:r>
          </w:p>
        </w:tc>
        <w:tc>
          <w:tcPr>
            <w:tcW w:w="299" w:type="pct"/>
            <w:noWrap w:val="0"/>
            <w:vAlign w:val="center"/>
          </w:tcPr>
          <w:p w14:paraId="4F7558F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得分</w:t>
            </w:r>
          </w:p>
        </w:tc>
        <w:tc>
          <w:tcPr>
            <w:tcW w:w="299" w:type="pct"/>
            <w:noWrap w:val="0"/>
            <w:vAlign w:val="center"/>
          </w:tcPr>
          <w:p w14:paraId="1AD37CF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扣款</w:t>
            </w:r>
          </w:p>
        </w:tc>
      </w:tr>
      <w:tr w14:paraId="2428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5253B0D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1795" w:type="pct"/>
            <w:noWrap w:val="0"/>
            <w:vAlign w:val="center"/>
          </w:tcPr>
          <w:p w14:paraId="447F944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着装整齐、佩戴工号牌，仪容端正，举止文明</w:t>
            </w:r>
          </w:p>
        </w:tc>
        <w:tc>
          <w:tcPr>
            <w:tcW w:w="360" w:type="pct"/>
            <w:noWrap w:val="0"/>
            <w:vAlign w:val="center"/>
          </w:tcPr>
          <w:p w14:paraId="4928A23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4BAE33D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着装不整齐、仪容仪表有问题或举止不文明的，一次扣2分。</w:t>
            </w:r>
          </w:p>
        </w:tc>
        <w:tc>
          <w:tcPr>
            <w:tcW w:w="299" w:type="pct"/>
            <w:noWrap w:val="0"/>
            <w:vAlign w:val="center"/>
          </w:tcPr>
          <w:p w14:paraId="3036B5E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0E1E7FE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3B78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618898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1795" w:type="pct"/>
            <w:noWrap w:val="0"/>
            <w:vAlign w:val="center"/>
          </w:tcPr>
          <w:p w14:paraId="60FC4A7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上下班准时，不迟到，不早退，不串岗，不旷工</w:t>
            </w:r>
          </w:p>
        </w:tc>
        <w:tc>
          <w:tcPr>
            <w:tcW w:w="360" w:type="pct"/>
            <w:noWrap w:val="0"/>
            <w:vAlign w:val="center"/>
          </w:tcPr>
          <w:p w14:paraId="3C74333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3431F6C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迟到、早退、串岗的，一次扣3分，旷工的，一次扣5分；</w:t>
            </w:r>
          </w:p>
        </w:tc>
        <w:tc>
          <w:tcPr>
            <w:tcW w:w="299" w:type="pct"/>
            <w:noWrap w:val="0"/>
            <w:vAlign w:val="center"/>
          </w:tcPr>
          <w:p w14:paraId="61CF5A2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18B8F4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188F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2490F2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795" w:type="pct"/>
            <w:noWrap w:val="0"/>
            <w:vAlign w:val="center"/>
          </w:tcPr>
          <w:p w14:paraId="6552ADF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上班时间不做违反公园规定的事情（如喝酒、吸游烟、打牌、下棋、睡觉、打游戏等）；不得酒后上岗。</w:t>
            </w:r>
          </w:p>
        </w:tc>
        <w:tc>
          <w:tcPr>
            <w:tcW w:w="360" w:type="pct"/>
            <w:noWrap w:val="0"/>
            <w:vAlign w:val="center"/>
          </w:tcPr>
          <w:p w14:paraId="7EF2B27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62BC21B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酒后上岗的，作旷工处理，其他情况发现一次扣3分；</w:t>
            </w:r>
          </w:p>
        </w:tc>
        <w:tc>
          <w:tcPr>
            <w:tcW w:w="299" w:type="pct"/>
            <w:noWrap w:val="0"/>
            <w:vAlign w:val="center"/>
          </w:tcPr>
          <w:p w14:paraId="7AC3C44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64A097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479E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0946DF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w:t>
            </w:r>
          </w:p>
        </w:tc>
        <w:tc>
          <w:tcPr>
            <w:tcW w:w="1795" w:type="pct"/>
            <w:noWrap w:val="0"/>
            <w:vAlign w:val="center"/>
          </w:tcPr>
          <w:p w14:paraId="6B92E16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严格遵守纪律，按规定时间交接班，区域化责任制管理到位，坚守岗位，巡逻、巡更时间间隔不超过10分钟，按规定报岗。巡查有台帐记录。</w:t>
            </w:r>
          </w:p>
        </w:tc>
        <w:tc>
          <w:tcPr>
            <w:tcW w:w="360" w:type="pct"/>
            <w:noWrap w:val="0"/>
            <w:vAlign w:val="center"/>
          </w:tcPr>
          <w:p w14:paraId="0BA452E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5BA4988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无责任制管理的扣2分；工作时间偷懒发现一次扣2分；发现有人脱岗一次扣5分；巡查间隔时间超时1次，扣1分，未报岗一次扣1分。</w:t>
            </w:r>
          </w:p>
        </w:tc>
        <w:tc>
          <w:tcPr>
            <w:tcW w:w="299" w:type="pct"/>
            <w:noWrap w:val="0"/>
            <w:vAlign w:val="center"/>
          </w:tcPr>
          <w:p w14:paraId="5D6D46B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362938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45F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480BA9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795" w:type="pct"/>
            <w:noWrap w:val="0"/>
            <w:vAlign w:val="center"/>
          </w:tcPr>
          <w:p w14:paraId="622E9B5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车辆管理</w:t>
            </w:r>
          </w:p>
        </w:tc>
        <w:tc>
          <w:tcPr>
            <w:tcW w:w="360" w:type="pct"/>
            <w:noWrap w:val="0"/>
            <w:vAlign w:val="center"/>
          </w:tcPr>
          <w:p w14:paraId="7ECA9B8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045589D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没有经过允许，有外来车辆入园的，一次扣2分；</w:t>
            </w:r>
          </w:p>
        </w:tc>
        <w:tc>
          <w:tcPr>
            <w:tcW w:w="299" w:type="pct"/>
            <w:noWrap w:val="0"/>
            <w:vAlign w:val="center"/>
          </w:tcPr>
          <w:p w14:paraId="6D4A38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D84603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55C8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2C71A8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w:t>
            </w:r>
          </w:p>
        </w:tc>
        <w:tc>
          <w:tcPr>
            <w:tcW w:w="1795" w:type="pct"/>
            <w:noWrap w:val="0"/>
            <w:vAlign w:val="center"/>
          </w:tcPr>
          <w:p w14:paraId="3B63898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设施管理（破坏、缺损及时修复）</w:t>
            </w:r>
          </w:p>
        </w:tc>
        <w:tc>
          <w:tcPr>
            <w:tcW w:w="360" w:type="pct"/>
            <w:noWrap w:val="0"/>
            <w:vAlign w:val="center"/>
          </w:tcPr>
          <w:p w14:paraId="2321F26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45DA028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由于管理不善，设施遭受破坏的，一次扣1分；</w:t>
            </w:r>
          </w:p>
        </w:tc>
        <w:tc>
          <w:tcPr>
            <w:tcW w:w="299" w:type="pct"/>
            <w:noWrap w:val="0"/>
            <w:vAlign w:val="center"/>
          </w:tcPr>
          <w:p w14:paraId="0CD277C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1BDB5D1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53A7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433DAA0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1795" w:type="pct"/>
            <w:noWrap w:val="0"/>
            <w:vAlign w:val="center"/>
          </w:tcPr>
          <w:p w14:paraId="1A33A59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绿化管理（破坏、缺损及时修复）</w:t>
            </w:r>
          </w:p>
        </w:tc>
        <w:tc>
          <w:tcPr>
            <w:tcW w:w="360" w:type="pct"/>
            <w:noWrap w:val="0"/>
            <w:vAlign w:val="center"/>
          </w:tcPr>
          <w:p w14:paraId="41D58EE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7812C48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由于管理不善，绿化遭受破坏的，一次扣2分；情节严重的，扣5分；</w:t>
            </w:r>
          </w:p>
        </w:tc>
        <w:tc>
          <w:tcPr>
            <w:tcW w:w="299" w:type="pct"/>
            <w:noWrap w:val="0"/>
            <w:vAlign w:val="center"/>
          </w:tcPr>
          <w:p w14:paraId="4F73829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FB5B66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7B5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7B069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w:t>
            </w:r>
          </w:p>
        </w:tc>
        <w:tc>
          <w:tcPr>
            <w:tcW w:w="1795" w:type="pct"/>
            <w:noWrap w:val="0"/>
            <w:vAlign w:val="center"/>
          </w:tcPr>
          <w:p w14:paraId="3AD3EF3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安全隐患和消防设施管理</w:t>
            </w:r>
          </w:p>
        </w:tc>
        <w:tc>
          <w:tcPr>
            <w:tcW w:w="360" w:type="pct"/>
            <w:noWrap w:val="0"/>
            <w:vAlign w:val="center"/>
          </w:tcPr>
          <w:p w14:paraId="4CD8835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0D961DB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定期进行检查，有情况及时汇报，有检查记录。消防安全设施损坏或有安全隐患不汇报、不处理的，发现一次扣2分；未经同意使用各类电器的，发现一次扣2分，造成损坏的，酌情赔偿。</w:t>
            </w:r>
          </w:p>
        </w:tc>
        <w:tc>
          <w:tcPr>
            <w:tcW w:w="299" w:type="pct"/>
            <w:noWrap w:val="0"/>
            <w:vAlign w:val="center"/>
          </w:tcPr>
          <w:p w14:paraId="7C6DA0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9AE64B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7FA8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1219652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w:t>
            </w:r>
          </w:p>
        </w:tc>
        <w:tc>
          <w:tcPr>
            <w:tcW w:w="1795" w:type="pct"/>
            <w:noWrap w:val="0"/>
            <w:vAlign w:val="center"/>
          </w:tcPr>
          <w:p w14:paraId="02D010D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游园秩序管理</w:t>
            </w:r>
          </w:p>
        </w:tc>
        <w:tc>
          <w:tcPr>
            <w:tcW w:w="360" w:type="pct"/>
            <w:noWrap w:val="0"/>
            <w:vAlign w:val="center"/>
          </w:tcPr>
          <w:p w14:paraId="17DD40F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2220B7C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游园秩序混乱不及时维护处理，一次扣2分；有宠物、流动摊贩入园的，一次扣2分；</w:t>
            </w:r>
          </w:p>
        </w:tc>
        <w:tc>
          <w:tcPr>
            <w:tcW w:w="299" w:type="pct"/>
            <w:noWrap w:val="0"/>
            <w:vAlign w:val="center"/>
          </w:tcPr>
          <w:p w14:paraId="17C471B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5009BC5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094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3BBB40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795" w:type="pct"/>
            <w:noWrap w:val="0"/>
            <w:vAlign w:val="center"/>
          </w:tcPr>
          <w:p w14:paraId="3626019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监控管理</w:t>
            </w:r>
          </w:p>
        </w:tc>
        <w:tc>
          <w:tcPr>
            <w:tcW w:w="360" w:type="pct"/>
            <w:noWrap w:val="0"/>
            <w:vAlign w:val="center"/>
          </w:tcPr>
          <w:p w14:paraId="1E6BE69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1884" w:type="pct"/>
            <w:noWrap w:val="0"/>
            <w:vAlign w:val="center"/>
          </w:tcPr>
          <w:p w14:paraId="45F990A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未能履行监控室工作职责，一次扣2分。</w:t>
            </w:r>
          </w:p>
        </w:tc>
        <w:tc>
          <w:tcPr>
            <w:tcW w:w="299" w:type="pct"/>
            <w:noWrap w:val="0"/>
            <w:vAlign w:val="center"/>
          </w:tcPr>
          <w:p w14:paraId="24BF631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6418A89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1E8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7A18DF7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1795" w:type="pct"/>
            <w:noWrap w:val="0"/>
            <w:vAlign w:val="center"/>
          </w:tcPr>
          <w:p w14:paraId="0559D73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台帐记录和管理</w:t>
            </w:r>
          </w:p>
        </w:tc>
        <w:tc>
          <w:tcPr>
            <w:tcW w:w="360" w:type="pct"/>
            <w:noWrap w:val="0"/>
            <w:vAlign w:val="center"/>
          </w:tcPr>
          <w:p w14:paraId="0B2823C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6D124CA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台帐及时记录，真实详尽；不按时记录的，一次扣2分，记录不详的，一次扣1分；</w:t>
            </w:r>
          </w:p>
        </w:tc>
        <w:tc>
          <w:tcPr>
            <w:tcW w:w="299" w:type="pct"/>
            <w:noWrap w:val="0"/>
            <w:vAlign w:val="center"/>
          </w:tcPr>
          <w:p w14:paraId="2502721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673474E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05F4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16DD78C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12</w:t>
            </w:r>
          </w:p>
        </w:tc>
        <w:tc>
          <w:tcPr>
            <w:tcW w:w="1795" w:type="pct"/>
            <w:noWrap w:val="0"/>
            <w:vAlign w:val="center"/>
          </w:tcPr>
          <w:p w14:paraId="4346BCE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工作场所岗亭等物品摆放整齐，室内整洁卫生</w:t>
            </w:r>
          </w:p>
        </w:tc>
        <w:tc>
          <w:tcPr>
            <w:tcW w:w="360" w:type="pct"/>
            <w:noWrap w:val="0"/>
            <w:vAlign w:val="center"/>
          </w:tcPr>
          <w:p w14:paraId="0DED615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079C36D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卫生状况不佳的，发现一次扣1分；办公场所物品杂乱的，发现一次扣1分。</w:t>
            </w:r>
          </w:p>
        </w:tc>
        <w:tc>
          <w:tcPr>
            <w:tcW w:w="299" w:type="pct"/>
            <w:noWrap w:val="0"/>
            <w:vAlign w:val="center"/>
          </w:tcPr>
          <w:p w14:paraId="3BA2EB2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F29F0D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6013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D1D4D8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13</w:t>
            </w:r>
          </w:p>
        </w:tc>
        <w:tc>
          <w:tcPr>
            <w:tcW w:w="1795" w:type="pct"/>
            <w:noWrap w:val="0"/>
            <w:vAlign w:val="center"/>
          </w:tcPr>
          <w:p w14:paraId="69022BE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文明执勤、礼貌待客，不发生与游客无理争吵、打架等恶性事件</w:t>
            </w:r>
          </w:p>
        </w:tc>
        <w:tc>
          <w:tcPr>
            <w:tcW w:w="360" w:type="pct"/>
            <w:noWrap w:val="0"/>
            <w:vAlign w:val="center"/>
          </w:tcPr>
          <w:p w14:paraId="2519D91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3728FD1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和游客无理争吵的，一次扣2分；出现有责投诉的，一次扣3分，打架的，一次扣5分；</w:t>
            </w:r>
          </w:p>
        </w:tc>
        <w:tc>
          <w:tcPr>
            <w:tcW w:w="299" w:type="pct"/>
            <w:noWrap w:val="0"/>
            <w:vAlign w:val="center"/>
          </w:tcPr>
          <w:p w14:paraId="42734D6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3CF635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E26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B10AE7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14</w:t>
            </w:r>
          </w:p>
        </w:tc>
        <w:tc>
          <w:tcPr>
            <w:tcW w:w="1795" w:type="pct"/>
            <w:noWrap w:val="0"/>
            <w:vAlign w:val="center"/>
          </w:tcPr>
          <w:p w14:paraId="6E08973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管辖区内无安全事故</w:t>
            </w:r>
          </w:p>
        </w:tc>
        <w:tc>
          <w:tcPr>
            <w:tcW w:w="360" w:type="pct"/>
            <w:noWrap w:val="0"/>
            <w:vAlign w:val="center"/>
          </w:tcPr>
          <w:p w14:paraId="05A1413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w:t>
            </w:r>
          </w:p>
        </w:tc>
        <w:tc>
          <w:tcPr>
            <w:tcW w:w="1884" w:type="pct"/>
            <w:noWrap w:val="0"/>
            <w:vAlign w:val="center"/>
          </w:tcPr>
          <w:p w14:paraId="7569C12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辖区内发生盗抢、水淹、火灾等事故，处理不当的，一次扣2分，造成严重后果的，一次扣10分；</w:t>
            </w:r>
          </w:p>
        </w:tc>
        <w:tc>
          <w:tcPr>
            <w:tcW w:w="299" w:type="pct"/>
            <w:noWrap w:val="0"/>
            <w:vAlign w:val="center"/>
          </w:tcPr>
          <w:p w14:paraId="2EB7FAA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74051A3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250F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4759A60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15</w:t>
            </w:r>
          </w:p>
        </w:tc>
        <w:tc>
          <w:tcPr>
            <w:tcW w:w="1795" w:type="pct"/>
            <w:noWrap w:val="0"/>
            <w:vAlign w:val="center"/>
          </w:tcPr>
          <w:p w14:paraId="35C286E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配合做好公园的各项活动及创建工作</w:t>
            </w:r>
          </w:p>
        </w:tc>
        <w:tc>
          <w:tcPr>
            <w:tcW w:w="360" w:type="pct"/>
            <w:noWrap w:val="0"/>
            <w:vAlign w:val="center"/>
          </w:tcPr>
          <w:p w14:paraId="20D03FE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1884" w:type="pct"/>
            <w:noWrap w:val="0"/>
            <w:vAlign w:val="center"/>
          </w:tcPr>
          <w:p w14:paraId="5337938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不配合的，发生一次扣5分；配合不到位的，一次扣2分</w:t>
            </w:r>
          </w:p>
        </w:tc>
        <w:tc>
          <w:tcPr>
            <w:tcW w:w="299" w:type="pct"/>
            <w:noWrap w:val="0"/>
            <w:vAlign w:val="center"/>
          </w:tcPr>
          <w:p w14:paraId="38F5AF2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55A425C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6B66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2A88AF9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16</w:t>
            </w:r>
          </w:p>
        </w:tc>
        <w:tc>
          <w:tcPr>
            <w:tcW w:w="1795" w:type="pct"/>
            <w:noWrap w:val="0"/>
            <w:vAlign w:val="center"/>
          </w:tcPr>
          <w:p w14:paraId="605027C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负责人在岗情况</w:t>
            </w:r>
          </w:p>
        </w:tc>
        <w:tc>
          <w:tcPr>
            <w:tcW w:w="360" w:type="pct"/>
            <w:noWrap w:val="0"/>
            <w:vAlign w:val="center"/>
          </w:tcPr>
          <w:p w14:paraId="3507CE7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1884" w:type="pct"/>
            <w:noWrap w:val="0"/>
            <w:vAlign w:val="center"/>
          </w:tcPr>
          <w:p w14:paraId="49F8231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无故不到岗，发现一次扣3分</w:t>
            </w:r>
          </w:p>
        </w:tc>
        <w:tc>
          <w:tcPr>
            <w:tcW w:w="299" w:type="pct"/>
            <w:noWrap w:val="0"/>
            <w:vAlign w:val="center"/>
          </w:tcPr>
          <w:p w14:paraId="22C8889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AD4E4F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4A7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60" w:type="pct"/>
            <w:noWrap w:val="0"/>
            <w:vAlign w:val="center"/>
          </w:tcPr>
          <w:p w14:paraId="3A88B2F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合计</w:t>
            </w:r>
          </w:p>
        </w:tc>
        <w:tc>
          <w:tcPr>
            <w:tcW w:w="1795" w:type="pct"/>
            <w:noWrap w:val="0"/>
            <w:vAlign w:val="center"/>
          </w:tcPr>
          <w:p w14:paraId="47F3071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总分</w:t>
            </w:r>
          </w:p>
        </w:tc>
        <w:tc>
          <w:tcPr>
            <w:tcW w:w="360" w:type="pct"/>
            <w:noWrap w:val="0"/>
            <w:vAlign w:val="center"/>
          </w:tcPr>
          <w:p w14:paraId="00332CB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100</w:t>
            </w:r>
          </w:p>
        </w:tc>
        <w:tc>
          <w:tcPr>
            <w:tcW w:w="1884" w:type="pct"/>
            <w:noWrap w:val="0"/>
            <w:vAlign w:val="center"/>
          </w:tcPr>
          <w:p w14:paraId="48C8B8F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以上各项情节严重的，均可酌情扣款。</w:t>
            </w:r>
          </w:p>
        </w:tc>
        <w:tc>
          <w:tcPr>
            <w:tcW w:w="299" w:type="pct"/>
            <w:noWrap w:val="0"/>
            <w:vAlign w:val="center"/>
          </w:tcPr>
          <w:p w14:paraId="6705580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99" w:type="pct"/>
            <w:noWrap w:val="0"/>
            <w:vAlign w:val="center"/>
          </w:tcPr>
          <w:p w14:paraId="2DD5600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bl>
    <w:p w14:paraId="0807CE1D">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3.零星维修服务考核标准</w:t>
      </w:r>
    </w:p>
    <w:tbl>
      <w:tblPr>
        <w:tblStyle w:val="46"/>
        <w:tblW w:w="4998" w:type="pct"/>
        <w:tblInd w:w="0" w:type="dxa"/>
        <w:tblLayout w:type="autofit"/>
        <w:tblCellMar>
          <w:top w:w="0" w:type="dxa"/>
          <w:left w:w="108" w:type="dxa"/>
          <w:bottom w:w="0" w:type="dxa"/>
          <w:right w:w="108" w:type="dxa"/>
        </w:tblCellMar>
      </w:tblPr>
      <w:tblGrid>
        <w:gridCol w:w="653"/>
        <w:gridCol w:w="6276"/>
        <w:gridCol w:w="694"/>
        <w:gridCol w:w="448"/>
        <w:gridCol w:w="448"/>
      </w:tblGrid>
      <w:tr w14:paraId="4D6F6C8F">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16A6C3F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序号</w:t>
            </w:r>
          </w:p>
        </w:tc>
        <w:tc>
          <w:tcPr>
            <w:tcW w:w="3682" w:type="pct"/>
            <w:tcBorders>
              <w:top w:val="single" w:color="auto" w:sz="4" w:space="0"/>
              <w:left w:val="single" w:color="auto" w:sz="4" w:space="0"/>
              <w:bottom w:val="single" w:color="auto" w:sz="4" w:space="0"/>
              <w:right w:val="single" w:color="auto" w:sz="4" w:space="0"/>
            </w:tcBorders>
            <w:vAlign w:val="center"/>
          </w:tcPr>
          <w:p w14:paraId="4F7FB5C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零星工程维修</w:t>
            </w:r>
          </w:p>
        </w:tc>
        <w:tc>
          <w:tcPr>
            <w:tcW w:w="407" w:type="pct"/>
            <w:tcBorders>
              <w:top w:val="single" w:color="auto" w:sz="4" w:space="0"/>
              <w:left w:val="nil"/>
              <w:bottom w:val="single" w:color="auto" w:sz="4" w:space="0"/>
              <w:right w:val="single" w:color="auto" w:sz="4" w:space="0"/>
            </w:tcBorders>
            <w:vAlign w:val="center"/>
          </w:tcPr>
          <w:p w14:paraId="36C7DA0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分值</w:t>
            </w:r>
          </w:p>
        </w:tc>
        <w:tc>
          <w:tcPr>
            <w:tcW w:w="263" w:type="pct"/>
            <w:tcBorders>
              <w:top w:val="single" w:color="auto" w:sz="4" w:space="0"/>
              <w:left w:val="nil"/>
              <w:bottom w:val="single" w:color="auto" w:sz="4" w:space="0"/>
              <w:right w:val="single" w:color="auto" w:sz="4" w:space="0"/>
            </w:tcBorders>
            <w:vAlign w:val="center"/>
          </w:tcPr>
          <w:p w14:paraId="437027B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3FB337C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1148815A">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1488C8CB">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w:t>
            </w:r>
          </w:p>
        </w:tc>
        <w:tc>
          <w:tcPr>
            <w:tcW w:w="3682" w:type="pct"/>
            <w:tcBorders>
              <w:top w:val="single" w:color="auto" w:sz="4" w:space="0"/>
              <w:left w:val="single" w:color="auto" w:sz="4" w:space="0"/>
              <w:bottom w:val="single" w:color="auto" w:sz="4" w:space="0"/>
              <w:right w:val="single" w:color="auto" w:sz="4" w:space="0"/>
            </w:tcBorders>
            <w:vAlign w:val="center"/>
          </w:tcPr>
          <w:p w14:paraId="1231BC4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技术人员须熟悉岗位职责，具备实操能力，认真负责，新进人员要书面资料报备。被投诉每次扣1分</w:t>
            </w:r>
          </w:p>
        </w:tc>
        <w:tc>
          <w:tcPr>
            <w:tcW w:w="407" w:type="pct"/>
            <w:tcBorders>
              <w:top w:val="single" w:color="auto" w:sz="4" w:space="0"/>
              <w:left w:val="nil"/>
              <w:bottom w:val="single" w:color="auto" w:sz="4" w:space="0"/>
              <w:right w:val="single" w:color="auto" w:sz="4" w:space="0"/>
            </w:tcBorders>
            <w:vAlign w:val="center"/>
          </w:tcPr>
          <w:p w14:paraId="49F752D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45F5BFD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6A2BA3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70FFA389">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06CDAF5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w:t>
            </w:r>
          </w:p>
        </w:tc>
        <w:tc>
          <w:tcPr>
            <w:tcW w:w="3682" w:type="pct"/>
            <w:tcBorders>
              <w:top w:val="single" w:color="auto" w:sz="4" w:space="0"/>
              <w:left w:val="single" w:color="auto" w:sz="4" w:space="0"/>
              <w:bottom w:val="single" w:color="auto" w:sz="4" w:space="0"/>
              <w:right w:val="single" w:color="auto" w:sz="4" w:space="0"/>
            </w:tcBorders>
            <w:vAlign w:val="center"/>
          </w:tcPr>
          <w:p w14:paraId="0762F0A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熟悉配电系统性能和运行，按操作规定实施操作，按规定巡视检查各种设施、设备运行，及时消除设备隐患，做好维护、检查等相关记录，确保配电系统正常运行，高配机房外来人员按规登记。值班替班人员须培训合格，培训不合格、无相关证明无资格上岗。每次扣0.5分</w:t>
            </w:r>
          </w:p>
        </w:tc>
        <w:tc>
          <w:tcPr>
            <w:tcW w:w="407" w:type="pct"/>
            <w:tcBorders>
              <w:top w:val="single" w:color="auto" w:sz="4" w:space="0"/>
              <w:left w:val="nil"/>
              <w:bottom w:val="single" w:color="auto" w:sz="4" w:space="0"/>
              <w:right w:val="single" w:color="auto" w:sz="4" w:space="0"/>
            </w:tcBorders>
            <w:vAlign w:val="center"/>
          </w:tcPr>
          <w:p w14:paraId="1B45F58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12</w:t>
            </w:r>
          </w:p>
        </w:tc>
        <w:tc>
          <w:tcPr>
            <w:tcW w:w="263" w:type="pct"/>
            <w:tcBorders>
              <w:top w:val="single" w:color="auto" w:sz="4" w:space="0"/>
              <w:left w:val="nil"/>
              <w:bottom w:val="single" w:color="auto" w:sz="4" w:space="0"/>
              <w:right w:val="single" w:color="auto" w:sz="4" w:space="0"/>
            </w:tcBorders>
            <w:vAlign w:val="center"/>
          </w:tcPr>
          <w:p w14:paraId="3422DB5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2A28CA3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0B032259">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29880B2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w:t>
            </w:r>
          </w:p>
        </w:tc>
        <w:tc>
          <w:tcPr>
            <w:tcW w:w="3682" w:type="pct"/>
            <w:tcBorders>
              <w:top w:val="single" w:color="auto" w:sz="4" w:space="0"/>
              <w:left w:val="nil"/>
              <w:bottom w:val="single" w:color="auto" w:sz="4" w:space="0"/>
              <w:right w:val="single" w:color="auto" w:sz="4" w:space="0"/>
            </w:tcBorders>
            <w:vAlign w:val="center"/>
          </w:tcPr>
          <w:p w14:paraId="5D6A38C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熟悉空调系统性能和运行，按操作规定实施操作，按规定巡视检查各种设施、设备运行情况，及时消除设备隐患，做好维护、检查等相关记录，确保空调系统正常运行。值班替班人员须培训合格，培训不合格、无相关证明无资格上岗。每次扣0.5分</w:t>
            </w:r>
          </w:p>
        </w:tc>
        <w:tc>
          <w:tcPr>
            <w:tcW w:w="407" w:type="pct"/>
            <w:tcBorders>
              <w:top w:val="single" w:color="auto" w:sz="4" w:space="0"/>
              <w:left w:val="nil"/>
              <w:bottom w:val="single" w:color="auto" w:sz="4" w:space="0"/>
              <w:right w:val="single" w:color="auto" w:sz="4" w:space="0"/>
            </w:tcBorders>
            <w:vAlign w:val="center"/>
          </w:tcPr>
          <w:p w14:paraId="6C54F68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6F805FBF">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4EF675E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387603F3">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40756AF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4</w:t>
            </w:r>
          </w:p>
        </w:tc>
        <w:tc>
          <w:tcPr>
            <w:tcW w:w="3682" w:type="pct"/>
            <w:tcBorders>
              <w:top w:val="single" w:color="auto" w:sz="4" w:space="0"/>
              <w:left w:val="nil"/>
              <w:bottom w:val="single" w:color="auto" w:sz="4" w:space="0"/>
              <w:right w:val="single" w:color="auto" w:sz="4" w:space="0"/>
            </w:tcBorders>
            <w:vAlign w:val="center"/>
          </w:tcPr>
          <w:p w14:paraId="2743D3A9">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消防值班人员业务熟悉，消防系统设施设备齐全、完好无损，可随时启用，消控室24小时不失守，记录齐全专人专管，室内保持整洁。每次扣0.3分</w:t>
            </w:r>
          </w:p>
        </w:tc>
        <w:tc>
          <w:tcPr>
            <w:tcW w:w="407" w:type="pct"/>
            <w:tcBorders>
              <w:top w:val="single" w:color="auto" w:sz="4" w:space="0"/>
              <w:left w:val="nil"/>
              <w:bottom w:val="single" w:color="auto" w:sz="4" w:space="0"/>
              <w:right w:val="single" w:color="auto" w:sz="4" w:space="0"/>
            </w:tcBorders>
            <w:vAlign w:val="center"/>
          </w:tcPr>
          <w:p w14:paraId="52B338E3">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198EF13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4BBC6D6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82BAD56">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01CEE69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5</w:t>
            </w:r>
          </w:p>
        </w:tc>
        <w:tc>
          <w:tcPr>
            <w:tcW w:w="3682" w:type="pct"/>
            <w:tcBorders>
              <w:top w:val="single" w:color="auto" w:sz="4" w:space="0"/>
              <w:left w:val="single" w:color="auto" w:sz="4" w:space="0"/>
              <w:bottom w:val="single" w:color="auto" w:sz="4" w:space="0"/>
              <w:right w:val="single" w:color="auto" w:sz="4" w:space="0"/>
            </w:tcBorders>
            <w:vAlign w:val="center"/>
          </w:tcPr>
          <w:p w14:paraId="4B9FF70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设备机房内整洁，无烟头、无乱堆现象，保持机身洁净、仪表清晰，设备、阀门、管道工作正常、无跑冒滴漏。每次扣0.2分</w:t>
            </w:r>
          </w:p>
        </w:tc>
        <w:tc>
          <w:tcPr>
            <w:tcW w:w="407" w:type="pct"/>
            <w:tcBorders>
              <w:top w:val="single" w:color="auto" w:sz="4" w:space="0"/>
              <w:left w:val="single" w:color="auto" w:sz="4" w:space="0"/>
              <w:bottom w:val="single" w:color="auto" w:sz="4" w:space="0"/>
              <w:right w:val="single" w:color="auto" w:sz="4" w:space="0"/>
            </w:tcBorders>
            <w:vAlign w:val="center"/>
          </w:tcPr>
          <w:p w14:paraId="44BF324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single" w:color="auto" w:sz="4" w:space="0"/>
              <w:bottom w:val="single" w:color="auto" w:sz="4" w:space="0"/>
              <w:right w:val="single" w:color="auto" w:sz="4" w:space="0"/>
            </w:tcBorders>
            <w:vAlign w:val="center"/>
          </w:tcPr>
          <w:p w14:paraId="72F3EE0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single" w:color="auto" w:sz="4" w:space="0"/>
              <w:bottom w:val="single" w:color="auto" w:sz="4" w:space="0"/>
              <w:right w:val="single" w:color="auto" w:sz="4" w:space="0"/>
            </w:tcBorders>
            <w:vAlign w:val="center"/>
          </w:tcPr>
          <w:p w14:paraId="13681EC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074E173">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5C937DFA">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6</w:t>
            </w:r>
          </w:p>
        </w:tc>
        <w:tc>
          <w:tcPr>
            <w:tcW w:w="3682" w:type="pct"/>
            <w:tcBorders>
              <w:top w:val="single" w:color="auto" w:sz="4" w:space="0"/>
              <w:left w:val="nil"/>
              <w:bottom w:val="single" w:color="auto" w:sz="4" w:space="0"/>
              <w:right w:val="single" w:color="auto" w:sz="4" w:space="0"/>
            </w:tcBorders>
            <w:vAlign w:val="center"/>
          </w:tcPr>
          <w:p w14:paraId="7E7BE66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交办的维修工作须及时、保质保量，完成有回复并做好书面记录。每次扣0.2分</w:t>
            </w:r>
          </w:p>
        </w:tc>
        <w:tc>
          <w:tcPr>
            <w:tcW w:w="407" w:type="pct"/>
            <w:tcBorders>
              <w:top w:val="single" w:color="auto" w:sz="4" w:space="0"/>
              <w:left w:val="nil"/>
              <w:bottom w:val="single" w:color="auto" w:sz="4" w:space="0"/>
              <w:right w:val="single" w:color="auto" w:sz="4" w:space="0"/>
            </w:tcBorders>
            <w:vAlign w:val="center"/>
          </w:tcPr>
          <w:p w14:paraId="6CF064BD">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nil"/>
              <w:bottom w:val="single" w:color="auto" w:sz="4" w:space="0"/>
              <w:right w:val="single" w:color="auto" w:sz="4" w:space="0"/>
            </w:tcBorders>
            <w:vAlign w:val="center"/>
          </w:tcPr>
          <w:p w14:paraId="11C186E1">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nil"/>
              <w:bottom w:val="single" w:color="auto" w:sz="4" w:space="0"/>
              <w:right w:val="single" w:color="auto" w:sz="4" w:space="0"/>
            </w:tcBorders>
            <w:vAlign w:val="center"/>
          </w:tcPr>
          <w:p w14:paraId="2E09FD5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15860768">
        <w:tblPrEx>
          <w:tblCellMar>
            <w:top w:w="0" w:type="dxa"/>
            <w:left w:w="108" w:type="dxa"/>
            <w:bottom w:w="0" w:type="dxa"/>
            <w:right w:w="108" w:type="dxa"/>
          </w:tblCellMar>
        </w:tblPrEx>
        <w:trPr>
          <w:trHeight w:val="283" w:hRule="atLeast"/>
        </w:trPr>
        <w:tc>
          <w:tcPr>
            <w:tcW w:w="383" w:type="pct"/>
            <w:tcBorders>
              <w:top w:val="nil"/>
              <w:left w:val="single" w:color="auto" w:sz="4" w:space="0"/>
              <w:bottom w:val="single" w:color="auto" w:sz="4" w:space="0"/>
              <w:right w:val="single" w:color="auto" w:sz="4" w:space="0"/>
            </w:tcBorders>
            <w:vAlign w:val="center"/>
          </w:tcPr>
          <w:p w14:paraId="59D9CEF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7</w:t>
            </w:r>
          </w:p>
        </w:tc>
        <w:tc>
          <w:tcPr>
            <w:tcW w:w="3682" w:type="pct"/>
            <w:tcBorders>
              <w:top w:val="nil"/>
              <w:left w:val="nil"/>
              <w:bottom w:val="single" w:color="auto" w:sz="4" w:space="0"/>
              <w:right w:val="single" w:color="auto" w:sz="4" w:space="0"/>
            </w:tcBorders>
            <w:vAlign w:val="center"/>
          </w:tcPr>
          <w:p w14:paraId="486093F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安全措施行之有效，无安全事故。遇各类应急抢修必须按照应急预案处理，处理得当可加分，有漏报瞒报现象不得分。</w:t>
            </w:r>
          </w:p>
        </w:tc>
        <w:tc>
          <w:tcPr>
            <w:tcW w:w="407" w:type="pct"/>
            <w:tcBorders>
              <w:top w:val="nil"/>
              <w:left w:val="nil"/>
              <w:bottom w:val="single" w:color="auto" w:sz="4" w:space="0"/>
              <w:right w:val="single" w:color="auto" w:sz="4" w:space="0"/>
            </w:tcBorders>
            <w:vAlign w:val="center"/>
          </w:tcPr>
          <w:p w14:paraId="16BC52A2">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nil"/>
              <w:left w:val="nil"/>
              <w:bottom w:val="single" w:color="auto" w:sz="4" w:space="0"/>
              <w:right w:val="single" w:color="auto" w:sz="4" w:space="0"/>
            </w:tcBorders>
            <w:vAlign w:val="center"/>
          </w:tcPr>
          <w:p w14:paraId="35497C6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nil"/>
              <w:left w:val="nil"/>
              <w:bottom w:val="single" w:color="auto" w:sz="4" w:space="0"/>
              <w:right w:val="single" w:color="auto" w:sz="4" w:space="0"/>
            </w:tcBorders>
            <w:vAlign w:val="center"/>
          </w:tcPr>
          <w:p w14:paraId="63C093E4">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0037E82C">
        <w:tblPrEx>
          <w:tblCellMar>
            <w:top w:w="0" w:type="dxa"/>
            <w:left w:w="108" w:type="dxa"/>
            <w:bottom w:w="0" w:type="dxa"/>
            <w:right w:w="108" w:type="dxa"/>
          </w:tblCellMar>
        </w:tblPrEx>
        <w:trPr>
          <w:trHeight w:val="283" w:hRule="atLeast"/>
        </w:trPr>
        <w:tc>
          <w:tcPr>
            <w:tcW w:w="383" w:type="pct"/>
            <w:tcBorders>
              <w:top w:val="nil"/>
              <w:left w:val="single" w:color="auto" w:sz="4" w:space="0"/>
              <w:bottom w:val="single" w:color="auto" w:sz="4" w:space="0"/>
              <w:right w:val="single" w:color="auto" w:sz="4" w:space="0"/>
            </w:tcBorders>
            <w:vAlign w:val="center"/>
          </w:tcPr>
          <w:p w14:paraId="56E6831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8</w:t>
            </w:r>
          </w:p>
        </w:tc>
        <w:tc>
          <w:tcPr>
            <w:tcW w:w="3682" w:type="pct"/>
            <w:tcBorders>
              <w:top w:val="nil"/>
              <w:left w:val="nil"/>
              <w:bottom w:val="single" w:color="auto" w:sz="4" w:space="0"/>
              <w:right w:val="single" w:color="auto" w:sz="4" w:space="0"/>
            </w:tcBorders>
            <w:vAlign w:val="center"/>
          </w:tcPr>
          <w:p w14:paraId="74AB142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定期进行技能培训，每季度不少于一次，培训内容和计划要报备。</w:t>
            </w:r>
          </w:p>
        </w:tc>
        <w:tc>
          <w:tcPr>
            <w:tcW w:w="407" w:type="pct"/>
            <w:tcBorders>
              <w:top w:val="nil"/>
              <w:left w:val="nil"/>
              <w:bottom w:val="single" w:color="auto" w:sz="4" w:space="0"/>
              <w:right w:val="single" w:color="auto" w:sz="4" w:space="0"/>
            </w:tcBorders>
            <w:vAlign w:val="center"/>
          </w:tcPr>
          <w:p w14:paraId="2D8C7F1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nil"/>
              <w:left w:val="nil"/>
              <w:bottom w:val="single" w:color="auto" w:sz="4" w:space="0"/>
              <w:right w:val="single" w:color="auto" w:sz="4" w:space="0"/>
            </w:tcBorders>
            <w:vAlign w:val="center"/>
          </w:tcPr>
          <w:p w14:paraId="2EDD6257">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nil"/>
              <w:left w:val="nil"/>
              <w:bottom w:val="single" w:color="auto" w:sz="4" w:space="0"/>
              <w:right w:val="single" w:color="auto" w:sz="4" w:space="0"/>
            </w:tcBorders>
            <w:vAlign w:val="center"/>
          </w:tcPr>
          <w:p w14:paraId="39D60730">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r w14:paraId="4752F764">
        <w:tblPrEx>
          <w:tblCellMar>
            <w:top w:w="0" w:type="dxa"/>
            <w:left w:w="108" w:type="dxa"/>
            <w:bottom w:w="0" w:type="dxa"/>
            <w:right w:w="108" w:type="dxa"/>
          </w:tblCellMar>
        </w:tblPrEx>
        <w:trPr>
          <w:trHeight w:val="283" w:hRule="atLeast"/>
        </w:trPr>
        <w:tc>
          <w:tcPr>
            <w:tcW w:w="383" w:type="pct"/>
            <w:tcBorders>
              <w:top w:val="single" w:color="auto" w:sz="4" w:space="0"/>
              <w:left w:val="single" w:color="auto" w:sz="4" w:space="0"/>
              <w:bottom w:val="single" w:color="auto" w:sz="4" w:space="0"/>
              <w:right w:val="single" w:color="auto" w:sz="4" w:space="0"/>
            </w:tcBorders>
            <w:vAlign w:val="center"/>
          </w:tcPr>
          <w:p w14:paraId="76408C9C">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9</w:t>
            </w:r>
          </w:p>
        </w:tc>
        <w:tc>
          <w:tcPr>
            <w:tcW w:w="3682" w:type="pct"/>
            <w:tcBorders>
              <w:top w:val="single" w:color="auto" w:sz="4" w:space="0"/>
              <w:left w:val="single" w:color="auto" w:sz="4" w:space="0"/>
              <w:bottom w:val="single" w:color="auto" w:sz="4" w:space="0"/>
              <w:right w:val="single" w:color="auto" w:sz="4" w:space="0"/>
            </w:tcBorders>
            <w:vAlign w:val="center"/>
          </w:tcPr>
          <w:p w14:paraId="33C0E296">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安排工程人员对外来施工过程监管，值班人员要严格监督按规范安全文明施工，监管不力每次扣1分。</w:t>
            </w:r>
          </w:p>
        </w:tc>
        <w:tc>
          <w:tcPr>
            <w:tcW w:w="407" w:type="pct"/>
            <w:tcBorders>
              <w:top w:val="single" w:color="auto" w:sz="4" w:space="0"/>
              <w:left w:val="single" w:color="auto" w:sz="4" w:space="0"/>
              <w:bottom w:val="single" w:color="auto" w:sz="4" w:space="0"/>
              <w:right w:val="single" w:color="auto" w:sz="4" w:space="0"/>
            </w:tcBorders>
            <w:vAlign w:val="center"/>
          </w:tcPr>
          <w:p w14:paraId="19C4F438">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w:t>
            </w:r>
          </w:p>
        </w:tc>
        <w:tc>
          <w:tcPr>
            <w:tcW w:w="263" w:type="pct"/>
            <w:tcBorders>
              <w:top w:val="single" w:color="auto" w:sz="4" w:space="0"/>
              <w:left w:val="single" w:color="auto" w:sz="4" w:space="0"/>
              <w:bottom w:val="single" w:color="auto" w:sz="4" w:space="0"/>
              <w:right w:val="single" w:color="auto" w:sz="4" w:space="0"/>
            </w:tcBorders>
            <w:vAlign w:val="center"/>
          </w:tcPr>
          <w:p w14:paraId="17C83F25">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c>
          <w:tcPr>
            <w:tcW w:w="263" w:type="pct"/>
            <w:tcBorders>
              <w:top w:val="single" w:color="auto" w:sz="4" w:space="0"/>
              <w:left w:val="single" w:color="auto" w:sz="4" w:space="0"/>
              <w:bottom w:val="single" w:color="auto" w:sz="4" w:space="0"/>
              <w:right w:val="single" w:color="auto" w:sz="4" w:space="0"/>
            </w:tcBorders>
            <w:vAlign w:val="center"/>
          </w:tcPr>
          <w:p w14:paraId="422ADFDE">
            <w:pPr>
              <w:keepNext w:val="0"/>
              <w:keepLines w:val="0"/>
              <w:pageBreakBefore w:val="0"/>
              <w:widowControl w:val="0"/>
              <w:tabs>
                <w:tab w:val="left" w:pos="426"/>
              </w:tabs>
              <w:kinsoku/>
              <w:wordWrap/>
              <w:overflowPunct/>
              <w:topLinePunct w:val="0"/>
              <w:autoSpaceDE w:val="0"/>
              <w:autoSpaceDN w:val="0"/>
              <w:bidi w:val="0"/>
              <w:adjustRightInd w:val="0"/>
              <w:snapToGrid/>
              <w:spacing w:before="0" w:after="0" w:line="360" w:lineRule="exact"/>
              <w:jc w:val="center"/>
              <w:textAlignment w:val="auto"/>
              <w:rPr>
                <w:rFonts w:hint="eastAsia" w:ascii="宋体" w:hAnsi="宋体" w:eastAsia="宋体" w:cs="宋体"/>
                <w:bCs/>
                <w:color w:val="auto"/>
                <w:kern w:val="0"/>
                <w:sz w:val="21"/>
                <w:szCs w:val="21"/>
                <w:highlight w:val="none"/>
                <w:lang w:val="en-US" w:eastAsia="zh-CN" w:bidi="ar-SA"/>
              </w:rPr>
            </w:pPr>
          </w:p>
        </w:tc>
      </w:tr>
    </w:tbl>
    <w:p w14:paraId="10E21204">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4.奖惩措施</w:t>
      </w:r>
    </w:p>
    <w:p w14:paraId="5CF85E47">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根据考核标准每天对</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的人员到岗、工作成绩、现场效果、优质服务等情况进行百分制考核。</w:t>
      </w:r>
    </w:p>
    <w:p w14:paraId="1B8BEA3C">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（2）每月考核与城市长效管理考核相结合，如因</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工作不到位而导致被扣分，则当月考核扣分数为长效考核扣分数的3倍。</w:t>
      </w:r>
    </w:p>
    <w:p w14:paraId="44AF6785">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每月上报工作计划，经</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审核后安排每月工作，</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根据工作计划完成情况及考核标准对管理公司进行考核。</w:t>
      </w:r>
    </w:p>
    <w:p w14:paraId="2EBE795B">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月度内累计得出当月得分。月考核得分低于85分，低一分则扣除月度应支付总额的1%。当月付款时兑现；月度考核得分在90分（不含）以上的，每高1分，奖励当月应支付总额的1%，以此类推计算，奖励金额在年终支付。月考核得分累计3次（含3次）以上低于85分，</w:t>
      </w:r>
      <w:r>
        <w:rPr>
          <w:rFonts w:hint="eastAsia" w:ascii="宋体" w:hAnsi="宋体" w:cs="宋体"/>
          <w:bCs/>
          <w:color w:val="auto"/>
          <w:kern w:val="2"/>
          <w:sz w:val="24"/>
          <w:szCs w:val="24"/>
          <w:highlight w:val="none"/>
          <w:lang w:val="en-US" w:eastAsia="zh-CN" w:bidi="ar-SA"/>
        </w:rPr>
        <w:t>甲方</w:t>
      </w:r>
      <w:r>
        <w:rPr>
          <w:rFonts w:hint="eastAsia" w:ascii="宋体" w:hAnsi="宋体" w:eastAsia="宋体" w:cs="宋体"/>
          <w:bCs/>
          <w:color w:val="auto"/>
          <w:kern w:val="2"/>
          <w:sz w:val="24"/>
          <w:szCs w:val="24"/>
          <w:highlight w:val="none"/>
          <w:lang w:val="en-US" w:eastAsia="zh-CN" w:bidi="ar-SA"/>
        </w:rPr>
        <w:t>有权解除合同。</w:t>
      </w:r>
    </w:p>
    <w:p w14:paraId="1E5B5C3F">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注：（1）如现场负责人无故不在管理现场，加大考核扣分力度，发现一次无故不在现场扣2分。</w:t>
      </w:r>
    </w:p>
    <w:p w14:paraId="00363B7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2"/>
          <w:sz w:val="24"/>
          <w:szCs w:val="24"/>
          <w:highlight w:val="none"/>
          <w:lang w:val="en-US" w:eastAsia="zh-CN" w:bidi="ar-SA"/>
        </w:rPr>
        <w:t>（2）公园考核时，</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负责人必须参加，考核结果应双方签字认可。</w:t>
      </w:r>
    </w:p>
    <w:p w14:paraId="2DDF6CAB">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eastAsia="zh-CN"/>
        </w:rPr>
        <w:t>四</w:t>
      </w:r>
      <w:r>
        <w:rPr>
          <w:rFonts w:hint="eastAsia" w:ascii="宋体" w:hAnsi="宋体" w:eastAsia="宋体" w:cs="宋体"/>
          <w:b/>
          <w:color w:val="auto"/>
          <w:sz w:val="24"/>
          <w:szCs w:val="24"/>
          <w:highlight w:val="none"/>
        </w:rPr>
        <w:t>条 组成本合同的有关文件</w:t>
      </w:r>
    </w:p>
    <w:p w14:paraId="6AF9125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JSZC-320402-SYZB-G2025-0057</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F2959F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结算方式：固定总价。</w:t>
      </w:r>
    </w:p>
    <w:p w14:paraId="2E1296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.付款方式：根据考核结果季度按实结算付款</w:t>
      </w:r>
      <w:r>
        <w:rPr>
          <w:rFonts w:hint="eastAsia" w:ascii="宋体" w:hAnsi="宋体" w:eastAsia="宋体" w:cs="宋体"/>
          <w:color w:val="auto"/>
          <w:sz w:val="24"/>
          <w:szCs w:val="24"/>
          <w:highlight w:val="none"/>
          <w:lang w:val="en-US" w:eastAsia="zh-CN"/>
        </w:rPr>
        <w:t>。</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第九条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464ED5DC">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6"/>
        <w:spacing w:line="460" w:lineRule="exact"/>
        <w:ind w:firstLine="480"/>
        <w:rPr>
          <w:color w:val="auto"/>
          <w:highlight w:val="none"/>
        </w:rPr>
      </w:pPr>
    </w:p>
    <w:p w14:paraId="1B839D5D">
      <w:pPr>
        <w:pStyle w:val="6"/>
        <w:spacing w:line="460" w:lineRule="exact"/>
        <w:ind w:firstLine="480"/>
        <w:rPr>
          <w:color w:val="auto"/>
          <w:highlight w:val="none"/>
        </w:rPr>
      </w:pPr>
      <w:r>
        <w:rPr>
          <w:rFonts w:hint="eastAsia"/>
          <w:color w:val="auto"/>
          <w:highlight w:val="none"/>
        </w:rPr>
        <w:t>致：江苏尚阳工程管理有限公司</w:t>
      </w:r>
    </w:p>
    <w:p w14:paraId="1AD75FEC">
      <w:pPr>
        <w:pStyle w:val="6"/>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6"/>
        <w:spacing w:line="460" w:lineRule="exact"/>
        <w:ind w:firstLine="480"/>
        <w:rPr>
          <w:color w:val="auto"/>
          <w:highlight w:val="none"/>
        </w:rPr>
      </w:pPr>
    </w:p>
    <w:p w14:paraId="00C65AF4">
      <w:pPr>
        <w:pStyle w:val="6"/>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6"/>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1C87178">
      <w:pPr>
        <w:pStyle w:val="6"/>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6"/>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6"/>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6"/>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6"/>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6"/>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6"/>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6"/>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6"/>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6"/>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6"/>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6"/>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6"/>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6"/>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6"/>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6"/>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6"/>
        <w:spacing w:line="460" w:lineRule="exact"/>
        <w:ind w:firstLine="480"/>
        <w:rPr>
          <w:color w:val="auto"/>
          <w:highlight w:val="none"/>
        </w:rPr>
      </w:pPr>
    </w:p>
    <w:p w14:paraId="38F69CC5">
      <w:pPr>
        <w:pStyle w:val="6"/>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6"/>
        <w:spacing w:line="460" w:lineRule="exact"/>
        <w:ind w:firstLine="480"/>
        <w:rPr>
          <w:color w:val="auto"/>
          <w:highlight w:val="none"/>
        </w:rPr>
      </w:pPr>
    </w:p>
    <w:p w14:paraId="716EE503">
      <w:pPr>
        <w:pStyle w:val="6"/>
        <w:spacing w:line="460" w:lineRule="exact"/>
        <w:ind w:firstLine="480"/>
        <w:rPr>
          <w:color w:val="auto"/>
          <w:highlight w:val="none"/>
        </w:rPr>
      </w:pPr>
    </w:p>
    <w:p w14:paraId="65C2E09D">
      <w:pPr>
        <w:pStyle w:val="6"/>
        <w:spacing w:line="460" w:lineRule="exact"/>
        <w:ind w:firstLine="480"/>
        <w:rPr>
          <w:color w:val="auto"/>
          <w:highlight w:val="none"/>
        </w:rPr>
      </w:pPr>
      <w:r>
        <w:rPr>
          <w:rFonts w:hint="eastAsia"/>
          <w:color w:val="auto"/>
          <w:highlight w:val="none"/>
        </w:rPr>
        <w:t>                                            投标人：（加盖公章）</w:t>
      </w:r>
    </w:p>
    <w:p w14:paraId="2A13F222">
      <w:pPr>
        <w:pStyle w:val="6"/>
        <w:spacing w:line="460" w:lineRule="exact"/>
        <w:ind w:firstLine="480"/>
        <w:rPr>
          <w:color w:val="auto"/>
          <w:highlight w:val="none"/>
        </w:rPr>
      </w:pPr>
      <w:r>
        <w:rPr>
          <w:rFonts w:hint="eastAsia"/>
          <w:color w:val="auto"/>
          <w:highlight w:val="none"/>
        </w:rPr>
        <w:t>                                           法定代表人（或单位负责人）签字或盖章：</w:t>
      </w:r>
    </w:p>
    <w:p w14:paraId="067CA634">
      <w:pPr>
        <w:pStyle w:val="6"/>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w:t>
      </w:r>
      <w:r>
        <w:rPr>
          <w:rFonts w:hint="eastAsia"/>
          <w:color w:val="auto"/>
          <w:sz w:val="24"/>
          <w:highlight w:val="none"/>
        </w:rPr>
        <w:t>供应商填写所属的行业和指标数据可自动生成企业规模类型测试结果。（工信部网址：https://baosong.miit.gov.cn/ScaleTest）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租赁和商务服务业</w:t>
      </w:r>
      <w:r>
        <w:rPr>
          <w:rFonts w:hint="eastAsia" w:ascii="宋体" w:hAnsi="宋体" w:eastAsia="宋体" w:cs="宋体"/>
          <w:color w:val="auto"/>
          <w:sz w:val="24"/>
          <w:szCs w:val="24"/>
          <w:highlight w:val="none"/>
        </w:rPr>
        <w:t>等。</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0E46F4F6">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rPr>
        <w:t xml:space="preserve"> 本项目的特定资格要求</w:t>
      </w:r>
    </w:p>
    <w:p w14:paraId="226C05EC">
      <w:pPr>
        <w:spacing w:line="360" w:lineRule="auto"/>
        <w:rPr>
          <w:rFonts w:hint="eastAsia" w:cs="Times New Roman"/>
          <w:color w:val="auto"/>
          <w:sz w:val="24"/>
          <w:highlight w:val="none"/>
          <w:lang w:val="en-US" w:eastAsia="zh-CN"/>
        </w:rPr>
      </w:pPr>
      <w:r>
        <w:rPr>
          <w:rFonts w:hint="eastAsia" w:cs="Times New Roman"/>
          <w:color w:val="auto"/>
          <w:sz w:val="24"/>
          <w:highlight w:val="none"/>
          <w:lang w:val="en-US" w:eastAsia="zh-CN"/>
        </w:rPr>
        <w:t>3.1投标人具有有效的公安机关颁发的保安服务许可证</w:t>
      </w:r>
    </w:p>
    <w:p w14:paraId="77606766">
      <w:pPr>
        <w:spacing w:line="360" w:lineRule="auto"/>
        <w:rPr>
          <w:rFonts w:ascii="宋体" w:hAnsi="宋体"/>
          <w:b/>
          <w:color w:val="auto"/>
          <w:sz w:val="32"/>
          <w:szCs w:val="32"/>
          <w:highlight w:val="none"/>
        </w:rPr>
      </w:pPr>
      <w:r>
        <w:rPr>
          <w:rFonts w:hint="eastAsia" w:cs="Times New Roman"/>
          <w:color w:val="auto"/>
          <w:sz w:val="24"/>
          <w:highlight w:val="none"/>
          <w:lang w:val="en-US" w:eastAsia="zh-CN"/>
        </w:rPr>
        <w:br w:type="page"/>
      </w:r>
      <w:r>
        <w:rPr>
          <w:rFonts w:ascii="宋体" w:hAnsi="宋体"/>
          <w:b/>
          <w:color w:val="auto"/>
          <w:sz w:val="32"/>
          <w:szCs w:val="32"/>
          <w:highlight w:val="none"/>
        </w:rPr>
        <w:t>二、商务技术文件格式</w:t>
      </w:r>
      <w:bookmarkStart w:id="817" w:name="_Toc150774761"/>
      <w:bookmarkStart w:id="818" w:name="_Toc520356217"/>
      <w:bookmarkStart w:id="819" w:name="_Toc226337252"/>
      <w:bookmarkStart w:id="820" w:name="_Ref467988698"/>
      <w:bookmarkStart w:id="821" w:name="_Toc480942349"/>
      <w:bookmarkStart w:id="822" w:name="_Toc142311058"/>
      <w:bookmarkStart w:id="823" w:name="_Toc226965746"/>
      <w:bookmarkStart w:id="824" w:name="_Toc127151556"/>
      <w:bookmarkStart w:id="825" w:name="_Toc226309800"/>
      <w:bookmarkStart w:id="826" w:name="_Toc195842921"/>
      <w:bookmarkStart w:id="827" w:name="_Toc150480794"/>
      <w:bookmarkStart w:id="828" w:name="_Toc22696582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6243"/>
      <w:bookmarkEnd w:id="829"/>
      <w:bookmarkStart w:id="830" w:name="_Hlt520355938"/>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20"/>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投标供应商：（加盖公章）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1" w:name="_Hlt520271212"/>
      <w:bookmarkEnd w:id="831"/>
      <w:bookmarkStart w:id="832" w:name="_Hlt520355504"/>
      <w:bookmarkEnd w:id="832"/>
      <w:bookmarkStart w:id="833" w:name="_Hlt520274121"/>
      <w:bookmarkEnd w:id="833"/>
      <w:bookmarkStart w:id="834" w:name="_Hlt520274407"/>
      <w:bookmarkEnd w:id="834"/>
      <w:bookmarkStart w:id="835" w:name="_Hlt520274393"/>
      <w:bookmarkEnd w:id="835"/>
      <w:bookmarkStart w:id="836" w:name="_Hlt520343392"/>
      <w:bookmarkEnd w:id="836"/>
      <w:bookmarkStart w:id="837" w:name="_Hlt520343000"/>
      <w:bookmarkEnd w:id="837"/>
      <w:bookmarkStart w:id="838" w:name="_Hlt520350918"/>
      <w:bookmarkEnd w:id="838"/>
      <w:bookmarkStart w:id="839" w:name="_Hlt520273711"/>
      <w:bookmarkEnd w:id="839"/>
      <w:bookmarkStart w:id="840" w:name="_Hlt520274065"/>
      <w:bookmarkEnd w:id="840"/>
      <w:bookmarkStart w:id="841" w:name="_Toc265228395"/>
      <w:bookmarkStart w:id="842" w:name="_Toc150480795"/>
      <w:bookmarkStart w:id="843" w:name="_Toc264969247"/>
      <w:bookmarkStart w:id="844" w:name="_Toc142311059"/>
      <w:bookmarkStart w:id="845" w:name="_Toc127151557"/>
      <w:bookmarkStart w:id="846" w:name="_Toc226337253"/>
      <w:bookmarkStart w:id="847" w:name="_Toc195842922"/>
      <w:bookmarkStart w:id="848" w:name="_Toc520356218"/>
      <w:bookmarkStart w:id="849" w:name="_Toc226965830"/>
      <w:bookmarkStart w:id="850" w:name="_Toc305158825"/>
      <w:bookmarkStart w:id="851" w:name="_Toc150774762"/>
      <w:bookmarkStart w:id="852" w:name="_Toc226965747"/>
      <w:bookmarkStart w:id="853" w:name="_Ref467988705"/>
      <w:bookmarkStart w:id="854" w:name="_Toc480942350"/>
      <w:bookmarkStart w:id="855" w:name="_Toc226309801"/>
      <w:bookmarkStart w:id="856" w:name="_Toc305158899"/>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360" w:lineRule="exact"/>
        <w:jc w:val="center"/>
        <w:rPr>
          <w:b/>
          <w:color w:val="auto"/>
          <w:sz w:val="36"/>
          <w:szCs w:val="36"/>
          <w:highlight w:val="none"/>
        </w:rPr>
      </w:pPr>
      <w:bookmarkStart w:id="857" w:name="_Toc265228396"/>
      <w:bookmarkStart w:id="858" w:name="_Toc195842923"/>
      <w:bookmarkStart w:id="859" w:name="_Toc226337254"/>
      <w:bookmarkStart w:id="860" w:name="_Toc226965831"/>
      <w:bookmarkStart w:id="861" w:name="_Toc164608672"/>
      <w:bookmarkStart w:id="862" w:name="_Toc305158826"/>
      <w:bookmarkStart w:id="863" w:name="_Toc164608827"/>
      <w:bookmarkStart w:id="864" w:name="_Toc264969248"/>
      <w:bookmarkStart w:id="865" w:name="_Toc226965748"/>
      <w:bookmarkStart w:id="866" w:name="_Toc305158900"/>
      <w:bookmarkStart w:id="867" w:name="_Toc226309802"/>
      <w:r>
        <w:rPr>
          <w:rFonts w:hint="eastAsia"/>
          <w:b/>
          <w:color w:val="auto"/>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注:此表中的投标报价应和《投标分项报价表》中的总价相一致。</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w:t>
      </w: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6397A2B">
      <w:pPr>
        <w:spacing w:line="360" w:lineRule="auto"/>
        <w:outlineLvl w:val="2"/>
        <w:rPr>
          <w:color w:val="auto"/>
          <w:sz w:val="24"/>
          <w:szCs w:val="20"/>
          <w:highlight w:val="none"/>
        </w:rPr>
      </w:pPr>
      <w:bookmarkStart w:id="868" w:name="_Toc142311060"/>
      <w:bookmarkStart w:id="869" w:name="_Toc265228397"/>
      <w:bookmarkStart w:id="870" w:name="_Toc195842924"/>
      <w:bookmarkStart w:id="871" w:name="_Toc150774763"/>
      <w:bookmarkStart w:id="872" w:name="_Toc305158827"/>
      <w:bookmarkStart w:id="873" w:name="_Toc226309803"/>
      <w:bookmarkStart w:id="874" w:name="_Toc127151558"/>
      <w:bookmarkStart w:id="875" w:name="_Toc226337255"/>
      <w:bookmarkStart w:id="876" w:name="_Toc305158901"/>
      <w:bookmarkStart w:id="877" w:name="_Toc150480796"/>
      <w:bookmarkStart w:id="878" w:name="_Toc264969249"/>
      <w:bookmarkStart w:id="879" w:name="_Toc226965749"/>
      <w:bookmarkStart w:id="880" w:name="_Toc226965832"/>
      <w:r>
        <w:rPr>
          <w:color w:val="auto"/>
          <w:sz w:val="24"/>
          <w:szCs w:val="20"/>
          <w:highlight w:val="none"/>
        </w:rPr>
        <w:br w:type="page"/>
      </w:r>
      <w:r>
        <w:rPr>
          <w:rFonts w:hint="eastAsia"/>
          <w:color w:val="auto"/>
          <w:sz w:val="24"/>
          <w:szCs w:val="20"/>
          <w:highlight w:val="none"/>
        </w:rPr>
        <w:t>5</w:t>
      </w:r>
      <w:r>
        <w:rPr>
          <w:color w:val="auto"/>
          <w:sz w:val="24"/>
          <w:szCs w:val="20"/>
          <w:highlight w:val="none"/>
        </w:rPr>
        <w:t xml:space="preserve">  投标分项报价表（实质性格式）</w:t>
      </w:r>
    </w:p>
    <w:p w14:paraId="08E90F52">
      <w:pPr>
        <w:spacing w:line="360" w:lineRule="exact"/>
        <w:jc w:val="center"/>
        <w:rPr>
          <w:color w:val="auto"/>
          <w:sz w:val="36"/>
          <w:szCs w:val="36"/>
          <w:highlight w:val="none"/>
        </w:rPr>
      </w:pPr>
    </w:p>
    <w:p w14:paraId="5100AF56">
      <w:pPr>
        <w:spacing w:line="360" w:lineRule="exact"/>
        <w:jc w:val="center"/>
        <w:outlineLvl w:val="9"/>
        <w:rPr>
          <w:color w:val="auto"/>
          <w:sz w:val="36"/>
          <w:szCs w:val="36"/>
          <w:highlight w:val="none"/>
        </w:rPr>
      </w:pPr>
    </w:p>
    <w:p w14:paraId="3D00EEC1">
      <w:pPr>
        <w:jc w:val="center"/>
        <w:outlineLvl w:val="9"/>
        <w:rPr>
          <w:b/>
          <w:color w:val="auto"/>
          <w:sz w:val="36"/>
          <w:szCs w:val="36"/>
          <w:highlight w:val="none"/>
        </w:rPr>
      </w:pPr>
      <w:r>
        <w:rPr>
          <w:rFonts w:hint="eastAsia"/>
          <w:b/>
          <w:color w:val="auto"/>
          <w:sz w:val="36"/>
          <w:szCs w:val="36"/>
          <w:highlight w:val="none"/>
        </w:rPr>
        <w:t>分项报价表</w:t>
      </w:r>
    </w:p>
    <w:p w14:paraId="52448EB5">
      <w:pPr>
        <w:spacing w:line="260" w:lineRule="exact"/>
        <w:jc w:val="center"/>
        <w:outlineLvl w:val="9"/>
        <w:rPr>
          <w:color w:val="auto"/>
          <w:sz w:val="36"/>
          <w:szCs w:val="36"/>
          <w:highlight w:val="none"/>
        </w:rPr>
      </w:pPr>
    </w:p>
    <w:p w14:paraId="473AF9AA">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62A9F5BA">
      <w:pPr>
        <w:tabs>
          <w:tab w:val="left" w:pos="1800"/>
          <w:tab w:val="left" w:pos="5580"/>
        </w:tabs>
        <w:jc w:val="left"/>
        <w:outlineLvl w:val="9"/>
        <w:rPr>
          <w:rFonts w:hint="eastAsia"/>
          <w:color w:val="auto"/>
          <w:sz w:val="24"/>
          <w:highlight w:val="none"/>
        </w:rPr>
      </w:pPr>
    </w:p>
    <w:tbl>
      <w:tblPr>
        <w:tblStyle w:val="46"/>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01DC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5AB6BF">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noWrap w:val="0"/>
            <w:vAlign w:val="center"/>
          </w:tcPr>
          <w:p w14:paraId="0AD103D9">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noWrap w:val="0"/>
            <w:vAlign w:val="center"/>
          </w:tcPr>
          <w:p w14:paraId="69EF212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noWrap w:val="0"/>
            <w:vAlign w:val="center"/>
          </w:tcPr>
          <w:p w14:paraId="37EA2D0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noWrap w:val="0"/>
            <w:vAlign w:val="center"/>
          </w:tcPr>
          <w:p w14:paraId="6F6BE1C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6CE08715">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lang w:val="en-US" w:eastAsia="zh-CN"/>
              </w:rPr>
              <w:t>投标</w:t>
            </w:r>
            <w:r>
              <w:rPr>
                <w:rFonts w:hint="eastAsia" w:ascii="宋体" w:hAnsi="宋体" w:cs="Arial"/>
                <w:color w:val="auto"/>
                <w:sz w:val="24"/>
                <w:highlight w:val="none"/>
              </w:rPr>
              <w:t>价格</w:t>
            </w:r>
          </w:p>
        </w:tc>
      </w:tr>
      <w:tr w14:paraId="205E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47772FF8">
            <w:pPr>
              <w:widowControl/>
              <w:jc w:val="left"/>
              <w:rPr>
                <w:rFonts w:ascii="宋体" w:hAnsi="宋体" w:cs="Arial"/>
                <w:color w:val="auto"/>
                <w:sz w:val="24"/>
                <w:highlight w:val="none"/>
              </w:rPr>
            </w:pPr>
          </w:p>
        </w:tc>
        <w:tc>
          <w:tcPr>
            <w:tcW w:w="1423" w:type="dxa"/>
            <w:vMerge w:val="continue"/>
            <w:noWrap w:val="0"/>
            <w:vAlign w:val="center"/>
          </w:tcPr>
          <w:p w14:paraId="2A3279E2">
            <w:pPr>
              <w:widowControl/>
              <w:jc w:val="left"/>
              <w:rPr>
                <w:rFonts w:ascii="宋体" w:hAnsi="宋体" w:cs="Arial"/>
                <w:color w:val="auto"/>
                <w:sz w:val="24"/>
                <w:highlight w:val="none"/>
              </w:rPr>
            </w:pPr>
          </w:p>
        </w:tc>
        <w:tc>
          <w:tcPr>
            <w:tcW w:w="2533" w:type="dxa"/>
            <w:vMerge w:val="continue"/>
            <w:noWrap w:val="0"/>
            <w:vAlign w:val="center"/>
          </w:tcPr>
          <w:p w14:paraId="6585EFB0">
            <w:pPr>
              <w:widowControl/>
              <w:jc w:val="left"/>
              <w:rPr>
                <w:rFonts w:ascii="宋体" w:hAnsi="宋体" w:cs="Arial"/>
                <w:color w:val="auto"/>
                <w:sz w:val="24"/>
                <w:highlight w:val="none"/>
              </w:rPr>
            </w:pPr>
          </w:p>
        </w:tc>
        <w:tc>
          <w:tcPr>
            <w:tcW w:w="1042" w:type="dxa"/>
            <w:vMerge w:val="continue"/>
            <w:noWrap w:val="0"/>
            <w:vAlign w:val="center"/>
          </w:tcPr>
          <w:p w14:paraId="74254AAA">
            <w:pPr>
              <w:widowControl/>
              <w:jc w:val="left"/>
              <w:rPr>
                <w:rFonts w:ascii="宋体" w:hAnsi="宋体" w:cs="Arial"/>
                <w:color w:val="auto"/>
                <w:sz w:val="24"/>
                <w:highlight w:val="none"/>
              </w:rPr>
            </w:pPr>
          </w:p>
        </w:tc>
        <w:tc>
          <w:tcPr>
            <w:tcW w:w="992" w:type="dxa"/>
            <w:vMerge w:val="continue"/>
            <w:noWrap w:val="0"/>
            <w:vAlign w:val="center"/>
          </w:tcPr>
          <w:p w14:paraId="16BDCBAA">
            <w:pPr>
              <w:widowControl/>
              <w:jc w:val="left"/>
              <w:rPr>
                <w:rFonts w:ascii="宋体" w:hAnsi="宋体" w:cs="Arial"/>
                <w:color w:val="auto"/>
                <w:sz w:val="24"/>
                <w:highlight w:val="none"/>
              </w:rPr>
            </w:pPr>
          </w:p>
        </w:tc>
        <w:tc>
          <w:tcPr>
            <w:tcW w:w="919" w:type="dxa"/>
            <w:noWrap w:val="0"/>
            <w:vAlign w:val="center"/>
          </w:tcPr>
          <w:p w14:paraId="62F4580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197700FA">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合价</w:t>
            </w:r>
          </w:p>
        </w:tc>
      </w:tr>
      <w:tr w14:paraId="68177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43A1616">
            <w:pPr>
              <w:widowControl/>
              <w:spacing w:line="360" w:lineRule="auto"/>
              <w:jc w:val="center"/>
              <w:rPr>
                <w:rFonts w:ascii="宋体" w:hAnsi="宋体" w:cs="Arial"/>
                <w:color w:val="auto"/>
                <w:sz w:val="24"/>
                <w:highlight w:val="none"/>
              </w:rPr>
            </w:pPr>
          </w:p>
        </w:tc>
        <w:tc>
          <w:tcPr>
            <w:tcW w:w="1423" w:type="dxa"/>
            <w:noWrap w:val="0"/>
            <w:vAlign w:val="center"/>
          </w:tcPr>
          <w:p w14:paraId="320777AA">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3E7366B0">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0AEED1D9">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6718A86A">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5CF598CC">
            <w:pPr>
              <w:widowControl/>
              <w:spacing w:line="360" w:lineRule="auto"/>
              <w:jc w:val="center"/>
              <w:rPr>
                <w:rFonts w:ascii="宋体" w:hAnsi="宋体" w:cs="Arial"/>
                <w:color w:val="auto"/>
                <w:sz w:val="24"/>
                <w:highlight w:val="none"/>
              </w:rPr>
            </w:pPr>
          </w:p>
        </w:tc>
        <w:tc>
          <w:tcPr>
            <w:tcW w:w="1072" w:type="dxa"/>
            <w:noWrap w:val="0"/>
            <w:vAlign w:val="center"/>
          </w:tcPr>
          <w:p w14:paraId="4C340B66">
            <w:pPr>
              <w:widowControl/>
              <w:spacing w:line="360" w:lineRule="auto"/>
              <w:jc w:val="center"/>
              <w:rPr>
                <w:rFonts w:ascii="宋体" w:hAnsi="宋体" w:cs="Arial"/>
                <w:color w:val="auto"/>
                <w:sz w:val="24"/>
                <w:highlight w:val="none"/>
              </w:rPr>
            </w:pPr>
          </w:p>
        </w:tc>
      </w:tr>
      <w:tr w14:paraId="20734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3527352">
            <w:pPr>
              <w:widowControl/>
              <w:spacing w:line="360" w:lineRule="auto"/>
              <w:jc w:val="center"/>
              <w:rPr>
                <w:rFonts w:ascii="宋体" w:hAnsi="宋体" w:cs="Arial"/>
                <w:color w:val="auto"/>
                <w:sz w:val="24"/>
                <w:highlight w:val="none"/>
              </w:rPr>
            </w:pPr>
          </w:p>
        </w:tc>
        <w:tc>
          <w:tcPr>
            <w:tcW w:w="1423" w:type="dxa"/>
            <w:noWrap w:val="0"/>
            <w:vAlign w:val="center"/>
          </w:tcPr>
          <w:p w14:paraId="494B7408">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0497301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4103E4C3">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34FDD51B">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08FE0C2D">
            <w:pPr>
              <w:widowControl/>
              <w:spacing w:line="360" w:lineRule="auto"/>
              <w:jc w:val="center"/>
              <w:rPr>
                <w:rFonts w:ascii="宋体" w:hAnsi="宋体" w:cs="Arial"/>
                <w:color w:val="auto"/>
                <w:sz w:val="24"/>
                <w:highlight w:val="none"/>
              </w:rPr>
            </w:pPr>
          </w:p>
        </w:tc>
        <w:tc>
          <w:tcPr>
            <w:tcW w:w="1072" w:type="dxa"/>
            <w:noWrap w:val="0"/>
            <w:vAlign w:val="center"/>
          </w:tcPr>
          <w:p w14:paraId="70F157D2">
            <w:pPr>
              <w:widowControl/>
              <w:spacing w:line="360" w:lineRule="auto"/>
              <w:jc w:val="center"/>
              <w:rPr>
                <w:rFonts w:ascii="宋体" w:hAnsi="宋体" w:cs="Arial"/>
                <w:color w:val="auto"/>
                <w:sz w:val="24"/>
                <w:highlight w:val="none"/>
              </w:rPr>
            </w:pPr>
          </w:p>
        </w:tc>
      </w:tr>
      <w:tr w14:paraId="06969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09FB17A">
            <w:pPr>
              <w:widowControl/>
              <w:spacing w:line="360" w:lineRule="auto"/>
              <w:jc w:val="center"/>
              <w:rPr>
                <w:rFonts w:ascii="宋体" w:hAnsi="宋体" w:cs="Arial"/>
                <w:color w:val="auto"/>
                <w:sz w:val="24"/>
                <w:highlight w:val="none"/>
              </w:rPr>
            </w:pPr>
          </w:p>
        </w:tc>
        <w:tc>
          <w:tcPr>
            <w:tcW w:w="1423" w:type="dxa"/>
            <w:noWrap w:val="0"/>
            <w:vAlign w:val="center"/>
          </w:tcPr>
          <w:p w14:paraId="6F1ADE5E">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657EE0E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25FF7C2F">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2CAAEAE2">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3B51D401">
            <w:pPr>
              <w:widowControl/>
              <w:spacing w:line="360" w:lineRule="auto"/>
              <w:jc w:val="center"/>
              <w:rPr>
                <w:rFonts w:ascii="宋体" w:hAnsi="宋体" w:cs="Arial"/>
                <w:color w:val="auto"/>
                <w:sz w:val="24"/>
                <w:highlight w:val="none"/>
              </w:rPr>
            </w:pPr>
          </w:p>
        </w:tc>
        <w:tc>
          <w:tcPr>
            <w:tcW w:w="1072" w:type="dxa"/>
            <w:noWrap w:val="0"/>
            <w:vAlign w:val="center"/>
          </w:tcPr>
          <w:p w14:paraId="74C0BA9E">
            <w:pPr>
              <w:widowControl/>
              <w:spacing w:line="360" w:lineRule="auto"/>
              <w:jc w:val="center"/>
              <w:rPr>
                <w:rFonts w:ascii="宋体" w:hAnsi="宋体" w:cs="Arial"/>
                <w:color w:val="auto"/>
                <w:sz w:val="24"/>
                <w:highlight w:val="none"/>
              </w:rPr>
            </w:pPr>
          </w:p>
        </w:tc>
      </w:tr>
      <w:tr w14:paraId="2E4C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5846C187">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总价</w:t>
            </w:r>
          </w:p>
        </w:tc>
        <w:tc>
          <w:tcPr>
            <w:tcW w:w="4025" w:type="dxa"/>
            <w:gridSpan w:val="4"/>
            <w:noWrap w:val="0"/>
            <w:vAlign w:val="center"/>
          </w:tcPr>
          <w:p w14:paraId="4DFB0A5C">
            <w:pPr>
              <w:widowControl/>
              <w:spacing w:line="360" w:lineRule="auto"/>
              <w:jc w:val="center"/>
              <w:rPr>
                <w:rFonts w:ascii="宋体" w:hAnsi="宋体" w:cs="Arial"/>
                <w:color w:val="auto"/>
                <w:sz w:val="24"/>
                <w:highlight w:val="none"/>
              </w:rPr>
            </w:pPr>
          </w:p>
        </w:tc>
      </w:tr>
    </w:tbl>
    <w:p w14:paraId="6F5B9F10">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.如果不提供分项报价将视为没有实质性响应文件</w:t>
      </w:r>
    </w:p>
    <w:p w14:paraId="32DD894B">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.本表行数可以按照项目分项情况增加。</w:t>
      </w:r>
    </w:p>
    <w:p w14:paraId="3D9F1C39">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.上述各项的服务内容如表格中填写不下的，可以逐项另页描述。</w:t>
      </w:r>
    </w:p>
    <w:p w14:paraId="45F69C7F">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报价中需测算全员社保，</w:t>
      </w:r>
      <w:r>
        <w:rPr>
          <w:rFonts w:hint="eastAsia" w:ascii="宋体" w:hAnsi="宋体" w:cs="Times New Roman"/>
          <w:color w:val="auto"/>
          <w:sz w:val="24"/>
          <w:szCs w:val="24"/>
          <w:highlight w:val="none"/>
          <w:lang w:val="en-US" w:eastAsia="zh-CN"/>
        </w:rPr>
        <w:t>法定节假日加班费</w:t>
      </w:r>
      <w:r>
        <w:rPr>
          <w:rFonts w:hint="eastAsia" w:ascii="宋体" w:hAnsi="宋体" w:eastAsia="宋体" w:cs="Times New Roman"/>
          <w:color w:val="auto"/>
          <w:sz w:val="24"/>
          <w:szCs w:val="24"/>
          <w:highlight w:val="none"/>
        </w:rPr>
        <w:t>不得低于28人（2490/21.75*3*13*人），全员发放高温费不低于1200/人/年</w:t>
      </w:r>
      <w:r>
        <w:rPr>
          <w:rFonts w:hint="eastAsia" w:ascii="宋体" w:hAnsi="宋体" w:cs="Times New Roman"/>
          <w:color w:val="auto"/>
          <w:sz w:val="24"/>
          <w:szCs w:val="24"/>
          <w:highlight w:val="none"/>
          <w:lang w:eastAsia="zh-CN"/>
        </w:rPr>
        <w:t>。</w:t>
      </w:r>
    </w:p>
    <w:p w14:paraId="113F13CC">
      <w:pPr>
        <w:spacing w:before="25" w:after="25" w:line="360" w:lineRule="auto"/>
        <w:outlineLvl w:val="9"/>
        <w:rPr>
          <w:color w:val="auto"/>
          <w:sz w:val="24"/>
          <w:highlight w:val="none"/>
          <w:lang w:val="zh-CN"/>
        </w:rPr>
      </w:pPr>
    </w:p>
    <w:p w14:paraId="4A65FF9D">
      <w:pPr>
        <w:spacing w:before="25" w:after="25" w:line="360" w:lineRule="auto"/>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E098D00">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4711732F">
      <w:pPr>
        <w:spacing w:line="360" w:lineRule="exact"/>
        <w:jc w:val="center"/>
        <w:rPr>
          <w:color w:val="auto"/>
          <w:sz w:val="36"/>
          <w:szCs w:val="36"/>
          <w:highlight w:val="none"/>
        </w:rPr>
      </w:pPr>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7B61BB0B">
      <w:pPr>
        <w:autoSpaceDE w:val="0"/>
        <w:autoSpaceDN w:val="0"/>
        <w:adjustRightInd w:val="0"/>
        <w:snapToGrid w:val="0"/>
        <w:spacing w:before="25" w:after="25" w:line="360" w:lineRule="auto"/>
        <w:rPr>
          <w:color w:val="auto"/>
          <w:sz w:val="24"/>
          <w:szCs w:val="20"/>
          <w:highlight w:val="none"/>
        </w:rPr>
      </w:pPr>
      <w:bookmarkStart w:id="881" w:name="_Toc305158830"/>
      <w:bookmarkStart w:id="882" w:name="_Toc150774765"/>
      <w:bookmarkStart w:id="883" w:name="_Toc127151562"/>
      <w:bookmarkStart w:id="884" w:name="_Toc142311062"/>
      <w:bookmarkStart w:id="885" w:name="_Toc265228400"/>
      <w:bookmarkStart w:id="886" w:name="_Toc226337258"/>
      <w:bookmarkStart w:id="887" w:name="_Toc226965752"/>
      <w:bookmarkStart w:id="888" w:name="_Toc264969252"/>
      <w:bookmarkStart w:id="889" w:name="_Toc150480798"/>
      <w:bookmarkStart w:id="890" w:name="_Toc226309806"/>
      <w:bookmarkStart w:id="891" w:name="_Toc305158904"/>
      <w:bookmarkStart w:id="892" w:name="_Toc195842927"/>
      <w:bookmarkStart w:id="893" w:name="_Toc226965835"/>
      <w:bookmarkStart w:id="894" w:name="_Toc226309805"/>
      <w:bookmarkStart w:id="895" w:name="_Toc150774764"/>
      <w:bookmarkStart w:id="896" w:name="_Toc226337257"/>
      <w:bookmarkStart w:id="897" w:name="_Toc226965751"/>
      <w:bookmarkStart w:id="898" w:name="_Toc226965834"/>
      <w:bookmarkStart w:id="899" w:name="_Toc195842926"/>
      <w:bookmarkStart w:id="900" w:name="_Toc150480797"/>
      <w:bookmarkStart w:id="901" w:name="_Toc305158903"/>
      <w:bookmarkStart w:id="902" w:name="_Toc264969251"/>
      <w:bookmarkStart w:id="903" w:name="_Toc305158829"/>
      <w:bookmarkStart w:id="904" w:name="_Toc142311061"/>
      <w:bookmarkStart w:id="905" w:name="_Toc127151561"/>
      <w:bookmarkStart w:id="906" w:name="_Toc265228399"/>
      <w:r>
        <w:rPr>
          <w:rFonts w:hint="eastAsia"/>
          <w:color w:val="auto"/>
          <w:sz w:val="24"/>
          <w:szCs w:val="20"/>
          <w:highlight w:val="none"/>
          <w:lang w:val="en-US" w:eastAsia="zh-CN"/>
        </w:rPr>
        <w:t>6</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w:t>
      </w:r>
      <w:r>
        <w:rPr>
          <w:color w:val="auto"/>
          <w:sz w:val="24"/>
          <w:highlight w:val="none"/>
        </w:rPr>
        <w:t>供应商已对之理解和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投标</w:t>
      </w:r>
      <w:r>
        <w:rPr>
          <w:color w:val="auto"/>
          <w:sz w:val="24"/>
          <w:highlight w:val="none"/>
        </w:rPr>
        <w:t>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0427ED8C">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）总体服务方案</w:t>
      </w:r>
    </w:p>
    <w:p w14:paraId="185AB404">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）人员组织架构</w:t>
      </w:r>
    </w:p>
    <w:p w14:paraId="2E29D719">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）秩序维护服务方案</w:t>
      </w:r>
    </w:p>
    <w:p w14:paraId="56CFDBDF">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）设施设备服务方案</w:t>
      </w:r>
    </w:p>
    <w:p w14:paraId="55655686">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）应急事件处理预案</w:t>
      </w:r>
    </w:p>
    <w:p w14:paraId="3BDAEE0B">
      <w:pPr>
        <w:spacing w:line="560" w:lineRule="exact"/>
        <w:ind w:firstLine="480"/>
        <w:rPr>
          <w:rFonts w:hint="eastAsia"/>
          <w:color w:val="auto"/>
          <w:sz w:val="24"/>
          <w:szCs w:val="20"/>
          <w:highlight w:val="none"/>
        </w:rPr>
      </w:pPr>
      <w:r>
        <w:rPr>
          <w:rFonts w:hint="eastAsia"/>
          <w:color w:val="auto"/>
          <w:sz w:val="24"/>
          <w:szCs w:val="20"/>
          <w:highlight w:val="none"/>
          <w:lang w:eastAsia="zh-CN"/>
        </w:rPr>
        <w:t>（</w:t>
      </w:r>
      <w:r>
        <w:rPr>
          <w:rFonts w:hint="eastAsia"/>
          <w:color w:val="auto"/>
          <w:sz w:val="24"/>
          <w:szCs w:val="20"/>
          <w:highlight w:val="none"/>
          <w:lang w:val="en-US" w:eastAsia="zh-CN"/>
        </w:rPr>
        <w:t>6</w:t>
      </w:r>
      <w:r>
        <w:rPr>
          <w:rFonts w:hint="eastAsia"/>
          <w:color w:val="auto"/>
          <w:sz w:val="24"/>
          <w:szCs w:val="20"/>
          <w:highlight w:val="none"/>
          <w:lang w:eastAsia="zh-CN"/>
        </w:rPr>
        <w:t>）</w:t>
      </w:r>
      <w:r>
        <w:rPr>
          <w:rFonts w:hint="eastAsia"/>
          <w:color w:val="auto"/>
          <w:sz w:val="24"/>
          <w:szCs w:val="20"/>
          <w:highlight w:val="none"/>
        </w:rPr>
        <w:t>其他</w:t>
      </w:r>
    </w:p>
    <w:p w14:paraId="005046E6">
      <w:pPr>
        <w:snapToGrid w:val="0"/>
        <w:spacing w:line="560" w:lineRule="exact"/>
        <w:ind w:firstLine="480" w:firstLineChars="200"/>
        <w:outlineLvl w:val="9"/>
        <w:rPr>
          <w:rFonts w:hint="eastAsia"/>
          <w:color w:val="auto"/>
          <w:sz w:val="24"/>
          <w:szCs w:val="20"/>
          <w:highlight w:val="none"/>
          <w:lang w:eastAsia="zh-CN"/>
        </w:rPr>
      </w:pPr>
    </w:p>
    <w:p w14:paraId="625BC2C4">
      <w:pPr>
        <w:snapToGrid w:val="0"/>
        <w:spacing w:line="560" w:lineRule="exact"/>
        <w:ind w:firstLine="480" w:firstLineChars="200"/>
        <w:rPr>
          <w:rFonts w:hint="eastAsia" w:eastAsia="宋体"/>
          <w:color w:val="auto"/>
          <w:sz w:val="24"/>
          <w:szCs w:val="20"/>
          <w:highlight w:val="none"/>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720" w:num="1"/>
          <w:docGrid w:linePitch="462" w:charSpace="0"/>
        </w:sectPr>
      </w:pP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839"/>
      <w:bookmarkStart w:id="908" w:name="_Toc288738397"/>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方正仿宋_GB2312">
    <w:altName w:val="仿宋"/>
    <w:panose1 w:val="02000000000000000000"/>
    <w:charset w:val="86"/>
    <w:family w:val="auto"/>
    <w:pitch w:val="default"/>
    <w:sig w:usb0="00000000" w:usb1="00000000"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30"/>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30"/>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898B6B8">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4D21">
    <w:pPr>
      <w:pStyle w:val="3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403B26B">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3888">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3BCBD841">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08584F23">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30"/>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FC425C5">
    <w:pPr>
      <w:pStyle w:val="30"/>
      <w:ind w:right="360"/>
    </w:pPr>
  </w:p>
  <w:p w14:paraId="48C23BC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2"/>
      <w:pBdr>
        <w:bottom w:val="single" w:color="auto" w:sz="4" w:space="1"/>
      </w:pBdr>
      <w:jc w:val="right"/>
    </w:pPr>
    <w:r>
      <w:rPr>
        <w:rFonts w:hint="eastAsia"/>
        <w:lang w:eastAsia="zh-CN"/>
      </w:rPr>
      <w:t>横塘河湿地公园安保服务</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2"/>
      <w:pBdr>
        <w:bottom w:val="single" w:color="auto" w:sz="4" w:space="1"/>
      </w:pBdr>
      <w:jc w:val="right"/>
    </w:pPr>
    <w:r>
      <w:rPr>
        <w:rFonts w:hint="eastAsia"/>
        <w:lang w:eastAsia="zh-CN"/>
      </w:rPr>
      <w:t>横塘河湿地公园安保服务</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2"/>
      <w:jc w:val="right"/>
    </w:pPr>
    <w:r>
      <w:rPr>
        <w:rFonts w:hint="eastAsia"/>
        <w:lang w:eastAsia="zh-CN"/>
      </w:rPr>
      <w:t>横塘河湿地公园安保服务</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2"/>
      <w:jc w:val="right"/>
    </w:pPr>
    <w:r>
      <w:rPr>
        <w:rFonts w:hint="eastAsia"/>
        <w:lang w:eastAsia="zh-CN"/>
      </w:rPr>
      <w:t>横塘河湿地公园安保服务</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2668">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DC1D0">
    <w:pPr>
      <w:pStyle w:val="3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2"/>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2"/>
    </w:pPr>
  </w:p>
  <w:p w14:paraId="31BF35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3123F9D"/>
    <w:rsid w:val="033A0998"/>
    <w:rsid w:val="03594149"/>
    <w:rsid w:val="03741BF7"/>
    <w:rsid w:val="037C2718"/>
    <w:rsid w:val="042C2BE0"/>
    <w:rsid w:val="044F484E"/>
    <w:rsid w:val="046F5C3F"/>
    <w:rsid w:val="047F2D99"/>
    <w:rsid w:val="048F1A9B"/>
    <w:rsid w:val="04F80D9E"/>
    <w:rsid w:val="05421EFD"/>
    <w:rsid w:val="054757C2"/>
    <w:rsid w:val="056D3D17"/>
    <w:rsid w:val="05C574CF"/>
    <w:rsid w:val="05CA69C2"/>
    <w:rsid w:val="05D435B9"/>
    <w:rsid w:val="067B7666"/>
    <w:rsid w:val="07004D9A"/>
    <w:rsid w:val="07251BF4"/>
    <w:rsid w:val="072A06D6"/>
    <w:rsid w:val="07375B39"/>
    <w:rsid w:val="07486125"/>
    <w:rsid w:val="07AD2313"/>
    <w:rsid w:val="08044557"/>
    <w:rsid w:val="080D6DA9"/>
    <w:rsid w:val="08146F71"/>
    <w:rsid w:val="084542FA"/>
    <w:rsid w:val="08614263"/>
    <w:rsid w:val="08E92ED7"/>
    <w:rsid w:val="091E1A28"/>
    <w:rsid w:val="093C3886"/>
    <w:rsid w:val="093F332C"/>
    <w:rsid w:val="09912903"/>
    <w:rsid w:val="09C555AA"/>
    <w:rsid w:val="0A0A31C0"/>
    <w:rsid w:val="0A0D3022"/>
    <w:rsid w:val="0A2F1DB7"/>
    <w:rsid w:val="0A603399"/>
    <w:rsid w:val="0A782765"/>
    <w:rsid w:val="0A8E3FFB"/>
    <w:rsid w:val="0AC27289"/>
    <w:rsid w:val="0B302536"/>
    <w:rsid w:val="0B571845"/>
    <w:rsid w:val="0B660C1A"/>
    <w:rsid w:val="0BB407B3"/>
    <w:rsid w:val="0BB84D66"/>
    <w:rsid w:val="0BE72312"/>
    <w:rsid w:val="0C1459AC"/>
    <w:rsid w:val="0C5F24C0"/>
    <w:rsid w:val="0CB03D2F"/>
    <w:rsid w:val="0CC90B9E"/>
    <w:rsid w:val="0CCB058F"/>
    <w:rsid w:val="0D2D431B"/>
    <w:rsid w:val="0D597A12"/>
    <w:rsid w:val="0D5E3DDF"/>
    <w:rsid w:val="0D7F0920"/>
    <w:rsid w:val="0D9C0677"/>
    <w:rsid w:val="0DAD00CC"/>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6E2498"/>
    <w:rsid w:val="108A0980"/>
    <w:rsid w:val="11276C93"/>
    <w:rsid w:val="11301BE1"/>
    <w:rsid w:val="1138046C"/>
    <w:rsid w:val="113879FA"/>
    <w:rsid w:val="1172177E"/>
    <w:rsid w:val="117C423F"/>
    <w:rsid w:val="11966C2F"/>
    <w:rsid w:val="11D87F8D"/>
    <w:rsid w:val="122600A1"/>
    <w:rsid w:val="124B6EFE"/>
    <w:rsid w:val="12B17AB7"/>
    <w:rsid w:val="12C908D6"/>
    <w:rsid w:val="12D439DD"/>
    <w:rsid w:val="13203999"/>
    <w:rsid w:val="13372CCF"/>
    <w:rsid w:val="134000FB"/>
    <w:rsid w:val="1364392F"/>
    <w:rsid w:val="137632D9"/>
    <w:rsid w:val="145D23C6"/>
    <w:rsid w:val="14BC7273"/>
    <w:rsid w:val="15270F29"/>
    <w:rsid w:val="15323E58"/>
    <w:rsid w:val="15387F8D"/>
    <w:rsid w:val="153E24C4"/>
    <w:rsid w:val="15985D92"/>
    <w:rsid w:val="15A64936"/>
    <w:rsid w:val="15AE34DE"/>
    <w:rsid w:val="15AE376F"/>
    <w:rsid w:val="15B504E1"/>
    <w:rsid w:val="16285FB7"/>
    <w:rsid w:val="163D11BB"/>
    <w:rsid w:val="16442095"/>
    <w:rsid w:val="165810F8"/>
    <w:rsid w:val="165E3157"/>
    <w:rsid w:val="16BB7EF6"/>
    <w:rsid w:val="17464EDF"/>
    <w:rsid w:val="174C429D"/>
    <w:rsid w:val="1756574D"/>
    <w:rsid w:val="175A7EC9"/>
    <w:rsid w:val="17711974"/>
    <w:rsid w:val="17AB1930"/>
    <w:rsid w:val="17F93E0B"/>
    <w:rsid w:val="1866030F"/>
    <w:rsid w:val="188D727F"/>
    <w:rsid w:val="18976BAC"/>
    <w:rsid w:val="189A635D"/>
    <w:rsid w:val="18DB006D"/>
    <w:rsid w:val="18E91847"/>
    <w:rsid w:val="18F90F15"/>
    <w:rsid w:val="18FE29CF"/>
    <w:rsid w:val="197669C8"/>
    <w:rsid w:val="19965929"/>
    <w:rsid w:val="1A053A20"/>
    <w:rsid w:val="1A235A37"/>
    <w:rsid w:val="1A693E78"/>
    <w:rsid w:val="1A9E670A"/>
    <w:rsid w:val="1ABB2ACE"/>
    <w:rsid w:val="1B3A2DE8"/>
    <w:rsid w:val="1B670A02"/>
    <w:rsid w:val="1C02080D"/>
    <w:rsid w:val="1C455CA5"/>
    <w:rsid w:val="1C4F731E"/>
    <w:rsid w:val="1C8D6AE1"/>
    <w:rsid w:val="1C9D42AD"/>
    <w:rsid w:val="1CB84DBF"/>
    <w:rsid w:val="1CBD6E94"/>
    <w:rsid w:val="1CBE61EC"/>
    <w:rsid w:val="1CCE79E9"/>
    <w:rsid w:val="1D214EDE"/>
    <w:rsid w:val="1D2C69D2"/>
    <w:rsid w:val="1D5F1562"/>
    <w:rsid w:val="1D68754A"/>
    <w:rsid w:val="1D6D2C92"/>
    <w:rsid w:val="1E546F73"/>
    <w:rsid w:val="1EAA5345"/>
    <w:rsid w:val="1EB81AFB"/>
    <w:rsid w:val="1ED41ADC"/>
    <w:rsid w:val="1EDE2CAF"/>
    <w:rsid w:val="1F0D582F"/>
    <w:rsid w:val="1F466F95"/>
    <w:rsid w:val="1F5C4F99"/>
    <w:rsid w:val="1F5F2643"/>
    <w:rsid w:val="1FBE5319"/>
    <w:rsid w:val="1FC11D29"/>
    <w:rsid w:val="1FCA128A"/>
    <w:rsid w:val="1FDC6A71"/>
    <w:rsid w:val="200A700D"/>
    <w:rsid w:val="200C041C"/>
    <w:rsid w:val="20195183"/>
    <w:rsid w:val="20805C01"/>
    <w:rsid w:val="20DB0B4D"/>
    <w:rsid w:val="20FF6149"/>
    <w:rsid w:val="2121150A"/>
    <w:rsid w:val="2132348A"/>
    <w:rsid w:val="218B501C"/>
    <w:rsid w:val="21D75FA1"/>
    <w:rsid w:val="21FB262E"/>
    <w:rsid w:val="2239193A"/>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F1D66"/>
    <w:rsid w:val="240A715C"/>
    <w:rsid w:val="240B5D75"/>
    <w:rsid w:val="242B34A5"/>
    <w:rsid w:val="24E0203E"/>
    <w:rsid w:val="251E74A4"/>
    <w:rsid w:val="252D51EA"/>
    <w:rsid w:val="25D50209"/>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861BF2"/>
    <w:rsid w:val="289035E9"/>
    <w:rsid w:val="28BF4863"/>
    <w:rsid w:val="28F20E26"/>
    <w:rsid w:val="2927562A"/>
    <w:rsid w:val="292860AC"/>
    <w:rsid w:val="29811B51"/>
    <w:rsid w:val="29F8164F"/>
    <w:rsid w:val="2AB4113F"/>
    <w:rsid w:val="2B0E622B"/>
    <w:rsid w:val="2B147E30"/>
    <w:rsid w:val="2B21663D"/>
    <w:rsid w:val="2B4C65E4"/>
    <w:rsid w:val="2B4E2C5C"/>
    <w:rsid w:val="2B9D7E8C"/>
    <w:rsid w:val="2BD46058"/>
    <w:rsid w:val="2C421158"/>
    <w:rsid w:val="2C444EE5"/>
    <w:rsid w:val="2C80255E"/>
    <w:rsid w:val="2CC54755"/>
    <w:rsid w:val="2CC557A9"/>
    <w:rsid w:val="2CCF2447"/>
    <w:rsid w:val="2CDB6C56"/>
    <w:rsid w:val="2D11433C"/>
    <w:rsid w:val="2D53381B"/>
    <w:rsid w:val="2DC021D7"/>
    <w:rsid w:val="2DCB03B2"/>
    <w:rsid w:val="2E290FE3"/>
    <w:rsid w:val="2E3E69B3"/>
    <w:rsid w:val="2E861403"/>
    <w:rsid w:val="2EF610A0"/>
    <w:rsid w:val="2F0E55AC"/>
    <w:rsid w:val="2F9B48B1"/>
    <w:rsid w:val="2FC16088"/>
    <w:rsid w:val="2FC7383A"/>
    <w:rsid w:val="2FED406A"/>
    <w:rsid w:val="2FFA3814"/>
    <w:rsid w:val="300B48FC"/>
    <w:rsid w:val="300D5278"/>
    <w:rsid w:val="30536E9C"/>
    <w:rsid w:val="306163DC"/>
    <w:rsid w:val="306925E3"/>
    <w:rsid w:val="309452F0"/>
    <w:rsid w:val="30B03C1E"/>
    <w:rsid w:val="30E6139A"/>
    <w:rsid w:val="31266676"/>
    <w:rsid w:val="31945C90"/>
    <w:rsid w:val="31B0350F"/>
    <w:rsid w:val="31D200FD"/>
    <w:rsid w:val="321F31E7"/>
    <w:rsid w:val="32432D5F"/>
    <w:rsid w:val="32517538"/>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5040F15"/>
    <w:rsid w:val="357E1B4C"/>
    <w:rsid w:val="35CB3858"/>
    <w:rsid w:val="35E131A4"/>
    <w:rsid w:val="360C6A24"/>
    <w:rsid w:val="3616733E"/>
    <w:rsid w:val="36172963"/>
    <w:rsid w:val="361A48B6"/>
    <w:rsid w:val="36214B73"/>
    <w:rsid w:val="367B6862"/>
    <w:rsid w:val="36B50780"/>
    <w:rsid w:val="36E6103A"/>
    <w:rsid w:val="37517D16"/>
    <w:rsid w:val="37535139"/>
    <w:rsid w:val="37840064"/>
    <w:rsid w:val="37DF3665"/>
    <w:rsid w:val="38055562"/>
    <w:rsid w:val="3814146F"/>
    <w:rsid w:val="38855EC9"/>
    <w:rsid w:val="38AE1866"/>
    <w:rsid w:val="38F65DA8"/>
    <w:rsid w:val="392801F7"/>
    <w:rsid w:val="397651E3"/>
    <w:rsid w:val="398F42B0"/>
    <w:rsid w:val="39AB5E03"/>
    <w:rsid w:val="39C9502D"/>
    <w:rsid w:val="39E855FF"/>
    <w:rsid w:val="3A2A4F7A"/>
    <w:rsid w:val="3A2C09FC"/>
    <w:rsid w:val="3AD62A0C"/>
    <w:rsid w:val="3B2A7273"/>
    <w:rsid w:val="3B365BA1"/>
    <w:rsid w:val="3B5E1AF9"/>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72BF9"/>
    <w:rsid w:val="3D5D19FB"/>
    <w:rsid w:val="3D8A1F66"/>
    <w:rsid w:val="3DAC5616"/>
    <w:rsid w:val="3DD41A54"/>
    <w:rsid w:val="3DD735BC"/>
    <w:rsid w:val="3E09134A"/>
    <w:rsid w:val="3E2504E1"/>
    <w:rsid w:val="3E5E1ED1"/>
    <w:rsid w:val="3EA56DA8"/>
    <w:rsid w:val="3EAB71FE"/>
    <w:rsid w:val="3EC42C77"/>
    <w:rsid w:val="3EE53B65"/>
    <w:rsid w:val="3EEC4EF4"/>
    <w:rsid w:val="3EEE4396"/>
    <w:rsid w:val="3F2033DB"/>
    <w:rsid w:val="3F6F2A2B"/>
    <w:rsid w:val="3FB847FD"/>
    <w:rsid w:val="3FDB2873"/>
    <w:rsid w:val="3FF07BB3"/>
    <w:rsid w:val="403854EB"/>
    <w:rsid w:val="404D6B1C"/>
    <w:rsid w:val="406867FC"/>
    <w:rsid w:val="40970437"/>
    <w:rsid w:val="40B76E3C"/>
    <w:rsid w:val="41033FEE"/>
    <w:rsid w:val="416F6D2C"/>
    <w:rsid w:val="41C5681F"/>
    <w:rsid w:val="41D41C6F"/>
    <w:rsid w:val="42234BB5"/>
    <w:rsid w:val="425912B6"/>
    <w:rsid w:val="42595D90"/>
    <w:rsid w:val="42720799"/>
    <w:rsid w:val="42B37AD7"/>
    <w:rsid w:val="42CD0A98"/>
    <w:rsid w:val="42D2623B"/>
    <w:rsid w:val="430F736E"/>
    <w:rsid w:val="431A0C09"/>
    <w:rsid w:val="43210EE4"/>
    <w:rsid w:val="434A7747"/>
    <w:rsid w:val="437B7F20"/>
    <w:rsid w:val="43B104BA"/>
    <w:rsid w:val="43B86866"/>
    <w:rsid w:val="445643E2"/>
    <w:rsid w:val="44783E9F"/>
    <w:rsid w:val="4489508F"/>
    <w:rsid w:val="45CC14CF"/>
    <w:rsid w:val="45EB6C16"/>
    <w:rsid w:val="46152922"/>
    <w:rsid w:val="46194489"/>
    <w:rsid w:val="4690085B"/>
    <w:rsid w:val="46BF2EEE"/>
    <w:rsid w:val="46CE3571"/>
    <w:rsid w:val="46D00C57"/>
    <w:rsid w:val="4729480B"/>
    <w:rsid w:val="473604B5"/>
    <w:rsid w:val="477F6295"/>
    <w:rsid w:val="479B2226"/>
    <w:rsid w:val="480E2158"/>
    <w:rsid w:val="481C5318"/>
    <w:rsid w:val="483879E2"/>
    <w:rsid w:val="4857637F"/>
    <w:rsid w:val="485C23FD"/>
    <w:rsid w:val="486F0BD4"/>
    <w:rsid w:val="48A02FEC"/>
    <w:rsid w:val="490C21FE"/>
    <w:rsid w:val="49171181"/>
    <w:rsid w:val="4929464F"/>
    <w:rsid w:val="493F79D7"/>
    <w:rsid w:val="496B7A53"/>
    <w:rsid w:val="49EC67F4"/>
    <w:rsid w:val="49F47B5D"/>
    <w:rsid w:val="4A1C322F"/>
    <w:rsid w:val="4A3B394B"/>
    <w:rsid w:val="4A450C78"/>
    <w:rsid w:val="4A6E2C61"/>
    <w:rsid w:val="4A840F83"/>
    <w:rsid w:val="4AF30332"/>
    <w:rsid w:val="4B646309"/>
    <w:rsid w:val="4B65373A"/>
    <w:rsid w:val="4B6A35BC"/>
    <w:rsid w:val="4C026DB0"/>
    <w:rsid w:val="4C8A3367"/>
    <w:rsid w:val="4C930DA8"/>
    <w:rsid w:val="4CC654BF"/>
    <w:rsid w:val="4D00163A"/>
    <w:rsid w:val="4D015F24"/>
    <w:rsid w:val="4D697710"/>
    <w:rsid w:val="4D6D5069"/>
    <w:rsid w:val="4D783DF7"/>
    <w:rsid w:val="4D820FE4"/>
    <w:rsid w:val="4D84637D"/>
    <w:rsid w:val="4DAD6072"/>
    <w:rsid w:val="4DBB1907"/>
    <w:rsid w:val="4E0245DC"/>
    <w:rsid w:val="4E9F706E"/>
    <w:rsid w:val="4EA8070C"/>
    <w:rsid w:val="4EAA119F"/>
    <w:rsid w:val="4EFE1245"/>
    <w:rsid w:val="4F0F5BE3"/>
    <w:rsid w:val="4F2B262C"/>
    <w:rsid w:val="4F321701"/>
    <w:rsid w:val="4F566D5B"/>
    <w:rsid w:val="4F715FBE"/>
    <w:rsid w:val="4F9E06EF"/>
    <w:rsid w:val="500A0A51"/>
    <w:rsid w:val="502E6961"/>
    <w:rsid w:val="50403400"/>
    <w:rsid w:val="505E5526"/>
    <w:rsid w:val="50814A2E"/>
    <w:rsid w:val="50C35389"/>
    <w:rsid w:val="50D254CE"/>
    <w:rsid w:val="510C1AD5"/>
    <w:rsid w:val="510F4A72"/>
    <w:rsid w:val="51477E34"/>
    <w:rsid w:val="51A943A5"/>
    <w:rsid w:val="52010488"/>
    <w:rsid w:val="521F0CE5"/>
    <w:rsid w:val="52422029"/>
    <w:rsid w:val="52616BAE"/>
    <w:rsid w:val="52814018"/>
    <w:rsid w:val="52923265"/>
    <w:rsid w:val="529C3721"/>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41273A"/>
    <w:rsid w:val="558C3ECD"/>
    <w:rsid w:val="559351F5"/>
    <w:rsid w:val="55A62D87"/>
    <w:rsid w:val="563F3703"/>
    <w:rsid w:val="56475F07"/>
    <w:rsid w:val="567E0D90"/>
    <w:rsid w:val="5684679D"/>
    <w:rsid w:val="56CD73C9"/>
    <w:rsid w:val="56DF05DE"/>
    <w:rsid w:val="56F70118"/>
    <w:rsid w:val="56F72230"/>
    <w:rsid w:val="57AD03DC"/>
    <w:rsid w:val="57C727B0"/>
    <w:rsid w:val="57DE484E"/>
    <w:rsid w:val="57FC6189"/>
    <w:rsid w:val="580E39B4"/>
    <w:rsid w:val="5823259F"/>
    <w:rsid w:val="586C12F4"/>
    <w:rsid w:val="58882378"/>
    <w:rsid w:val="58CE139A"/>
    <w:rsid w:val="590826D8"/>
    <w:rsid w:val="590E38BE"/>
    <w:rsid w:val="592216BA"/>
    <w:rsid w:val="592340EB"/>
    <w:rsid w:val="59690A2E"/>
    <w:rsid w:val="597B0EDE"/>
    <w:rsid w:val="5A056018"/>
    <w:rsid w:val="5AEE73F8"/>
    <w:rsid w:val="5B2B06FA"/>
    <w:rsid w:val="5B532A0F"/>
    <w:rsid w:val="5B5A2123"/>
    <w:rsid w:val="5B8352C6"/>
    <w:rsid w:val="5B8B43D5"/>
    <w:rsid w:val="5BC26B5C"/>
    <w:rsid w:val="5BE9497A"/>
    <w:rsid w:val="5C25339C"/>
    <w:rsid w:val="5C50535F"/>
    <w:rsid w:val="5C844CCC"/>
    <w:rsid w:val="5C993C03"/>
    <w:rsid w:val="5CCD707A"/>
    <w:rsid w:val="5D1859F9"/>
    <w:rsid w:val="5D1B53A8"/>
    <w:rsid w:val="5D423AD9"/>
    <w:rsid w:val="5D524382"/>
    <w:rsid w:val="5D536D5C"/>
    <w:rsid w:val="5D8C4BED"/>
    <w:rsid w:val="5D8C5540"/>
    <w:rsid w:val="5DF218C2"/>
    <w:rsid w:val="5DF721D2"/>
    <w:rsid w:val="5EFA5929"/>
    <w:rsid w:val="5F017575"/>
    <w:rsid w:val="5F073306"/>
    <w:rsid w:val="5F1119B5"/>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F23368"/>
    <w:rsid w:val="611E3173"/>
    <w:rsid w:val="617B1E5D"/>
    <w:rsid w:val="61895909"/>
    <w:rsid w:val="61B94A27"/>
    <w:rsid w:val="61F5665D"/>
    <w:rsid w:val="62016C74"/>
    <w:rsid w:val="623C31ED"/>
    <w:rsid w:val="62C10F53"/>
    <w:rsid w:val="62FE04A2"/>
    <w:rsid w:val="63C156E5"/>
    <w:rsid w:val="63E74D4D"/>
    <w:rsid w:val="640209CD"/>
    <w:rsid w:val="64234664"/>
    <w:rsid w:val="64747A8A"/>
    <w:rsid w:val="649E7723"/>
    <w:rsid w:val="64A5210F"/>
    <w:rsid w:val="658D79C4"/>
    <w:rsid w:val="66304E17"/>
    <w:rsid w:val="664B39FF"/>
    <w:rsid w:val="66B772E6"/>
    <w:rsid w:val="66CA24B2"/>
    <w:rsid w:val="66E13E6B"/>
    <w:rsid w:val="67577A52"/>
    <w:rsid w:val="676F7BC1"/>
    <w:rsid w:val="67851192"/>
    <w:rsid w:val="67A47F2F"/>
    <w:rsid w:val="67C003E2"/>
    <w:rsid w:val="67C717AB"/>
    <w:rsid w:val="67F87268"/>
    <w:rsid w:val="6838144E"/>
    <w:rsid w:val="683B64F9"/>
    <w:rsid w:val="6848469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D92156"/>
    <w:rsid w:val="6A6D2E0E"/>
    <w:rsid w:val="6A8F4802"/>
    <w:rsid w:val="6A946AB8"/>
    <w:rsid w:val="6AB4102B"/>
    <w:rsid w:val="6ACF541B"/>
    <w:rsid w:val="6AD62431"/>
    <w:rsid w:val="6B200D16"/>
    <w:rsid w:val="6B3E3371"/>
    <w:rsid w:val="6B524E15"/>
    <w:rsid w:val="6B640ADF"/>
    <w:rsid w:val="6BB63E9E"/>
    <w:rsid w:val="6BFE053D"/>
    <w:rsid w:val="6C1A459F"/>
    <w:rsid w:val="6C3F1E8F"/>
    <w:rsid w:val="6C6E4D0A"/>
    <w:rsid w:val="6C8F3CA7"/>
    <w:rsid w:val="6C9500C9"/>
    <w:rsid w:val="6C9E3A9C"/>
    <w:rsid w:val="6CA93935"/>
    <w:rsid w:val="6CB63947"/>
    <w:rsid w:val="6CB85659"/>
    <w:rsid w:val="6CD419AC"/>
    <w:rsid w:val="6D0D4104"/>
    <w:rsid w:val="6D3C3B0C"/>
    <w:rsid w:val="6D595D89"/>
    <w:rsid w:val="6D64140D"/>
    <w:rsid w:val="6D773C65"/>
    <w:rsid w:val="6D8A5754"/>
    <w:rsid w:val="6E0F3802"/>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F10430"/>
    <w:rsid w:val="70625D85"/>
    <w:rsid w:val="70853504"/>
    <w:rsid w:val="70C11743"/>
    <w:rsid w:val="70F0185C"/>
    <w:rsid w:val="718906DB"/>
    <w:rsid w:val="71A62D95"/>
    <w:rsid w:val="71E909FE"/>
    <w:rsid w:val="71F15DA2"/>
    <w:rsid w:val="722E4900"/>
    <w:rsid w:val="723D30E3"/>
    <w:rsid w:val="724953A1"/>
    <w:rsid w:val="725162FB"/>
    <w:rsid w:val="725F05A5"/>
    <w:rsid w:val="72640321"/>
    <w:rsid w:val="728D4703"/>
    <w:rsid w:val="72A53E47"/>
    <w:rsid w:val="72AC71C6"/>
    <w:rsid w:val="72C85A38"/>
    <w:rsid w:val="73016E15"/>
    <w:rsid w:val="735250B0"/>
    <w:rsid w:val="735A5AEC"/>
    <w:rsid w:val="73660117"/>
    <w:rsid w:val="737C2A4C"/>
    <w:rsid w:val="73990F3E"/>
    <w:rsid w:val="739D114F"/>
    <w:rsid w:val="73B15F3E"/>
    <w:rsid w:val="73BD5740"/>
    <w:rsid w:val="73CE3DC7"/>
    <w:rsid w:val="740B06A5"/>
    <w:rsid w:val="74212243"/>
    <w:rsid w:val="742C597A"/>
    <w:rsid w:val="7459167A"/>
    <w:rsid w:val="74675EA7"/>
    <w:rsid w:val="746C3D16"/>
    <w:rsid w:val="74A13052"/>
    <w:rsid w:val="74AD7F42"/>
    <w:rsid w:val="74EE1B48"/>
    <w:rsid w:val="74F17E67"/>
    <w:rsid w:val="752915E7"/>
    <w:rsid w:val="75296EFD"/>
    <w:rsid w:val="753E0157"/>
    <w:rsid w:val="75B710B1"/>
    <w:rsid w:val="75D85012"/>
    <w:rsid w:val="76114C7B"/>
    <w:rsid w:val="767E1BCE"/>
    <w:rsid w:val="76830F93"/>
    <w:rsid w:val="76AA10B0"/>
    <w:rsid w:val="76E13FE0"/>
    <w:rsid w:val="77BA41C7"/>
    <w:rsid w:val="77D706B7"/>
    <w:rsid w:val="77F26C6D"/>
    <w:rsid w:val="77F97408"/>
    <w:rsid w:val="78654DF4"/>
    <w:rsid w:val="787E7481"/>
    <w:rsid w:val="78BC6FC0"/>
    <w:rsid w:val="78C338C8"/>
    <w:rsid w:val="7964353D"/>
    <w:rsid w:val="79A01DE7"/>
    <w:rsid w:val="79A12D07"/>
    <w:rsid w:val="79BE0C60"/>
    <w:rsid w:val="7A5C1F07"/>
    <w:rsid w:val="7A6B3551"/>
    <w:rsid w:val="7AEE30CB"/>
    <w:rsid w:val="7B006494"/>
    <w:rsid w:val="7BC506FF"/>
    <w:rsid w:val="7C140C39"/>
    <w:rsid w:val="7C167908"/>
    <w:rsid w:val="7C513A51"/>
    <w:rsid w:val="7C5432CE"/>
    <w:rsid w:val="7CCD4D16"/>
    <w:rsid w:val="7D173AAB"/>
    <w:rsid w:val="7D677171"/>
    <w:rsid w:val="7E490D14"/>
    <w:rsid w:val="7E5A6A7D"/>
    <w:rsid w:val="7E8F05A6"/>
    <w:rsid w:val="7EAB1087"/>
    <w:rsid w:val="7EEB3B79"/>
    <w:rsid w:val="7EED5DB3"/>
    <w:rsid w:val="7F1301C5"/>
    <w:rsid w:val="7F330B17"/>
    <w:rsid w:val="7F4F1B59"/>
    <w:rsid w:val="7F726F86"/>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6"/>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84"/>
    <w:qFormat/>
    <w:uiPriority w:val="0"/>
    <w:pPr>
      <w:spacing w:after="120" w:line="480" w:lineRule="exact"/>
      <w:ind w:left="420" w:leftChars="200" w:firstLine="420" w:firstLineChars="200"/>
    </w:pPr>
    <w:rPr>
      <w:szCs w:val="20"/>
    </w:rPr>
  </w:style>
  <w:style w:type="paragraph" w:styleId="3">
    <w:name w:val="Body Text Indent"/>
    <w:basedOn w:val="1"/>
    <w:next w:val="1"/>
    <w:link w:val="72"/>
    <w:qFormat/>
    <w:uiPriority w:val="0"/>
    <w:pPr>
      <w:spacing w:line="360" w:lineRule="auto"/>
      <w:ind w:firstLine="570"/>
    </w:pPr>
    <w:rPr>
      <w:sz w:val="24"/>
    </w:rPr>
  </w:style>
  <w:style w:type="paragraph" w:styleId="6">
    <w:name w:val="Normal Indent"/>
    <w:basedOn w:val="1"/>
    <w:next w:val="2"/>
    <w:link w:val="60"/>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index 5"/>
    <w:basedOn w:val="1"/>
    <w:next w:val="1"/>
    <w:unhideWhenUsed/>
    <w:qFormat/>
    <w:uiPriority w:val="99"/>
    <w:pPr>
      <w:ind w:left="800" w:leftChars="800"/>
    </w:pPr>
  </w:style>
  <w:style w:type="paragraph" w:styleId="17">
    <w:name w:val="Document Map"/>
    <w:basedOn w:val="1"/>
    <w:link w:val="68"/>
    <w:qFormat/>
    <w:uiPriority w:val="0"/>
    <w:pPr>
      <w:shd w:val="clear" w:color="auto" w:fill="000080"/>
    </w:pPr>
  </w:style>
  <w:style w:type="paragraph" w:styleId="18">
    <w:name w:val="annotation text"/>
    <w:basedOn w:val="1"/>
    <w:link w:val="69"/>
    <w:qFormat/>
    <w:uiPriority w:val="0"/>
    <w:pPr>
      <w:jc w:val="left"/>
    </w:pPr>
  </w:style>
  <w:style w:type="paragraph" w:styleId="19">
    <w:name w:val="Body Text 3"/>
    <w:basedOn w:val="1"/>
    <w:link w:val="70"/>
    <w:qFormat/>
    <w:uiPriority w:val="0"/>
    <w:pPr>
      <w:spacing w:after="120"/>
    </w:pPr>
    <w:rPr>
      <w:sz w:val="16"/>
      <w:szCs w:val="16"/>
    </w:rPr>
  </w:style>
  <w:style w:type="paragraph" w:styleId="20">
    <w:name w:val="Body Text"/>
    <w:basedOn w:val="1"/>
    <w:next w:val="1"/>
    <w:link w:val="71"/>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next w:val="6"/>
    <w:link w:val="7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4"/>
    <w:qFormat/>
    <w:uiPriority w:val="0"/>
    <w:pPr>
      <w:ind w:left="100" w:leftChars="2500"/>
    </w:pPr>
    <w:rPr>
      <w:rFonts w:ascii="仿宋_GB2312" w:hAnsi="宋体" w:eastAsia="仿宋_GB2312"/>
      <w:color w:val="000000"/>
      <w:sz w:val="24"/>
    </w:rPr>
  </w:style>
  <w:style w:type="paragraph" w:styleId="28">
    <w:name w:val="Body Text Indent 2"/>
    <w:basedOn w:val="1"/>
    <w:link w:val="75"/>
    <w:qFormat/>
    <w:uiPriority w:val="0"/>
    <w:pPr>
      <w:ind w:firstLine="480" w:firstLineChars="200"/>
    </w:pPr>
    <w:rPr>
      <w:rFonts w:ascii="仿宋_GB2312" w:eastAsia="仿宋_GB2312"/>
      <w:sz w:val="24"/>
    </w:rPr>
  </w:style>
  <w:style w:type="paragraph" w:styleId="29">
    <w:name w:val="Balloon Text"/>
    <w:basedOn w:val="1"/>
    <w:link w:val="76"/>
    <w:qFormat/>
    <w:uiPriority w:val="0"/>
    <w:rPr>
      <w:sz w:val="18"/>
      <w:szCs w:val="18"/>
    </w:rPr>
  </w:style>
  <w:style w:type="paragraph" w:styleId="30">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qFormat/>
    <w:uiPriority w:val="0"/>
    <w:pPr>
      <w:snapToGrid w:val="0"/>
    </w:pPr>
    <w:rPr>
      <w:rFonts w:ascii="Arial" w:hAnsi="Arial"/>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6">
    <w:name w:val="footnote text"/>
    <w:basedOn w:val="1"/>
    <w:next w:val="16"/>
    <w:qFormat/>
    <w:uiPriority w:val="0"/>
    <w:pPr>
      <w:snapToGrid w:val="0"/>
      <w:spacing w:before="120" w:line="360" w:lineRule="auto"/>
      <w:ind w:firstLine="425"/>
      <w:jc w:val="left"/>
    </w:pPr>
    <w:rPr>
      <w:kern w:val="0"/>
      <w:sz w:val="18"/>
      <w:szCs w:val="20"/>
    </w:rPr>
  </w:style>
  <w:style w:type="paragraph" w:styleId="37">
    <w:name w:val="toc 6"/>
    <w:basedOn w:val="1"/>
    <w:next w:val="1"/>
    <w:qFormat/>
    <w:uiPriority w:val="0"/>
    <w:pPr>
      <w:ind w:left="2100" w:leftChars="1000"/>
    </w:pPr>
  </w:style>
  <w:style w:type="paragraph" w:styleId="38">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39"/>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81"/>
    <w:qFormat/>
    <w:uiPriority w:val="0"/>
    <w:pPr>
      <w:jc w:val="center"/>
      <w:outlineLvl w:val="0"/>
    </w:pPr>
    <w:rPr>
      <w:b/>
      <w:sz w:val="32"/>
      <w:szCs w:val="20"/>
    </w:rPr>
  </w:style>
  <w:style w:type="paragraph" w:styleId="45">
    <w:name w:val="annotation subject"/>
    <w:basedOn w:val="18"/>
    <w:next w:val="18"/>
    <w:link w:val="82"/>
    <w:qFormat/>
    <w:uiPriority w:val="0"/>
    <w:rPr>
      <w:b/>
      <w:bCs/>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4"/>
    <w:qFormat/>
    <w:uiPriority w:val="0"/>
    <w:rPr>
      <w:rFonts w:ascii="宋体"/>
      <w:b/>
      <w:kern w:val="44"/>
      <w:sz w:val="32"/>
    </w:rPr>
  </w:style>
  <w:style w:type="character" w:customStyle="1" w:styleId="59">
    <w:name w:val="标题 2 字符"/>
    <w:link w:val="5"/>
    <w:qFormat/>
    <w:uiPriority w:val="0"/>
    <w:rPr>
      <w:rFonts w:ascii="Arial" w:hAnsi="Arial" w:eastAsia="黑体"/>
      <w:b/>
      <w:sz w:val="30"/>
      <w:lang w:val="en-US" w:eastAsia="zh-CN" w:bidi="ar-SA"/>
    </w:rPr>
  </w:style>
  <w:style w:type="character" w:customStyle="1" w:styleId="60">
    <w:name w:val="正文缩进 字符"/>
    <w:link w:val="6"/>
    <w:qFormat/>
    <w:uiPriority w:val="0"/>
    <w:rPr>
      <w:rFonts w:ascii="宋体" w:eastAsia="宋体"/>
      <w:kern w:val="2"/>
      <w:sz w:val="24"/>
      <w:szCs w:val="24"/>
      <w:lang w:val="en-US" w:eastAsia="zh-CN" w:bidi="ar-SA"/>
    </w:rPr>
  </w:style>
  <w:style w:type="character" w:customStyle="1" w:styleId="61">
    <w:name w:val="标题 3 字符"/>
    <w:link w:val="7"/>
    <w:qFormat/>
    <w:uiPriority w:val="0"/>
    <w:rPr>
      <w:rFonts w:ascii="宋体" w:eastAsia="宋体"/>
      <w:b/>
      <w:sz w:val="24"/>
      <w:u w:val="single"/>
      <w:lang w:val="en-US" w:eastAsia="zh-CN" w:bidi="ar-SA"/>
    </w:rPr>
  </w:style>
  <w:style w:type="character" w:customStyle="1" w:styleId="62">
    <w:name w:val="标题 4 字符"/>
    <w:link w:val="8"/>
    <w:qFormat/>
    <w:uiPriority w:val="0"/>
    <w:rPr>
      <w:rFonts w:ascii="Arial" w:hAnsi="Arial" w:eastAsia="黑体"/>
      <w:b/>
      <w:sz w:val="28"/>
    </w:rPr>
  </w:style>
  <w:style w:type="character" w:customStyle="1" w:styleId="63">
    <w:name w:val="标题 5 字符"/>
    <w:link w:val="9"/>
    <w:qFormat/>
    <w:uiPriority w:val="0"/>
    <w:rPr>
      <w:b/>
      <w:sz w:val="28"/>
    </w:rPr>
  </w:style>
  <w:style w:type="character" w:customStyle="1" w:styleId="64">
    <w:name w:val="标题 6 字符"/>
    <w:link w:val="10"/>
    <w:qFormat/>
    <w:uiPriority w:val="0"/>
    <w:rPr>
      <w:rFonts w:ascii="Arial" w:hAnsi="Arial" w:eastAsia="黑体"/>
      <w:b/>
      <w:sz w:val="24"/>
    </w:rPr>
  </w:style>
  <w:style w:type="character" w:customStyle="1" w:styleId="65">
    <w:name w:val="标题 7 字符"/>
    <w:link w:val="11"/>
    <w:qFormat/>
    <w:uiPriority w:val="0"/>
    <w:rPr>
      <w:b/>
      <w:sz w:val="24"/>
    </w:rPr>
  </w:style>
  <w:style w:type="character" w:customStyle="1" w:styleId="66">
    <w:name w:val="标题 8 字符"/>
    <w:link w:val="12"/>
    <w:qFormat/>
    <w:uiPriority w:val="0"/>
    <w:rPr>
      <w:rFonts w:ascii="Arial" w:hAnsi="Arial" w:eastAsia="黑体"/>
      <w:sz w:val="24"/>
    </w:rPr>
  </w:style>
  <w:style w:type="character" w:customStyle="1" w:styleId="67">
    <w:name w:val="标题 9 字符"/>
    <w:link w:val="13"/>
    <w:qFormat/>
    <w:uiPriority w:val="0"/>
    <w:rPr>
      <w:rFonts w:ascii="Arial" w:hAnsi="Arial" w:eastAsia="黑体"/>
      <w:sz w:val="21"/>
    </w:rPr>
  </w:style>
  <w:style w:type="character" w:customStyle="1" w:styleId="68">
    <w:name w:val="文档结构图 字符"/>
    <w:link w:val="17"/>
    <w:qFormat/>
    <w:uiPriority w:val="0"/>
    <w:rPr>
      <w:kern w:val="2"/>
      <w:sz w:val="21"/>
      <w:szCs w:val="24"/>
      <w:shd w:val="clear" w:color="auto" w:fill="000080"/>
    </w:rPr>
  </w:style>
  <w:style w:type="character" w:customStyle="1" w:styleId="69">
    <w:name w:val="批注文字 字符1"/>
    <w:link w:val="18"/>
    <w:qFormat/>
    <w:uiPriority w:val="99"/>
    <w:rPr>
      <w:kern w:val="2"/>
      <w:sz w:val="21"/>
      <w:szCs w:val="24"/>
    </w:rPr>
  </w:style>
  <w:style w:type="character" w:customStyle="1" w:styleId="70">
    <w:name w:val="正文文本 3 字符"/>
    <w:link w:val="19"/>
    <w:qFormat/>
    <w:uiPriority w:val="0"/>
    <w:rPr>
      <w:kern w:val="2"/>
      <w:sz w:val="16"/>
      <w:szCs w:val="16"/>
    </w:rPr>
  </w:style>
  <w:style w:type="character" w:customStyle="1" w:styleId="71">
    <w:name w:val="正文文本 字符"/>
    <w:link w:val="20"/>
    <w:qFormat/>
    <w:uiPriority w:val="0"/>
    <w:rPr>
      <w:rFonts w:ascii="宋体" w:hAnsi="宋体"/>
      <w:kern w:val="2"/>
      <w:sz w:val="24"/>
      <w:szCs w:val="24"/>
    </w:rPr>
  </w:style>
  <w:style w:type="character" w:customStyle="1" w:styleId="72">
    <w:name w:val="正文文本缩进 字符"/>
    <w:link w:val="3"/>
    <w:qFormat/>
    <w:uiPriority w:val="0"/>
    <w:rPr>
      <w:rFonts w:eastAsia="宋体"/>
      <w:kern w:val="2"/>
      <w:sz w:val="24"/>
      <w:szCs w:val="24"/>
      <w:lang w:val="en-US" w:eastAsia="zh-CN" w:bidi="ar-SA"/>
    </w:rPr>
  </w:style>
  <w:style w:type="character" w:customStyle="1" w:styleId="73">
    <w:name w:val="纯文本 字符2"/>
    <w:link w:val="25"/>
    <w:qFormat/>
    <w:uiPriority w:val="0"/>
    <w:rPr>
      <w:rFonts w:hint="eastAsia" w:ascii="宋体" w:hAnsi="Courier New" w:eastAsia="宋体" w:cs="宋体"/>
      <w:kern w:val="2"/>
      <w:sz w:val="21"/>
    </w:rPr>
  </w:style>
  <w:style w:type="character" w:customStyle="1" w:styleId="74">
    <w:name w:val="日期 字符"/>
    <w:link w:val="27"/>
    <w:qFormat/>
    <w:uiPriority w:val="0"/>
    <w:rPr>
      <w:rFonts w:ascii="仿宋_GB2312" w:hAnsi="宋体" w:eastAsia="仿宋_GB2312"/>
      <w:color w:val="000000"/>
      <w:kern w:val="2"/>
      <w:sz w:val="24"/>
      <w:szCs w:val="24"/>
    </w:rPr>
  </w:style>
  <w:style w:type="character" w:customStyle="1" w:styleId="75">
    <w:name w:val="正文文本缩进 2 字符"/>
    <w:link w:val="28"/>
    <w:qFormat/>
    <w:uiPriority w:val="0"/>
    <w:rPr>
      <w:rFonts w:ascii="仿宋_GB2312" w:eastAsia="仿宋_GB2312"/>
      <w:kern w:val="2"/>
      <w:sz w:val="24"/>
      <w:szCs w:val="24"/>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rFonts w:ascii="宋体" w:eastAsia="宋体"/>
      <w:sz w:val="18"/>
      <w:lang w:val="en-US" w:eastAsia="zh-CN" w:bidi="ar-SA"/>
    </w:rPr>
  </w:style>
  <w:style w:type="character" w:customStyle="1" w:styleId="78">
    <w:name w:val="页眉 字符"/>
    <w:link w:val="32"/>
    <w:qFormat/>
    <w:uiPriority w:val="0"/>
    <w:rPr>
      <w:rFonts w:eastAsia="宋体"/>
      <w:kern w:val="2"/>
      <w:sz w:val="18"/>
      <w:szCs w:val="18"/>
      <w:lang w:val="en-US" w:eastAsia="zh-CN" w:bidi="ar-SA"/>
    </w:rPr>
  </w:style>
  <w:style w:type="character" w:customStyle="1" w:styleId="79">
    <w:name w:val="正文文本缩进 3 字符"/>
    <w:link w:val="38"/>
    <w:qFormat/>
    <w:uiPriority w:val="0"/>
    <w:rPr>
      <w:rFonts w:ascii="宋体"/>
      <w:sz w:val="24"/>
    </w:rPr>
  </w:style>
  <w:style w:type="character" w:customStyle="1" w:styleId="80">
    <w:name w:val="HTML 预设格式 字符"/>
    <w:link w:val="41"/>
    <w:qFormat/>
    <w:uiPriority w:val="0"/>
    <w:rPr>
      <w:rFonts w:ascii="宋体" w:hAnsi="宋体" w:cs="宋体"/>
      <w:sz w:val="24"/>
      <w:szCs w:val="24"/>
    </w:rPr>
  </w:style>
  <w:style w:type="character" w:customStyle="1" w:styleId="81">
    <w:name w:val="标题 字符"/>
    <w:link w:val="44"/>
    <w:qFormat/>
    <w:uiPriority w:val="0"/>
    <w:rPr>
      <w:b/>
      <w:kern w:val="2"/>
      <w:sz w:val="32"/>
    </w:rPr>
  </w:style>
  <w:style w:type="character" w:customStyle="1" w:styleId="82">
    <w:name w:val="批注主题 字符"/>
    <w:link w:val="45"/>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2"/>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6"/>
    <w:link w:val="97"/>
    <w:qFormat/>
    <w:uiPriority w:val="0"/>
    <w:pPr>
      <w:jc w:val="center"/>
    </w:pPr>
    <w:rPr>
      <w:i w:val="0"/>
      <w:color w:val="000000"/>
      <w:sz w:val="28"/>
      <w:szCs w:val="21"/>
    </w:rPr>
  </w:style>
  <w:style w:type="paragraph" w:customStyle="1" w:styleId="99">
    <w:name w:val="正文小标题"/>
    <w:basedOn w:val="1"/>
    <w:next w:val="6"/>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5"/>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4"/>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4"/>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7"/>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3"/>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15301</Words>
  <Characters>15893</Characters>
  <Lines>238</Lines>
  <Paragraphs>67</Paragraphs>
  <TotalTime>1</TotalTime>
  <ScaleCrop>false</ScaleCrop>
  <LinksUpToDate>false</LinksUpToDate>
  <CharactersWithSpaces>16172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尹皓</dc:creator>
  <cp:lastModifiedBy>尚阳</cp:lastModifiedBy>
  <cp:lastPrinted>2020-04-02T03:13:00Z</cp:lastPrinted>
  <dcterms:modified xsi:type="dcterms:W3CDTF">2025-06-30T05:38:23Z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3D2F5DD2B8BE4A80846859B10375ACE8_13</vt:lpwstr>
  </property>
  <property fmtid="{D5CDD505-2E9C-101B-9397-08002B2CF9AE}" pid="4" name="KSOTemplateDocerSaveRecord">
    <vt:lpwstr>eyJoZGlkIjoiY2ViMTY4ZDk2MTA1NmQ0ZDBkMjg1MzQ2NDRlMjE2OTEiLCJ1c2VySWQiOiIzMDY1NzQ5NDQifQ==</vt:lpwstr>
  </property>
</Properties>
</file>