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rPr>
          <w:highlight w:val="none"/>
        </w:rPr>
      </w:r>
    </w:p>
    <w:p>
      <w:pPr>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rPr>
          <w:highlight w:val="none"/>
        </w:rPr>
      </w:r>
    </w:p>
    <w:p>
      <w:pPr>
        <w:jc w:val="center"/>
        <w:spacing w:before="120" w:after="120" w:line="360" w:lineRule="auto"/>
        <w:rPr>
          <w:rFonts w:hint="eastAsia" w:ascii="Arial" w:hAnsi="Arial" w:eastAsia="宋体"/>
          <w:b/>
          <w:bCs/>
          <w:sz w:val="32"/>
          <w:szCs w:val="24"/>
          <w:highlight w:val="none"/>
        </w:rPr>
      </w:pPr>
      <w:r>
        <w:rPr>
          <w:rFonts w:hint="eastAsia" w:ascii="Arial" w:hAnsi="Arial"/>
          <w:b/>
          <w:bCs/>
          <w:sz w:val="32"/>
          <w:szCs w:val="24"/>
          <w:highlight w:val="none"/>
        </w:rPr>
        <w:t xml:space="preserve">项目名称：</w:t>
      </w:r>
      <w:r>
        <w:rPr>
          <w:rFonts w:hint="eastAsia" w:ascii="Arial" w:hAnsi="Arial"/>
          <w:b/>
          <w:bCs/>
          <w:sz w:val="32"/>
          <w:szCs w:val="24"/>
          <w:highlight w:val="none"/>
          <w:lang w:eastAsia="zh-CN"/>
        </w:rPr>
        <w:t xml:space="preserve">江苏农牧科技职业学院2024教学用计算机采购项目</w:t>
      </w:r>
      <w:r>
        <w:rPr>
          <w:highlight w:val="none"/>
        </w:rPr>
      </w:r>
    </w:p>
    <w:p>
      <w:pPr>
        <w:jc w:val="center"/>
        <w:spacing w:before="120" w:after="120" w:line="360" w:lineRule="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sz w:val="32"/>
          <w:szCs w:val="24"/>
          <w:highlight w:val="none"/>
        </w:rPr>
        <w:t xml:space="preserve">项目编号：</w:t>
      </w:r>
      <w:r>
        <w:rPr>
          <w:rFonts w:hint="eastAsia" w:ascii="Arial" w:hAnsi="Arial"/>
          <w:b/>
          <w:bCs/>
          <w:color w:val="000000" w:themeColor="text1"/>
          <w:sz w:val="32"/>
          <w:szCs w:val="24"/>
          <w:highlight w:val="none"/>
          <w14:textFill>
            <w14:solidFill>
              <w14:schemeClr w14:val="tx1"/>
            </w14:solidFill>
          </w14:textFill>
        </w:rPr>
        <w:t xml:space="preserve">JSZC-320000-SCZX-G2024-0</w:t>
      </w:r>
      <w:r>
        <w:rPr>
          <w:rFonts w:hint="eastAsia" w:ascii="Arial" w:hAnsi="Arial"/>
          <w:b/>
          <w:bCs/>
          <w:color w:val="000000" w:themeColor="text1"/>
          <w:sz w:val="32"/>
          <w:szCs w:val="24"/>
          <w:highlight w:val="none"/>
          <w:lang w:val="en-US" w:eastAsia="zh-CN"/>
          <w14:textFill>
            <w14:solidFill>
              <w14:schemeClr w14:val="tx1"/>
            </w14:solidFill>
          </w14:textFill>
        </w:rPr>
        <w:t xml:space="preserve">432</w:t>
      </w:r>
      <w:r>
        <w:rPr>
          <w:highlight w:val="none"/>
        </w:rPr>
      </w:r>
    </w:p>
    <w:p>
      <w:pPr>
        <w:ind w:left="2800" w:hanging="2800"/>
        <w:rPr>
          <w:rFonts w:ascii="Times New Roman" w:hAnsi="Times New Roman"/>
          <w:b/>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14:textFill>
            <w14:solidFill>
              <w14:schemeClr w14:val="tx1"/>
            </w14:solidFill>
          </w14:textFill>
        </w:rPr>
        <w:t xml:space="preserve">       </w:t>
      </w:r>
      <w:r>
        <w:rPr>
          <w:rFonts w:hint="eastAsia" w:ascii="Times New Roman" w:hAnsi="Times New Roman"/>
          <w:b/>
          <w:color w:val="000000" w:themeColor="text1"/>
          <w:sz w:val="28"/>
          <w:szCs w:val="28"/>
          <w:highlight w:val="none"/>
          <w14:textFill>
            <w14:solidFill>
              <w14:schemeClr w14:val="tx1"/>
            </w14:solidFill>
          </w14:textFill>
        </w:rPr>
        <w:t xml:space="preserve"> </w:t>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center"/>
        <w:spacing w:before="120" w:after="120" w:line="360" w:lineRule="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江苏省政府采购中心</w:t>
      </w:r>
      <w:r>
        <w:rPr>
          <w:highlight w:val="none"/>
        </w:rPr>
      </w:r>
    </w:p>
    <w:p>
      <w:pPr>
        <w:jc w:val="center"/>
        <w:spacing w:before="120" w:after="120" w:line="360" w:lineRule="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2024年9月</w:t>
      </w:r>
      <w:r>
        <w:rPr>
          <w:highlight w:val="none"/>
        </w:rP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rPr>
          <w:highlight w:val="none"/>
        </w:rPr>
      </w:r>
    </w:p>
    <w:p>
      <w:pPr>
        <w:jc w:val="center"/>
        <w:spacing w:before="120" w:after="120" w:line="360" w:lineRule="auto"/>
        <w:rPr>
          <w:rFonts w:hint="eastAsia" w:ascii="Arial" w:hAnsi="Arial"/>
          <w:color w:val="000000" w:themeColor="text1"/>
          <w:sz w:val="24"/>
          <w:szCs w:val="24"/>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r>
      <w:r>
        <w:rPr>
          <w:highlight w:val="none"/>
        </w:rP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outlineLvl w:val="0"/>
      </w:pPr>
      <w:r>
        <w:rPr>
          <w:rFonts w:ascii="Times New Roman" w:hAnsi="Times New Roman"/>
          <w:color w:val="000000" w:themeColor="text1"/>
          <w:szCs w:val="21"/>
          <w:highlight w:val="none"/>
          <w14:textFill>
            <w14:solidFill>
              <w14:schemeClr w14:val="tx1"/>
            </w14:solidFill>
          </w14:textFill>
        </w:rPr>
        <w:br w:type="page" w:clear="all"/>
      </w:r>
      <w:bookmarkStart w:id="0" w:name="_Toc120614210"/>
      <w:r>
        <w:rPr>
          <w:highlight w:val="none"/>
        </w:rPr>
      </w:r>
      <w:bookmarkStart w:id="1" w:name="_Toc479757206"/>
      <w:r>
        <w:rPr>
          <w:highlight w:val="none"/>
        </w:rPr>
      </w:r>
      <w:bookmarkStart w:id="2" w:name="_Toc20823272"/>
      <w:r>
        <w:rPr>
          <w:highlight w:val="none"/>
        </w:rPr>
      </w:r>
      <w:bookmarkStart w:id="3" w:name="_Toc513029200"/>
      <w:r>
        <w:rPr>
          <w:highlight w:val="none"/>
        </w:rPr>
      </w:r>
      <w:bookmarkStart w:id="4" w:name="_Toc16938516"/>
      <w:r>
        <w:rPr>
          <w:highlight w:val="none"/>
        </w:rPr>
      </w:r>
      <w:bookmarkStart w:id="5" w:name="_Toc523127445"/>
      <w:r>
        <w:rPr>
          <w:rFonts w:hint="eastAsia" w:ascii="黑体" w:hAnsi="Arial" w:eastAsia="黑体"/>
          <w:b/>
          <w:color w:val="000000" w:themeColor="text1"/>
          <w:sz w:val="44"/>
          <w:szCs w:val="21"/>
          <w:highlight w:val="none"/>
          <w14:textFill>
            <w14:solidFill>
              <w14:schemeClr w14:val="tx1"/>
            </w14:solidFill>
          </w14:textFill>
        </w:rPr>
        <w:t xml:space="preserve">总  目  录</w:t>
      </w:r>
      <w:r>
        <w:rPr>
          <w:highlight w:val="none"/>
        </w:rPr>
      </w:r>
    </w:p>
    <w:p>
      <w:pPr>
        <w:spacing w:line="480" w:lineRule="auto"/>
        <w:rPr>
          <w:rFonts w:hint="eastAsia" w:ascii="仿宋_GB2312" w:hAnsi="Arial" w:eastAsia="仿宋_GB2312"/>
          <w:b/>
          <w:color w:val="000000" w:themeColor="text1"/>
          <w:sz w:val="28"/>
          <w:szCs w:val="21"/>
          <w:highlight w:val="none"/>
          <w14:textFill>
            <w14:solidFill>
              <w14:schemeClr w14:val="tx1"/>
            </w14:solidFill>
          </w14:textFill>
        </w:rPr>
      </w:pPr>
      <w:r>
        <w:rPr>
          <w:rFonts w:hint="eastAsia" w:ascii="仿宋_GB2312" w:hAnsi="Arial" w:eastAsia="仿宋_GB2312"/>
          <w:b/>
          <w:color w:val="000000" w:themeColor="text1"/>
          <w:sz w:val="28"/>
          <w:szCs w:val="21"/>
          <w:highlight w:val="none"/>
          <w14:textFill>
            <w14:solidFill>
              <w14:schemeClr w14:val="tx1"/>
            </w14:solidFill>
          </w14:textFill>
        </w:rPr>
      </w:r>
      <w:r>
        <w:rPr>
          <w:highlight w:val="none"/>
        </w:rPr>
      </w:r>
    </w:p>
    <w:p>
      <w:pPr>
        <w:numPr>
          <w:ilvl w:val="0"/>
          <w:numId w:val="4"/>
        </w:numPr>
        <w:spacing w:line="480" w:lineRule="auto"/>
        <w:rPr>
          <w:rFonts w:hint="eastAsia" w:ascii="黑体" w:hAnsi="Showcard Gothic" w:eastAsia="黑体"/>
          <w:color w:val="000000" w:themeColor="text1"/>
          <w:sz w:val="32"/>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投标邀请</w:t>
      </w:r>
      <w:r>
        <w:rPr>
          <w:rFonts w:hint="eastAsia" w:ascii="黑体" w:hAnsi="Showcard Gothic" w:eastAsia="黑体"/>
          <w:color w:val="000000" w:themeColor="text1"/>
          <w:sz w:val="36"/>
          <w:szCs w:val="21"/>
          <w:highlight w:val="none"/>
          <w14:textFill>
            <w14:solidFill>
              <w14:schemeClr w14:val="tx1"/>
            </w14:solidFill>
          </w14:textFill>
        </w:rPr>
        <w:t xml:space="preserve">…………………………………… </w:t>
      </w:r>
      <w:r>
        <w:rPr>
          <w:highlight w:val="none"/>
        </w:rP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投标人须知</w:t>
      </w:r>
      <w:r>
        <w:rPr>
          <w:rFonts w:hint="eastAsia" w:ascii="黑体" w:hAnsi="Showcard Gothic" w:eastAsia="黑体"/>
          <w:color w:val="000000" w:themeColor="text1"/>
          <w:sz w:val="36"/>
          <w:szCs w:val="36"/>
          <w:highlight w:val="none"/>
          <w14:textFill>
            <w14:solidFill>
              <w14:schemeClr w14:val="tx1"/>
            </w14:solidFill>
          </w14:textFill>
        </w:rPr>
        <w:t xml:space="preserve">…</w:t>
      </w:r>
      <w:r>
        <w:rPr>
          <w:rFonts w:hint="eastAsia" w:ascii="黑体" w:hAnsi="Showcard Gothic" w:eastAsia="黑体"/>
          <w:color w:val="000000" w:themeColor="text1"/>
          <w:sz w:val="36"/>
          <w:szCs w:val="21"/>
          <w:highlight w:val="none"/>
          <w14:textFill>
            <w14:solidFill>
              <w14:schemeClr w14:val="tx1"/>
            </w14:solidFill>
          </w14:textFill>
        </w:rPr>
        <w:t xml:space="preserve">………………………………  </w:t>
      </w:r>
      <w:r>
        <w:rPr>
          <w:highlight w:val="none"/>
        </w:rP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合同文本</w:t>
      </w:r>
      <w:r>
        <w:rPr>
          <w:rFonts w:hint="eastAsia" w:ascii="黑体" w:hAnsi="Showcard Gothic" w:eastAsia="黑体"/>
          <w:color w:val="000000" w:themeColor="text1"/>
          <w:sz w:val="36"/>
          <w:szCs w:val="21"/>
          <w:highlight w:val="none"/>
          <w14:textFill>
            <w14:solidFill>
              <w14:schemeClr w14:val="tx1"/>
            </w14:solidFill>
          </w14:textFill>
        </w:rPr>
        <w:t xml:space="preserve">……………………………………</w:t>
      </w:r>
      <w:r>
        <w:rPr>
          <w:highlight w:val="none"/>
        </w:rP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采购需求</w:t>
      </w:r>
      <w:r>
        <w:rPr>
          <w:rFonts w:hint="eastAsia" w:ascii="黑体" w:hAnsi="Showcard Gothic" w:eastAsia="黑体"/>
          <w:color w:val="000000" w:themeColor="text1"/>
          <w:sz w:val="36"/>
          <w:szCs w:val="21"/>
          <w:highlight w:val="none"/>
          <w14:textFill>
            <w14:solidFill>
              <w14:schemeClr w14:val="tx1"/>
            </w14:solidFill>
          </w14:textFill>
        </w:rPr>
        <w:t xml:space="preserve">……………………………………</w:t>
      </w:r>
      <w:r>
        <w:rPr>
          <w:highlight w:val="none"/>
        </w:rP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评标方法与评标标准</w:t>
      </w:r>
      <w:r>
        <w:rPr>
          <w:rFonts w:hint="eastAsia" w:ascii="黑体" w:hAnsi="Showcard Gothic" w:eastAsia="黑体"/>
          <w:color w:val="000000" w:themeColor="text1"/>
          <w:sz w:val="36"/>
          <w:szCs w:val="21"/>
          <w:highlight w:val="none"/>
          <w14:textFill>
            <w14:solidFill>
              <w14:schemeClr w14:val="tx1"/>
            </w14:solidFill>
          </w14:textFill>
        </w:rPr>
        <w:t xml:space="preserve">………………………</w:t>
      </w:r>
      <w:r>
        <w:rPr>
          <w:highlight w:val="none"/>
        </w:rP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投标文件格式</w:t>
      </w:r>
      <w:r>
        <w:rPr>
          <w:rFonts w:hint="eastAsia" w:ascii="黑体" w:hAnsi="Showcard Gothic" w:eastAsia="黑体"/>
          <w:color w:val="000000" w:themeColor="text1"/>
          <w:sz w:val="36"/>
          <w:szCs w:val="21"/>
          <w:highlight w:val="none"/>
          <w14:textFill>
            <w14:solidFill>
              <w14:schemeClr w14:val="tx1"/>
            </w14:solidFill>
          </w14:textFill>
        </w:rPr>
        <w:t xml:space="preserve">………………………………</w:t>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jc w:val="center"/>
        <w:keepNext/>
        <w:rPr>
          <w:rFonts w:hint="eastAsia" w:ascii="黑体" w:hAnsi="Times New Roman" w:eastAsia="黑体"/>
          <w:bCs/>
          <w:color w:val="000000" w:themeColor="text1"/>
          <w:sz w:val="44"/>
          <w:szCs w:val="44"/>
          <w:highlight w:val="none"/>
          <w14:textFill>
            <w14:solidFill>
              <w14:schemeClr w14:val="tx1"/>
            </w14:solidFill>
          </w14:textFill>
        </w:rPr>
        <w:outlineLvl w:val="0"/>
      </w:pPr>
      <w:r>
        <w:rPr>
          <w:rFonts w:hint="eastAsia" w:ascii="黑体" w:hAnsi="Times New Roman" w:eastAsia="黑体"/>
          <w:color w:val="000000" w:themeColor="text1"/>
          <w:sz w:val="44"/>
          <w:szCs w:val="44"/>
          <w:highlight w:val="none"/>
          <w14:textFill>
            <w14:solidFill>
              <w14:schemeClr w14:val="tx1"/>
            </w14:solidFill>
          </w14:textFill>
        </w:rPr>
        <w:t xml:space="preserve">第一章  </w:t>
      </w:r>
      <w:bookmarkEnd w:id="0"/>
      <w:r>
        <w:rPr>
          <w:rFonts w:hint="eastAsia" w:ascii="黑体" w:hAnsi="Times New Roman" w:eastAsia="黑体"/>
          <w:color w:val="000000" w:themeColor="text1"/>
          <w:sz w:val="44"/>
          <w:szCs w:val="44"/>
          <w:highlight w:val="none"/>
          <w14:textFill>
            <w14:solidFill>
              <w14:schemeClr w14:val="tx1"/>
            </w14:solidFill>
          </w14:textFill>
        </w:rPr>
        <w:t xml:space="preserve">投标邀请</w:t>
      </w:r>
      <w:r>
        <w:rPr>
          <w:highlight w:val="none"/>
        </w:rP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受江苏农牧科技职业学院的委托，江苏省政府采购中心就</w:t>
      </w:r>
      <w:r>
        <w:rPr>
          <w:rFonts w:hint="eastAsia" w:ascii="宋体" w:hAnsi="宋体"/>
          <w:sz w:val="24"/>
          <w:szCs w:val="24"/>
          <w:highlight w:val="none"/>
          <w:lang w:eastAsia="zh-CN"/>
        </w:rPr>
        <w:t xml:space="preserve">江苏农牧科技职业学院2024教学用计算机采购项目</w:t>
      </w:r>
      <w:r>
        <w:rPr>
          <w:rFonts w:hint="eastAsia" w:ascii="宋体" w:hAnsi="宋体"/>
          <w:sz w:val="24"/>
          <w:szCs w:val="24"/>
          <w:highlight w:val="none"/>
        </w:rPr>
        <w:t xml:space="preserve">(JSZC-320000-SCZX-G2024-0432)项目进行公开招标采购，欢迎符合条件的供应商投标。</w:t>
      </w:r>
      <w:r>
        <w:rPr>
          <w:highlight w:val="none"/>
        </w:rPr>
      </w:r>
    </w:p>
    <w:p>
      <w:pPr>
        <w:ind w:firstLine="480"/>
        <w:spacing w:line="4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highlight w:val="none"/>
        </w:rPr>
      </w:r>
    </w:p>
    <w:p>
      <w:pPr>
        <w:ind w:firstLine="480"/>
        <w:spacing w:line="4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江苏农牧科技职业学院2024教学用计算机采购项目</w:t>
      </w:r>
      <w:r>
        <w:rPr>
          <w:rFonts w:hint="eastAsia" w:ascii="宋体" w:hAnsi="宋体"/>
          <w:sz w:val="24"/>
          <w:szCs w:val="24"/>
          <w:highlight w:val="none"/>
          <w:u w:val="single"/>
        </w:rPr>
        <w:t xml:space="preserve"> </w:t>
      </w:r>
      <w:r>
        <w:rPr>
          <w:rFonts w:hint="eastAsia" w:ascii="宋体" w:hAnsi="宋体"/>
          <w:sz w:val="24"/>
          <w:szCs w:val="24"/>
          <w:highlight w:val="none"/>
        </w:rPr>
        <w:t xml:space="preserve">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lang w:val="en-US" w:eastAsia="zh-CN"/>
        </w:rPr>
        <w:t xml:space="preserve"> </w:t>
      </w:r>
      <w:r>
        <w:rPr>
          <w:rFonts w:hint="eastAsia" w:ascii="宋体" w:hAnsi="宋体"/>
          <w:color w:val="000000" w:themeColor="text1"/>
          <w:sz w:val="24"/>
          <w:szCs w:val="24"/>
          <w:highlight w:val="none"/>
          <w:u w:val="single"/>
          <w14:textFill>
            <w14:solidFill>
              <w14:schemeClr w14:val="tx1"/>
            </w14:solidFill>
          </w14:textFill>
        </w:rPr>
        <w:t xml:space="preserve">2024</w:t>
      </w:r>
      <w:r>
        <w:rPr>
          <w:rFonts w:hint="eastAsia" w:ascii="宋体" w:hAnsi="宋体"/>
          <w:bCs/>
          <w:color w:val="000000" w:themeColor="text1"/>
          <w:sz w:val="24"/>
          <w:szCs w:val="24"/>
          <w:highlight w:val="none"/>
          <w:u w:val="single"/>
          <w14:textFill>
            <w14:solidFill>
              <w14:schemeClr w14:val="tx1"/>
            </w14:solidFill>
          </w14:textFill>
        </w:rPr>
        <w:t xml:space="preserve">年10月9</w:t>
      </w:r>
      <w:r>
        <w:rPr>
          <w:rFonts w:hint="eastAsia" w:ascii="宋体" w:hAnsi="宋体"/>
          <w:bCs/>
          <w:color w:val="000000" w:themeColor="text1"/>
          <w:sz w:val="24"/>
          <w:szCs w:val="24"/>
          <w:highlight w:val="none"/>
          <w:u w:val="single"/>
          <w14:textFill>
            <w14:solidFill>
              <w14:schemeClr w14:val="tx1"/>
            </w14:solidFill>
          </w14:textFill>
        </w:rPr>
        <w:t xml:space="preserve">日14点30分</w:t>
      </w:r>
      <w:r>
        <w:rPr>
          <w:rFonts w:hint="eastAsia" w:ascii="宋体" w:hAnsi="宋体"/>
          <w:bCs/>
          <w:sz w:val="24"/>
          <w:szCs w:val="24"/>
          <w:highlight w:val="none"/>
          <w:u w:val="single"/>
        </w:rPr>
        <w:t xml:space="preserve">（</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highlight w:val="none"/>
        </w:rPr>
      </w:r>
    </w:p>
    <w:p>
      <w:pPr>
        <w:ind w:firstLine="498"/>
        <w:keepLines/>
        <w:keepNext/>
        <w:spacing w:before="145" w:after="145" w:line="400" w:lineRule="exact"/>
        <w:rPr>
          <w:rFonts w:ascii="Times New Roman" w:hAnsi="Times New Roman"/>
          <w:b/>
          <w:bCs/>
          <w:sz w:val="32"/>
          <w:szCs w:val="32"/>
          <w:highlight w:val="none"/>
        </w:rPr>
        <w:outlineLvl w:val="2"/>
      </w:pPr>
      <w:r>
        <w:rPr>
          <w:highlight w:val="none"/>
        </w:rPr>
      </w:r>
      <w:bookmarkStart w:id="6" w:name="_Toc28359002"/>
      <w:r>
        <w:rPr>
          <w:highlight w:val="none"/>
        </w:rPr>
      </w:r>
      <w:bookmarkStart w:id="7" w:name="_Toc35393790"/>
      <w:r>
        <w:rPr>
          <w:highlight w:val="none"/>
        </w:rPr>
      </w:r>
      <w:bookmarkStart w:id="8" w:name="_Toc35393621"/>
      <w:r>
        <w:rPr>
          <w:highlight w:val="none"/>
        </w:rPr>
      </w:r>
      <w:bookmarkStart w:id="9" w:name="_Toc28359079"/>
      <w:r>
        <w:rPr>
          <w:highlight w:val="none"/>
        </w:rPr>
      </w:r>
      <w:bookmarkStart w:id="10" w:name="_Toc38985263"/>
      <w:r>
        <w:rPr>
          <w:highlight w:val="none"/>
        </w:rPr>
      </w:r>
      <w:bookmarkStart w:id="11" w:name="_Hlk24379207"/>
      <w:r>
        <w:rPr>
          <w:rFonts w:hint="eastAsia" w:ascii="Times New Roman" w:hAnsi="Times New Roman"/>
          <w:b/>
          <w:bCs/>
          <w:sz w:val="32"/>
          <w:szCs w:val="32"/>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rPr>
          <w:highlight w:val="none"/>
        </w:rP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1.项目编号：JSZC-320000-SCZX-G2024-0432</w:t>
      </w:r>
      <w:r>
        <w:rPr>
          <w:highlight w:val="none"/>
        </w:rPr>
      </w:r>
    </w:p>
    <w:p>
      <w:pPr>
        <w:ind w:firstLine="480"/>
        <w:spacing w:line="400" w:lineRule="exact"/>
        <w:rPr>
          <w:rFonts w:hint="eastAsia" w:ascii="宋体" w:hAnsi="宋体" w:eastAsia="宋体"/>
          <w:sz w:val="24"/>
          <w:szCs w:val="24"/>
          <w:highlight w:val="none"/>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江苏农牧科技职业学院2024教学用计算机采购项目</w:t>
      </w:r>
      <w:bookmarkEnd w:id="11"/>
      <w:r/>
      <w:r>
        <w:rPr>
          <w:highlight w:val="none"/>
        </w:rPr>
      </w:r>
    </w:p>
    <w:p>
      <w:pPr>
        <w:ind w:firstLine="480"/>
        <w:spacing w:line="400" w:lineRule="exact"/>
        <w:rPr>
          <w:rFonts w:hint="default" w:ascii="宋体" w:hAnsi="宋体" w:eastAsia="宋体"/>
          <w:sz w:val="24"/>
          <w:szCs w:val="24"/>
          <w:highlight w:val="none"/>
        </w:rPr>
      </w:pPr>
      <w:r>
        <w:rPr>
          <w:rFonts w:hint="eastAsia" w:ascii="宋体" w:hAnsi="宋体"/>
          <w:sz w:val="24"/>
          <w:szCs w:val="24"/>
          <w:highlight w:val="none"/>
        </w:rPr>
        <w:t xml:space="preserve">3.预算金额</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613.4754万元</w:t>
      </w:r>
      <w:r>
        <w:rPr>
          <w:highlight w:val="none"/>
        </w:rPr>
      </w:r>
    </w:p>
    <w:p>
      <w:pPr>
        <w:ind w:firstLine="480"/>
        <w:spacing w:line="400" w:lineRule="exact"/>
        <w:rPr>
          <w:rFonts w:hint="eastAsia" w:ascii="宋体" w:hAnsi="宋体" w:eastAsia="宋体"/>
          <w:sz w:val="24"/>
          <w:szCs w:val="24"/>
          <w:highlight w:val="none"/>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613.4754万元</w:t>
      </w:r>
      <w:r>
        <w:rPr>
          <w:highlight w:val="none"/>
        </w:rPr>
      </w:r>
    </w:p>
    <w:p>
      <w:pPr>
        <w:ind w:firstLine="480"/>
        <w:spacing w:line="400" w:lineRule="exact"/>
        <w:rPr>
          <w:rFonts w:hint="eastAsia" w:ascii="宋体" w:hAnsi="宋体" w:eastAsia="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sz w:val="24"/>
          <w:szCs w:val="24"/>
          <w:highlight w:val="none"/>
          <w:lang w:eastAsia="zh-CN"/>
        </w:rPr>
        <w:t xml:space="preserve">拟采购不同配置教学用台式计算机共</w:t>
      </w:r>
      <w:r>
        <w:rPr>
          <w:rFonts w:hint="eastAsia" w:ascii="宋体" w:hAnsi="宋体"/>
          <w:sz w:val="24"/>
          <w:szCs w:val="24"/>
          <w:highlight w:val="none"/>
          <w:lang w:val="en-US" w:eastAsia="zh-CN"/>
        </w:rPr>
        <w:t xml:space="preserve">993台</w:t>
      </w:r>
      <w:r>
        <w:rPr>
          <w:rFonts w:hint="eastAsia" w:ascii="宋体" w:hAnsi="宋体"/>
          <w:sz w:val="24"/>
          <w:szCs w:val="24"/>
          <w:highlight w:val="none"/>
        </w:rPr>
        <w:t xml:space="preserve">。</w:t>
      </w:r>
      <w:r>
        <w:rPr>
          <w:rFonts w:hint="eastAsia" w:ascii="宋体" w:hAnsi="宋体" w:cs="宋体"/>
          <w:sz w:val="24"/>
          <w:szCs w:val="24"/>
          <w:highlight w:val="none"/>
          <w:lang w:eastAsia="zh-CN"/>
        </w:rPr>
        <w:t xml:space="preserve">技术参数详见招标文件。</w:t>
      </w:r>
      <w:r>
        <w:rPr>
          <w:highlight w:val="none"/>
        </w:rPr>
      </w:r>
    </w:p>
    <w:p>
      <w:pPr>
        <w:ind w:firstLine="480"/>
        <w:spacing w:line="400" w:lineRule="exact"/>
        <w:rPr>
          <w:rFonts w:ascii="宋体" w:hAnsi="宋体"/>
          <w:sz w:val="24"/>
          <w:szCs w:val="24"/>
          <w:highlight w:val="none"/>
          <w:u w:val="single"/>
        </w:rPr>
      </w:pPr>
      <w:r>
        <w:rPr>
          <w:rFonts w:hint="eastAsia" w:ascii="宋体" w:hAnsi="宋体"/>
          <w:sz w:val="24"/>
          <w:szCs w:val="24"/>
          <w:highlight w:val="none"/>
        </w:rPr>
        <w:t xml:space="preserve">6.合同履行期限：</w:t>
      </w:r>
      <w:r>
        <w:rPr>
          <w:rFonts w:hint="eastAsia" w:ascii="宋体" w:hAnsi="宋体"/>
          <w:color w:val="000000" w:themeColor="text1"/>
          <w:sz w:val="24"/>
          <w:szCs w:val="24"/>
          <w:highlight w:val="none"/>
          <w14:textFill>
            <w14:solidFill>
              <w14:schemeClr w14:val="tx1"/>
            </w14:solidFill>
          </w14:textFill>
        </w:rPr>
        <w:t xml:space="preserve">自合同签订后</w:t>
      </w:r>
      <w:r>
        <w:rPr>
          <w:rFonts w:hint="eastAsia" w:ascii="宋体" w:hAnsi="宋体"/>
          <w:color w:val="000000" w:themeColor="text1"/>
          <w:sz w:val="24"/>
          <w:szCs w:val="24"/>
          <w:highlight w:val="none"/>
          <w:lang w:val="en-US" w:eastAsia="zh-CN"/>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天内供货并完成安装调试交付采购人使用</w:t>
      </w:r>
      <w:r>
        <w:rPr>
          <w:rFonts w:hint="eastAsia" w:ascii="宋体" w:hAnsi="宋体"/>
          <w:sz w:val="24"/>
          <w:szCs w:val="24"/>
          <w:highlight w:val="none"/>
        </w:rPr>
        <w:t xml:space="preserve">。</w:t>
      </w:r>
      <w:r>
        <w:rPr>
          <w:highlight w:val="none"/>
        </w:rPr>
      </w:r>
    </w:p>
    <w:p>
      <w:pPr>
        <w:ind w:firstLine="498"/>
        <w:keepLines/>
        <w:keepNext/>
        <w:spacing w:before="145" w:after="145" w:line="400" w:lineRule="exact"/>
        <w:rPr>
          <w:rFonts w:hint="eastAsia" w:ascii="Times New Roman" w:hAnsi="Times New Roman"/>
          <w:b/>
          <w:bCs/>
          <w:sz w:val="32"/>
          <w:szCs w:val="32"/>
          <w:highlight w:val="none"/>
        </w:rPr>
        <w:outlineLvl w:val="2"/>
      </w:pPr>
      <w:r>
        <w:rPr>
          <w:highlight w:val="none"/>
        </w:rPr>
      </w:r>
      <w:bookmarkStart w:id="12" w:name="_Toc35393791"/>
      <w:r>
        <w:rPr>
          <w:highlight w:val="none"/>
        </w:rPr>
      </w:r>
      <w:bookmarkStart w:id="13" w:name="_Toc35393622"/>
      <w:r>
        <w:rPr>
          <w:highlight w:val="none"/>
        </w:rPr>
      </w:r>
      <w:bookmarkStart w:id="14" w:name="_Toc28359003"/>
      <w:r>
        <w:rPr>
          <w:highlight w:val="none"/>
        </w:rPr>
      </w:r>
      <w:bookmarkStart w:id="15" w:name="_Toc28359080"/>
      <w:r>
        <w:rPr>
          <w:highlight w:val="none"/>
        </w:rPr>
      </w:r>
      <w:bookmarkStart w:id="16" w:name="_Toc38985264"/>
      <w:r>
        <w:rPr>
          <w:rFonts w:hint="eastAsia" w:ascii="Times New Roman" w:hAnsi="Times New Roman"/>
          <w:b/>
          <w:bCs/>
          <w:sz w:val="32"/>
          <w:szCs w:val="32"/>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rPr>
          <w:highlight w:val="none"/>
        </w:rPr>
      </w:r>
    </w:p>
    <w:p>
      <w:pPr>
        <w:ind w:firstLine="560"/>
        <w:spacing w:line="400" w:lineRule="exact"/>
        <w:rPr>
          <w:rFonts w:hint="eastAsia" w:ascii="宋体" w:hAnsi="宋体"/>
          <w:sz w:val="28"/>
          <w:szCs w:val="28"/>
          <w:highlight w:val="none"/>
        </w:rPr>
      </w:pPr>
      <w:r>
        <w:rPr>
          <w:highlight w:val="none"/>
        </w:rPr>
      </w:r>
      <w:bookmarkStart w:id="17" w:name="_Toc28359004"/>
      <w:r>
        <w:rPr>
          <w:highlight w:val="none"/>
        </w:rPr>
      </w:r>
      <w:bookmarkStart w:id="18" w:name="_Toc35393623"/>
      <w:r>
        <w:rPr>
          <w:highlight w:val="none"/>
        </w:rPr>
      </w:r>
      <w:bookmarkStart w:id="19" w:name="_Toc35393792"/>
      <w:r>
        <w:rPr>
          <w:highlight w:val="none"/>
        </w:rPr>
      </w:r>
      <w:bookmarkStart w:id="20" w:name="_Toc38985265"/>
      <w:r>
        <w:rPr>
          <w:highlight w:val="none"/>
        </w:rPr>
      </w:r>
      <w:bookmarkStart w:id="21" w:name="_Toc28359081"/>
      <w:r>
        <w:rPr>
          <w:rFonts w:hint="eastAsia" w:ascii="宋体" w:hAnsi="宋体"/>
          <w:sz w:val="28"/>
          <w:szCs w:val="28"/>
          <w:highlight w:val="none"/>
        </w:rPr>
        <w:t xml:space="preserve">（一</w:t>
      </w:r>
      <w:r>
        <w:rPr>
          <w:rFonts w:ascii="宋体" w:hAnsi="宋体"/>
          <w:sz w:val="28"/>
          <w:szCs w:val="28"/>
          <w:highlight w:val="none"/>
        </w:rPr>
        <w:t xml:space="preserve">）</w:t>
      </w:r>
      <w:r>
        <w:rPr>
          <w:rFonts w:hint="eastAsia" w:ascii="宋体" w:hAnsi="宋体"/>
          <w:sz w:val="28"/>
          <w:szCs w:val="28"/>
          <w:highlight w:val="none"/>
        </w:rPr>
        <w:t xml:space="preserve">通用</w:t>
      </w:r>
      <w:r>
        <w:rPr>
          <w:rFonts w:ascii="宋体" w:hAnsi="宋体"/>
          <w:sz w:val="28"/>
          <w:szCs w:val="28"/>
          <w:highlight w:val="none"/>
        </w:rPr>
        <w:t xml:space="preserve">资格要求</w:t>
      </w:r>
      <w:r>
        <w:rPr>
          <w:highlight w:val="none"/>
        </w:rP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rPr>
          <w:highlight w:val="none"/>
        </w:rP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1.1 法人或者其他组织的营业执照等证明文件，自然人的身份证明；</w:t>
      </w:r>
      <w:r>
        <w:rPr>
          <w:highlight w:val="none"/>
        </w:rP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1.2  上一年度的财务状况报告（成立不满一年无需提供）；</w:t>
      </w:r>
      <w:r>
        <w:rPr>
          <w:highlight w:val="none"/>
        </w:rP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1.4具备履行合同所必需的设备和专业技术能力的书面声明；</w:t>
      </w:r>
      <w:r>
        <w:rPr>
          <w:highlight w:val="none"/>
        </w:rP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1.5参加政府采购活动前3年内在经营活动中没有重大违法记录的书面声明。</w:t>
      </w:r>
      <w:r>
        <w:rPr>
          <w:highlight w:val="none"/>
        </w:rPr>
      </w:r>
    </w:p>
    <w:p>
      <w:pPr>
        <w:ind w:firstLine="480"/>
        <w:spacing w:line="400" w:lineRule="exact"/>
        <w:rPr>
          <w:rFonts w:hint="eastAsia" w:ascii="华文新魏" w:hAnsi="宋体" w:eastAsia="华文新魏"/>
          <w:sz w:val="24"/>
          <w:szCs w:val="24"/>
          <w:highlight w:val="none"/>
        </w:rPr>
      </w:pPr>
      <w:r>
        <w:rPr>
          <w:rFonts w:hint="eastAsia" w:ascii="宋体" w:hAnsi="宋体"/>
          <w:sz w:val="24"/>
          <w:szCs w:val="24"/>
          <w:highlight w:val="none"/>
        </w:rPr>
        <w:t xml:space="preserve">2.在“信用中国”网站（www.creditchina.gov.cn）查询，</w:t>
      </w:r>
      <w:r>
        <w:rPr>
          <w:rFonts w:hint="eastAsia" w:ascii="宋体" w:hAnsi="宋体"/>
          <w:sz w:val="24"/>
          <w:szCs w:val="24"/>
          <w:highlight w:val="none"/>
          <w:lang w:eastAsia="zh-CN"/>
        </w:rPr>
        <w:t xml:space="preserve">不存在</w:t>
      </w:r>
      <w:r>
        <w:rPr>
          <w:rFonts w:hint="eastAsia" w:ascii="宋体" w:hAnsi="宋体"/>
          <w:sz w:val="24"/>
          <w:szCs w:val="24"/>
          <w:highlight w:val="none"/>
        </w:rPr>
        <w:t xml:space="preserve">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3.落实政府采购政策需满足的资格要求：无。</w:t>
      </w:r>
      <w:r>
        <w:rPr>
          <w:highlight w:val="none"/>
        </w:rP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eastAsia="zh-CN"/>
        </w:rPr>
        <w:t xml:space="preserve">不接受</w:t>
      </w:r>
      <w:r>
        <w:rPr>
          <w:rFonts w:hint="eastAsia" w:ascii="宋体" w:hAnsi="宋体"/>
          <w:sz w:val="24"/>
          <w:szCs w:val="24"/>
          <w:highlight w:val="none"/>
        </w:rPr>
        <w:t xml:space="preserve">联合体投标</w:t>
      </w:r>
      <w:r>
        <w:rPr>
          <w:highlight w:val="none"/>
        </w:rPr>
      </w:r>
    </w:p>
    <w:p>
      <w:pPr>
        <w:ind w:firstLine="560"/>
        <w:spacing w:line="400" w:lineRule="exact"/>
        <w:rPr>
          <w:rFonts w:hint="eastAsia" w:ascii="宋体" w:hAnsi="宋体"/>
          <w:sz w:val="28"/>
          <w:szCs w:val="28"/>
          <w:highlight w:val="none"/>
        </w:rPr>
      </w:pPr>
      <w:r>
        <w:rPr>
          <w:rFonts w:hint="eastAsia" w:ascii="宋体" w:hAnsi="宋体"/>
          <w:sz w:val="28"/>
          <w:szCs w:val="28"/>
          <w:highlight w:val="none"/>
        </w:rPr>
        <w:t xml:space="preserve">（二）本项目的特定资格要求</w:t>
      </w:r>
      <w:r>
        <w:rPr>
          <w:highlight w:val="none"/>
        </w:rPr>
      </w:r>
    </w:p>
    <w:p>
      <w:pPr>
        <w:ind w:firstLine="560"/>
        <w:spacing w:line="400" w:lineRule="exact"/>
        <w:rPr>
          <w:rFonts w:hint="default" w:ascii="宋体" w:hAnsi="宋体" w:eastAsia="宋体"/>
          <w:sz w:val="24"/>
          <w:szCs w:val="24"/>
          <w:highlight w:val="none"/>
        </w:rPr>
      </w:pPr>
      <w:r>
        <w:rPr>
          <w:rFonts w:hint="eastAsia" w:ascii="宋体" w:hAnsi="宋体"/>
          <w:sz w:val="24"/>
          <w:szCs w:val="24"/>
          <w:highlight w:val="none"/>
          <w:lang w:eastAsia="zh-CN"/>
        </w:rPr>
        <w:t xml:space="preserve">无。</w:t>
      </w:r>
      <w:r>
        <w:rPr>
          <w:highlight w:val="none"/>
        </w:rPr>
      </w:r>
    </w:p>
    <w:p>
      <w:pPr>
        <w:ind w:firstLine="498"/>
        <w:keepLines/>
        <w:keepNext/>
        <w:spacing w:before="145" w:after="145" w:line="400" w:lineRule="exact"/>
        <w:rPr>
          <w:rFonts w:hint="eastAsia" w:ascii="Times New Roman" w:hAnsi="Times New Roman"/>
          <w:b/>
          <w:bCs/>
          <w:sz w:val="32"/>
          <w:szCs w:val="32"/>
          <w:highlight w:val="none"/>
        </w:rPr>
        <w:outlineLvl w:val="2"/>
      </w:pPr>
      <w:r>
        <w:rPr>
          <w:rFonts w:hint="eastAsia" w:ascii="Times New Roman" w:hAnsi="Times New Roman"/>
          <w:b/>
          <w:bCs/>
          <w:sz w:val="32"/>
          <w:szCs w:val="32"/>
          <w:highlight w:val="none"/>
        </w:rPr>
        <w:t xml:space="preserve">三、获取招标文件</w:t>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r>
        <w:rPr>
          <w:highlight w:val="none"/>
        </w:rPr>
      </w:r>
    </w:p>
    <w:p>
      <w:pPr>
        <w:ind w:firstLine="540"/>
        <w:spacing w:line="400" w:lineRule="exact"/>
        <w:rPr>
          <w:rFonts w:ascii="宋体" w:hAnsi="宋体" w:cs="宋体"/>
          <w:sz w:val="24"/>
          <w:szCs w:val="24"/>
          <w:highlight w:val="none"/>
        </w:rPr>
      </w:pPr>
      <w:r>
        <w:rPr>
          <w:highlight w:val="none"/>
        </w:rPr>
      </w:r>
      <w:bookmarkStart w:id="22" w:name="_Toc28359082"/>
      <w:r>
        <w:rPr>
          <w:highlight w:val="none"/>
        </w:rPr>
      </w:r>
      <w:bookmarkStart w:id="23" w:name="_Toc28359005"/>
      <w:r>
        <w:rPr>
          <w:highlight w:val="none"/>
        </w:rPr>
      </w:r>
      <w:bookmarkStart w:id="24" w:name="_Toc38985266"/>
      <w:r>
        <w:rPr>
          <w:highlight w:val="none"/>
        </w:rPr>
      </w:r>
      <w:bookmarkStart w:id="25" w:name="_Toc35393793"/>
      <w:r>
        <w:rPr>
          <w:highlight w:val="none"/>
        </w:rPr>
      </w:r>
      <w:bookmarkStart w:id="26" w:name="_Toc35393624"/>
      <w:r>
        <w:rPr>
          <w:rFonts w:hint="eastAsia" w:ascii="宋体" w:hAnsi="宋体" w:cs="宋体"/>
          <w:sz w:val="24"/>
          <w:szCs w:val="24"/>
          <w:highlight w:val="none"/>
        </w:rPr>
        <w:t xml:space="preserve">1.时间：自招标文件公告发布之日起5个工作日。</w:t>
      </w:r>
      <w:r>
        <w:rPr>
          <w:highlight w:val="none"/>
        </w:rPr>
      </w:r>
    </w:p>
    <w:p>
      <w:pPr>
        <w:ind w:firstLine="540"/>
        <w:spacing w:line="400" w:lineRule="exact"/>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2.方式：在“江苏政府采购网”自行免费下载招标文件。</w:t>
      </w:r>
      <w:r>
        <w:rPr>
          <w:highlight w:val="none"/>
        </w:rPr>
      </w:r>
    </w:p>
    <w:p>
      <w:pPr>
        <w:ind w:firstLine="498"/>
        <w:keepLines/>
        <w:keepNext/>
        <w:spacing w:before="145" w:after="145" w:line="400" w:lineRule="exact"/>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四、提交投标文件</w:t>
      </w:r>
      <w:bookmarkEnd w:id="22"/>
      <w:r>
        <w:rPr>
          <w:highlight w:val="none"/>
        </w:rPr>
      </w:r>
      <w:bookmarkEnd w:id="23"/>
      <w:r>
        <w:rPr>
          <w:rFonts w:hint="eastAsia" w:ascii="Times New Roman" w:hAnsi="Times New Roman"/>
          <w:b/>
          <w:bCs/>
          <w:sz w:val="32"/>
          <w:szCs w:val="32"/>
          <w:highlight w:val="none"/>
        </w:rPr>
        <w:t xml:space="preserve">截止时间、开标时间和地点</w:t>
      </w:r>
      <w:bookmarkEnd w:id="24"/>
      <w:r>
        <w:rPr>
          <w:highlight w:val="none"/>
        </w:rPr>
      </w:r>
      <w:bookmarkEnd w:id="25"/>
      <w:r>
        <w:rPr>
          <w:highlight w:val="none"/>
        </w:rPr>
      </w:r>
      <w:bookmarkEnd w:id="26"/>
      <w:r>
        <w:rPr>
          <w:highlight w:val="none"/>
        </w:rPr>
      </w:r>
      <w:r>
        <w:rPr>
          <w:highlight w:val="none"/>
        </w:rPr>
      </w:r>
    </w:p>
    <w:p>
      <w:pPr>
        <w:ind w:firstLine="480"/>
        <w:spacing w:line="400" w:lineRule="exact"/>
        <w:rPr>
          <w:rFonts w:ascii="宋体" w:hAnsi="宋体"/>
          <w:bCs/>
          <w:sz w:val="24"/>
          <w:szCs w:val="24"/>
          <w:highlight w:val="none"/>
          <w:u w:val="singl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2024年10</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9</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14</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30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w:t>
      </w:r>
      <w:r>
        <w:rPr>
          <w:highlight w:val="none"/>
        </w:rPr>
      </w:r>
    </w:p>
    <w:p>
      <w:pPr>
        <w:ind w:firstLine="480"/>
        <w:spacing w:line="400" w:lineRule="exact"/>
        <w:rPr>
          <w:rFonts w:hint="eastAsia" w:ascii="宋体" w:hAnsi="宋体"/>
          <w:bCs/>
          <w:sz w:val="24"/>
          <w:szCs w:val="24"/>
          <w:highlight w:val="none"/>
          <w:u w:val="single"/>
        </w:rPr>
      </w:pPr>
      <w:r>
        <w:rPr>
          <w:rFonts w:hint="eastAsia" w:ascii="宋体" w:hAnsi="宋体"/>
          <w:sz w:val="24"/>
          <w:szCs w:val="24"/>
          <w:highlight w:val="none"/>
        </w:rPr>
        <w:t xml:space="preserve">2.地点：“苏采云”</w:t>
      </w:r>
      <w:r>
        <w:rPr>
          <w:rFonts w:hint="eastAsia" w:ascii="宋体" w:hAnsi="宋体"/>
          <w:color w:val="000000" w:themeColor="text1"/>
          <w:sz w:val="24"/>
          <w:szCs w:val="24"/>
          <w:highlight w:val="none"/>
          <w14:textFill>
            <w14:solidFill>
              <w14:schemeClr w14:val="tx1"/>
            </w14:solidFill>
          </w14:textFill>
        </w:rPr>
        <w:t xml:space="preserve">政府采购交易系统。</w:t>
      </w:r>
      <w:r>
        <w:rPr>
          <w:rFonts w:hint="eastAsia" w:ascii="宋体" w:hAnsi="宋体"/>
          <w:sz w:val="24"/>
          <w:szCs w:val="24"/>
          <w:highlight w:val="none"/>
        </w:rPr>
        <w:t xml:space="preserve">。</w:t>
      </w:r>
      <w:r>
        <w:rPr>
          <w:highlight w:val="none"/>
        </w:rPr>
      </w:r>
    </w:p>
    <w:p>
      <w:pPr>
        <w:ind w:firstLine="498"/>
        <w:keepLines/>
        <w:keepNext/>
        <w:spacing w:before="145" w:after="145" w:line="400" w:lineRule="exact"/>
        <w:rPr>
          <w:rFonts w:ascii="Times New Roman" w:hAnsi="Times New Roman"/>
          <w:b/>
          <w:bCs/>
          <w:sz w:val="32"/>
          <w:szCs w:val="32"/>
          <w:highlight w:val="none"/>
        </w:rPr>
        <w:outlineLvl w:val="2"/>
      </w:pPr>
      <w:r>
        <w:rPr>
          <w:highlight w:val="none"/>
        </w:rPr>
      </w:r>
      <w:bookmarkStart w:id="27" w:name="_Toc28359007"/>
      <w:r>
        <w:rPr>
          <w:highlight w:val="none"/>
        </w:rPr>
      </w:r>
      <w:bookmarkStart w:id="28" w:name="_Toc28359084"/>
      <w:r>
        <w:rPr>
          <w:highlight w:val="none"/>
        </w:rPr>
      </w:r>
      <w:bookmarkStart w:id="29" w:name="_Toc35393794"/>
      <w:r>
        <w:rPr>
          <w:highlight w:val="none"/>
        </w:rPr>
      </w:r>
      <w:bookmarkStart w:id="30" w:name="_Toc38985267"/>
      <w:r>
        <w:rPr>
          <w:highlight w:val="none"/>
        </w:rPr>
      </w:r>
      <w:bookmarkStart w:id="31" w:name="_Toc35393625"/>
      <w:r>
        <w:rPr>
          <w:rFonts w:hint="eastAsia" w:ascii="Times New Roman" w:hAnsi="Times New Roman"/>
          <w:b/>
          <w:bCs/>
          <w:sz w:val="32"/>
          <w:szCs w:val="32"/>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rPr>
          <w:highlight w:val="none"/>
        </w:rPr>
      </w:r>
    </w:p>
    <w:p>
      <w:pPr>
        <w:ind w:firstLine="480"/>
        <w:spacing w:line="400" w:lineRule="exact"/>
        <w:rPr>
          <w:rFonts w:ascii="宋体" w:hAnsi="宋体" w:cs="宋体"/>
          <w:sz w:val="24"/>
          <w:szCs w:val="24"/>
          <w:highlight w:val="none"/>
        </w:rPr>
      </w:pPr>
      <w:r>
        <w:rPr>
          <w:highlight w:val="none"/>
        </w:rPr>
      </w:r>
      <w:bookmarkStart w:id="32" w:name="_Toc38985268"/>
      <w:r>
        <w:rPr>
          <w:highlight w:val="none"/>
        </w:rPr>
      </w:r>
      <w:bookmarkStart w:id="33" w:name="_Toc35393626"/>
      <w:r>
        <w:rPr>
          <w:highlight w:val="none"/>
        </w:rPr>
      </w:r>
      <w:bookmarkStart w:id="34" w:name="_Toc35393795"/>
      <w:r>
        <w:rPr>
          <w:rFonts w:hint="eastAsia" w:ascii="宋体" w:hAnsi="宋体" w:cs="宋体"/>
          <w:sz w:val="24"/>
          <w:szCs w:val="24"/>
          <w:highlight w:val="none"/>
        </w:rPr>
        <w:t xml:space="preserve">招标公告及招标文件公告期限为自本公告发布之日起5个工作日。</w:t>
      </w:r>
      <w:r>
        <w:rPr>
          <w:highlight w:val="none"/>
        </w:rPr>
      </w:r>
    </w:p>
    <w:p>
      <w:pPr>
        <w:ind w:firstLine="498"/>
        <w:keepLines/>
        <w:keepNext/>
        <w:spacing w:before="145" w:after="145" w:line="400" w:lineRule="exact"/>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六、其他补充事宜</w:t>
      </w:r>
      <w:bookmarkEnd w:id="32"/>
      <w:r>
        <w:rPr>
          <w:highlight w:val="none"/>
        </w:rPr>
      </w:r>
      <w:bookmarkEnd w:id="33"/>
      <w:r>
        <w:rPr>
          <w:highlight w:val="none"/>
        </w:rPr>
      </w:r>
      <w:bookmarkEnd w:id="34"/>
      <w:r>
        <w:rPr>
          <w:highlight w:val="none"/>
        </w:rPr>
      </w:r>
      <w:r>
        <w:rPr>
          <w:highlight w:val="none"/>
        </w:rP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无。</w:t>
      </w:r>
      <w:r>
        <w:rPr>
          <w:highlight w:val="none"/>
        </w:rPr>
      </w:r>
    </w:p>
    <w:p>
      <w:pPr>
        <w:ind w:firstLine="498"/>
        <w:keepLines/>
        <w:keepNext/>
        <w:spacing w:before="145" w:after="145" w:line="400" w:lineRule="exact"/>
        <w:rPr>
          <w:rFonts w:ascii="Times New Roman" w:hAnsi="Times New Roman"/>
          <w:b/>
          <w:bCs/>
          <w:sz w:val="32"/>
          <w:szCs w:val="32"/>
          <w:highlight w:val="none"/>
        </w:rPr>
        <w:outlineLvl w:val="2"/>
      </w:pPr>
      <w:r>
        <w:rPr>
          <w:highlight w:val="none"/>
        </w:rPr>
      </w:r>
      <w:bookmarkStart w:id="35" w:name="_Toc28359085"/>
      <w:r>
        <w:rPr>
          <w:highlight w:val="none"/>
        </w:rPr>
      </w:r>
      <w:bookmarkStart w:id="36" w:name="_Toc28359008"/>
      <w:r>
        <w:rPr>
          <w:highlight w:val="none"/>
        </w:rPr>
      </w:r>
      <w:bookmarkStart w:id="37" w:name="_Toc38985269"/>
      <w:r>
        <w:rPr>
          <w:highlight w:val="none"/>
        </w:rPr>
      </w:r>
      <w:bookmarkStart w:id="38" w:name="_Toc35393627"/>
      <w:r>
        <w:rPr>
          <w:highlight w:val="none"/>
        </w:rPr>
      </w:r>
      <w:bookmarkStart w:id="39" w:name="_Toc35393796"/>
      <w:r>
        <w:rPr>
          <w:rFonts w:hint="eastAsia" w:ascii="Times New Roman" w:hAnsi="Times New Roman"/>
          <w:b/>
          <w:bCs/>
          <w:sz w:val="32"/>
          <w:szCs w:val="32"/>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rPr>
          <w:highlight w:val="none"/>
        </w:rPr>
      </w:r>
    </w:p>
    <w:p>
      <w:pPr>
        <w:jc w:val="left"/>
        <w:spacing w:line="400" w:lineRule="exac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highlight w:val="none"/>
        </w:rPr>
      </w:r>
    </w:p>
    <w:p>
      <w:pPr>
        <w:ind w:firstLine="480"/>
        <w:jc w:val="left"/>
        <w:spacing w:line="400" w:lineRule="exact"/>
        <w:rPr>
          <w:rFonts w:ascii="宋体" w:hAnsi="宋体"/>
          <w:sz w:val="24"/>
          <w:szCs w:val="24"/>
          <w:highlight w:val="none"/>
          <w:u w:val="single"/>
        </w:rPr>
      </w:pPr>
      <w:r>
        <w:rPr>
          <w:rFonts w:hint="eastAsia" w:ascii="宋体" w:hAnsi="宋体"/>
          <w:sz w:val="24"/>
          <w:szCs w:val="24"/>
          <w:highlight w:val="none"/>
          <w:u w:val="single"/>
        </w:rPr>
        <w:t xml:space="preserve">名 称：</w:t>
      </w:r>
      <w:bookmarkStart w:id="40" w:name="_Toc28359086"/>
      <w:r>
        <w:rPr>
          <w:highlight w:val="none"/>
        </w:rPr>
      </w:r>
      <w:bookmarkStart w:id="41" w:name="_Toc28359009"/>
      <w:r>
        <w:rPr>
          <w:rFonts w:hint="eastAsia" w:ascii="宋体" w:hAnsi="宋体"/>
          <w:sz w:val="24"/>
          <w:szCs w:val="24"/>
          <w:highlight w:val="none"/>
          <w:u w:val="single"/>
        </w:rPr>
        <w:t xml:space="preserve">　江苏农牧科技职业学院　</w:t>
      </w:r>
      <w:r>
        <w:rPr>
          <w:highlight w:val="none"/>
        </w:rPr>
      </w:r>
    </w:p>
    <w:p>
      <w:pPr>
        <w:ind w:firstLine="480"/>
        <w:jc w:val="left"/>
        <w:spacing w:line="400" w:lineRule="exact"/>
        <w:rPr>
          <w:rFonts w:hint="eastAsia" w:ascii="宋体" w:hAnsi="宋体" w:eastAsia="宋体"/>
          <w:sz w:val="24"/>
          <w:szCs w:val="24"/>
          <w:highlight w:val="none"/>
          <w:u w:val="single"/>
        </w:rPr>
      </w:pPr>
      <w:r>
        <w:rPr>
          <w:rFonts w:hint="eastAsia" w:ascii="宋体" w:hAnsi="宋体"/>
          <w:sz w:val="24"/>
          <w:szCs w:val="24"/>
          <w:highlight w:val="none"/>
          <w:u w:val="single"/>
        </w:rPr>
        <w:t xml:space="preserve">地 址：　泰州市海陵区凤凰东路8号</w:t>
      </w:r>
      <w:r>
        <w:rPr>
          <w:rFonts w:hint="eastAsia" w:ascii="宋体" w:hAnsi="宋体"/>
          <w:sz w:val="24"/>
          <w:szCs w:val="24"/>
          <w:highlight w:val="none"/>
          <w:u w:val="single"/>
          <w:lang w:val="en-US" w:eastAsia="zh-CN"/>
        </w:rPr>
        <w:t xml:space="preserve"> </w:t>
      </w:r>
      <w:r>
        <w:rPr>
          <w:highlight w:val="none"/>
        </w:rPr>
      </w:r>
    </w:p>
    <w:p>
      <w:pPr>
        <w:ind w:firstLine="480"/>
        <w:jc w:val="left"/>
        <w:spacing w:line="400" w:lineRule="exact"/>
        <w:rPr>
          <w:rFonts w:ascii="宋体" w:hAnsi="宋体"/>
          <w:sz w:val="24"/>
          <w:szCs w:val="24"/>
          <w:highlight w:val="none"/>
          <w:u w:val="single"/>
        </w:rPr>
      </w:pPr>
      <w:r>
        <w:rPr>
          <w:rFonts w:hint="eastAsia" w:ascii="宋体" w:hAnsi="宋体"/>
          <w:sz w:val="24"/>
          <w:szCs w:val="24"/>
          <w:highlight w:val="none"/>
          <w:u w:val="single"/>
        </w:rPr>
        <w:t xml:space="preserve">联系人：  </w:t>
      </w:r>
      <w:r>
        <w:rPr>
          <w:rFonts w:hint="eastAsia" w:ascii="宋体" w:hAnsi="宋体"/>
          <w:sz w:val="24"/>
          <w:szCs w:val="24"/>
          <w:highlight w:val="none"/>
          <w:u w:val="single"/>
          <w:lang w:eastAsia="zh-CN"/>
        </w:rPr>
        <w:t xml:space="preserve">张</w:t>
      </w:r>
      <w:r>
        <w:rPr>
          <w:rFonts w:hint="eastAsia" w:ascii="宋体" w:hAnsi="宋体"/>
          <w:sz w:val="24"/>
          <w:szCs w:val="24"/>
          <w:highlight w:val="none"/>
          <w:u w:val="single"/>
        </w:rPr>
        <w:t xml:space="preserve">老师                </w:t>
      </w:r>
      <w:r>
        <w:rPr>
          <w:highlight w:val="none"/>
        </w:rPr>
      </w:r>
    </w:p>
    <w:p>
      <w:pPr>
        <w:ind w:firstLine="480"/>
        <w:jc w:val="left"/>
        <w:spacing w:line="400" w:lineRule="exact"/>
        <w:rPr>
          <w:rFonts w:ascii="宋体" w:hAnsi="宋体"/>
          <w:sz w:val="24"/>
          <w:szCs w:val="24"/>
          <w:highlight w:val="none"/>
          <w:u w:val="single"/>
        </w:rPr>
      </w:pPr>
      <w:r>
        <w:rPr>
          <w:rFonts w:hint="eastAsia" w:ascii="宋体" w:hAnsi="宋体"/>
          <w:sz w:val="24"/>
          <w:szCs w:val="24"/>
          <w:highlight w:val="none"/>
          <w:u w:val="single"/>
        </w:rPr>
        <w:t xml:space="preserve">联系方式：　0523</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t xml:space="preserve">86158</w:t>
      </w:r>
      <w:r>
        <w:rPr>
          <w:rFonts w:hint="eastAsia" w:ascii="宋体" w:hAnsi="宋体"/>
          <w:sz w:val="24"/>
          <w:szCs w:val="24"/>
          <w:highlight w:val="none"/>
          <w:u w:val="single"/>
          <w:lang w:val="en-US" w:eastAsia="zh-CN"/>
        </w:rPr>
        <w:t xml:space="preserve">06</w:t>
      </w:r>
      <w:r>
        <w:rPr>
          <w:rFonts w:hint="eastAsia" w:ascii="宋体" w:hAnsi="宋体"/>
          <w:sz w:val="24"/>
          <w:szCs w:val="24"/>
          <w:highlight w:val="none"/>
          <w:u w:val="single"/>
        </w:rPr>
        <w:t xml:space="preserve">9　</w:t>
      </w:r>
      <w:r>
        <w:rPr>
          <w:rFonts w:hint="eastAsia" w:ascii="宋体" w:hAnsi="宋体"/>
          <w:sz w:val="24"/>
          <w:szCs w:val="24"/>
          <w:highlight w:val="none"/>
        </w:rPr>
        <w:t xml:space="preserve">　 </w:t>
      </w:r>
      <w:r>
        <w:rPr>
          <w:highlight w:val="none"/>
        </w:rPr>
      </w:r>
    </w:p>
    <w:p>
      <w:pPr>
        <w:ind w:firstLine="480"/>
        <w:jc w:val="left"/>
        <w:spacing w:line="400" w:lineRule="exact"/>
        <w:rPr>
          <w:rFonts w:ascii="宋体" w:hAnsi="宋体"/>
          <w:sz w:val="24"/>
          <w:szCs w:val="24"/>
          <w:highlight w:val="none"/>
        </w:rPr>
      </w:pPr>
      <w:r>
        <w:rPr>
          <w:rFonts w:hint="eastAsia" w:ascii="宋体" w:hAnsi="宋体" w:cs="宋体"/>
          <w:sz w:val="24"/>
          <w:szCs w:val="24"/>
          <w:highlight w:val="none"/>
        </w:rPr>
        <w:t xml:space="preserve">2.江苏省政府采购中心信息</w:t>
      </w:r>
      <w:bookmarkEnd w:id="40"/>
      <w:r>
        <w:rPr>
          <w:highlight w:val="none"/>
        </w:rPr>
      </w:r>
      <w:bookmarkEnd w:id="41"/>
      <w:r>
        <w:rPr>
          <w:highlight w:val="none"/>
        </w:rPr>
      </w:r>
      <w:r>
        <w:rPr>
          <w:highlight w:val="none"/>
        </w:rPr>
      </w:r>
    </w:p>
    <w:p>
      <w:pPr>
        <w:ind w:firstLine="480"/>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地　址：　南京市建邺区汉中门大街145号三楼　　</w:t>
      </w:r>
      <w:r>
        <w:rPr>
          <w:highlight w:val="none"/>
        </w:rPr>
      </w:r>
    </w:p>
    <w:p>
      <w:pPr>
        <w:ind w:firstLine="480"/>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联系人：   </w:t>
      </w:r>
      <w:r>
        <w:rPr>
          <w:rFonts w:hint="eastAsia" w:ascii="宋体" w:hAnsi="宋体"/>
          <w:color w:val="000000" w:themeColor="text1"/>
          <w:sz w:val="24"/>
          <w:szCs w:val="24"/>
          <w:highlight w:val="none"/>
          <w:u w:val="single"/>
          <w:lang w:eastAsia="zh-CN"/>
          <w14:textFill>
            <w14:solidFill>
              <w14:schemeClr w14:val="tx1"/>
            </w14:solidFill>
          </w14:textFill>
        </w:rPr>
        <w:t xml:space="preserve">王建浩</w:t>
      </w:r>
      <w:r>
        <w:rPr>
          <w:rFonts w:hint="eastAsia" w:ascii="宋体" w:hAnsi="宋体"/>
          <w:color w:val="000000" w:themeColor="text1"/>
          <w:sz w:val="24"/>
          <w:szCs w:val="24"/>
          <w:highlight w:val="none"/>
          <w:u w:val="single"/>
          <w14:textFill>
            <w14:solidFill>
              <w14:schemeClr w14:val="tx1"/>
            </w14:solidFill>
          </w14:textFill>
        </w:rPr>
        <w:t xml:space="preserve">       </w:t>
      </w:r>
      <w:r>
        <w:rPr>
          <w:highlight w:val="none"/>
        </w:rPr>
      </w:r>
    </w:p>
    <w:p>
      <w:pPr>
        <w:ind w:firstLine="480"/>
        <w:spacing w:line="400" w:lineRule="exact"/>
        <w:rPr>
          <w:rFonts w:ascii="宋体" w:hAnsi="宋体"/>
          <w:sz w:val="24"/>
          <w:szCs w:val="24"/>
          <w:highlight w:val="none"/>
        </w:rPr>
      </w:pPr>
      <w:r>
        <w:rPr>
          <w:rFonts w:hint="eastAsia" w:ascii="宋体" w:hAnsi="宋体"/>
          <w:color w:val="000000" w:themeColor="text1"/>
          <w:sz w:val="24"/>
          <w:szCs w:val="24"/>
          <w:highlight w:val="none"/>
          <w:u w:val="single"/>
          <w14:textFill>
            <w14:solidFill>
              <w14:schemeClr w14:val="tx1"/>
            </w14:solidFill>
          </w14:textFill>
        </w:rPr>
        <w:t xml:space="preserve">联系方式：　025-836685</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13</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sz w:val="24"/>
          <w:szCs w:val="24"/>
          <w:highlight w:val="none"/>
        </w:rPr>
        <w:t xml:space="preserve">  </w:t>
      </w:r>
      <w:bookmarkStart w:id="42" w:name="_Toc28359087"/>
      <w:r>
        <w:rPr>
          <w:highlight w:val="none"/>
        </w:rPr>
      </w:r>
      <w:bookmarkStart w:id="43" w:name="_Toc28359010"/>
      <w:r>
        <w:rPr>
          <w:highlight w:val="none"/>
        </w:rPr>
      </w:r>
      <w:bookmarkEnd w:id="42"/>
      <w:r/>
      <w:bookmarkEnd w:id="43"/>
      <w:r/>
      <w:r>
        <w:rPr>
          <w:highlight w:val="none"/>
        </w:rPr>
      </w:r>
    </w:p>
    <w:p>
      <w:pPr>
        <w:ind w:firstLine="498"/>
        <w:keepLines/>
        <w:keepNext/>
        <w:spacing w:before="145" w:after="145" w:line="400" w:lineRule="exact"/>
        <w:rPr>
          <w:rFonts w:hint="eastAsia" w:ascii="Times New Roman" w:hAnsi="Times New Roman"/>
          <w:b/>
          <w:bCs/>
          <w:sz w:val="32"/>
          <w:szCs w:val="32"/>
          <w:highlight w:val="none"/>
        </w:rPr>
        <w:outlineLvl w:val="2"/>
      </w:pPr>
      <w:r>
        <w:rPr>
          <w:rFonts w:hint="eastAsia" w:ascii="Times New Roman" w:hAnsi="Times New Roman"/>
          <w:b/>
          <w:bCs/>
          <w:sz w:val="32"/>
          <w:szCs w:val="32"/>
          <w:highlight w:val="none"/>
        </w:rPr>
        <w:t xml:space="preserve">八、其他</w:t>
      </w:r>
      <w:r>
        <w:rPr>
          <w:highlight w:val="none"/>
        </w:rP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pacing w:val="-6"/>
          <w:sz w:val="24"/>
          <w:szCs w:val="24"/>
          <w:highlight w:val="none"/>
          <w14:textFill>
            <w14:solidFill>
              <w14:schemeClr w14:val="tx1"/>
            </w14:solidFill>
          </w14:textFill>
        </w:rPr>
        <w:t xml:space="preserve">根据省财政厅《关于更换全省政府采购交易系统CA数字证书和电子签章的通知》（苏财购〔2023〕101号），</w:t>
      </w:r>
      <w:r>
        <w:rPr>
          <w:rFonts w:hint="eastAsia" w:ascii="宋体" w:hAnsi="宋体"/>
          <w:color w:val="000000" w:themeColor="text1"/>
          <w:spacing w:val="-6"/>
          <w:sz w:val="24"/>
          <w:szCs w:val="24"/>
          <w:highlight w:val="none"/>
          <w14:textFill>
            <w14:solidFill>
              <w14:schemeClr w14:val="tx1"/>
            </w14:solidFill>
          </w14:textFill>
        </w:rPr>
        <w:t xml:space="preserve">“苏采云”政府采购交易系统（以下简称苏采云系统）</w:t>
      </w:r>
      <w:r>
        <w:rPr>
          <w:rFonts w:hint="eastAsia" w:ascii="宋体" w:hAnsi="宋体"/>
          <w:bCs/>
          <w:color w:val="000000" w:themeColor="text1"/>
          <w:spacing w:val="-6"/>
          <w:sz w:val="24"/>
          <w:szCs w:val="24"/>
          <w:highlight w:val="none"/>
          <w14:textFill>
            <w14:solidFill>
              <w14:schemeClr w14:val="tx1"/>
            </w14:solidFill>
          </w14:textFill>
        </w:rPr>
        <w:t xml:space="preserve">的CA数字证书、电子签章已更换为江苏省电子政务证书认证中心CA和方正国际软件（北京）有限公司电子签章。如果投标人通过</w:t>
      </w:r>
      <w:r>
        <w:rPr>
          <w:rFonts w:hint="eastAsia" w:ascii="宋体" w:hAnsi="宋体"/>
          <w:color w:val="000000" w:themeColor="text1"/>
          <w:spacing w:val="-6"/>
          <w:sz w:val="24"/>
          <w:szCs w:val="24"/>
          <w:highlight w:val="none"/>
          <w14:textFill>
            <w14:solidFill>
              <w14:schemeClr w14:val="tx1"/>
            </w14:solidFill>
          </w14:textFill>
        </w:rPr>
        <w:t xml:space="preserve">苏采云系统</w:t>
      </w:r>
      <w:r>
        <w:rPr>
          <w:rFonts w:hint="eastAsia" w:ascii="宋体" w:hAnsi="宋体"/>
          <w:bCs/>
          <w:color w:val="000000" w:themeColor="text1"/>
          <w:spacing w:val="-6"/>
          <w:sz w:val="24"/>
          <w:szCs w:val="24"/>
          <w:highlight w:val="none"/>
          <w14:textFill>
            <w14:solidFill>
              <w14:schemeClr w14:val="tx1"/>
            </w14:solidFill>
          </w14:textFill>
        </w:rPr>
        <w:t xml:space="preserve">参与政府采购项目，需要更换CA数字证书和电子签章。具体办理指南和操作手册见链接：</w:t>
      </w:r>
      <w:r>
        <w:rPr>
          <w:rFonts w:hint="default" w:ascii="Times New Roman" w:hAnsi="Times New Roman" w:cs="Times New Roman"/>
          <w:bCs/>
          <w:spacing w:val="0"/>
          <w:sz w:val="21"/>
          <w:szCs w:val="21"/>
          <w:highlight w:val="none"/>
          <w:u w:val="single"/>
        </w:rPr>
        <w:t xml:space="preserve">http://www.ccgp-jiangsu.gov.cn/jiangsu/zlxz/ee/ee3a4bc5a3454aa2b0d9312230633ce9.html</w:t>
      </w:r>
      <w:r>
        <w:rPr>
          <w:rFonts w:hint="eastAsia" w:ascii="宋体" w:hAnsi="宋体"/>
          <w:bCs/>
          <w:spacing w:val="0"/>
          <w:sz w:val="21"/>
          <w:szCs w:val="21"/>
          <w:highlight w:val="none"/>
        </w:rPr>
        <w:t xml:space="preserve">。</w:t>
      </w:r>
      <w:r>
        <w:rPr>
          <w:highlight w:val="none"/>
        </w:rPr>
      </w:r>
    </w:p>
    <w:p>
      <w:pPr>
        <w:ind w:firstLine="480"/>
        <w:spacing w:line="400" w:lineRule="exact"/>
        <w:tabs>
          <w:tab w:val="left" w:pos="90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color w:val="000000" w:themeColor="text1"/>
          <w:szCs w:val="21"/>
          <w:highlight w:val="none"/>
          <w14:textFill>
            <w14:solidFill>
              <w14:schemeClr w14:val="tx1"/>
            </w14:solidFill>
          </w14:textFill>
        </w:rPr>
        <w:t xml:space="preserve">（www.jszwfw.gov.cn）</w:t>
      </w:r>
      <w:r>
        <w:rPr>
          <w:rFonts w:hint="eastAsia" w:ascii="宋体" w:hAnsi="宋体"/>
          <w:bCs/>
          <w:color w:val="000000" w:themeColor="text1"/>
          <w:sz w:val="24"/>
          <w:szCs w:val="24"/>
          <w:highlight w:val="none"/>
          <w14:textFill>
            <w14:solidFill>
              <w14:schemeClr w14:val="tx1"/>
            </w14:solidFill>
          </w14:textFill>
        </w:rPr>
        <w:t xml:space="preserve">，“一企来办”专栏下“政府采购”模块详细了解关于CA办理、标书制作、开标投标指引等事宜。</w:t>
      </w:r>
      <w:r>
        <w:rPr>
          <w:highlight w:val="none"/>
        </w:rPr>
      </w:r>
    </w:p>
    <w:p>
      <w:pPr>
        <w:ind w:firstLine="480"/>
        <w:spacing w:line="4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如果“江苏政府采购网”</w:t>
      </w:r>
      <w:r>
        <w:rPr>
          <w:rFonts w:ascii="Times New Roman" w:hAnsi="Times New Roman"/>
          <w:bCs/>
          <w:color w:val="000000" w:themeColor="text1"/>
          <w:szCs w:val="21"/>
          <w:highlight w:val="none"/>
          <w14:textFill>
            <w14:solidFill>
              <w14:schemeClr w14:val="tx1"/>
            </w14:solidFill>
          </w14:textFill>
        </w:rPr>
        <w:t xml:space="preserve">（www.ccgp-jiangsu.gov.cn）</w:t>
      </w:r>
      <w:r>
        <w:rPr>
          <w:rFonts w:hint="eastAsia" w:ascii="Times New Roman" w:hAnsi="Times New Roman"/>
          <w:bCs/>
          <w:color w:val="000000" w:themeColor="text1"/>
          <w:sz w:val="24"/>
          <w:szCs w:val="24"/>
          <w:highlight w:val="none"/>
          <w14:textFill>
            <w14:solidFill>
              <w14:schemeClr w14:val="tx1"/>
            </w14:solidFill>
          </w14:textFill>
        </w:rPr>
        <w:t xml:space="preserve">信息</w:t>
      </w:r>
      <w:r>
        <w:rPr>
          <w:rFonts w:hint="eastAsia" w:ascii="宋体" w:hAnsi="宋体"/>
          <w:bCs/>
          <w:color w:val="000000" w:themeColor="text1"/>
          <w:sz w:val="24"/>
          <w:szCs w:val="24"/>
          <w:highlight w:val="none"/>
          <w14:textFill>
            <w14:solidFill>
              <w14:schemeClr w14:val="tx1"/>
            </w14:solidFill>
          </w14:textFill>
        </w:rPr>
        <w:t xml:space="preserve">与“江苏政务服务网” </w:t>
      </w:r>
      <w:r>
        <w:rPr>
          <w:rFonts w:ascii="Times New Roman" w:hAnsi="Times New Roman"/>
          <w:bCs/>
          <w:color w:val="000000" w:themeColor="text1"/>
          <w:szCs w:val="21"/>
          <w:highlight w:val="none"/>
          <w14:textFill>
            <w14:solidFill>
              <w14:schemeClr w14:val="tx1"/>
            </w14:solidFill>
          </w14:textFill>
        </w:rPr>
        <w:t xml:space="preserve">（www.jszwfw.gov.cn）</w:t>
      </w:r>
      <w:r>
        <w:rPr>
          <w:rFonts w:hint="eastAsia" w:ascii="宋体" w:hAnsi="宋体"/>
          <w:bCs/>
          <w:color w:val="000000" w:themeColor="text1"/>
          <w:sz w:val="24"/>
          <w:szCs w:val="24"/>
          <w:highlight w:val="none"/>
          <w14:textFill>
            <w14:solidFill>
              <w14:schemeClr w14:val="tx1"/>
            </w14:solidFill>
          </w14:textFill>
        </w:rPr>
        <w:t xml:space="preserve">，“一企来办”专栏下“政府采购”模块中信息不一致，以“江苏政府采购网”信息为准。</w:t>
      </w:r>
      <w:r>
        <w:rPr>
          <w:highlight w:val="none"/>
        </w:rPr>
      </w:r>
    </w:p>
    <w:p>
      <w:pPr>
        <w:ind w:firstLine="480"/>
        <w:spacing w:line="4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.有关本次招标的事项若存在变动或修改，敬请及时关注江苏省政府采购中心在“江苏政府采购网”发布的更正公告。</w:t>
      </w:r>
      <w:r>
        <w:rPr>
          <w:highlight w:val="none"/>
        </w:rPr>
      </w:r>
    </w:p>
    <w:p>
      <w:pPr>
        <w:ind w:firstLine="480"/>
        <w:spacing w:line="4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rPr>
          <w:highlight w:val="none"/>
        </w:rPr>
      </w:r>
    </w:p>
    <w:p>
      <w:pPr>
        <w:ind w:right="840"/>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rPr>
          <w:highlight w:val="none"/>
        </w:rPr>
      </w:r>
    </w:p>
    <w:p>
      <w:pPr>
        <w:ind w:firstLine="2420"/>
        <w:keepLines/>
        <w:keepNext/>
        <w:spacing w:before="260" w:after="260" w:line="416" w:lineRule="auto"/>
        <w:rPr>
          <w:rFonts w:hint="eastAsia" w:ascii="黑体" w:hAnsi="Arial" w:eastAsia="黑体" w:cs="Arial"/>
          <w:color w:val="000000" w:themeColor="text1"/>
          <w:sz w:val="44"/>
          <w:szCs w:val="44"/>
          <w:highlight w:val="none"/>
          <w14:textFill>
            <w14:solidFill>
              <w14:schemeClr w14:val="tx1"/>
            </w14:solidFill>
          </w14:textFill>
        </w:rPr>
        <w:outlineLvl w:val="1"/>
      </w:pPr>
      <w:r>
        <w:rPr>
          <w:highlight w:val="none"/>
        </w:rPr>
      </w:r>
      <w:bookmarkStart w:id="44" w:name="_Toc120614211"/>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4"/>
      <w:r>
        <w:rPr>
          <w:highlight w:val="none"/>
        </w:rPr>
      </w:r>
      <w:bookmarkStart w:id="45" w:name="_Toc16938518"/>
      <w:r>
        <w:rPr>
          <w:highlight w:val="none"/>
        </w:rPr>
      </w:r>
      <w:bookmarkStart w:id="46" w:name="_Toc120614213"/>
      <w:r>
        <w:rPr>
          <w:highlight w:val="none"/>
        </w:rPr>
      </w:r>
      <w:bookmarkStart w:id="47" w:name="_Toc513029202"/>
      <w:r>
        <w:rPr>
          <w:highlight w:val="none"/>
        </w:rPr>
      </w:r>
      <w:bookmarkStart w:id="48" w:name="_Toc20823274"/>
      <w:r>
        <w:rPr>
          <w:rFonts w:hint="eastAsia" w:ascii="黑体" w:hAnsi="Arial" w:eastAsia="黑体" w:cs="Arial"/>
          <w:b/>
          <w:bCs/>
          <w:color w:val="000000" w:themeColor="text1"/>
          <w:sz w:val="44"/>
          <w:szCs w:val="44"/>
          <w:highlight w:val="none"/>
          <w14:textFill>
            <w14:solidFill>
              <w14:schemeClr w14:val="tx1"/>
            </w14:solidFill>
          </w14:textFill>
        </w:rPr>
        <w:t xml:space="preserve">投标人须知</w:t>
      </w:r>
      <w:bookmarkEnd w:id="45"/>
      <w:r>
        <w:rPr>
          <w:highlight w:val="none"/>
        </w:rPr>
      </w:r>
      <w:bookmarkEnd w:id="46"/>
      <w:r>
        <w:rPr>
          <w:highlight w:val="none"/>
        </w:rPr>
      </w:r>
      <w:bookmarkEnd w:id="47"/>
      <w:r>
        <w:rPr>
          <w:highlight w:val="none"/>
        </w:rPr>
      </w:r>
      <w:bookmarkEnd w:id="48"/>
      <w:r>
        <w:rPr>
          <w:highlight w:val="none"/>
        </w:rPr>
      </w:r>
      <w:r>
        <w:rPr>
          <w:highlight w:val="none"/>
        </w:rPr>
      </w:r>
    </w:p>
    <w:p>
      <w:pPr>
        <w:ind w:firstLine="496"/>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rPr>
          <w:highlight w:val="none"/>
        </w:rPr>
      </w:r>
      <w:bookmarkStart w:id="49" w:name="_Toc20823275"/>
      <w:r>
        <w:rPr>
          <w:highlight w:val="none"/>
        </w:rPr>
      </w:r>
      <w:bookmarkStart w:id="50" w:name="_Toc16938519"/>
      <w:r>
        <w:rPr>
          <w:highlight w:val="none"/>
        </w:rPr>
      </w:r>
      <w:bookmarkStart w:id="51" w:name="_Toc513029203"/>
      <w:r>
        <w:rPr>
          <w:highlight w:val="none"/>
        </w:rPr>
      </w:r>
      <w:bookmarkStart w:id="52" w:name="_Toc120614214"/>
      <w:r>
        <w:rPr>
          <w:rFonts w:hint="eastAsia" w:ascii="Times New Roman" w:hAnsi="Times New Roman"/>
          <w:b/>
          <w:bCs/>
          <w:color w:val="000000" w:themeColor="text1"/>
          <w:sz w:val="32"/>
          <w:szCs w:val="32"/>
          <w:highlight w:val="none"/>
          <w14:textFill>
            <w14:solidFill>
              <w14:schemeClr w14:val="tx1"/>
            </w14:solidFill>
          </w14:textFill>
        </w:rPr>
        <w:t xml:space="preserve">一、总则</w:t>
      </w:r>
      <w:bookmarkEnd w:id="49"/>
      <w:r>
        <w:rPr>
          <w:highlight w:val="none"/>
        </w:rPr>
      </w:r>
      <w:bookmarkEnd w:id="50"/>
      <w:r>
        <w:rPr>
          <w:highlight w:val="none"/>
        </w:rPr>
      </w:r>
      <w:bookmarkEnd w:id="51"/>
      <w:r>
        <w:rPr>
          <w:highlight w:val="none"/>
        </w:rPr>
      </w:r>
      <w:bookmarkEnd w:id="52"/>
      <w:r>
        <w:rPr>
          <w:highlight w:val="none"/>
        </w:rPr>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53" w:name="_Hlt16619475"/>
      <w:r>
        <w:rPr>
          <w:highlight w:val="none"/>
        </w:rPr>
      </w:r>
      <w:bookmarkEnd w:id="53"/>
      <w:r>
        <w:rPr>
          <w:highlight w:val="none"/>
        </w:rPr>
      </w:r>
      <w:bookmarkStart w:id="54" w:name="_Toc458694821"/>
      <w:r>
        <w:rPr>
          <w:highlight w:val="none"/>
        </w:rPr>
      </w:r>
      <w:bookmarkStart w:id="55" w:name="_Toc513029204"/>
      <w:r>
        <w:rPr>
          <w:highlight w:val="none"/>
        </w:rPr>
      </w:r>
      <w:bookmarkStart w:id="56" w:name="_Toc16938520"/>
      <w:r>
        <w:rPr>
          <w:highlight w:val="none"/>
        </w:rPr>
      </w:r>
      <w:bookmarkStart w:id="57" w:name="_Toc20823276"/>
      <w:r>
        <w:rPr>
          <w:rFonts w:hint="eastAsia" w:ascii="Arial" w:hAnsi="Arial" w:eastAsia="黑体" w:cs="Arial"/>
          <w:color w:val="000000" w:themeColor="text1"/>
          <w:sz w:val="28"/>
          <w:szCs w:val="28"/>
          <w:highlight w:val="none"/>
          <w14:textFill>
            <w14:solidFill>
              <w14:schemeClr w14:val="tx1"/>
            </w14:solidFill>
          </w14:textFill>
        </w:rPr>
        <w:t xml:space="preserve">1</w:t>
      </w:r>
      <w:bookmarkEnd w:id="54"/>
      <w:r>
        <w:rPr>
          <w:rFonts w:hint="eastAsia" w:ascii="Arial" w:hAnsi="Arial" w:eastAsia="黑体" w:cs="Arial"/>
          <w:color w:val="000000" w:themeColor="text1"/>
          <w:sz w:val="28"/>
          <w:szCs w:val="28"/>
          <w:highlight w:val="none"/>
          <w14:textFill>
            <w14:solidFill>
              <w14:schemeClr w14:val="tx1"/>
            </w14:solidFill>
          </w14:textFill>
        </w:rPr>
        <w:t xml:space="preserve">、招标方式</w:t>
      </w:r>
      <w:bookmarkEnd w:id="55"/>
      <w:r>
        <w:rPr>
          <w:highlight w:val="none"/>
        </w:rPr>
      </w:r>
      <w:bookmarkEnd w:id="56"/>
      <w:r>
        <w:rPr>
          <w:highlight w:val="none"/>
        </w:rPr>
      </w:r>
      <w:bookmarkEnd w:id="57"/>
      <w:r>
        <w:rPr>
          <w:highlight w:val="none"/>
        </w:rPr>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 本次招标采取公开招标方式，本招标文件仅适用于招标公告中所述项目。</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58" w:name="_Toc513029205"/>
      <w:r>
        <w:rPr>
          <w:highlight w:val="none"/>
        </w:rPr>
      </w:r>
      <w:bookmarkStart w:id="59" w:name="_Toc16938521"/>
      <w:r>
        <w:rPr>
          <w:highlight w:val="none"/>
        </w:rPr>
      </w:r>
      <w:bookmarkStart w:id="60" w:name="_Toc20823277"/>
      <w:r>
        <w:rPr>
          <w:rFonts w:hint="eastAsia" w:ascii="Arial" w:hAnsi="Arial" w:eastAsia="黑体" w:cs="Arial"/>
          <w:color w:val="000000" w:themeColor="text1"/>
          <w:sz w:val="28"/>
          <w:szCs w:val="28"/>
          <w:highlight w:val="none"/>
          <w14:textFill>
            <w14:solidFill>
              <w14:schemeClr w14:val="tx1"/>
            </w14:solidFill>
          </w14:textFill>
        </w:rPr>
        <w:t xml:space="preserve">2、合格的投标人</w:t>
      </w:r>
      <w:bookmarkEnd w:id="58"/>
      <w:r>
        <w:rPr>
          <w:highlight w:val="none"/>
        </w:rPr>
      </w:r>
      <w:bookmarkEnd w:id="59"/>
      <w:r>
        <w:rPr>
          <w:highlight w:val="none"/>
        </w:rPr>
      </w:r>
      <w:bookmarkEnd w:id="60"/>
      <w:r>
        <w:rPr>
          <w:highlight w:val="none"/>
        </w:rPr>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2.1满足招标公告中供应商的资格要求的规定。</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满足本文件实质性要求的规定。</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61" w:name="_Toc513029206"/>
      <w:r>
        <w:rPr>
          <w:highlight w:val="none"/>
        </w:rPr>
      </w:r>
      <w:bookmarkStart w:id="62" w:name="_Toc20823278"/>
      <w:r>
        <w:rPr>
          <w:highlight w:val="none"/>
        </w:rPr>
      </w:r>
      <w:bookmarkStart w:id="63" w:name="_Toc16938522"/>
      <w:r>
        <w:rPr>
          <w:rFonts w:hint="eastAsia" w:ascii="Arial" w:hAnsi="Arial" w:eastAsia="黑体" w:cs="Arial"/>
          <w:color w:val="000000" w:themeColor="text1"/>
          <w:sz w:val="28"/>
          <w:szCs w:val="28"/>
          <w:highlight w:val="none"/>
          <w14:textFill>
            <w14:solidFill>
              <w14:schemeClr w14:val="tx1"/>
            </w14:solidFill>
          </w14:textFill>
        </w:rPr>
        <w:t xml:space="preserve">3、适用法律</w:t>
      </w:r>
      <w:bookmarkEnd w:id="61"/>
      <w:r>
        <w:rPr>
          <w:highlight w:val="none"/>
        </w:rPr>
      </w:r>
      <w:bookmarkEnd w:id="62"/>
      <w:r>
        <w:rPr>
          <w:highlight w:val="none"/>
        </w:rPr>
      </w:r>
      <w:bookmarkEnd w:id="63"/>
      <w:r>
        <w:rPr>
          <w:highlight w:val="none"/>
        </w:rPr>
      </w:r>
      <w:r>
        <w:rPr>
          <w:highlight w:val="none"/>
        </w:rP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64" w:name="_Toc16938523"/>
      <w:r>
        <w:rPr>
          <w:highlight w:val="none"/>
        </w:rPr>
      </w:r>
      <w:bookmarkStart w:id="65" w:name="_Toc20823279"/>
      <w:r>
        <w:rPr>
          <w:highlight w:val="none"/>
        </w:rPr>
      </w:r>
      <w:bookmarkStart w:id="66" w:name="_Toc462564067"/>
      <w:r>
        <w:rPr>
          <w:highlight w:val="none"/>
        </w:rPr>
      </w:r>
      <w:bookmarkStart w:id="67" w:name="_Toc513029207"/>
      <w:r>
        <w:rPr>
          <w:rFonts w:hint="eastAsia" w:ascii="Arial" w:hAnsi="Arial" w:eastAsia="黑体" w:cs="Arial"/>
          <w:color w:val="000000" w:themeColor="text1"/>
          <w:sz w:val="28"/>
          <w:szCs w:val="28"/>
          <w:highlight w:val="none"/>
          <w14:textFill>
            <w14:solidFill>
              <w14:schemeClr w14:val="tx1"/>
            </w14:solidFill>
          </w14:textFill>
        </w:rPr>
        <w:t xml:space="preserve">4、投标费用</w:t>
      </w:r>
      <w:bookmarkEnd w:id="64"/>
      <w:r>
        <w:rPr>
          <w:highlight w:val="none"/>
        </w:rPr>
      </w:r>
      <w:bookmarkEnd w:id="65"/>
      <w:r>
        <w:rPr>
          <w:highlight w:val="none"/>
        </w:rPr>
      </w:r>
      <w:bookmarkEnd w:id="66"/>
      <w:r>
        <w:rPr>
          <w:highlight w:val="none"/>
        </w:rPr>
      </w:r>
      <w:bookmarkEnd w:id="67"/>
      <w:r>
        <w:rPr>
          <w:highlight w:val="none"/>
        </w:rPr>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投标人应自行承担所有与参加投标有关的费用，无论投标过程中的做法和结果如何，江苏省政府采购中心（以下简称采购中心）在任何情况下均无义务和责任承担这些费用。</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4.2本次招标采购中心和采购人不收取标书工本费与中标服务费。</w:t>
      </w:r>
      <w:r>
        <w:rPr>
          <w:highlight w:val="none"/>
        </w:rPr>
      </w:r>
    </w:p>
    <w:p>
      <w:pPr>
        <w:ind w:firstLine="450"/>
        <w:keepLines/>
        <w:keepNext/>
        <w:spacing w:line="400" w:lineRule="exact"/>
        <w:rPr>
          <w:rFonts w:hint="eastAsia" w:ascii="黑体" w:hAnsi="宋体" w:eastAsia="黑体" w:cs="Arial"/>
          <w:color w:val="000000" w:themeColor="text1"/>
          <w:sz w:val="28"/>
          <w:szCs w:val="28"/>
          <w:highlight w:val="none"/>
          <w14:textFill>
            <w14:solidFill>
              <w14:schemeClr w14:val="tx1"/>
            </w14:solidFill>
          </w14:textFill>
        </w:rPr>
        <w:outlineLvl w:val="3"/>
      </w:pPr>
      <w:r>
        <w:rPr>
          <w:rFonts w:hint="eastAsia" w:ascii="宋体" w:hAnsi="宋体" w:eastAsia="黑体" w:cs="Arial"/>
          <w:b/>
          <w:bCs/>
          <w:color w:val="000000" w:themeColor="text1"/>
          <w:sz w:val="30"/>
          <w:szCs w:val="28"/>
          <w:highlight w:val="none"/>
          <w14:textFill>
            <w14:solidFill>
              <w14:schemeClr w14:val="tx1"/>
            </w14:solidFill>
          </w14:textFill>
        </w:rPr>
        <w:t xml:space="preserve">5、</w:t>
      </w:r>
      <w:r>
        <w:rPr>
          <w:rFonts w:hint="eastAsia" w:ascii="黑体" w:hAnsi="宋体" w:eastAsia="黑体" w:cs="Arial"/>
          <w:color w:val="000000" w:themeColor="text1"/>
          <w:sz w:val="28"/>
          <w:szCs w:val="28"/>
          <w:highlight w:val="none"/>
          <w14:textFill>
            <w14:solidFill>
              <w14:schemeClr w14:val="tx1"/>
            </w14:solidFill>
          </w14:textFill>
        </w:rPr>
        <w:t xml:space="preserve">招标文件的约束力</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rPr>
          <w:highlight w:val="none"/>
        </w:rPr>
      </w:r>
    </w:p>
    <w:p>
      <w:pPr>
        <w:ind w:firstLine="320"/>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rPr>
          <w:highlight w:val="none"/>
        </w:rPr>
      </w:r>
      <w:bookmarkStart w:id="68" w:name="_Toc120614215"/>
      <w:r>
        <w:rPr>
          <w:highlight w:val="none"/>
        </w:rPr>
      </w:r>
      <w:bookmarkStart w:id="69" w:name="_Toc513029209"/>
      <w:r>
        <w:rPr>
          <w:highlight w:val="none"/>
        </w:rPr>
      </w:r>
      <w:bookmarkStart w:id="70" w:name="_Toc20823281"/>
      <w:r>
        <w:rPr>
          <w:highlight w:val="none"/>
        </w:rPr>
      </w:r>
      <w:bookmarkStart w:id="71" w:name="_Toc16938525"/>
      <w:r>
        <w:rPr>
          <w:rFonts w:hint="eastAsia" w:ascii="Times New Roman" w:hAnsi="Times New Roman"/>
          <w:b/>
          <w:bCs/>
          <w:color w:val="000000" w:themeColor="text1"/>
          <w:sz w:val="32"/>
          <w:szCs w:val="32"/>
          <w:highlight w:val="none"/>
          <w14:textFill>
            <w14:solidFill>
              <w14:schemeClr w14:val="tx1"/>
            </w14:solidFill>
          </w14:textFill>
        </w:rPr>
        <w:t xml:space="preserve">二、招标文件</w:t>
      </w:r>
      <w:bookmarkEnd w:id="68"/>
      <w:r>
        <w:rPr>
          <w:highlight w:val="none"/>
        </w:rPr>
      </w:r>
      <w:bookmarkEnd w:id="69"/>
      <w:r>
        <w:rPr>
          <w:highlight w:val="none"/>
        </w:rPr>
      </w:r>
      <w:bookmarkEnd w:id="70"/>
      <w:r>
        <w:rPr>
          <w:highlight w:val="none"/>
        </w:rPr>
      </w:r>
      <w:bookmarkEnd w:id="71"/>
      <w:r>
        <w:rPr>
          <w:highlight w:val="none"/>
        </w:rPr>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72" w:name="_Toc513029210"/>
      <w:r>
        <w:rPr>
          <w:highlight w:val="none"/>
        </w:rPr>
      </w:r>
      <w:bookmarkStart w:id="73" w:name="_Toc20823282"/>
      <w:r>
        <w:rPr>
          <w:highlight w:val="none"/>
        </w:rPr>
      </w:r>
      <w:bookmarkStart w:id="74" w:name="_Toc16938526"/>
      <w:r>
        <w:rPr>
          <w:rFonts w:hint="eastAsia" w:ascii="Arial" w:hAnsi="Arial" w:eastAsia="黑体" w:cs="Arial"/>
          <w:color w:val="000000" w:themeColor="text1"/>
          <w:sz w:val="28"/>
          <w:szCs w:val="28"/>
          <w:highlight w:val="none"/>
          <w14:textFill>
            <w14:solidFill>
              <w14:schemeClr w14:val="tx1"/>
            </w14:solidFill>
          </w14:textFill>
        </w:rPr>
        <w:t xml:space="preserve">6、招标文件构成</w:t>
      </w:r>
      <w:bookmarkEnd w:id="72"/>
      <w:r>
        <w:rPr>
          <w:highlight w:val="none"/>
        </w:rPr>
      </w:r>
      <w:bookmarkEnd w:id="73"/>
      <w:r>
        <w:rPr>
          <w:highlight w:val="none"/>
        </w:rPr>
      </w:r>
      <w:bookmarkEnd w:id="74"/>
      <w:r>
        <w:rPr>
          <w:highlight w:val="none"/>
        </w:rPr>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 招标文件由以下部分组成：</w:t>
      </w:r>
      <w:r>
        <w:rPr>
          <w:highlight w:val="none"/>
        </w:rP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rPr>
          <w:highlight w:val="none"/>
        </w:rP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rPr>
          <w:highlight w:val="none"/>
        </w:rP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rPr>
          <w:highlight w:val="none"/>
        </w:rP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rPr>
          <w:highlight w:val="none"/>
        </w:rPr>
      </w:r>
    </w:p>
    <w:p>
      <w:pPr>
        <w:ind w:firstLine="360"/>
        <w:spacing w:line="40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Times New Roman" w:hAnsi="宋体"/>
          <w:color w:val="000000" w:themeColor="text1"/>
          <w:sz w:val="24"/>
          <w:szCs w:val="24"/>
          <w:highlight w:val="none"/>
          <w14:textFill>
            <w14:solidFill>
              <w14:schemeClr w14:val="tx1"/>
            </w14:solidFill>
          </w14:textFill>
        </w:rPr>
        <w:t xml:space="preserve">评标方法与评标标准</w:t>
      </w:r>
      <w:r>
        <w:rPr>
          <w:highlight w:val="none"/>
        </w:rP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（6）投标文件格式</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请仔细检查招标文件是否齐全，如有缺漏请立即与采购中心联系解决。</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ind w:firstLine="56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75" w:name="_Toc513029212"/>
      <w:r>
        <w:rPr>
          <w:highlight w:val="none"/>
        </w:rPr>
      </w:r>
      <w:bookmarkStart w:id="76" w:name="_Toc20823284"/>
      <w:r>
        <w:rPr>
          <w:highlight w:val="none"/>
        </w:rPr>
      </w:r>
      <w:bookmarkStart w:id="77" w:name="_Toc462564071"/>
      <w:r>
        <w:rPr>
          <w:highlight w:val="none"/>
        </w:rPr>
      </w:r>
      <w:bookmarkStart w:id="78" w:name="_Toc16938528"/>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、招标文件的修改</w:t>
      </w:r>
      <w:bookmarkEnd w:id="75"/>
      <w:r>
        <w:rPr>
          <w:highlight w:val="none"/>
        </w:rPr>
      </w:r>
      <w:bookmarkEnd w:id="76"/>
      <w:r>
        <w:rPr>
          <w:highlight w:val="none"/>
        </w:rPr>
      </w:r>
      <w:bookmarkEnd w:id="77"/>
      <w:r>
        <w:rPr>
          <w:highlight w:val="none"/>
        </w:rPr>
      </w:r>
      <w:bookmarkEnd w:id="78"/>
      <w:r>
        <w:rPr>
          <w:highlight w:val="none"/>
        </w:rPr>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在投标截止时间</w:t>
      </w:r>
      <w:r>
        <w:rPr>
          <w:rFonts w:hint="eastAsia" w:ascii="仿宋_GB2312" w:hAnsi="仿宋_GB2312"/>
          <w:color w:val="000000" w:themeColor="text1"/>
          <w:sz w:val="24"/>
          <w:szCs w:val="21"/>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，采购中心可以对招标文件进行修改。</w:t>
      </w:r>
      <w:r>
        <w:rPr>
          <w:highlight w:val="none"/>
        </w:rPr>
      </w:r>
    </w:p>
    <w:p>
      <w:pPr>
        <w:ind w:firstLine="480"/>
        <w:spacing w:line="400" w:lineRule="exact"/>
        <w:rPr>
          <w:rFonts w:hint="eastAsia" w:ascii="宋体" w:hAnsi="Arial"/>
          <w:color w:val="000000" w:themeColor="text1"/>
          <w:sz w:val="28"/>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 </w:t>
      </w:r>
      <w:r>
        <w:rPr>
          <w:rFonts w:hint="eastAsia" w:ascii="宋体" w:hAnsi="宋体"/>
          <w:color w:val="000000" w:themeColor="text1"/>
          <w:sz w:val="24"/>
          <w:szCs w:val="21"/>
          <w:highlight w:val="none"/>
          <w14:textFill>
            <w14:solidFill>
              <w14:schemeClr w14:val="tx1"/>
            </w14:solidFill>
          </w14:textFill>
        </w:rPr>
        <w:t xml:space="preserve">采购中心</w:t>
      </w:r>
      <w:r>
        <w:rPr>
          <w:rFonts w:hint="eastAsia" w:ascii="宋体" w:hAnsi="宋体"/>
          <w:color w:val="000000" w:themeColor="text1"/>
          <w:sz w:val="24"/>
          <w:szCs w:val="24"/>
          <w:highlight w:val="none"/>
          <w14:textFill>
            <w14:solidFill>
              <w14:schemeClr w14:val="tx1"/>
            </w14:solidFill>
          </w14:textFill>
        </w:rPr>
        <w:t xml:space="preserve">有权按照法定的要求</w:t>
      </w:r>
      <w:r>
        <w:rPr>
          <w:rFonts w:hint="eastAsia" w:ascii="宋体" w:hAnsi="宋体"/>
          <w:color w:val="000000" w:themeColor="text1"/>
          <w:sz w:val="24"/>
          <w:szCs w:val="21"/>
          <w:highlight w:val="none"/>
          <w14:textFill>
            <w14:solidFill>
              <w14:schemeClr w14:val="tx1"/>
            </w14:solidFill>
          </w14:textFill>
        </w:rPr>
        <w:t xml:space="preserve">推迟投标截止日期和开标日期。</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 </w:t>
      </w:r>
      <w:r>
        <w:rPr>
          <w:rFonts w:hint="eastAsia" w:ascii="宋体" w:hAnsi="宋体"/>
          <w:color w:val="000000" w:themeColor="text1"/>
          <w:sz w:val="24"/>
          <w:szCs w:val="21"/>
          <w:highlight w:val="none"/>
          <w14:textFill>
            <w14:solidFill>
              <w14:schemeClr w14:val="tx1"/>
            </w14:solidFill>
          </w14:textFill>
        </w:rPr>
        <w:t xml:space="preserve">招标文件的修改将在江苏政府采购网公布，</w:t>
      </w:r>
      <w:r>
        <w:rPr>
          <w:rFonts w:hint="eastAsia" w:ascii="宋体" w:hAnsi="宋体"/>
          <w:color w:val="000000" w:themeColor="text1"/>
          <w:sz w:val="24"/>
          <w:szCs w:val="24"/>
          <w:highlight w:val="none"/>
          <w14:textFill>
            <w14:solidFill>
              <w14:schemeClr w14:val="tx1"/>
            </w14:solidFill>
          </w14:textFill>
        </w:rPr>
        <w:t xml:space="preserve">补充文件将作为招标文件的组成部分，</w:t>
      </w:r>
      <w:r>
        <w:rPr>
          <w:rFonts w:hint="eastAsia" w:ascii="宋体" w:hAnsi="宋体"/>
          <w:color w:val="000000" w:themeColor="text1"/>
          <w:sz w:val="24"/>
          <w:szCs w:val="21"/>
          <w:highlight w:val="none"/>
          <w14:textFill>
            <w14:solidFill>
              <w14:schemeClr w14:val="tx1"/>
            </w14:solidFill>
          </w14:textFill>
        </w:rPr>
        <w:t xml:space="preserve">并对投标人具有约束力。</w:t>
      </w:r>
      <w:r>
        <w:rPr>
          <w:highlight w:val="none"/>
        </w:rPr>
      </w:r>
    </w:p>
    <w:p>
      <w:pPr>
        <w:ind w:firstLine="480"/>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rPr>
          <w:highlight w:val="none"/>
        </w:rPr>
      </w:r>
      <w:bookmarkStart w:id="79" w:name="_Toc16938529"/>
      <w:r>
        <w:rPr>
          <w:highlight w:val="none"/>
        </w:rPr>
      </w:r>
      <w:bookmarkStart w:id="80" w:name="_Toc462564072"/>
      <w:r>
        <w:rPr>
          <w:highlight w:val="none"/>
        </w:rPr>
      </w:r>
      <w:bookmarkStart w:id="81" w:name="_Toc20823285"/>
      <w:r>
        <w:rPr>
          <w:highlight w:val="none"/>
        </w:rPr>
      </w:r>
      <w:bookmarkStart w:id="82" w:name="_Toc120614216"/>
      <w:r>
        <w:rPr>
          <w:highlight w:val="none"/>
        </w:rPr>
      </w:r>
      <w:bookmarkStart w:id="83" w:name="_Toc513029213"/>
      <w:r>
        <w:rPr>
          <w:rFonts w:hint="eastAsia" w:ascii="Times New Roman" w:hAnsi="Times New Roman"/>
          <w:b/>
          <w:bCs/>
          <w:color w:val="000000" w:themeColor="text1"/>
          <w:sz w:val="32"/>
          <w:szCs w:val="32"/>
          <w:highlight w:val="none"/>
          <w14:textFill>
            <w14:solidFill>
              <w14:schemeClr w14:val="tx1"/>
            </w14:solidFill>
          </w14:textFill>
        </w:rPr>
        <w:t xml:space="preserve">三、投标文件的编制</w:t>
      </w:r>
      <w:bookmarkEnd w:id="79"/>
      <w:r>
        <w:rPr>
          <w:highlight w:val="none"/>
        </w:rPr>
      </w:r>
      <w:bookmarkEnd w:id="80"/>
      <w:r>
        <w:rPr>
          <w:highlight w:val="none"/>
        </w:rPr>
      </w:r>
      <w:bookmarkEnd w:id="81"/>
      <w:r>
        <w:rPr>
          <w:highlight w:val="none"/>
        </w:rPr>
      </w:r>
      <w:bookmarkEnd w:id="82"/>
      <w:r>
        <w:rPr>
          <w:highlight w:val="none"/>
        </w:rPr>
      </w:r>
      <w:bookmarkEnd w:id="83"/>
      <w:r>
        <w:rPr>
          <w:highlight w:val="none"/>
        </w:rPr>
      </w:r>
      <w:r>
        <w:rPr>
          <w:highlight w:val="none"/>
        </w:rPr>
      </w:r>
    </w:p>
    <w:p>
      <w:pPr>
        <w:ind w:firstLine="560"/>
        <w:keepLines/>
        <w:keepNext/>
        <w:spacing w:line="400" w:lineRule="exact"/>
        <w:rPr>
          <w:rFonts w:hint="eastAsia" w:ascii="Arial" w:hAnsi="Arial" w:eastAsia="黑体" w:cs="Arial"/>
          <w:b/>
          <w:color w:val="000000" w:themeColor="text1"/>
          <w:sz w:val="28"/>
          <w:szCs w:val="28"/>
          <w:highlight w:val="none"/>
          <w14:textFill>
            <w14:solidFill>
              <w14:schemeClr w14:val="tx1"/>
            </w14:solidFill>
          </w14:textFill>
        </w:rPr>
        <w:outlineLvl w:val="3"/>
      </w:pPr>
      <w:r>
        <w:rPr>
          <w:highlight w:val="none"/>
        </w:rPr>
      </w:r>
      <w:bookmarkStart w:id="84" w:name="_Toc513029214"/>
      <w:r>
        <w:rPr>
          <w:highlight w:val="none"/>
        </w:rPr>
      </w:r>
      <w:bookmarkStart w:id="85" w:name="_Toc20823286"/>
      <w:r>
        <w:rPr>
          <w:highlight w:val="none"/>
        </w:rPr>
      </w:r>
      <w:bookmarkStart w:id="86" w:name="_Toc16938530"/>
      <w:r>
        <w:rPr>
          <w:highlight w:val="none"/>
        </w:rPr>
      </w:r>
      <w:bookmarkStart w:id="87" w:name="_Toc462564073"/>
      <w:r>
        <w:rPr>
          <w:rFonts w:ascii="Arial" w:hAnsi="Arial" w:eastAsia="黑体" w:cs="Arial"/>
          <w:color w:val="000000" w:themeColor="text1"/>
          <w:sz w:val="28"/>
          <w:szCs w:val="28"/>
          <w:highlight w:val="none"/>
          <w14:textFill>
            <w14:solidFill>
              <w14:schemeClr w14:val="tx1"/>
            </w14:solidFill>
          </w14:textFill>
        </w:rPr>
        <w:t xml:space="preserve">8</w:t>
      </w:r>
      <w:r>
        <w:rPr>
          <w:rFonts w:hint="eastAsia" w:ascii="Arial" w:hAnsi="Arial" w:eastAsia="黑体" w:cs="Arial"/>
          <w:color w:val="000000" w:themeColor="text1"/>
          <w:sz w:val="28"/>
          <w:szCs w:val="28"/>
          <w:highlight w:val="none"/>
          <w14:textFill>
            <w14:solidFill>
              <w14:schemeClr w14:val="tx1"/>
            </w14:solidFill>
          </w14:textFill>
        </w:rPr>
        <w:t xml:space="preserve">、投标文件的语言及度量衡单位</w:t>
      </w:r>
      <w:bookmarkEnd w:id="84"/>
      <w:r>
        <w:rPr>
          <w:highlight w:val="none"/>
        </w:rPr>
      </w:r>
      <w:bookmarkEnd w:id="85"/>
      <w:r>
        <w:rPr>
          <w:highlight w:val="none"/>
        </w:rPr>
      </w:r>
      <w:bookmarkEnd w:id="86"/>
      <w:r>
        <w:rPr>
          <w:highlight w:val="none"/>
        </w:rPr>
      </w:r>
      <w:bookmarkEnd w:id="87"/>
      <w:r>
        <w:rPr>
          <w:highlight w:val="none"/>
        </w:rPr>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投标人提交的投标文件以及投标人与采购中心就有关投标的所有来往通知、函件和文件均应使用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88" w:name="_Toc462564074"/>
      <w:r>
        <w:rPr>
          <w:highlight w:val="none"/>
        </w:rPr>
      </w:r>
      <w:bookmarkStart w:id="89" w:name="_Toc513029215"/>
      <w:r>
        <w:rPr>
          <w:highlight w:val="none"/>
        </w:rPr>
      </w:r>
      <w:bookmarkStart w:id="90" w:name="_Toc16938531"/>
      <w:r>
        <w:rPr>
          <w:highlight w:val="none"/>
        </w:rPr>
      </w:r>
      <w:bookmarkStart w:id="91" w:name="_Toc20823287"/>
      <w:r>
        <w:rPr>
          <w:rFonts w:ascii="Arial" w:hAnsi="Arial" w:eastAsia="黑体" w:cs="Arial"/>
          <w:color w:val="000000" w:themeColor="text1"/>
          <w:sz w:val="28"/>
          <w:szCs w:val="28"/>
          <w:highlight w:val="none"/>
          <w14:textFill>
            <w14:solidFill>
              <w14:schemeClr w14:val="tx1"/>
            </w14:solidFill>
          </w14:textFill>
        </w:rPr>
        <w:t xml:space="preserve">9</w:t>
      </w:r>
      <w:r>
        <w:rPr>
          <w:rFonts w:hint="eastAsia" w:ascii="Arial" w:hAnsi="Arial" w:eastAsia="黑体" w:cs="Arial"/>
          <w:color w:val="000000" w:themeColor="text1"/>
          <w:sz w:val="28"/>
          <w:szCs w:val="28"/>
          <w:highlight w:val="none"/>
          <w14:textFill>
            <w14:solidFill>
              <w14:schemeClr w14:val="tx1"/>
            </w14:solidFill>
          </w14:textFill>
        </w:rPr>
        <w:t xml:space="preserve">、投标文件构成</w:t>
      </w:r>
      <w:bookmarkEnd w:id="88"/>
      <w:r>
        <w:rPr>
          <w:highlight w:val="none"/>
        </w:rPr>
      </w:r>
      <w:bookmarkEnd w:id="89"/>
      <w:r>
        <w:rPr>
          <w:highlight w:val="none"/>
        </w:rPr>
      </w:r>
      <w:bookmarkEnd w:id="90"/>
      <w:r>
        <w:rPr>
          <w:highlight w:val="none"/>
        </w:rPr>
      </w:r>
      <w:bookmarkEnd w:id="91"/>
      <w:r>
        <w:rPr>
          <w:highlight w:val="none"/>
        </w:rPr>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投标人编写的投标文件应包括资格证明文件、</w:t>
      </w:r>
      <w:r>
        <w:rPr>
          <w:rFonts w:hint="eastAsia" w:ascii="宋体" w:hAnsi="宋体"/>
          <w:color w:val="000000" w:themeColor="text1"/>
          <w:sz w:val="24"/>
          <w:szCs w:val="24"/>
          <w:highlight w:val="none"/>
          <w14:textFill>
            <w14:solidFill>
              <w14:schemeClr w14:val="tx1"/>
            </w14:solidFill>
          </w14:textFill>
        </w:rPr>
        <w:t xml:space="preserve">实质性要求响应及偏离表</w:t>
      </w:r>
      <w:r>
        <w:rPr>
          <w:rFonts w:hint="eastAsia" w:ascii="宋体" w:hAnsi="宋体"/>
          <w:color w:val="000000" w:themeColor="text1"/>
          <w:sz w:val="24"/>
          <w:szCs w:val="21"/>
          <w:highlight w:val="none"/>
          <w14:textFill>
            <w14:solidFill>
              <w14:schemeClr w14:val="tx1"/>
            </w14:solidFill>
          </w14:textFill>
        </w:rPr>
        <w:t xml:space="preserve">、投标分项报价表、技术要求响应及偏离表、商务要求响应及偏离表、其他证明文件、投标函、开标一览表等部分。</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9</w:t>
      </w:r>
      <w:r>
        <w:rPr>
          <w:rFonts w:hint="eastAsia" w:ascii="宋体" w:hAnsi="宋体"/>
          <w:color w:val="000000" w:themeColor="text1"/>
          <w:sz w:val="24"/>
          <w:szCs w:val="21"/>
          <w:highlight w:val="none"/>
          <w14:textFill>
            <w14:solidFill>
              <w14:schemeClr w14:val="tx1"/>
            </w14:solidFill>
          </w14:textFill>
        </w:rPr>
        <w:t xml:space="preserve">.2 如标书制作工具中格式和内容与“江苏政府采购网”发布的招标文件不一致，请以“江苏政府采购网”发布的招标文件为准。</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92" w:name="_Hlt26668975"/>
      <w:r>
        <w:rPr>
          <w:highlight w:val="none"/>
        </w:rPr>
      </w:r>
      <w:bookmarkEnd w:id="92"/>
      <w:r>
        <w:rPr>
          <w:highlight w:val="none"/>
        </w:rPr>
      </w:r>
      <w:bookmarkStart w:id="93" w:name="_Hlt26670360"/>
      <w:r>
        <w:rPr>
          <w:highlight w:val="none"/>
        </w:rPr>
      </w:r>
      <w:bookmarkEnd w:id="93"/>
      <w:r>
        <w:rPr>
          <w:highlight w:val="none"/>
        </w:rPr>
      </w:r>
      <w:bookmarkStart w:id="94" w:name="_Hlt26954838"/>
      <w:r>
        <w:rPr>
          <w:highlight w:val="none"/>
        </w:rPr>
      </w:r>
      <w:bookmarkEnd w:id="94"/>
      <w:r>
        <w:rPr>
          <w:highlight w:val="none"/>
        </w:rPr>
      </w:r>
      <w:bookmarkStart w:id="95" w:name="_Toc513029219"/>
      <w:r>
        <w:rPr>
          <w:highlight w:val="none"/>
        </w:rPr>
      </w:r>
      <w:bookmarkStart w:id="96" w:name="_Toc14577357"/>
      <w:r>
        <w:rPr>
          <w:highlight w:val="none"/>
        </w:rPr>
      </w:r>
      <w:bookmarkStart w:id="97" w:name="_Toc49090509"/>
      <w:r>
        <w:rPr>
          <w:highlight w:val="none"/>
        </w:rPr>
      </w:r>
      <w:bookmarkStart w:id="98" w:name="_Toc14577354"/>
      <w:r>
        <w:rPr>
          <w:highlight w:val="none"/>
        </w:rPr>
      </w:r>
      <w:bookmarkStart w:id="99" w:name="_Toc513029216"/>
      <w:r>
        <w:rPr>
          <w:highlight w:val="none"/>
        </w:rPr>
      </w:r>
      <w:bookmarkStart w:id="100" w:name="_Toc49090507"/>
      <w:r>
        <w:rPr>
          <w:highlight w:val="none"/>
        </w:rPr>
      </w:r>
      <w:bookmarkStart w:id="101" w:name="_Toc14577355"/>
      <w:r>
        <w:rPr>
          <w:highlight w:val="none"/>
        </w:rPr>
      </w:r>
      <w:bookmarkStart w:id="102" w:name="_Toc49090508"/>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、证明投标人及投标标的符合招标文件规定的文件</w:t>
      </w:r>
      <w:bookmarkEnd w:id="95"/>
      <w:r>
        <w:rPr>
          <w:highlight w:val="none"/>
        </w:rPr>
      </w:r>
      <w:bookmarkEnd w:id="96"/>
      <w:r>
        <w:rPr>
          <w:highlight w:val="none"/>
        </w:rPr>
      </w:r>
      <w:bookmarkEnd w:id="97"/>
      <w:r>
        <w:rPr>
          <w:highlight w:val="none"/>
        </w:rPr>
      </w:r>
      <w:bookmarkEnd w:id="98"/>
      <w:r/>
      <w:bookmarkEnd w:id="99"/>
      <w:r/>
      <w:bookmarkEnd w:id="100"/>
      <w:r/>
      <w:r>
        <w:rPr>
          <w:highlight w:val="none"/>
        </w:rP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.1 投标人应按照招标文件要求提交证明文件，证明其及投标标的符合招标文件规定。</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.2招标文件对证明文件无明确形式要求的，证明文件可以以文字资料、图纸和数据等形式提交。</w:t>
      </w:r>
      <w:bookmarkEnd w:id="101"/>
      <w:r/>
      <w:bookmarkEnd w:id="102"/>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、投标分项报价表</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w:t>
      </w:r>
      <w:bookmarkStart w:id="103" w:name="_Hlt26954840"/>
      <w:r>
        <w:rPr>
          <w:highlight w:val="none"/>
        </w:rPr>
      </w:r>
      <w:bookmarkEnd w:id="103"/>
      <w:r>
        <w:rPr>
          <w:rFonts w:hint="eastAsia" w:ascii="宋体" w:hAnsi="宋体"/>
          <w:color w:val="000000" w:themeColor="text1"/>
          <w:sz w:val="24"/>
          <w:szCs w:val="21"/>
          <w:highlight w:val="none"/>
          <w14:textFill>
            <w14:solidFill>
              <w14:schemeClr w14:val="tx1"/>
            </w14:solidFill>
          </w14:textFill>
        </w:rPr>
        <w:t xml:space="preserve">标人按照招标文件规定格式填报投标分项报价表</w:t>
      </w:r>
      <w:bookmarkStart w:id="104" w:name="_Hlt26670399"/>
      <w:r>
        <w:rPr>
          <w:highlight w:val="none"/>
        </w:rPr>
      </w:r>
      <w:bookmarkEnd w:id="104"/>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招标文件中另有规定的按规定执行。</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05" w:name="_Hlt26670482"/>
      <w:r>
        <w:rPr>
          <w:highlight w:val="none"/>
        </w:rPr>
      </w:r>
      <w:bookmarkEnd w:id="105"/>
      <w:r>
        <w:rPr>
          <w:highlight w:val="none"/>
        </w:rPr>
      </w:r>
      <w:bookmarkStart w:id="106" w:name="_Hlt26954848"/>
      <w:r>
        <w:rPr>
          <w:highlight w:val="none"/>
        </w:rPr>
      </w:r>
      <w:bookmarkEnd w:id="106"/>
      <w:r>
        <w:rPr>
          <w:highlight w:val="none"/>
        </w:rPr>
      </w:r>
      <w:bookmarkStart w:id="107" w:name="_Hlt26954731"/>
      <w:r>
        <w:rPr>
          <w:highlight w:val="none"/>
        </w:rPr>
      </w:r>
      <w:bookmarkEnd w:id="107"/>
      <w:r>
        <w:rPr>
          <w:highlight w:val="none"/>
        </w:rPr>
      </w:r>
      <w:bookmarkStart w:id="108" w:name="_Hlt26954846"/>
      <w:r>
        <w:rPr>
          <w:highlight w:val="none"/>
        </w:rPr>
      </w:r>
      <w:bookmarkEnd w:id="108"/>
      <w:r>
        <w:rPr>
          <w:highlight w:val="none"/>
        </w:rPr>
      </w:r>
      <w:bookmarkStart w:id="109" w:name="_Hlt26670486"/>
      <w:r>
        <w:rPr>
          <w:highlight w:val="none"/>
        </w:rPr>
      </w:r>
      <w:bookmarkEnd w:id="109"/>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2</w:t>
      </w:r>
      <w:r>
        <w:rPr>
          <w:rFonts w:hint="eastAsia" w:ascii="Arial" w:hAnsi="Arial" w:eastAsia="黑体" w:cs="Arial"/>
          <w:color w:val="000000" w:themeColor="text1"/>
          <w:sz w:val="28"/>
          <w:szCs w:val="28"/>
          <w:highlight w:val="none"/>
          <w14:textFill>
            <w14:solidFill>
              <w14:schemeClr w14:val="tx1"/>
            </w14:solidFill>
          </w14:textFill>
        </w:rPr>
        <w:t xml:space="preserve">、技术要求响应及偏离表、商务要求响应及偏离表</w:t>
      </w:r>
      <w:r>
        <w:rPr>
          <w:highlight w:val="none"/>
        </w:rPr>
      </w:r>
    </w:p>
    <w:p>
      <w:pPr>
        <w:ind w:firstLine="480"/>
        <w:spacing w:line="400" w:lineRule="exact"/>
        <w:rPr>
          <w:rFonts w:hint="eastAsia" w:ascii="宋体" w:hAnsi="Arial" w:cs="宋体"/>
          <w:color w:val="000000" w:themeColor="text1"/>
          <w:sz w:val="24"/>
          <w:szCs w:val="21"/>
          <w:highlight w:val="none"/>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 xml:space="preserve">12.1</w:t>
      </w:r>
      <w:r>
        <w:rPr>
          <w:rFonts w:hint="eastAsia" w:ascii="宋体" w:hAnsi="Arial" w:cs="宋体"/>
          <w:bCs/>
          <w:color w:val="000000" w:themeColor="text1"/>
          <w:sz w:val="24"/>
          <w:szCs w:val="21"/>
          <w:highlight w:val="none"/>
          <w:lang w:val="zh-CN"/>
          <w14:textFill>
            <w14:solidFill>
              <w14:schemeClr w14:val="tx1"/>
            </w14:solidFill>
          </w14:textFill>
        </w:rPr>
        <w:t xml:space="preserve"> </w:t>
      </w:r>
      <w:r>
        <w:rPr>
          <w:rFonts w:hint="eastAsia" w:ascii="宋体" w:hAnsi="Arial" w:cs="宋体"/>
          <w:color w:val="000000" w:themeColor="text1"/>
          <w:sz w:val="24"/>
          <w:szCs w:val="21"/>
          <w:highlight w:val="none"/>
          <w:lang w:val="zh-CN"/>
          <w14:textFill>
            <w14:solidFill>
              <w14:schemeClr w14:val="tx1"/>
            </w14:solidFill>
          </w14:textFill>
        </w:rPr>
        <w:t xml:space="preserve">投标人需对招标文件中的技术要求与商务要求逐项作出响应或偏离，并说明原因。</w:t>
      </w:r>
      <w:r>
        <w:rPr>
          <w:highlight w:val="none"/>
        </w:rPr>
      </w:r>
    </w:p>
    <w:p>
      <w:pPr>
        <w:ind w:firstLine="480"/>
        <w:spacing w:line="400" w:lineRule="exact"/>
        <w:rPr>
          <w:rFonts w:hint="eastAsia" w:ascii="宋体" w:hAnsi="Arial" w:cs="宋体"/>
          <w:color w:val="000000" w:themeColor="text1"/>
          <w:sz w:val="24"/>
          <w:szCs w:val="21"/>
          <w:highlight w:val="none"/>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w:t>
      </w:r>
      <w:r>
        <w:rPr>
          <w:rFonts w:ascii="宋体" w:hAnsi="Arial" w:cs="宋体"/>
          <w:color w:val="000000" w:themeColor="text1"/>
          <w:sz w:val="24"/>
          <w:szCs w:val="21"/>
          <w:highlight w:val="none"/>
          <w:lang w:val="zh-CN"/>
          <w14:textFill>
            <w14:solidFill>
              <w14:schemeClr w14:val="tx1"/>
            </w14:solidFill>
          </w14:textFill>
        </w:rPr>
        <w:t xml:space="preserve">2</w:t>
      </w:r>
      <w:r>
        <w:rPr>
          <w:rFonts w:hint="eastAsia" w:ascii="宋体" w:hAnsi="Arial" w:cs="宋体"/>
          <w:color w:val="000000" w:themeColor="text1"/>
          <w:sz w:val="24"/>
          <w:szCs w:val="21"/>
          <w:highlight w:val="none"/>
          <w:lang w:val="zh-CN"/>
          <w14:textFill>
            <w14:solidFill>
              <w14:schemeClr w14:val="tx1"/>
            </w14:solidFill>
          </w14:textFill>
        </w:rPr>
        <w:t xml:space="preserve">.2 投标人需按照招标文件要求，在投标文件中提供与技术要求和商务要求相关的证明材料。</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3</w:t>
      </w:r>
      <w:r>
        <w:rPr>
          <w:rFonts w:hint="eastAsia" w:ascii="Arial" w:hAnsi="Arial" w:eastAsia="黑体" w:cs="Arial"/>
          <w:color w:val="000000" w:themeColor="text1"/>
          <w:sz w:val="28"/>
          <w:szCs w:val="28"/>
          <w:highlight w:val="none"/>
          <w14:textFill>
            <w14:solidFill>
              <w14:schemeClr w14:val="tx1"/>
            </w14:solidFill>
          </w14:textFill>
        </w:rPr>
        <w:t xml:space="preserve">、服务承诺、培训计划、人员安排及其他</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.2 投标人需根据招标文件要求提供培训计划。</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.3 投标人需根据招标文件要求提供</w:t>
      </w:r>
      <w:r>
        <w:rPr>
          <w:rFonts w:hint="eastAsia" w:ascii="宋体" w:hAnsi="Arial" w:cs="宋体"/>
          <w:color w:val="000000" w:themeColor="text1"/>
          <w:sz w:val="24"/>
          <w:szCs w:val="21"/>
          <w:highlight w:val="none"/>
          <w:lang w:val="zh-CN"/>
          <w14:textFill>
            <w14:solidFill>
              <w14:schemeClr w14:val="tx1"/>
            </w14:solidFill>
          </w14:textFill>
        </w:rPr>
        <w:t xml:space="preserve">所投标的的主要组成部分、功能设计、实现思路及关键技术等。</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10" w:name="_Toc49090510"/>
      <w:r>
        <w:rPr>
          <w:highlight w:val="none"/>
        </w:rPr>
      </w:r>
      <w:bookmarkStart w:id="111" w:name="_Toc14577359"/>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4</w:t>
      </w:r>
      <w:r>
        <w:rPr>
          <w:rFonts w:hint="eastAsia" w:ascii="Arial" w:hAnsi="Arial" w:eastAsia="黑体" w:cs="Arial"/>
          <w:color w:val="000000" w:themeColor="text1"/>
          <w:sz w:val="28"/>
          <w:szCs w:val="28"/>
          <w:highlight w:val="none"/>
          <w14:textFill>
            <w14:solidFill>
              <w14:schemeClr w14:val="tx1"/>
            </w14:solidFill>
          </w14:textFill>
        </w:rPr>
        <w:t xml:space="preserve">、投标函和开标一览表</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 对于采用货币报价的项目，开标一览表中的投标总报价应与投标分项报价表中的投标总报价一致，如不一致，不作为无效投标处理，但评标时按开标一览表中价格为准。</w:t>
      </w:r>
      <w:bookmarkEnd w:id="110"/>
      <w:r/>
      <w:bookmarkEnd w:id="111"/>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12" w:name="_Toc49090511"/>
      <w:r>
        <w:rPr>
          <w:highlight w:val="none"/>
        </w:rPr>
      </w:r>
      <w:bookmarkStart w:id="113" w:name="_Toc14577360"/>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、投标有效期</w:t>
      </w:r>
      <w:bookmarkEnd w:id="112"/>
      <w:r>
        <w:rPr>
          <w:highlight w:val="none"/>
        </w:rPr>
      </w:r>
      <w:bookmarkEnd w:id="113"/>
      <w:r>
        <w:rPr>
          <w:highlight w:val="none"/>
        </w:rPr>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.1投标有效期为采购中心规定的开标之日后</w:t>
      </w:r>
      <w:r>
        <w:rPr>
          <w:rFonts w:hint="eastAsia" w:ascii="仿宋_GB2312" w:hAnsi="仿宋_GB2312"/>
          <w:b/>
          <w:color w:val="000000" w:themeColor="text1"/>
          <w:sz w:val="24"/>
          <w:szCs w:val="21"/>
          <w:highlight w:val="none"/>
          <w:u w:val="single"/>
          <w14:textFill>
            <w14:solidFill>
              <w14:schemeClr w14:val="tx1"/>
            </w14:solidFill>
          </w14:textFill>
        </w:rPr>
        <w:t xml:space="preserve">六十（60）天</w:t>
      </w:r>
      <w:r>
        <w:rPr>
          <w:rFonts w:hint="eastAsia" w:ascii="宋体" w:hAnsi="宋体"/>
          <w:bCs/>
          <w:color w:val="000000" w:themeColor="text1"/>
          <w:sz w:val="24"/>
          <w:szCs w:val="21"/>
          <w:highlight w:val="none"/>
          <w14:textFill>
            <w14:solidFill>
              <w14:schemeClr w14:val="tx1"/>
            </w14:solidFill>
          </w14:textFill>
        </w:rPr>
        <w:t xml:space="preserve">。投标有效期比规定短的将被视为未实质性响应招标文件而予以拒绝。</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、投标有效期的延长</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受投标有效期约束的所有权利与义务均延长至新的有效期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rPr>
          <w:highlight w:val="none"/>
        </w:rPr>
      </w:r>
    </w:p>
    <w:p>
      <w:pPr>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rPr>
          <w:highlight w:val="none"/>
        </w:rPr>
      </w:r>
      <w:bookmarkStart w:id="114" w:name="_Hlt26954852"/>
      <w:r>
        <w:rPr>
          <w:highlight w:val="none"/>
        </w:rPr>
      </w:r>
      <w:bookmarkEnd w:id="114"/>
      <w:r>
        <w:rPr>
          <w:highlight w:val="none"/>
        </w:rPr>
      </w:r>
      <w:bookmarkStart w:id="115" w:name="_Hlt26954739"/>
      <w:r>
        <w:rPr>
          <w:highlight w:val="none"/>
        </w:rPr>
      </w:r>
      <w:bookmarkEnd w:id="115"/>
      <w:r>
        <w:rPr>
          <w:highlight w:val="none"/>
        </w:rPr>
      </w:r>
      <w:bookmarkStart w:id="116" w:name="_Toc120614217"/>
      <w:r>
        <w:rPr>
          <w:highlight w:val="none"/>
        </w:rPr>
      </w:r>
      <w:bookmarkStart w:id="117" w:name="_Toc513029224"/>
      <w:r>
        <w:rPr>
          <w:highlight w:val="none"/>
        </w:rPr>
      </w:r>
      <w:bookmarkStart w:id="118" w:name="_Toc16938540"/>
      <w:r>
        <w:rPr>
          <w:highlight w:val="none"/>
        </w:rPr>
      </w:r>
      <w:bookmarkStart w:id="119" w:name="_Toc20823296"/>
      <w:r>
        <w:rPr>
          <w:rFonts w:hint="eastAsia" w:ascii="Times New Roman" w:hAnsi="Times New Roman"/>
          <w:b/>
          <w:bCs/>
          <w:color w:val="000000" w:themeColor="text1"/>
          <w:sz w:val="32"/>
          <w:szCs w:val="32"/>
          <w:highlight w:val="none"/>
          <w14:textFill>
            <w14:solidFill>
              <w14:schemeClr w14:val="tx1"/>
            </w14:solidFill>
          </w14:textFill>
        </w:rPr>
        <w:t xml:space="preserve">四、投标文件的递交</w:t>
      </w:r>
      <w:bookmarkEnd w:id="116"/>
      <w:r>
        <w:rPr>
          <w:highlight w:val="none"/>
        </w:rPr>
      </w:r>
      <w:bookmarkEnd w:id="117"/>
      <w:r>
        <w:rPr>
          <w:highlight w:val="none"/>
        </w:rPr>
      </w:r>
      <w:bookmarkEnd w:id="118"/>
      <w:r>
        <w:rPr>
          <w:highlight w:val="none"/>
        </w:rPr>
      </w:r>
      <w:bookmarkEnd w:id="119"/>
      <w:r>
        <w:rPr>
          <w:highlight w:val="none"/>
        </w:rPr>
      </w:r>
      <w:r>
        <w:rPr>
          <w:highlight w:val="none"/>
        </w:rPr>
      </w:r>
    </w:p>
    <w:p>
      <w:pPr>
        <w:ind w:firstLine="420"/>
        <w:keepLines/>
        <w:keepNext/>
        <w:spacing w:line="400" w:lineRule="exact"/>
        <w:rPr>
          <w:rFonts w:hint="eastAsia" w:ascii="黑体" w:hAnsi="Arial" w:eastAsia="黑体" w:cs="Arial"/>
          <w:color w:val="000000" w:themeColor="text1"/>
          <w:sz w:val="28"/>
          <w:szCs w:val="28"/>
          <w:highlight w:val="none"/>
          <w14:textFill>
            <w14:solidFill>
              <w14:schemeClr w14:val="tx1"/>
            </w14:solidFill>
          </w14:textFill>
        </w:rPr>
        <w:outlineLvl w:val="3"/>
      </w:pPr>
      <w:r>
        <w:rPr>
          <w:highlight w:val="none"/>
        </w:rPr>
      </w:r>
      <w:bookmarkStart w:id="120" w:name="_Toc20823297"/>
      <w:r>
        <w:rPr>
          <w:highlight w:val="none"/>
        </w:rPr>
      </w:r>
      <w:bookmarkStart w:id="121" w:name="_Toc513029225"/>
      <w:r>
        <w:rPr>
          <w:highlight w:val="none"/>
        </w:rPr>
      </w:r>
      <w:bookmarkStart w:id="122" w:name="_Toc462564084"/>
      <w:r>
        <w:rPr>
          <w:highlight w:val="none"/>
        </w:rPr>
      </w:r>
      <w:bookmarkStart w:id="123" w:name="_Toc16938541"/>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、电子</w:t>
      </w:r>
      <w:r>
        <w:rPr>
          <w:rFonts w:hint="eastAsia" w:ascii="黑体" w:hAnsi="Arial" w:eastAsia="黑体" w:cs="Arial"/>
          <w:color w:val="000000" w:themeColor="text1"/>
          <w:sz w:val="28"/>
          <w:szCs w:val="28"/>
          <w:highlight w:val="none"/>
          <w14:textFill>
            <w14:solidFill>
              <w14:schemeClr w14:val="tx1"/>
            </w14:solidFill>
          </w14:textFill>
        </w:rPr>
        <w:t xml:space="preserve">投标文件</w:t>
      </w:r>
      <w:bookmarkEnd w:id="120"/>
      <w:r>
        <w:rPr>
          <w:highlight w:val="none"/>
        </w:rPr>
      </w:r>
      <w:bookmarkEnd w:id="121"/>
      <w:r>
        <w:rPr>
          <w:highlight w:val="none"/>
        </w:rPr>
      </w:r>
      <w:bookmarkEnd w:id="122"/>
      <w:r>
        <w:rPr>
          <w:highlight w:val="none"/>
        </w:rPr>
      </w:r>
      <w:bookmarkEnd w:id="123"/>
      <w:r>
        <w:rPr>
          <w:rFonts w:hint="eastAsia" w:ascii="黑体" w:hAnsi="Arial" w:eastAsia="黑体" w:cs="Arial"/>
          <w:color w:val="000000" w:themeColor="text1"/>
          <w:sz w:val="28"/>
          <w:szCs w:val="28"/>
          <w:highlight w:val="none"/>
          <w14:textFill>
            <w14:solidFill>
              <w14:schemeClr w14:val="tx1"/>
            </w14:solidFill>
          </w14:textFill>
        </w:rPr>
        <w:t xml:space="preserve">的递交</w:t>
      </w:r>
      <w:r>
        <w:rPr>
          <w:highlight w:val="none"/>
        </w:rPr>
      </w:r>
    </w:p>
    <w:p>
      <w:pPr>
        <w:ind w:left="525"/>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.1投标人应当按照《操作手册》规定，在投标截止时间前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w:t>
      </w:r>
      <w:r>
        <w:rPr>
          <w:highlight w:val="none"/>
        </w:rPr>
      </w:r>
    </w:p>
    <w:p>
      <w:pPr>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子投标文件。</w:t>
      </w:r>
      <w:bookmarkStart w:id="124" w:name="_Toc16938542"/>
      <w:r>
        <w:rPr>
          <w:highlight w:val="none"/>
        </w:rPr>
      </w:r>
      <w:bookmarkStart w:id="125" w:name="_Toc20823298"/>
      <w:r>
        <w:rPr>
          <w:highlight w:val="none"/>
        </w:rPr>
      </w:r>
      <w:bookmarkStart w:id="126" w:name="_Toc513029226"/>
      <w:r>
        <w:rPr>
          <w:highlight w:val="none"/>
        </w:rPr>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18、投标截止日期</w:t>
      </w:r>
      <w:bookmarkEnd w:id="124"/>
      <w:r>
        <w:rPr>
          <w:highlight w:val="none"/>
        </w:rPr>
      </w:r>
      <w:bookmarkEnd w:id="125"/>
      <w:r>
        <w:rPr>
          <w:highlight w:val="none"/>
        </w:rPr>
      </w:r>
      <w:bookmarkEnd w:id="126"/>
      <w:r>
        <w:rPr>
          <w:highlight w:val="none"/>
        </w:rPr>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18</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投标人上传电子投标文件的时间不得迟于招标公告中规定的投标截止时间。</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.1.2条规定做无效投标处理。</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18</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采购中心可以按照规定，通过修改招标文件酌情延长投标截止日期，在此情况下，投标人的所有权利和义务以及投标人受制的截止日期均应以延长后新的截止日期为准。</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27" w:name="_Toc20823299"/>
      <w:r>
        <w:rPr>
          <w:highlight w:val="none"/>
        </w:rPr>
      </w:r>
      <w:bookmarkStart w:id="128" w:name="_Toc513029227"/>
      <w:r>
        <w:rPr>
          <w:highlight w:val="none"/>
        </w:rPr>
      </w:r>
      <w:bookmarkStart w:id="129" w:name="_Toc16938543"/>
      <w:r>
        <w:rPr>
          <w:rFonts w:ascii="Arial" w:hAnsi="Arial" w:eastAsia="黑体" w:cs="Arial"/>
          <w:color w:val="000000" w:themeColor="text1"/>
          <w:sz w:val="28"/>
          <w:szCs w:val="28"/>
          <w:highlight w:val="none"/>
          <w14:textFill>
            <w14:solidFill>
              <w14:schemeClr w14:val="tx1"/>
            </w14:solidFill>
          </w14:textFill>
        </w:rPr>
        <w:t xml:space="preserve">19</w:t>
      </w:r>
      <w:r>
        <w:rPr>
          <w:rFonts w:hint="eastAsia" w:ascii="Arial" w:hAnsi="Arial" w:eastAsia="黑体" w:cs="Arial"/>
          <w:color w:val="000000" w:themeColor="text1"/>
          <w:sz w:val="28"/>
          <w:szCs w:val="28"/>
          <w:highlight w:val="none"/>
          <w14:textFill>
            <w14:solidFill>
              <w14:schemeClr w14:val="tx1"/>
            </w14:solidFill>
          </w14:textFill>
        </w:rPr>
        <w:t xml:space="preserve">、投标文件</w:t>
      </w:r>
      <w:bookmarkEnd w:id="127"/>
      <w:r>
        <w:rPr>
          <w:highlight w:val="none"/>
        </w:rPr>
      </w:r>
      <w:bookmarkEnd w:id="128"/>
      <w:r>
        <w:rPr>
          <w:highlight w:val="none"/>
        </w:rPr>
      </w:r>
      <w:bookmarkEnd w:id="129"/>
      <w:r>
        <w:rPr>
          <w:rFonts w:hint="eastAsia" w:ascii="Arial" w:hAnsi="Arial" w:eastAsia="黑体" w:cs="Arial"/>
          <w:color w:val="000000" w:themeColor="text1"/>
          <w:sz w:val="28"/>
          <w:szCs w:val="28"/>
          <w:highlight w:val="none"/>
          <w14:textFill>
            <w14:solidFill>
              <w14:schemeClr w14:val="tx1"/>
            </w14:solidFill>
          </w14:textFill>
        </w:rPr>
        <w:t xml:space="preserve">的拒收</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t xml:space="preserve">19</w:t>
      </w:r>
      <w:r>
        <w:rPr>
          <w:rFonts w:hint="eastAsia" w:ascii="宋体" w:hAnsi="宋体"/>
          <w:bCs/>
          <w:color w:val="000000" w:themeColor="text1"/>
          <w:sz w:val="24"/>
          <w:szCs w:val="21"/>
          <w:highlight w:val="none"/>
          <w14:textFill>
            <w14:solidFill>
              <w14:schemeClr w14:val="tx1"/>
            </w14:solidFill>
          </w14:textFill>
        </w:rPr>
        <w:t xml:space="preserve">.1 采购中心拒绝接收在其规定的投标截止时间后上传的任何投标文件。</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30" w:name="_Toc513029228"/>
      <w:r>
        <w:rPr>
          <w:highlight w:val="none"/>
        </w:rPr>
      </w:r>
      <w:bookmarkStart w:id="131" w:name="_Toc16938544"/>
      <w:r>
        <w:rPr>
          <w:highlight w:val="none"/>
        </w:rPr>
      </w:r>
      <w:bookmarkStart w:id="132" w:name="_Toc20823300"/>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、投标文件的撤回和修改</w:t>
      </w:r>
      <w:bookmarkEnd w:id="130"/>
      <w:r>
        <w:rPr>
          <w:highlight w:val="none"/>
        </w:rPr>
      </w:r>
      <w:bookmarkEnd w:id="131"/>
      <w:r>
        <w:rPr>
          <w:highlight w:val="none"/>
        </w:rPr>
      </w:r>
      <w:bookmarkEnd w:id="132"/>
      <w:r>
        <w:rPr>
          <w:highlight w:val="none"/>
        </w:rPr>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.1 投标文件的撤回</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.1.1 电子投标文件的撤回</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投标人可在投标截止时间前，撤回其电子投标文件，具体操作方法见《操作手册》。</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投标人撤回电子投标文件，则认为其不再参与本项目投标活动。</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 投标文件的修改</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.2.1投标人可在投标截止时间前，对其电子投标文件进行修改，具体操作方法见《操作手册》。</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 在投标截止时间之后，投标人不得对其电子投标文件作任何修改。</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0</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r>
        <w:rPr>
          <w:highlight w:val="none"/>
        </w:rPr>
      </w:r>
    </w:p>
    <w:p>
      <w:pPr>
        <w:ind w:firstLine="480"/>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rPr>
          <w:highlight w:val="none"/>
        </w:rPr>
      </w:r>
      <w:bookmarkStart w:id="133" w:name="_Toc20823301"/>
      <w:r>
        <w:rPr>
          <w:highlight w:val="none"/>
        </w:rPr>
      </w:r>
      <w:bookmarkStart w:id="134" w:name="_Toc120614218"/>
      <w:r>
        <w:rPr>
          <w:highlight w:val="none"/>
        </w:rPr>
      </w:r>
      <w:bookmarkStart w:id="135" w:name="_Toc16938545"/>
      <w:r>
        <w:rPr>
          <w:highlight w:val="none"/>
        </w:rPr>
      </w:r>
      <w:bookmarkStart w:id="136" w:name="_Toc513029229"/>
      <w:r>
        <w:rPr>
          <w:rFonts w:hint="eastAsia" w:ascii="Times New Roman" w:hAnsi="Times New Roman"/>
          <w:b/>
          <w:bCs/>
          <w:color w:val="000000" w:themeColor="text1"/>
          <w:sz w:val="32"/>
          <w:szCs w:val="32"/>
          <w:highlight w:val="none"/>
          <w14:textFill>
            <w14:solidFill>
              <w14:schemeClr w14:val="tx1"/>
            </w14:solidFill>
          </w14:textFill>
        </w:rPr>
        <w:t xml:space="preserve">五、开标与评标</w:t>
      </w:r>
      <w:bookmarkEnd w:id="133"/>
      <w:r>
        <w:rPr>
          <w:highlight w:val="none"/>
        </w:rPr>
      </w:r>
      <w:bookmarkEnd w:id="134"/>
      <w:r>
        <w:rPr>
          <w:highlight w:val="none"/>
        </w:rPr>
      </w:r>
      <w:bookmarkEnd w:id="135"/>
      <w:r>
        <w:rPr>
          <w:highlight w:val="none"/>
        </w:rPr>
      </w:r>
      <w:bookmarkEnd w:id="136"/>
      <w:r>
        <w:rPr>
          <w:highlight w:val="none"/>
        </w:rPr>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37" w:name="_Toc20823302"/>
      <w:r>
        <w:rPr>
          <w:highlight w:val="none"/>
        </w:rPr>
      </w:r>
      <w:bookmarkStart w:id="138" w:name="_Toc513029230"/>
      <w:r>
        <w:rPr>
          <w:highlight w:val="none"/>
        </w:rPr>
      </w:r>
      <w:bookmarkStart w:id="139" w:name="_Toc16938546"/>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、开标</w:t>
      </w:r>
      <w:bookmarkEnd w:id="137"/>
      <w:r>
        <w:rPr>
          <w:highlight w:val="none"/>
        </w:rPr>
      </w:r>
      <w:bookmarkEnd w:id="138"/>
      <w:r>
        <w:rPr>
          <w:highlight w:val="none"/>
        </w:rPr>
      </w:r>
      <w:bookmarkEnd w:id="139"/>
      <w:r>
        <w:rPr>
          <w:highlight w:val="none"/>
        </w:rPr>
      </w:r>
      <w:r>
        <w:rPr>
          <w:highlight w:val="none"/>
        </w:rPr>
      </w:r>
    </w:p>
    <w:p>
      <w:pPr>
        <w:ind w:firstLine="48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采购中心将在招标公告中规定的时间和地点组织公开开标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和在苏采云系统规定的时间内对投标文件进行解密。</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开标仪式由采购中心组织。苏采云系统将自动对</w:t>
      </w:r>
      <w:r>
        <w:rPr>
          <w:rFonts w:ascii="宋体" w:hAnsi="宋体"/>
          <w:color w:val="000000" w:themeColor="text1"/>
          <w:sz w:val="24"/>
          <w:szCs w:val="24"/>
          <w:highlight w:val="none"/>
          <w14:textFill>
            <w14:solidFill>
              <w14:schemeClr w14:val="tx1"/>
            </w14:solidFill>
          </w14:textFill>
        </w:rPr>
        <w:t xml:space="preserve">项目进行开标，</w:t>
      </w:r>
      <w:r>
        <w:rPr>
          <w:rFonts w:hint="eastAsia" w:ascii="宋体" w:hAnsi="宋体"/>
          <w:color w:val="000000" w:themeColor="text1"/>
          <w:sz w:val="24"/>
          <w:szCs w:val="24"/>
          <w:highlight w:val="none"/>
          <w14:textFill>
            <w14:solidFill>
              <w14:schemeClr w14:val="tx1"/>
            </w14:solidFill>
          </w14:textFill>
        </w:rPr>
        <w:t xml:space="preserve">并宣布各投标人名称和投标价格。</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.3投标人在开标过程中涉及到的投标文件解密、开标结果确认等工作，应按照《操作手册》规定执行。</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40" w:name="_Toc16938547"/>
      <w:r>
        <w:rPr>
          <w:highlight w:val="none"/>
        </w:rPr>
      </w:r>
      <w:bookmarkStart w:id="141" w:name="_Toc513029231"/>
      <w:r>
        <w:rPr>
          <w:highlight w:val="none"/>
        </w:rPr>
      </w:r>
      <w:bookmarkStart w:id="142" w:name="_Toc20823303"/>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2</w:t>
      </w:r>
      <w:r>
        <w:rPr>
          <w:rFonts w:hint="eastAsia" w:ascii="Arial" w:hAnsi="Arial" w:eastAsia="黑体" w:cs="Arial"/>
          <w:color w:val="000000" w:themeColor="text1"/>
          <w:sz w:val="28"/>
          <w:szCs w:val="28"/>
          <w:highlight w:val="none"/>
          <w14:textFill>
            <w14:solidFill>
              <w14:schemeClr w14:val="tx1"/>
            </w14:solidFill>
          </w14:textFill>
        </w:rPr>
        <w:t xml:space="preserve">、评标委员会</w:t>
      </w:r>
      <w:r>
        <w:rPr>
          <w:highlight w:val="none"/>
        </w:rPr>
      </w:r>
    </w:p>
    <w:p>
      <w:pPr>
        <w:spacing w:line="4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开标后，采购中心将立即组织评标委员会（以下简称评委会）进行评标。</w:t>
      </w:r>
      <w:r>
        <w:rPr>
          <w:highlight w:val="none"/>
        </w:rP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.2 评委会由采购人代表和有关技术、经济等方面的专家组成，且人员构成符合政府采购有关规定。</w:t>
      </w:r>
      <w:r>
        <w:rPr>
          <w:highlight w:val="none"/>
        </w:rP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.3评委会独立工作，负责评审所有投标文件并确定中标侯选人。</w:t>
      </w:r>
      <w:r>
        <w:rPr>
          <w:highlight w:val="none"/>
        </w:rPr>
      </w:r>
    </w:p>
    <w:p>
      <w:pPr>
        <w:ind w:firstLine="420"/>
        <w:keepLines/>
        <w:keepNext/>
        <w:spacing w:line="400" w:lineRule="exact"/>
        <w:rPr>
          <w:rFonts w:hint="eastAsia" w:ascii="黑体" w:hAnsi="Arial" w:eastAsia="黑体" w:cs="Arial"/>
          <w:color w:val="000000" w:themeColor="text1"/>
          <w:sz w:val="28"/>
          <w:szCs w:val="28"/>
          <w:highlight w:val="none"/>
          <w14:textFill>
            <w14:solidFill>
              <w14:schemeClr w14:val="tx1"/>
            </w14:solidFill>
          </w14:textFill>
        </w:rPr>
        <w:outlineLvl w:val="3"/>
      </w:pPr>
      <w:r>
        <w:rPr>
          <w:rFonts w:hint="eastAsia" w:ascii="黑体" w:hAnsi="Arial" w:eastAsia="黑体" w:cs="Arial"/>
          <w:color w:val="000000" w:themeColor="text1"/>
          <w:sz w:val="28"/>
          <w:szCs w:val="28"/>
          <w:highlight w:val="none"/>
          <w14:textFill>
            <w14:solidFill>
              <w14:schemeClr w14:val="tx1"/>
            </w14:solidFill>
          </w14:textFill>
        </w:rPr>
        <w:t xml:space="preserve">2</w:t>
      </w:r>
      <w:r>
        <w:rPr>
          <w:rFonts w:ascii="黑体" w:hAnsi="Arial" w:eastAsia="黑体" w:cs="Arial"/>
          <w:color w:val="000000" w:themeColor="text1"/>
          <w:sz w:val="28"/>
          <w:szCs w:val="28"/>
          <w:highlight w:val="none"/>
          <w14:textFill>
            <w14:solidFill>
              <w14:schemeClr w14:val="tx1"/>
            </w14:solidFill>
          </w14:textFill>
        </w:rPr>
        <w:t xml:space="preserve">3</w:t>
      </w:r>
      <w:r>
        <w:rPr>
          <w:rFonts w:hint="eastAsia" w:ascii="黑体" w:hAnsi="Arial" w:eastAsia="黑体" w:cs="Arial"/>
          <w:color w:val="000000" w:themeColor="text1"/>
          <w:sz w:val="28"/>
          <w:szCs w:val="28"/>
          <w:highlight w:val="none"/>
          <w14:textFill>
            <w14:solidFill>
              <w14:schemeClr w14:val="tx1"/>
            </w14:solidFill>
          </w14:textFill>
        </w:rPr>
        <w:t xml:space="preserve">、评标过程的保密与公正</w:t>
      </w:r>
      <w:bookmarkEnd w:id="140"/>
      <w:r/>
      <w:bookmarkEnd w:id="141"/>
      <w:r/>
      <w:bookmarkEnd w:id="142"/>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凡是与审查、澄清、评价和比较投标的有关资料以及授标建议等，采购人、评委、采购中心均不得向投标人或与评标无关的其他人员透露。</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23</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采购中心和评标委员会不向未中标的投标人解释未中标原因，也不公布评标过程中的相关细节。</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highlight w:val="none"/>
        </w:rPr>
      </w:r>
      <w:bookmarkStart w:id="143" w:name="_Toc20823304"/>
      <w:r>
        <w:rPr>
          <w:highlight w:val="none"/>
        </w:rPr>
      </w:r>
      <w:bookmarkStart w:id="144" w:name="_Toc16938548"/>
      <w:r>
        <w:rPr>
          <w:highlight w:val="none"/>
        </w:rPr>
      </w:r>
      <w:bookmarkStart w:id="145" w:name="_Toc513029232"/>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4</w:t>
      </w:r>
      <w:r>
        <w:rPr>
          <w:rFonts w:hint="eastAsia" w:ascii="Arial" w:hAnsi="Arial" w:eastAsia="黑体" w:cs="Arial"/>
          <w:color w:val="000000" w:themeColor="text1"/>
          <w:sz w:val="28"/>
          <w:szCs w:val="28"/>
          <w:highlight w:val="none"/>
          <w14:textFill>
            <w14:solidFill>
              <w14:schemeClr w14:val="tx1"/>
            </w14:solidFill>
          </w14:textFill>
        </w:rPr>
        <w:t xml:space="preserve">、投标文件的澄清</w:t>
      </w:r>
      <w:bookmarkEnd w:id="143"/>
      <w:r>
        <w:rPr>
          <w:highlight w:val="none"/>
        </w:rPr>
      </w:r>
      <w:bookmarkEnd w:id="144"/>
      <w:r>
        <w:rPr>
          <w:highlight w:val="none"/>
        </w:rPr>
      </w:r>
      <w:bookmarkEnd w:id="145"/>
      <w:r>
        <w:rPr>
          <w:highlight w:val="none"/>
        </w:rPr>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highlight w:val="none"/>
        </w:rPr>
      </w:r>
      <w:bookmarkStart w:id="146" w:name="_Toc20823305"/>
      <w:r>
        <w:rPr>
          <w:highlight w:val="none"/>
        </w:rPr>
      </w:r>
      <w:bookmarkStart w:id="147" w:name="_Toc16938549"/>
      <w:r>
        <w:rPr>
          <w:highlight w:val="none"/>
        </w:rPr>
      </w:r>
      <w:bookmarkStart w:id="148" w:name="_Toc513029233"/>
      <w:r>
        <w:rPr>
          <w:rFonts w:ascii="宋体" w:hAnsi="宋体"/>
          <w:color w:val="000000" w:themeColor="text1"/>
          <w:sz w:val="24"/>
          <w:szCs w:val="24"/>
          <w:highlight w:val="none"/>
          <w14:textFill>
            <w14:solidFill>
              <w14:schemeClr w14:val="tx1"/>
            </w14:solidFill>
          </w14:textFill>
        </w:rPr>
        <w:t xml:space="preserve">24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，有权要求投标人作出必要的澄清、说明或者补正。</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w:t>
      </w:r>
      <w:r>
        <w:rPr>
          <w:rFonts w:ascii="宋体" w:hAnsi="宋体"/>
          <w:color w:val="000000" w:themeColor="text1"/>
          <w:sz w:val="24"/>
          <w:szCs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szCs w:val="24"/>
          <w:highlight w:val="none"/>
          <w14:textFill>
            <w14:solidFill>
              <w14:schemeClr w14:val="tx1"/>
            </w14:solidFill>
          </w14:textFill>
        </w:rPr>
        <w:t xml:space="preserve">。</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.3 接到评委会澄清、说明和补正要求的投标人如未按规定做出澄清、说明和补正，其风险由投标人自行承担。</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、对投标文件的初审</w:t>
      </w:r>
      <w:bookmarkEnd w:id="146"/>
      <w:r>
        <w:rPr>
          <w:highlight w:val="none"/>
        </w:rPr>
      </w:r>
      <w:bookmarkEnd w:id="147"/>
      <w:r>
        <w:rPr>
          <w:highlight w:val="none"/>
        </w:rPr>
      </w:r>
      <w:bookmarkEnd w:id="148"/>
      <w:r>
        <w:rPr>
          <w:highlight w:val="none"/>
        </w:rPr>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投标文件初审分为资格审查和符合性审查。</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采购人在进行资格性审查的同时，将在“信用中国”网站</w:t>
      </w:r>
      <w:r>
        <w:rPr>
          <w:rFonts w:ascii="Times New Roman" w:hAnsi="Times New Roman"/>
          <w:bCs/>
          <w:color w:val="000000" w:themeColor="text1"/>
          <w:szCs w:val="21"/>
          <w:highlight w:val="none"/>
          <w14:textFill>
            <w14:solidFill>
              <w14:schemeClr w14:val="tx1"/>
            </w14:solidFill>
          </w14:textFill>
        </w:rPr>
        <w:t xml:space="preserve">（www.creditchina.gov.cn）</w:t>
      </w:r>
      <w:r>
        <w:rPr>
          <w:rFonts w:hint="eastAsia" w:ascii="宋体" w:hAnsi="宋体"/>
          <w:bCs/>
          <w:color w:val="000000" w:themeColor="text1"/>
          <w:sz w:val="24"/>
          <w:szCs w:val="21"/>
          <w:highlight w:val="none"/>
          <w14:textFill>
            <w14:solidFill>
              <w14:schemeClr w14:val="tx1"/>
            </w14:solidFill>
          </w14:textFill>
        </w:rPr>
        <w:t xml:space="preserve">查询投标人的信用记录，以确定投标人是否具备投标资格,查询结果留存并归档。</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.1.3 未通过资格审查或符合性审查的投标人，采购中心将在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中告知未通过资格审查或符合性审查的原因，评审结束后，采购中心将不再告知未通过资格审查或符合性审查的原因。</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highlight w:val="none"/>
          <w14:textFill>
            <w14:solidFill>
              <w14:schemeClr w14:val="tx1"/>
            </w14:solidFill>
          </w14:textFill>
        </w:rPr>
        <w:t xml:space="preserve">评委决定投标文件的响应性只根据投标文件本身的内容，而不寻求外部的证据。</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评委会将对确定为实质性响应的投标进行进一步审核，看其是否有计算上或累加上的算术错误，修正错误的原则如下：</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（2）大写金额和小写金额不一致的，以大写金额为准。</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同时出现两种以上错误的，按照前款规定的顺序修正。</w:t>
      </w:r>
      <w:r>
        <w:rPr>
          <w:highlight w:val="none"/>
        </w:rPr>
      </w:r>
    </w:p>
    <w:p>
      <w:pPr>
        <w:ind w:firstLine="480"/>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1"/>
          <w:highlight w:val="none"/>
          <w14:textFill>
            <w14:solidFill>
              <w14:schemeClr w14:val="tx1"/>
            </w14:solidFill>
          </w14:textFill>
        </w:rPr>
        <w:t xml:space="preserve">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告知</w:t>
      </w:r>
      <w:r>
        <w:rPr>
          <w:rFonts w:ascii="宋体" w:hAnsi="宋体"/>
          <w:bCs/>
          <w:color w:val="000000" w:themeColor="text1"/>
          <w:sz w:val="24"/>
          <w:szCs w:val="21"/>
          <w:highlight w:val="none"/>
          <w14:textFill>
            <w14:solidFill>
              <w14:schemeClr w14:val="tx1"/>
            </w14:solidFill>
          </w14:textFill>
        </w:rPr>
        <w:t xml:space="preserve">投标人，</w:t>
      </w:r>
      <w:r>
        <w:rPr>
          <w:rFonts w:hint="eastAsia" w:ascii="宋体" w:hAnsi="宋体"/>
          <w:bCs/>
          <w:color w:val="000000" w:themeColor="text1"/>
          <w:sz w:val="24"/>
          <w:szCs w:val="21"/>
          <w:highlight w:val="none"/>
          <w14:textFill>
            <w14:solidFill>
              <w14:schemeClr w14:val="tx1"/>
            </w14:solidFill>
          </w14:textFill>
        </w:rPr>
        <w:t xml:space="preserve">调整后的价格应对投标人具有约束力。如果投标人不接受修正后的价格，则其投标将被拒绝。</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highlight w:val="none"/>
        </w:rPr>
      </w:r>
      <w:bookmarkStart w:id="149" w:name="_Toc20823306"/>
      <w:r>
        <w:rPr>
          <w:highlight w:val="none"/>
        </w:rPr>
      </w:r>
      <w:bookmarkStart w:id="150" w:name="_Toc513029234"/>
      <w:r>
        <w:rPr>
          <w:highlight w:val="none"/>
        </w:rPr>
      </w:r>
      <w:bookmarkStart w:id="151" w:name="_Toc16938550"/>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 w:val="24"/>
          <w:szCs w:val="21"/>
          <w:highlight w:val="none"/>
          <w14:textFill>
            <w14:solidFill>
              <w14:schemeClr w14:val="tx1"/>
            </w14:solidFill>
          </w14:textFill>
        </w:rPr>
        <w:t xml:space="preserve">随机抽取</w:t>
      </w:r>
      <w:r>
        <w:rPr>
          <w:rFonts w:hint="eastAsia" w:ascii="宋体" w:hAnsi="宋体"/>
          <w:color w:val="000000" w:themeColor="text1"/>
          <w:sz w:val="24"/>
          <w:szCs w:val="21"/>
          <w:highlight w:val="none"/>
          <w14:textFill>
            <w14:solidFill>
              <w14:schemeClr w14:val="tx1"/>
            </w14:solidFill>
          </w14:textFill>
        </w:rPr>
        <w:t xml:space="preserve">的</w:t>
      </w:r>
      <w:r>
        <w:rPr>
          <w:rFonts w:ascii="宋体" w:hAnsi="宋体"/>
          <w:color w:val="000000" w:themeColor="text1"/>
          <w:sz w:val="24"/>
          <w:szCs w:val="21"/>
          <w:highlight w:val="none"/>
          <w14:textFill>
            <w14:solidFill>
              <w14:schemeClr w14:val="tx1"/>
            </w14:solidFill>
          </w14:textFill>
        </w:rPr>
        <w:t xml:space="preserve">方式</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rPr>
          <w:highlight w:val="none"/>
        </w:rP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r>
        <w:rPr>
          <w:highlight w:val="none"/>
        </w:rP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.7投标人在开、评标全过程中应保持通讯畅通，及时登录</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1"/>
          <w:highlight w:val="none"/>
          <w14:textFill>
            <w14:solidFill>
              <w14:schemeClr w14:val="tx1"/>
            </w14:solidFill>
          </w14:textFill>
        </w:rPr>
        <w:t xml:space="preserve">查阅</w:t>
      </w:r>
      <w:r>
        <w:rPr>
          <w:rFonts w:ascii="宋体" w:hAnsi="宋体"/>
          <w:color w:val="000000" w:themeColor="text1"/>
          <w:sz w:val="24"/>
          <w:szCs w:val="21"/>
          <w:highlight w:val="none"/>
          <w14:textFill>
            <w14:solidFill>
              <w14:schemeClr w14:val="tx1"/>
            </w14:solidFill>
          </w14:textFill>
        </w:rPr>
        <w:t xml:space="preserve">、答复相关</w:t>
      </w:r>
      <w:r>
        <w:rPr>
          <w:rFonts w:hint="eastAsia" w:ascii="宋体" w:hAnsi="宋体"/>
          <w:color w:val="000000" w:themeColor="text1"/>
          <w:sz w:val="24"/>
          <w:szCs w:val="21"/>
          <w:highlight w:val="none"/>
          <w14:textFill>
            <w14:solidFill>
              <w14:schemeClr w14:val="tx1"/>
            </w14:solidFill>
          </w14:textFill>
        </w:rPr>
        <w:t xml:space="preserve">信息</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并安排专人与采购中心及评标委员会联系。</w:t>
      </w:r>
      <w:r>
        <w:rPr>
          <w:highlight w:val="none"/>
        </w:rPr>
      </w:r>
    </w:p>
    <w:p>
      <w:pPr>
        <w:ind w:firstLine="420"/>
        <w:keepLines/>
        <w:keepNext/>
        <w:spacing w:line="40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w:t>
      </w:r>
      <w:bookmarkEnd w:id="149"/>
      <w:r>
        <w:rPr>
          <w:highlight w:val="none"/>
        </w:rPr>
      </w:r>
      <w:bookmarkEnd w:id="150"/>
      <w:r>
        <w:rPr>
          <w:highlight w:val="none"/>
        </w:rPr>
      </w:r>
      <w:bookmarkEnd w:id="151"/>
      <w:r>
        <w:rPr>
          <w:rFonts w:hint="eastAsia" w:ascii="Arial" w:hAnsi="Arial" w:eastAsia="黑体" w:cs="Arial"/>
          <w:color w:val="000000" w:themeColor="text1"/>
          <w:sz w:val="28"/>
          <w:szCs w:val="28"/>
          <w:highlight w:val="none"/>
          <w14:textFill>
            <w14:solidFill>
              <w14:schemeClr w14:val="tx1"/>
            </w14:solidFill>
          </w14:textFill>
        </w:rPr>
        <w:t xml:space="preserve">无效投标条款和废标条款</w:t>
      </w:r>
      <w:r>
        <w:rPr>
          <w:highlight w:val="none"/>
        </w:rPr>
      </w:r>
    </w:p>
    <w:p>
      <w:pPr>
        <w:ind w:left="478"/>
        <w:spacing w:line="400" w:lineRule="exact"/>
        <w:rPr>
          <w:rFonts w:hint="eastAsia" w:ascii="宋体" w:hAnsi="宋体"/>
          <w:bCs/>
          <w:color w:val="000000" w:themeColor="text1"/>
          <w:sz w:val="24"/>
          <w:szCs w:val="21"/>
          <w:highlight w:val="none"/>
          <w14:textFill>
            <w14:solidFill>
              <w14:schemeClr w14:val="tx1"/>
            </w14:solidFill>
          </w14:textFill>
        </w:rPr>
      </w:pPr>
      <w:r>
        <w:rPr>
          <w:highlight w:val="none"/>
        </w:rPr>
      </w:r>
      <w:bookmarkStart w:id="152" w:name="_Toc16938551"/>
      <w:r>
        <w:rPr>
          <w:highlight w:val="none"/>
        </w:rPr>
      </w:r>
      <w:bookmarkStart w:id="153" w:name="_Toc20823307"/>
      <w:r>
        <w:rPr>
          <w:highlight w:val="none"/>
        </w:rPr>
      </w:r>
      <w:bookmarkStart w:id="154" w:name="_Toc513029235"/>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.1无效投标条款</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投标人在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规定的时间内未成功解密电子投标文件的。</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投标人未按照招标文件要求上传电子投标文件的。</w:t>
      </w:r>
      <w:r>
        <w:rPr>
          <w:highlight w:val="none"/>
        </w:rPr>
      </w:r>
    </w:p>
    <w:p>
      <w:pPr>
        <w:ind w:left="478"/>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投标人同一</w:t>
      </w:r>
      <w:r>
        <w:rPr>
          <w:rFonts w:ascii="宋体" w:hAnsi="宋体"/>
          <w:bCs/>
          <w:color w:val="000000" w:themeColor="text1"/>
          <w:sz w:val="24"/>
          <w:szCs w:val="21"/>
          <w:highlight w:val="none"/>
          <w14:textFill>
            <w14:solidFill>
              <w14:schemeClr w14:val="tx1"/>
            </w14:solidFill>
          </w14:textFill>
        </w:rPr>
        <w:t xml:space="preserve">采购包</w:t>
      </w:r>
      <w:r>
        <w:rPr>
          <w:rFonts w:hint="eastAsia" w:ascii="宋体" w:hAnsi="宋体"/>
          <w:bCs/>
          <w:color w:val="000000" w:themeColor="text1"/>
          <w:sz w:val="24"/>
          <w:szCs w:val="21"/>
          <w:highlight w:val="none"/>
          <w14:textFill>
            <w14:solidFill>
              <w14:schemeClr w14:val="tx1"/>
            </w14:solidFill>
          </w14:textFill>
        </w:rPr>
        <w:t xml:space="preserve">提交两个</w:t>
      </w:r>
      <w:r>
        <w:rPr>
          <w:rFonts w:ascii="宋体" w:hAnsi="宋体"/>
          <w:bCs/>
          <w:color w:val="000000" w:themeColor="text1"/>
          <w:sz w:val="24"/>
          <w:szCs w:val="21"/>
          <w:highlight w:val="none"/>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含</w:t>
      </w:r>
      <w:r>
        <w:rPr>
          <w:rFonts w:ascii="宋体" w:hAnsi="宋体"/>
          <w:bCs/>
          <w:color w:val="000000" w:themeColor="text1"/>
          <w:sz w:val="24"/>
          <w:szCs w:val="21"/>
          <w:highlight w:val="none"/>
          <w14:textFill>
            <w14:solidFill>
              <w14:schemeClr w14:val="tx1"/>
            </w14:solidFill>
          </w14:textFill>
        </w:rPr>
        <w:t xml:space="preserve">两个）</w:t>
      </w:r>
      <w:r>
        <w:rPr>
          <w:rFonts w:hint="eastAsia" w:ascii="宋体" w:hAnsi="宋体"/>
          <w:bCs/>
          <w:color w:val="000000" w:themeColor="text1"/>
          <w:sz w:val="24"/>
          <w:szCs w:val="21"/>
          <w:highlight w:val="none"/>
          <w14:textFill>
            <w14:solidFill>
              <w14:schemeClr w14:val="tx1"/>
            </w14:solidFill>
          </w14:textFill>
        </w:rPr>
        <w:t xml:space="preserve">以上不同的</w:t>
      </w:r>
      <w:r>
        <w:rPr>
          <w:rFonts w:ascii="宋体" w:hAnsi="宋体"/>
          <w:bCs/>
          <w:color w:val="000000" w:themeColor="text1"/>
          <w:sz w:val="24"/>
          <w:szCs w:val="21"/>
          <w:highlight w:val="none"/>
          <w14:textFill>
            <w14:solidFill>
              <w14:schemeClr w14:val="tx1"/>
            </w14:solidFill>
          </w14:textFill>
        </w:rPr>
        <w:t xml:space="preserve">投标报价的。</w:t>
      </w:r>
      <w:r>
        <w:rPr>
          <w:highlight w:val="none"/>
        </w:rPr>
      </w:r>
    </w:p>
    <w:p>
      <w:pPr>
        <w:ind w:left="478"/>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投标人不具备招标文件中规定资格要求的。</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投标人的报价超过了采购预算或最高限价的。</w:t>
      </w:r>
      <w:r>
        <w:rPr>
          <w:highlight w:val="none"/>
        </w:rPr>
      </w:r>
    </w:p>
    <w:p>
      <w:pPr>
        <w:ind w:firstLine="480"/>
        <w:spacing w:line="400" w:lineRule="exact"/>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未通过符合性审查的。</w:t>
      </w:r>
      <w:r>
        <w:rPr>
          <w:highlight w:val="none"/>
        </w:rPr>
      </w:r>
    </w:p>
    <w:p>
      <w:pPr>
        <w:ind w:firstLine="360"/>
        <w:spacing w:line="400" w:lineRule="exact"/>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不符合招标文件中规定的实质性要求的</w:t>
      </w:r>
      <w:r>
        <w:rPr>
          <w:rFonts w:hint="eastAsia" w:ascii="宋体" w:hAnsi="宋体"/>
          <w:b/>
          <w:bCs/>
          <w:color w:val="000000" w:themeColor="text1"/>
          <w:sz w:val="24"/>
          <w:szCs w:val="21"/>
          <w:highlight w:val="none"/>
          <w14:textFill>
            <w14:solidFill>
              <w14:schemeClr w14:val="tx1"/>
            </w14:solidFill>
          </w14:textFill>
        </w:rPr>
        <w:t xml:space="preserve">（本招标文件中</w:t>
      </w:r>
      <w:r>
        <w:rPr>
          <w:rFonts w:hint="eastAsia" w:ascii="宋体" w:hAnsi="宋体"/>
          <w:b/>
          <w:bCs/>
          <w:i/>
          <w:color w:val="000000" w:themeColor="text1"/>
          <w:sz w:val="24"/>
          <w:szCs w:val="21"/>
          <w:highlight w:val="none"/>
          <w:u w:val="single"/>
          <w14:textFill>
            <w14:solidFill>
              <w14:schemeClr w14:val="tx1"/>
            </w14:solidFill>
          </w14:textFill>
        </w:rPr>
        <w:t xml:space="preserve">斜体且有下划线部分</w:t>
      </w:r>
      <w:r>
        <w:rPr>
          <w:rFonts w:hint="eastAsia" w:ascii="宋体" w:hAnsi="宋体"/>
          <w:b/>
          <w:bCs/>
          <w:color w:val="000000" w:themeColor="text1"/>
          <w:sz w:val="24"/>
          <w:szCs w:val="21"/>
          <w:highlight w:val="none"/>
          <w14:textFill>
            <w14:solidFill>
              <w14:schemeClr w14:val="tx1"/>
            </w14:solidFill>
          </w14:textFill>
        </w:rPr>
        <w:t xml:space="preserve">或加*号条款为实质性要求）</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  投标文件含有采购人不能接受的附加条件的。</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10</w:t>
      </w:r>
      <w:r>
        <w:rPr>
          <w:rFonts w:hint="eastAsia" w:ascii="宋体" w:hAnsi="宋体"/>
          <w:bCs/>
          <w:color w:val="000000" w:themeColor="text1"/>
          <w:sz w:val="24"/>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投标文件未按照招标文件要求加盖CA电子公章的。</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其他法律、法规及本招标文件规定的属无效投标的情形。</w:t>
      </w:r>
      <w:r>
        <w:rPr>
          <w:highlight w:val="none"/>
        </w:rPr>
      </w:r>
    </w:p>
    <w:p>
      <w:pPr>
        <w:ind w:left="478"/>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.2废标条款</w:t>
      </w:r>
      <w:r>
        <w:rPr>
          <w:highlight w:val="none"/>
        </w:rPr>
      </w:r>
    </w:p>
    <w:p>
      <w:pPr>
        <w:ind w:left="478"/>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.2.1符合专业条件的供应商或者对招标文件作实质响应的供应商不足三</w:t>
      </w:r>
      <w:r>
        <w:rPr>
          <w:highlight w:val="none"/>
        </w:rPr>
      </w:r>
    </w:p>
    <w:p>
      <w:pPr>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家的。</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.2.2出现影响采购公正的违法、违规行为的。</w:t>
      </w:r>
      <w:r>
        <w:rPr>
          <w:highlight w:val="none"/>
        </w:rPr>
      </w:r>
    </w:p>
    <w:p>
      <w:pPr>
        <w:ind w:left="478"/>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.2.3因重大变故，采购任务取消的。</w:t>
      </w:r>
      <w:r>
        <w:rPr>
          <w:highlight w:val="none"/>
        </w:rPr>
      </w:r>
    </w:p>
    <w:p>
      <w:pPr>
        <w:ind w:left="478"/>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.2.4评标委员会认定招标文件存在歧义、重大缺陷导致评审工作无法进</w:t>
      </w:r>
      <w:r>
        <w:rPr>
          <w:highlight w:val="none"/>
        </w:rPr>
      </w:r>
    </w:p>
    <w:p>
      <w:pPr>
        <w:spacing w:line="40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行。</w:t>
      </w:r>
      <w:r>
        <w:rPr>
          <w:highlight w:val="none"/>
        </w:rPr>
      </w:r>
    </w:p>
    <w:p>
      <w:pPr>
        <w:ind w:left="478"/>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.2.5 因</w:t>
      </w:r>
      <w:r>
        <w:rPr>
          <w:rFonts w:hint="eastAsia" w:ascii="宋体" w:hAnsi="宋体"/>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1"/>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1"/>
          <w:highlight w:val="none"/>
          <w14:textFill>
            <w14:solidFill>
              <w14:schemeClr w14:val="tx1"/>
            </w14:solidFill>
          </w14:textFill>
        </w:rPr>
        <w:t xml:space="preserve">的</w:t>
      </w:r>
      <w:r>
        <w:rPr>
          <w:rFonts w:ascii="宋体" w:hAnsi="宋体"/>
          <w:bCs/>
          <w:color w:val="000000" w:themeColor="text1"/>
          <w:sz w:val="24"/>
          <w:szCs w:val="21"/>
          <w:highlight w:val="none"/>
          <w14:textFill>
            <w14:solidFill>
              <w14:schemeClr w14:val="tx1"/>
            </w14:solidFill>
          </w14:textFill>
        </w:rPr>
        <w:t xml:space="preserve">。</w:t>
      </w:r>
      <w:r>
        <w:rPr>
          <w:highlight w:val="none"/>
        </w:rPr>
      </w:r>
    </w:p>
    <w:p>
      <w:pPr>
        <w:ind w:left="478"/>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.3 投标截止时间结束后参加投标的供应商不足三家的处理：</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rPr>
          <w:highlight w:val="none"/>
        </w:rPr>
      </w:r>
    </w:p>
    <w:p>
      <w:pPr>
        <w:ind w:firstLine="480"/>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rPr>
          <w:highlight w:val="none"/>
        </w:rPr>
      </w:r>
      <w:bookmarkStart w:id="155" w:name="_Toc120614219"/>
      <w:r>
        <w:rPr>
          <w:rFonts w:hint="eastAsia" w:ascii="Times New Roman" w:hAnsi="Times New Roman"/>
          <w:b/>
          <w:bCs/>
          <w:color w:val="000000" w:themeColor="text1"/>
          <w:sz w:val="32"/>
          <w:szCs w:val="32"/>
          <w:highlight w:val="none"/>
          <w14:textFill>
            <w14:solidFill>
              <w14:schemeClr w14:val="tx1"/>
            </w14:solidFill>
          </w14:textFill>
        </w:rPr>
        <w:t xml:space="preserve">六、</w:t>
      </w:r>
      <w:bookmarkEnd w:id="152"/>
      <w:r>
        <w:rPr>
          <w:highlight w:val="none"/>
        </w:rPr>
      </w:r>
      <w:bookmarkEnd w:id="153"/>
      <w:r>
        <w:rPr>
          <w:highlight w:val="none"/>
        </w:rPr>
      </w:r>
      <w:bookmarkEnd w:id="154"/>
      <w:r>
        <w:rPr>
          <w:rFonts w:hint="eastAsia" w:ascii="Times New Roman" w:hAnsi="Times New Roman"/>
          <w:b/>
          <w:bCs/>
          <w:color w:val="000000" w:themeColor="text1"/>
          <w:sz w:val="32"/>
          <w:szCs w:val="32"/>
          <w:highlight w:val="none"/>
          <w14:textFill>
            <w14:solidFill>
              <w14:schemeClr w14:val="tx1"/>
            </w14:solidFill>
          </w14:textFill>
        </w:rPr>
        <w:t xml:space="preserve">定标</w:t>
      </w:r>
      <w:bookmarkEnd w:id="155"/>
      <w:r>
        <w:rPr>
          <w:highlight w:val="none"/>
        </w:rPr>
      </w:r>
      <w:r>
        <w:rPr>
          <w:highlight w:val="none"/>
        </w:rP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highlight w:val="none"/>
        </w:rPr>
      </w:r>
      <w:bookmarkStart w:id="156" w:name="_Toc513029238"/>
      <w:r>
        <w:rPr>
          <w:highlight w:val="none"/>
        </w:rPr>
      </w:r>
      <w:bookmarkStart w:id="157" w:name="_Toc16938554"/>
      <w:r>
        <w:rPr>
          <w:highlight w:val="none"/>
        </w:rPr>
      </w:r>
      <w:bookmarkStart w:id="158" w:name="_Toc20823310"/>
      <w:r>
        <w:rPr>
          <w:rFonts w:hint="eastAsia" w:ascii="黑体" w:hAnsi="宋体" w:eastAsia="黑体"/>
          <w:bCs/>
          <w:color w:val="000000" w:themeColor="text1"/>
          <w:sz w:val="30"/>
          <w:szCs w:val="30"/>
          <w:highlight w:val="none"/>
          <w14:textFill>
            <w14:solidFill>
              <w14:schemeClr w14:val="tx1"/>
            </w14:solidFill>
          </w14:textFill>
        </w:rPr>
        <w:t xml:space="preserve">2</w:t>
      </w:r>
      <w:r>
        <w:rPr>
          <w:rFonts w:ascii="黑体" w:hAnsi="宋体" w:eastAsia="黑体"/>
          <w:bCs/>
          <w:color w:val="000000" w:themeColor="text1"/>
          <w:sz w:val="30"/>
          <w:szCs w:val="30"/>
          <w:highlight w:val="none"/>
          <w14:textFill>
            <w14:solidFill>
              <w14:schemeClr w14:val="tx1"/>
            </w14:solidFill>
          </w14:textFill>
        </w:rPr>
        <w:t xml:space="preserve">7</w:t>
      </w:r>
      <w:r>
        <w:rPr>
          <w:rFonts w:hint="eastAsia" w:ascii="黑体" w:hAnsi="宋体" w:eastAsia="黑体"/>
          <w:bCs/>
          <w:color w:val="000000" w:themeColor="text1"/>
          <w:sz w:val="30"/>
          <w:szCs w:val="30"/>
          <w:highlight w:val="none"/>
          <w14:textFill>
            <w14:solidFill>
              <w14:schemeClr w14:val="tx1"/>
            </w14:solidFill>
          </w14:textFill>
        </w:rPr>
        <w:t xml:space="preserve">、</w:t>
      </w:r>
      <w:bookmarkEnd w:id="156"/>
      <w:r>
        <w:rPr>
          <w:rFonts w:hint="eastAsia" w:ascii="黑体" w:hAnsi="宋体" w:eastAsia="黑体"/>
          <w:bCs/>
          <w:color w:val="000000" w:themeColor="text1"/>
          <w:sz w:val="30"/>
          <w:szCs w:val="30"/>
          <w:highlight w:val="none"/>
          <w14:textFill>
            <w14:solidFill>
              <w14:schemeClr w14:val="tx1"/>
            </w14:solidFill>
          </w14:textFill>
        </w:rPr>
        <w:t xml:space="preserve">确定</w:t>
      </w:r>
      <w:bookmarkEnd w:id="157"/>
      <w:r>
        <w:rPr>
          <w:highlight w:val="none"/>
        </w:rPr>
      </w:r>
      <w:bookmarkEnd w:id="158"/>
      <w:r>
        <w:rPr>
          <w:rFonts w:hint="eastAsia" w:ascii="黑体" w:hAnsi="宋体" w:eastAsia="黑体"/>
          <w:bCs/>
          <w:color w:val="000000" w:themeColor="text1"/>
          <w:sz w:val="30"/>
          <w:szCs w:val="30"/>
          <w:highlight w:val="none"/>
          <w14:textFill>
            <w14:solidFill>
              <w14:schemeClr w14:val="tx1"/>
            </w14:solidFill>
          </w14:textFill>
        </w:rPr>
        <w:t xml:space="preserve">中标单位</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27.1中标候选人的选取原则和数量见招标文件第五章规定。 </w:t>
      </w:r>
      <w:r>
        <w:rPr>
          <w:highlight w:val="none"/>
        </w:rPr>
      </w:r>
    </w:p>
    <w:p>
      <w:pPr>
        <w:ind w:firstLine="480"/>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27.2 采购人应根据评委会推荐的中标候选人确定中标供应商。</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 </w:t>
      </w:r>
      <w:r>
        <w:rPr>
          <w:rFonts w:hint="eastAsia" w:ascii="宋体" w:hAnsi="宋体"/>
          <w:color w:val="000000" w:themeColor="text1"/>
          <w:sz w:val="24"/>
          <w:szCs w:val="24"/>
          <w:highlight w:val="none"/>
          <w14:textFill>
            <w14:solidFill>
              <w14:schemeClr w14:val="tx1"/>
            </w14:solidFill>
          </w14:textFill>
        </w:rPr>
        <w:t xml:space="preserve">采购中心将在“江苏政府采购网”发布中标公告，公告期限为1个工作日。</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 若有充分证据证明，中标供应商出现下列情况之一的，一经查实，将被取消中标资格：</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27.4.2向采购人、采购中心行贿或者提供其他不正当利益的。</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27.4.3属于本文件规定的无效条件，但在评标过程中又未被评委会发现的。</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highlight w:val="none"/>
        </w:rPr>
      </w:r>
      <w:bookmarkStart w:id="159" w:name="_Toc200451960"/>
      <w:r>
        <w:rPr>
          <w:rFonts w:hint="eastAsia" w:ascii="宋体" w:hAnsi="宋体"/>
          <w:color w:val="000000" w:themeColor="text1"/>
          <w:sz w:val="24"/>
          <w:szCs w:val="24"/>
          <w:highlight w:val="none"/>
          <w14:textFill>
            <w14:solidFill>
              <w14:schemeClr w14:val="tx1"/>
            </w14:solidFill>
          </w14:textFill>
        </w:rPr>
        <w:t xml:space="preserve">27.5 </w:t>
      </w:r>
      <w:r>
        <w:rPr>
          <w:rFonts w:ascii="Times New Roman" w:hAnsi="宋体" w:cs="宋体"/>
          <w:color w:val="000000" w:themeColor="text1"/>
          <w:sz w:val="24"/>
          <w:szCs w:val="24"/>
          <w:highlight w:val="none"/>
          <w14:textFill>
            <w14:solidFill>
              <w14:schemeClr w14:val="tx1"/>
            </w14:solidFill>
          </w14:textFill>
        </w:rPr>
        <w:t xml:space="preserve">有下列情形之一的，</w:t>
      </w:r>
      <w:r>
        <w:rPr>
          <w:rFonts w:hint="eastAsia" w:ascii="Times New Roman" w:hAnsi="宋体" w:cs="宋体"/>
          <w:color w:val="000000" w:themeColor="text1"/>
          <w:sz w:val="24"/>
          <w:szCs w:val="24"/>
          <w:highlight w:val="none"/>
          <w14:textFill>
            <w14:solidFill>
              <w14:schemeClr w14:val="tx1"/>
            </w14:solidFill>
          </w14:textFill>
        </w:rPr>
        <w:t xml:space="preserve">视为投标人</w:t>
      </w:r>
      <w:r>
        <w:rPr>
          <w:rFonts w:ascii="Times New Roman" w:hAnsi="宋体" w:cs="宋体"/>
          <w:color w:val="000000" w:themeColor="text1"/>
          <w:sz w:val="24"/>
          <w:szCs w:val="24"/>
          <w:highlight w:val="none"/>
          <w14:textFill>
            <w14:solidFill>
              <w14:schemeClr w14:val="tx1"/>
            </w14:solidFill>
          </w14:textFill>
        </w:rPr>
        <w:t xml:space="preserve">串通</w:t>
      </w:r>
      <w:r>
        <w:rPr>
          <w:rFonts w:hint="eastAsia" w:ascii="Times New Roman" w:hAnsi="宋体" w:cs="宋体"/>
          <w:color w:val="000000" w:themeColor="text1"/>
          <w:sz w:val="24"/>
          <w:szCs w:val="24"/>
          <w:highlight w:val="none"/>
          <w14:textFill>
            <w14:solidFill>
              <w14:schemeClr w14:val="tx1"/>
            </w14:solidFill>
          </w14:textFill>
        </w:rPr>
        <w:t xml:space="preserve">投标，投标无效：</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rPr>
          <w:highlight w:val="none"/>
        </w:rP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28</w:t>
      </w:r>
      <w:r>
        <w:rPr>
          <w:rFonts w:hint="eastAsia" w:ascii="黑体" w:hAnsi="宋体" w:eastAsia="黑体"/>
          <w:bCs/>
          <w:color w:val="000000" w:themeColor="text1"/>
          <w:sz w:val="30"/>
          <w:szCs w:val="30"/>
          <w:highlight w:val="none"/>
          <w14:textFill>
            <w14:solidFill>
              <w14:schemeClr w14:val="tx1"/>
            </w14:solidFill>
          </w14:textFill>
        </w:rPr>
        <w:t xml:space="preserve">、质疑处理</w:t>
      </w:r>
      <w:bookmarkEnd w:id="159"/>
      <w:r>
        <w:rPr>
          <w:highlight w:val="none"/>
        </w:rPr>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highlight w:val="none"/>
        </w:rPr>
      </w:r>
    </w:p>
    <w:p>
      <w:pPr>
        <w:ind w:firstLine="480"/>
        <w:jc w:val="left"/>
        <w:spacing w:line="400" w:lineRule="exact"/>
        <w:rPr>
          <w:rFonts w:hint="eastAsia" w:ascii="Times New Roman"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2.1</w:t>
      </w:r>
      <w:r>
        <w:rPr>
          <w:rFonts w:ascii="Times New Roman" w:hAnsi="宋体"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2.2</w:t>
      </w:r>
      <w:r>
        <w:rPr>
          <w:rFonts w:ascii="Times New Roman" w:hAnsi="宋体" w:cs="宋体"/>
          <w:color w:val="000000" w:themeColor="text1"/>
          <w:sz w:val="24"/>
          <w:szCs w:val="24"/>
          <w:highlight w:val="none"/>
          <w14:textFill>
            <w14:solidFill>
              <w14:schemeClr w14:val="tx1"/>
            </w14:solidFill>
          </w14:textFill>
        </w:rPr>
        <w:t xml:space="preserve">对采购过程提出质疑的，为各采购程序环节结束之日；</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2.3</w:t>
      </w:r>
      <w:r>
        <w:rPr>
          <w:rFonts w:ascii="Times New Roman" w:hAnsi="宋体"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rPr>
          <w:highlight w:val="none"/>
        </w:rPr>
      </w:r>
    </w:p>
    <w:p>
      <w:pPr>
        <w:ind w:firstLine="480"/>
        <w:spacing w:line="400" w:lineRule="exact"/>
        <w:rPr>
          <w:rFonts w:hint="eastAsia" w:ascii="Times New Roman" w:hAnsi="宋体" w:cs="宋体"/>
          <w:color w:val="000000" w:themeColor="text1"/>
          <w:sz w:val="24"/>
          <w:szCs w:val="24"/>
          <w:highlight w:val="none"/>
          <w14:textFill>
            <w14:solidFill>
              <w14:schemeClr w14:val="tx1"/>
            </w14:solidFill>
          </w14:textFill>
        </w:rPr>
      </w:pPr>
      <w:r>
        <w:rPr>
          <w:rFonts w:hint="eastAsia" w:ascii="Times New Roman"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themeColor="text1"/>
          <w:sz w:val="24"/>
          <w:szCs w:val="24"/>
          <w:highlight w:val="none"/>
          <w14:textFill>
            <w14:solidFill>
              <w14:schemeClr w14:val="tx1"/>
            </w14:solidFill>
          </w14:textFill>
        </w:rPr>
        <w:t xml:space="preserve">采购人</w:t>
      </w:r>
      <w:r>
        <w:rPr>
          <w:rFonts w:hint="eastAsia" w:ascii="Times New Roman" w:hAnsi="宋体" w:cs="宋体"/>
          <w:color w:val="000000" w:themeColor="text1"/>
          <w:sz w:val="24"/>
          <w:szCs w:val="24"/>
          <w:highlight w:val="none"/>
          <w14:textFill>
            <w14:solidFill>
              <w14:schemeClr w14:val="tx1"/>
            </w14:solidFill>
          </w14:textFill>
        </w:rPr>
        <w:t xml:space="preserve">将只对供应商第一次质疑作出答复。</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p>
    <w:p>
      <w:pPr>
        <w:ind w:firstLine="480"/>
        <w:spacing w:line="400" w:lineRule="exact"/>
        <w:rPr>
          <w:rFonts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4 供应商（含潜在供应商）对与本项目有关的所有询问、质疑均请向采购人提出，由采购人负责答复</w:t>
      </w:r>
      <w:r>
        <w:rPr>
          <w:rFonts w:ascii="宋体" w:hAnsi="宋体"/>
          <w:color w:val="000000" w:themeColor="text1"/>
          <w:sz w:val="24"/>
          <w:szCs w:val="24"/>
          <w:highlight w:val="none"/>
          <w14:textFill>
            <w14:solidFill>
              <w14:schemeClr w14:val="tx1"/>
            </w14:solidFill>
          </w14:textFill>
        </w:rPr>
        <w:t xml:space="preserve">。</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采购人质疑接收人及联系方式见招标文件第一章。</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 以下情形的质疑不予受理</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5.1 内容不符合《政府采购质疑和投诉办法》第十二条规定的质疑。</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5.2 超出政府采购法定期限的质疑。</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5.3 以传真、电子邮件等方式递交的非原件形式的质疑。</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5.4 未参加投标活动的供应商或在投标活动中自身权益未受到损害的供应商所提出的质疑。</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5.5供应商组成联合体参加投标，联合体中任何一方或多方未按要求签字、盖章、加盖公章的质疑。</w:t>
      </w:r>
      <w:r>
        <w:rPr>
          <w:highlight w:val="none"/>
        </w:rPr>
      </w:r>
    </w:p>
    <w:p>
      <w:pPr>
        <w:ind w:firstLine="468"/>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29</w:t>
      </w:r>
      <w:r>
        <w:rPr>
          <w:rFonts w:hint="eastAsia" w:ascii="黑体" w:hAnsi="宋体" w:eastAsia="黑体"/>
          <w:bCs/>
          <w:color w:val="000000" w:themeColor="text1"/>
          <w:sz w:val="30"/>
          <w:szCs w:val="30"/>
          <w:highlight w:val="none"/>
          <w14:textFill>
            <w14:solidFill>
              <w14:schemeClr w14:val="tx1"/>
            </w14:solidFill>
          </w14:textFill>
        </w:rPr>
        <w:t xml:space="preserve">、中标通知书</w:t>
      </w:r>
      <w:r>
        <w:rPr>
          <w:highlight w:val="none"/>
        </w:rP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highlight w:val="none"/>
        </w:rP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keepLines/>
        <w:keepNext/>
        <w:spacing w:before="156" w:after="156" w:line="40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rPr>
          <w:highlight w:val="none"/>
        </w:rPr>
      </w:r>
      <w:bookmarkStart w:id="160" w:name="_Toc120614220"/>
      <w:r>
        <w:rPr>
          <w:highlight w:val="none"/>
        </w:rPr>
      </w:r>
      <w:bookmarkStart w:id="161" w:name="_Toc16938552"/>
      <w:r>
        <w:rPr>
          <w:highlight w:val="none"/>
        </w:rPr>
      </w:r>
      <w:bookmarkStart w:id="162" w:name="_Toc513029236"/>
      <w:r>
        <w:rPr>
          <w:highlight w:val="none"/>
        </w:rPr>
      </w:r>
      <w:bookmarkStart w:id="163" w:name="_Toc20823308"/>
      <w:r>
        <w:rPr>
          <w:rFonts w:hint="eastAsia" w:ascii="Times New Roman" w:hAnsi="Times New Roman"/>
          <w:b/>
          <w:bCs/>
          <w:color w:val="000000" w:themeColor="text1"/>
          <w:sz w:val="32"/>
          <w:szCs w:val="32"/>
          <w:highlight w:val="none"/>
          <w14:textFill>
            <w14:solidFill>
              <w14:schemeClr w14:val="tx1"/>
            </w14:solidFill>
          </w14:textFill>
        </w:rPr>
        <w:t xml:space="preserve">七、授予合同</w:t>
      </w:r>
      <w:bookmarkEnd w:id="160"/>
      <w:r>
        <w:rPr>
          <w:highlight w:val="none"/>
        </w:rPr>
      </w:r>
      <w:bookmarkEnd w:id="161"/>
      <w:r/>
      <w:bookmarkEnd w:id="162"/>
      <w:r/>
      <w:bookmarkEnd w:id="163"/>
      <w:r/>
      <w:r>
        <w:rPr>
          <w:highlight w:val="none"/>
        </w:rP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highlight w:val="none"/>
        </w:rPr>
      </w:r>
      <w:bookmarkStart w:id="164" w:name="_Toc20823309"/>
      <w:r>
        <w:rPr>
          <w:highlight w:val="none"/>
        </w:rPr>
      </w:r>
      <w:bookmarkStart w:id="165" w:name="_Toc513029237"/>
      <w:r>
        <w:rPr>
          <w:highlight w:val="none"/>
        </w:rPr>
      </w:r>
      <w:bookmarkStart w:id="166" w:name="_Toc16938553"/>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0</w:t>
      </w:r>
      <w:r>
        <w:rPr>
          <w:rFonts w:hint="eastAsia" w:ascii="黑体" w:hAnsi="宋体" w:eastAsia="黑体"/>
          <w:bCs/>
          <w:color w:val="000000" w:themeColor="text1"/>
          <w:sz w:val="30"/>
          <w:szCs w:val="30"/>
          <w:highlight w:val="none"/>
          <w14:textFill>
            <w14:solidFill>
              <w14:schemeClr w14:val="tx1"/>
            </w14:solidFill>
          </w14:textFill>
        </w:rPr>
        <w:t xml:space="preserve">、签订合同</w:t>
      </w:r>
      <w:r>
        <w:rPr>
          <w:highlight w:val="none"/>
        </w:rP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l中标供应商应当在中标通知书发出之日起三十日内，按照招标文件确定的事项与采购人签订政府采购合同。</w:t>
      </w:r>
      <w:r>
        <w:rPr>
          <w:highlight w:val="none"/>
        </w:rP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招标文件、中标供应商的投标文件及招标过程中有关澄清、承诺文件均应作为合同附件。</w:t>
      </w:r>
      <w:r>
        <w:rPr>
          <w:highlight w:val="none"/>
        </w:rPr>
      </w:r>
    </w:p>
    <w:p>
      <w:pPr>
        <w:ind w:firstLine="60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highlight w:val="none"/>
        </w:rPr>
      </w:r>
    </w:p>
    <w:p>
      <w:pPr>
        <w:ind w:firstLine="600"/>
        <w:keepLines/>
        <w:keepNext/>
        <w:spacing w:line="4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1</w:t>
      </w:r>
      <w:r>
        <w:rPr>
          <w:rFonts w:hint="eastAsia" w:ascii="黑体" w:hAnsi="宋体" w:eastAsia="黑体"/>
          <w:bCs/>
          <w:color w:val="000000" w:themeColor="text1"/>
          <w:sz w:val="30"/>
          <w:szCs w:val="30"/>
          <w:highlight w:val="none"/>
          <w14:textFill>
            <w14:solidFill>
              <w14:schemeClr w14:val="tx1"/>
            </w14:solidFill>
          </w14:textFill>
        </w:rPr>
        <w:t xml:space="preserve">、货物（包含与货物相关的服务）的追加</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rPr>
          <w:highlight w:val="none"/>
        </w:rPr>
      </w:r>
    </w:p>
    <w:p>
      <w:pPr>
        <w:ind w:firstLine="600"/>
        <w:keepLines/>
        <w:keepNext/>
        <w:spacing w:line="400" w:lineRule="exact"/>
        <w:rPr>
          <w:rFonts w:ascii="黑体" w:hAnsi="宋体" w:eastAsia="黑体"/>
          <w:bCs/>
          <w:color w:val="000000" w:themeColor="text1"/>
          <w:sz w:val="30"/>
          <w:szCs w:val="30"/>
          <w:highlight w:val="none"/>
          <w14:textFill>
            <w14:solidFill>
              <w14:schemeClr w14:val="tx1"/>
            </w14:solidFill>
          </w14:textFill>
        </w:rPr>
        <w:outlineLvl w:val="3"/>
      </w:pPr>
      <w:r>
        <w:rPr>
          <w:highlight w:val="none"/>
        </w:rPr>
      </w:r>
      <w:bookmarkStart w:id="167" w:name="_Toc120614221"/>
      <w:r>
        <w:rPr>
          <w:highlight w:val="none"/>
        </w:rPr>
      </w:r>
      <w:bookmarkStart w:id="168" w:name="_Toc20823314"/>
      <w:r>
        <w:rPr>
          <w:highlight w:val="none"/>
        </w:rPr>
      </w:r>
      <w:bookmarkStart w:id="169" w:name="_Toc513029242"/>
      <w:r>
        <w:rPr>
          <w:highlight w:val="none"/>
        </w:rPr>
      </w:r>
      <w:bookmarkStart w:id="170" w:name="_Toc16938558"/>
      <w:r>
        <w:rPr>
          <w:highlight w:val="none"/>
        </w:rPr>
      </w:r>
      <w:bookmarkStart w:id="171" w:name="_Toc479757207"/>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2</w:t>
      </w:r>
      <w:r>
        <w:rPr>
          <w:rFonts w:hint="eastAsia" w:ascii="黑体" w:hAnsi="宋体" w:eastAsia="黑体"/>
          <w:bCs/>
          <w:color w:val="000000" w:themeColor="text1"/>
          <w:sz w:val="30"/>
          <w:szCs w:val="30"/>
          <w:highlight w:val="none"/>
          <w14:textFill>
            <w14:solidFill>
              <w14:schemeClr w14:val="tx1"/>
            </w14:solidFill>
          </w14:textFill>
        </w:rPr>
        <w:t xml:space="preserve">、政府采购履约资金扶持政策</w:t>
      </w:r>
      <w:r>
        <w:rPr>
          <w:highlight w:val="none"/>
        </w:rPr>
      </w:r>
    </w:p>
    <w:p>
      <w:pPr>
        <w:ind w:firstLine="555"/>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中标供应商可凭政府采购合同办理融资贷款，详情请见江苏政府采购网“政采贷”专栏。</w:t>
      </w:r>
      <w:r>
        <w:rPr>
          <w:highlight w:val="none"/>
        </w:rPr>
      </w:r>
    </w:p>
    <w:p>
      <w:pPr>
        <w:ind w:firstLine="42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rPr>
          <w:highlight w:val="none"/>
        </w:rPr>
      </w:r>
    </w:p>
    <w:p>
      <w:pPr>
        <w:ind w:firstLine="1440"/>
        <w:jc w:val="left"/>
        <w:keepNext/>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rPr>
          <w:highlight w:val="none"/>
        </w:rPr>
      </w:r>
    </w:p>
    <w:p>
      <w:pPr>
        <w:ind w:firstLine="1440"/>
        <w:jc w:val="left"/>
        <w:keepNext/>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rPr>
          <w:highlight w:val="none"/>
        </w:rPr>
      </w:r>
    </w:p>
    <w:p>
      <w:pPr>
        <w:ind w:firstLine="2640"/>
        <w:jc w:val="left"/>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rPr>
          <w:highlight w:val="none"/>
        </w:rPr>
      </w:r>
    </w:p>
    <w:p>
      <w:pPr>
        <w:ind w:firstLine="2640"/>
        <w:jc w:val="left"/>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rPr>
          <w:highlight w:val="none"/>
        </w:rPr>
      </w:r>
    </w:p>
    <w:p>
      <w:pPr>
        <w:ind w:firstLine="2640"/>
        <w:jc w:val="left"/>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rPr>
          <w:highlight w:val="none"/>
        </w:rPr>
      </w:r>
    </w:p>
    <w:p>
      <w:pPr>
        <w:ind w:firstLine="2640"/>
        <w:jc w:val="left"/>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rPr>
          <w:highlight w:val="none"/>
        </w:rPr>
      </w:r>
    </w:p>
    <w:p>
      <w:pPr>
        <w:ind w:firstLine="2640"/>
        <w:jc w:val="left"/>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rPr>
          <w:highlight w:val="none"/>
        </w:rPr>
      </w:r>
    </w:p>
    <w:p>
      <w:pPr>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br w:type="page" w:clear="all"/>
      </w:r>
      <w:r>
        <w:rPr>
          <w:highlight w:val="none"/>
        </w:rPr>
      </w:r>
    </w:p>
    <w:p>
      <w:pPr>
        <w:ind w:firstLine="2640"/>
        <w:jc w:val="left"/>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t xml:space="preserve">第三章  合同</w:t>
      </w:r>
      <w:bookmarkEnd w:id="167"/>
      <w:r>
        <w:rPr>
          <w:highlight w:val="none"/>
        </w:rPr>
      </w:r>
      <w:bookmarkEnd w:id="168"/>
      <w:r>
        <w:rPr>
          <w:highlight w:val="none"/>
        </w:rPr>
      </w:r>
      <w:bookmarkEnd w:id="169"/>
      <w:r>
        <w:rPr>
          <w:highlight w:val="none"/>
        </w:rPr>
      </w:r>
      <w:bookmarkEnd w:id="170"/>
      <w:r>
        <w:rPr>
          <w:highlight w:val="none"/>
        </w:rPr>
      </w:r>
      <w:bookmarkEnd w:id="171"/>
      <w:r>
        <w:rPr>
          <w:rFonts w:hint="eastAsia" w:ascii="黑体" w:hAnsi="Times New Roman" w:eastAsia="黑体"/>
          <w:bCs/>
          <w:color w:val="000000" w:themeColor="text1"/>
          <w:sz w:val="44"/>
          <w:szCs w:val="28"/>
          <w:highlight w:val="none"/>
          <w14:textFill>
            <w14:solidFill>
              <w14:schemeClr w14:val="tx1"/>
            </w14:solidFill>
          </w14:textFill>
        </w:rPr>
        <w:t xml:space="preserve">文本</w:t>
      </w:r>
      <w:r>
        <w:rPr>
          <w:highlight w:val="none"/>
        </w:rPr>
      </w:r>
    </w:p>
    <w:p>
      <w:pPr>
        <w:spacing w:line="400" w:lineRule="exact"/>
        <w:rPr>
          <w:rFonts w:ascii="宋体" w:hAnsi="宋体"/>
          <w:bCs/>
          <w:color w:val="000000" w:themeColor="text1"/>
          <w:sz w:val="24"/>
          <w:szCs w:val="24"/>
          <w:highlight w:val="none"/>
          <w14:textFill>
            <w14:solidFill>
              <w14:schemeClr w14:val="tx1"/>
            </w14:solidFill>
          </w14:textFill>
        </w:rPr>
      </w:pPr>
      <w:r>
        <w:rPr>
          <w:highlight w:val="none"/>
        </w:rPr>
      </w:r>
      <w:bookmarkStart w:id="172" w:name="_Toc16938559"/>
      <w:r>
        <w:rPr>
          <w:highlight w:val="none"/>
        </w:rPr>
      </w:r>
      <w:bookmarkStart w:id="173" w:name="_Toc3995"/>
      <w:r>
        <w:rPr>
          <w:highlight w:val="none"/>
        </w:rPr>
      </w:r>
      <w:bookmarkStart w:id="174" w:name="_Toc513029243"/>
      <w:r>
        <w:rPr>
          <w:highlight w:val="none"/>
        </w:rPr>
      </w:r>
      <w:bookmarkStart w:id="175" w:name="_Toc20823315"/>
      <w:r>
        <w:rPr>
          <w:highlight w:val="none"/>
        </w:rPr>
      </w:r>
      <w:bookmarkStart w:id="176" w:name="_Hlt16619350"/>
      <w:r>
        <w:rPr>
          <w:highlight w:val="none"/>
        </w:rPr>
      </w:r>
      <w:bookmarkStart w:id="177" w:name="_Toc120614244"/>
      <w:r>
        <w:rPr>
          <w:highlight w:val="none"/>
        </w:rPr>
      </w:r>
      <w:bookmarkStart w:id="178" w:name="_Toc16938590"/>
      <w:r>
        <w:rPr>
          <w:highlight w:val="none"/>
        </w:rPr>
      </w:r>
      <w:bookmarkStart w:id="179" w:name="_Toc20823346"/>
      <w:r>
        <w:rPr>
          <w:highlight w:val="none"/>
        </w:rPr>
      </w:r>
      <w:bookmarkStart w:id="180" w:name="_Toc462564139"/>
      <w:r>
        <w:rPr>
          <w:highlight w:val="none"/>
        </w:rPr>
      </w:r>
      <w:bookmarkStart w:id="181" w:name="_Toc479757211"/>
      <w:r>
        <w:rPr>
          <w:highlight w:val="none"/>
        </w:rPr>
      </w:r>
      <w:r>
        <w:rPr>
          <w:highlight w:val="none"/>
        </w:rPr>
      </w:r>
    </w:p>
    <w:p>
      <w:pPr>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bookmarkEnd w:id="172"/>
      <w:r/>
      <w:bookmarkEnd w:id="173"/>
      <w:r/>
      <w:bookmarkEnd w:id="174"/>
      <w:r/>
      <w:bookmarkEnd w:id="175"/>
      <w:r/>
      <w:r>
        <w:rPr>
          <w:highlight w:val="none"/>
        </w:rPr>
      </w:r>
    </w:p>
    <w:p>
      <w:pPr>
        <w:pStyle w:val="723"/>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ascii="宋体" w:hAnsi="宋体" w:eastAsia="宋体" w:cs="宋体"/>
          <w:b/>
          <w:bCs/>
          <w:color w:val="000000" w:themeColor="text1"/>
          <w:spacing w:val="-20"/>
          <w:sz w:val="32"/>
          <w:szCs w:val="32"/>
          <w:highlight w:val="none"/>
          <w14:textFill>
            <w14:solidFill>
              <w14:schemeClr w14:val="tx1"/>
            </w14:solidFill>
          </w14:textFill>
        </w:rPr>
      </w:r>
      <w:r>
        <w:rPr>
          <w:highlight w:val="none"/>
        </w:rPr>
      </w:r>
    </w:p>
    <w:p>
      <w:pPr>
        <w:pStyle w:val="723"/>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ascii="宋体" w:hAnsi="宋体" w:eastAsia="宋体" w:cs="宋体"/>
          <w:b/>
          <w:bCs/>
          <w:color w:val="000000" w:themeColor="text1"/>
          <w:spacing w:val="-20"/>
          <w:sz w:val="32"/>
          <w:szCs w:val="32"/>
          <w:highlight w:val="none"/>
          <w14:textFill>
            <w14:solidFill>
              <w14:schemeClr w14:val="tx1"/>
            </w14:solidFill>
          </w14:textFill>
        </w:rPr>
      </w:r>
      <w:r>
        <w:rPr>
          <w:highlight w:val="none"/>
        </w:rPr>
      </w:r>
    </w:p>
    <w:p>
      <w:pPr>
        <w:pStyle w:val="723"/>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14:textFill>
            <w14:solidFill>
              <w14:schemeClr w14:val="tx1"/>
            </w14:solidFill>
          </w14:textFill>
        </w:rPr>
        <w:t xml:space="preserve">财政部 政府采购货物买卖合同（试行）</w:t>
      </w:r>
      <w:r>
        <w:rPr>
          <w:highlight w:val="none"/>
        </w:rPr>
      </w:r>
    </w:p>
    <w:p>
      <w:pPr>
        <w:pStyle w:val="723"/>
        <w:jc w:val="center"/>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14:textFill>
            <w14:solidFill>
              <w14:schemeClr w14:val="tx1"/>
            </w14:solidFill>
          </w14:textFill>
        </w:rPr>
        <w:t xml:space="preserve">范    本</w:t>
      </w:r>
      <w:r>
        <w:rPr>
          <w:highlight w:val="none"/>
        </w:rP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p>
    <w:p>
      <w:pPr>
        <w:ind w:left="420"/>
        <w:spacing w:line="360" w:lineRule="auto"/>
        <w:rPr>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color w:val="000000" w:themeColor="text1"/>
          <w:sz w:val="28"/>
          <w:szCs w:val="28"/>
          <w:highlight w:val="none"/>
          <w:u w:val="single"/>
          <w14:textFill>
            <w14:solidFill>
              <w14:schemeClr w14:val="tx1"/>
            </w14:solidFill>
          </w14:textFill>
        </w:rPr>
        <w:t xml:space="preserve">                             </w:t>
      </w:r>
      <w:r>
        <w:rPr>
          <w:highlight w:val="none"/>
        </w:rPr>
      </w:r>
    </w:p>
    <w:p>
      <w:pPr>
        <w:ind w:left="420"/>
        <w:spacing w:line="360" w:lineRule="auto"/>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合同编号：</w:t>
      </w:r>
      <w:r>
        <w:rPr>
          <w:rFonts w:hint="eastAsia"/>
          <w:color w:val="000000" w:themeColor="text1"/>
          <w:sz w:val="28"/>
          <w:szCs w:val="28"/>
          <w:highlight w:val="none"/>
          <w:u w:val="single"/>
          <w14:textFill>
            <w14:solidFill>
              <w14:schemeClr w14:val="tx1"/>
            </w14:solidFill>
          </w14:textFill>
        </w:rPr>
        <w:t xml:space="preserve">                             </w:t>
      </w:r>
      <w:r>
        <w:rPr>
          <w:highlight w:val="none"/>
        </w:rPr>
      </w:r>
    </w:p>
    <w:p>
      <w:pPr>
        <w:ind w:left="42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甲    方：</w:t>
      </w:r>
      <w:r>
        <w:rPr>
          <w:rFonts w:hint="eastAsia"/>
          <w:color w:val="000000" w:themeColor="text1"/>
          <w:sz w:val="28"/>
          <w:szCs w:val="28"/>
          <w:highlight w:val="none"/>
          <w:u w:val="single"/>
          <w14:textFill>
            <w14:solidFill>
              <w14:schemeClr w14:val="tx1"/>
            </w14:solidFill>
          </w14:textFill>
        </w:rPr>
        <w:t xml:space="preserve">                             </w:t>
      </w:r>
      <w:r>
        <w:rPr>
          <w:highlight w:val="none"/>
        </w:rPr>
      </w:r>
    </w:p>
    <w:p>
      <w:pPr>
        <w:ind w:left="420"/>
        <w:spacing w:line="360" w:lineRule="auto"/>
        <w:rPr>
          <w:color w:val="000000" w:themeColor="text1"/>
          <w:sz w:val="28"/>
          <w:szCs w:val="28"/>
          <w:highlight w:val="none"/>
          <w:u w:val="singl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乙    方：</w:t>
      </w:r>
      <w:r>
        <w:rPr>
          <w:rFonts w:hint="eastAsia"/>
          <w:color w:val="000000" w:themeColor="text1"/>
          <w:sz w:val="28"/>
          <w:szCs w:val="28"/>
          <w:highlight w:val="none"/>
          <w:u w:val="single"/>
          <w14:textFill>
            <w14:solidFill>
              <w14:schemeClr w14:val="tx1"/>
            </w14:solidFill>
          </w14:textFill>
        </w:rPr>
        <w:t xml:space="preserve">                             </w:t>
      </w:r>
      <w:r>
        <w:rPr>
          <w:highlight w:val="none"/>
        </w:rPr>
      </w:r>
    </w:p>
    <w:p>
      <w:pPr>
        <w:ind w:left="420"/>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签订时间：</w:t>
      </w:r>
      <w:r>
        <w:rPr>
          <w:rFonts w:hint="eastAsia"/>
          <w:color w:val="000000" w:themeColor="text1"/>
          <w:sz w:val="28"/>
          <w:szCs w:val="28"/>
          <w:highlight w:val="none"/>
          <w:u w:val="single"/>
          <w14:textFill>
            <w14:solidFill>
              <w14:schemeClr w14:val="tx1"/>
            </w14:solidFill>
          </w14:textFill>
        </w:rPr>
        <w:t xml:space="preserve">      </w:t>
      </w:r>
      <w:r>
        <w:rPr>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 xml:space="preserve">            </w:t>
      </w:r>
      <w:r>
        <w:rPr>
          <w:highlight w:val="none"/>
        </w:rP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br w:type="page" w:clear="all"/>
      </w:r>
      <w:r>
        <w:rPr>
          <w:highlight w:val="none"/>
        </w:rP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rPr>
          <w:highlight w:val="none"/>
        </w:rP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rPr>
          <w:highlight w:val="none"/>
        </w:rPr>
      </w:r>
    </w:p>
    <w:p>
      <w:pPr>
        <w:jc w:val="center"/>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使 用 说 明</w:t>
      </w:r>
      <w:r>
        <w:rPr>
          <w:highlight w:val="none"/>
        </w:rPr>
      </w:r>
    </w:p>
    <w:p>
      <w:pPr>
        <w:ind w:firstLine="640"/>
        <w:rPr>
          <w:rFonts w:ascii="仿宋_GB2312" w:hAnsi="仿宋_GB2312" w:eastAsia="仿宋_GB2312" w:cs="仿宋_GB2312"/>
          <w:color w:val="000000" w:themeColor="text1"/>
          <w:sz w:val="32"/>
          <w:szCs w:val="32"/>
          <w:highlight w:val="none"/>
          <w14:textFill>
            <w14:solidFill>
              <w14:schemeClr w14:val="tx1"/>
            </w14:solidFill>
          </w14:textFill>
        </w:rPr>
      </w:pPr>
      <w:r>
        <w:rPr>
          <w:rFonts w:ascii="仿宋_GB2312" w:hAnsi="仿宋_GB2312" w:eastAsia="仿宋_GB2312" w:cs="仿宋_GB2312"/>
          <w:color w:val="000000" w:themeColor="text1"/>
          <w:sz w:val="32"/>
          <w:szCs w:val="32"/>
          <w:highlight w:val="none"/>
          <w14:textFill>
            <w14:solidFill>
              <w14:schemeClr w14:val="tx1"/>
            </w14:solidFill>
          </w14:textFill>
        </w:rPr>
      </w:r>
      <w:r>
        <w:rPr>
          <w:highlight w:val="none"/>
        </w:rPr>
      </w:r>
    </w:p>
    <w:p>
      <w:pPr>
        <w:ind w:firstLine="560"/>
        <w:rPr>
          <w:rFonts w:ascii="宋体" w:hAnsi="宋体" w:cs="仿宋_GB2312"/>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1.本合同标准文本适用于购买现成货物的采购项目，不包括需要供应商定制开发、创新研发的货物采购项目。</w:t>
      </w:r>
      <w:r>
        <w:rPr>
          <w:highlight w:val="none"/>
        </w:rPr>
      </w:r>
    </w:p>
    <w:p>
      <w:pP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w:t>
      </w:r>
      <w:r>
        <w:rPr>
          <w:rFonts w:hint="eastAsia" w:ascii="宋体" w:hAnsi="宋体" w:cs="仿宋_GB2312"/>
          <w:color w:val="000000" w:themeColor="text1"/>
          <w:sz w:val="28"/>
          <w:szCs w:val="28"/>
          <w:highlight w:val="none"/>
          <w14:textFill>
            <w14:solidFill>
              <w14:schemeClr w14:val="tx1"/>
            </w14:solidFill>
          </w14:textFill>
        </w:rPr>
        <w:t xml:space="preserve">2.本合同标准文本为政府采购货物买卖合同编制提供参考，可以结合采购项目具体情况，对文本作必要的调整修订后使用。</w:t>
      </w:r>
      <w:r>
        <w:rPr>
          <w:highlight w:val="none"/>
        </w:rPr>
      </w:r>
    </w:p>
    <w:p>
      <w:pPr>
        <w:ind w:firstLine="560"/>
        <w:rPr>
          <w:rFonts w:ascii="宋体" w:hAnsi="宋体" w:cs="仿宋_GB2312"/>
          <w:color w:val="000000" w:themeColor="text1"/>
          <w:sz w:val="28"/>
          <w:szCs w:val="28"/>
          <w:highlight w:val="none"/>
          <w14:textFill>
            <w14:solidFill>
              <w14:schemeClr w14:val="tx1"/>
            </w14:solidFill>
          </w14:textFill>
        </w:rPr>
      </w:pPr>
      <w:r>
        <w:rPr>
          <w:rFonts w:hint="eastAsia" w:ascii="宋体" w:hAnsi="宋体" w:cs="仿宋_GB2312"/>
          <w:color w:val="000000" w:themeColor="text1"/>
          <w:sz w:val="28"/>
          <w:szCs w:val="28"/>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r>
        <w:rPr>
          <w:highlight w:val="none"/>
        </w:rPr>
      </w:r>
    </w:p>
    <w:p>
      <w:pPr>
        <w:ind w:firstLine="880"/>
        <w:rPr>
          <w:rFonts w:eastAsia="黑体"/>
          <w:color w:val="000000" w:themeColor="text1"/>
          <w:sz w:val="44"/>
          <w:szCs w:val="44"/>
          <w:highlight w:val="none"/>
          <w14:textFill>
            <w14:solidFill>
              <w14:schemeClr w14:val="tx1"/>
            </w14:solidFill>
          </w14:textFill>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themeColor="text1"/>
          <w:sz w:val="44"/>
          <w:szCs w:val="44"/>
          <w:highlight w:val="none"/>
          <w14:textFill>
            <w14:solidFill>
              <w14:schemeClr w14:val="tx1"/>
            </w14:solidFill>
          </w14:textFill>
        </w:rPr>
      </w:r>
      <w:r>
        <w:rPr>
          <w:highlight w:val="none"/>
        </w:rPr>
      </w:r>
    </w:p>
    <w:p>
      <w:pPr>
        <w:pStyle w:val="873"/>
        <w:spacing w:line="400" w:lineRule="exact"/>
        <w:rPr>
          <w:rFonts w:ascii="黑体" w:hAnsi="黑体" w:eastAsia="黑体"/>
          <w:color w:val="000000" w:themeColor="text1"/>
          <w:sz w:val="28"/>
          <w:szCs w:val="28"/>
          <w:highlight w:val="none"/>
          <w14:textFill>
            <w14:solidFill>
              <w14:schemeClr w14:val="tx1"/>
            </w14:solidFill>
          </w14:textFill>
        </w:rPr>
      </w:pPr>
      <w:r>
        <w:rPr>
          <w:rFonts w:ascii="黑体" w:hAnsi="黑体" w:eastAsia="黑体"/>
          <w:color w:val="000000" w:themeColor="text1"/>
          <w:sz w:val="28"/>
          <w:szCs w:val="28"/>
          <w:highlight w:val="none"/>
          <w14:textFill>
            <w14:solidFill>
              <w14:schemeClr w14:val="tx1"/>
            </w14:solidFill>
          </w14:textFill>
        </w:rPr>
      </w:r>
      <w:r>
        <w:rPr>
          <w:highlight w:val="none"/>
        </w:rPr>
      </w:r>
    </w:p>
    <w:p>
      <w:pPr>
        <w:pStyle w:val="873"/>
        <w:spacing w:line="400" w:lineRule="exact"/>
        <w:rPr>
          <w:rFonts w:ascii="黑体" w:hAnsi="华文中宋" w:eastAsia="黑体"/>
          <w:b w:val="0"/>
          <w:bCs w:val="0"/>
          <w:color w:val="000000" w:themeColor="text1"/>
          <w:sz w:val="28"/>
          <w:szCs w:val="28"/>
          <w:highlight w:val="none"/>
          <w14:textFill>
            <w14:solidFill>
              <w14:schemeClr w14:val="tx1"/>
            </w14:solidFill>
          </w14:textFill>
        </w:rPr>
      </w:pPr>
      <w:r>
        <w:rPr>
          <w:rFonts w:hint="eastAsia" w:ascii="黑体" w:hAnsi="黑体" w:eastAsia="黑体"/>
          <w:b w:val="0"/>
          <w:bCs w:val="0"/>
          <w:color w:val="000000" w:themeColor="text1"/>
          <w:sz w:val="28"/>
          <w:szCs w:val="28"/>
          <w:highlight w:val="none"/>
          <w14:textFill>
            <w14:solidFill>
              <w14:schemeClr w14:val="tx1"/>
            </w14:solidFill>
          </w14:textFill>
        </w:rPr>
        <w:t xml:space="preserve">第一节 </w:t>
      </w:r>
      <w:r>
        <w:rPr>
          <w:rFonts w:hint="eastAsia" w:ascii="黑体" w:hAnsi="华文中宋" w:eastAsia="黑体"/>
          <w:b w:val="0"/>
          <w:bCs w:val="0"/>
          <w:color w:val="000000" w:themeColor="text1"/>
          <w:sz w:val="28"/>
          <w:szCs w:val="28"/>
          <w:highlight w:val="none"/>
          <w14:textFill>
            <w14:solidFill>
              <w14:schemeClr w14:val="tx1"/>
            </w14:solidFill>
          </w14:textFill>
        </w:rPr>
        <w:t xml:space="preserve">政府采购合同协议书</w:t>
      </w:r>
      <w:r>
        <w:rPr>
          <w:highlight w:val="none"/>
        </w:rPr>
      </w:r>
    </w:p>
    <w:p>
      <w:pPr>
        <w:pStyle w:val="873"/>
        <w:spacing w:line="400" w:lineRule="exact"/>
        <w:rPr>
          <w:rFonts w:ascii="黑体" w:hAnsi="华文中宋" w:eastAsia="黑体"/>
          <w:b w:val="0"/>
          <w:bCs w:val="0"/>
          <w:color w:val="000000" w:themeColor="text1"/>
          <w:sz w:val="28"/>
          <w:szCs w:val="28"/>
          <w:highlight w:val="none"/>
          <w14:textFill>
            <w14:solidFill>
              <w14:schemeClr w14:val="tx1"/>
            </w14:solidFill>
          </w14:textFill>
        </w:rPr>
      </w:pPr>
      <w:r>
        <w:rPr>
          <w:rFonts w:ascii="黑体" w:hAnsi="华文中宋" w:eastAsia="黑体"/>
          <w:b w:val="0"/>
          <w:bCs w:val="0"/>
          <w:color w:val="000000" w:themeColor="text1"/>
          <w:sz w:val="28"/>
          <w:szCs w:val="28"/>
          <w:highlight w:val="none"/>
          <w14:textFill>
            <w14:solidFill>
              <w14:schemeClr w14:val="tx1"/>
            </w14:solidFill>
          </w14:textFill>
        </w:rPr>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（采购人、受采购人委托签订合同的单位或采购文件约定的合同甲方）</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乙方1（全称）：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（供应商）</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乙方2（全称）：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（联合体成员供应商或其他合同主体）（如有）</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（联合体成员供应商或其他合同主体）（如有）</w:t>
      </w:r>
      <w:r>
        <w:rPr>
          <w:highlight w:val="none"/>
        </w:rPr>
      </w:r>
    </w:p>
    <w:p>
      <w:pPr>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03"/>
        <w:ind w:left="0" w:firstLine="420"/>
        <w:spacing w:after="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highlight w:val="none"/>
        </w:rP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项目信息</w:t>
      </w:r>
      <w:r>
        <w:rPr>
          <w:highlight w:val="none"/>
        </w:rPr>
      </w:r>
    </w:p>
    <w:p>
      <w:pPr>
        <w:pStyle w:val="903"/>
        <w:numPr>
          <w:ilvl w:val="0"/>
          <w:numId w:val="6"/>
        </w:numPr>
        <w:ind w:left="0" w:firstLine="420"/>
        <w:spacing w:after="0"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采购项目名称：</w:t>
      </w:r>
      <w:r>
        <w:rPr>
          <w:rFonts w:ascii="宋体" w:hAnsi="宋体"/>
          <w:color w:val="000000" w:themeColor="text1"/>
          <w:szCs w:val="21"/>
          <w:highlight w:val="none"/>
          <w:u w:val="single"/>
          <w14:textFill>
            <w14:solidFill>
              <w14:schemeClr w14:val="tx1"/>
            </w14:solidFill>
          </w14:textFill>
        </w:rPr>
        <w:t xml:space="preserve">                                          </w:t>
      </w:r>
      <w:r>
        <w:rPr>
          <w:highlight w:val="none"/>
        </w:rPr>
      </w:r>
    </w:p>
    <w:p>
      <w:pPr>
        <w:pStyle w:val="903"/>
        <w:ind w:left="0"/>
        <w:spacing w:after="0" w:line="400" w:lineRule="exact"/>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采购项目编号：</w:t>
      </w:r>
      <w:r>
        <w:rPr>
          <w:rFonts w:ascii="宋体" w:hAnsi="宋体"/>
          <w:color w:val="000000" w:themeColor="text1"/>
          <w:szCs w:val="21"/>
          <w:highlight w:val="none"/>
          <w:u w:val="single"/>
          <w14:textFill>
            <w14:solidFill>
              <w14:schemeClr w14:val="tx1"/>
            </w14:solidFill>
          </w14:textFill>
        </w:rPr>
        <w:t xml:space="preserve">                                          </w:t>
      </w:r>
      <w:r>
        <w:rPr>
          <w:highlight w:val="none"/>
        </w:rPr>
      </w:r>
    </w:p>
    <w:p>
      <w:pPr>
        <w:pStyle w:val="903"/>
        <w:ind w:left="0" w:firstLine="420"/>
        <w:spacing w:after="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（2）采购计划编号：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（3）项目内容：</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采购标的及数量（台/套</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个</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架</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组等</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highlight w:val="none"/>
        </w:rP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highlight w:val="none"/>
        </w:rPr>
      </w:r>
    </w:p>
    <w:p>
      <w:pPr>
        <w:ind w:firstLine="945"/>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采购标的的技术要求、商务要求具体见附件。</w:t>
      </w:r>
      <w:r>
        <w:rPr>
          <w:highlight w:val="none"/>
        </w:rPr>
      </w:r>
    </w:p>
    <w:p>
      <w:pPr>
        <w:ind w:firstLine="945"/>
        <w:spacing w:line="400" w:lineRule="exact"/>
        <w:rPr>
          <w:rFonts w:ascii="宋体" w:hAnsi="宋体" w:cs="宋体"/>
          <w:color w:val="000000" w:themeColor="text1"/>
          <w:szCs w:val="21"/>
          <w:highlight w:val="none"/>
          <w14:textFill>
            <w14:solidFill>
              <w14:schemeClr w14:val="tx1"/>
            </w14:solidFill>
          </w14:textFill>
        </w:rPr>
      </w:pP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①</w:t>
      </w:r>
      <w:r>
        <w:rPr>
          <w:rFonts w:hint="eastAsia" w:ascii="宋体" w:hAnsi="宋体" w:cs="宋体"/>
          <w:color w:val="000000" w:themeColor="text1"/>
          <w:szCs w:val="21"/>
          <w:highlight w:val="none"/>
          <w14:textFill>
            <w14:solidFill>
              <w14:schemeClr w14:val="tx1"/>
            </w14:solidFill>
          </w14:textFill>
        </w:rPr>
        <w:t xml:space="preserve">涉及信息类产品，请填写该产品关键部件的品牌、型号：</w:t>
      </w:r>
      <w:r>
        <w:rPr>
          <w:highlight w:val="none"/>
        </w:rPr>
      </w:r>
    </w:p>
    <w:p>
      <w:pPr>
        <w:ind w:firstLine="42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标的名称：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highlight w:val="none"/>
        </w:rPr>
      </w:r>
    </w:p>
    <w:p>
      <w:pPr>
        <w:pStyle w:val="98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w:t>
      </w:r>
      <w:r>
        <w:rPr>
          <w:highlight w:val="none"/>
        </w:rPr>
      </w:r>
    </w:p>
    <w:p>
      <w:pPr>
        <w:pStyle w:val="98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highlight w:val="none"/>
        </w:rPr>
      </w:r>
    </w:p>
    <w:p>
      <w:pPr>
        <w:pStyle w:val="982"/>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p>
    <w:p>
      <w:pPr>
        <w:pStyle w:val="982"/>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汉仪书宋二S" w:hAnsi="汉仪书宋二S" w:eastAsia="汉仪书宋二S" w:cs="汉仪书宋二S"/>
          <w:color w:val="000000" w:themeColor="text1"/>
          <w:sz w:val="21"/>
          <w:highlight w:val="none"/>
          <w14:textFill>
            <w14:solidFill>
              <w14:schemeClr w14:val="tx1"/>
            </w14:solidFill>
          </w14:textFill>
        </w:rPr>
        <w:t xml:space="preserve">②</w:t>
      </w:r>
      <w:r>
        <w:rPr>
          <w:rFonts w:hint="eastAsia" w:ascii="宋体" w:hAnsi="宋体" w:eastAsia="宋体" w:cs="宋体"/>
          <w:color w:val="000000" w:themeColor="text1"/>
          <w:sz w:val="21"/>
          <w:highlight w:val="none"/>
          <w14:textFill>
            <w14:solidFill>
              <w14:schemeClr w14:val="tx1"/>
            </w14:solidFill>
          </w14:textFill>
        </w:rPr>
        <w:t xml:space="preserve">涉及车辆采购，请填写是否属于新能源汽车：</w:t>
      </w:r>
      <w:r>
        <w:rPr>
          <w:highlight w:val="none"/>
        </w:rPr>
      </w:r>
    </w:p>
    <w:p>
      <w:pPr>
        <w:pStyle w:val="982"/>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数量：</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金额：</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w:t>
      </w:r>
      <w:r>
        <w:rPr>
          <w:highlight w:val="none"/>
        </w:rPr>
      </w:r>
    </w:p>
    <w:p>
      <w:pPr>
        <w:pStyle w:val="982"/>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否</w:t>
      </w:r>
      <w:r>
        <w:rPr>
          <w:highlight w:val="none"/>
        </w:rPr>
      </w:r>
    </w:p>
    <w:p>
      <w:pPr>
        <w:pStyle w:val="982"/>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宋体" w:hAnsi="宋体" w:eastAsia="宋体" w:cs="宋体"/>
          <w:color w:val="000000" w:themeColor="text1"/>
          <w:sz w:val="21"/>
          <w:highlight w:val="none"/>
          <w:lang w:val="en"/>
          <w14:textFill>
            <w14:solidFill>
              <w14:schemeClr w14:val="tx1"/>
            </w14:solidFill>
          </w14:textFill>
        </w:rPr>
        <w:t xml:space="preserve">4</w:t>
      </w:r>
      <w:r>
        <w:rPr>
          <w:rFonts w:hint="eastAsia" w:ascii="宋体" w:hAnsi="宋体" w:eastAsia="宋体" w:cs="宋体"/>
          <w:color w:val="000000" w:themeColor="text1"/>
          <w:sz w:val="21"/>
          <w:highlight w:val="none"/>
          <w14:textFill>
            <w14:solidFill>
              <w14:schemeClr w14:val="tx1"/>
            </w14:solidFill>
          </w14:textFill>
        </w:rPr>
        <w:t xml:space="preserve">）政府采购组织形式：</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政府集中采购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部门集中采购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分散采购</w:t>
      </w:r>
      <w:r>
        <w:rPr>
          <w:highlight w:val="none"/>
        </w:rPr>
      </w:r>
    </w:p>
    <w:p>
      <w:pPr>
        <w:pStyle w:val="98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w:t>
      </w:r>
      <w:r>
        <w:rPr>
          <w:rFonts w:ascii="宋体" w:hAnsi="宋体" w:eastAsia="宋体" w:cs="宋体"/>
          <w:color w:val="000000" w:themeColor="text1"/>
          <w:sz w:val="21"/>
          <w:highlight w:val="none"/>
          <w:lang w:val="en"/>
          <w14:textFill>
            <w14:solidFill>
              <w14:schemeClr w14:val="tx1"/>
            </w14:solidFill>
          </w14:textFill>
        </w:rPr>
        <w:t xml:space="preserve">5</w:t>
      </w:r>
      <w:r>
        <w:rPr>
          <w:rFonts w:hint="eastAsia" w:ascii="宋体" w:hAnsi="宋体" w:eastAsia="宋体" w:cs="宋体"/>
          <w:color w:val="000000" w:themeColor="text1"/>
          <w:sz w:val="21"/>
          <w:highlight w:val="none"/>
          <w14:textFill>
            <w14:solidFill>
              <w14:schemeClr w14:val="tx1"/>
            </w14:solidFill>
          </w14:textFill>
        </w:rPr>
        <w:t xml:space="preserve">）政府采购方式：</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公开招标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邀请招标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竞争性谈判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竞争性磋商</w:t>
      </w:r>
      <w:r>
        <w:rPr>
          <w:highlight w:val="none"/>
        </w:rPr>
      </w:r>
    </w:p>
    <w:p>
      <w:pPr>
        <w:pStyle w:val="982"/>
        <w:ind w:firstLine="420"/>
        <w:rPr>
          <w:rFonts w:ascii="宋体" w:hAnsi="宋体" w:eastAsia="宋体" w:cs="宋体"/>
          <w:color w:val="000000" w:themeColor="text1"/>
          <w:sz w:val="2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询价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单一来源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框架协议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其他：</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highlight w:val="none"/>
        </w:rPr>
      </w:r>
    </w:p>
    <w:p>
      <w:pPr>
        <w:pStyle w:val="98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（注：在框架协议采购的第二阶段，可选择使用该合同文本）</w:t>
      </w:r>
      <w:r>
        <w:rPr>
          <w:highlight w:val="none"/>
        </w:rPr>
      </w:r>
    </w:p>
    <w:p>
      <w:pPr>
        <w:pStyle w:val="982"/>
        <w:ind w:firstLine="220"/>
        <w:rPr>
          <w:rFonts w:ascii="宋体" w:hAnsi="宋体" w:eastAsia="宋体" w:cs="Times New Roman"/>
          <w:color w:val="000000" w:themeColor="text1"/>
          <w:sz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lang w:val="en"/>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否</w:t>
      </w:r>
      <w:r>
        <w:rPr>
          <w:highlight w:val="none"/>
        </w:rPr>
      </w:r>
    </w:p>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spacing w:line="400" w:lineRule="exact"/>
        <w:rPr>
          <w:rFonts w:ascii="宋体" w:hAnsi="宋体"/>
          <w:i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spacing w:line="400" w:lineRule="exact"/>
        <w:rPr>
          <w:rFonts w:ascii="宋体" w:hAnsi="宋体"/>
          <w:iCs/>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val="e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）合同是否分包：</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分包主要内容：</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分包供应商/制造商名称（如供应商和制造商不同，请分别填写）：</w:t>
      </w:r>
      <w:r>
        <w:rPr>
          <w:highlight w:val="none"/>
        </w:rPr>
      </w:r>
    </w:p>
    <w:p>
      <w:pPr>
        <w:ind w:firstLine="84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分包供应商/制造商类型（如果供应商和制造商不同，只填写制造商类型）：</w:t>
      </w:r>
      <w:r>
        <w:rPr>
          <w:highlight w:val="none"/>
        </w:rPr>
      </w:r>
    </w:p>
    <w:p>
      <w:pPr>
        <w:ind w:firstLine="840"/>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小微型企业  </w:t>
      </w:r>
      <w:r>
        <w:rPr>
          <w:highlight w:val="none"/>
        </w:rPr>
      </w:r>
    </w:p>
    <w:p>
      <w:pPr>
        <w:ind w:firstLine="840"/>
        <w:spacing w:line="400" w:lineRule="exact"/>
        <w:rPr>
          <w:rFonts w:eastAsia="华文楷体"/>
          <w:color w:val="000000" w:themeColor="text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highlight w:val="none"/>
        </w:rPr>
      </w:r>
    </w:p>
    <w:p>
      <w:pPr>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rPr>
          <w:highlight w:val="none"/>
        </w:rPr>
      </w:r>
    </w:p>
    <w:p>
      <w:pPr>
        <w:pStyle w:val="982"/>
        <w:ind w:firstLine="420"/>
        <w:tabs>
          <w:tab w:val="left" w:pos="1340" w:leader="none"/>
        </w:tabs>
        <w:rPr>
          <w:rFonts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外商投资企业类型：</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iCs/>
          <w:color w:val="000000" w:themeColor="text1"/>
          <w:sz w:val="21"/>
          <w:highlight w:val="none"/>
          <w14:textFill>
            <w14:solidFill>
              <w14:schemeClr w14:val="tx1"/>
            </w14:solidFill>
          </w14:textFill>
        </w:rPr>
        <w:t xml:space="preserve">部分由外国投资者投资</w:t>
      </w:r>
      <w:r>
        <w:rPr>
          <w:highlight w:val="none"/>
        </w:rP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）是否涉及进口产品：</w:t>
      </w:r>
      <w:r>
        <w:rPr>
          <w:highlight w:val="none"/>
        </w:rPr>
      </w:r>
    </w:p>
    <w:p>
      <w:pPr>
        <w:ind w:firstLine="84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highlight w:val="none"/>
        </w:rPr>
      </w:r>
    </w:p>
    <w:p>
      <w:pPr>
        <w:ind w:firstLine="84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）是否涉及节能产品：</w:t>
      </w:r>
      <w:r>
        <w:rPr>
          <w:highlight w:val="none"/>
        </w:rP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是，《节能产品政府采购品目清单》的底级品目名称：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rPr>
          <w:highlight w:val="none"/>
        </w:rP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宋体" w:hAnsi="宋体"/>
          <w:iCs/>
          <w:color w:val="000000" w:themeColor="text1"/>
          <w:szCs w:val="21"/>
          <w:highlight w:val="non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是否涉及环境标志产品：</w:t>
      </w:r>
      <w:r>
        <w:rPr>
          <w:highlight w:val="none"/>
        </w:rP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是，《环境标志产品政府采购品目清单》的底级品目名称：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rPr>
          <w:highlight w:val="none"/>
        </w:rP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p>
    <w:p>
      <w:pPr>
        <w:spacing w:line="400" w:lineRule="exact"/>
        <w:tabs>
          <w:tab w:val="left" w:pos="740" w:leader="none"/>
        </w:tabs>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pStyle w:val="982"/>
        <w:ind w:firstLine="0"/>
        <w:rPr>
          <w:rFonts w:ascii="宋体" w:hAnsi="宋体" w:eastAsia="宋体" w:cs="Times New Roman"/>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          </w:t>
      </w:r>
      <w:r>
        <w:rPr>
          <w:rFonts w:hint="eastAsia" w:ascii="宋体" w:hAnsi="宋体" w:eastAsia="宋体" w:cs="Times New Roman"/>
          <w:color w:val="000000" w:themeColor="text1"/>
          <w:sz w:val="21"/>
          <w:highlight w:val="none"/>
          <w14:textFill>
            <w14:solidFill>
              <w14:schemeClr w14:val="tx1"/>
            </w14:solidFill>
          </w14:textFill>
        </w:rPr>
        <w:t xml:space="preserve">是否涉及绿色产品： </w:t>
      </w:r>
      <w:r>
        <w:rPr>
          <w:highlight w:val="none"/>
        </w:rPr>
      </w:r>
    </w:p>
    <w:p>
      <w:pPr>
        <w:pStyle w:val="982"/>
        <w:ind w:firstLine="420"/>
        <w:rPr>
          <w:rFonts w:ascii="宋体" w:hAnsi="宋体" w:eastAsia="宋体"/>
          <w:color w:val="000000" w:themeColor="text1"/>
          <w:highlight w:val="none"/>
          <w:u w:val="singl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是，绿色产品政府采购相关政策确定的底级品目名称：</w:t>
      </w:r>
      <w:r>
        <w:rPr>
          <w:rFonts w:hint="eastAsia" w:ascii="宋体" w:hAnsi="宋体" w:eastAsia="宋体"/>
          <w:color w:val="000000" w:themeColor="text1"/>
          <w:highlight w:val="none"/>
          <w:u w:val="single"/>
          <w14:textFill>
            <w14:solidFill>
              <w14:schemeClr w14:val="tx1"/>
            </w14:solidFill>
          </w14:textFill>
        </w:rPr>
        <w:t xml:space="preserve">         </w:t>
      </w:r>
      <w:r>
        <w:rPr>
          <w:highlight w:val="none"/>
        </w:rPr>
      </w:r>
    </w:p>
    <w:p>
      <w:pPr>
        <w:spacing w:line="400" w:lineRule="exact"/>
        <w:tabs>
          <w:tab w:val="left" w:pos="740" w:leader="none"/>
        </w:tabs>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p>
    <w:p>
      <w:pPr>
        <w:pStyle w:val="982"/>
        <w:ind w:firstLine="420"/>
        <w:rPr>
          <w:rFonts w:ascii="宋体" w:hAnsi="宋体"/>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Times New Roman"/>
          <w:color w:val="000000" w:themeColor="text1"/>
          <w:sz w:val="21"/>
          <w:highlight w:val="none"/>
          <w14:textFill>
            <w14:solidFill>
              <w14:schemeClr w14:val="tx1"/>
            </w14:solidFill>
          </w14:textFill>
        </w:rPr>
        <w:t xml:space="preserve">否</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rPr>
          <w:highlight w:val="none"/>
        </w:rPr>
      </w:r>
    </w:p>
    <w:p>
      <w:pPr>
        <w:ind w:firstLine="840"/>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不涉及</w:t>
      </w:r>
      <w:r>
        <w:rPr>
          <w:highlight w:val="none"/>
        </w:rP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（1）合同金额小写：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分包金额（如有）小写：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大写：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（注：固定单价合同应填写单价和最高限价）</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（2）合同定价方式（采用组合定价方式的，可以勾选多项）：</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ind w:left="0" w:right="0" w:firstLine="420"/>
        <w:spacing w:before="240" w:after="24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14:textFill>
            <w14:solidFill>
              <w14:schemeClr w14:val="tx1"/>
            </w14:solidFill>
          </w14:textFill>
        </w:rPr>
        <w:t xml:space="preserve">（3）付款方式（按项目实际勾选填写）：</w:t>
      </w:r>
      <w:r>
        <w:rPr>
          <w:highlight w:val="none"/>
        </w:rPr>
      </w:r>
    </w:p>
    <w:p>
      <w:pPr>
        <w:ind w:left="0" w:right="0" w:firstLine="63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themeColor="text1"/>
          <w:sz w:val="22"/>
          <w:highlight w:val="none"/>
          <w14:textFill>
            <w14:solidFill>
              <w14:schemeClr w14:val="tx1"/>
            </w14:solidFill>
          </w14:textFill>
        </w:rPr>
        <w:t xml:space="preserve">¨</w:t>
      </w:r>
      <w:r>
        <w:rPr>
          <w:rFonts w:ascii="宋体" w:hAnsi="宋体" w:eastAsia="宋体" w:cs="宋体"/>
          <w:color w:val="000000" w:themeColor="text1"/>
          <w:sz w:val="22"/>
          <w:highlight w:val="none"/>
          <w14:textFill>
            <w14:solidFill>
              <w14:schemeClr w14:val="tx1"/>
            </w14:solidFill>
          </w14:textFill>
        </w:rPr>
        <w:t xml:space="preserve">全额付款：</w:t>
      </w:r>
      <w:r>
        <w:rPr>
          <w:rFonts w:ascii="宋体" w:hAnsi="宋体" w:eastAsia="宋体" w:cs="宋体"/>
          <w:color w:val="000000" w:themeColor="text1"/>
          <w:sz w:val="21"/>
          <w:highlight w:val="none"/>
          <w:u w:val="single"/>
          <w14:textFill>
            <w14:solidFill>
              <w14:schemeClr w14:val="tx1"/>
            </w14:solidFill>
          </w14:textFill>
        </w:rPr>
        <w:t xml:space="preserve">  </w:t>
      </w:r>
      <w:r>
        <w:rPr>
          <w:rFonts w:ascii="宋体" w:hAnsi="宋体" w:eastAsia="宋体" w:cs="宋体"/>
          <w:color w:val="000000" w:themeColor="text1"/>
          <w:sz w:val="22"/>
          <w:highlight w:val="none"/>
          <w:u w:val="single"/>
          <w14:textFill>
            <w14:solidFill>
              <w14:schemeClr w14:val="tx1"/>
            </w14:solidFill>
          </w14:textFill>
        </w:rPr>
        <w:t xml:space="preserve">（应明确一次性支付合同款项的条件）</w:t>
      </w:r>
      <w:r>
        <w:rPr>
          <w:highlight w:val="none"/>
        </w:rPr>
      </w:r>
    </w:p>
    <w:p>
      <w:pPr>
        <w:ind w:left="0" w:right="0" w:firstLine="63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themeColor="text1"/>
          <w:sz w:val="22"/>
          <w:highlight w:val="none"/>
          <w14:textFill>
            <w14:solidFill>
              <w14:schemeClr w14:val="tx1"/>
            </w14:solidFill>
          </w14:textFill>
        </w:rPr>
        <w:t xml:space="preserve">¨</w:t>
      </w:r>
      <w:r>
        <w:rPr>
          <w:rFonts w:ascii="宋体" w:hAnsi="宋体" w:eastAsia="宋体" w:cs="宋体"/>
          <w:color w:val="000000" w:themeColor="text1"/>
          <w:sz w:val="22"/>
          <w:highlight w:val="none"/>
          <w14:textFill>
            <w14:solidFill>
              <w14:schemeClr w14:val="tx1"/>
            </w14:solidFill>
          </w14:textFill>
        </w:rPr>
        <w:t xml:space="preserve">分期付款：</w:t>
      </w:r>
      <w:r>
        <w:rPr>
          <w:rFonts w:ascii="宋体" w:hAnsi="宋体" w:eastAsia="宋体" w:cs="宋体"/>
          <w:color w:val="000000" w:themeColor="text1"/>
          <w:sz w:val="21"/>
          <w:highlight w:val="none"/>
          <w:u w:val="single"/>
          <w14:textFill>
            <w14:solidFill>
              <w14:schemeClr w14:val="tx1"/>
            </w14:solidFill>
          </w14:textFill>
        </w:rPr>
        <w:t xml:space="preserve">  </w:t>
      </w:r>
      <w:r>
        <w:rPr>
          <w:rFonts w:ascii="宋体" w:hAnsi="宋体" w:eastAsia="宋体" w:cs="宋体"/>
          <w:color w:val="000000" w:themeColor="text1"/>
          <w:sz w:val="22"/>
          <w:highlight w:val="none"/>
          <w:u w:val="single"/>
          <w14:textFill>
            <w14:solidFill>
              <w14:schemeClr w14:val="tx1"/>
            </w14:solidFill>
          </w14:textFill>
        </w:rPr>
        <w:t xml:space="preserve">（1）合同签订后20个工作日内，采购人向中标人支付至合同总价的40%。</w:t>
      </w:r>
      <w:r>
        <w:rPr>
          <w:highlight w:val="none"/>
        </w:rPr>
      </w:r>
    </w:p>
    <w:p>
      <w:pPr>
        <w:ind w:left="0" w:right="0" w:firstLine="63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u w:val="single"/>
          <w14:textFill>
            <w14:solidFill>
              <w14:schemeClr w14:val="tx1"/>
            </w14:solidFill>
          </w14:textFill>
        </w:rPr>
        <w:t xml:space="preserve">（2）中标人将货物送达指定地点后，经清单及开箱验收无误后，采购人向中标人支付至合同总价的70%；</w:t>
      </w:r>
      <w:r>
        <w:rPr>
          <w:highlight w:val="none"/>
        </w:rPr>
      </w:r>
    </w:p>
    <w:p>
      <w:pPr>
        <w:ind w:left="0" w:right="0" w:firstLine="630"/>
        <w:jc w:val="both"/>
        <w:spacing w:before="0" w:after="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highlight w:val="none"/>
          <w:u w:val="single"/>
          <w14:textFill>
            <w14:solidFill>
              <w14:schemeClr w14:val="tx1"/>
            </w14:solidFill>
          </w14:textFill>
        </w:rPr>
        <w:t xml:space="preserve">（3）中标人完成货物的安装调试，且通过终验后（提供终验报告），中标人提供质量保函/保单（保证/保险金额应为合同总价的10%）采购人向中标人支付至合同总价的100%；</w:t>
      </w:r>
      <w:r>
        <w:rPr>
          <w:rFonts w:ascii="宋体" w:hAnsi="宋体" w:eastAsia="宋体" w:cs="宋体"/>
          <w:color w:val="000000" w:themeColor="text1"/>
          <w:sz w:val="21"/>
          <w:highlight w:val="none"/>
          <w:u w:val="single"/>
          <w14:textFill>
            <w14:solidFill>
              <w14:schemeClr w14:val="tx1"/>
            </w14:solidFill>
          </w14:textFill>
        </w:rPr>
        <w:t xml:space="preserve"> </w:t>
      </w:r>
      <w:r>
        <w:rPr>
          <w:highlight w:val="none"/>
        </w:rPr>
      </w:r>
    </w:p>
    <w:p>
      <w:pPr>
        <w:ind w:firstLine="63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r>
        <w:rPr>
          <w:highlight w:val="none"/>
        </w:rPr>
      </w:r>
    </w:p>
    <w:p>
      <w:pPr>
        <w:ind w:firstLine="630"/>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rPr>
          <w:highlight w:val="none"/>
        </w:rPr>
      </w:r>
    </w:p>
    <w:p>
      <w:pPr>
        <w:numPr>
          <w:ilvl w:val="0"/>
          <w:numId w:val="5"/>
        </w:numPr>
        <w:ind w:firstLine="420"/>
        <w:spacing w:line="400" w:lineRule="exact"/>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合同履行</w:t>
      </w:r>
      <w:r>
        <w:rPr>
          <w:highlight w:val="none"/>
        </w:rP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日，完成日期：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rPr>
          <w:highlight w:val="none"/>
        </w:rPr>
      </w:r>
    </w:p>
    <w:p>
      <w:pPr>
        <w:ind w:firstLine="42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（2）履约地点</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（3）履约担保：</w:t>
      </w:r>
      <w:r>
        <w:rPr>
          <w:rFonts w:hint="eastAsia" w:ascii="宋体" w:hAnsi="宋体" w:cs="宋体"/>
          <w:color w:val="000000" w:themeColor="text1"/>
          <w:highlight w:val="none"/>
          <w14:textFill>
            <w14:solidFill>
              <w14:schemeClr w14:val="tx1"/>
            </w14:solidFill>
          </w14:textFill>
        </w:rPr>
        <w:t xml:space="preserve">是否收取履约保证金：</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rPr>
          <w:highlight w:val="none"/>
        </w:rPr>
      </w:r>
    </w:p>
    <w:p>
      <w:pPr>
        <w:pStyle w:val="982"/>
        <w:rPr>
          <w:rFonts w:ascii="宋体" w:hAnsi="宋体" w:eastAsia="宋体" w:cs="宋体"/>
          <w:color w:val="000000" w:themeColor="text1"/>
          <w:sz w:val="2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收取履约保证金形式：</w:t>
      </w:r>
      <w:r>
        <w:rPr>
          <w:rFonts w:hint="eastAsia" w:ascii="宋体" w:hAnsi="宋体" w:eastAsia="宋体" w:cs="宋体"/>
          <w:bCs/>
          <w:color w:val="000000" w:themeColor="text1"/>
          <w:sz w:val="21"/>
          <w:highlight w:val="none"/>
          <w:u w:val="single"/>
          <w14:textFill>
            <w14:solidFill>
              <w14:schemeClr w14:val="tx1"/>
            </w14:solidFill>
          </w14:textFill>
        </w:rPr>
        <w:t xml:space="preserve">                            </w:t>
      </w:r>
      <w:r>
        <w:rPr>
          <w:highlight w:val="none"/>
        </w:rPr>
      </w:r>
    </w:p>
    <w:p>
      <w:pPr>
        <w:pStyle w:val="98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收取履约保证金金额：</w:t>
      </w:r>
      <w:r>
        <w:rPr>
          <w:rFonts w:hint="eastAsia" w:ascii="宋体" w:hAnsi="宋体" w:eastAsia="宋体" w:cs="宋体"/>
          <w:bCs/>
          <w:color w:val="000000" w:themeColor="text1"/>
          <w:sz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履约担保期限：</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（4）分期履行要求：</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（5）风险处置措施和替代方案：</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合同验收</w:t>
      </w:r>
      <w:r>
        <w:rPr>
          <w:highlight w:val="none"/>
        </w:rPr>
      </w:r>
    </w:p>
    <w:p>
      <w:pPr>
        <w:numPr>
          <w:ilvl w:val="0"/>
          <w:numId w:val="7"/>
        </w:num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委托第三方组织</w:t>
      </w:r>
      <w:r>
        <w:rPr>
          <w:highlight w:val="none"/>
        </w:rP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验收主体：</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是否邀请专家参加验收：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是否邀请服务对象参加验收：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是否进行抽查检测：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是，抽查比例：</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525"/>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是否存在破坏性检测：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w:t>
      </w:r>
      <w:r>
        <w:rPr>
          <w:rFonts w:hint="eastAsia" w:ascii="宋体" w:hAnsi="宋体"/>
          <w:bCs/>
          <w:color w:val="000000" w:themeColor="text1"/>
          <w:szCs w:val="21"/>
          <w:highlight w:val="none"/>
          <w:u w:val="single"/>
          <w14:textFill>
            <w14:solidFill>
              <w14:schemeClr w14:val="tx1"/>
            </w14:solidFill>
          </w14:textFill>
        </w:rPr>
        <w:t xml:space="preserve">（应明确对被破坏的检测产品的处理方式）</w:t>
      </w:r>
      <w:r>
        <w:rPr>
          <w:highlight w:val="none"/>
        </w:rPr>
      </w:r>
    </w:p>
    <w:p>
      <w:pPr>
        <w:ind w:firstLine="525"/>
        <w:spacing w:line="400" w:lineRule="exact"/>
        <w:rPr>
          <w:rFonts w:ascii="宋体" w:hAnsi="宋体"/>
          <w:bCs/>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525"/>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验收组织的其他事项：</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（2）履约验收时间：</w:t>
      </w:r>
      <w:r>
        <w:rPr>
          <w:rFonts w:hint="eastAsia" w:ascii="宋体" w:hAnsi="宋体"/>
          <w:bCs/>
          <w:color w:val="000000" w:themeColor="text1"/>
          <w:szCs w:val="21"/>
          <w:highlight w:val="none"/>
          <w:u w:val="single"/>
          <w14:textFill>
            <w14:solidFill>
              <w14:schemeClr w14:val="tx1"/>
            </w14:solidFill>
          </w14:textFill>
        </w:rPr>
        <w:t xml:space="preserve">（计划于何时验收/供应商提出验收申请之日起   日内组织验收） </w:t>
      </w:r>
      <w:r>
        <w:rPr>
          <w:highlight w:val="none"/>
        </w:rP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（3）履约验收方式：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一次性验收         </w:t>
      </w:r>
      <w:r>
        <w:rPr>
          <w:highlight w:val="none"/>
        </w:rP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分期/分项验收：</w:t>
      </w:r>
      <w:r>
        <w:rPr>
          <w:rFonts w:hint="eastAsia" w:ascii="宋体" w:hAnsi="宋体"/>
          <w:bCs/>
          <w:color w:val="000000" w:themeColor="text1"/>
          <w:szCs w:val="21"/>
          <w:highlight w:val="none"/>
          <w:u w:val="single"/>
          <w14:textFill>
            <w14:solidFill>
              <w14:schemeClr w14:val="tx1"/>
            </w14:solidFill>
          </w14:textFill>
        </w:rPr>
        <w:t xml:space="preserve"> （应明确分期</w:t>
      </w:r>
      <w:r>
        <w:rPr>
          <w:rFonts w:ascii="宋体" w:hAnsi="宋体"/>
          <w:bCs/>
          <w:color w:val="000000" w:themeColor="text1"/>
          <w:szCs w:val="21"/>
          <w:highlight w:val="none"/>
          <w:u w:val="single"/>
          <w:lang w:val="en"/>
          <w14:textFill>
            <w14:solidFill>
              <w14:schemeClr w14:val="tx1"/>
            </w14:solidFill>
          </w14:textFill>
        </w:rPr>
        <w:t xml:space="preserve">/</w:t>
      </w:r>
      <w:r>
        <w:rPr>
          <w:rFonts w:hint="eastAsia" w:ascii="宋体" w:hAnsi="宋体"/>
          <w:bCs/>
          <w:color w:val="000000" w:themeColor="text1"/>
          <w:szCs w:val="21"/>
          <w:highlight w:val="none"/>
          <w:u w:val="single"/>
          <w:lang w:val="en"/>
          <w14:textFill>
            <w14:solidFill>
              <w14:schemeClr w14:val="tx1"/>
            </w14:solidFill>
          </w14:textFill>
        </w:rPr>
        <w:t xml:space="preserve">分项验收的工作安排</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（4）履约验收程序：</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（5）履约验收的内容：</w:t>
      </w:r>
      <w:r>
        <w:rPr>
          <w:rFonts w:hint="eastAsia" w:ascii="宋体" w:hAnsi="宋体"/>
          <w:bCs/>
          <w:color w:val="000000" w:themeColor="text1"/>
          <w:szCs w:val="21"/>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r>
        <w:rPr>
          <w:highlight w:val="none"/>
        </w:rP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（6）履约验收标准：</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pStyle w:val="98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否</w:t>
      </w:r>
      <w:r>
        <w:rPr>
          <w:highlight w:val="none"/>
        </w:rPr>
      </w:r>
    </w:p>
    <w:p>
      <w:pPr>
        <w:ind w:firstLine="420"/>
        <w:spacing w:line="400" w:lineRule="exact"/>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r>
        <w:rPr>
          <w:highlight w:val="none"/>
        </w:rP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组成合同的文件</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本协议书与下列文件一起构成合同文件，如下述文件之间有任何抵触、矛盾或歧义，应按以下顺序解释：</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（1）政府采购合同协议书及其变更、补充协议</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（2）政府采购合同专用条款</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（3）政府采购合同通用条款</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（4）中标（成交）通知书</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（5）投标（响应）文件</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（6）采购文件</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（7）有关技术文件，图纸</w:t>
      </w:r>
      <w:r>
        <w:rPr>
          <w:highlight w:val="none"/>
        </w:rPr>
      </w:r>
    </w:p>
    <w:p>
      <w:pPr>
        <w:pStyle w:val="98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（8）国家法律、行政法规和规章制度规定或合同约定的作为合同组成部分的其他文件</w:t>
      </w:r>
      <w:r>
        <w:rPr>
          <w:highlight w:val="none"/>
        </w:rP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合同生效</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生效。</w:t>
      </w:r>
      <w:r>
        <w:rPr>
          <w:highlight w:val="none"/>
        </w:rPr>
      </w:r>
    </w:p>
    <w:p>
      <w:pPr>
        <w:numPr>
          <w:ilvl w:val="0"/>
          <w:numId w:val="5"/>
        </w:numPr>
        <w:ind w:firstLine="42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合同份数</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份，甲方执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份，乙方执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份，均具有同等法律效力。</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合同订立地点：</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附件：具体标的及其技术要求和商务要求、联合协议、分包意向协议等</w:t>
      </w:r>
      <w:r>
        <w:rPr>
          <w:highlight w:val="none"/>
        </w:rPr>
      </w:r>
    </w:p>
    <w:p>
      <w:pPr>
        <w:pStyle w:val="873"/>
        <w:spacing w:line="400" w:lineRule="exact"/>
        <w:rPr>
          <w:rFonts w:ascii="宋体" w:hAnsi="宋体"/>
          <w:b w:val="0"/>
          <w:bCs w:val="0"/>
          <w:color w:val="000000" w:themeColor="text1"/>
          <w:sz w:val="21"/>
          <w:szCs w:val="21"/>
          <w:highlight w:val="none"/>
          <w14:textFill>
            <w14:solidFill>
              <w14:schemeClr w14:val="tx1"/>
            </w14:solidFill>
          </w14:textFill>
        </w:rPr>
      </w:pPr>
      <w:r>
        <w:rPr>
          <w:color w:val="000000" w:themeColor="text1"/>
          <w:highlight w:val="none"/>
          <w:lang w:val="en"/>
          <w14:textFill>
            <w14:solidFill>
              <w14:schemeClr w14:val="tx1"/>
            </w14:solidFill>
          </w14:textFill>
        </w:rPr>
        <w:t xml:space="preserve">   </w:t>
      </w:r>
      <w:r>
        <w:rPr>
          <w:highlight w:val="none"/>
        </w:rP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tbl>
      <w:tblPr>
        <w:tblStyle w:val="701"/>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val="false"/>
          </w:tcPr>
          <w:p>
            <w:pPr>
              <w:jc w:val="center"/>
              <w:spacing w:line="300" w:lineRule="exact"/>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甲方</w:t>
            </w:r>
            <w:r>
              <w:rPr>
                <w:rFonts w:hint="eastAsia"/>
                <w:color w:val="000000" w:themeColor="text1"/>
                <w:szCs w:val="21"/>
                <w:highlight w:val="none"/>
                <w14:textFill>
                  <w14:solidFill>
                    <w14:schemeClr w14:val="tx1"/>
                  </w14:solidFill>
                </w14:textFill>
              </w:rPr>
              <w:t xml:space="preserve">（采购人</w:t>
            </w:r>
            <w:r>
              <w:rPr>
                <w:rFonts w:hint="eastAsia" w:ascii="宋体" w:hAnsi="宋体"/>
                <w:color w:val="000000" w:themeColor="text1"/>
                <w:szCs w:val="21"/>
                <w:highlight w:val="none"/>
                <w14:textFill>
                  <w14:solidFill>
                    <w14:schemeClr w14:val="tx1"/>
                  </w14:solidFill>
                </w14:textFill>
              </w:rPr>
              <w:t xml:space="preserve">、受采购人委托签订合同的单位或</w:t>
            </w:r>
            <w:r>
              <w:rPr>
                <w:rFonts w:hint="eastAsia"/>
                <w:color w:val="000000" w:themeColor="text1"/>
                <w:szCs w:val="21"/>
                <w:highlight w:val="none"/>
                <w14:textFill>
                  <w14:solidFill>
                    <w14:schemeClr w14:val="tx1"/>
                  </w14:solidFill>
                </w14:textFill>
              </w:rPr>
              <w:t xml:space="preserve">采购文件约定的合同甲方）</w:t>
            </w:r>
            <w:r>
              <w:rPr>
                <w:highlight w:val="none"/>
              </w:rPr>
            </w:r>
          </w:p>
        </w:tc>
        <w:tc>
          <w:tcPr>
            <w:gridSpan w:val="2"/>
            <w:tcW w:w="4098" w:type="dxa"/>
            <w:vAlign w:val="center"/>
            <w:textDirection w:val="lrTb"/>
            <w:noWrap w:val="false"/>
          </w:tcPr>
          <w:p>
            <w:pPr>
              <w:jc w:val="center"/>
              <w:spacing w:line="300" w:lineRule="exact"/>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乙方</w:t>
            </w:r>
            <w:r>
              <w:rPr>
                <w:rFonts w:hint="eastAsia"/>
                <w:color w:val="000000" w:themeColor="text1"/>
                <w:szCs w:val="21"/>
                <w:highlight w:val="none"/>
                <w14:textFill>
                  <w14:solidFill>
                    <w14:schemeClr w14:val="tx1"/>
                  </w14:solidFill>
                </w14:textFill>
              </w:rPr>
              <w:t xml:space="preserve">（供应商）</w:t>
            </w:r>
            <w:r>
              <w:rPr>
                <w:highlight w:val="none"/>
              </w:rPr>
            </w:r>
          </w:p>
        </w:tc>
      </w:tr>
      <w:tr>
        <w:trPr>
          <w:trHeight w:val="917"/>
        </w:trPr>
        <w:tc>
          <w:tcPr>
            <w:tcW w:w="112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w:t>
            </w:r>
            <w:r>
              <w:rPr>
                <w:rFonts w:hint="eastAsia"/>
                <w:color w:val="000000" w:themeColor="text1"/>
                <w:szCs w:val="21"/>
                <w:highlight w:val="none"/>
                <w14:textFill>
                  <w14:solidFill>
                    <w14:schemeClr w14:val="tx1"/>
                  </w14:solidFill>
                </w14:textFill>
              </w:rPr>
              <w:t xml:space="preserve">（公章或合同章）</w:t>
            </w:r>
            <w:r>
              <w:rPr>
                <w:highlight w:val="none"/>
              </w:rPr>
            </w:r>
          </w:p>
        </w:tc>
        <w:tc>
          <w:tcPr>
            <w:tcW w:w="143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17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w:t>
            </w:r>
            <w:r>
              <w:rPr>
                <w:rFonts w:hint="eastAsia"/>
                <w:color w:val="000000" w:themeColor="text1"/>
                <w:szCs w:val="21"/>
                <w:highlight w:val="none"/>
                <w14:textFill>
                  <w14:solidFill>
                    <w14:schemeClr w14:val="tx1"/>
                  </w14:solidFill>
                </w14:textFill>
              </w:rPr>
              <w:t xml:space="preserve">（公章或合同章）</w:t>
            </w:r>
            <w:r>
              <w:rPr>
                <w:highlight w:val="none"/>
              </w:rPr>
            </w:r>
          </w:p>
        </w:tc>
        <w:tc>
          <w:tcPr>
            <w:tcW w:w="1259"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1171"/>
        </w:trPr>
        <w:tc>
          <w:tcPr>
            <w:tcW w:w="1126" w:type="dxa"/>
            <w:vAlign w:val="center"/>
            <w:vMerge w:val="restart"/>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w:t>
            </w:r>
            <w:r>
              <w:rPr>
                <w:highlight w:val="none"/>
              </w:rPr>
            </w:r>
          </w:p>
          <w:p>
            <w:pPr>
              <w:ind w:firstLine="100"/>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或其</w:t>
            </w:r>
            <w:r>
              <w:rPr>
                <w:color w:val="000000" w:themeColor="text1"/>
                <w:szCs w:val="21"/>
                <w:highlight w:val="none"/>
                <w14:textFill>
                  <w14:solidFill>
                    <w14:schemeClr w14:val="tx1"/>
                  </w14:solidFill>
                </w14:textFill>
              </w:rPr>
              <w:t xml:space="preserve">委托代理人</w:t>
            </w:r>
            <w:r>
              <w:rPr>
                <w:rFonts w:hint="eastAsia"/>
                <w:color w:val="000000" w:themeColor="text1"/>
                <w:szCs w:val="21"/>
                <w:highlight w:val="none"/>
                <w14:textFill>
                  <w14:solidFill>
                    <w14:schemeClr w14:val="tx1"/>
                  </w14:solidFill>
                </w14:textFill>
              </w:rPr>
              <w:t xml:space="preserve">（签章）</w:t>
            </w:r>
            <w:r>
              <w:rPr>
                <w:highlight w:val="none"/>
              </w:rPr>
            </w:r>
          </w:p>
        </w:tc>
        <w:tc>
          <w:tcPr>
            <w:tcW w:w="1436" w:type="dxa"/>
            <w:vAlign w:val="center"/>
            <w:vMerge w:val="restart"/>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17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w:t>
            </w:r>
            <w:r>
              <w:rPr>
                <w:highlight w:val="none"/>
              </w:rPr>
            </w:r>
          </w:p>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或其</w:t>
            </w:r>
            <w:r>
              <w:rPr>
                <w:color w:val="000000" w:themeColor="text1"/>
                <w:szCs w:val="21"/>
                <w:highlight w:val="none"/>
                <w14:textFill>
                  <w14:solidFill>
                    <w14:schemeClr w14:val="tx1"/>
                  </w14:solidFill>
                </w14:textFill>
              </w:rPr>
              <w:t xml:space="preserve">委托代理人</w:t>
            </w:r>
            <w:r>
              <w:rPr>
                <w:rFonts w:hint="eastAsia"/>
                <w:color w:val="000000" w:themeColor="text1"/>
                <w:szCs w:val="21"/>
                <w:highlight w:val="none"/>
                <w14:textFill>
                  <w14:solidFill>
                    <w14:schemeClr w14:val="tx1"/>
                  </w14:solidFill>
                </w14:textFill>
              </w:rPr>
              <w:t xml:space="preserve">（签章）</w:t>
            </w:r>
            <w:r>
              <w:rPr>
                <w:highlight w:val="none"/>
              </w:rPr>
            </w:r>
          </w:p>
        </w:tc>
        <w:tc>
          <w:tcPr>
            <w:tcW w:w="1259"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r>
      <w:tr>
        <w:trP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拥有者性别</w:t>
            </w:r>
            <w:r>
              <w:rPr>
                <w:highlight w:val="none"/>
              </w:rPr>
            </w:r>
          </w:p>
        </w:tc>
        <w:tc>
          <w:tcPr>
            <w:tcW w:w="1259"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112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住  所</w:t>
            </w:r>
            <w:r>
              <w:rPr>
                <w:highlight w:val="none"/>
              </w:rPr>
            </w:r>
          </w:p>
        </w:tc>
        <w:tc>
          <w:tcPr>
            <w:tcW w:w="143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17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住  所</w:t>
            </w:r>
            <w:r>
              <w:rPr>
                <w:highlight w:val="none"/>
              </w:rPr>
            </w:r>
          </w:p>
        </w:tc>
        <w:tc>
          <w:tcPr>
            <w:tcW w:w="1259"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112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 系 人</w:t>
            </w:r>
            <w:r>
              <w:rPr>
                <w:highlight w:val="none"/>
              </w:rPr>
            </w:r>
          </w:p>
        </w:tc>
        <w:tc>
          <w:tcPr>
            <w:tcW w:w="143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17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 系 人</w:t>
            </w:r>
            <w:r>
              <w:rPr>
                <w:highlight w:val="none"/>
              </w:rPr>
            </w:r>
          </w:p>
        </w:tc>
        <w:tc>
          <w:tcPr>
            <w:tcW w:w="1259"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112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联系电话</w:t>
            </w:r>
            <w:r>
              <w:rPr>
                <w:highlight w:val="none"/>
              </w:rPr>
            </w:r>
          </w:p>
        </w:tc>
        <w:tc>
          <w:tcPr>
            <w:tcW w:w="143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17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联系电话</w:t>
            </w:r>
            <w:r>
              <w:rPr>
                <w:highlight w:val="none"/>
              </w:rPr>
            </w:r>
          </w:p>
        </w:tc>
        <w:tc>
          <w:tcPr>
            <w:tcW w:w="1259"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112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通信地址</w:t>
            </w:r>
            <w:r>
              <w:rPr>
                <w:highlight w:val="none"/>
              </w:rPr>
            </w:r>
          </w:p>
        </w:tc>
        <w:tc>
          <w:tcPr>
            <w:tcW w:w="143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17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通信地址</w:t>
            </w:r>
            <w:r>
              <w:rPr>
                <w:highlight w:val="none"/>
              </w:rPr>
            </w:r>
          </w:p>
        </w:tc>
        <w:tc>
          <w:tcPr>
            <w:tcW w:w="1259"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112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邮政编码</w:t>
            </w:r>
            <w:r>
              <w:rPr>
                <w:highlight w:val="none"/>
              </w:rPr>
            </w:r>
          </w:p>
        </w:tc>
        <w:tc>
          <w:tcPr>
            <w:tcW w:w="143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17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邮政编码</w:t>
            </w:r>
            <w:r>
              <w:rPr>
                <w:highlight w:val="none"/>
              </w:rPr>
            </w:r>
          </w:p>
        </w:tc>
        <w:tc>
          <w:tcPr>
            <w:tcW w:w="1259"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112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电子邮箱</w:t>
            </w:r>
            <w:r>
              <w:rPr>
                <w:highlight w:val="none"/>
              </w:rPr>
            </w:r>
          </w:p>
        </w:tc>
        <w:tc>
          <w:tcPr>
            <w:tcW w:w="143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17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电子邮箱</w:t>
            </w:r>
            <w:r>
              <w:rPr>
                <w:highlight w:val="none"/>
              </w:rPr>
            </w:r>
          </w:p>
        </w:tc>
        <w:tc>
          <w:tcPr>
            <w:tcW w:w="1259"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112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统一社会信用代码</w:t>
            </w:r>
            <w:r>
              <w:rPr>
                <w:highlight w:val="none"/>
              </w:rPr>
            </w:r>
          </w:p>
        </w:tc>
        <w:tc>
          <w:tcPr>
            <w:tcW w:w="143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17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统一社会信用代码</w:t>
            </w:r>
            <w:r>
              <w:rPr>
                <w:highlight w:val="none"/>
              </w:rPr>
            </w:r>
          </w:p>
        </w:tc>
        <w:tc>
          <w:tcPr>
            <w:tcW w:w="1259"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112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43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17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开户名称</w:t>
            </w:r>
            <w:r>
              <w:rPr>
                <w:highlight w:val="none"/>
              </w:rPr>
            </w:r>
          </w:p>
        </w:tc>
        <w:tc>
          <w:tcPr>
            <w:tcW w:w="1259"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112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43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17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开户银行</w:t>
            </w:r>
            <w:r>
              <w:rPr>
                <w:highlight w:val="none"/>
              </w:rPr>
            </w:r>
          </w:p>
        </w:tc>
        <w:tc>
          <w:tcPr>
            <w:tcW w:w="1259"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483"/>
        </w:trPr>
        <w:tc>
          <w:tcPr>
            <w:tcW w:w="112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436"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tc>
        <w:tc>
          <w:tcPr>
            <w:tcW w:w="1178" w:type="dxa"/>
            <w:vAlign w:val="center"/>
            <w:textDirection w:val="lrTb"/>
            <w:noWrap w:val="false"/>
          </w:tcPr>
          <w:p>
            <w:pPr>
              <w:jc w:val="center"/>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银行账号</w:t>
            </w:r>
            <w:r>
              <w:rPr>
                <w:highlight w:val="none"/>
              </w:rPr>
            </w:r>
          </w:p>
        </w:tc>
        <w:tc>
          <w:tcPr>
            <w:tcW w:w="1259" w:type="dxa"/>
            <w:vAlign w:val="center"/>
            <w:textDirection w:val="lrTb"/>
            <w:noWrap w:val="false"/>
          </w:tcPr>
          <w:p>
            <w:pPr>
              <w:jc w:val="center"/>
              <w:spacing w:line="300" w:lineRule="exact"/>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rPr>
                <w:highlight w:val="none"/>
              </w:rPr>
            </w:r>
          </w:p>
        </w:tc>
      </w:tr>
      <w:tr>
        <w:trPr>
          <w:trHeight w:val="586"/>
        </w:trPr>
        <w:tc>
          <w:tcPr>
            <w:gridSpan w:val="4"/>
            <w:tcW w:w="8403" w:type="dxa"/>
            <w:vAlign w:val="center"/>
            <w:textDirection w:val="lrTb"/>
            <w:noWrap w:val="false"/>
          </w:tcPr>
          <w:p>
            <w:pPr>
              <w:pStyle w:val="903"/>
              <w:ind w:left="0"/>
              <w:jc w:val="left"/>
              <w:spacing w:before="156" w:after="0" w:line="360" w:lineRule="auto"/>
              <w:rPr>
                <w:color w:val="000000" w:themeColor="text1"/>
                <w:spacing w:val="2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注：涉及联合体或其他合同主体的信息应按上表格式加列。</w:t>
            </w:r>
            <w:r>
              <w:rPr>
                <w:highlight w:val="none"/>
              </w:rPr>
            </w:r>
          </w:p>
        </w:tc>
      </w:tr>
    </w:tbl>
    <w:p>
      <w:pPr>
        <w:pStyle w:val="873"/>
        <w:spacing w:before="156"/>
        <w:rPr>
          <w:rFonts w:ascii="黑体" w:hAnsi="黑体" w:eastAsia="黑体"/>
          <w:color w:val="000000" w:themeColor="text1"/>
          <w:sz w:val="28"/>
          <w:szCs w:val="28"/>
          <w:highlight w:val="non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br w:type="page" w:clear="all"/>
      </w:r>
      <w:r>
        <w:rPr>
          <w:rFonts w:hint="eastAsia" w:ascii="黑体" w:hAnsi="黑体" w:eastAsia="黑体"/>
          <w:b w:val="0"/>
          <w:bCs w:val="0"/>
          <w:color w:val="000000" w:themeColor="text1"/>
          <w:sz w:val="28"/>
          <w:szCs w:val="28"/>
          <w:highlight w:val="none"/>
          <w14:textFill>
            <w14:solidFill>
              <w14:schemeClr w14:val="tx1"/>
            </w14:solidFill>
          </w14:textFill>
        </w:rPr>
        <w:t xml:space="preserve">第二节 政府采购合同通用条款</w:t>
      </w:r>
      <w:r>
        <w:rPr>
          <w:highlight w:val="none"/>
        </w:rPr>
      </w:r>
    </w:p>
    <w:p>
      <w:pPr>
        <w:jc w:val="left"/>
        <w:spacing w:line="400" w:lineRule="exact"/>
        <w:tabs>
          <w:tab w:val="left" w:pos="8820" w:leader="none"/>
          <w:tab w:val="left" w:pos="9345" w:leader="none"/>
          <w:tab w:val="left" w:pos="9765" w:leader="none"/>
        </w:tabs>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 </w:t>
      </w:r>
      <w:r>
        <w:rPr>
          <w:rFonts w:hint="eastAsia" w:ascii="宋体" w:hAnsi="宋体"/>
          <w:b/>
          <w:bCs/>
          <w:color w:val="000000" w:themeColor="text1"/>
          <w:sz w:val="24"/>
          <w:highlight w:val="none"/>
          <w14:textFill>
            <w14:solidFill>
              <w14:schemeClr w14:val="tx1"/>
            </w14:solidFill>
          </w14:textFill>
        </w:rPr>
        <w:t xml:space="preserve">定义</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numPr>
          <w:ilvl w:val="0"/>
          <w:numId w:val="8"/>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rPr>
          <w:highlight w:val="none"/>
        </w:rPr>
      </w:r>
    </w:p>
    <w:p>
      <w:pPr>
        <w:ind w:firstLine="420"/>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rPr>
          <w:highlight w:val="none"/>
        </w:rP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rPr>
          <w:highlight w:val="none"/>
        </w:rPr>
      </w:r>
    </w:p>
    <w:p>
      <w:pPr>
        <w:ind w:firstLine="420"/>
        <w:spacing w:line="400" w:lineRule="exact"/>
        <w:rPr>
          <w:rFonts w:eastAsia="华文楷体"/>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乙方有权根据合同约定向甲方收取合同价款。</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约定应由乙方承担的其他义务和责任。</w:t>
      </w:r>
      <w:r>
        <w:rPr>
          <w:highlight w:val="none"/>
        </w:rPr>
      </w:r>
    </w:p>
    <w:p>
      <w:pPr>
        <w:numPr>
          <w:ilvl w:val="0"/>
          <w:numId w:val="9"/>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rPr>
          <w:highlight w:val="none"/>
        </w:rP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rPr>
          <w:highlight w:val="none"/>
        </w:rPr>
      </w:r>
    </w:p>
    <w:p>
      <w:pPr>
        <w:pStyle w:val="982"/>
        <w:ind w:firstLine="420"/>
        <w:rPr>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rPr>
          <w:highlight w:val="none"/>
        </w:rP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8. 质量标准和保证</w:t>
      </w:r>
      <w:r>
        <w:rPr>
          <w:highlight w:val="none"/>
        </w:rPr>
      </w:r>
    </w:p>
    <w:p>
      <w:pPr>
        <w:pStyle w:val="908"/>
        <w:ind w:firstLine="420"/>
        <w:jc w:val="left"/>
        <w:spacing w:line="400" w:lineRule="exact"/>
        <w:rPr>
          <w:rFonts w:hAnsi="宋体"/>
          <w:b/>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8.1 质量标准</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p>
    <w:p>
      <w:pPr>
        <w:pStyle w:val="908"/>
        <w:ind w:firstLine="420"/>
        <w:jc w:val="left"/>
        <w:spacing w:line="400" w:lineRule="exact"/>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（2）采用中华人民共和国法定计量单位。</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none"/>
        </w:rP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9. 权利瑕疵担保</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11. 保密义务</w:t>
      </w:r>
      <w:r>
        <w:rPr>
          <w:highlight w:val="none"/>
        </w:rPr>
      </w:r>
    </w:p>
    <w:p>
      <w:pPr>
        <w:ind w:firstLine="420"/>
        <w:jc w:val="left"/>
        <w:spacing w:line="400" w:lineRule="exact"/>
        <w:rPr>
          <w:rFonts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12. 合同价款支付</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】中约定。</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13. 履约保证金</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p>
    <w:p>
      <w:pPr>
        <w:ind w:firstLine="420"/>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rPr>
          <w:highlight w:val="none"/>
        </w:rP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14. </w:t>
      </w:r>
      <w:r>
        <w:rPr>
          <w:rFonts w:hint="eastAsia"/>
          <w:b/>
          <w:color w:val="000000" w:themeColor="text1"/>
          <w:sz w:val="24"/>
          <w:highlight w:val="none"/>
          <w14:textFill>
            <w14:solidFill>
              <w14:schemeClr w14:val="tx1"/>
            </w14:solidFill>
          </w14:textFill>
        </w:rPr>
        <w:t xml:space="preserve">售后</w:t>
      </w:r>
      <w:r>
        <w:rPr>
          <w:rFonts w:hint="eastAsia" w:ascii="宋体" w:hAnsi="宋体"/>
          <w:b/>
          <w:color w:val="000000" w:themeColor="text1"/>
          <w:sz w:val="24"/>
          <w:highlight w:val="none"/>
          <w14:textFill>
            <w14:solidFill>
              <w14:schemeClr w14:val="tx1"/>
            </w14:solidFill>
          </w14:textFill>
        </w:rPr>
        <w:t xml:space="preserve">服务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rPr>
          <w:highlight w:val="none"/>
        </w:rPr>
      </w:r>
    </w:p>
    <w:p>
      <w:pPr>
        <w:pStyle w:val="98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15. 违约责任</w:t>
      </w:r>
      <w:r>
        <w:rPr>
          <w:highlight w:val="none"/>
        </w:rP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rPr>
          <w:highlight w:val="none"/>
        </w:rP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rPr>
          <w:highlight w:val="none"/>
        </w:rPr>
      </w:r>
    </w:p>
    <w:p>
      <w:pPr>
        <w:numPr>
          <w:ilvl w:val="0"/>
          <w:numId w:val="10"/>
        </w:num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合同变更、中止与终止</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16.1合同的变更</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p>
    <w:p>
      <w:pPr>
        <w:pStyle w:val="982"/>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p>
    <w:p>
      <w:pPr>
        <w:ind w:firstLine="420"/>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rPr>
          <w:highlight w:val="none"/>
        </w:rP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pStyle w:val="982"/>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16.4 </w:t>
      </w:r>
      <w:r>
        <w:rPr>
          <w:rFonts w:hint="eastAsia" w:ascii="宋体" w:hAnsi="宋体" w:eastAsia="宋体" w:cs="Times New Roman"/>
          <w:color w:val="000000" w:themeColor="text1"/>
          <w:sz w:val="21"/>
          <w:highlight w:val="none"/>
          <w14:textFill>
            <w14:solidFill>
              <w14:schemeClr w14:val="tx1"/>
            </w14:solidFill>
          </w14:textFill>
        </w:rPr>
        <w:t xml:space="preserve">涉及国家利益、社会公共利益的情形</w:t>
      </w:r>
      <w:r>
        <w:rPr>
          <w:highlight w:val="none"/>
        </w:rPr>
      </w:r>
    </w:p>
    <w:p>
      <w:pPr>
        <w:pStyle w:val="982"/>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17. 合同分包</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18. 不可抗力</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19. 解决争议的方法</w:t>
      </w:r>
      <w:r>
        <w:rPr>
          <w:highlight w:val="none"/>
        </w:rPr>
      </w:r>
    </w:p>
    <w:p>
      <w:pPr>
        <w:pStyle w:val="98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p>
    <w:p>
      <w:pPr>
        <w:pStyle w:val="98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rPr>
          <w:highlight w:val="none"/>
        </w:rPr>
      </w:r>
    </w:p>
    <w:p>
      <w:pPr>
        <w:pStyle w:val="98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rPr>
          <w:highlight w:val="none"/>
        </w:rPr>
      </w:r>
    </w:p>
    <w:p>
      <w:pPr>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20. 政府采购政策</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highlight w:val="none"/>
          <w:lang w:val="en-GB"/>
          <w14:textFill>
            <w14:solidFill>
              <w14:schemeClr w14:val="tx1"/>
            </w14:solidFill>
          </w14:textFill>
        </w:rPr>
        <w:t xml:space="preserve">本合同应当按照规定执行政府采购政策。</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highlight w:val="none"/>
          <w14:textFill>
            <w14:solidFill>
              <w14:schemeClr w14:val="tx1"/>
            </w14:solidFill>
          </w14:textFill>
        </w:rPr>
        <w:t xml:space="preserve">甲乙双方</w:t>
      </w:r>
      <w:r>
        <w:rPr>
          <w:rFonts w:hint="eastAsia" w:ascii="宋体" w:hAnsi="宋体" w:cs="宋体"/>
          <w:color w:val="000000" w:themeColor="text1"/>
          <w:highlight w:val="none"/>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21. 法律适用</w:t>
      </w:r>
      <w:r>
        <w:rPr>
          <w:highlight w:val="none"/>
        </w:rPr>
      </w:r>
    </w:p>
    <w:p>
      <w:pPr>
        <w:pStyle w:val="98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 本合同的订立、生效、解释、履行及与本合同有关的争议解决，均适用法律、行政法规。</w:t>
      </w:r>
      <w:r>
        <w:rPr>
          <w:highlight w:val="none"/>
        </w:rPr>
      </w:r>
    </w:p>
    <w:p>
      <w:pPr>
        <w:pStyle w:val="98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rPr>
          <w:highlight w:val="none"/>
        </w:rPr>
      </w:r>
    </w:p>
    <w:p>
      <w:pPr>
        <w:jc w:val="left"/>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22. 通知</w:t>
      </w:r>
      <w:r>
        <w:rPr>
          <w:highlight w:val="none"/>
        </w:rPr>
      </w:r>
    </w:p>
    <w:p>
      <w:pPr>
        <w:pStyle w:val="98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rPr>
          <w:highlight w:val="none"/>
        </w:rPr>
      </w:r>
    </w:p>
    <w:p>
      <w:pPr>
        <w:pStyle w:val="982"/>
        <w:ind w:firstLine="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rPr>
          <w:highlight w:val="none"/>
        </w:rP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rPr>
          <w:highlight w:val="none"/>
        </w:rPr>
      </w:r>
    </w:p>
    <w:p>
      <w:pPr>
        <w:numPr>
          <w:ilvl w:val="0"/>
          <w:numId w:val="11"/>
        </w:num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合同未尽事项</w:t>
      </w:r>
      <w:r>
        <w:rPr>
          <w:highlight w:val="none"/>
        </w:rPr>
      </w:r>
    </w:p>
    <w:p>
      <w:pPr>
        <w:ind w:firstLine="42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rPr>
          <w:highlight w:val="none"/>
        </w:rPr>
      </w:r>
    </w:p>
    <w:p>
      <w:pPr>
        <w:jc w:val="left"/>
        <w:spacing w:line="400" w:lineRule="exact"/>
        <w:rPr>
          <w:rFonts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23.2 合同附件与合同正文具有同等的法律效力。</w:t>
      </w:r>
      <w:r>
        <w:rPr>
          <w:highlight w:val="none"/>
        </w:rPr>
      </w:r>
    </w:p>
    <w:p>
      <w:pPr>
        <w:jc w:val="center"/>
        <w:rPr>
          <w:rFonts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rPr>
          <w:highlight w:val="none"/>
        </w:rPr>
      </w:r>
    </w:p>
    <w:p>
      <w:pPr>
        <w:pStyle w:val="873"/>
        <w:rPr>
          <w:rFonts w:ascii="黑体" w:hAnsi="华文中宋" w:eastAsia="黑体"/>
          <w:b w:val="0"/>
          <w:bCs w:val="0"/>
          <w:color w:val="000000" w:themeColor="text1"/>
          <w:sz w:val="28"/>
          <w:szCs w:val="28"/>
          <w:highlight w:val="none"/>
          <w14:textFill>
            <w14:solidFill>
              <w14:schemeClr w14:val="tx1"/>
            </w14:solidFill>
          </w14:textFill>
        </w:rPr>
      </w:pPr>
      <w:r>
        <w:rPr>
          <w:rFonts w:hint="eastAsia" w:ascii="黑体" w:hAnsi="华文中宋" w:eastAsia="黑体"/>
          <w:b w:val="0"/>
          <w:bCs w:val="0"/>
          <w:color w:val="000000" w:themeColor="text1"/>
          <w:sz w:val="28"/>
          <w:szCs w:val="28"/>
          <w:highlight w:val="none"/>
          <w14:textFill>
            <w14:solidFill>
              <w14:schemeClr w14:val="tx1"/>
            </w14:solidFill>
          </w14:textFill>
        </w:rPr>
        <w:t xml:space="preserve">第三节 政府采购合同专用条款</w:t>
      </w:r>
      <w:r>
        <w:rPr>
          <w:highlight w:val="none"/>
        </w:rPr>
      </w:r>
    </w:p>
    <w:tbl>
      <w:tblPr>
        <w:tblStyle w:val="70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第1.2（6）项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联合体具体要求</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60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第1.2（7）项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其他术语解释</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第4.4款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履约验收中甲方提出异议或作出说明的期限</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第4.6款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约定甲方承担的其他义务和责任</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第5.4款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约定乙方承担的其他义务和责任</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第6.1款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履行合同义务的顺序</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667"/>
        </w:trPr>
        <w:tc>
          <w:tcPr>
            <w:tcW w:w="1607" w:type="dxa"/>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第7.1款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包装特殊要求</w:t>
            </w:r>
            <w:r>
              <w:rPr>
                <w:highlight w:val="none"/>
              </w:rPr>
            </w:r>
          </w:p>
        </w:tc>
        <w:tc>
          <w:tcPr>
            <w:tcW w:w="5170"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tc>
      </w:tr>
      <w:tr>
        <w:trPr>
          <w:trHeight w:val="667"/>
        </w:trPr>
        <w:tc>
          <w:tcPr>
            <w:tcW w:w="1607" w:type="dxa"/>
            <w:vAlign w:val="center"/>
            <w:vMerge w:val="continue"/>
            <w:textDirection w:val="lrTb"/>
            <w:noWrap w:val="false"/>
          </w:tcPr>
          <w:p>
            <w:pPr>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指定现场</w:t>
            </w:r>
            <w:r>
              <w:rPr>
                <w:highlight w:val="none"/>
              </w:rPr>
            </w:r>
          </w:p>
        </w:tc>
        <w:tc>
          <w:tcPr>
            <w:tcW w:w="5170"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tc>
      </w:tr>
      <w:tr>
        <w:trPr>
          <w:trHeight w:val="772"/>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第7.2款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运输特殊要求</w:t>
            </w:r>
            <w:r>
              <w:rPr>
                <w:highlight w:val="none"/>
              </w:rPr>
            </w:r>
          </w:p>
        </w:tc>
        <w:tc>
          <w:tcPr>
            <w:tcW w:w="5170"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tc>
      </w:tr>
      <w:tr>
        <w:trPr>
          <w:trHeight w:val="66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第7.3款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保险要求</w:t>
            </w:r>
            <w:r>
              <w:rPr>
                <w:highlight w:val="none"/>
              </w:rPr>
            </w:r>
          </w:p>
        </w:tc>
        <w:tc>
          <w:tcPr>
            <w:tcW w:w="5170"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第8.2（1）项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质量保证期</w:t>
            </w:r>
            <w:r>
              <w:rPr>
                <w:highlight w:val="none"/>
              </w:rPr>
            </w:r>
          </w:p>
        </w:tc>
        <w:tc>
          <w:tcPr>
            <w:tcW w:w="5170" w:type="dxa"/>
            <w:vAlign w:val="center"/>
            <w:textDirection w:val="lrTb"/>
            <w:noWrap w:val="false"/>
          </w:tcPr>
          <w:p>
            <w:pPr>
              <w:ind w:firstLine="42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第8.2（3）项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货物质量缺陷</w:t>
            </w:r>
            <w:r>
              <w:rPr>
                <w:highlight w:val="none"/>
              </w:rP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响应时间</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rPr>
                <w:highlight w:val="none"/>
              </w:rPr>
            </w:r>
          </w:p>
          <w:p>
            <w:pPr>
              <w:pStyle w:val="982"/>
              <w:ind w:firstLine="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第11.1款</w:t>
            </w:r>
            <w:r>
              <w:rPr>
                <w:highlight w:val="none"/>
              </w:rP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其他应当保密的信息</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69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第12.2款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合同价款支付时间</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69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第13.2款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履约保证金不予退还的情形</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第13.3款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履约保证金退还时间及逾期退还的违约金</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78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第14.1（3）项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运行监督、维修期限</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78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第14.1（5）项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货物回收的约定</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第14.1（6）项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乙方提供的其他服务</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第15.1款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修理、重作、更换相关具体规定</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第15.2（2）项</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迟延交货赔偿费</w:t>
            </w:r>
            <w:r>
              <w:rPr>
                <w:highlight w:val="none"/>
              </w:rPr>
            </w:r>
          </w:p>
        </w:tc>
        <w:tc>
          <w:tcPr>
            <w:tcW w:w="5170" w:type="dxa"/>
            <w:vAlign w:val="center"/>
            <w:textDirection w:val="lrTb"/>
            <w:noWrap w:val="false"/>
          </w:tcPr>
          <w:p>
            <w:pPr>
              <w:jc w:val="left"/>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第15.3款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逾期付款利息</w:t>
            </w:r>
            <w:r>
              <w:rPr>
                <w:highlight w:val="none"/>
              </w:rPr>
            </w:r>
          </w:p>
        </w:tc>
        <w:tc>
          <w:tcPr>
            <w:tcW w:w="5170" w:type="dxa"/>
            <w:vAlign w:val="center"/>
            <w:textDirection w:val="lrTb"/>
            <w:noWrap w:val="false"/>
          </w:tcPr>
          <w:p>
            <w:pPr>
              <w:jc w:val="left"/>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rPr>
                <w:highlight w:val="none"/>
              </w:rPr>
            </w:r>
          </w:p>
        </w:tc>
      </w:tr>
      <w:tr>
        <w:trPr>
          <w:trHeight w:val="87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第15.4款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其他违约责任</w:t>
            </w:r>
            <w:r>
              <w:rPr>
                <w:highlight w:val="none"/>
              </w:rPr>
            </w:r>
          </w:p>
        </w:tc>
        <w:tc>
          <w:tcPr>
            <w:tcW w:w="5170" w:type="dxa"/>
            <w:vAlign w:val="center"/>
            <w:textDirection w:val="lrTb"/>
            <w:noWrap w:val="false"/>
          </w:tcPr>
          <w:p>
            <w:pPr>
              <w:jc w:val="left"/>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rPr>
                <w:highlight w:val="none"/>
              </w:rPr>
            </w:r>
          </w:p>
        </w:tc>
      </w:tr>
      <w:tr>
        <w:trPr>
          <w:trHeight w:val="90"/>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第19.2款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解决争议的方法</w:t>
            </w:r>
            <w:r>
              <w:rPr>
                <w:highlight w:val="none"/>
              </w:rPr>
            </w:r>
          </w:p>
        </w:tc>
        <w:tc>
          <w:tcPr>
            <w:tcW w:w="5170" w:type="dxa"/>
            <w:vAlign w:val="center"/>
            <w:textDirection w:val="lrTb"/>
            <w:noWrap w:val="false"/>
          </w:tcPr>
          <w:p>
            <w:pPr>
              <w:jc w:val="left"/>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因本合同及合同有关事项发生的争议，按下列第</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 xml:space="preserve">种方式解决：</w:t>
            </w:r>
            <w:r>
              <w:rPr>
                <w:highlight w:val="none"/>
              </w:rPr>
            </w:r>
          </w:p>
          <w:p>
            <w:pPr>
              <w:jc w:val="left"/>
              <w:spacing w:line="400" w:lineRule="exac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（1）向</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 xml:space="preserve">仲裁委员会申请仲裁，仲裁地点为</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 xml:space="preserve">；</w:t>
            </w:r>
            <w:r>
              <w:rPr>
                <w:highlight w:val="none"/>
              </w:rPr>
            </w:r>
          </w:p>
          <w:p>
            <w:pPr>
              <w:jc w:val="left"/>
              <w:rPr>
                <w:rFonts w:ascii="宋体" w:hAnsi="宋体"/>
                <w:color w:val="000000" w:themeColor="text1"/>
                <w:szCs w:val="21"/>
                <w:highlight w:val="none"/>
                <w:u w:val="singl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（2）向</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 xml:space="preserve">人民法院起诉。</w:t>
            </w:r>
            <w:r>
              <w:rPr>
                <w:highlight w:val="none"/>
              </w:rPr>
            </w:r>
          </w:p>
        </w:tc>
      </w:tr>
      <w:tr>
        <w:trPr>
          <w:trHeight w:val="770"/>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第23.1款</w:t>
            </w:r>
            <w:r>
              <w:rPr>
                <w:highlight w:val="none"/>
              </w:rPr>
            </w:r>
          </w:p>
        </w:tc>
        <w:tc>
          <w:tcPr>
            <w:tcW w:w="1742"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其他专用条款</w:t>
            </w:r>
            <w:r>
              <w:rPr>
                <w:highlight w:val="none"/>
              </w:rPr>
            </w:r>
          </w:p>
        </w:tc>
        <w:tc>
          <w:tcPr>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bl>
    <w:p>
      <w:pPr>
        <w:pStyle w:val="723"/>
        <w:jc w:val="center"/>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rPr>
          <w:highlight w:val="none"/>
        </w:rPr>
      </w:r>
    </w:p>
    <w:p>
      <w:pPr>
        <w:pStyle w:val="723"/>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r>
      <w:r>
        <w:rPr>
          <w:highlight w:val="none"/>
        </w:rP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rPr>
          <w:highlight w:val="none"/>
        </w:rP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rPr>
          <w:highlight w:val="none"/>
        </w:rP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rPr>
          <w:highlight w:val="none"/>
        </w:rPr>
      </w:r>
    </w:p>
    <w:p>
      <w:pPr>
        <w:jc w:val="center"/>
        <w:spacing w:before="120" w:after="120" w:line="0" w:lineRule="atLeast"/>
        <w:rPr>
          <w:rFonts w:ascii="黑体" w:hAnsi="Courier New" w:eastAsia="黑体" w:cs="Courier New"/>
          <w:bCs/>
          <w:color w:val="000000" w:themeColor="text1"/>
          <w:sz w:val="44"/>
          <w:szCs w:val="21"/>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r>
      <w:r>
        <w:rPr>
          <w:highlight w:val="none"/>
        </w:rPr>
      </w:r>
    </w:p>
    <w:p>
      <w:p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r>
      <w:r>
        <w:rPr>
          <w:highlight w:val="none"/>
        </w:rPr>
      </w:r>
    </w:p>
    <w:p>
      <w:pPr>
        <w:jc w:val="center"/>
        <w:spacing w:before="120" w:after="120" w:line="0" w:lineRule="atLeast"/>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r>
      <w:r>
        <w:rPr>
          <w:highlight w:val="none"/>
        </w:rPr>
      </w:r>
    </w:p>
    <w:p>
      <w:pPr>
        <w:rPr>
          <w:rFonts w:hint="eastAsia" w:ascii="黑体" w:hAnsi="Courier New" w:eastAsia="黑体" w:cs="Courier New"/>
          <w:bCs/>
          <w:color w:val="000000" w:themeColor="text1"/>
          <w:sz w:val="44"/>
          <w:szCs w:val="21"/>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br w:type="page" w:clear="all"/>
      </w:r>
      <w:r>
        <w:rPr>
          <w:highlight w:val="none"/>
        </w:rPr>
      </w:r>
    </w:p>
    <w:p>
      <w:pPr>
        <w:jc w:val="center"/>
        <w:spacing w:before="120" w:after="120" w:line="0" w:lineRule="atLeast"/>
        <w:rPr>
          <w:rFonts w:hint="eastAsia" w:ascii="宋体" w:hAnsi="宋体" w:cs="Courier New"/>
          <w:color w:val="000000" w:themeColor="text1"/>
          <w:sz w:val="24"/>
          <w:szCs w:val="24"/>
          <w:highlight w:val="none"/>
          <w14:textFill>
            <w14:solidFill>
              <w14:schemeClr w14:val="tx1"/>
            </w14:solidFill>
          </w14:textFill>
        </w:rPr>
      </w:pPr>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76"/>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采购需求</w:t>
      </w:r>
      <w:bookmarkEnd w:id="177"/>
      <w:r>
        <w:rPr>
          <w:highlight w:val="none"/>
        </w:rPr>
      </w:r>
      <w:bookmarkEnd w:id="178"/>
      <w:r>
        <w:rPr>
          <w:highlight w:val="none"/>
        </w:rPr>
      </w:r>
      <w:bookmarkEnd w:id="179"/>
      <w:r>
        <w:rPr>
          <w:highlight w:val="none"/>
        </w:rPr>
      </w:r>
      <w:r>
        <w:rPr>
          <w:highlight w:val="none"/>
        </w:rPr>
      </w:r>
    </w:p>
    <w:p>
      <w:pPr>
        <w:spacing w:line="0" w:lineRule="atLeast"/>
        <w:rPr>
          <w:rFonts w:ascii="宋体" w:hAnsi="宋体"/>
          <w:color w:val="000000" w:themeColor="text1"/>
          <w:sz w:val="24"/>
          <w:szCs w:val="24"/>
          <w:highlight w:val="none"/>
          <w14:textFill>
            <w14:solidFill>
              <w14:schemeClr w14:val="tx1"/>
            </w14:solidFill>
          </w14:textFill>
        </w:rPr>
      </w:pPr>
      <w:r>
        <w:rPr>
          <w:highlight w:val="none"/>
        </w:rPr>
      </w:r>
      <w:bookmarkStart w:id="182" w:name="_Toc26554093"/>
      <w:r>
        <w:rPr>
          <w:highlight w:val="none"/>
        </w:rPr>
      </w:r>
      <w:bookmarkStart w:id="183" w:name="_Toc49090575"/>
      <w:r>
        <w:rPr>
          <w:highlight w:val="none"/>
        </w:rPr>
      </w:r>
      <w:r>
        <w:rPr>
          <w:highlight w:val="none"/>
        </w:rPr>
      </w:r>
    </w:p>
    <w:p>
      <w:pPr>
        <w:spacing w:line="0" w:lineRule="atLeas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采购</w:t>
      </w:r>
      <w:r>
        <w:rPr>
          <w:rFonts w:ascii="宋体" w:hAnsi="宋体"/>
          <w:b/>
          <w:color w:val="000000" w:themeColor="text1"/>
          <w:sz w:val="24"/>
          <w:szCs w:val="24"/>
          <w:highlight w:val="none"/>
          <w14:textFill>
            <w14:solidFill>
              <w14:schemeClr w14:val="tx1"/>
            </w14:solidFill>
          </w14:textFill>
        </w:rPr>
        <w:t xml:space="preserve">标的清单</w:t>
      </w:r>
      <w:r>
        <w:rPr>
          <w:highlight w:val="none"/>
        </w:rP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vAlign w:val="top"/>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采购包</w:t>
            </w:r>
            <w:r>
              <w:rPr>
                <w:highlight w:val="none"/>
              </w:rPr>
            </w:r>
          </w:p>
        </w:tc>
        <w:tc>
          <w:tcPr>
            <w:tcW w:w="545"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rPr>
                <w:highlight w:val="none"/>
              </w:rPr>
            </w:r>
          </w:p>
        </w:tc>
        <w:tc>
          <w:tcPr>
            <w:tcW w:w="3291"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标的</w:t>
            </w:r>
            <w:r>
              <w:rPr>
                <w:highlight w:val="none"/>
              </w:rPr>
            </w:r>
          </w:p>
        </w:tc>
        <w:tc>
          <w:tcPr>
            <w:tcW w:w="2852"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对应中</w:t>
            </w:r>
            <w:r>
              <w:rPr>
                <w:rFonts w:ascii="宋体" w:hAnsi="宋体"/>
                <w:color w:val="000000" w:themeColor="text1"/>
                <w:sz w:val="24"/>
                <w:szCs w:val="24"/>
                <w:highlight w:val="none"/>
                <w14:textFill>
                  <w14:solidFill>
                    <w14:schemeClr w14:val="tx1"/>
                  </w14:solidFill>
                </w14:textFill>
              </w:rPr>
              <w:t xml:space="preserve">小企业划分标准所属行业</w:t>
            </w:r>
            <w:r>
              <w:rPr>
                <w:highlight w:val="none"/>
              </w:rPr>
            </w:r>
          </w:p>
        </w:tc>
      </w:tr>
      <w:tr>
        <w:trPr>
          <w:cantSplit/>
          <w:jc w:val="center"/>
          <w:trHeight w:val="291"/>
        </w:trPr>
        <w:tc>
          <w:tcPr>
            <w:tcW w:w="545"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highlight w:val="none"/>
              </w:rPr>
            </w:r>
          </w:p>
        </w:tc>
        <w:tc>
          <w:tcPr>
            <w:tcW w:w="545"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p>
        </w:tc>
        <w:tc>
          <w:tcPr>
            <w:tcW w:w="3291" w:type="dxa"/>
            <w:vAlign w:val="top"/>
            <w:textDirection w:val="lrTb"/>
            <w:noWrap w:val="false"/>
          </w:tcPr>
          <w:p>
            <w:pPr>
              <w:jc w:val="left"/>
              <w:spacing w:line="0" w:lineRule="atLeast"/>
              <w:tabs>
                <w:tab w:val="left" w:pos="2020" w:leader="none"/>
              </w:tabs>
              <w:rPr>
                <w:rFonts w:hint="eastAsia" w:ascii="宋体" w:hAnsi="宋体"/>
                <w:color w:val="000000" w:themeColor="text1"/>
                <w:sz w:val="24"/>
                <w:szCs w:val="24"/>
                <w:highlight w:val="none"/>
                <w14:textFill>
                  <w14:solidFill>
                    <w14:schemeClr w14:val="tx1"/>
                  </w14:solidFill>
                </w14:textFill>
              </w:rPr>
            </w:pPr>
            <w:r>
              <w:rPr>
                <w:rFonts w:hint="eastAsia"/>
                <w:sz w:val="24"/>
                <w:szCs w:val="24"/>
                <w:highlight w:val="none"/>
              </w:rPr>
              <w:t xml:space="preserve">江苏农牧科技职业学院</w:t>
            </w:r>
            <w:r>
              <w:rPr>
                <w:rFonts w:hint="eastAsia"/>
                <w:sz w:val="24"/>
                <w:szCs w:val="24"/>
                <w:highlight w:val="none"/>
                <w:lang w:val="en-US" w:eastAsia="zh-CN"/>
              </w:rPr>
              <w:t xml:space="preserve">2024教学用计算机</w:t>
            </w:r>
            <w:r>
              <w:rPr>
                <w:highlight w:val="none"/>
              </w:rPr>
            </w:r>
          </w:p>
        </w:tc>
        <w:tc>
          <w:tcPr>
            <w:tcW w:w="2852"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工业</w:t>
            </w:r>
            <w:r>
              <w:rPr>
                <w:highlight w:val="none"/>
              </w:rPr>
            </w:r>
          </w:p>
        </w:tc>
      </w:tr>
    </w:tbl>
    <w:p>
      <w:pPr>
        <w:spacing w:line="0" w:lineRule="atLeas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ind w:firstLine="514"/>
        <w:spacing w:line="460" w:lineRule="exact"/>
        <w:shd w:val="clear" w:color="auto" w:fill="ffffff"/>
        <w:widowControl/>
        <w:rPr>
          <w:b/>
          <w:color w:val="000000" w:themeColor="text1"/>
          <w:spacing w:val="8"/>
          <w:sz w:val="24"/>
          <w:highlight w:val="none"/>
          <w14:textFill>
            <w14:solidFill>
              <w14:schemeClr w14:val="tx1"/>
            </w14:solidFill>
          </w14:textFill>
        </w:rPr>
        <w:outlineLvl w:val="1"/>
      </w:pPr>
      <w:r>
        <w:rPr>
          <w:highlight w:val="none"/>
        </w:rPr>
      </w:r>
      <w:bookmarkStart w:id="184" w:name="_Toc120614281"/>
      <w:r>
        <w:rPr>
          <w:b/>
          <w:color w:val="000000" w:themeColor="text1"/>
          <w:spacing w:val="8"/>
          <w:sz w:val="24"/>
          <w:highlight w:val="none"/>
          <w14:textFill>
            <w14:solidFill>
              <w14:schemeClr w14:val="tx1"/>
            </w14:solidFill>
          </w14:textFill>
        </w:rPr>
        <w:t xml:space="preserve">一、招标设备名称及数量：</w:t>
      </w:r>
      <w:r>
        <w:rPr>
          <w:highlight w:val="none"/>
        </w:rPr>
      </w:r>
    </w:p>
    <w:tbl>
      <w:tblPr>
        <w:tblStyle w:val="701"/>
        <w:tblW w:w="0" w:type="auto"/>
        <w:tblInd w:w="6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2756"/>
        <w:gridCol w:w="939"/>
        <w:gridCol w:w="867"/>
        <w:gridCol w:w="2294"/>
      </w:tblGrid>
      <w:tr>
        <w:trPr>
          <w:trHeight w:val="720"/>
        </w:trPr>
        <w:tc>
          <w:tcPr>
            <w:tcW w:w="6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rPr>
                <w:highlight w:val="none"/>
              </w:rPr>
            </w:r>
          </w:p>
        </w:tc>
        <w:tc>
          <w:tcPr>
            <w:tcW w:w="275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设备名称</w:t>
            </w:r>
            <w:r>
              <w:rPr>
                <w:highlight w:val="none"/>
              </w:rPr>
            </w:r>
          </w:p>
        </w:tc>
        <w:tc>
          <w:tcPr>
            <w:tcW w:w="939"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rPr>
                <w:highlight w:val="none"/>
              </w:rPr>
            </w:r>
          </w:p>
        </w:tc>
        <w:tc>
          <w:tcPr>
            <w:tcW w:w="867"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w:t>
            </w:r>
            <w:r>
              <w:rPr>
                <w:highlight w:val="none"/>
              </w:rPr>
            </w:r>
          </w:p>
        </w:tc>
        <w:tc>
          <w:tcPr>
            <w:tcW w:w="2294"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是否核心产品</w:t>
            </w:r>
            <w:r>
              <w:rPr>
                <w:highlight w:val="none"/>
              </w:rPr>
            </w:r>
          </w:p>
        </w:tc>
      </w:tr>
      <w:tr>
        <w:trPr>
          <w:trHeight w:val="365"/>
        </w:trPr>
        <w:tc>
          <w:tcPr>
            <w:tcW w:w="6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p>
        </w:tc>
        <w:tc>
          <w:tcPr>
            <w:tcW w:w="275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台式计算机（配置一）</w:t>
            </w:r>
            <w:r>
              <w:rPr>
                <w:highlight w:val="none"/>
              </w:rPr>
            </w:r>
          </w:p>
        </w:tc>
        <w:tc>
          <w:tcPr>
            <w:tcW w:w="939"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257</w:t>
            </w:r>
            <w:r>
              <w:rPr>
                <w:highlight w:val="none"/>
              </w:rPr>
            </w:r>
          </w:p>
        </w:tc>
        <w:tc>
          <w:tcPr>
            <w:tcW w:w="867"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台</w:t>
            </w:r>
            <w:r>
              <w:rPr>
                <w:highlight w:val="none"/>
              </w:rPr>
            </w:r>
          </w:p>
        </w:tc>
        <w:tc>
          <w:tcPr>
            <w:tcW w:w="229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r>
        <w:trPr>
          <w:trHeight w:val="365"/>
        </w:trPr>
        <w:tc>
          <w:tcPr>
            <w:tcW w:w="6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highlight w:val="none"/>
              </w:rPr>
            </w:r>
          </w:p>
        </w:tc>
        <w:tc>
          <w:tcPr>
            <w:tcW w:w="275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台式计算机（配置二）</w:t>
            </w:r>
            <w:r>
              <w:rPr>
                <w:highlight w:val="none"/>
              </w:rPr>
            </w:r>
          </w:p>
        </w:tc>
        <w:tc>
          <w:tcPr>
            <w:tcW w:w="939"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552</w:t>
            </w:r>
            <w:r>
              <w:rPr>
                <w:highlight w:val="none"/>
              </w:rPr>
            </w:r>
          </w:p>
        </w:tc>
        <w:tc>
          <w:tcPr>
            <w:tcW w:w="867"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台</w:t>
            </w:r>
            <w:r>
              <w:rPr>
                <w:highlight w:val="none"/>
              </w:rPr>
            </w:r>
          </w:p>
        </w:tc>
        <w:tc>
          <w:tcPr>
            <w:tcW w:w="229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核心产品</w:t>
            </w:r>
            <w:r>
              <w:rPr>
                <w:highlight w:val="none"/>
              </w:rPr>
            </w:r>
          </w:p>
        </w:tc>
      </w:tr>
      <w:tr>
        <w:trPr>
          <w:trHeight w:val="377"/>
        </w:trPr>
        <w:tc>
          <w:tcPr>
            <w:tcW w:w="6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highlight w:val="none"/>
              </w:rPr>
            </w:r>
          </w:p>
        </w:tc>
        <w:tc>
          <w:tcPr>
            <w:tcW w:w="275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台式计算机（配置三）</w:t>
            </w:r>
            <w:r>
              <w:rPr>
                <w:highlight w:val="none"/>
              </w:rPr>
            </w:r>
          </w:p>
        </w:tc>
        <w:tc>
          <w:tcPr>
            <w:tcW w:w="939"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184</w:t>
            </w:r>
            <w:r>
              <w:rPr>
                <w:highlight w:val="none"/>
              </w:rPr>
            </w:r>
          </w:p>
        </w:tc>
        <w:tc>
          <w:tcPr>
            <w:tcW w:w="867"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台</w:t>
            </w:r>
            <w:r>
              <w:rPr>
                <w:highlight w:val="none"/>
              </w:rPr>
            </w:r>
          </w:p>
        </w:tc>
        <w:tc>
          <w:tcPr>
            <w:tcW w:w="229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bl>
    <w:p>
      <w:pPr>
        <w:spacing w:line="460" w:lineRule="exact"/>
        <w:shd w:val="clear" w:color="auto" w:fill="ffffff"/>
        <w:widowControl/>
        <w:rPr>
          <w:b/>
          <w:color w:val="000000" w:themeColor="text1"/>
          <w:spacing w:val="8"/>
          <w:sz w:val="24"/>
          <w:highlight w:val="none"/>
          <w14:textFill>
            <w14:solidFill>
              <w14:schemeClr w14:val="tx1"/>
            </w14:solidFill>
          </w14:textFill>
        </w:rPr>
        <w:outlineLvl w:val="1"/>
      </w:pPr>
      <w:r>
        <w:rPr>
          <w:b/>
          <w:color w:val="000000" w:themeColor="text1"/>
          <w:spacing w:val="8"/>
          <w:sz w:val="24"/>
          <w:highlight w:val="none"/>
          <w14:textFill>
            <w14:solidFill>
              <w14:schemeClr w14:val="tx1"/>
            </w14:solidFill>
          </w14:textFill>
        </w:rPr>
      </w:r>
      <w:r>
        <w:rPr>
          <w:highlight w:val="none"/>
        </w:rPr>
      </w:r>
    </w:p>
    <w:p>
      <w:pPr>
        <w:ind w:firstLine="514"/>
        <w:spacing w:line="460" w:lineRule="exact"/>
        <w:shd w:val="clear" w:color="auto" w:fill="ffffff"/>
        <w:widowControl/>
        <w:rPr>
          <w:b/>
          <w:color w:val="000000" w:themeColor="text1"/>
          <w:spacing w:val="8"/>
          <w:sz w:val="24"/>
          <w:highlight w:val="none"/>
          <w14:textFill>
            <w14:solidFill>
              <w14:schemeClr w14:val="tx1"/>
            </w14:solidFill>
          </w14:textFill>
        </w:rPr>
        <w:outlineLvl w:val="1"/>
      </w:pPr>
      <w:r>
        <w:rPr>
          <w:b/>
          <w:color w:val="000000" w:themeColor="text1"/>
          <w:spacing w:val="8"/>
          <w:sz w:val="24"/>
          <w:highlight w:val="none"/>
          <w14:textFill>
            <w14:solidFill>
              <w14:schemeClr w14:val="tx1"/>
            </w14:solidFill>
          </w14:textFill>
        </w:rPr>
        <w:t xml:space="preserve">二、设备用途</w:t>
      </w:r>
      <w:r>
        <w:rPr>
          <w:highlight w:val="none"/>
        </w:rPr>
      </w:r>
    </w:p>
    <w:p>
      <w:pPr>
        <w:ind w:firstLine="480"/>
        <w:spacing w:line="400" w:lineRule="exact"/>
        <w:rPr>
          <w:rFonts w:hint="eastAsia"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t xml:space="preserve">用于</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学生实训教学、技能大赛承办、实训室建设改造设备更新等，</w:t>
      </w:r>
      <w:r>
        <w:rPr>
          <w:rFonts w:hint="eastAsia" w:ascii="宋体" w:hAnsi="宋体" w:eastAsia="宋体" w:cs="Times New Roman"/>
          <w:color w:val="000000" w:themeColor="text1"/>
          <w:sz w:val="21"/>
          <w:szCs w:val="21"/>
          <w:highlight w:val="none"/>
          <w14:textFill>
            <w14:solidFill>
              <w14:schemeClr w14:val="tx1"/>
            </w14:solidFill>
          </w14:textFill>
        </w:rPr>
        <w:t xml:space="preserve">提高</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学校实训用</w:t>
      </w:r>
      <w:r>
        <w:rPr>
          <w:rFonts w:hint="eastAsia" w:ascii="宋体" w:hAnsi="宋体" w:eastAsia="宋体" w:cs="Times New Roman"/>
          <w:color w:val="000000" w:themeColor="text1"/>
          <w:sz w:val="21"/>
          <w:szCs w:val="21"/>
          <w:highlight w:val="none"/>
          <w14:textFill>
            <w14:solidFill>
              <w14:schemeClr w14:val="tx1"/>
            </w14:solidFill>
          </w14:textFill>
        </w:rPr>
        <w:t xml:space="preserve">机房</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的计算机</w:t>
      </w:r>
      <w:r>
        <w:rPr>
          <w:rFonts w:hint="eastAsia" w:ascii="宋体" w:hAnsi="宋体" w:eastAsia="宋体" w:cs="Times New Roman"/>
          <w:color w:val="000000" w:themeColor="text1"/>
          <w:sz w:val="21"/>
          <w:szCs w:val="21"/>
          <w:highlight w:val="none"/>
          <w14:textFill>
            <w14:solidFill>
              <w14:schemeClr w14:val="tx1"/>
            </w14:solidFill>
          </w14:textFill>
        </w:rPr>
        <w:t xml:space="preserve">配置水平</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highlight w:val="none"/>
        </w:rPr>
      </w:r>
    </w:p>
    <w:p>
      <w:pPr>
        <w:ind w:firstLine="514"/>
        <w:spacing w:line="460" w:lineRule="exact"/>
        <w:shd w:val="clear" w:color="auto" w:fill="ffffff"/>
        <w:widowControl/>
        <w:rPr>
          <w:b/>
          <w:color w:val="000000" w:themeColor="text1"/>
          <w:spacing w:val="8"/>
          <w:sz w:val="24"/>
          <w:highlight w:val="none"/>
          <w14:textFill>
            <w14:solidFill>
              <w14:schemeClr w14:val="tx1"/>
            </w14:solidFill>
          </w14:textFill>
        </w:rPr>
        <w:outlineLvl w:val="1"/>
      </w:pPr>
      <w:r>
        <w:rPr>
          <w:b/>
          <w:color w:val="000000" w:themeColor="text1"/>
          <w:spacing w:val="8"/>
          <w:sz w:val="24"/>
          <w:highlight w:val="none"/>
          <w14:textFill>
            <w14:solidFill>
              <w14:schemeClr w14:val="tx1"/>
            </w14:solidFill>
          </w14:textFill>
        </w:rPr>
        <w:t xml:space="preserve">三、技术</w:t>
      </w:r>
      <w:r>
        <w:rPr>
          <w:rFonts w:hint="eastAsia"/>
          <w:b/>
          <w:color w:val="000000" w:themeColor="text1"/>
          <w:spacing w:val="8"/>
          <w:sz w:val="24"/>
          <w:highlight w:val="none"/>
          <w14:textFill>
            <w14:solidFill>
              <w14:schemeClr w14:val="tx1"/>
            </w14:solidFill>
          </w14:textFill>
        </w:rPr>
        <w:t xml:space="preserve">要求</w:t>
      </w:r>
      <w:r>
        <w:rPr>
          <w:highlight w:val="none"/>
        </w:rPr>
      </w:r>
    </w:p>
    <w:p>
      <w:pPr>
        <w:ind w:firstLine="241"/>
        <w:jc w:val="left"/>
        <w:spacing w:line="400" w:lineRule="exact"/>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1. 台式计算机（配置一）</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设备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技术</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参数</w:t>
      </w:r>
      <w:r>
        <w:rPr>
          <w:highlight w:val="none"/>
        </w:rPr>
      </w:r>
    </w:p>
    <w:tbl>
      <w:tblPr>
        <w:tblStyle w:val="701"/>
        <w:tblpPr w:horzAnchor="page" w:tblpX="1083" w:vertAnchor="text" w:tblpY="901" w:leftFromText="180" w:topFromText="0" w:rightFromText="180" w:bottomFromText="0"/>
        <w:tblW w:w="102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3068"/>
        <w:gridCol w:w="5732"/>
      </w:tblGrid>
      <w:tr>
        <w:trPr>
          <w:trHeight w:val="432"/>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一</w:t>
            </w:r>
            <w:r>
              <w:rPr>
                <w:rFonts w:ascii="黑体" w:hAnsi="宋体" w:eastAsia="黑体" w:cs="黑体"/>
                <w:b/>
                <w:bCs/>
                <w:i w:val="0"/>
                <w:iCs w:val="0"/>
                <w:color w:val="auto"/>
                <w:sz w:val="18"/>
                <w:szCs w:val="18"/>
                <w:highlight w:val="none"/>
                <w:u w:val="none"/>
                <w:lang w:val="en-US" w:eastAsia="zh-CN" w:bidi="ar"/>
              </w:rPr>
              <w:t xml:space="preserve">级指标</w:t>
            </w:r>
            <w:r>
              <w:rPr>
                <w:highlight w:val="none"/>
              </w:rPr>
            </w:r>
          </w:p>
        </w:tc>
        <w:tc>
          <w:tcPr>
            <w:tcBorders>
              <w:top w:val="single" w:color="000000" w:sz="4" w:space="0"/>
              <w:left w:val="none" w:color="000000" w:sz="4" w:space="0"/>
              <w:bottom w:val="single" w:color="000000" w:sz="4" w:space="0"/>
              <w:right w:val="single" w:color="000000" w:sz="4" w:space="0"/>
            </w:tcBorders>
            <w:tcW w:w="3068" w:type="dxa"/>
            <w:vAlign w:val="center"/>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ascii="黑体" w:hAnsi="宋体" w:eastAsia="黑体" w:cs="黑体"/>
                <w:b/>
                <w:bCs/>
                <w:i w:val="0"/>
                <w:iCs w:val="0"/>
                <w:color w:val="auto"/>
                <w:sz w:val="18"/>
                <w:szCs w:val="18"/>
                <w:highlight w:val="none"/>
                <w:u w:val="none"/>
                <w:lang w:val="en-US" w:eastAsia="zh-CN" w:bidi="ar"/>
              </w:rPr>
              <w:t xml:space="preserve">二级指标</w:t>
            </w:r>
            <w:r>
              <w:rPr>
                <w:highlight w:val="none"/>
              </w:rPr>
            </w:r>
          </w:p>
        </w:tc>
        <w:tc>
          <w:tcPr>
            <w:tcBorders>
              <w:top w:val="singl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keepLines w:val="0"/>
              <w:keepNext w:val="0"/>
              <w:widowControl/>
              <w:rPr>
                <w:rFonts w:ascii="黑体" w:hAnsi="宋体" w:eastAsia="黑体" w:cs="黑体"/>
                <w:b/>
                <w:bCs/>
                <w:i w:val="0"/>
                <w:iCs w:val="0"/>
                <w:color w:val="000000"/>
                <w:sz w:val="18"/>
                <w:szCs w:val="18"/>
                <w:highlight w:val="none"/>
                <w:u w:val="none"/>
              </w:rPr>
              <w:suppressLineNumbers w:val="0"/>
            </w:pPr>
            <w:r>
              <w:rPr>
                <w:rFonts w:ascii="黑体" w:hAnsi="宋体" w:eastAsia="黑体" w:cs="黑体"/>
                <w:b/>
                <w:bCs/>
                <w:i w:val="0"/>
                <w:iCs w:val="0"/>
                <w:color w:val="000000"/>
                <w:sz w:val="18"/>
                <w:szCs w:val="18"/>
                <w:highlight w:val="none"/>
                <w:u w:val="none"/>
                <w:lang w:val="en-US" w:eastAsia="zh-CN" w:bidi="ar"/>
              </w:rPr>
              <w:t xml:space="preserve">指标要求</w:t>
            </w:r>
            <w:r>
              <w:rPr>
                <w:rFonts w:hint="eastAsia" w:ascii="黑体" w:hAnsi="宋体" w:eastAsia="黑体" w:cs="黑体"/>
                <w:b/>
                <w:bCs/>
                <w:i w:val="0"/>
                <w:iCs w:val="0"/>
                <w:color w:val="000000"/>
                <w:sz w:val="18"/>
                <w:szCs w:val="18"/>
                <w:highlight w:val="none"/>
                <w:u w:val="none"/>
                <w:lang w:val="en-US" w:eastAsia="zh-CN" w:bidi="ar"/>
              </w:rPr>
              <w:t xml:space="preserve">（台式计算机配置一）</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CPU规格</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*CPU 信息</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both"/>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物理核心数≥14核心；CPU线程≥20线程；CPU主频≥2.6GHz；睿频≥5GHz</w:t>
            </w:r>
            <w:r>
              <w:rPr>
                <w:rFonts w:hint="eastAsia" w:ascii="Times New Roman" w:hAnsi="Times New Roman"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二级缓存容量24 MB，基础功耗65W，内存最高速率4800 MT/s，最大内存通道数2，位宽64位</w:t>
            </w:r>
            <w:r>
              <w:rPr>
                <w:highlight w:val="none"/>
              </w:rPr>
            </w:r>
          </w:p>
        </w:tc>
      </w:tr>
      <w:tr>
        <w:trPr>
          <w:trHeight w:val="317"/>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内存规格</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*内存配置容量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≥16GB</w:t>
            </w:r>
            <w:r>
              <w:rPr>
                <w:highlight w:val="none"/>
              </w:rPr>
            </w:r>
          </w:p>
        </w:tc>
      </w:tr>
      <w:tr>
        <w:trPr>
          <w:trHeight w:val="290"/>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*内存类型</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支持DDR5及以上内存</w:t>
            </w:r>
            <w:r>
              <w:rPr>
                <w:highlight w:val="none"/>
              </w:rPr>
            </w:r>
          </w:p>
        </w:tc>
      </w:tr>
      <w:tr>
        <w:trPr>
          <w:trHeight w:val="347"/>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*内存条配置数量</w:t>
            </w:r>
            <w:r>
              <w:rPr>
                <w:rFonts w:hint="eastAsia" w:ascii="Times New Roman" w:hAnsi="Times New Roman"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板载内存不涉及</w:t>
            </w:r>
            <w:r>
              <w:rPr>
                <w:rFonts w:hint="eastAsia" w:ascii="Times New Roman" w:hAnsi="Times New Roman" w:cs="Times New Roman"/>
                <w:sz w:val="18"/>
                <w:szCs w:val="18"/>
                <w:highlight w:val="none"/>
                <w:lang w:val="en-US" w:eastAsia="zh-CN"/>
              </w:rPr>
              <w:t xml:space="preserve">)</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主板规格</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*主板集成模块</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台式芯片组，支持PCI Express 通道数的最大值≥24，芯片组最大可支持≥4个USB 3.2 Gen 2x2、≥8个USB 3.2 Gen 2x1、≥10个USB 3.2 Gen 1x1</w:t>
            </w:r>
            <w:r>
              <w:rPr>
                <w:rFonts w:hint="eastAsia" w:ascii="Times New Roman" w:hAnsi="Times New Roman" w:cs="Times New Roman"/>
                <w:sz w:val="18"/>
                <w:szCs w:val="18"/>
                <w:highlight w:val="none"/>
                <w:lang w:val="en-US" w:eastAsia="zh-CN"/>
              </w:rPr>
              <w:t xml:space="preserve">，支持vPro，具备主动管理技术，提供全套安全性、可管理性和稳定性功能的平台</w:t>
            </w:r>
            <w:r>
              <w:rPr>
                <w:highlight w:val="none"/>
              </w:rPr>
            </w:r>
          </w:p>
        </w:tc>
      </w:tr>
      <w:tr>
        <w:trPr>
          <w:trHeight w:val="350"/>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*主板支持的CPU和内存情况</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支持常规CPU及内存型号</w:t>
            </w:r>
            <w:r>
              <w:rPr>
                <w:highlight w:val="none"/>
              </w:rPr>
            </w:r>
          </w:p>
        </w:tc>
      </w:tr>
      <w:tr>
        <w:trPr>
          <w:trHeight w:val="337"/>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*主板内PCIe插槽数量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支持 PCIe 插槽数量不少于 3 个</w:t>
            </w:r>
            <w:r>
              <w:rPr>
                <w:highlight w:val="none"/>
              </w:rPr>
            </w:r>
          </w:p>
        </w:tc>
      </w:tr>
      <w:tr>
        <w:trPr>
          <w:trHeight w:val="377"/>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*主板其他内置接口</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3个SATA接口，1个M.2接口</w:t>
            </w:r>
            <w:r>
              <w:rPr>
                <w:rFonts w:hint="eastAsia" w:ascii="Times New Roman" w:hAnsi="Times New Roman"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9个USB接口</w:t>
            </w:r>
            <w:r>
              <w:rPr>
                <w:highlight w:val="none"/>
              </w:rPr>
            </w:r>
          </w:p>
        </w:tc>
      </w:tr>
      <w:tr>
        <w:trPr>
          <w:trHeight w:val="499"/>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单内存插槽最大可支持容量（板载内存不涉及）</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≥32GB</w:t>
            </w:r>
            <w:r>
              <w:rPr>
                <w:highlight w:val="none"/>
              </w:rPr>
            </w:r>
          </w:p>
        </w:tc>
      </w:tr>
      <w:tr>
        <w:trPr>
          <w:trHeight w:val="460"/>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内存插槽满配时提供的最高内存总容量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≥128GB</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存储设备规格</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*固态盘数量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1个</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*固态存储容量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≥1024GB</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*固态存储形态</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M.2固态硬盘</w:t>
            </w:r>
            <w:r>
              <w:rPr>
                <w:highlight w:val="none"/>
              </w:rPr>
            </w:r>
          </w:p>
        </w:tc>
      </w:tr>
      <w:tr>
        <w:trPr>
          <w:trHeight w:val="309"/>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*存储设备扩展盘位</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≥3</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显卡规格</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*显卡类型</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独立显卡</w:t>
            </w:r>
            <w:r>
              <w:rPr>
                <w:highlight w:val="none"/>
              </w:rPr>
            </w:r>
          </w:p>
        </w:tc>
      </w:tr>
      <w:tr>
        <w:trPr>
          <w:trHeight w:val="341"/>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*独立显卡显存类型</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显存类型为GDDR6</w:t>
            </w:r>
            <w:r>
              <w:rPr>
                <w:highlight w:val="none"/>
              </w:rPr>
            </w:r>
          </w:p>
        </w:tc>
      </w:tr>
      <w:tr>
        <w:trPr>
          <w:trHeight w:val="323"/>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*独立显卡显存位宽</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128bit</w:t>
            </w:r>
            <w:r>
              <w:rPr>
                <w:highlight w:val="none"/>
              </w:rPr>
            </w:r>
          </w:p>
        </w:tc>
      </w:tr>
      <w:tr>
        <w:trPr>
          <w:trHeight w:val="347"/>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*独立显卡显存容量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8G</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显示设备规格</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*显示屏分辨率</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≥1920x1080</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*显示屏尺寸</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≥23.8 英寸</w:t>
            </w:r>
            <w:r>
              <w:rPr>
                <w:highlight w:val="none"/>
              </w:rPr>
            </w:r>
          </w:p>
        </w:tc>
      </w:tr>
      <w:tr>
        <w:trPr>
          <w:trHeight w:val="337"/>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*显示屏屏幕比例</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16:9/3:2/21:9/16:10 等</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外设规格</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*鼠标数量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1个</w:t>
            </w:r>
            <w:r>
              <w:rPr>
                <w:highlight w:val="none"/>
              </w:rPr>
            </w:r>
          </w:p>
        </w:tc>
      </w:tr>
      <w:tr>
        <w:trPr>
          <w:trHeight w:val="90"/>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*键盘数量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1个</w:t>
            </w:r>
            <w:r>
              <w:rPr>
                <w:highlight w:val="none"/>
              </w:rPr>
            </w:r>
          </w:p>
        </w:tc>
      </w:tr>
      <w:tr>
        <w:trPr>
          <w:trHeight w:val="323"/>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网络设备规格</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*有线网卡数量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≥1</w:t>
            </w:r>
            <w:r>
              <w:rPr>
                <w:highlight w:val="none"/>
              </w:rPr>
            </w:r>
          </w:p>
        </w:tc>
      </w:tr>
      <w:tr>
        <w:trPr>
          <w:trHeight w:val="276"/>
        </w:trPr>
        <w:tc>
          <w:tcPr>
            <w:tcBorders>
              <w:top w:val="none" w:color="000000" w:sz="4" w:space="0"/>
              <w:left w:val="single" w:color="000000" w:sz="4" w:space="0"/>
              <w:bottom w:val="non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外部接口规格</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*USB 接口数量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both"/>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机箱前面板应提供不少于 5 个 USB3.2 接口（含1个Type-C）</w:t>
            </w:r>
            <w:r>
              <w:rPr>
                <w:rFonts w:hint="eastAsia" w:ascii="Times New Roman" w:hAnsi="Times New Roman"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后面板不少于4个USB接口</w:t>
            </w:r>
            <w:r>
              <w:rPr>
                <w:highlight w:val="none"/>
              </w:rPr>
            </w:r>
          </w:p>
        </w:tc>
      </w:tr>
      <w:tr>
        <w:trPr>
          <w:trHeight w:val="90"/>
        </w:trPr>
        <w:tc>
          <w:tcPr>
            <w:tcBorders>
              <w:top w:val="none" w:color="000000" w:sz="4" w:space="0"/>
              <w:left w:val="single" w:color="000000" w:sz="4" w:space="0"/>
              <w:bottom w:val="non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*视频接口数量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≥2个</w:t>
            </w:r>
            <w:r>
              <w:rPr>
                <w:rFonts w:hint="eastAsia" w:ascii="Times New Roman" w:hAnsi="Times New Roman" w:cs="Times New Roman"/>
                <w:sz w:val="18"/>
                <w:szCs w:val="18"/>
                <w:highlight w:val="none"/>
                <w:lang w:val="en-US" w:eastAsia="zh-CN"/>
              </w:rPr>
              <w:t xml:space="preserve">H</w:t>
            </w:r>
            <w:r>
              <w:rPr>
                <w:rFonts w:hint="default" w:ascii="Times New Roman" w:hAnsi="Times New Roman" w:cs="Times New Roman"/>
                <w:sz w:val="18"/>
                <w:szCs w:val="18"/>
                <w:highlight w:val="none"/>
                <w:lang w:val="en-US" w:eastAsia="zh-CN"/>
              </w:rPr>
              <w:t xml:space="preserve">DMI，≥4个DP，≥</w:t>
            </w:r>
            <w:r>
              <w:rPr>
                <w:rFonts w:hint="eastAsia" w:ascii="Times New Roman" w:hAnsi="Times New Roman" w:cs="Times New Roman"/>
                <w:sz w:val="18"/>
                <w:szCs w:val="18"/>
                <w:highlight w:val="none"/>
                <w:lang w:val="en-US" w:eastAsia="zh-CN"/>
              </w:rPr>
              <w:t xml:space="preserve">1</w:t>
            </w:r>
            <w:r>
              <w:rPr>
                <w:rFonts w:hint="default" w:ascii="Times New Roman" w:hAnsi="Times New Roman" w:cs="Times New Roman"/>
                <w:sz w:val="18"/>
                <w:szCs w:val="18"/>
                <w:highlight w:val="none"/>
                <w:lang w:val="en-US" w:eastAsia="zh-CN"/>
              </w:rPr>
              <w:t xml:space="preserve">个</w:t>
            </w:r>
            <w:r>
              <w:rPr>
                <w:rFonts w:hint="eastAsia" w:ascii="Times New Roman" w:hAnsi="Times New Roman" w:cs="Times New Roman"/>
                <w:sz w:val="18"/>
                <w:szCs w:val="18"/>
                <w:highlight w:val="none"/>
                <w:lang w:val="en-US" w:eastAsia="zh-CN"/>
              </w:rPr>
              <w:t xml:space="preserve">VGA</w:t>
            </w:r>
            <w:r>
              <w:rPr>
                <w:highlight w:val="none"/>
              </w:rPr>
            </w:r>
          </w:p>
        </w:tc>
      </w:tr>
      <w:tr>
        <w:trPr>
          <w:trHeight w:val="276"/>
        </w:trPr>
        <w:tc>
          <w:tcPr>
            <w:tcBorders>
              <w:top w:val="none" w:color="000000" w:sz="4" w:space="0"/>
              <w:left w:val="single" w:color="000000" w:sz="4" w:space="0"/>
              <w:bottom w:val="non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*音频接口数量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≥5</w:t>
            </w:r>
            <w:r>
              <w:rPr>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整机基础规格</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*整机噪音</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both"/>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产品工作在空闲状态下，产品的声功率级不超过</w:t>
            </w:r>
            <w:r>
              <w:rPr>
                <w:rFonts w:hint="eastAsia" w:ascii="Times New Roman" w:hAnsi="Times New Roman" w:cs="Times New Roman"/>
                <w:sz w:val="18"/>
                <w:szCs w:val="18"/>
                <w:highlight w:val="none"/>
                <w:lang w:val="en-US" w:eastAsia="zh-CN"/>
              </w:rPr>
              <w:t xml:space="preserve">2.1 </w:t>
            </w:r>
            <w:r>
              <w:rPr>
                <w:rFonts w:hint="default" w:ascii="Times New Roman" w:hAnsi="Times New Roman" w:cs="Times New Roman"/>
                <w:sz w:val="18"/>
                <w:szCs w:val="18"/>
                <w:highlight w:val="none"/>
                <w:lang w:val="en-US" w:eastAsia="zh-CN"/>
              </w:rPr>
              <w:t xml:space="preserve">Bel</w:t>
            </w:r>
            <w:r>
              <w:rPr>
                <w:rFonts w:hint="eastAsia" w:ascii="Times New Roman" w:hAnsi="Times New Roman" w:cs="Times New Roman"/>
                <w:sz w:val="18"/>
                <w:szCs w:val="18"/>
                <w:highlight w:val="none"/>
                <w:lang w:val="en-US" w:eastAsia="zh-CN"/>
              </w:rPr>
              <w:t xml:space="preserve">（A）</w:t>
            </w:r>
            <w:r>
              <w:rPr>
                <w:highlight w:val="none"/>
              </w:rP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*机箱尺寸容量</w:t>
            </w:r>
            <w:r>
              <w:rPr>
                <w:highlight w:val="none"/>
              </w:rPr>
            </w:r>
          </w:p>
        </w:tc>
        <w:tc>
          <w:tcPr>
            <w:shd w:val="clear" w:color="000000" w:fill="ffffff"/>
            <w:tcBorders>
              <w:top w:val="singl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机箱体积1</w:t>
            </w:r>
            <w:r>
              <w:rPr>
                <w:rFonts w:hint="eastAsia" w:ascii="Times New Roman" w:hAnsi="Times New Roman" w:cs="Times New Roman"/>
                <w:sz w:val="18"/>
                <w:szCs w:val="18"/>
                <w:highlight w:val="none"/>
                <w:lang w:val="en-US" w:eastAsia="zh-CN"/>
              </w:rPr>
              <w:t xml:space="preserve">6</w:t>
            </w:r>
            <w:r>
              <w:rPr>
                <w:rFonts w:hint="default" w:ascii="Times New Roman" w:hAnsi="Times New Roman" w:cs="Times New Roman"/>
                <w:sz w:val="18"/>
                <w:szCs w:val="18"/>
                <w:highlight w:val="none"/>
                <w:lang w:val="en-US" w:eastAsia="zh-CN"/>
              </w:rPr>
              <w:t xml:space="preserve">-20L</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CPU性能</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*CPU 物理核数</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≥14</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*CPU 主频</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≥2.6GHz</w:t>
            </w:r>
            <w:r>
              <w:rPr>
                <w:highlight w:val="none"/>
              </w:rPr>
            </w:r>
          </w:p>
        </w:tc>
      </w:tr>
      <w:tr>
        <w:trPr>
          <w:trHeight w:val="337"/>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*CPU 末级缓存容量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≥24MB</w:t>
            </w:r>
            <w:r>
              <w:rPr>
                <w:highlight w:val="none"/>
              </w:rPr>
            </w:r>
          </w:p>
        </w:tc>
      </w:tr>
      <w:tr>
        <w:trPr>
          <w:trHeight w:val="337"/>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*CPU 支持的内存最高速率</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≥4800MT/s</w:t>
            </w:r>
            <w:r>
              <w:rPr>
                <w:highlight w:val="none"/>
              </w:rPr>
            </w:r>
          </w:p>
        </w:tc>
      </w:tr>
      <w:tr>
        <w:trPr>
          <w:trHeight w:val="309"/>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内存性能</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*内存读写速率</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≥4</w:t>
            </w:r>
            <w:r>
              <w:rPr>
                <w:rFonts w:hint="eastAsia" w:ascii="Times New Roman" w:hAnsi="Times New Roman" w:cs="Times New Roman"/>
                <w:sz w:val="18"/>
                <w:szCs w:val="18"/>
                <w:highlight w:val="none"/>
                <w:lang w:val="en-US" w:eastAsia="zh-CN"/>
              </w:rPr>
              <w:t xml:space="preserve">4</w:t>
            </w:r>
            <w:r>
              <w:rPr>
                <w:rFonts w:hint="default" w:ascii="Times New Roman" w:hAnsi="Times New Roman" w:cs="Times New Roman"/>
                <w:sz w:val="18"/>
                <w:szCs w:val="18"/>
                <w:highlight w:val="none"/>
                <w:lang w:val="en-US" w:eastAsia="zh-CN"/>
              </w:rPr>
              <w:t xml:space="preserve">00MT/s</w:t>
            </w:r>
            <w:r>
              <w:rPr>
                <w:highlight w:val="none"/>
              </w:rPr>
            </w:r>
          </w:p>
        </w:tc>
      </w:tr>
      <w:tr>
        <w:trPr>
          <w:trHeight w:val="303"/>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显卡性能</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*显示分辨率</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≥7680x4320</w:t>
            </w:r>
            <w:r>
              <w:rPr>
                <w:highlight w:val="none"/>
              </w:rPr>
            </w:r>
          </w:p>
        </w:tc>
      </w:tr>
      <w:tr>
        <w:trPr>
          <w:trHeight w:val="337"/>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*显卡显示芯片核心频率</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≥1830MHz</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*显存等效频率</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≥17000MHz</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显示设备性能</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显示屏刷新率</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≥75Hz</w:t>
            </w:r>
            <w:r>
              <w:rPr>
                <w:highlight w:val="none"/>
              </w:rPr>
            </w:r>
          </w:p>
        </w:tc>
      </w:tr>
      <w:tr>
        <w:trPr>
          <w:trHeight w:val="323"/>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显示屏响应时间</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≤6ms</w:t>
            </w:r>
            <w:r>
              <w:rPr>
                <w:highlight w:val="none"/>
              </w:rPr>
            </w:r>
          </w:p>
        </w:tc>
      </w:tr>
      <w:tr>
        <w:trPr>
          <w:trHeight w:val="290"/>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显示屏亮度</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≥250 尼特</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网络设备性能</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*有线网卡速率</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both"/>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最高速率应不低于 1000Mbps，应支持10Mbps、100Mbps、1000Mbps 速率自适应</w:t>
            </w:r>
            <w:r>
              <w:rPr>
                <w:highlight w:val="none"/>
              </w:rPr>
            </w:r>
          </w:p>
        </w:tc>
      </w:tr>
      <w:tr>
        <w:trPr>
          <w:trHeight w:val="389"/>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主板功能</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*内存扩展接口(板载内存不涉及)</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≥4 个</w:t>
            </w:r>
            <w:r>
              <w:rPr>
                <w:highlight w:val="none"/>
              </w:rPr>
            </w:r>
          </w:p>
        </w:tc>
      </w:tr>
      <w:tr>
        <w:trPr>
          <w:trHeight w:val="348"/>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*存储扩展接口(板载存储不涉及)</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3个SATA接口，1个M.2接口</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*I/O 接口功能</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≥9个USB接口，</w:t>
            </w:r>
            <w:r>
              <w:rPr>
                <w:rFonts w:hint="eastAsia" w:ascii="Times New Roman" w:hAnsi="Times New Roman" w:cs="Times New Roman"/>
                <w:sz w:val="18"/>
                <w:szCs w:val="18"/>
                <w:highlight w:val="none"/>
                <w:lang w:val="en-US" w:eastAsia="zh-CN"/>
              </w:rPr>
              <w:t xml:space="preserve">3</w:t>
            </w:r>
            <w:r>
              <w:rPr>
                <w:rFonts w:hint="default" w:ascii="Times New Roman" w:hAnsi="Times New Roman" w:cs="Times New Roman"/>
                <w:sz w:val="18"/>
                <w:szCs w:val="18"/>
                <w:highlight w:val="none"/>
                <w:lang w:val="en-US" w:eastAsia="zh-CN"/>
              </w:rPr>
              <w:t xml:space="preserve">个视频接口</w:t>
            </w:r>
            <w:r>
              <w:rPr>
                <w:highlight w:val="none"/>
              </w:rPr>
            </w:r>
          </w:p>
        </w:tc>
      </w:tr>
      <w:tr>
        <w:trPr>
          <w:trHeight w:val="90"/>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显卡功能</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*显卡外接显示接口</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显卡至少支持1个 HDMI、3个DP接口，并与显示器接口相匹配</w:t>
            </w:r>
            <w:r>
              <w:rPr>
                <w:highlight w:val="none"/>
              </w:rPr>
            </w:r>
          </w:p>
        </w:tc>
      </w:tr>
      <w:tr>
        <w:trPr>
          <w:trHeight w:val="31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*独立显卡数量</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1</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显示设备功能</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*显示器接口</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显示器应与显卡外接显示接口匹配</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电源功能</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*电源线适配能力</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≥500W 92%</w:t>
            </w:r>
            <w:r>
              <w:rPr>
                <w:rFonts w:hint="eastAsia" w:ascii="Times New Roman" w:hAnsi="Times New Roman" w:cs="Times New Roman"/>
                <w:sz w:val="18"/>
                <w:szCs w:val="18"/>
                <w:highlight w:val="none"/>
                <w:lang w:val="en-US" w:eastAsia="zh-CN"/>
              </w:rPr>
              <w:t xml:space="preserve">效率</w:t>
            </w:r>
            <w:r>
              <w:rPr>
                <w:rFonts w:hint="default" w:ascii="Times New Roman" w:hAnsi="Times New Roman" w:cs="Times New Roman"/>
                <w:sz w:val="18"/>
                <w:szCs w:val="18"/>
                <w:highlight w:val="none"/>
                <w:lang w:val="en-US" w:eastAsia="zh-CN"/>
              </w:rPr>
              <w:t xml:space="preserve">电源及适配线缆</w:t>
            </w:r>
            <w:r>
              <w:rPr>
                <w:highlight w:val="none"/>
              </w:rPr>
            </w:r>
          </w:p>
        </w:tc>
      </w:tr>
      <w:tr>
        <w:trPr>
          <w:trHeight w:val="439"/>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整机可靠性要求</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*MTBF 测试</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MTBF(m1)≥100 万小时</w:t>
            </w:r>
            <w:r>
              <w:rPr>
                <w:highlight w:val="none"/>
              </w:rPr>
            </w:r>
          </w:p>
        </w:tc>
      </w:tr>
      <w:tr>
        <w:trPr>
          <w:trHeight w:val="1080"/>
        </w:trPr>
        <w:tc>
          <w:tcPr>
            <w:tcBorders>
              <w:top w:val="none" w:color="000000" w:sz="4" w:space="0"/>
              <w:left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服务要求</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*服务响应</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a)供应商提供电话、电子邮件、远程连接等多种形式服务；</w:t>
            </w:r>
            <w:r>
              <w:rPr>
                <w:rFonts w:hint="default" w:ascii="Times New Roman" w:hAnsi="Times New Roman" w:cs="Times New Roman"/>
                <w:sz w:val="18"/>
                <w:szCs w:val="18"/>
                <w:highlight w:val="none"/>
                <w:lang w:val="en-US" w:eastAsia="zh-CN"/>
              </w:rPr>
              <w:br/>
            </w:r>
            <w:r>
              <w:rPr>
                <w:rFonts w:hint="default" w:ascii="Times New Roman" w:hAnsi="Times New Roman" w:cs="Times New Roman"/>
                <w:sz w:val="18"/>
                <w:szCs w:val="18"/>
                <w:highlight w:val="none"/>
                <w:lang w:val="en-US" w:eastAsia="zh-CN"/>
              </w:rPr>
              <w:t xml:space="preserve">b)供应商提供同城4h、异地 12h 技术响应服务，2 个工作日解决问题，对于未能解决的问题和故障应提供可行的升级方案，并提供周转设备或更换设备；</w:t>
            </w:r>
            <w:r>
              <w:rPr>
                <w:rFonts w:hint="default" w:ascii="Times New Roman" w:hAnsi="Times New Roman" w:cs="Times New Roman"/>
                <w:sz w:val="18"/>
                <w:szCs w:val="18"/>
                <w:highlight w:val="none"/>
                <w:lang w:val="en-US" w:eastAsia="zh-CN"/>
              </w:rPr>
              <w:br/>
            </w:r>
            <w:r>
              <w:rPr>
                <w:rFonts w:hint="default" w:ascii="Times New Roman" w:hAnsi="Times New Roman" w:cs="Times New Roman"/>
                <w:sz w:val="18"/>
                <w:szCs w:val="18"/>
                <w:highlight w:val="none"/>
                <w:lang w:val="en-US" w:eastAsia="zh-CN"/>
              </w:rPr>
              <w:t xml:space="preserve">c)建立全国技术服务体系和服务团体，符合专业服务体系标准要求，提供原厂中文服务；</w:t>
            </w:r>
            <w:r>
              <w:rPr>
                <w:rFonts w:hint="default" w:ascii="Times New Roman" w:hAnsi="Times New Roman" w:cs="Times New Roman"/>
                <w:sz w:val="18"/>
                <w:szCs w:val="18"/>
                <w:highlight w:val="none"/>
                <w:lang w:val="en-US" w:eastAsia="zh-CN"/>
              </w:rPr>
              <w:br/>
            </w:r>
            <w:r>
              <w:rPr>
                <w:rFonts w:hint="default" w:ascii="Times New Roman" w:hAnsi="Times New Roman" w:cs="Times New Roman"/>
                <w:sz w:val="18"/>
                <w:szCs w:val="18"/>
                <w:highlight w:val="none"/>
                <w:lang w:val="en-US" w:eastAsia="zh-CN"/>
              </w:rPr>
              <w:t xml:space="preserve">d)服务周期内提供产品的维修、换件和升级服务</w:t>
            </w:r>
            <w:r>
              <w:rPr>
                <w:highlight w:val="none"/>
              </w:rPr>
            </w:r>
          </w:p>
        </w:tc>
      </w:tr>
      <w:tr>
        <w:trPr>
          <w:trHeight w:val="571"/>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*服务周期</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 a) 设备停产后应继续提供质量保障服务（含备品备件），服务终止时间与最后一批设备交付时间间隔不低于6 年；</w:t>
            </w:r>
            <w:r>
              <w:rPr>
                <w:rFonts w:hint="default" w:ascii="Times New Roman" w:hAnsi="Times New Roman" w:cs="Times New Roman"/>
                <w:sz w:val="18"/>
                <w:szCs w:val="18"/>
                <w:highlight w:val="none"/>
                <w:lang w:val="en-US" w:eastAsia="zh-CN"/>
              </w:rPr>
              <w:br/>
            </w:r>
            <w:r>
              <w:rPr>
                <w:rFonts w:hint="default" w:ascii="Times New Roman" w:hAnsi="Times New Roman" w:cs="Times New Roman"/>
                <w:sz w:val="18"/>
                <w:szCs w:val="18"/>
                <w:highlight w:val="none"/>
                <w:lang w:val="en-US" w:eastAsia="zh-CN"/>
              </w:rPr>
              <w:t xml:space="preserve"> b) 产品停止服务时间应提前 1 年告知；</w:t>
            </w:r>
            <w:r>
              <w:rPr>
                <w:rFonts w:hint="default" w:ascii="Times New Roman" w:hAnsi="Times New Roman" w:cs="Times New Roman"/>
                <w:sz w:val="18"/>
                <w:szCs w:val="18"/>
                <w:highlight w:val="none"/>
                <w:lang w:val="en-US" w:eastAsia="zh-CN"/>
              </w:rPr>
              <w:br/>
            </w:r>
            <w:r>
              <w:rPr>
                <w:rFonts w:hint="default" w:ascii="Times New Roman" w:hAnsi="Times New Roman" w:cs="Times New Roman"/>
                <w:sz w:val="18"/>
                <w:szCs w:val="18"/>
                <w:highlight w:val="none"/>
                <w:lang w:val="en-US" w:eastAsia="zh-CN"/>
              </w:rPr>
              <w:t xml:space="preserve"> c) 应明确产品发布日期</w:t>
            </w:r>
            <w:r>
              <w:rPr>
                <w:highlight w:val="none"/>
              </w:rPr>
            </w:r>
          </w:p>
        </w:tc>
      </w:tr>
      <w:tr>
        <w:trPr>
          <w:trHeight w:val="372"/>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*整机质量服务要求</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both"/>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免费服务周期（含换件和维修）应不小于 5 年</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供应链合规性</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*产品部件保障</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both"/>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供应商保障产品主要部件，提供 6 年的备件服务能力（自购买之日起），或提供可兼容原设备的升级换代产品</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供应链质量</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*抗干扰性</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both"/>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当产品部件出现供应风险时，供应商应通知采购人并提供风险应对方案确保产品的服务保障</w:t>
            </w:r>
            <w:r>
              <w:rPr>
                <w:highlight w:val="none"/>
              </w:rPr>
            </w:r>
          </w:p>
        </w:tc>
      </w:tr>
      <w:tr>
        <w:trPr>
          <w:trHeight w:val="340"/>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整机安全要求</w:t>
            </w:r>
            <w:r>
              <w:rPr>
                <w:highlight w:val="none"/>
              </w:rPr>
            </w:r>
          </w:p>
        </w:tc>
        <w:tc>
          <w:tcPr>
            <w:tcBorders>
              <w:top w:val="none" w:color="000000" w:sz="4" w:space="0"/>
              <w:left w:val="none" w:color="000000" w:sz="4" w:space="0"/>
              <w:bottom w:val="single" w:color="000000" w:sz="4" w:space="0"/>
              <w:right w:val="single" w:color="000000" w:sz="4" w:space="0"/>
            </w:tcBorders>
            <w:tcW w:w="3068" w:type="dxa"/>
            <w:vAlign w:val="center"/>
            <w:textDirection w:val="lrTb"/>
            <w:noWrap w:val="false"/>
          </w:tcPr>
          <w:p>
            <w:pPr>
              <w:jc w:val="left"/>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*USB 端口管控</w:t>
            </w:r>
            <w:r>
              <w:rPr>
                <w:highlight w:val="none"/>
              </w:rPr>
            </w:r>
          </w:p>
        </w:tc>
        <w:tc>
          <w:tcPr>
            <w:tcBorders>
              <w:top w:val="none" w:color="000000" w:sz="4" w:space="0"/>
              <w:left w:val="none" w:color="000000" w:sz="4" w:space="0"/>
              <w:bottom w:val="single" w:color="000000" w:sz="4" w:space="0"/>
              <w:right w:val="single" w:color="000000" w:sz="4" w:space="0"/>
            </w:tcBorders>
            <w:tcW w:w="5732" w:type="dxa"/>
            <w:vAlign w:val="center"/>
            <w:textDirection w:val="lrTb"/>
            <w:noWrap w:val="false"/>
          </w:tcPr>
          <w:p>
            <w:pPr>
              <w:jc w:val="both"/>
              <w:spacing w:line="240" w:lineRule="exact"/>
              <w:widowControl/>
              <w:rPr>
                <w:rFonts w:hint="default" w:ascii="Times New Roman" w:hAnsi="Times New Roman" w:cs="Times New Roman"/>
                <w:sz w:val="18"/>
                <w:szCs w:val="18"/>
                <w:highlight w:val="none"/>
              </w:rPr>
            </w:pPr>
            <w:r>
              <w:rPr>
                <w:rFonts w:hint="default" w:ascii="Times New Roman" w:hAnsi="Times New Roman" w:cs="Times New Roman"/>
                <w:sz w:val="18"/>
                <w:szCs w:val="18"/>
                <w:highlight w:val="none"/>
                <w:lang w:val="en-US" w:eastAsia="zh-CN"/>
              </w:rPr>
              <w:t xml:space="preserve">支持 USB 端口管控</w:t>
            </w:r>
            <w:r>
              <w:rPr>
                <w:highlight w:val="none"/>
              </w:rPr>
            </w:r>
          </w:p>
        </w:tc>
      </w:tr>
    </w:tbl>
    <w:p>
      <w:pPr>
        <w:numPr>
          <w:ilvl w:val="0"/>
          <w:numId w:val="0"/>
        </w:numPr>
        <w:jc w:val="center"/>
        <w:spacing w:line="440" w:lineRule="exact"/>
        <w:shd w:val="clear" w:color="auto" w:fill="ffffff"/>
        <w:widowControl/>
        <w:rPr>
          <w:rFonts w:hint="eastAsia"/>
          <w:color w:val="ff0000"/>
          <w:sz w:val="24"/>
          <w:szCs w:val="24"/>
          <w:highlight w:val="none"/>
        </w:rPr>
      </w:pPr>
      <w:r>
        <w:rPr>
          <w:rFonts w:hint="eastAsia"/>
          <w:color w:val="ff0000"/>
          <w:sz w:val="24"/>
          <w:szCs w:val="24"/>
          <w:highlight w:val="none"/>
          <w:lang w:val="en-US" w:eastAsia="zh-CN"/>
        </w:rPr>
      </w:r>
      <w:r>
        <w:rPr>
          <w:highlight w:val="none"/>
        </w:rPr>
      </w:r>
    </w:p>
    <w:p>
      <w:pPr>
        <w:ind w:firstLine="241"/>
        <w:jc w:val="left"/>
        <w:spacing w:line="400" w:lineRule="exact"/>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2. 台式计算机（配置二）</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设备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技术</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参数</w:t>
      </w:r>
      <w:r>
        <w:rPr>
          <w:highlight w:val="none"/>
        </w:rPr>
      </w:r>
    </w:p>
    <w:tbl>
      <w:tblPr>
        <w:tblStyle w:val="701"/>
        <w:tblpPr w:horzAnchor="page" w:tblpX="1136" w:vertAnchor="text" w:tblpY="537" w:leftFromText="180" w:topFromText="0" w:rightFromText="180" w:bottomFromText="0"/>
        <w:tblW w:w="102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3051"/>
        <w:gridCol w:w="5760"/>
      </w:tblGrid>
      <w:tr>
        <w:trPr>
          <w:trHeight w:val="432"/>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ascii="黑体" w:hAnsi="宋体" w:eastAsia="黑体" w:cs="黑体"/>
                <w:b/>
                <w:bCs/>
                <w:i w:val="0"/>
                <w:iCs w:val="0"/>
                <w:color w:val="auto"/>
                <w:sz w:val="18"/>
                <w:szCs w:val="18"/>
                <w:highlight w:val="none"/>
                <w:u w:val="none"/>
                <w:lang w:val="en-US" w:eastAsia="zh-CN" w:bidi="ar"/>
              </w:rPr>
              <w:t xml:space="preserve">一级指标</w:t>
            </w:r>
            <w:r>
              <w:rPr>
                <w:highlight w:val="none"/>
              </w:rPr>
            </w:r>
          </w:p>
        </w:tc>
        <w:tc>
          <w:tcPr>
            <w:tcBorders>
              <w:top w:val="single" w:color="000000" w:sz="4" w:space="0"/>
              <w:left w:val="none" w:color="000000" w:sz="4" w:space="0"/>
              <w:bottom w:val="single" w:color="000000" w:sz="4" w:space="0"/>
              <w:right w:val="single" w:color="000000" w:sz="4" w:space="0"/>
            </w:tcBorders>
            <w:tcW w:w="3051" w:type="dxa"/>
            <w:vAlign w:val="center"/>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ascii="黑体" w:hAnsi="宋体" w:eastAsia="黑体" w:cs="黑体"/>
                <w:b/>
                <w:bCs/>
                <w:i w:val="0"/>
                <w:iCs w:val="0"/>
                <w:color w:val="auto"/>
                <w:sz w:val="18"/>
                <w:szCs w:val="18"/>
                <w:highlight w:val="none"/>
                <w:u w:val="none"/>
                <w:lang w:val="en-US" w:eastAsia="zh-CN" w:bidi="ar"/>
              </w:rPr>
              <w:t xml:space="preserve">二级指标</w:t>
            </w:r>
            <w:r>
              <w:rPr>
                <w:rFonts w:ascii="黑体" w:hAnsi="宋体" w:eastAsia="黑体" w:cs="黑体"/>
                <w:i w:val="0"/>
                <w:iCs w:val="0"/>
                <w:color w:val="auto"/>
                <w:sz w:val="18"/>
                <w:szCs w:val="18"/>
                <w:highlight w:val="none"/>
                <w:u w:val="none"/>
                <w:lang w:val="en-US" w:eastAsia="zh-CN" w:bidi="ar"/>
              </w:rPr>
              <w:t xml:space="preserve"> </w:t>
            </w:r>
            <w:r>
              <w:rPr>
                <w:highlight w:val="none"/>
              </w:rPr>
            </w:r>
          </w:p>
        </w:tc>
        <w:tc>
          <w:tcPr>
            <w:tcBorders>
              <w:top w:val="singl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keepLines w:val="0"/>
              <w:keepNext w:val="0"/>
              <w:widowControl/>
              <w:rPr>
                <w:rFonts w:ascii="黑体" w:hAnsi="宋体" w:eastAsia="黑体" w:cs="黑体"/>
                <w:b/>
                <w:bCs/>
                <w:i w:val="0"/>
                <w:iCs w:val="0"/>
                <w:color w:val="000000"/>
                <w:sz w:val="18"/>
                <w:szCs w:val="18"/>
                <w:highlight w:val="none"/>
                <w:u w:val="none"/>
              </w:rPr>
              <w:suppressLineNumbers w:val="0"/>
            </w:pPr>
            <w:r>
              <w:rPr>
                <w:rFonts w:ascii="黑体" w:hAnsi="宋体" w:eastAsia="黑体" w:cs="黑体"/>
                <w:b/>
                <w:bCs/>
                <w:i w:val="0"/>
                <w:iCs w:val="0"/>
                <w:color w:val="000000"/>
                <w:sz w:val="18"/>
                <w:szCs w:val="18"/>
                <w:highlight w:val="none"/>
                <w:u w:val="none"/>
                <w:lang w:val="en-US" w:eastAsia="zh-CN" w:bidi="ar"/>
              </w:rPr>
              <w:t xml:space="preserve">指标要求（台式</w:t>
            </w:r>
            <w:r>
              <w:rPr>
                <w:rFonts w:hint="eastAsia" w:ascii="黑体" w:hAnsi="宋体" w:eastAsia="黑体" w:cs="黑体"/>
                <w:b/>
                <w:bCs/>
                <w:i w:val="0"/>
                <w:iCs w:val="0"/>
                <w:color w:val="000000"/>
                <w:sz w:val="18"/>
                <w:szCs w:val="18"/>
                <w:highlight w:val="none"/>
                <w:u w:val="none"/>
                <w:lang w:val="en-US" w:eastAsia="zh-CN" w:bidi="ar"/>
              </w:rPr>
              <w:t xml:space="preserve">计算机</w:t>
            </w:r>
            <w:r>
              <w:rPr>
                <w:rFonts w:ascii="黑体" w:hAnsi="宋体" w:eastAsia="黑体" w:cs="黑体"/>
                <w:b/>
                <w:bCs/>
                <w:i w:val="0"/>
                <w:iCs w:val="0"/>
                <w:color w:val="000000"/>
                <w:sz w:val="18"/>
                <w:szCs w:val="18"/>
                <w:highlight w:val="none"/>
                <w:u w:val="none"/>
                <w:lang w:val="en-US" w:eastAsia="zh-CN" w:bidi="ar"/>
              </w:rPr>
              <w:t xml:space="preserve">配置二）</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CPU规格</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 信息</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both"/>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物理核心数≥20核心；CPU线程≥28线程；CPU主频≥2.1GHz；睿频≥5.4GHz，二级缓存容量28 MB，基础功耗65W，内存最高速率5600 MT/s，最大内存通道数2，位宽64位</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内存规格</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*内存配置容量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≥16GB</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*内存类型</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支持DDR5及以上内存</w:t>
            </w:r>
            <w:r>
              <w:rPr>
                <w:highlight w:val="none"/>
              </w:rPr>
            </w:r>
          </w:p>
        </w:tc>
      </w:tr>
      <w:tr>
        <w:trPr>
          <w:trHeight w:val="331"/>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*内存条配置数量(板载内存不涉及)</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1个</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主板规格</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*主板集成模块</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both"/>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台式芯片组，支持PCI Express 通道数的最大值≥24，芯片组最大可支持≥4个USB 3.2 Gen 2x2、≥8个USB 3.2 Gen 2x1、≥10个USB 3.2 Gen 1x1，支持vPro，具备主动管理技术，提供全套安全性、可管理性和稳定性功能的平台</w:t>
            </w:r>
            <w:r>
              <w:rPr>
                <w:highlight w:val="none"/>
              </w:rPr>
            </w:r>
          </w:p>
        </w:tc>
      </w:tr>
      <w:tr>
        <w:trPr>
          <w:trHeight w:val="391"/>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*主板支持的 CPU和内存情况</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支持常规CPU及内存型号</w:t>
            </w:r>
            <w:r>
              <w:rPr>
                <w:highlight w:val="none"/>
              </w:rPr>
            </w:r>
          </w:p>
        </w:tc>
      </w:tr>
      <w:tr>
        <w:trPr>
          <w:trHeight w:val="364"/>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*主板内置PCIe 槽数量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支持 PCIe 插槽数量不少于 3 个</w:t>
            </w:r>
            <w:r>
              <w:rPr>
                <w:highlight w:val="none"/>
              </w:rPr>
            </w:r>
          </w:p>
        </w:tc>
      </w:tr>
      <w:tr>
        <w:trPr>
          <w:trHeight w:val="378"/>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*主板其他内置接口</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3个SATA接口，1个M.2接口,9个USB接口,1个PCI接口</w:t>
            </w:r>
            <w:r>
              <w:rPr>
                <w:highlight w:val="none"/>
              </w:rPr>
            </w:r>
          </w:p>
        </w:tc>
      </w:tr>
      <w:tr>
        <w:trPr>
          <w:trHeight w:val="443"/>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单内存插槽最大可支持容量（板载内存不涉及）</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≥32GB</w:t>
            </w:r>
            <w:r>
              <w:rPr>
                <w:highlight w:val="none"/>
              </w:rPr>
            </w:r>
          </w:p>
        </w:tc>
      </w:tr>
      <w:tr>
        <w:trPr>
          <w:trHeight w:val="468"/>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内存插槽满配时提供的最高内存总容量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≥64GB</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存储设备规格</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*固态盘数量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1个</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*固态存储容量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≥512GB</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*固态存储形态</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M.2固态硬盘</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*存储设备扩展盘位</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≥3</w:t>
            </w:r>
            <w:r>
              <w:rPr>
                <w:highlight w:val="none"/>
              </w:rPr>
            </w:r>
          </w:p>
        </w:tc>
      </w:tr>
      <w:tr>
        <w:trPr>
          <w:trHeight w:val="324"/>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显卡规格</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*显卡类型</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独立显卡</w:t>
            </w:r>
            <w:r>
              <w:rPr>
                <w:highlight w:val="none"/>
              </w:rPr>
            </w:r>
          </w:p>
        </w:tc>
      </w:tr>
      <w:tr>
        <w:trPr>
          <w:trHeight w:val="323"/>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*独立显卡显存类型</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显存类型为GDDR5</w:t>
            </w:r>
            <w:r>
              <w:rPr>
                <w:highlight w:val="none"/>
              </w:rPr>
            </w:r>
          </w:p>
        </w:tc>
      </w:tr>
      <w:tr>
        <w:trPr>
          <w:trHeight w:val="350"/>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*独立显卡显存位宽</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64bit</w:t>
            </w:r>
            <w:r>
              <w:rPr>
                <w:highlight w:val="none"/>
              </w:rPr>
            </w:r>
          </w:p>
        </w:tc>
      </w:tr>
      <w:tr>
        <w:trPr>
          <w:trHeight w:val="323"/>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*独立显卡显存容量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2G</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显示设备规格</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*显示屏分辨率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≥1920x1080</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*显示屏尺寸</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≥23.8 英寸</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*显示屏屏幕比例</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16:9/3:2/21:9/16:10 等</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外设规格</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*鼠标数量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1个</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*键盘数量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1个</w:t>
            </w:r>
            <w:r>
              <w:rPr>
                <w:highlight w:val="none"/>
              </w:rPr>
            </w:r>
          </w:p>
        </w:tc>
      </w:tr>
      <w:tr>
        <w:trPr>
          <w:trHeight w:val="337"/>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网络设备规格</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*有线网卡数量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w:t>
            </w:r>
            <w:r>
              <w:rPr>
                <w:highlight w:val="none"/>
              </w:rPr>
            </w:r>
          </w:p>
        </w:tc>
      </w:tr>
      <w:tr>
        <w:trPr>
          <w:trHeight w:val="276"/>
        </w:trPr>
        <w:tc>
          <w:tcPr>
            <w:tcBorders>
              <w:top w:val="none" w:color="000000" w:sz="4" w:space="0"/>
              <w:left w:val="single" w:color="000000" w:sz="4" w:space="0"/>
              <w:bottom w:val="none" w:color="000000" w:sz="4" w:space="0"/>
              <w:right w:val="single" w:color="000000" w:sz="4" w:space="0"/>
            </w:tcBorders>
            <w:tcW w:w="142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外部接口规格</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*USB 接口数量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both"/>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机箱前面板应提供不少于 5 个 USB3.2 接口（含1个Type-C），后面板不少于4个USB接口</w:t>
            </w:r>
            <w:r>
              <w:rPr>
                <w:highlight w:val="none"/>
              </w:rPr>
            </w:r>
          </w:p>
        </w:tc>
      </w:tr>
      <w:tr>
        <w:trPr>
          <w:trHeight w:val="340"/>
        </w:trPr>
        <w:tc>
          <w:tcPr>
            <w:tcBorders>
              <w:top w:val="none" w:color="000000" w:sz="4" w:space="0"/>
              <w:left w:val="single" w:color="000000" w:sz="4" w:space="0"/>
              <w:bottom w:val="non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*视频接口数量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≥2个HDMI，≥1个DP，≥2个VGA</w:t>
            </w:r>
            <w:r>
              <w:rPr>
                <w:highlight w:val="none"/>
              </w:rPr>
            </w:r>
          </w:p>
        </w:tc>
      </w:tr>
      <w:tr>
        <w:trPr>
          <w:trHeight w:val="289"/>
        </w:trPr>
        <w:tc>
          <w:tcPr>
            <w:tcBorders>
              <w:top w:val="none" w:color="000000" w:sz="4" w:space="0"/>
              <w:left w:val="single" w:color="000000" w:sz="4" w:space="0"/>
              <w:bottom w:val="non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*音频接口数量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≥5</w:t>
            </w:r>
            <w:r>
              <w:rPr>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整机基础规格</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*整机噪音</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both"/>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产品工作在空闲状态下，产品的声功率级不超过2.1 Bel（A）</w:t>
            </w:r>
            <w:r>
              <w:rPr>
                <w:highlight w:val="none"/>
              </w:rP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*机箱尺寸容量</w:t>
            </w:r>
            <w:r>
              <w:rPr>
                <w:highlight w:val="none"/>
              </w:rPr>
            </w:r>
          </w:p>
        </w:tc>
        <w:tc>
          <w:tcPr>
            <w:shd w:val="clear" w:color="000000" w:fill="ffffff"/>
            <w:tcBorders>
              <w:top w:val="singl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机箱体积10-16L</w:t>
            </w:r>
            <w:r>
              <w:rPr>
                <w:highlight w:val="none"/>
              </w:rPr>
            </w:r>
          </w:p>
        </w:tc>
      </w:tr>
      <w:tr>
        <w:trPr>
          <w:trHeight w:val="303"/>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CPU性能</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 物理核数</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≥20</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 主频</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≥2.1GHz</w:t>
            </w:r>
            <w:r>
              <w:rPr>
                <w:highlight w:val="none"/>
              </w:rPr>
            </w:r>
          </w:p>
        </w:tc>
      </w:tr>
      <w:tr>
        <w:trPr>
          <w:trHeight w:val="29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 末级缓存容量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≥28MB</w:t>
            </w:r>
            <w:r>
              <w:rPr>
                <w:highlight w:val="none"/>
              </w:rPr>
            </w:r>
          </w:p>
        </w:tc>
      </w:tr>
      <w:tr>
        <w:trPr>
          <w:trHeight w:val="364"/>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 支持的内存最高速率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≥5600MT/s</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内存性能</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*内存读写速率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≥5600MT/s</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显卡性能</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*显示分辨率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≥1920x1080</w:t>
            </w:r>
            <w:r>
              <w:rPr>
                <w:highlight w:val="none"/>
              </w:rPr>
            </w:r>
          </w:p>
        </w:tc>
      </w:tr>
      <w:tr>
        <w:trPr>
          <w:trHeight w:val="323"/>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*显卡显示芯片核心频率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≥300MHz</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*显存等效频率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≥1000MT/s</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显示设备性能</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显示屏刷新率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≥75Hz</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显示屏响应时间</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≤6ms</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显示屏亮度</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≥250 尼特</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网络设备性能</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*有线网卡速率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both"/>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最高速率应不低于 1000Mbps，应支持10Mbps、100Mbps、1000Mbps 速率自适应</w:t>
            </w:r>
            <w:r>
              <w:rPr>
                <w:highlight w:val="none"/>
              </w:rPr>
            </w:r>
          </w:p>
        </w:tc>
      </w:tr>
      <w:tr>
        <w:trPr>
          <w:trHeight w:val="364"/>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主板功能</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*内存扩展接口(板载内存不涉及)</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 个</w:t>
            </w:r>
            <w:r>
              <w:rPr>
                <w:highlight w:val="none"/>
              </w:rPr>
            </w:r>
          </w:p>
        </w:tc>
      </w:tr>
      <w:tr>
        <w:trPr>
          <w:trHeight w:val="364"/>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*存储扩展接口(板载存储不涉及)</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3个SATA接口，1个M.2接口</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*I/O 接口功能</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≥9个USB接口，2个视频接口</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显卡功能</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*显卡外接显示接口</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both"/>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显卡至少支持1个 HDMI、1个DP接口，1个VGA接口，并与显示器接口相匹配</w:t>
            </w:r>
            <w:r>
              <w:rPr>
                <w:highlight w:val="none"/>
              </w:rPr>
            </w:r>
          </w:p>
        </w:tc>
      </w:tr>
      <w:tr>
        <w:trPr>
          <w:trHeight w:val="316"/>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*独立显卡数量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显示设备功能</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*显示器接口</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显示器应与显卡外接显示接口匹配</w:t>
            </w:r>
            <w:r>
              <w:rPr>
                <w:highlight w:val="none"/>
              </w:rPr>
            </w:r>
          </w:p>
        </w:tc>
      </w:tr>
      <w:tr>
        <w:trPr>
          <w:trHeight w:val="322"/>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电源功能</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*电源线适配能力</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≥260W 90%电源及适配线缆</w:t>
            </w:r>
            <w:r>
              <w:rPr>
                <w:highlight w:val="none"/>
              </w:rPr>
            </w:r>
          </w:p>
        </w:tc>
      </w:tr>
      <w:tr>
        <w:trPr>
          <w:trHeight w:val="480"/>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整机可靠性</w:t>
            </w:r>
            <w:r>
              <w:rPr>
                <w:highlight w:val="none"/>
              </w:rPr>
            </w:r>
          </w:p>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要求</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*MTBF 测试</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MTBF(m1)≥100 万小时</w:t>
            </w:r>
            <w:r>
              <w:rPr>
                <w:highlight w:val="none"/>
              </w:rPr>
            </w:r>
          </w:p>
        </w:tc>
      </w:tr>
      <w:tr>
        <w:trPr>
          <w:trHeight w:val="548"/>
        </w:trPr>
        <w:tc>
          <w:tcPr>
            <w:tcBorders>
              <w:top w:val="none" w:color="000000" w:sz="4" w:space="0"/>
              <w:left w:val="single" w:color="000000" w:sz="4" w:space="0"/>
              <w:right w:val="single" w:color="000000" w:sz="4" w:space="0"/>
            </w:tcBorders>
            <w:tcW w:w="142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服务要求</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*服务响应</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a)供应商提供电话、电子邮件、远程连接等多种形式服务；</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b)供应商提供同城4h、异地 12h 技术响应服务，2 个工作日解决问题，对于未能解决的问题和故障应提供可行的升级方案，并提供周转设备或更换设备；</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c)建立全国技术服务体系和服务团体，符合专业服务体系标准要求，提供原厂中文服务；</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d)服务周期内提供产品的维修、换件和升级服务</w:t>
            </w:r>
            <w:r>
              <w:rPr>
                <w:highlight w:val="none"/>
              </w:rPr>
            </w:r>
          </w:p>
        </w:tc>
      </w:tr>
      <w:tr>
        <w:trPr>
          <w:trHeight w:val="341"/>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*服务周期</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 a) 设备停产后应继续提供质量保障服务（含备品备件），服务终止时间与最后一批设备交付时间间隔不低于6 年；</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 b) 产品停止服务时间应提前 1 年告知；</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 c) 应明确产品发布日期</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2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*整机质量服务要求</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both"/>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免费服务周期（含换件和维修）应不小于 5 年</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供应链合规性</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*产品部件保障</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both"/>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供应商保障产品主要部件，提供 6 年的备件服务能力（自购买之日起），或提供可兼容原设备的升级换代产品</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供应链质量</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*抗干扰性</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both"/>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当产品部件出现供应风险时，供应商应通知采购人并提供风险应对方案确保产品的服务保障</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整机安全性</w:t>
            </w:r>
            <w:r>
              <w:rPr>
                <w:highlight w:val="none"/>
              </w:rPr>
            </w:r>
          </w:p>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要求</w:t>
            </w:r>
            <w:r>
              <w:rPr>
                <w:highlight w:val="none"/>
              </w:rPr>
            </w:r>
          </w:p>
        </w:tc>
        <w:tc>
          <w:tcPr>
            <w:tcBorders>
              <w:top w:val="none" w:color="000000" w:sz="4" w:space="0"/>
              <w:left w:val="none" w:color="000000" w:sz="4" w:space="0"/>
              <w:bottom w:val="single" w:color="000000" w:sz="4" w:space="0"/>
              <w:right w:val="single" w:color="000000" w:sz="4" w:space="0"/>
            </w:tcBorders>
            <w:tcW w:w="3051"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*USB 端口管控</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both"/>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支持 USB 端口管控</w:t>
            </w:r>
            <w:r>
              <w:rPr>
                <w:highlight w:val="none"/>
              </w:rPr>
            </w:r>
          </w:p>
        </w:tc>
      </w:tr>
    </w:tbl>
    <w:p>
      <w:pPr>
        <w:ind w:firstLine="241"/>
        <w:jc w:val="center"/>
        <w:spacing w:line="400" w:lineRule="exact"/>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r>
      <w:r>
        <w:rPr>
          <w:highlight w:val="none"/>
        </w:rPr>
      </w:r>
    </w:p>
    <w:p>
      <w:pPr>
        <w:ind w:firstLine="241"/>
        <w:jc w:val="left"/>
        <w:spacing w:line="400" w:lineRule="exact"/>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3. 台式计算机（配置三）</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设备</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技术</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参数</w:t>
      </w:r>
      <w:r>
        <w:rPr>
          <w:highlight w:val="none"/>
        </w:rPr>
      </w:r>
    </w:p>
    <w:tbl>
      <w:tblPr>
        <w:tblStyle w:val="701"/>
        <w:tblpPr w:horzAnchor="page" w:tblpX="1160" w:vertAnchor="text" w:tblpY="661" w:leftFromText="180" w:topFromText="0" w:rightFromText="180" w:bottomFromText="0"/>
        <w:tblW w:w="102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60"/>
        <w:gridCol w:w="2987"/>
        <w:gridCol w:w="5760"/>
      </w:tblGrid>
      <w:tr>
        <w:trPr>
          <w:trHeight w:val="276"/>
        </w:trPr>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ascii="黑体" w:hAnsi="宋体" w:eastAsia="黑体" w:cs="黑体"/>
                <w:b/>
                <w:bCs/>
                <w:i w:val="0"/>
                <w:iCs w:val="0"/>
                <w:color w:val="auto"/>
                <w:sz w:val="18"/>
                <w:szCs w:val="18"/>
                <w:highlight w:val="none"/>
                <w:u w:val="none"/>
                <w:lang w:val="en-US" w:eastAsia="zh-CN" w:bidi="ar"/>
              </w:rPr>
              <w:t xml:space="preserve">一级指标</w:t>
            </w:r>
            <w:r>
              <w:rPr>
                <w:highlight w:val="none"/>
              </w:rPr>
            </w:r>
          </w:p>
        </w:tc>
        <w:tc>
          <w:tcPr>
            <w:tcBorders>
              <w:top w:val="single" w:color="000000" w:sz="4" w:space="0"/>
              <w:left w:val="none" w:color="000000" w:sz="4" w:space="0"/>
              <w:bottom w:val="single" w:color="000000" w:sz="4" w:space="0"/>
              <w:right w:val="single" w:color="000000" w:sz="4" w:space="0"/>
            </w:tcBorders>
            <w:tcW w:w="2987" w:type="dxa"/>
            <w:vAlign w:val="center"/>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ascii="黑体" w:hAnsi="宋体" w:eastAsia="黑体" w:cs="黑体"/>
                <w:b/>
                <w:bCs/>
                <w:i w:val="0"/>
                <w:iCs w:val="0"/>
                <w:color w:val="auto"/>
                <w:sz w:val="18"/>
                <w:szCs w:val="18"/>
                <w:highlight w:val="none"/>
                <w:u w:val="none"/>
                <w:lang w:val="en-US" w:eastAsia="zh-CN" w:bidi="ar"/>
              </w:rPr>
              <w:t xml:space="preserve">二级指标</w:t>
            </w:r>
            <w:r>
              <w:rPr>
                <w:highlight w:val="none"/>
              </w:rPr>
            </w:r>
          </w:p>
        </w:tc>
        <w:tc>
          <w:tcPr>
            <w:tcBorders>
              <w:top w:val="singl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keepLines w:val="0"/>
              <w:keepNext w:val="0"/>
              <w:widowControl/>
              <w:rPr>
                <w:rFonts w:ascii="黑体" w:hAnsi="宋体" w:eastAsia="黑体" w:cs="黑体"/>
                <w:b/>
                <w:bCs/>
                <w:i w:val="0"/>
                <w:iCs w:val="0"/>
                <w:color w:val="000000"/>
                <w:sz w:val="18"/>
                <w:szCs w:val="18"/>
                <w:highlight w:val="none"/>
                <w:u w:val="none"/>
              </w:rPr>
              <w:suppressLineNumbers w:val="0"/>
            </w:pPr>
            <w:r>
              <w:rPr>
                <w:rFonts w:ascii="黑体" w:hAnsi="宋体" w:eastAsia="黑体" w:cs="黑体"/>
                <w:b/>
                <w:bCs/>
                <w:i w:val="0"/>
                <w:iCs w:val="0"/>
                <w:color w:val="000000"/>
                <w:sz w:val="18"/>
                <w:szCs w:val="18"/>
                <w:highlight w:val="none"/>
                <w:u w:val="none"/>
                <w:lang w:val="en-US" w:eastAsia="zh-CN" w:bidi="ar"/>
              </w:rPr>
              <w:t xml:space="preserve">指标要求（台式</w:t>
            </w:r>
            <w:r>
              <w:rPr>
                <w:rFonts w:hint="eastAsia" w:ascii="黑体" w:hAnsi="宋体" w:eastAsia="黑体" w:cs="黑体"/>
                <w:b/>
                <w:bCs/>
                <w:i w:val="0"/>
                <w:iCs w:val="0"/>
                <w:color w:val="000000"/>
                <w:sz w:val="18"/>
                <w:szCs w:val="18"/>
                <w:highlight w:val="none"/>
                <w:u w:val="none"/>
                <w:lang w:val="en-US" w:eastAsia="zh-CN" w:bidi="ar"/>
              </w:rPr>
              <w:t xml:space="preserve">计算机</w:t>
            </w:r>
            <w:r>
              <w:rPr>
                <w:rFonts w:ascii="黑体" w:hAnsi="宋体" w:eastAsia="黑体" w:cs="黑体"/>
                <w:b/>
                <w:bCs/>
                <w:i w:val="0"/>
                <w:iCs w:val="0"/>
                <w:color w:val="000000"/>
                <w:sz w:val="18"/>
                <w:szCs w:val="18"/>
                <w:highlight w:val="none"/>
                <w:u w:val="none"/>
                <w:lang w:val="en-US" w:eastAsia="zh-CN" w:bidi="ar"/>
              </w:rPr>
              <w:t xml:space="preserve">配置三）</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CPU规格</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 信息</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物理核心数≥6核心；CPU线程≥12线程；CPU主频≥2.5GHz；睿频≥4.6GHz，二级缓存容量18 MB，基础功耗65W，内存最高速率4800 MT/s，最大内存通道数2，位宽64位</w:t>
            </w:r>
            <w:r>
              <w:rPr>
                <w:highlight w:val="none"/>
              </w:rPr>
            </w:r>
          </w:p>
        </w:tc>
      </w:tr>
      <w:tr>
        <w:trPr>
          <w:trHeight w:val="317"/>
        </w:trPr>
        <w:tc>
          <w:tcPr>
            <w:tcBorders>
              <w:top w:val="non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内存规格</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*内存配置容量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≥16GB</w:t>
            </w:r>
            <w:r>
              <w:rPr>
                <w:highlight w:val="none"/>
              </w:rPr>
            </w:r>
          </w:p>
        </w:tc>
      </w:tr>
      <w:tr>
        <w:trPr>
          <w:trHeight w:val="316"/>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*内存类型</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支持DDR4及以上内存</w:t>
            </w:r>
            <w:r>
              <w:rPr>
                <w:highlight w:val="none"/>
              </w:rPr>
            </w:r>
          </w:p>
        </w:tc>
      </w:tr>
      <w:tr>
        <w:trPr>
          <w:trHeight w:val="378"/>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*内存条配置数量(板载内存不涉及)</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 1</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主板规格</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*主板集成模块</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集成资源扩展模块、计算处理模块、音频扩展模块等，主板的互联拓扑可通过处理器或交换电路实现</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*主板支持的 CPU和内存情况</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支持常规CPU及内存型号</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*主板内置PCIe 插槽数量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支持 PCIe 插槽数量不少于 2 个</w:t>
            </w:r>
            <w:r>
              <w:rPr>
                <w:highlight w:val="none"/>
              </w:rPr>
            </w:r>
          </w:p>
        </w:tc>
      </w:tr>
      <w:tr>
        <w:trPr>
          <w:trHeight w:val="304"/>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*主板其内置接口</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3个SATA接口，1个M.2接口，9个USB接口</w:t>
            </w:r>
            <w:r>
              <w:rPr>
                <w:highlight w:val="none"/>
              </w:rPr>
            </w:r>
          </w:p>
        </w:tc>
      </w:tr>
      <w:tr>
        <w:trPr>
          <w:trHeight w:val="540"/>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单内存插槽最大可支持容量（板载内存不涉及）</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≥32GB</w:t>
            </w:r>
            <w:r>
              <w:rPr>
                <w:highlight w:val="none"/>
              </w:rPr>
            </w:r>
          </w:p>
        </w:tc>
      </w:tr>
      <w:tr>
        <w:trPr>
          <w:trHeight w:val="408"/>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内存插槽满配时提供的最高内存总容量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≥64GB</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存储设备规格</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*固态盘数量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1个</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*固态存储容量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≥1024GB</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*固态存储形态</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M.2 或 2.5 寸 SATA 或 mSATA 等标准的插卡形态</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存储设备扩展盘位</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≥3</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显卡规格</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*显卡类型</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独立显卡</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*独立显卡显存类型</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显存类型应为DDR3/DDR4/GDDR5/GDDR6/LPDDR4</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*独立显卡显存位宽</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64bit</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*独立显卡显存容量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2G</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显示设备规格</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*显示屏分辨率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≥1920x1080</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*显示屏尺寸</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≥23.8 英寸</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*显示屏屏幕比例</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16:9/3:2/21:9/16:10 等</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外设规格</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*鼠标数量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1个</w:t>
            </w:r>
            <w:r>
              <w:rPr>
                <w:highlight w:val="none"/>
              </w:rPr>
            </w:r>
          </w:p>
        </w:tc>
      </w:tr>
      <w:tr>
        <w:trPr>
          <w:trHeight w:val="344"/>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*键盘数量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1个</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网络设备规格</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*有线网卡数量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w:t>
            </w:r>
            <w:r>
              <w:rPr>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外部接口规格</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*USB 接口数量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提供不少于9个USB接口</w:t>
            </w:r>
            <w:r>
              <w:rPr>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*视频接口数量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≥2个HDMI，≥1个DP，≥2个VGA</w:t>
            </w:r>
            <w:r>
              <w:rPr>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*音频接口数量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≥5</w:t>
            </w:r>
            <w:r>
              <w:rPr>
                <w:highlight w:val="none"/>
              </w:rP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spacing w:line="240" w:lineRule="exact"/>
              <w:widowControl/>
              <w:rPr>
                <w:rFonts w:hint="eastAsia" w:ascii="Times New Roman" w:hAnsi="Times New Roman" w:eastAsia="宋体" w:cs="Times New Roman"/>
                <w:sz w:val="18"/>
                <w:szCs w:val="18"/>
                <w:highlight w:val="none"/>
              </w:rPr>
            </w:pPr>
            <w:r>
              <w:rPr>
                <w:rFonts w:hint="eastAsia" w:ascii="Times New Roman" w:hAnsi="Times New Roman" w:cs="Times New Roman"/>
                <w:sz w:val="18"/>
                <w:szCs w:val="18"/>
                <w:highlight w:val="none"/>
                <w:lang w:val="en-US" w:eastAsia="zh-CN"/>
              </w:rPr>
              <w:t xml:space="preserve">整机基础规格</w:t>
            </w:r>
            <w:r>
              <w:rPr>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eastAsia="宋体" w:cs="Times New Roman"/>
                <w:sz w:val="18"/>
                <w:szCs w:val="18"/>
                <w:highlight w:val="none"/>
              </w:rPr>
            </w:pPr>
            <w:r>
              <w:rPr>
                <w:rFonts w:hint="eastAsia" w:ascii="Times New Roman" w:hAnsi="Times New Roman" w:cs="Times New Roman"/>
                <w:sz w:val="18"/>
                <w:szCs w:val="18"/>
                <w:highlight w:val="none"/>
                <w:lang w:val="en-US" w:eastAsia="zh-CN"/>
              </w:rPr>
              <w:t xml:space="preserve">*机箱尺寸容量</w:t>
            </w:r>
            <w:r>
              <w:rPr>
                <w:highlight w:val="none"/>
              </w:rPr>
            </w:r>
          </w:p>
        </w:tc>
        <w:tc>
          <w:tcPr>
            <w:shd w:val="clear" w:color="000000" w:fill="ffffff"/>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eastAsia="宋体" w:cs="Times New Roman"/>
                <w:sz w:val="18"/>
                <w:szCs w:val="18"/>
                <w:highlight w:val="none"/>
              </w:rPr>
            </w:pPr>
            <w:r>
              <w:rPr>
                <w:rFonts w:hint="eastAsia" w:ascii="Times New Roman" w:hAnsi="Times New Roman" w:cs="Times New Roman"/>
                <w:sz w:val="18"/>
                <w:szCs w:val="18"/>
                <w:highlight w:val="none"/>
                <w:lang w:val="en-US" w:eastAsia="zh-CN"/>
              </w:rPr>
              <w:t xml:space="preserve">机箱体积10-16L</w:t>
            </w:r>
            <w:r>
              <w:rPr>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CPU性能</w:t>
            </w:r>
            <w:r>
              <w:rPr>
                <w:highlight w:val="none"/>
              </w:rPr>
            </w:r>
          </w:p>
        </w:tc>
        <w:tc>
          <w:tcPr>
            <w:tcBorders>
              <w:top w:val="single" w:color="auto"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 物理核数</w:t>
            </w:r>
            <w:r>
              <w:rPr>
                <w:highlight w:val="none"/>
              </w:rPr>
            </w:r>
          </w:p>
        </w:tc>
        <w:tc>
          <w:tcPr>
            <w:tcBorders>
              <w:top w:val="single" w:color="auto"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≥6</w:t>
            </w:r>
            <w:r>
              <w:rPr>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 主频</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≥2.5GHz</w:t>
            </w:r>
            <w:r>
              <w:rPr>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 末级缓存容量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≥18MB</w:t>
            </w:r>
            <w:r>
              <w:rPr>
                <w:highlight w:val="none"/>
              </w:rPr>
            </w:r>
          </w:p>
        </w:tc>
      </w:tr>
      <w:tr>
        <w:trPr>
          <w:trHeight w:val="323"/>
        </w:trPr>
        <w:tc>
          <w:tcPr>
            <w:tcBorders>
              <w:top w:val="singl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*CPU 支持的内存最高速率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≥4800MT/s</w:t>
            </w:r>
            <w:r>
              <w:rPr>
                <w:highlight w:val="none"/>
              </w:rPr>
            </w:r>
          </w:p>
        </w:tc>
      </w:tr>
      <w:tr>
        <w:trPr>
          <w:trHeight w:val="276"/>
        </w:trPr>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内存性能</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*内存读写速率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≥3200MT/s</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显卡性能</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*显示分辨率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≥1920x1080</w:t>
            </w:r>
            <w:r>
              <w:rPr>
                <w:highlight w:val="none"/>
              </w:rPr>
            </w:r>
          </w:p>
        </w:tc>
      </w:tr>
      <w:tr>
        <w:trPr>
          <w:trHeight w:val="269"/>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*显卡显示芯片核心频率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≥300MHz</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*显存等效频率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≥1000MT/s</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显示设备性能</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显示屏刷新率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≥75Hz</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显示屏响应时间</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≤8ms</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显示屏亮度</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≥250 尼特</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网络设备性能</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*有线网卡速率</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最高速率应不低于 1000Mbps，应支持10Mbps、100Mbps、1000Mbps 速率自适应</w:t>
            </w:r>
            <w:r>
              <w:rPr>
                <w:highlight w:val="none"/>
              </w:rPr>
            </w:r>
          </w:p>
        </w:tc>
      </w:tr>
      <w:tr>
        <w:trPr>
          <w:trHeight w:val="350"/>
        </w:trPr>
        <w:tc>
          <w:tcPr>
            <w:tcBorders>
              <w:top w:val="non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主板功能</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*内存扩展接口(板载内存不涉及)</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≥2 个</w:t>
            </w:r>
            <w:r>
              <w:rPr>
                <w:highlight w:val="none"/>
              </w:rPr>
            </w:r>
          </w:p>
        </w:tc>
      </w:tr>
      <w:tr>
        <w:trPr>
          <w:trHeight w:val="377"/>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*存储扩展接口(板载存储不涉及)</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3个SATA接口，1个M.2接口</w:t>
            </w:r>
            <w:r>
              <w:rPr>
                <w:highlight w:val="none"/>
              </w:rPr>
            </w:r>
          </w:p>
        </w:tc>
      </w:tr>
      <w:tr>
        <w:trPr>
          <w:trHeight w:val="317"/>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*I/O 接口功能</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≥9个USB接口，3个视频接口</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显卡功能</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*显卡外接显示接口</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显卡至少支持 VGA、HDMI、DVI、DP、Type-C 中1种显示接口，并与显示器接口相匹配</w:t>
            </w:r>
            <w:r>
              <w:rPr>
                <w:highlight w:val="none"/>
              </w:rPr>
            </w:r>
          </w:p>
        </w:tc>
      </w:tr>
      <w:tr>
        <w:trPr>
          <w:trHeight w:val="317"/>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*独立显卡数量</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显示设备功能</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*显示器接口</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显示器应与显卡外接显示接口匹配</w:t>
            </w:r>
            <w:r>
              <w:rPr>
                <w:highlight w:val="none"/>
              </w:rPr>
            </w:r>
          </w:p>
        </w:tc>
      </w:tr>
      <w:tr>
        <w:trPr>
          <w:trHeight w:val="358"/>
        </w:trPr>
        <w:tc>
          <w:tcPr>
            <w:tcBorders>
              <w:top w:val="non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电源功能</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*电源线适配能力</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≥180W电源及适配线缆</w:t>
            </w:r>
            <w:r>
              <w:rPr>
                <w:highlight w:val="none"/>
              </w:rPr>
            </w:r>
          </w:p>
        </w:tc>
      </w:tr>
      <w:tr>
        <w:trPr>
          <w:trHeight w:val="1080"/>
        </w:trPr>
        <w:tc>
          <w:tcPr>
            <w:tcBorders>
              <w:top w:val="none" w:color="000000" w:sz="4" w:space="0"/>
              <w:left w:val="single" w:color="000000" w:sz="4" w:space="0"/>
              <w:right w:val="single" w:color="000000" w:sz="4" w:space="0"/>
            </w:tcBorders>
            <w:tcW w:w="1460" w:type="dxa"/>
            <w:vAlign w:val="center"/>
            <w:vMerge w:val="restart"/>
            <w:textDirection w:val="lrTb"/>
            <w:noWrap w:val="false"/>
          </w:tcPr>
          <w:p>
            <w:pPr>
              <w:jc w:val="center"/>
              <w:spacing w:line="240" w:lineRule="exact"/>
              <w:widowControl/>
              <w:rPr>
                <w:rFonts w:hint="default"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服务要求</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*服务响应</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a)供应商提供电话、电子邮件、远程连接等多种形式服务；</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b)供应商提供同城4h、异地 12h 技术响应服务，2 个工作日解决问题，对于未能解决的问题和故障应提供可行的</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升级方案，并提供周转设备或更换设备；</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c)建立全国技术服务体系和服务团体，符合专业服务体系标准要求，提供原厂中文服务；</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d)服务周期内提供产品的维修、换件和升级服务</w:t>
            </w:r>
            <w:r>
              <w:rPr>
                <w:highlight w:val="none"/>
              </w:rPr>
            </w:r>
          </w:p>
        </w:tc>
      </w:tr>
      <w:tr>
        <w:trPr>
          <w:trHeight w:val="648"/>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*服务周期</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 a) 设备停产后应继续提供质量保障服务（含备品备件），服务终止时间与最后一批设备交付时间间隔不低于 6 年；</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 b) 产品停止服务时间应提前 1 年告知；</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 c) 应明确产品发布日期</w:t>
            </w:r>
            <w:r>
              <w:rPr>
                <w:highlight w:val="none"/>
              </w:rPr>
            </w:r>
          </w:p>
        </w:tc>
      </w:tr>
      <w:tr>
        <w:trPr>
          <w:trHeight w:val="303"/>
        </w:trPr>
        <w:tc>
          <w:tcPr>
            <w:tcBorders>
              <w:top w:val="none" w:color="000000" w:sz="4"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*整机质量服务要求</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both"/>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免费服务周期（含换件和维修）应不小于 5 年</w:t>
            </w:r>
            <w:r>
              <w:rPr>
                <w:highlight w:val="none"/>
              </w:rPr>
            </w:r>
          </w:p>
        </w:tc>
      </w:tr>
      <w:tr>
        <w:trPr>
          <w:trHeight w:val="432"/>
        </w:trPr>
        <w:tc>
          <w:tcPr>
            <w:tcBorders>
              <w:top w:val="non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供应链合规性</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*产品部件保障</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both"/>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供应商保障产品主要部件，提供6年的备件服务能力（自购买之日起），或提供可兼容原设备的升级换代产品</w:t>
            </w:r>
            <w:r>
              <w:rPr>
                <w:highlight w:val="none"/>
              </w:rPr>
            </w:r>
          </w:p>
        </w:tc>
      </w:tr>
      <w:tr>
        <w:trPr>
          <w:trHeight w:val="276"/>
        </w:trPr>
        <w:tc>
          <w:tcPr>
            <w:tcBorders>
              <w:top w:val="non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供应链质量</w:t>
            </w:r>
            <w:r>
              <w:rPr>
                <w:highlight w:val="none"/>
              </w:rPr>
            </w:r>
          </w:p>
        </w:tc>
        <w:tc>
          <w:tcPr>
            <w:tcBorders>
              <w:top w:val="none" w:color="000000" w:sz="4" w:space="0"/>
              <w:left w:val="none" w:color="000000" w:sz="4" w:space="0"/>
              <w:bottom w:val="single" w:color="000000" w:sz="4" w:space="0"/>
              <w:right w:val="single" w:color="000000" w:sz="4" w:space="0"/>
            </w:tcBorders>
            <w:tcW w:w="2987" w:type="dxa"/>
            <w:vAlign w:val="center"/>
            <w:textDirection w:val="lrTb"/>
            <w:noWrap w:val="false"/>
          </w:tcPr>
          <w:p>
            <w:p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*抗干扰性</w:t>
            </w:r>
            <w:r>
              <w:rPr>
                <w:highlight w:val="none"/>
              </w:rPr>
            </w:r>
          </w:p>
        </w:tc>
        <w:tc>
          <w:tcPr>
            <w:tcBorders>
              <w:top w:val="none" w:color="000000" w:sz="4" w:space="0"/>
              <w:left w:val="none" w:color="000000" w:sz="4" w:space="0"/>
              <w:bottom w:val="single" w:color="000000" w:sz="4" w:space="0"/>
              <w:right w:val="single" w:color="000000" w:sz="4" w:space="0"/>
            </w:tcBorders>
            <w:tcW w:w="5760" w:type="dxa"/>
            <w:vAlign w:val="center"/>
            <w:textDirection w:val="lrTb"/>
            <w:noWrap w:val="false"/>
          </w:tcPr>
          <w:p>
            <w:pPr>
              <w:jc w:val="both"/>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当产品部件出现供应风险时，供应商应通知采购人并提供风险应对方案确保产品的服务保障</w:t>
            </w:r>
            <w:r>
              <w:rPr>
                <w:highlight w:val="none"/>
              </w:rPr>
            </w:r>
          </w:p>
        </w:tc>
      </w:tr>
    </w:tbl>
    <w:p>
      <w:pPr>
        <w:ind w:firstLine="241"/>
        <w:jc w:val="left"/>
        <w:spacing w:line="400" w:lineRule="exact"/>
        <w:rPr>
          <w:rFonts w:hint="eastAsia"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r>
      <w:r>
        <w:rPr>
          <w:highlight w:val="none"/>
        </w:rPr>
      </w:r>
    </w:p>
    <w:p>
      <w:pPr>
        <w:ind w:firstLine="241"/>
        <w:jc w:val="left"/>
        <w:spacing w:line="400" w:lineRule="exact"/>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4. 机房</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及教学</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管理</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软件服务</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（台式计算机配置一、台式计算机配置二、台式计算机配置三）</w:t>
      </w:r>
      <w:r>
        <w:rPr>
          <w:highlight w:val="none"/>
        </w:rPr>
      </w:r>
    </w:p>
    <w:tbl>
      <w:tblPr>
        <w:tblStyle w:val="701"/>
        <w:tblpPr w:horzAnchor="page" w:tblpX="1088" w:vertAnchor="text" w:tblpY="447" w:leftFromText="180" w:topFromText="0" w:rightFromText="180" w:bottomFromText="0"/>
        <w:tblW w:w="99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1046"/>
        <w:gridCol w:w="7731"/>
      </w:tblGrid>
      <w:tr>
        <w:trPr>
          <w:trHeight w:val="90"/>
        </w:trPr>
        <w:tc>
          <w:tcPr>
            <w:tcBorders>
              <w:top w:val="single" w:color="000000" w:sz="4" w:space="0"/>
              <w:left w:val="single" w:color="000000" w:sz="4" w:space="0"/>
              <w:bottom w:val="single" w:color="000000" w:sz="4" w:space="0"/>
              <w:right w:val="single" w:color="000000" w:sz="4" w:space="0"/>
            </w:tcBorders>
            <w:tcW w:w="1202" w:type="dxa"/>
            <w:vAlign w:val="center"/>
            <w:vMerge w:val="restart"/>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机房及教学管理</w:t>
            </w:r>
            <w:r>
              <w:rPr>
                <w:highlight w:val="none"/>
              </w:rP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机房管理</w:t>
            </w:r>
            <w:r>
              <w:rPr>
                <w:highlight w:val="none"/>
              </w:rPr>
            </w:r>
          </w:p>
        </w:tc>
        <w:tc>
          <w:tcPr>
            <w:tcBorders>
              <w:top w:val="single" w:color="000000" w:sz="4" w:space="0"/>
              <w:left w:val="none" w:color="000000" w:sz="4" w:space="0"/>
              <w:bottom w:val="single" w:color="000000" w:sz="4" w:space="0"/>
              <w:right w:val="single" w:color="000000" w:sz="4" w:space="0"/>
            </w:tcBorders>
            <w:tcW w:w="7731" w:type="dxa"/>
            <w:vAlign w:val="center"/>
            <w:textDirection w:val="lrTb"/>
            <w:noWrap w:val="false"/>
          </w:tcPr>
          <w:p>
            <w:pPr>
              <w:numPr>
                <w:ilvl w:val="0"/>
                <w:numId w:val="12"/>
              </w:num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支持超级镜像功能，可通过一个标准镜像可以支持多种不同硬件配置，可覆盖不同品牌、跨越不同代的CPU。 </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2. 可充分利用学校现有网络，支持在镜像下发时时进行网速探测与策略优化，可识别终端网络速率，提前优化镜像下发策略，保障传输效率。</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3. 支持做好模板、完成系统镜像下发后自动执行关机、重启等操作。</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4. 支持终端在无法进入系统情况下，通过数据恢复模块（基于Linux和Windows两种方式）进行系统数据恢复。 </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5. 收集平台中所有终端硬件配置信息，包含但不限于终端名称、主板型号、CPU型号、内存容量、最近运行时间、合计运行时间、硬件变更和记录信息等。</w:t>
            </w:r>
            <w:r>
              <w:rPr>
                <w:highlight w:val="none"/>
              </w:rPr>
            </w:r>
          </w:p>
          <w:p>
            <w:pPr>
              <w:numPr>
                <w:ilvl w:val="0"/>
                <w:numId w:val="0"/>
              </w:num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6. 收集平台中所有终端的运行状态信息，包含但不限于终端名称、CPU温度、开机时间、硬盘信息等。</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7. 支持收集平台中所有终端的软件信息，包含但不限于程序名称、运行次数、运行时长、版本、程序大小等。</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8. 可支持在管理集群内将主服务器内镜像提前下发至节点服务器，提升局域网内镜像的更新速度。 </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9. 支持电脑优化系统，实现对桌面进行安全防护，深度查杀，弹窗管理等功能，保护数据安全和防止终端中毒。 </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10. 支持大数据展示。可展示包括但不限于资产统计、设备详情、开关机对比、日志、系统使用情况等信息。</w:t>
            </w:r>
            <w:r>
              <w:rPr>
                <w:highlight w:val="none"/>
              </w:rPr>
            </w:r>
          </w:p>
          <w:p>
            <w:pPr>
              <w:jc w:val="left"/>
              <w:spacing w:line="240" w:lineRule="exact"/>
              <w:widowControl/>
              <w:rPr>
                <w:rFonts w:hint="default"/>
                <w:highlight w:val="none"/>
              </w:rPr>
            </w:pPr>
            <w:r>
              <w:rPr>
                <w:rFonts w:hint="eastAsia" w:ascii="Times New Roman" w:hAnsi="Times New Roman" w:cs="Times New Roman"/>
                <w:sz w:val="18"/>
                <w:szCs w:val="18"/>
                <w:highlight w:val="none"/>
                <w:lang w:val="en-US" w:eastAsia="zh-CN"/>
              </w:rPr>
              <w:t xml:space="preserve">11. 管理平台支持对服务器使用的网络端口进行检测，并通过检测结果帮助管理员快速分析和解决问题。</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12. 平台支持创建组织、用户、角色，支持管理员对不同用户和角色进行分级分权。</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13. 支持对终端端口进行分类控制，包括但不限于控制所有 USB 存储接口、光盘驱动器接口、USB存储设备接口、打印机接口、1394接口、串并口接口、蓝牙驱动器接口等。 </w:t>
            </w:r>
            <w:r>
              <w:rPr>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W w:w="1202" w:type="dxa"/>
            <w:vAlign w:val="center"/>
            <w:vMerge w:val="continue"/>
            <w:textDirection w:val="lrTb"/>
            <w:noWrap w:val="false"/>
          </w:tcPr>
          <w:p>
            <w:pPr>
              <w:jc w:val="center"/>
              <w:spacing w:line="240" w:lineRule="exact"/>
              <w:widowControl/>
              <w:rPr>
                <w:rFonts w:hint="eastAsia" w:ascii="Times New Roman" w:hAnsi="Times New Roman" w:cs="Times New Roman"/>
                <w:sz w:val="18"/>
                <w:szCs w:val="18"/>
                <w:lang w:val="en-US" w:eastAsia="zh-CN"/>
              </w:rPr>
            </w:pPr>
            <w:r>
              <w:rPr>
                <w:rFonts w:hint="eastAsia" w:ascii="Times New Roman" w:hAnsi="Times New Roman" w:cs="Times New Roman"/>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center"/>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教学管理</w:t>
            </w:r>
            <w:r>
              <w:rPr>
                <w:highlight w:val="none"/>
              </w:rPr>
            </w:r>
          </w:p>
        </w:tc>
        <w:tc>
          <w:tcPr>
            <w:tcBorders>
              <w:top w:val="none" w:color="000000" w:sz="4" w:space="0"/>
              <w:left w:val="none" w:color="000000" w:sz="4" w:space="0"/>
              <w:bottom w:val="single" w:color="000000" w:sz="4" w:space="0"/>
              <w:right w:val="single" w:color="000000" w:sz="4" w:space="0"/>
            </w:tcBorders>
            <w:tcW w:w="7731" w:type="dxa"/>
            <w:vAlign w:val="center"/>
            <w:textDirection w:val="lrTb"/>
            <w:noWrap w:val="false"/>
          </w:tcPr>
          <w:p>
            <w:pPr>
              <w:numPr>
                <w:ilvl w:val="0"/>
                <w:numId w:val="13"/>
              </w:numPr>
              <w:jc w:val="left"/>
              <w:spacing w:line="240" w:lineRule="exact"/>
              <w:widowControl/>
              <w:rPr>
                <w:rFonts w:hint="eastAsia" w:ascii="Times New Roman" w:hAnsi="Times New Roman" w:cs="Times New Roman"/>
                <w:sz w:val="18"/>
                <w:szCs w:val="18"/>
                <w:highlight w:val="none"/>
              </w:rPr>
            </w:pPr>
            <w:r>
              <w:rPr>
                <w:rFonts w:hint="eastAsia" w:ascii="Times New Roman" w:hAnsi="Times New Roman" w:cs="Times New Roman"/>
                <w:sz w:val="18"/>
                <w:szCs w:val="18"/>
                <w:highlight w:val="none"/>
                <w:lang w:val="en-US" w:eastAsia="zh-CN"/>
              </w:rPr>
              <w:t xml:space="preserve">屏幕录制：教师机可以将本地的操作和讲解过程录制为ASF录像文件，可以用Windows 自带的 Media Player 直接播放。 </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2. 支持服务器端授权、在线序列号、离线文件等多种方式。</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3. 屏幕广播可选择全屏或窗口方式。</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4. 网络影院可将教师机播放的视频同步到学生机，支持几乎所有常见的媒体音视频格式，支持1080p高清视频。</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5. 教师可指定一台学生机作为示范，由此学生代替教师示范教学。</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6. 可进行分组讨论。</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7. 文件收发功能，可拖拽添加文件。</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8. 可设置上网、程序限制策略，可设置黑白名单不同策略。 </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9. 屏幕笔：教师教学使用的辅助工具，突出显示项目、添加注释，添加批注等等。</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10. 教师可设置题目请学生作答。</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11. 系统具备单独的班级模型管理功能，实现对班级模型的统一管理。</w:t>
            </w:r>
            <w:r>
              <w:rPr>
                <w:highlight w:val="none"/>
              </w:rPr>
            </w:r>
          </w:p>
          <w:p>
            <w:pPr>
              <w:numPr>
                <w:ilvl w:val="0"/>
                <w:numId w:val="14"/>
              </w:numPr>
              <w:jc w:val="left"/>
              <w:spacing w:line="240" w:lineRule="exact"/>
              <w:widowControl/>
              <w:rPr>
                <w:rFonts w:hint="eastAsia"/>
                <w:highlight w:val="none"/>
              </w:rPr>
            </w:pPr>
            <w:r>
              <w:rPr>
                <w:rFonts w:hint="eastAsia" w:ascii="Times New Roman" w:hAnsi="Times New Roman" w:cs="Times New Roman"/>
                <w:sz w:val="18"/>
                <w:szCs w:val="18"/>
                <w:highlight w:val="none"/>
                <w:lang w:val="en-US" w:eastAsia="zh-CN"/>
              </w:rPr>
              <w:t xml:space="preserve">可实现学生签到、电子点名功能。</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13. 支持PPT自带备课插件，通过插件可添加课堂互动游戏、思维导图、网站链接、网络画板等。</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14. 可自动识别照片中的文字，将纸质文字变为电子版，便于老师优质试题的收集复用。</w:t>
            </w:r>
            <w:r>
              <w:rPr>
                <w:rFonts w:hint="eastAsia" w:ascii="Times New Roman" w:hAnsi="Times New Roman" w:cs="Times New Roman"/>
                <w:sz w:val="18"/>
                <w:szCs w:val="18"/>
                <w:highlight w:val="none"/>
                <w:lang w:val="en-US" w:eastAsia="zh-CN"/>
              </w:rPr>
              <w:br/>
            </w:r>
            <w:r>
              <w:rPr>
                <w:rFonts w:hint="eastAsia" w:ascii="Times New Roman" w:hAnsi="Times New Roman" w:cs="Times New Roman"/>
                <w:sz w:val="18"/>
                <w:szCs w:val="18"/>
                <w:highlight w:val="none"/>
                <w:lang w:val="en-US" w:eastAsia="zh-CN"/>
              </w:rPr>
              <w:t xml:space="preserve">15. 可实现远程开关机、远程命令、远程设置、远程登录功能。</w:t>
            </w:r>
            <w:r>
              <w:rPr>
                <w:highlight w:val="none"/>
              </w:rPr>
            </w:r>
          </w:p>
        </w:tc>
      </w:tr>
    </w:tbl>
    <w:p>
      <w:pPr>
        <w:jc w:val="center"/>
        <w:spacing w:line="460" w:lineRule="exact"/>
        <w:shd w:val="clear" w:color="auto" w:fill="ffffff"/>
        <w:widowControl/>
        <w:rPr>
          <w:b/>
          <w:color w:val="000000" w:themeColor="text1"/>
          <w:spacing w:val="8"/>
          <w:sz w:val="24"/>
          <w:highlight w:val="none"/>
          <w14:textFill>
            <w14:solidFill>
              <w14:schemeClr w14:val="tx1"/>
            </w14:solidFill>
          </w14:textFill>
        </w:rPr>
        <w:outlineLvl w:val="1"/>
      </w:pPr>
      <w:r>
        <w:rPr>
          <w:b/>
          <w:color w:val="000000" w:themeColor="text1"/>
          <w:spacing w:val="8"/>
          <w:sz w:val="24"/>
          <w:highlight w:val="none"/>
          <w14:textFill>
            <w14:solidFill>
              <w14:schemeClr w14:val="tx1"/>
            </w14:solidFill>
          </w14:textFill>
        </w:rPr>
      </w:r>
      <w:r>
        <w:rPr>
          <w:highlight w:val="none"/>
        </w:rPr>
      </w:r>
    </w:p>
    <w:p>
      <w:pPr>
        <w:ind w:firstLine="514"/>
        <w:spacing w:line="460" w:lineRule="exact"/>
        <w:shd w:val="clear" w:color="auto" w:fill="ffffff"/>
        <w:widowControl/>
        <w:rPr>
          <w:b/>
          <w:color w:val="000000" w:themeColor="text1"/>
          <w:spacing w:val="8"/>
          <w:sz w:val="24"/>
          <w:highlight w:val="none"/>
          <w14:textFill>
            <w14:solidFill>
              <w14:schemeClr w14:val="tx1"/>
            </w14:solidFill>
          </w14:textFill>
        </w:rPr>
        <w:outlineLvl w:val="1"/>
      </w:pPr>
      <w:r>
        <w:rPr>
          <w:b/>
          <w:color w:val="000000" w:themeColor="text1"/>
          <w:spacing w:val="8"/>
          <w:sz w:val="24"/>
          <w:highlight w:val="none"/>
          <w14:textFill>
            <w14:solidFill>
              <w14:schemeClr w14:val="tx1"/>
            </w14:solidFill>
          </w14:textFill>
        </w:rPr>
        <w:t xml:space="preserve">四、</w:t>
      </w:r>
      <w:r>
        <w:rPr>
          <w:rFonts w:hint="eastAsia"/>
          <w:b/>
          <w:color w:val="000000" w:themeColor="text1"/>
          <w:spacing w:val="8"/>
          <w:sz w:val="24"/>
          <w:highlight w:val="none"/>
          <w14:textFill>
            <w14:solidFill>
              <w14:schemeClr w14:val="tx1"/>
            </w14:solidFill>
          </w14:textFill>
        </w:rPr>
        <w:t xml:space="preserve">商务</w:t>
      </w:r>
      <w:r>
        <w:rPr>
          <w:b/>
          <w:color w:val="000000" w:themeColor="text1"/>
          <w:spacing w:val="8"/>
          <w:sz w:val="24"/>
          <w:highlight w:val="none"/>
          <w14:textFill>
            <w14:solidFill>
              <w14:schemeClr w14:val="tx1"/>
            </w14:solidFill>
          </w14:textFill>
        </w:rPr>
        <w:t xml:space="preserve">要求</w:t>
      </w:r>
      <w:r>
        <w:rPr>
          <w:highlight w:val="none"/>
        </w:rPr>
      </w:r>
    </w:p>
    <w:p>
      <w:pPr>
        <w:ind w:firstLine="420"/>
        <w:spacing w:line="360" w:lineRule="auto"/>
        <w:rPr>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1.</w:t>
      </w:r>
      <w:r>
        <w:rPr>
          <w:rFonts w:hint="eastAsia"/>
          <w:b/>
          <w:color w:val="000000" w:themeColor="text1"/>
          <w:szCs w:val="21"/>
          <w:highlight w:val="none"/>
          <w:lang w:eastAsia="zh-CN"/>
          <w14:textFill>
            <w14:solidFill>
              <w14:schemeClr w14:val="tx1"/>
            </w14:solidFill>
          </w14:textFill>
        </w:rPr>
        <w:t xml:space="preserve">完工</w:t>
      </w:r>
      <w:r>
        <w:rPr>
          <w:b/>
          <w:color w:val="000000" w:themeColor="text1"/>
          <w:szCs w:val="21"/>
          <w:highlight w:val="none"/>
          <w14:textFill>
            <w14:solidFill>
              <w14:schemeClr w14:val="tx1"/>
            </w14:solidFill>
          </w14:textFill>
        </w:rPr>
        <w:t xml:space="preserve">期：</w:t>
      </w:r>
      <w:r>
        <w:rPr>
          <w:rFonts w:hint="eastAsia"/>
          <w:color w:val="000000" w:themeColor="text1"/>
          <w:szCs w:val="21"/>
          <w:highlight w:val="none"/>
          <w14:textFill>
            <w14:solidFill>
              <w14:schemeClr w14:val="tx1"/>
            </w14:solidFill>
          </w14:textFill>
        </w:rPr>
        <w:t xml:space="preserve">合同签订生效后</w:t>
      </w:r>
      <w:r>
        <w:rPr>
          <w:rFonts w:hint="eastAsia"/>
          <w:color w:val="000000" w:themeColor="text1"/>
          <w:szCs w:val="21"/>
          <w:highlight w:val="none"/>
          <w:lang w:val="en-US" w:eastAsia="zh-CN"/>
          <w14:textFill>
            <w14:solidFill>
              <w14:schemeClr w14:val="tx1"/>
            </w14:solidFill>
          </w14:textFill>
        </w:rPr>
        <w:t xml:space="preserve">3</w:t>
      </w:r>
      <w:r>
        <w:rPr>
          <w:rFonts w:hint="eastAsia"/>
          <w:color w:val="000000" w:themeColor="text1"/>
          <w:szCs w:val="21"/>
          <w:highlight w:val="none"/>
          <w14:textFill>
            <w14:solidFill>
              <w14:schemeClr w14:val="tx1"/>
            </w14:solidFill>
          </w14:textFill>
        </w:rPr>
        <w:t xml:space="preserve">0个工作日</w:t>
      </w:r>
      <w:r>
        <w:rPr>
          <w:color w:val="000000" w:themeColor="text1"/>
          <w:szCs w:val="21"/>
          <w:highlight w:val="none"/>
          <w14:textFill>
            <w14:solidFill>
              <w14:schemeClr w14:val="tx1"/>
            </w14:solidFill>
          </w14:textFill>
        </w:rPr>
        <w:t xml:space="preserve">。</w:t>
      </w:r>
      <w:r>
        <w:rPr>
          <w:highlight w:val="none"/>
        </w:rPr>
      </w:r>
    </w:p>
    <w:p>
      <w:pPr>
        <w:ind w:firstLine="420"/>
        <w:spacing w:line="360" w:lineRule="auto"/>
        <w:rPr>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2.交货地点：</w:t>
      </w:r>
      <w:r>
        <w:rPr>
          <w:color w:val="000000" w:themeColor="text1"/>
          <w:szCs w:val="21"/>
          <w:highlight w:val="none"/>
          <w14:textFill>
            <w14:solidFill>
              <w14:schemeClr w14:val="tx1"/>
            </w14:solidFill>
          </w14:textFill>
        </w:rPr>
        <w:t xml:space="preserve">中标供应商将设备送至采购人指定地点。</w:t>
      </w:r>
      <w:r>
        <w:rPr>
          <w:highlight w:val="none"/>
        </w:rPr>
      </w:r>
    </w:p>
    <w:p>
      <w:pPr>
        <w:ind w:firstLine="420"/>
        <w:spacing w:line="360" w:lineRule="auto"/>
        <w:rPr>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3.设备安装</w:t>
      </w:r>
      <w:r>
        <w:rPr>
          <w:rFonts w:hint="eastAsia"/>
          <w:b/>
          <w:color w:val="000000" w:themeColor="text1"/>
          <w:szCs w:val="21"/>
          <w:highlight w:val="none"/>
          <w14:textFill>
            <w14:solidFill>
              <w14:schemeClr w14:val="tx1"/>
            </w14:solidFill>
          </w14:textFill>
        </w:rPr>
        <w:t xml:space="preserve">调试</w:t>
      </w:r>
      <w:r>
        <w:rPr>
          <w:b/>
          <w:color w:val="000000" w:themeColor="text1"/>
          <w:szCs w:val="21"/>
          <w:highlight w:val="none"/>
          <w14:textFill>
            <w14:solidFill>
              <w14:schemeClr w14:val="tx1"/>
            </w14:solidFill>
          </w14:textFill>
        </w:rPr>
        <w:t xml:space="preserve">要求：</w:t>
      </w:r>
      <w:r>
        <w:rPr>
          <w:color w:val="000000" w:themeColor="text1"/>
          <w:szCs w:val="21"/>
          <w:highlight w:val="none"/>
          <w14:textFill>
            <w14:solidFill>
              <w14:schemeClr w14:val="tx1"/>
            </w14:solidFill>
          </w14:textFill>
        </w:rPr>
        <w:t xml:space="preserve">为便于用户进行接收仪器的准备工作，中标供应商应在合同</w:t>
      </w:r>
      <w:r>
        <w:rPr>
          <w:rFonts w:hint="eastAsia"/>
          <w:color w:val="000000" w:themeColor="text1"/>
          <w:szCs w:val="21"/>
          <w:highlight w:val="none"/>
          <w14:textFill>
            <w14:solidFill>
              <w14:schemeClr w14:val="tx1"/>
            </w14:solidFill>
          </w14:textFill>
        </w:rPr>
        <w:t xml:space="preserve">签订</w:t>
      </w:r>
      <w:r>
        <w:rPr>
          <w:color w:val="000000" w:themeColor="text1"/>
          <w:szCs w:val="21"/>
          <w:highlight w:val="none"/>
          <w14:textFill>
            <w14:solidFill>
              <w14:schemeClr w14:val="tx1"/>
            </w14:solidFill>
          </w14:textFill>
        </w:rPr>
        <w:t xml:space="preserve">后30天内向</w:t>
      </w:r>
      <w:r>
        <w:rPr>
          <w:rFonts w:hint="eastAsia"/>
          <w:color w:val="000000" w:themeColor="text1"/>
          <w:szCs w:val="21"/>
          <w:highlight w:val="none"/>
          <w14:textFill>
            <w14:solidFill>
              <w14:schemeClr w14:val="tx1"/>
            </w14:solidFill>
          </w14:textFill>
        </w:rPr>
        <w:t xml:space="preserve">采购人</w:t>
      </w:r>
      <w:r>
        <w:rPr>
          <w:color w:val="000000" w:themeColor="text1"/>
          <w:szCs w:val="21"/>
          <w:highlight w:val="none"/>
          <w14:textFill>
            <w14:solidFill>
              <w14:schemeClr w14:val="tx1"/>
            </w14:solidFill>
          </w14:textFill>
        </w:rPr>
        <w:t xml:space="preserve">提供一套完整的使用说明书、操作手册及安装说明等文件。在接到采购人安装通知后，中标供应商应派遣相关技术人员完成仪器的安装、调试和验收指标测试。</w:t>
      </w:r>
      <w:r>
        <w:rPr>
          <w:highlight w:val="none"/>
        </w:rPr>
      </w:r>
    </w:p>
    <w:p>
      <w:pPr>
        <w:ind w:firstLine="420"/>
        <w:spacing w:line="360" w:lineRule="auto"/>
        <w:rPr>
          <w:bCs/>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4.免费质保期：</w:t>
      </w:r>
      <w:r>
        <w:rPr>
          <w:rFonts w:ascii="宋体" w:hAnsi="宋体" w:eastAsia="宋体" w:cs="Times New Roman"/>
          <w:color w:val="000000" w:themeColor="text1"/>
          <w:sz w:val="21"/>
          <w:szCs w:val="21"/>
          <w:highlight w:val="none"/>
          <w14:textFill>
            <w14:solidFill>
              <w14:schemeClr w14:val="tx1"/>
            </w14:solidFill>
          </w14:textFill>
        </w:rPr>
        <w:t xml:space="preserve">设备免费质保期为验收合格之日</w:t>
      </w:r>
      <w:r>
        <w:rPr>
          <w:rFonts w:hint="eastAsia" w:ascii="宋体" w:hAnsi="宋体" w:eastAsia="宋体" w:cs="Times New Roman"/>
          <w:color w:val="000000" w:themeColor="text1"/>
          <w:sz w:val="21"/>
          <w:szCs w:val="21"/>
          <w:highlight w:val="none"/>
          <w14:textFill>
            <w14:solidFill>
              <w14:schemeClr w14:val="tx1"/>
            </w14:solidFill>
          </w14:textFill>
        </w:rPr>
        <w:t xml:space="preserve">起</w:t>
      </w:r>
      <w:r>
        <w:rPr>
          <w:rFonts w:hint="eastAsia" w:ascii="宋体" w:hAnsi="宋体" w:cs="Times New Roman"/>
          <w:color w:val="000000" w:themeColor="text1"/>
          <w:sz w:val="21"/>
          <w:szCs w:val="21"/>
          <w:highlight w:val="none"/>
          <w:lang w:eastAsia="zh-CN"/>
          <w14:textFill>
            <w14:solidFill>
              <w14:schemeClr w14:val="tx1"/>
            </w14:solidFill>
          </w14:textFill>
        </w:rPr>
        <w:t xml:space="preserve">至少</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5</w:t>
      </w:r>
      <w:r>
        <w:rPr>
          <w:rFonts w:ascii="宋体" w:hAnsi="宋体" w:eastAsia="宋体" w:cs="Times New Roman"/>
          <w:color w:val="000000" w:themeColor="text1"/>
          <w:sz w:val="21"/>
          <w:szCs w:val="21"/>
          <w:highlight w:val="none"/>
          <w14:textFill>
            <w14:solidFill>
              <w14:schemeClr w14:val="tx1"/>
            </w14:solidFill>
          </w14:textFill>
        </w:rPr>
        <w:t xml:space="preserve">年</w:t>
      </w:r>
      <w:r>
        <w:rPr>
          <w:rFonts w:hint="eastAsia" w:ascii="宋体" w:hAnsi="宋体" w:cs="Times New Roman"/>
          <w:color w:val="000000" w:themeColor="text1"/>
          <w:sz w:val="21"/>
          <w:szCs w:val="21"/>
          <w:highlight w:val="none"/>
          <w:lang w:eastAsia="zh-CN"/>
          <w14:textFill>
            <w14:solidFill>
              <w14:schemeClr w14:val="tx1"/>
            </w14:solidFill>
          </w14:textFill>
        </w:rPr>
        <w:t xml:space="preserve">（具体以投标文件为准）</w:t>
      </w:r>
      <w:r>
        <w:rPr>
          <w:rFonts w:ascii="宋体" w:hAnsi="宋体" w:eastAsia="宋体" w:cs="Times New Roman"/>
          <w:color w:val="000000" w:themeColor="text1"/>
          <w:sz w:val="21"/>
          <w:szCs w:val="21"/>
          <w:highlight w:val="none"/>
          <w14:textFill>
            <w14:solidFill>
              <w14:schemeClr w14:val="tx1"/>
            </w14:solidFill>
          </w14:textFill>
        </w:rPr>
        <w:t xml:space="preserve">，质保期内因设备质量或安装调试原因引起的全部维修费用均包含在本项目报价中（包括但不限于更换零配件的费用、维修人员的往返交通食宿等费用）。</w:t>
      </w:r>
      <w:r>
        <w:rPr>
          <w:highlight w:val="none"/>
        </w:rPr>
      </w:r>
    </w:p>
    <w:p>
      <w:pPr>
        <w:ind w:firstLine="420"/>
        <w:spacing w:line="360" w:lineRule="auto"/>
        <w:rPr>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5.</w:t>
      </w:r>
      <w:r>
        <w:rPr>
          <w:rFonts w:hint="eastAsia"/>
          <w:b/>
          <w:color w:val="000000" w:themeColor="text1"/>
          <w:szCs w:val="21"/>
          <w:highlight w:val="none"/>
          <w:lang w:eastAsia="zh-CN"/>
          <w14:textFill>
            <w14:solidFill>
              <w14:schemeClr w14:val="tx1"/>
            </w14:solidFill>
          </w14:textFill>
        </w:rPr>
        <w:t xml:space="preserve">质量及</w:t>
      </w:r>
      <w:r>
        <w:rPr>
          <w:b/>
          <w:color w:val="000000" w:themeColor="text1"/>
          <w:szCs w:val="21"/>
          <w:highlight w:val="none"/>
          <w14:textFill>
            <w14:solidFill>
              <w14:schemeClr w14:val="tx1"/>
            </w14:solidFill>
          </w14:textFill>
        </w:rPr>
        <w:t xml:space="preserve">验收</w:t>
      </w:r>
      <w:r>
        <w:rPr>
          <w:rFonts w:hint="eastAsia"/>
          <w:b/>
          <w:color w:val="000000" w:themeColor="text1"/>
          <w:szCs w:val="21"/>
          <w:highlight w:val="none"/>
          <w14:textFill>
            <w14:solidFill>
              <w14:schemeClr w14:val="tx1"/>
            </w14:solidFill>
          </w14:textFill>
        </w:rPr>
        <w:t xml:space="preserve">要求</w:t>
      </w:r>
      <w:r>
        <w:rPr>
          <w:b/>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中标供应商提供的设备须是1年内生产的全新</w:t>
      </w:r>
      <w:r>
        <w:rPr>
          <w:rFonts w:hint="eastAsia"/>
          <w:color w:val="000000" w:themeColor="text1"/>
          <w:szCs w:val="21"/>
          <w:highlight w:val="none"/>
          <w:lang w:eastAsia="zh-CN"/>
          <w14:textFill>
            <w14:solidFill>
              <w14:schemeClr w14:val="tx1"/>
            </w14:solidFill>
          </w14:textFill>
        </w:rPr>
        <w:t xml:space="preserve">设备</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lang w:eastAsia="zh-CN"/>
          <w14:textFill>
            <w14:solidFill>
              <w14:schemeClr w14:val="tx1"/>
            </w14:solidFill>
          </w14:textFill>
        </w:rPr>
        <w:t xml:space="preserve">设备</w:t>
      </w:r>
      <w:r>
        <w:rPr>
          <w:color w:val="000000" w:themeColor="text1"/>
          <w:szCs w:val="21"/>
          <w:highlight w:val="none"/>
          <w14:textFill>
            <w14:solidFill>
              <w14:schemeClr w14:val="tx1"/>
            </w14:solidFill>
          </w14:textFill>
        </w:rPr>
        <w:t xml:space="preserve">内部无损坏，外表无磨损，外部包装无破损。</w:t>
      </w:r>
      <w:r>
        <w:rPr>
          <w:rFonts w:hint="eastAsia"/>
          <w:color w:val="000000" w:themeColor="text1"/>
          <w:szCs w:val="21"/>
          <w:highlight w:val="none"/>
          <w14:textFill>
            <w14:solidFill>
              <w14:schemeClr w14:val="tx1"/>
            </w14:solidFill>
          </w14:textFill>
        </w:rPr>
        <w:t xml:space="preserve">采购人根据国家有关规定、招标文件、中标方的投标文件以及合同约定的内容和验收标准进</w:t>
      </w:r>
      <w:r>
        <w:rPr>
          <w:rFonts w:hint="eastAsia"/>
          <w:color w:val="000000" w:themeColor="text1"/>
          <w:szCs w:val="21"/>
          <w:highlight w:val="none"/>
          <w14:textFill>
            <w14:solidFill>
              <w14:schemeClr w14:val="tx1"/>
            </w14:solidFill>
          </w14:textFill>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highlight w:val="none"/>
        </w:rPr>
      </w:r>
    </w:p>
    <w:p>
      <w:pPr>
        <w:ind w:firstLine="420"/>
        <w:spacing w:line="360" w:lineRule="auto"/>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lang w:val="en-US" w:eastAsia="zh-CN"/>
          <w14:textFill>
            <w14:solidFill>
              <w14:schemeClr w14:val="tx1"/>
            </w14:solidFill>
          </w14:textFill>
        </w:rPr>
        <w:t xml:space="preserve">6</w:t>
      </w:r>
      <w:r>
        <w:rPr>
          <w:rFonts w:hint="eastAsia"/>
          <w:b/>
          <w:bCs/>
          <w:color w:val="000000" w:themeColor="text1"/>
          <w:szCs w:val="21"/>
          <w:highlight w:val="none"/>
          <w14:textFill>
            <w14:solidFill>
              <w14:schemeClr w14:val="tx1"/>
            </w14:solidFill>
          </w14:textFill>
        </w:rPr>
        <w:t xml:space="preserve">.</w:t>
      </w:r>
      <w:r>
        <w:rPr>
          <w:rFonts w:hint="eastAsia"/>
          <w:b/>
          <w:color w:val="000000" w:themeColor="text1"/>
          <w:szCs w:val="21"/>
          <w:highlight w:val="none"/>
          <w:lang w:val="en-US" w:eastAsia="zh-CN"/>
          <w14:textFill>
            <w14:solidFill>
              <w14:schemeClr w14:val="tx1"/>
            </w14:solidFill>
          </w14:textFill>
        </w:rPr>
        <w:t xml:space="preserve">机房部署及教学管理服务要求：</w:t>
      </w:r>
      <w:r>
        <w:rPr>
          <w:rFonts w:hint="eastAsia"/>
          <w:color w:val="000000" w:themeColor="text1"/>
          <w:szCs w:val="21"/>
          <w:highlight w:val="none"/>
          <w:lang w:val="en-US" w:eastAsia="zh-CN"/>
          <w14:textFill>
            <w14:solidFill>
              <w14:schemeClr w14:val="tx1"/>
            </w14:solidFill>
          </w14:textFill>
        </w:rPr>
        <w:t xml:space="preserve">为便于用户教学管理工作，投标人应充分了解用户的相关需求，结合同类项目上经验，给出完整，详实的机房部署及教学管理功能的方案，尽可能的满足用户的相关使用需求。</w:t>
      </w:r>
      <w:r>
        <w:rPr>
          <w:highlight w:val="none"/>
        </w:rPr>
      </w:r>
    </w:p>
    <w:p>
      <w:pPr>
        <w:ind w:firstLine="420"/>
        <w:spacing w:line="360" w:lineRule="auto"/>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lang w:val="en-US" w:eastAsia="zh-CN"/>
          <w14:textFill>
            <w14:solidFill>
              <w14:schemeClr w14:val="tx1"/>
            </w14:solidFill>
          </w14:textFill>
        </w:rPr>
        <w:t xml:space="preserve">7</w:t>
      </w:r>
      <w:r>
        <w:rPr>
          <w:rFonts w:hint="eastAsia"/>
          <w:b/>
          <w:bCs/>
          <w:color w:val="000000" w:themeColor="text1"/>
          <w:szCs w:val="21"/>
          <w:highlight w:val="none"/>
          <w14:textFill>
            <w14:solidFill>
              <w14:schemeClr w14:val="tx1"/>
            </w14:solidFill>
          </w14:textFill>
        </w:rPr>
        <w:t xml:space="preserve">.服务保障和自罚承诺</w:t>
      </w:r>
      <w:r>
        <w:rPr>
          <w:highlight w:val="none"/>
        </w:rPr>
      </w:r>
    </w:p>
    <w:p>
      <w:pPr>
        <w:ind w:firstLine="420"/>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（1）投标人应对照采购文件要求，书面说明已对采购人的需求做出了实质性的响应，或申明与需求的偏差和例外。</w:t>
      </w:r>
      <w:r>
        <w:rPr>
          <w:highlight w:val="none"/>
        </w:rPr>
      </w:r>
    </w:p>
    <w:p>
      <w:pPr>
        <w:ind w:firstLine="420"/>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（2）如果发生因投标人安全措施不力造成的事故责任、或者其他工作失误，由此所产生的一切责任由投标人承担。</w:t>
      </w:r>
      <w:r>
        <w:rPr>
          <w:highlight w:val="none"/>
        </w:rPr>
      </w:r>
    </w:p>
    <w:p>
      <w:pPr>
        <w:ind w:firstLine="420"/>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（3）如因投标人投入人员过少原因，造成无法在承诺工期内完成服务，由此产生的一切责任由投标人承担。</w:t>
      </w:r>
      <w:r>
        <w:rPr>
          <w:highlight w:val="none"/>
        </w:rPr>
      </w:r>
    </w:p>
    <w:p>
      <w:pPr>
        <w:ind w:firstLine="420"/>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4</w:t>
      </w:r>
      <w:r>
        <w:rPr>
          <w:rFonts w:hint="eastAsia"/>
          <w:color w:val="000000" w:themeColor="text1"/>
          <w:szCs w:val="21"/>
          <w:highlight w:val="none"/>
          <w14:textFill>
            <w14:solidFill>
              <w14:schemeClr w14:val="tx1"/>
            </w14:solidFill>
          </w14:textFill>
        </w:rPr>
        <w:t xml:space="preserve">）投标人中标后需与采购人充分沟通，签署补充协议。</w:t>
      </w:r>
      <w:r>
        <w:rPr>
          <w:highlight w:val="none"/>
        </w:rPr>
      </w:r>
    </w:p>
    <w:p>
      <w:pPr>
        <w:ind w:left="0" w:right="0" w:firstLine="512"/>
        <w:jc w:val="both"/>
        <w:spacing w:before="0" w:after="0" w:line="460"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pacing w:val="8"/>
          <w:sz w:val="24"/>
          <w:highlight w:val="none"/>
          <w14:textFill>
            <w14:solidFill>
              <w14:schemeClr w14:val="tx1"/>
            </w14:solidFill>
          </w14:textFill>
        </w:rPr>
        <w:t xml:space="preserve">五、付款方式</w:t>
      </w:r>
      <w:r>
        <w:rPr>
          <w:highlight w:val="none"/>
        </w:rPr>
      </w:r>
    </w:p>
    <w:p>
      <w:pPr>
        <w:ind w:firstLine="480"/>
        <w:spacing w:line="400" w:lineRule="exact"/>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t xml:space="preserve">（1）合同签订后，采购人向中标人支付至合同总价的</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3</w:t>
      </w:r>
      <w:r>
        <w:rPr>
          <w:rFonts w:ascii="宋体" w:hAnsi="宋体" w:eastAsia="宋体" w:cs="Times New Roman"/>
          <w:color w:val="000000" w:themeColor="text1"/>
          <w:sz w:val="21"/>
          <w:szCs w:val="21"/>
          <w:highlight w:val="none"/>
          <w14:textFill>
            <w14:solidFill>
              <w14:schemeClr w14:val="tx1"/>
            </w14:solidFill>
          </w14:textFill>
        </w:rPr>
        <w:t xml:space="preserve">0%。</w:t>
      </w:r>
      <w:r>
        <w:rPr>
          <w:highlight w:val="none"/>
        </w:rPr>
      </w:r>
    </w:p>
    <w:p>
      <w:pPr>
        <w:ind w:firstLine="480"/>
        <w:spacing w:line="400" w:lineRule="exact"/>
        <w:rPr>
          <w:rFonts w:hint="eastAsia"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t xml:space="preserve">（2）</w:t>
      </w:r>
      <w:r>
        <w:rPr>
          <w:rFonts w:hint="eastAsia" w:ascii="宋体" w:hAnsi="宋体" w:eastAsia="宋体" w:cs="Times New Roman"/>
          <w:color w:val="000000" w:themeColor="text1"/>
          <w:sz w:val="21"/>
          <w:szCs w:val="21"/>
          <w:highlight w:val="none"/>
          <w14:textFill>
            <w14:solidFill>
              <w14:schemeClr w14:val="tx1"/>
            </w14:solidFill>
          </w14:textFill>
        </w:rPr>
        <w:t xml:space="preserve">本项目</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所有货物到位并</w:t>
      </w:r>
      <w:r>
        <w:rPr>
          <w:rFonts w:hint="eastAsia" w:ascii="宋体" w:hAnsi="宋体" w:eastAsia="宋体" w:cs="Times New Roman"/>
          <w:color w:val="000000" w:themeColor="text1"/>
          <w:sz w:val="21"/>
          <w:szCs w:val="21"/>
          <w:highlight w:val="none"/>
          <w14:textFill>
            <w14:solidFill>
              <w14:schemeClr w14:val="tx1"/>
            </w14:solidFill>
          </w14:textFill>
        </w:rPr>
        <w:t xml:space="preserve">安装</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调试完成</w:t>
      </w:r>
      <w:r>
        <w:rPr>
          <w:rFonts w:hint="eastAsia" w:ascii="宋体" w:hAnsi="宋体" w:eastAsia="宋体" w:cs="Times New Roman"/>
          <w:color w:val="000000" w:themeColor="text1"/>
          <w:sz w:val="21"/>
          <w:szCs w:val="21"/>
          <w:highlight w:val="none"/>
          <w14:textFill>
            <w14:solidFill>
              <w14:schemeClr w14:val="tx1"/>
            </w14:solidFill>
          </w14:textFill>
        </w:rPr>
        <w:t xml:space="preserve">，经采购</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人</w:t>
      </w:r>
      <w:r>
        <w:rPr>
          <w:rFonts w:hint="eastAsia" w:ascii="宋体" w:hAnsi="宋体" w:eastAsia="宋体" w:cs="Times New Roman"/>
          <w:color w:val="000000" w:themeColor="text1"/>
          <w:sz w:val="21"/>
          <w:szCs w:val="21"/>
          <w:highlight w:val="none"/>
          <w14:textFill>
            <w14:solidFill>
              <w14:schemeClr w14:val="tx1"/>
            </w14:solidFill>
          </w14:textFill>
        </w:rPr>
        <w:t xml:space="preserve">验收合格后，采购</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人</w:t>
      </w:r>
      <w:r>
        <w:rPr>
          <w:rFonts w:hint="eastAsia" w:ascii="宋体" w:hAnsi="宋体" w:eastAsia="宋体" w:cs="Times New Roman"/>
          <w:color w:val="000000" w:themeColor="text1"/>
          <w:sz w:val="21"/>
          <w:szCs w:val="21"/>
          <w:highlight w:val="none"/>
          <w14:textFill>
            <w14:solidFill>
              <w14:schemeClr w14:val="tx1"/>
            </w14:solidFill>
          </w14:textFill>
        </w:rPr>
        <w:t xml:space="preserve">向中标</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人</w:t>
      </w:r>
      <w:r>
        <w:rPr>
          <w:rFonts w:hint="eastAsia" w:ascii="宋体" w:hAnsi="宋体" w:eastAsia="宋体" w:cs="Times New Roman"/>
          <w:color w:val="000000" w:themeColor="text1"/>
          <w:sz w:val="21"/>
          <w:szCs w:val="21"/>
          <w:highlight w:val="none"/>
          <w14:textFill>
            <w14:solidFill>
              <w14:schemeClr w14:val="tx1"/>
            </w14:solidFill>
          </w14:textFill>
        </w:rPr>
        <w:t xml:space="preserve">支付合同总价的</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1"/>
          <w:szCs w:val="21"/>
          <w:highlight w:val="none"/>
          <w14:textFill>
            <w14:solidFill>
              <w14:schemeClr w14:val="tx1"/>
            </w14:solidFill>
          </w14:textFill>
        </w:rPr>
        <w:t xml:space="preserve">0%</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highlight w:val="none"/>
        </w:rPr>
      </w:r>
    </w:p>
    <w:p>
      <w:pPr>
        <w:ind w:firstLine="480"/>
        <w:spacing w:line="400" w:lineRule="exact"/>
        <w:rPr>
          <w:rFonts w:hint="eastAsia"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t xml:space="preserve">（3）</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试运行六个月无问题后</w:t>
      </w:r>
      <w:r>
        <w:rPr>
          <w:rFonts w:hint="eastAsia" w:ascii="宋体" w:hAnsi="宋体" w:eastAsia="宋体" w:cs="Times New Roman"/>
          <w:color w:val="000000" w:themeColor="text1"/>
          <w:sz w:val="21"/>
          <w:szCs w:val="21"/>
          <w:highlight w:val="none"/>
          <w14:textFill>
            <w14:solidFill>
              <w14:schemeClr w14:val="tx1"/>
            </w14:solidFill>
          </w14:textFill>
        </w:rPr>
        <w:t xml:space="preserve">采购</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人</w:t>
      </w:r>
      <w:r>
        <w:rPr>
          <w:rFonts w:hint="eastAsia" w:ascii="宋体" w:hAnsi="宋体" w:eastAsia="宋体" w:cs="Times New Roman"/>
          <w:color w:val="000000" w:themeColor="text1"/>
          <w:sz w:val="21"/>
          <w:szCs w:val="21"/>
          <w:highlight w:val="none"/>
          <w14:textFill>
            <w14:solidFill>
              <w14:schemeClr w14:val="tx1"/>
            </w14:solidFill>
          </w14:textFill>
        </w:rPr>
        <w:t xml:space="preserve">向中标</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人支付合同总价的30%。</w:t>
      </w:r>
      <w:r>
        <w:rPr>
          <w:highlight w:val="none"/>
        </w:rPr>
      </w:r>
    </w:p>
    <w:p>
      <w:pPr>
        <w:ind w:firstLine="514"/>
        <w:spacing w:line="460" w:lineRule="exact"/>
        <w:shd w:val="clear" w:color="auto" w:fill="ffffff"/>
        <w:widowControl/>
        <w:rPr>
          <w:b/>
          <w:color w:val="000000" w:themeColor="text1"/>
          <w:spacing w:val="8"/>
          <w:sz w:val="24"/>
          <w:highlight w:val="none"/>
          <w14:textFill>
            <w14:solidFill>
              <w14:schemeClr w14:val="tx1"/>
            </w14:solidFill>
          </w14:textFill>
        </w:rPr>
        <w:outlineLvl w:val="1"/>
      </w:pPr>
      <w:r>
        <w:rPr>
          <w:b/>
          <w:color w:val="000000" w:themeColor="text1"/>
          <w:spacing w:val="8"/>
          <w:sz w:val="24"/>
          <w:highlight w:val="none"/>
          <w14:textFill>
            <w14:solidFill>
              <w14:schemeClr w14:val="tx1"/>
            </w14:solidFill>
          </w14:textFill>
        </w:rPr>
        <w:t xml:space="preserve">六、报价要求</w:t>
      </w:r>
      <w:r>
        <w:rPr>
          <w:highlight w:val="none"/>
        </w:rP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本项目报价为含税报价，包含运输到达指定目的地所需所有费用以及质保期内因设备质量或安装调试原因引起的全部维修费用（包括但不限于更换零配件的费用、维修人员的往返交通食宿等费用）。</w:t>
      </w:r>
      <w:r>
        <w:rPr>
          <w:highlight w:val="none"/>
        </w:rPr>
      </w:r>
    </w:p>
    <w:p>
      <w:pPr>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br w:type="page" w:clear="all"/>
      </w:r>
      <w:r>
        <w:rPr>
          <w:highlight w:val="none"/>
        </w:rP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t xml:space="preserve">第五章  </w:t>
      </w:r>
      <w:r>
        <w:rPr>
          <w:rFonts w:hint="eastAsia" w:ascii="黑体" w:hAnsi="Times New Roman" w:eastAsia="黑体"/>
          <w:b/>
          <w:bCs/>
          <w:color w:val="000000" w:themeColor="text1"/>
          <w:sz w:val="44"/>
          <w:szCs w:val="28"/>
          <w:highlight w:val="none"/>
          <w14:textFill>
            <w14:solidFill>
              <w14:schemeClr w14:val="tx1"/>
            </w14:solidFill>
          </w14:textFill>
        </w:rPr>
        <w:t xml:space="preserve">评标方法与评标标准</w:t>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均选取1名中标候选人。</w:t>
      </w:r>
      <w:r>
        <w:rPr>
          <w:highlight w:val="none"/>
        </w:rPr>
      </w:r>
    </w:p>
    <w:p>
      <w:pPr>
        <w:ind w:firstLine="439"/>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政府采购政策功能落实</w:t>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1、小微型企业价格扣除</w:t>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（1）本项目对小型和微型企业产品给予10%的扣除价格，用扣除后的价格参与评审。</w:t>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（2）供应商需按照采购文件的要求提供相应的《中小微企业声明函》。</w:t>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2、残疾人福利单位价格扣除</w:t>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（1）本项目对残疾人福利性单位视同小型、微型企业，给予10%的价格扣除，用扣除后的价格参与评审。</w:t>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（2）残疾人福利单位需按照采购文件的要求提供《残疾人福利性单位声明函》。</w:t>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（3）残疾人福利单位标准请参照《关于促进残疾人就业政府采购政策的通知》（财库〔2017〕141号）。</w:t>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3、监狱和戒毒企业价格扣除</w:t>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（1）本项目对监狱和戒毒企业（简称监狱企业）视同小型、微型企业，给予10%的价格扣除，用扣除后的价格参与评审。</w:t>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（3）监狱企业标准请参照《关于政府采购支持监狱企业发展有关问题的通知》（财库〔2014〕68号）。</w:t>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4、残疾人福利单位、监狱企业属于小型、微型企业的，不重复享受政策。</w:t>
      </w:r>
      <w:r>
        <w:rPr>
          <w:highlight w:val="none"/>
        </w:rPr>
      </w:r>
    </w:p>
    <w:p>
      <w:pPr>
        <w:ind w:firstLine="480"/>
        <w:spacing w:line="400" w:lineRule="exact"/>
        <w:rPr>
          <w:rFonts w:hint="eastAsia" w:ascii="宋体" w:hAnsi="宋体" w:eastAsia="宋体" w:cs="Times New Roman"/>
          <w:bCs/>
          <w:color w:val="000000" w:themeColor="text1"/>
          <w:sz w:val="24"/>
          <w:szCs w:val="21"/>
          <w:highlight w:val="none"/>
          <w14:textFill>
            <w14:solidFill>
              <w14:schemeClr w14:val="tx1"/>
            </w14:solidFill>
          </w14:textFill>
        </w:rPr>
      </w:pPr>
      <w:r>
        <w:rPr>
          <w:rFonts w:hint="eastAsia" w:ascii="宋体" w:hAnsi="宋体" w:eastAsia="宋体" w:cs="Times New Roman"/>
          <w:bCs/>
          <w:color w:val="000000" w:themeColor="text1"/>
          <w:sz w:val="24"/>
          <w:szCs w:val="21"/>
          <w:highlight w:val="none"/>
          <w14:textFill>
            <w14:solidFill>
              <w14:schemeClr w14:val="tx1"/>
            </w14:solidFill>
          </w14:textFill>
        </w:rPr>
        <w:t xml:space="preserve">5、根据《江苏省政府采购信用管理暂行办法》的规定，供应商信用评价结果为三星的扣2分，评价结果为二星的扣3分，评价结果为一星的扣4分。</w:t>
      </w:r>
      <w:r>
        <w:rPr>
          <w:highlight w:val="none"/>
        </w:rPr>
      </w:r>
    </w:p>
    <w:p>
      <w:pPr>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rPr>
          <w:highlight w:val="none"/>
        </w:rPr>
      </w:r>
    </w:p>
    <w:p>
      <w:pPr>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rPr>
          <w:highlight w:val="none"/>
        </w:rPr>
      </w:r>
    </w:p>
    <w:p>
      <w:pPr>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rPr>
          <w:highlight w:val="none"/>
        </w:rPr>
      </w:r>
    </w:p>
    <w:p>
      <w:pPr>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rPr>
          <w:highlight w:val="none"/>
        </w:rPr>
      </w:r>
    </w:p>
    <w:p>
      <w:pPr>
        <w:jc w:val="left"/>
        <w:spacing w:before="120" w:after="120" w:line="0" w:lineRule="atLeas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rPr>
          <w:highlight w:val="none"/>
        </w:rPr>
      </w:r>
    </w:p>
    <w:p>
      <w:pPr>
        <w:jc w:val="left"/>
        <w:spacing w:before="120" w:after="120" w:line="0" w:lineRule="atLeas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评标方法与评标标准</w:t>
      </w:r>
      <w:r>
        <w:rPr>
          <w:highlight w:val="none"/>
        </w:rPr>
      </w:r>
    </w:p>
    <w:tbl>
      <w:tblPr>
        <w:tblStyle w:val="701"/>
        <w:tblpPr w:horzAnchor="margin" w:tblpX="-83" w:vertAnchor="text" w:tblpY="1" w:leftFromText="180" w:topFromText="0" w:rightFromText="180" w:bottomFromText="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
        <w:gridCol w:w="1064"/>
        <w:gridCol w:w="6655"/>
        <w:gridCol w:w="636"/>
      </w:tblGrid>
      <w:tr>
        <w:trPr>
          <w:trHeight w:val="90"/>
        </w:trPr>
        <w:tc>
          <w:tcPr>
            <w:tcW w:w="4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b w:val="0"/>
                <w:bCs w:val="0"/>
                <w:sz w:val="21"/>
                <w:szCs w:val="21"/>
                <w:highlight w:val="none"/>
              </w:rPr>
            </w:pPr>
            <w:r>
              <w:rPr>
                <w:rFonts w:hint="eastAsia" w:ascii="宋体" w:hAnsi="宋体"/>
                <w:b w:val="0"/>
                <w:bCs w:val="0"/>
                <w:sz w:val="21"/>
                <w:szCs w:val="21"/>
                <w:highlight w:val="none"/>
                <w:lang w:eastAsia="zh-CN"/>
              </w:rPr>
              <w:t xml:space="preserve">序号</w:t>
            </w:r>
            <w:r>
              <w:rPr>
                <w:highlight w:val="none"/>
              </w:rPr>
            </w:r>
          </w:p>
        </w:tc>
        <w:tc>
          <w:tcPr>
            <w:shd w:val="clear" w:color="auto" w:fill="auto"/>
            <w:tcW w:w="1064" w:type="dxa"/>
            <w:vAlign w:val="center"/>
            <w:textDirection w:val="lrTb"/>
            <w:noWrap w:val="false"/>
          </w:tcPr>
          <w:p>
            <w:pPr>
              <w:jc w:val="center"/>
              <w:keepLines w:val="0"/>
              <w:keepNext w:val="0"/>
              <w:pageBreakBefore w:val="0"/>
              <w:spacing w:line="240" w:lineRule="auto"/>
              <w:widowControl w:val="off"/>
              <w:rPr>
                <w:rFonts w:hint="eastAsia" w:ascii="宋体" w:hAnsi="宋体"/>
                <w:b w:val="0"/>
                <w:bCs w:val="0"/>
                <w:sz w:val="21"/>
                <w:szCs w:val="21"/>
                <w:highlight w:val="none"/>
              </w:rPr>
            </w:pPr>
            <w:r>
              <w:rPr>
                <w:rFonts w:hint="eastAsia" w:ascii="宋体" w:hAnsi="宋体"/>
                <w:b w:val="0"/>
                <w:bCs w:val="0"/>
                <w:sz w:val="21"/>
                <w:szCs w:val="21"/>
                <w:highlight w:val="none"/>
                <w:lang w:eastAsia="zh-CN"/>
              </w:rPr>
              <w:t xml:space="preserve">评分</w:t>
            </w:r>
            <w:r>
              <w:rPr>
                <w:highlight w:val="none"/>
              </w:rPr>
            </w:r>
          </w:p>
          <w:p>
            <w:pPr>
              <w:jc w:val="center"/>
              <w:keepLines w:val="0"/>
              <w:keepNext w:val="0"/>
              <w:pageBreakBefore w:val="0"/>
              <w:spacing w:line="240" w:lineRule="auto"/>
              <w:widowControl w:val="off"/>
              <w:rPr>
                <w:rFonts w:hint="eastAsia" w:ascii="宋体" w:hAnsi="宋体" w:eastAsia="宋体" w:cs="Times New Roman"/>
                <w:b w:val="0"/>
                <w:bCs w:val="0"/>
                <w:sz w:val="21"/>
                <w:szCs w:val="21"/>
                <w:highlight w:val="none"/>
              </w:rPr>
            </w:pPr>
            <w:r>
              <w:rPr>
                <w:rFonts w:hint="eastAsia" w:ascii="宋体" w:hAnsi="宋体" w:eastAsia="宋体"/>
                <w:b w:val="0"/>
                <w:bCs w:val="0"/>
                <w:sz w:val="21"/>
                <w:szCs w:val="21"/>
                <w:highlight w:val="none"/>
              </w:rPr>
              <w:t xml:space="preserve">项目</w:t>
            </w:r>
            <w:r>
              <w:rPr>
                <w:highlight w:val="none"/>
              </w:rPr>
            </w:r>
          </w:p>
        </w:tc>
        <w:tc>
          <w:tcPr>
            <w:tcW w:w="6655" w:type="dxa"/>
            <w:vAlign w:val="center"/>
            <w:textDirection w:val="lrTb"/>
            <w:noWrap w:val="false"/>
          </w:tcPr>
          <w:p>
            <w:pPr>
              <w:jc w:val="center"/>
              <w:keepLines w:val="0"/>
              <w:keepNext w:val="0"/>
              <w:pageBreakBefore w:val="0"/>
              <w:spacing w:line="240" w:lineRule="auto"/>
              <w:widowControl w:val="off"/>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评分内容</w:t>
            </w:r>
            <w:r>
              <w:rPr>
                <w:highlight w:val="none"/>
              </w:rPr>
            </w:r>
          </w:p>
        </w:tc>
        <w:tc>
          <w:tcPr>
            <w:tcW w:w="636" w:type="dxa"/>
            <w:vAlign w:val="center"/>
            <w:textDirection w:val="lrTb"/>
            <w:noWrap w:val="false"/>
          </w:tcPr>
          <w:p>
            <w:pPr>
              <w:jc w:val="center"/>
              <w:keepLines w:val="0"/>
              <w:keepNext w:val="0"/>
              <w:pageBreakBefore w:val="0"/>
              <w:spacing w:line="240" w:lineRule="auto"/>
              <w:widowControl w:val="off"/>
              <w:rPr>
                <w:rFonts w:ascii="宋体" w:hAnsi="宋体" w:eastAsia="宋体"/>
                <w:b w:val="0"/>
                <w:bCs w:val="0"/>
                <w:spacing w:val="-10"/>
                <w:sz w:val="21"/>
                <w:szCs w:val="21"/>
                <w:highlight w:val="none"/>
              </w:rPr>
            </w:pPr>
            <w:r>
              <w:rPr>
                <w:rFonts w:hint="eastAsia" w:ascii="宋体" w:hAnsi="宋体" w:eastAsia="宋体"/>
                <w:b w:val="0"/>
                <w:bCs w:val="0"/>
                <w:spacing w:val="-10"/>
                <w:sz w:val="21"/>
                <w:szCs w:val="21"/>
                <w:highlight w:val="none"/>
              </w:rPr>
              <w:t xml:space="preserve">最高分</w:t>
            </w:r>
            <w:r>
              <w:rPr>
                <w:highlight w:val="none"/>
              </w:rPr>
            </w:r>
          </w:p>
        </w:tc>
      </w:tr>
      <w:tr>
        <w:trPr>
          <w:trHeight w:val="1168"/>
        </w:trPr>
        <w:tc>
          <w:tcPr>
            <w:tcW w:w="400" w:type="dxa"/>
            <w:vAlign w:val="center"/>
            <w:textDirection w:val="lrTb"/>
            <w:noWrap w:val="false"/>
          </w:tcPr>
          <w:p>
            <w:pPr>
              <w:jc w:val="center"/>
              <w:spacing w:line="380" w:lineRule="exact"/>
              <w:rPr>
                <w:rFonts w:hint="eastAsia" w:ascii="Times New Roman" w:hAnsi="Times New Roman" w:eastAsia="宋体" w:cs="Times New Roman"/>
                <w:b w:val="0"/>
                <w:bCs/>
                <w:sz w:val="21"/>
                <w:szCs w:val="21"/>
                <w:highlight w:val="none"/>
              </w:rPr>
            </w:pPr>
            <w:r>
              <w:rPr>
                <w:rFonts w:hint="eastAsia" w:ascii="Times New Roman" w:hAnsi="Times New Roman" w:cs="Times New Roman"/>
                <w:b w:val="0"/>
                <w:bCs/>
                <w:sz w:val="21"/>
                <w:szCs w:val="21"/>
                <w:highlight w:val="none"/>
                <w:lang w:val="en-US" w:eastAsia="zh-CN"/>
              </w:rPr>
              <w:t xml:space="preserve">1</w:t>
            </w:r>
            <w:r>
              <w:rPr>
                <w:highlight w:val="none"/>
              </w:rPr>
            </w:r>
          </w:p>
        </w:tc>
        <w:tc>
          <w:tcPr>
            <w:shd w:val="clear" w:color="auto" w:fill="auto"/>
            <w:tcW w:w="1064" w:type="dxa"/>
            <w:vAlign w:val="center"/>
            <w:textDirection w:val="lrTb"/>
            <w:noWrap w:val="false"/>
          </w:tcPr>
          <w:p>
            <w:pPr>
              <w:jc w:val="center"/>
              <w:spacing w:line="380" w:lineRule="exact"/>
              <w:rPr>
                <w:rFonts w:hint="eastAsia" w:ascii="Times New Roman" w:hAnsi="Times New Roman" w:eastAsia="宋体" w:cs="Times New Roman"/>
                <w:b/>
                <w:bCs w:val="0"/>
                <w:sz w:val="21"/>
                <w:szCs w:val="21"/>
                <w:highlight w:val="none"/>
              </w:rPr>
            </w:pPr>
            <w:r>
              <w:rPr>
                <w:rFonts w:hint="eastAsia" w:ascii="Times New Roman" w:hAnsi="Times New Roman" w:cs="Times New Roman"/>
                <w:b/>
                <w:bCs w:val="0"/>
                <w:sz w:val="21"/>
                <w:szCs w:val="21"/>
                <w:highlight w:val="none"/>
                <w:lang w:eastAsia="zh-CN"/>
              </w:rPr>
              <w:t xml:space="preserve">价格</w:t>
            </w:r>
            <w:r>
              <w:rPr>
                <w:highlight w:val="none"/>
              </w:rPr>
            </w:r>
          </w:p>
          <w:p>
            <w:pPr>
              <w:jc w:val="center"/>
              <w:spacing w:line="380" w:lineRule="exact"/>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lang w:val="en-US" w:eastAsia="zh-CN" w:bidi="ar-SA"/>
              </w:rPr>
            </w:r>
            <w:r>
              <w:rPr>
                <w:highlight w:val="none"/>
              </w:rPr>
            </w:r>
          </w:p>
        </w:tc>
        <w:tc>
          <w:tcPr>
            <w:tcW w:w="6655" w:type="dxa"/>
            <w:vAlign w:val="center"/>
            <w:textDirection w:val="lrTb"/>
            <w:noWrap w:val="false"/>
          </w:tcPr>
          <w:p>
            <w:pPr>
              <w:ind w:firstLine="400"/>
              <w:jc w:val="both"/>
              <w:rPr>
                <w:rFonts w:hint="default" w:ascii="Times New Roman" w:hAnsi="Times New Roman" w:eastAsia="宋体" w:cs="Times New Roman"/>
                <w:sz w:val="21"/>
                <w:szCs w:val="21"/>
                <w:highlight w:val="none"/>
              </w:rPr>
            </w:pPr>
            <w:r>
              <w:rPr>
                <w:rFonts w:hint="default" w:ascii="Times New Roman" w:hAnsi="Times New Roman" w:cs="Times New Roman"/>
                <w:color w:val="000000"/>
                <w:sz w:val="20"/>
                <w:szCs w:val="20"/>
                <w:highlight w:val="none"/>
              </w:rPr>
              <w:t xml:space="preserve">采用低价优先法计算，即满足招标文件要求且投标总额最低的投标报价为评标基准价，其价格分为满分。其他投标人的价格分统一按照下列公式计算：投标报价得分=（评标基准价/投标报价）×30（小数点后保留2位）</w:t>
            </w:r>
            <w:r>
              <w:rPr>
                <w:highlight w:val="none"/>
              </w:rPr>
            </w:r>
          </w:p>
        </w:tc>
        <w:tc>
          <w:tcPr>
            <w:tcW w:w="636" w:type="dxa"/>
            <w:vAlign w:val="center"/>
            <w:textDirection w:val="lrTb"/>
            <w:noWrap w:val="false"/>
          </w:tcPr>
          <w:p>
            <w:pPr>
              <w:jc w:val="center"/>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30</w:t>
            </w:r>
            <w:r>
              <w:rPr>
                <w:highlight w:val="none"/>
              </w:rPr>
            </w:r>
          </w:p>
        </w:tc>
      </w:tr>
      <w:tr>
        <w:trPr>
          <w:trHeight w:val="1202"/>
        </w:trPr>
        <w:tc>
          <w:tcPr>
            <w:tcW w:w="400" w:type="dxa"/>
            <w:vAlign w:val="center"/>
            <w:textDirection w:val="lrTb"/>
            <w:noWrap w:val="false"/>
          </w:tcPr>
          <w:p>
            <w:pPr>
              <w:jc w:val="center"/>
              <w:spacing w:line="380" w:lineRule="exact"/>
              <w:rPr>
                <w:rFonts w:hint="default" w:ascii="Times New Roman" w:hAnsi="Times New Roman" w:cs="Times New Roman"/>
                <w:b w:val="0"/>
                <w:bCs/>
                <w:sz w:val="21"/>
                <w:szCs w:val="21"/>
                <w:highlight w:val="none"/>
              </w:rPr>
            </w:pPr>
            <w:r>
              <w:rPr>
                <w:rFonts w:hint="eastAsia" w:ascii="Times New Roman" w:hAnsi="Times New Roman" w:cs="Times New Roman"/>
                <w:b w:val="0"/>
                <w:bCs/>
                <w:sz w:val="21"/>
                <w:szCs w:val="21"/>
                <w:highlight w:val="none"/>
                <w:lang w:val="en-US" w:eastAsia="zh-CN"/>
              </w:rPr>
              <w:t xml:space="preserve">2</w:t>
            </w:r>
            <w:r>
              <w:rPr>
                <w:highlight w:val="none"/>
              </w:rPr>
            </w:r>
          </w:p>
        </w:tc>
        <w:tc>
          <w:tcPr>
            <w:shd w:val="clear" w:color="auto" w:fill="auto"/>
            <w:tcW w:w="1064" w:type="dxa"/>
            <w:vAlign w:val="center"/>
            <w:textDirection w:val="lrTb"/>
            <w:noWrap w:val="false"/>
          </w:tcPr>
          <w:p>
            <w:pPr>
              <w:jc w:val="center"/>
              <w:spacing w:line="380" w:lineRule="exact"/>
              <w:rPr>
                <w:rFonts w:hint="eastAsia" w:ascii="Times New Roman" w:hAnsi="Times New Roman" w:cs="Times New Roman"/>
                <w:b/>
                <w:bCs w:val="0"/>
                <w:sz w:val="21"/>
                <w:szCs w:val="21"/>
                <w:highlight w:val="none"/>
              </w:rPr>
            </w:pPr>
            <w:r>
              <w:rPr>
                <w:rFonts w:hint="default" w:ascii="Times New Roman" w:hAnsi="Times New Roman" w:eastAsia="宋体" w:cs="Times New Roman"/>
                <w:b/>
                <w:bCs w:val="0"/>
                <w:sz w:val="21"/>
                <w:szCs w:val="21"/>
                <w:highlight w:val="none"/>
              </w:rPr>
              <w:t xml:space="preserve">技术</w:t>
            </w:r>
            <w:r>
              <w:rPr>
                <w:rFonts w:hint="eastAsia" w:ascii="Times New Roman" w:hAnsi="Times New Roman" w:cs="Times New Roman"/>
                <w:b/>
                <w:bCs w:val="0"/>
                <w:sz w:val="21"/>
                <w:szCs w:val="21"/>
                <w:highlight w:val="none"/>
                <w:lang w:eastAsia="zh-CN"/>
              </w:rPr>
              <w:t xml:space="preserve">指标</w:t>
            </w:r>
            <w:r>
              <w:rPr>
                <w:highlight w:val="none"/>
              </w:rPr>
            </w:r>
          </w:p>
          <w:p>
            <w:pPr>
              <w:jc w:val="center"/>
              <w:spacing w:line="380" w:lineRule="exact"/>
              <w:rPr>
                <w:rFonts w:hint="eastAsia" w:ascii="Times New Roman" w:hAnsi="Times New Roman" w:cs="Times New Roman"/>
                <w:b/>
                <w:bCs w:val="0"/>
                <w:sz w:val="21"/>
                <w:szCs w:val="21"/>
                <w:highlight w:val="none"/>
              </w:rPr>
            </w:pPr>
            <w:r>
              <w:rPr>
                <w:rFonts w:hint="eastAsia" w:ascii="Times New Roman" w:hAnsi="Times New Roman" w:cs="Times New Roman"/>
                <w:b/>
                <w:bCs w:val="0"/>
                <w:sz w:val="21"/>
                <w:szCs w:val="21"/>
                <w:highlight w:val="none"/>
                <w:lang w:eastAsia="zh-CN"/>
              </w:rPr>
              <w:t xml:space="preserve">条款</w:t>
            </w:r>
            <w:r>
              <w:rPr>
                <w:highlight w:val="none"/>
              </w:rPr>
            </w:r>
          </w:p>
          <w:p>
            <w:pPr>
              <w:jc w:val="both"/>
              <w:spacing w:line="380" w:lineRule="exact"/>
              <w:rPr>
                <w:rFonts w:hint="default" w:ascii="Times New Roman" w:hAnsi="Times New Roman" w:eastAsia="宋体" w:cs="Times New Roman"/>
                <w:b/>
                <w:bCs w:val="0"/>
                <w:sz w:val="21"/>
                <w:szCs w:val="21"/>
                <w:highlight w:val="none"/>
              </w:rPr>
            </w:pPr>
            <w:r>
              <w:rPr>
                <w:rFonts w:hint="default" w:ascii="Times New Roman" w:hAnsi="Times New Roman" w:eastAsia="宋体" w:cs="Times New Roman"/>
                <w:b/>
                <w:bCs w:val="0"/>
                <w:sz w:val="21"/>
                <w:szCs w:val="21"/>
                <w:highlight w:val="none"/>
                <w:lang w:val="en-US" w:eastAsia="zh-CN" w:bidi="ar-SA"/>
              </w:rPr>
            </w:r>
            <w:r>
              <w:rPr>
                <w:highlight w:val="none"/>
              </w:rPr>
            </w:r>
          </w:p>
        </w:tc>
        <w:tc>
          <w:tcPr>
            <w:tcW w:w="6655" w:type="dxa"/>
            <w:vAlign w:val="center"/>
            <w:textDirection w:val="lrTb"/>
            <w:noWrap w:val="false"/>
          </w:tcPr>
          <w:p>
            <w:pPr>
              <w:ind w:firstLine="400"/>
              <w:jc w:val="both"/>
              <w:spacing w:line="240" w:lineRule="auto"/>
              <w:rPr>
                <w:rFonts w:hint="default" w:ascii="Times New Roman" w:hAnsi="Times New Roman" w:eastAsia="宋体" w:cs="Times New Roman"/>
                <w:b/>
                <w:sz w:val="21"/>
                <w:szCs w:val="21"/>
                <w:highlight w:val="none"/>
              </w:rPr>
            </w:pPr>
            <w:r>
              <w:rPr>
                <w:rFonts w:hint="default" w:ascii="Times New Roman" w:hAnsi="Times New Roman" w:eastAsia="宋体" w:cs="Times New Roman"/>
                <w:bCs/>
                <w:sz w:val="20"/>
                <w:szCs w:val="20"/>
                <w:highlight w:val="none"/>
              </w:rPr>
              <w:t xml:space="preserve">技术</w:t>
            </w:r>
            <w:r>
              <w:rPr>
                <w:rFonts w:hint="eastAsia" w:ascii="Times New Roman" w:hAnsi="Times New Roman" w:cs="Times New Roman"/>
                <w:bCs/>
                <w:sz w:val="20"/>
                <w:szCs w:val="20"/>
                <w:highlight w:val="none"/>
                <w:lang w:eastAsia="zh-CN"/>
              </w:rPr>
              <w:t xml:space="preserve">参数</w:t>
            </w:r>
            <w:r>
              <w:rPr>
                <w:rFonts w:hint="default" w:ascii="Times New Roman" w:hAnsi="Times New Roman" w:eastAsia="宋体" w:cs="Times New Roman"/>
                <w:bCs/>
                <w:sz w:val="20"/>
                <w:szCs w:val="20"/>
                <w:highlight w:val="none"/>
              </w:rPr>
              <w:t xml:space="preserve">全部满足招标文件要求的得满分</w:t>
            </w:r>
            <w:r>
              <w:rPr>
                <w:rFonts w:hint="eastAsia" w:ascii="Times New Roman" w:hAnsi="Times New Roman" w:cs="Times New Roman"/>
                <w:bCs/>
                <w:sz w:val="20"/>
                <w:szCs w:val="20"/>
                <w:highlight w:val="none"/>
                <w:lang w:val="en-US" w:eastAsia="zh-CN"/>
              </w:rPr>
              <w:t xml:space="preserve">44</w:t>
            </w:r>
            <w:r>
              <w:rPr>
                <w:rFonts w:hint="default" w:ascii="Times New Roman" w:hAnsi="Times New Roman" w:eastAsia="宋体" w:cs="Times New Roman"/>
                <w:bCs/>
                <w:sz w:val="20"/>
                <w:szCs w:val="20"/>
                <w:highlight w:val="none"/>
              </w:rPr>
              <w:t xml:space="preserve">分；</w:t>
            </w:r>
            <w:r>
              <w:rPr>
                <w:rFonts w:hint="default" w:ascii="Times New Roman" w:hAnsi="Times New Roman" w:cs="Times New Roman"/>
                <w:bCs/>
                <w:sz w:val="20"/>
                <w:szCs w:val="20"/>
                <w:highlight w:val="none"/>
                <w:lang w:val="en-US" w:eastAsia="zh-CN"/>
              </w:rPr>
              <w:t xml:space="preserve">加*</w:t>
            </w:r>
            <w:r>
              <w:rPr>
                <w:rFonts w:hint="default" w:ascii="Times New Roman" w:hAnsi="Times New Roman" w:eastAsia="宋体" w:cs="Times New Roman"/>
                <w:bCs/>
                <w:sz w:val="20"/>
                <w:szCs w:val="20"/>
                <w:highlight w:val="none"/>
              </w:rPr>
              <w:t xml:space="preserve">指标为实质性指标，如</w:t>
            </w:r>
            <w:r>
              <w:rPr>
                <w:rFonts w:hint="default" w:ascii="Times New Roman" w:hAnsi="Times New Roman" w:cs="Times New Roman"/>
                <w:bCs/>
                <w:sz w:val="20"/>
                <w:szCs w:val="20"/>
                <w:highlight w:val="none"/>
                <w:lang w:val="en-US" w:eastAsia="zh-CN"/>
              </w:rPr>
              <w:t xml:space="preserve">有负偏离</w:t>
            </w:r>
            <w:r>
              <w:rPr>
                <w:rFonts w:hint="default" w:ascii="Times New Roman" w:hAnsi="Times New Roman" w:eastAsia="宋体" w:cs="Times New Roman"/>
                <w:bCs/>
                <w:sz w:val="20"/>
                <w:szCs w:val="20"/>
                <w:highlight w:val="none"/>
              </w:rPr>
              <w:t xml:space="preserve">做</w:t>
            </w:r>
            <w:r>
              <w:rPr>
                <w:rFonts w:hint="default" w:ascii="Times New Roman" w:hAnsi="Times New Roman" w:cs="Times New Roman"/>
                <w:bCs/>
                <w:sz w:val="20"/>
                <w:szCs w:val="20"/>
                <w:highlight w:val="none"/>
                <w:lang w:val="en-US" w:eastAsia="zh-CN"/>
              </w:rPr>
              <w:t xml:space="preserve">无效投标</w:t>
            </w:r>
            <w:r>
              <w:rPr>
                <w:rFonts w:hint="default" w:ascii="Times New Roman" w:hAnsi="Times New Roman" w:eastAsia="宋体" w:cs="Times New Roman"/>
                <w:bCs/>
                <w:sz w:val="20"/>
                <w:szCs w:val="20"/>
                <w:highlight w:val="none"/>
              </w:rPr>
              <w:t xml:space="preserve">处理；</w:t>
            </w:r>
            <w:r>
              <w:rPr>
                <w:rFonts w:hint="default" w:ascii="Times New Roman" w:hAnsi="Times New Roman" w:cs="Times New Roman"/>
                <w:bCs/>
                <w:sz w:val="20"/>
                <w:szCs w:val="20"/>
                <w:highlight w:val="none"/>
                <w:lang w:val="en-US" w:eastAsia="zh-CN"/>
              </w:rPr>
              <w:t xml:space="preserve">未加*指标每出现一条负偏离扣</w:t>
            </w:r>
            <w:r>
              <w:rPr>
                <w:rFonts w:hint="eastAsia" w:ascii="Times New Roman" w:hAnsi="Times New Roman" w:cs="Times New Roman"/>
                <w:bCs/>
                <w:sz w:val="20"/>
                <w:szCs w:val="20"/>
                <w:highlight w:val="none"/>
                <w:lang w:val="en-US" w:eastAsia="zh-CN"/>
              </w:rPr>
              <w:t xml:space="preserve">1</w:t>
            </w:r>
            <w:r>
              <w:rPr>
                <w:rFonts w:hint="default" w:ascii="Times New Roman" w:hAnsi="Times New Roman" w:cs="Times New Roman"/>
                <w:bCs/>
                <w:sz w:val="20"/>
                <w:szCs w:val="20"/>
                <w:highlight w:val="none"/>
                <w:lang w:val="en-US" w:eastAsia="zh-CN"/>
              </w:rPr>
              <w:t xml:space="preserve">分，扣完为止。</w:t>
            </w:r>
            <w:r>
              <w:rPr>
                <w:highlight w:val="none"/>
              </w:rPr>
            </w:r>
          </w:p>
        </w:tc>
        <w:tc>
          <w:tcPr>
            <w:tcW w:w="636" w:type="dxa"/>
            <w:vAlign w:val="center"/>
            <w:textDirection w:val="lrTb"/>
            <w:noWrap w:val="false"/>
          </w:tcPr>
          <w:p>
            <w:pPr>
              <w:jc w:val="center"/>
              <w:rPr>
                <w:rFonts w:hint="default" w:ascii="Times New Roman" w:hAnsi="Times New Roman" w:eastAsia="宋体" w:cs="Times New Roman"/>
                <w:bCs/>
                <w:sz w:val="21"/>
                <w:szCs w:val="21"/>
                <w:highlight w:val="none"/>
              </w:rPr>
            </w:pPr>
            <w:r>
              <w:rPr>
                <w:rFonts w:hint="eastAsia" w:ascii="Times New Roman" w:hAnsi="Times New Roman" w:cs="Times New Roman"/>
                <w:bCs/>
                <w:sz w:val="21"/>
                <w:szCs w:val="21"/>
                <w:highlight w:val="none"/>
                <w:lang w:val="en-US" w:eastAsia="zh-CN"/>
              </w:rPr>
              <w:t xml:space="preserve">44</w:t>
            </w:r>
            <w:r>
              <w:rPr>
                <w:highlight w:val="none"/>
              </w:rPr>
            </w:r>
          </w:p>
        </w:tc>
      </w:tr>
      <w:tr>
        <w:trPr>
          <w:trHeight w:val="1341"/>
        </w:trPr>
        <w:tc>
          <w:tcPr>
            <w:tcW w:w="400" w:type="dxa"/>
            <w:vAlign w:val="center"/>
            <w:textDirection w:val="lrTb"/>
            <w:noWrap w:val="false"/>
          </w:tcPr>
          <w:p>
            <w:pPr>
              <w:jc w:val="center"/>
              <w:spacing w:line="380" w:lineRule="exact"/>
              <w:rPr>
                <w:rFonts w:hint="eastAsia" w:ascii="Times New Roman" w:hAnsi="Times New Roman" w:eastAsia="宋体" w:cs="Times New Roman"/>
                <w:b w:val="0"/>
                <w:bCs/>
                <w:sz w:val="21"/>
                <w:szCs w:val="21"/>
                <w:highlight w:val="none"/>
              </w:rPr>
            </w:pPr>
            <w:r>
              <w:rPr>
                <w:rFonts w:hint="eastAsia" w:ascii="Times New Roman" w:hAnsi="Times New Roman" w:cs="Times New Roman"/>
                <w:b w:val="0"/>
                <w:bCs/>
                <w:sz w:val="21"/>
                <w:szCs w:val="21"/>
                <w:highlight w:val="none"/>
                <w:lang w:val="en-US" w:eastAsia="zh-CN"/>
              </w:rPr>
              <w:t xml:space="preserve">3</w:t>
            </w:r>
            <w:r>
              <w:rPr>
                <w:highlight w:val="none"/>
              </w:rPr>
            </w:r>
          </w:p>
        </w:tc>
        <w:tc>
          <w:tcPr>
            <w:shd w:val="clear" w:color="auto" w:fill="auto"/>
            <w:tcW w:w="1064" w:type="dxa"/>
            <w:vAlign w:val="center"/>
            <w:textDirection w:val="lrTb"/>
            <w:noWrap w:val="false"/>
          </w:tcPr>
          <w:p>
            <w:pPr>
              <w:jc w:val="center"/>
              <w:spacing w:line="380" w:lineRule="exact"/>
              <w:rPr>
                <w:rFonts w:hint="default" w:ascii="Times New Roman" w:hAnsi="Times New Roman" w:eastAsia="宋体" w:cs="Times New Roman"/>
                <w:b/>
                <w:bCs w:val="0"/>
                <w:sz w:val="21"/>
                <w:szCs w:val="21"/>
                <w:highlight w:val="none"/>
              </w:rPr>
            </w:pPr>
            <w:r>
              <w:rPr>
                <w:rFonts w:hint="default" w:ascii="Times New Roman" w:hAnsi="Times New Roman" w:eastAsia="宋体" w:cs="Times New Roman"/>
                <w:b/>
                <w:bCs w:val="0"/>
                <w:sz w:val="21"/>
                <w:szCs w:val="21"/>
                <w:highlight w:val="none"/>
              </w:rPr>
              <w:t xml:space="preserve">综合</w:t>
            </w:r>
            <w:r>
              <w:rPr>
                <w:highlight w:val="none"/>
              </w:rPr>
            </w:r>
          </w:p>
          <w:p>
            <w:pPr>
              <w:jc w:val="center"/>
              <w:spacing w:line="380" w:lineRule="exact"/>
              <w:rPr>
                <w:rFonts w:hint="default" w:ascii="Times New Roman" w:hAnsi="Times New Roman" w:eastAsia="宋体" w:cs="Times New Roman"/>
                <w:b/>
                <w:bCs w:val="0"/>
                <w:sz w:val="21"/>
                <w:szCs w:val="21"/>
                <w:highlight w:val="none"/>
              </w:rPr>
            </w:pPr>
            <w:r>
              <w:rPr>
                <w:rFonts w:hint="default" w:ascii="Times New Roman" w:hAnsi="Times New Roman" w:eastAsia="宋体" w:cs="Times New Roman"/>
                <w:b/>
                <w:bCs w:val="0"/>
                <w:sz w:val="21"/>
                <w:szCs w:val="21"/>
                <w:highlight w:val="none"/>
              </w:rPr>
              <w:t xml:space="preserve">实力</w:t>
            </w:r>
            <w:r>
              <w:rPr>
                <w:highlight w:val="none"/>
              </w:rPr>
            </w:r>
          </w:p>
          <w:p>
            <w:pPr>
              <w:jc w:val="center"/>
              <w:spacing w:line="380" w:lineRule="exact"/>
              <w:rPr>
                <w:rFonts w:hint="default" w:ascii="Times New Roman" w:hAnsi="Times New Roman" w:eastAsia="宋体" w:cs="Times New Roman"/>
                <w:b/>
                <w:bCs w:val="0"/>
                <w:sz w:val="21"/>
                <w:szCs w:val="21"/>
                <w:highlight w:val="none"/>
              </w:rPr>
            </w:pPr>
            <w:r>
              <w:rPr>
                <w:rFonts w:hint="default" w:ascii="Times New Roman" w:hAnsi="Times New Roman" w:eastAsia="宋体" w:cs="Times New Roman"/>
                <w:b/>
                <w:bCs w:val="0"/>
                <w:sz w:val="21"/>
                <w:szCs w:val="21"/>
                <w:highlight w:val="none"/>
                <w:lang w:val="en-US" w:eastAsia="zh-CN" w:bidi="ar-SA"/>
              </w:rPr>
            </w:r>
            <w:r>
              <w:rPr>
                <w:highlight w:val="none"/>
              </w:rPr>
            </w:r>
          </w:p>
        </w:tc>
        <w:tc>
          <w:tcPr>
            <w:tcW w:w="6655" w:type="dxa"/>
            <w:vAlign w:val="center"/>
            <w:textDirection w:val="lrTb"/>
            <w:noWrap w:val="false"/>
          </w:tcPr>
          <w:p>
            <w:pPr>
              <w:numPr>
                <w:ilvl w:val="0"/>
                <w:numId w:val="0"/>
              </w:numPr>
              <w:ind w:left="0" w:firstLine="0"/>
              <w:jc w:val="both"/>
              <w:spacing w:line="240" w:lineRule="auto"/>
              <w:rPr>
                <w:rFonts w:hint="default" w:ascii="Times New Roman" w:hAnsi="Times New Roman" w:eastAsia="宋体" w:cs="Times New Roman"/>
                <w:sz w:val="20"/>
                <w:szCs w:val="20"/>
                <w:highlight w:val="none"/>
              </w:rPr>
            </w:pPr>
            <w:r>
              <w:rPr>
                <w:rFonts w:hint="default" w:ascii="Times New Roman" w:hAnsi="Times New Roman" w:cs="Times New Roman"/>
                <w:color w:val="000000"/>
                <w:sz w:val="20"/>
                <w:szCs w:val="20"/>
                <w:highlight w:val="none"/>
              </w:rPr>
              <w:t xml:space="preserve">（1）</w:t>
            </w:r>
            <w:r>
              <w:rPr>
                <w:rFonts w:hint="eastAsia" w:ascii="Times New Roman" w:hAnsi="Times New Roman" w:cs="Times New Roman"/>
                <w:sz w:val="20"/>
                <w:szCs w:val="20"/>
                <w:highlight w:val="none"/>
                <w:lang w:val="en-US" w:eastAsia="zh-CN"/>
              </w:rPr>
              <w:t xml:space="preserve">计算机</w:t>
            </w:r>
            <w:r>
              <w:rPr>
                <w:rFonts w:hint="default" w:ascii="Times New Roman" w:hAnsi="Times New Roman" w:eastAsia="宋体" w:cs="Times New Roman"/>
                <w:sz w:val="20"/>
                <w:szCs w:val="20"/>
                <w:highlight w:val="none"/>
              </w:rPr>
              <w:t xml:space="preserve">制造商</w:t>
            </w:r>
            <w:r>
              <w:rPr>
                <w:rFonts w:hint="default" w:ascii="Times New Roman" w:hAnsi="Times New Roman" w:cs="Times New Roman"/>
                <w:sz w:val="20"/>
                <w:szCs w:val="20"/>
                <w:highlight w:val="none"/>
                <w:lang w:val="en-US" w:eastAsia="zh-CN"/>
              </w:rPr>
              <w:t xml:space="preserve">具备</w:t>
            </w:r>
            <w:r>
              <w:rPr>
                <w:rFonts w:hint="default" w:ascii="Times New Roman" w:hAnsi="Times New Roman" w:eastAsia="宋体" w:cs="Times New Roman"/>
                <w:sz w:val="20"/>
                <w:szCs w:val="20"/>
                <w:highlight w:val="none"/>
              </w:rPr>
              <w:t xml:space="preserve">ISO9001质量管理体系认证</w:t>
            </w:r>
            <w:r>
              <w:rPr>
                <w:rFonts w:hint="default" w:ascii="Times New Roman" w:hAnsi="Times New Roman" w:cs="Times New Roman"/>
                <w:sz w:val="20"/>
                <w:szCs w:val="20"/>
                <w:highlight w:val="none"/>
                <w:lang w:val="en-US" w:eastAsia="zh-CN"/>
              </w:rPr>
              <w:t xml:space="preserve">的，</w:t>
            </w:r>
            <w:r>
              <w:rPr>
                <w:rFonts w:hint="default" w:ascii="Times New Roman" w:hAnsi="Times New Roman" w:eastAsia="宋体" w:cs="Times New Roman"/>
                <w:sz w:val="20"/>
                <w:szCs w:val="20"/>
                <w:highlight w:val="none"/>
              </w:rPr>
              <w:t xml:space="preserve">得</w:t>
            </w:r>
            <w:r>
              <w:rPr>
                <w:rFonts w:hint="default" w:ascii="Times New Roman" w:hAnsi="Times New Roman" w:cs="Times New Roman"/>
                <w:sz w:val="20"/>
                <w:szCs w:val="20"/>
                <w:highlight w:val="none"/>
                <w:lang w:val="en-US" w:eastAsia="zh-CN"/>
              </w:rPr>
              <w:t xml:space="preserve">2</w:t>
            </w:r>
            <w:r>
              <w:rPr>
                <w:rFonts w:hint="default" w:ascii="Times New Roman" w:hAnsi="Times New Roman" w:eastAsia="宋体" w:cs="Times New Roman"/>
                <w:sz w:val="20"/>
                <w:szCs w:val="20"/>
                <w:highlight w:val="none"/>
              </w:rPr>
              <w:t xml:space="preserve">分</w:t>
            </w:r>
            <w:r>
              <w:rPr>
                <w:highlight w:val="none"/>
              </w:rPr>
            </w:r>
          </w:p>
          <w:p>
            <w:pPr>
              <w:numPr>
                <w:ilvl w:val="0"/>
                <w:numId w:val="0"/>
              </w:numPr>
              <w:ind w:left="0" w:firstLine="0"/>
              <w:jc w:val="both"/>
              <w:spacing w:line="240" w:lineRule="auto"/>
              <w:rPr>
                <w:rFonts w:hint="eastAsia" w:ascii="Times New Roman" w:hAnsi="Times New Roman" w:eastAsia="宋体" w:cs="Times New Roman"/>
                <w:highlight w:val="none"/>
              </w:rPr>
            </w:pPr>
            <w:r>
              <w:rPr>
                <w:rFonts w:hint="default" w:ascii="Times New Roman" w:hAnsi="Times New Roman" w:cs="Times New Roman"/>
                <w:color w:val="000000"/>
                <w:sz w:val="20"/>
                <w:szCs w:val="20"/>
                <w:highlight w:val="none"/>
              </w:rPr>
              <w:t xml:space="preserve">（</w:t>
            </w:r>
            <w:r>
              <w:rPr>
                <w:rFonts w:hint="eastAsia" w:ascii="Times New Roman" w:hAnsi="Times New Roman" w:cs="Times New Roman"/>
                <w:color w:val="000000"/>
                <w:sz w:val="20"/>
                <w:szCs w:val="20"/>
                <w:highlight w:val="none"/>
                <w:lang w:val="en-US" w:eastAsia="zh-CN"/>
              </w:rPr>
              <w:t xml:space="preserve">2</w:t>
            </w:r>
            <w:r>
              <w:rPr>
                <w:rFonts w:hint="default" w:ascii="Times New Roman" w:hAnsi="Times New Roman" w:cs="Times New Roman"/>
                <w:color w:val="000000"/>
                <w:sz w:val="20"/>
                <w:szCs w:val="20"/>
                <w:highlight w:val="none"/>
              </w:rPr>
              <w:t xml:space="preserve">）</w:t>
            </w:r>
            <w:r>
              <w:rPr>
                <w:rFonts w:hint="eastAsia" w:ascii="Times New Roman" w:hAnsi="Times New Roman" w:cs="Times New Roman"/>
                <w:sz w:val="20"/>
                <w:szCs w:val="20"/>
                <w:highlight w:val="none"/>
                <w:lang w:val="en-US" w:eastAsia="zh-CN"/>
              </w:rPr>
              <w:t xml:space="preserve">计算机</w:t>
            </w:r>
            <w:r>
              <w:rPr>
                <w:rFonts w:hint="default" w:ascii="Times New Roman" w:hAnsi="Times New Roman" w:eastAsia="宋体" w:cs="Times New Roman"/>
                <w:sz w:val="20"/>
                <w:szCs w:val="20"/>
                <w:highlight w:val="none"/>
              </w:rPr>
              <w:t xml:space="preserve">制造商</w:t>
            </w:r>
            <w:r>
              <w:rPr>
                <w:rFonts w:hint="default" w:ascii="Times New Roman" w:hAnsi="Times New Roman" w:cs="Times New Roman"/>
                <w:sz w:val="20"/>
                <w:szCs w:val="20"/>
                <w:highlight w:val="none"/>
                <w:lang w:val="en-US" w:eastAsia="zh-CN"/>
              </w:rPr>
              <w:t xml:space="preserve">具备</w:t>
            </w:r>
            <w:bookmarkStart w:id="194" w:name="_GoBack"/>
            <w:r>
              <w:rPr>
                <w:highlight w:val="none"/>
              </w:rPr>
            </w:r>
            <w:bookmarkEnd w:id="194"/>
            <w:r>
              <w:rPr>
                <w:rFonts w:hint="default" w:ascii="Times New Roman" w:hAnsi="Times New Roman" w:eastAsia="宋体" w:cs="Times New Roman"/>
                <w:sz w:val="20"/>
                <w:szCs w:val="20"/>
                <w:highlight w:val="none"/>
              </w:rPr>
              <w:t xml:space="preserve">ISO22301业务连续性管理体系认证</w:t>
            </w:r>
            <w:r>
              <w:rPr>
                <w:rFonts w:hint="default" w:ascii="Times New Roman" w:hAnsi="Times New Roman" w:cs="Times New Roman"/>
                <w:sz w:val="20"/>
                <w:szCs w:val="20"/>
                <w:highlight w:val="none"/>
                <w:lang w:val="en-US" w:eastAsia="zh-CN"/>
              </w:rPr>
              <w:t xml:space="preserve">的，得2</w:t>
            </w:r>
            <w:r>
              <w:rPr>
                <w:rFonts w:hint="default" w:ascii="Times New Roman" w:hAnsi="Times New Roman" w:eastAsia="宋体" w:cs="Times New Roman"/>
                <w:sz w:val="20"/>
                <w:szCs w:val="20"/>
                <w:highlight w:val="none"/>
              </w:rPr>
              <w:t xml:space="preserve">分</w:t>
            </w:r>
            <w:r>
              <w:rPr>
                <w:highlight w:val="none"/>
              </w:rPr>
            </w:r>
          </w:p>
        </w:tc>
        <w:tc>
          <w:tcPr>
            <w:tcW w:w="636" w:type="dxa"/>
            <w:vAlign w:val="center"/>
            <w:textDirection w:val="lrTb"/>
            <w:noWrap w:val="false"/>
          </w:tcPr>
          <w:p>
            <w:pPr>
              <w:jc w:val="center"/>
              <w:rPr>
                <w:rFonts w:hint="default" w:ascii="Times New Roman" w:hAnsi="Times New Roman" w:eastAsia="宋体" w:cs="Times New Roman"/>
                <w:bCs/>
                <w:sz w:val="21"/>
                <w:szCs w:val="21"/>
                <w:highlight w:val="none"/>
              </w:rPr>
            </w:pPr>
            <w:r>
              <w:rPr>
                <w:rFonts w:hint="eastAsia" w:ascii="Times New Roman" w:hAnsi="Times New Roman" w:cs="Times New Roman"/>
                <w:bCs/>
                <w:sz w:val="21"/>
                <w:szCs w:val="21"/>
                <w:highlight w:val="none"/>
                <w:lang w:val="en-US" w:eastAsia="zh-CN"/>
              </w:rPr>
              <w:t xml:space="preserve">4</w:t>
            </w:r>
            <w:r>
              <w:rPr>
                <w:highlight w:val="none"/>
              </w:rPr>
            </w:r>
          </w:p>
        </w:tc>
      </w:tr>
      <w:tr>
        <w:trPr>
          <w:trHeight w:val="1164"/>
        </w:trPr>
        <w:tc>
          <w:tcPr>
            <w:tcW w:w="400" w:type="dxa"/>
            <w:vAlign w:val="center"/>
            <w:vMerge w:val="restart"/>
            <w:textDirection w:val="lrTb"/>
            <w:noWrap w:val="false"/>
          </w:tcPr>
          <w:p>
            <w:pPr>
              <w:jc w:val="center"/>
              <w:spacing w:line="380" w:lineRule="exact"/>
              <w:rPr>
                <w:rFonts w:hint="eastAsia" w:ascii="Times New Roman" w:hAnsi="Times New Roman" w:eastAsia="宋体" w:cs="Times New Roman"/>
                <w:b w:val="0"/>
                <w:bCs/>
                <w:sz w:val="21"/>
                <w:szCs w:val="21"/>
                <w:highlight w:val="none"/>
              </w:rPr>
            </w:pPr>
            <w:r>
              <w:rPr>
                <w:rFonts w:hint="eastAsia" w:ascii="Times New Roman" w:hAnsi="Times New Roman" w:cs="Times New Roman"/>
                <w:b w:val="0"/>
                <w:bCs/>
                <w:sz w:val="21"/>
                <w:szCs w:val="21"/>
                <w:highlight w:val="none"/>
                <w:lang w:val="en-US" w:eastAsia="zh-CN"/>
              </w:rPr>
              <w:t xml:space="preserve">4</w:t>
            </w:r>
            <w:r>
              <w:rPr>
                <w:highlight w:val="none"/>
              </w:rPr>
            </w:r>
          </w:p>
        </w:tc>
        <w:tc>
          <w:tcPr>
            <w:shd w:val="clear" w:color="auto" w:fill="auto"/>
            <w:tcW w:w="1064" w:type="dxa"/>
            <w:vAlign w:val="center"/>
            <w:vMerge w:val="restart"/>
            <w:textDirection w:val="lrTb"/>
            <w:noWrap w:val="false"/>
          </w:tcPr>
          <w:p>
            <w:pPr>
              <w:jc w:val="center"/>
              <w:spacing w:line="380" w:lineRule="exact"/>
              <w:rPr>
                <w:rFonts w:hint="default" w:ascii="Times New Roman" w:hAnsi="Times New Roman" w:eastAsia="宋体" w:cs="Times New Roman"/>
                <w:b/>
                <w:bCs w:val="0"/>
                <w:sz w:val="21"/>
                <w:szCs w:val="21"/>
                <w:highlight w:val="none"/>
              </w:rPr>
            </w:pPr>
            <w:r>
              <w:rPr>
                <w:rFonts w:hint="default" w:ascii="Times New Roman" w:hAnsi="Times New Roman" w:eastAsia="宋体" w:cs="Times New Roman"/>
                <w:b/>
                <w:bCs w:val="0"/>
                <w:sz w:val="21"/>
                <w:szCs w:val="21"/>
                <w:highlight w:val="none"/>
              </w:rPr>
              <w:t xml:space="preserve">实施</w:t>
            </w:r>
            <w:r>
              <w:rPr>
                <w:highlight w:val="none"/>
              </w:rPr>
            </w:r>
          </w:p>
          <w:p>
            <w:pPr>
              <w:jc w:val="center"/>
              <w:spacing w:line="380" w:lineRule="exact"/>
              <w:rPr>
                <w:rFonts w:hint="default" w:ascii="Times New Roman" w:hAnsi="Times New Roman" w:eastAsia="宋体" w:cs="Times New Roman"/>
                <w:b/>
                <w:bCs w:val="0"/>
                <w:sz w:val="21"/>
                <w:szCs w:val="21"/>
                <w:highlight w:val="none"/>
              </w:rPr>
            </w:pPr>
            <w:r>
              <w:rPr>
                <w:rFonts w:hint="default" w:ascii="Times New Roman" w:hAnsi="Times New Roman" w:eastAsia="宋体" w:cs="Times New Roman"/>
                <w:b/>
                <w:bCs w:val="0"/>
                <w:sz w:val="21"/>
                <w:szCs w:val="21"/>
                <w:highlight w:val="none"/>
              </w:rPr>
              <w:t xml:space="preserve">方案</w:t>
            </w:r>
            <w:r>
              <w:rPr>
                <w:highlight w:val="none"/>
              </w:rPr>
            </w:r>
          </w:p>
          <w:p>
            <w:pPr>
              <w:jc w:val="center"/>
              <w:spacing w:line="380" w:lineRule="exact"/>
              <w:rPr>
                <w:rFonts w:hint="default" w:ascii="Times New Roman" w:hAnsi="Times New Roman" w:cs="Times New Roman"/>
                <w:b/>
                <w:bCs w:val="0"/>
                <w:sz w:val="21"/>
                <w:szCs w:val="21"/>
                <w:highlight w:val="none"/>
              </w:rPr>
            </w:pPr>
            <w:r>
              <w:rPr>
                <w:rFonts w:hint="default" w:ascii="Times New Roman" w:hAnsi="Times New Roman" w:cs="Times New Roman"/>
                <w:b/>
                <w:bCs w:val="0"/>
                <w:sz w:val="21"/>
                <w:szCs w:val="21"/>
                <w:highlight w:val="none"/>
                <w:lang w:val="en-US" w:eastAsia="zh-CN"/>
              </w:rPr>
            </w:r>
            <w:r>
              <w:rPr>
                <w:highlight w:val="none"/>
              </w:rPr>
            </w:r>
          </w:p>
        </w:tc>
        <w:tc>
          <w:tcPr>
            <w:tcW w:w="6655" w:type="dxa"/>
            <w:vAlign w:val="center"/>
            <w:textDirection w:val="lrTb"/>
            <w:noWrap w:val="false"/>
          </w:tcPr>
          <w:p>
            <w:pPr>
              <w:numPr>
                <w:ilvl w:val="0"/>
                <w:numId w:val="0"/>
              </w:numPr>
              <w:ind w:firstLine="422"/>
              <w:jc w:val="both"/>
              <w:rPr>
                <w:rFonts w:hint="default" w:ascii="Times New Roman" w:hAnsi="Times New Roman" w:cs="Times New Roman"/>
                <w:b/>
                <w:bCs/>
                <w:color w:val="000000"/>
                <w:szCs w:val="21"/>
                <w:highlight w:val="none"/>
              </w:rPr>
            </w:pPr>
            <w:r>
              <w:rPr>
                <w:rFonts w:hint="default" w:ascii="Times New Roman" w:hAnsi="Times New Roman" w:cs="Times New Roman"/>
                <w:b/>
                <w:bCs/>
                <w:color w:val="000000"/>
                <w:szCs w:val="21"/>
                <w:highlight w:val="none"/>
              </w:rPr>
              <w:t xml:space="preserve">（1）安装、调试方案：</w:t>
            </w:r>
            <w:r>
              <w:rPr>
                <w:highlight w:val="none"/>
              </w:rPr>
            </w:r>
          </w:p>
          <w:p>
            <w:pPr>
              <w:numPr>
                <w:ilvl w:val="0"/>
                <w:numId w:val="0"/>
              </w:numPr>
              <w:ind w:firstLine="400"/>
              <w:jc w:val="both"/>
              <w:rPr>
                <w:rFonts w:hint="default" w:ascii="Times New Roman" w:hAnsi="Times New Roman" w:cs="Times New Roman"/>
                <w:highlight w:val="none"/>
              </w:rPr>
            </w:pPr>
            <w:r>
              <w:rPr>
                <w:rFonts w:hint="default" w:ascii="Times New Roman" w:hAnsi="Times New Roman" w:cs="Times New Roman"/>
                <w:color w:val="000000"/>
                <w:sz w:val="20"/>
                <w:szCs w:val="20"/>
                <w:highlight w:val="none"/>
              </w:rPr>
              <w:t xml:space="preserve">投标人应根据招标文件及本项目特点，提供设备安装、调试方案，方案需科学合理、完整、切实可行、有针对性。方案优于招标需求的得5分，方案满足招标需求的得3分，方案不满足或未提供不得分。</w:t>
            </w:r>
            <w:r>
              <w:rPr>
                <w:highlight w:val="none"/>
              </w:rPr>
            </w:r>
          </w:p>
        </w:tc>
        <w:tc>
          <w:tcPr>
            <w:tcW w:w="636" w:type="dxa"/>
            <w:vAlign w:val="center"/>
            <w:textDirection w:val="lrTb"/>
            <w:noWrap w:val="false"/>
          </w:tcPr>
          <w:p>
            <w:pPr>
              <w:jc w:val="center"/>
              <w:rPr>
                <w:rFonts w:hint="default" w:ascii="Times New Roman" w:hAnsi="Times New Roman" w:cs="Times New Roman"/>
                <w:bCs/>
                <w:sz w:val="21"/>
                <w:szCs w:val="21"/>
                <w:highlight w:val="none"/>
              </w:rPr>
            </w:pPr>
            <w:r>
              <w:rPr>
                <w:rFonts w:hint="eastAsia" w:ascii="Times New Roman" w:hAnsi="Times New Roman" w:cs="Times New Roman"/>
                <w:bCs/>
                <w:sz w:val="21"/>
                <w:szCs w:val="21"/>
                <w:highlight w:val="none"/>
                <w:lang w:val="en-US" w:eastAsia="zh-CN"/>
              </w:rPr>
              <w:t xml:space="preserve">5</w:t>
            </w:r>
            <w:r>
              <w:rPr>
                <w:highlight w:val="none"/>
              </w:rPr>
            </w:r>
          </w:p>
        </w:tc>
      </w:tr>
      <w:tr>
        <w:trPr>
          <w:trHeight w:val="1128"/>
        </w:trPr>
        <w:tc>
          <w:tcPr>
            <w:tcW w:w="400" w:type="dxa"/>
            <w:vAlign w:val="center"/>
            <w:vMerge w:val="continue"/>
            <w:textDirection w:val="lrTb"/>
            <w:noWrap w:val="false"/>
          </w:tcPr>
          <w:p>
            <w:pPr>
              <w:jc w:val="center"/>
              <w:rPr>
                <w:b w:val="0"/>
                <w:bCs/>
              </w:rPr>
            </w:pPr>
            <w:r>
              <w:rPr>
                <w:b w:val="0"/>
                <w:bCs/>
              </w:rPr>
            </w:r>
            <w:r/>
          </w:p>
        </w:tc>
        <w:tc>
          <w:tcPr>
            <w:tcW w:w="1064" w:type="dxa"/>
            <w:vAlign w:val="center"/>
            <w:vMerge w:val="continue"/>
            <w:textDirection w:val="lrTb"/>
            <w:noWrap w:val="false"/>
          </w:tcPr>
          <w:p>
            <w:pPr>
              <w:jc w:val="center"/>
            </w:pPr>
            <w:r/>
            <w:r/>
          </w:p>
        </w:tc>
        <w:tc>
          <w:tcPr>
            <w:tcW w:w="6655" w:type="dxa"/>
            <w:vAlign w:val="center"/>
            <w:textDirection w:val="lrTb"/>
            <w:noWrap w:val="false"/>
          </w:tcPr>
          <w:p>
            <w:pPr>
              <w:numPr>
                <w:ilvl w:val="0"/>
                <w:numId w:val="0"/>
              </w:numPr>
              <w:ind w:firstLine="422"/>
              <w:jc w:val="both"/>
              <w:rPr>
                <w:rFonts w:hint="default" w:ascii="Times New Roman" w:hAnsi="Times New Roman" w:cs="Times New Roman"/>
                <w:b/>
                <w:bCs/>
                <w:color w:val="000000"/>
                <w:szCs w:val="21"/>
                <w:highlight w:val="none"/>
              </w:rPr>
            </w:pPr>
            <w:r>
              <w:rPr>
                <w:rFonts w:hint="default" w:ascii="Times New Roman" w:hAnsi="Times New Roman" w:cs="Times New Roman"/>
                <w:b/>
                <w:bCs/>
                <w:color w:val="000000"/>
                <w:szCs w:val="21"/>
                <w:highlight w:val="none"/>
              </w:rPr>
              <w:t xml:space="preserve">（2）验收服务方案：</w:t>
            </w:r>
            <w:r>
              <w:rPr>
                <w:highlight w:val="none"/>
              </w:rPr>
            </w:r>
          </w:p>
          <w:p>
            <w:pPr>
              <w:ind w:firstLine="400"/>
              <w:jc w:val="both"/>
              <w:rPr>
                <w:rFonts w:hint="default" w:ascii="Times New Roman" w:hAnsi="Times New Roman" w:cs="Times New Roman"/>
                <w:color w:val="000000"/>
                <w:szCs w:val="21"/>
                <w:highlight w:val="none"/>
              </w:rPr>
            </w:pPr>
            <w:r>
              <w:rPr>
                <w:rFonts w:hint="default" w:ascii="Times New Roman" w:hAnsi="Times New Roman" w:cs="Times New Roman"/>
                <w:color w:val="000000"/>
                <w:sz w:val="20"/>
                <w:szCs w:val="20"/>
                <w:highlight w:val="none"/>
              </w:rPr>
              <w:t xml:space="preserve">投标人应根据招标文件及本项目特点，提供设备验收服务方案，方案需科学合理、完整、切实可行、有针对性。方案优于招标需求的得5分，方案满足招标需求的得3分，方案不满足或未提供不得分。</w:t>
            </w:r>
            <w:r>
              <w:rPr>
                <w:highlight w:val="none"/>
              </w:rPr>
            </w:r>
          </w:p>
        </w:tc>
        <w:tc>
          <w:tcPr>
            <w:tcW w:w="636" w:type="dxa"/>
            <w:vAlign w:val="center"/>
            <w:textDirection w:val="lrTb"/>
            <w:noWrap w:val="false"/>
          </w:tcPr>
          <w:p>
            <w:pPr>
              <w:jc w:val="center"/>
              <w:rPr>
                <w:rFonts w:hint="eastAsia" w:ascii="Times New Roman" w:hAnsi="Times New Roman" w:eastAsia="宋体" w:cs="Times New Roman"/>
                <w:color w:val="000000"/>
                <w:szCs w:val="21"/>
                <w:highlight w:val="none"/>
              </w:rPr>
            </w:pPr>
            <w:r>
              <w:rPr>
                <w:rFonts w:hint="eastAsia" w:ascii="Times New Roman" w:hAnsi="Times New Roman" w:cs="Times New Roman"/>
                <w:color w:val="000000"/>
                <w:szCs w:val="21"/>
                <w:highlight w:val="none"/>
                <w:lang w:val="en-US" w:eastAsia="zh-CN"/>
              </w:rPr>
              <w:t xml:space="preserve">5</w:t>
            </w:r>
            <w:r>
              <w:rPr>
                <w:highlight w:val="none"/>
              </w:rPr>
            </w:r>
          </w:p>
        </w:tc>
      </w:tr>
      <w:tr>
        <w:trPr>
          <w:trHeight w:val="1020"/>
        </w:trPr>
        <w:tc>
          <w:tcPr>
            <w:tcW w:w="400" w:type="dxa"/>
            <w:vAlign w:val="center"/>
            <w:textDirection w:val="lrTb"/>
            <w:noWrap w:val="false"/>
          </w:tcPr>
          <w:p>
            <w:pPr>
              <w:jc w:val="center"/>
              <w:spacing w:line="380" w:lineRule="exact"/>
              <w:rPr>
                <w:rFonts w:hint="default" w:ascii="Times New Roman" w:hAnsi="Times New Roman" w:cs="Times New Roman"/>
                <w:b w:val="0"/>
                <w:bCs/>
                <w:highlight w:val="none"/>
              </w:rPr>
            </w:pPr>
            <w:r>
              <w:rPr>
                <w:rFonts w:hint="eastAsia" w:ascii="Times New Roman" w:hAnsi="Times New Roman" w:cs="Times New Roman"/>
                <w:b w:val="0"/>
                <w:bCs/>
                <w:highlight w:val="none"/>
                <w:lang w:val="en-US" w:eastAsia="zh-CN"/>
              </w:rPr>
              <w:t xml:space="preserve">5</w:t>
            </w:r>
            <w:r>
              <w:rPr>
                <w:highlight w:val="none"/>
              </w:rPr>
            </w:r>
          </w:p>
        </w:tc>
        <w:tc>
          <w:tcPr>
            <w:shd w:val="clear" w:color="auto" w:fill="auto"/>
            <w:tcW w:w="1064" w:type="dxa"/>
            <w:vAlign w:val="center"/>
            <w:textDirection w:val="lrTb"/>
            <w:noWrap w:val="false"/>
          </w:tcPr>
          <w:p>
            <w:pPr>
              <w:jc w:val="center"/>
              <w:spacing w:line="380" w:lineRule="exact"/>
              <w:rPr>
                <w:rFonts w:hint="default" w:ascii="Times New Roman" w:hAnsi="Times New Roman" w:cs="Times New Roman"/>
                <w:b/>
                <w:bCs w:val="0"/>
                <w:sz w:val="21"/>
                <w:szCs w:val="21"/>
                <w:highlight w:val="none"/>
              </w:rPr>
            </w:pPr>
            <w:r>
              <w:rPr>
                <w:rFonts w:hint="default" w:ascii="Times New Roman" w:hAnsi="Times New Roman" w:cs="Times New Roman"/>
                <w:b/>
                <w:bCs w:val="0"/>
                <w:sz w:val="21"/>
                <w:szCs w:val="21"/>
                <w:highlight w:val="none"/>
                <w:lang w:val="en-US" w:eastAsia="zh-CN"/>
              </w:rPr>
              <w:t xml:space="preserve">售后</w:t>
            </w:r>
            <w:r>
              <w:rPr>
                <w:highlight w:val="none"/>
              </w:rPr>
            </w:r>
          </w:p>
          <w:p>
            <w:pPr>
              <w:jc w:val="center"/>
              <w:spacing w:line="380" w:lineRule="exact"/>
              <w:rPr>
                <w:rFonts w:hint="default" w:ascii="Times New Roman" w:hAnsi="Times New Roman" w:cs="Times New Roman"/>
                <w:b/>
                <w:bCs w:val="0"/>
                <w:sz w:val="21"/>
                <w:szCs w:val="21"/>
                <w:highlight w:val="none"/>
              </w:rPr>
            </w:pPr>
            <w:r>
              <w:rPr>
                <w:rFonts w:hint="default" w:ascii="Times New Roman" w:hAnsi="Times New Roman" w:cs="Times New Roman"/>
                <w:b/>
                <w:bCs w:val="0"/>
                <w:sz w:val="21"/>
                <w:szCs w:val="21"/>
                <w:highlight w:val="none"/>
                <w:lang w:val="en-US" w:eastAsia="zh-CN"/>
              </w:rPr>
              <w:t xml:space="preserve">服务</w:t>
            </w:r>
            <w:r>
              <w:rPr>
                <w:highlight w:val="none"/>
              </w:rPr>
            </w:r>
          </w:p>
          <w:p>
            <w:pPr>
              <w:jc w:val="center"/>
              <w:spacing w:line="380" w:lineRule="exact"/>
              <w:rPr>
                <w:rFonts w:hint="default" w:ascii="Times New Roman" w:hAnsi="Times New Roman" w:eastAsia="宋体" w:cs="Times New Roman"/>
                <w:b/>
                <w:bCs w:val="0"/>
                <w:sz w:val="21"/>
                <w:szCs w:val="22"/>
                <w:highlight w:val="none"/>
              </w:rPr>
            </w:pPr>
            <w:r>
              <w:rPr>
                <w:rFonts w:hint="default" w:ascii="Times New Roman" w:hAnsi="Times New Roman" w:eastAsia="宋体" w:cs="Times New Roman"/>
                <w:b/>
                <w:bCs w:val="0"/>
                <w:sz w:val="21"/>
                <w:szCs w:val="22"/>
                <w:highlight w:val="none"/>
                <w:lang w:val="en-US" w:eastAsia="zh-CN" w:bidi="ar-SA"/>
              </w:rPr>
            </w:r>
            <w:r>
              <w:rPr>
                <w:highlight w:val="none"/>
              </w:rPr>
            </w:r>
          </w:p>
        </w:tc>
        <w:tc>
          <w:tcPr>
            <w:tcW w:w="6655" w:type="dxa"/>
            <w:vAlign w:val="center"/>
            <w:textDirection w:val="lrTb"/>
            <w:noWrap w:val="false"/>
          </w:tcPr>
          <w:p>
            <w:pPr>
              <w:numPr>
                <w:ilvl w:val="0"/>
                <w:numId w:val="0"/>
              </w:numPr>
              <w:ind w:firstLine="400"/>
              <w:jc w:val="both"/>
              <w:rPr>
                <w:rFonts w:hint="default" w:ascii="Times New Roman" w:hAnsi="Times New Roman" w:cs="Times New Roman"/>
                <w:bCs/>
                <w:sz w:val="20"/>
                <w:szCs w:val="20"/>
                <w:highlight w:val="none"/>
              </w:rPr>
            </w:pPr>
            <w:r>
              <w:rPr>
                <w:rFonts w:hint="default" w:ascii="Times New Roman" w:hAnsi="Times New Roman" w:cs="Times New Roman"/>
                <w:color w:val="000000"/>
                <w:sz w:val="20"/>
                <w:szCs w:val="20"/>
                <w:highlight w:val="none"/>
              </w:rPr>
              <w:t xml:space="preserve">投标人根据文件要求的售后服务内容进行描述和承诺。方案需科学合理、完整、切实可行、有针对性。方案优于招标需求的得5分，方案满足招标需求的得3分，方案不满足或未提供不得分。</w:t>
            </w:r>
            <w:r>
              <w:rPr>
                <w:highlight w:val="none"/>
              </w:rPr>
            </w:r>
          </w:p>
        </w:tc>
        <w:tc>
          <w:tcPr>
            <w:tcW w:w="636" w:type="dxa"/>
            <w:vAlign w:val="center"/>
            <w:textDirection w:val="lrTb"/>
            <w:noWrap w:val="false"/>
          </w:tcPr>
          <w:p>
            <w:pPr>
              <w:jc w:val="center"/>
              <w:rPr>
                <w:rFonts w:hint="default" w:ascii="Times New Roman" w:hAnsi="Times New Roman" w:cs="Times New Roman"/>
                <w:bCs/>
                <w:sz w:val="21"/>
                <w:szCs w:val="21"/>
                <w:highlight w:val="none"/>
              </w:rPr>
            </w:pPr>
            <w:r>
              <w:rPr>
                <w:rFonts w:hint="default" w:ascii="Times New Roman" w:hAnsi="Times New Roman" w:cs="Times New Roman"/>
                <w:bCs/>
                <w:sz w:val="21"/>
                <w:szCs w:val="21"/>
                <w:highlight w:val="none"/>
                <w:lang w:val="en-US" w:eastAsia="zh-CN"/>
              </w:rPr>
              <w:t xml:space="preserve">5</w:t>
            </w:r>
            <w:r>
              <w:rPr>
                <w:highlight w:val="none"/>
              </w:rPr>
            </w:r>
          </w:p>
        </w:tc>
      </w:tr>
      <w:tr>
        <w:trPr>
          <w:trHeight w:val="1174"/>
        </w:trPr>
        <w:tc>
          <w:tcPr>
            <w:tcW w:w="400" w:type="dxa"/>
            <w:vAlign w:val="center"/>
            <w:textDirection w:val="lrTb"/>
            <w:noWrap w:val="false"/>
          </w:tcPr>
          <w:p>
            <w:pPr>
              <w:jc w:val="center"/>
              <w:spacing w:line="380" w:lineRule="exact"/>
              <w:rPr>
                <w:rFonts w:hint="default" w:ascii="Times New Roman" w:hAnsi="Times New Roman" w:cs="Times New Roman"/>
                <w:b w:val="0"/>
                <w:bCs/>
                <w:highlight w:val="none"/>
              </w:rPr>
            </w:pPr>
            <w:r>
              <w:rPr>
                <w:rFonts w:hint="eastAsia" w:ascii="Times New Roman" w:hAnsi="Times New Roman" w:cs="Times New Roman"/>
                <w:b w:val="0"/>
                <w:bCs/>
                <w:highlight w:val="none"/>
                <w:lang w:val="en-US" w:eastAsia="zh-CN"/>
              </w:rPr>
              <w:t xml:space="preserve">6</w:t>
            </w:r>
            <w:r>
              <w:rPr>
                <w:highlight w:val="none"/>
              </w:rPr>
            </w:r>
          </w:p>
        </w:tc>
        <w:tc>
          <w:tcPr>
            <w:shd w:val="clear" w:color="auto" w:fill="auto"/>
            <w:tcW w:w="1064" w:type="dxa"/>
            <w:vAlign w:val="center"/>
            <w:textDirection w:val="lrTb"/>
            <w:noWrap w:val="false"/>
          </w:tcPr>
          <w:p>
            <w:pPr>
              <w:jc w:val="center"/>
              <w:spacing w:line="380" w:lineRule="exact"/>
              <w:rPr>
                <w:rFonts w:hint="eastAsia" w:ascii="Times New Roman" w:hAnsi="Times New Roman" w:cs="Times New Roman"/>
                <w:b/>
                <w:bCs w:val="0"/>
                <w:sz w:val="21"/>
                <w:szCs w:val="21"/>
                <w:highlight w:val="none"/>
              </w:rPr>
            </w:pPr>
            <w:r>
              <w:rPr>
                <w:rFonts w:hint="eastAsia" w:ascii="Times New Roman" w:hAnsi="Times New Roman" w:cs="Times New Roman"/>
                <w:b/>
                <w:bCs w:val="0"/>
                <w:sz w:val="21"/>
                <w:szCs w:val="21"/>
                <w:highlight w:val="none"/>
                <w:lang w:val="en-US" w:eastAsia="zh-CN"/>
              </w:rPr>
              <w:t xml:space="preserve">机房运行管理服务方案</w:t>
            </w:r>
            <w:r>
              <w:rPr>
                <w:highlight w:val="none"/>
              </w:rPr>
            </w:r>
          </w:p>
          <w:p>
            <w:pPr>
              <w:jc w:val="center"/>
              <w:spacing w:line="380" w:lineRule="exact"/>
              <w:rPr>
                <w:rFonts w:hint="default" w:ascii="Times New Roman" w:hAnsi="Times New Roman" w:cs="Times New Roman"/>
                <w:b/>
                <w:bCs w:val="0"/>
                <w:sz w:val="21"/>
                <w:szCs w:val="21"/>
                <w:highlight w:val="none"/>
              </w:rPr>
            </w:pPr>
            <w:r>
              <w:rPr>
                <w:rFonts w:hint="default" w:ascii="Times New Roman" w:hAnsi="Times New Roman" w:cs="Times New Roman"/>
                <w:b/>
                <w:bCs w:val="0"/>
                <w:sz w:val="21"/>
                <w:szCs w:val="21"/>
                <w:highlight w:val="none"/>
                <w:lang w:val="en-US" w:eastAsia="zh-CN"/>
              </w:rPr>
            </w:r>
            <w:r>
              <w:rPr>
                <w:highlight w:val="none"/>
              </w:rPr>
            </w:r>
          </w:p>
        </w:tc>
        <w:tc>
          <w:tcPr>
            <w:tcW w:w="6655" w:type="dxa"/>
            <w:vAlign w:val="center"/>
            <w:textDirection w:val="lrTb"/>
            <w:noWrap w:val="false"/>
          </w:tcPr>
          <w:p>
            <w:pPr>
              <w:numPr>
                <w:ilvl w:val="0"/>
                <w:numId w:val="0"/>
              </w:numPr>
              <w:ind w:left="0" w:firstLine="400"/>
              <w:spacing w:line="300" w:lineRule="exact"/>
              <w:rPr>
                <w:rFonts w:hint="default" w:ascii="Times New Roman" w:hAnsi="Times New Roman" w:cs="Times New Roman"/>
                <w:color w:val="000000"/>
                <w:sz w:val="20"/>
                <w:szCs w:val="20"/>
                <w:highlight w:val="none"/>
              </w:rPr>
            </w:pPr>
            <w:r>
              <w:rPr>
                <w:rFonts w:hint="default" w:ascii="Times New Roman" w:hAnsi="Times New Roman" w:cs="Times New Roman"/>
                <w:color w:val="000000"/>
                <w:sz w:val="20"/>
                <w:szCs w:val="20"/>
                <w:highlight w:val="none"/>
              </w:rPr>
              <w:t xml:space="preserve">投标人应根据招标文件及本项目特点，提供</w:t>
            </w:r>
            <w:r>
              <w:rPr>
                <w:rFonts w:hint="eastAsia" w:ascii="Times New Roman" w:hAnsi="Times New Roman" w:cs="Times New Roman"/>
                <w:color w:val="000000"/>
                <w:sz w:val="20"/>
                <w:szCs w:val="20"/>
                <w:highlight w:val="none"/>
                <w:lang w:val="en-US" w:eastAsia="zh-CN"/>
              </w:rPr>
              <w:t xml:space="preserve">机房部署及教学管理服务</w:t>
            </w:r>
            <w:r>
              <w:rPr>
                <w:rFonts w:hint="default" w:ascii="Times New Roman" w:hAnsi="Times New Roman" w:cs="Times New Roman"/>
                <w:color w:val="000000"/>
                <w:sz w:val="20"/>
                <w:szCs w:val="20"/>
                <w:highlight w:val="none"/>
              </w:rPr>
              <w:t xml:space="preserve">方案，方案</w:t>
            </w:r>
            <w:r>
              <w:rPr>
                <w:rFonts w:hint="eastAsia" w:ascii="Times New Roman" w:hAnsi="Times New Roman" w:cs="Times New Roman"/>
                <w:color w:val="000000"/>
                <w:sz w:val="20"/>
                <w:szCs w:val="20"/>
                <w:highlight w:val="none"/>
                <w:lang w:val="en-US" w:eastAsia="zh-CN"/>
              </w:rPr>
              <w:t xml:space="preserve">须</w:t>
            </w:r>
            <w:r>
              <w:rPr>
                <w:rFonts w:hint="default" w:ascii="Times New Roman" w:hAnsi="Times New Roman" w:cs="Times New Roman"/>
                <w:color w:val="000000"/>
                <w:sz w:val="20"/>
                <w:szCs w:val="20"/>
                <w:highlight w:val="none"/>
              </w:rPr>
              <w:t xml:space="preserve">科学合理、完整、切实可行、有针对性。方案优于招标需求的得5分，方案满足招标需求的得3分，方案不满足或未提供不得分。</w:t>
            </w:r>
            <w:r>
              <w:rPr>
                <w:highlight w:val="none"/>
              </w:rPr>
            </w:r>
          </w:p>
        </w:tc>
        <w:tc>
          <w:tcPr>
            <w:tcW w:w="636" w:type="dxa"/>
            <w:vAlign w:val="center"/>
            <w:textDirection w:val="lrTb"/>
            <w:noWrap w:val="false"/>
          </w:tcPr>
          <w:p>
            <w:pPr>
              <w:jc w:val="center"/>
              <w:rPr>
                <w:rFonts w:hint="default" w:ascii="Times New Roman" w:hAnsi="Times New Roman" w:cs="Times New Roman"/>
                <w:bCs/>
                <w:sz w:val="21"/>
                <w:szCs w:val="21"/>
                <w:highlight w:val="none"/>
              </w:rPr>
            </w:pPr>
            <w:r>
              <w:rPr>
                <w:rFonts w:hint="eastAsia" w:ascii="Times New Roman" w:hAnsi="Times New Roman" w:cs="Times New Roman"/>
                <w:bCs/>
                <w:sz w:val="21"/>
                <w:szCs w:val="21"/>
                <w:highlight w:val="none"/>
                <w:lang w:val="en-US" w:eastAsia="zh-CN"/>
              </w:rPr>
              <w:t xml:space="preserve">5</w:t>
            </w:r>
            <w:r>
              <w:rPr>
                <w:highlight w:val="none"/>
              </w:rPr>
            </w:r>
          </w:p>
        </w:tc>
      </w:tr>
      <w:tr>
        <w:trPr>
          <w:trHeight w:val="1881"/>
        </w:trPr>
        <w:tc>
          <w:tcPr>
            <w:tcW w:w="400" w:type="dxa"/>
            <w:vAlign w:val="center"/>
            <w:textDirection w:val="lrTb"/>
            <w:noWrap w:val="false"/>
          </w:tcPr>
          <w:p>
            <w:pPr>
              <w:jc w:val="center"/>
              <w:spacing w:line="380" w:lineRule="exact"/>
              <w:rPr>
                <w:rFonts w:hint="default" w:ascii="Times New Roman" w:hAnsi="Times New Roman" w:cs="Times New Roman"/>
                <w:b w:val="0"/>
                <w:bCs/>
                <w:highlight w:val="none"/>
              </w:rPr>
            </w:pPr>
            <w:r>
              <w:rPr>
                <w:rFonts w:hint="eastAsia" w:ascii="Times New Roman" w:hAnsi="Times New Roman" w:cs="Times New Roman"/>
                <w:b w:val="0"/>
                <w:bCs/>
                <w:highlight w:val="none"/>
                <w:lang w:val="en-US" w:eastAsia="zh-CN"/>
              </w:rPr>
              <w:t xml:space="preserve">7</w:t>
            </w:r>
            <w:r>
              <w:rPr>
                <w:highlight w:val="none"/>
              </w:rPr>
            </w:r>
          </w:p>
        </w:tc>
        <w:tc>
          <w:tcPr>
            <w:shd w:val="clear" w:color="auto" w:fill="auto"/>
            <w:tcW w:w="1064" w:type="dxa"/>
            <w:vAlign w:val="center"/>
            <w:textDirection w:val="lrTb"/>
            <w:noWrap w:val="false"/>
          </w:tcPr>
          <w:p>
            <w:pPr>
              <w:jc w:val="center"/>
              <w:spacing w:line="380" w:lineRule="exact"/>
              <w:rPr>
                <w:rFonts w:hint="default" w:ascii="Times New Roman" w:hAnsi="Times New Roman" w:cs="Times New Roman"/>
                <w:b/>
                <w:bCs w:val="0"/>
                <w:sz w:val="21"/>
                <w:szCs w:val="21"/>
                <w:highlight w:val="none"/>
              </w:rPr>
            </w:pPr>
            <w:r>
              <w:rPr>
                <w:rFonts w:hint="default" w:ascii="Times New Roman" w:hAnsi="Times New Roman" w:cs="Times New Roman"/>
                <w:b/>
                <w:bCs w:val="0"/>
                <w:sz w:val="21"/>
                <w:szCs w:val="21"/>
                <w:highlight w:val="none"/>
                <w:lang w:val="en-US" w:eastAsia="zh-CN"/>
              </w:rPr>
              <w:t xml:space="preserve">节能</w:t>
            </w:r>
            <w:r>
              <w:rPr>
                <w:highlight w:val="none"/>
              </w:rPr>
            </w:r>
          </w:p>
          <w:p>
            <w:pPr>
              <w:jc w:val="center"/>
              <w:spacing w:line="380" w:lineRule="exact"/>
              <w:rPr>
                <w:rFonts w:hint="default" w:ascii="Times New Roman" w:hAnsi="Times New Roman" w:cs="Times New Roman"/>
                <w:b/>
                <w:bCs w:val="0"/>
                <w:sz w:val="21"/>
                <w:szCs w:val="21"/>
                <w:highlight w:val="none"/>
              </w:rPr>
            </w:pPr>
            <w:r>
              <w:rPr>
                <w:rFonts w:hint="default" w:ascii="Times New Roman" w:hAnsi="Times New Roman" w:cs="Times New Roman"/>
                <w:b/>
                <w:bCs w:val="0"/>
                <w:sz w:val="21"/>
                <w:szCs w:val="21"/>
                <w:highlight w:val="none"/>
                <w:lang w:val="en-US" w:eastAsia="zh-CN"/>
              </w:rPr>
              <w:t xml:space="preserve">环保</w:t>
            </w:r>
            <w:r>
              <w:rPr>
                <w:highlight w:val="none"/>
              </w:rPr>
            </w:r>
          </w:p>
          <w:p>
            <w:pPr>
              <w:pStyle w:val="723"/>
              <w:jc w:val="center"/>
              <w:rPr>
                <w:rFonts w:hint="default" w:ascii="Times New Roman" w:hAnsi="Times New Roman" w:eastAsia="楷体_GB2312" w:cs="Times New Roman"/>
                <w:b/>
                <w:bCs w:val="0"/>
                <w:sz w:val="28"/>
                <w:szCs w:val="28"/>
                <w:highlight w:val="none"/>
              </w:rPr>
            </w:pPr>
            <w:r>
              <w:rPr>
                <w:rFonts w:hint="default" w:ascii="Times New Roman" w:hAnsi="Times New Roman" w:eastAsia="楷体_GB2312" w:cs="Times New Roman"/>
                <w:b/>
                <w:bCs w:val="0"/>
                <w:sz w:val="28"/>
                <w:szCs w:val="28"/>
                <w:highlight w:val="none"/>
                <w:lang w:val="en-US" w:eastAsia="zh-CN" w:bidi="ar-SA"/>
              </w:rPr>
            </w:r>
            <w:r>
              <w:rPr>
                <w:highlight w:val="none"/>
              </w:rPr>
            </w:r>
          </w:p>
        </w:tc>
        <w:tc>
          <w:tcPr>
            <w:tcW w:w="6655" w:type="dxa"/>
            <w:vAlign w:val="center"/>
            <w:textDirection w:val="lrTb"/>
            <w:noWrap w:val="false"/>
          </w:tcPr>
          <w:p>
            <w:pPr>
              <w:numPr>
                <w:ilvl w:val="0"/>
                <w:numId w:val="0"/>
              </w:numPr>
              <w:ind w:firstLine="400"/>
              <w:jc w:val="both"/>
              <w:rPr>
                <w:rFonts w:hint="eastAsia" w:ascii="Times New Roman" w:hAnsi="Times New Roman" w:cs="Times New Roman"/>
                <w:color w:val="000000"/>
                <w:sz w:val="20"/>
                <w:szCs w:val="20"/>
                <w:highlight w:val="none"/>
              </w:rPr>
            </w:pPr>
            <w:r>
              <w:rPr>
                <w:rFonts w:hint="eastAsia" w:ascii="Times New Roman" w:hAnsi="Times New Roman" w:cs="Times New Roman"/>
                <w:color w:val="000000"/>
                <w:sz w:val="20"/>
                <w:szCs w:val="20"/>
                <w:highlight w:val="none"/>
              </w:rPr>
              <w:t xml:space="preserve">（1）投标产品属于财政部、国家发改委公布的“节能产品品目清单”范围内的，投标人提供国家确定的认证机构出具的、处于有效期之内的该节能产品认证证书复印件的得</w:t>
            </w:r>
            <w:r>
              <w:rPr>
                <w:rFonts w:hint="eastAsia" w:ascii="Times New Roman" w:hAnsi="Times New Roman" w:cs="Times New Roman"/>
                <w:color w:val="000000"/>
                <w:sz w:val="20"/>
                <w:szCs w:val="20"/>
                <w:highlight w:val="none"/>
                <w:lang w:val="en-US" w:eastAsia="zh-CN"/>
              </w:rPr>
              <w:t xml:space="preserve">1</w:t>
            </w:r>
            <w:r>
              <w:rPr>
                <w:rFonts w:hint="eastAsia" w:ascii="Times New Roman" w:hAnsi="Times New Roman" w:cs="Times New Roman"/>
                <w:color w:val="000000"/>
                <w:sz w:val="20"/>
                <w:szCs w:val="20"/>
                <w:highlight w:val="none"/>
              </w:rPr>
              <w:t xml:space="preserve">分。如投标产品均属于政府强制采购节能产品品目清单范围内，本项不得分。</w:t>
            </w:r>
            <w:r>
              <w:rPr>
                <w:highlight w:val="none"/>
              </w:rPr>
            </w:r>
          </w:p>
          <w:p>
            <w:pPr>
              <w:numPr>
                <w:ilvl w:val="0"/>
                <w:numId w:val="0"/>
              </w:numPr>
              <w:ind w:firstLine="400"/>
              <w:jc w:val="both"/>
              <w:rPr>
                <w:rFonts w:hint="default" w:ascii="Times New Roman" w:hAnsi="Times New Roman" w:cs="Times New Roman"/>
                <w:color w:val="000000"/>
                <w:sz w:val="20"/>
                <w:szCs w:val="20"/>
                <w:highlight w:val="none"/>
              </w:rPr>
            </w:pPr>
            <w:r>
              <w:rPr>
                <w:rFonts w:hint="eastAsia" w:ascii="Times New Roman" w:hAnsi="Times New Roman" w:cs="Times New Roman"/>
                <w:color w:val="000000"/>
                <w:sz w:val="20"/>
                <w:szCs w:val="20"/>
                <w:highlight w:val="none"/>
              </w:rPr>
              <w:t xml:space="preserve">（2）投标产品属于财政部、生态环境部公布的“环境标志产品品目清单”范围内的，投标人提供国家确定的认证机构出具的、处于有效期内的该环保产品认证证书复印件的得</w:t>
            </w:r>
            <w:r>
              <w:rPr>
                <w:rFonts w:hint="eastAsia" w:ascii="Times New Roman" w:hAnsi="Times New Roman" w:cs="Times New Roman"/>
                <w:color w:val="000000"/>
                <w:sz w:val="20"/>
                <w:szCs w:val="20"/>
                <w:highlight w:val="none"/>
                <w:lang w:val="en-US" w:eastAsia="zh-CN"/>
              </w:rPr>
              <w:t xml:space="preserve">1</w:t>
            </w:r>
            <w:r>
              <w:rPr>
                <w:rFonts w:hint="eastAsia" w:ascii="Times New Roman" w:hAnsi="Times New Roman" w:cs="Times New Roman"/>
                <w:color w:val="000000"/>
                <w:sz w:val="20"/>
                <w:szCs w:val="20"/>
                <w:highlight w:val="none"/>
              </w:rPr>
              <w:t xml:space="preserve">分。</w:t>
            </w:r>
            <w:r>
              <w:rPr>
                <w:highlight w:val="none"/>
              </w:rPr>
            </w:r>
          </w:p>
        </w:tc>
        <w:tc>
          <w:tcPr>
            <w:tcW w:w="636" w:type="dxa"/>
            <w:vAlign w:val="center"/>
            <w:textDirection w:val="lrTb"/>
            <w:noWrap w:val="false"/>
          </w:tcPr>
          <w:p>
            <w:pPr>
              <w:jc w:val="center"/>
              <w:rPr>
                <w:rFonts w:hint="default" w:ascii="Times New Roman" w:hAnsi="Times New Roman" w:cs="Times New Roman"/>
                <w:bCs/>
                <w:sz w:val="21"/>
                <w:szCs w:val="21"/>
                <w:highlight w:val="none"/>
              </w:rPr>
            </w:pPr>
            <w:r>
              <w:rPr>
                <w:rFonts w:hint="eastAsia" w:ascii="Times New Roman" w:hAnsi="Times New Roman" w:cs="Times New Roman"/>
                <w:bCs/>
                <w:sz w:val="21"/>
                <w:szCs w:val="21"/>
                <w:highlight w:val="none"/>
                <w:lang w:val="en-US" w:eastAsia="zh-CN"/>
              </w:rPr>
              <w:t xml:space="preserve">2</w:t>
            </w:r>
            <w:r>
              <w:rPr>
                <w:highlight w:val="none"/>
              </w:rPr>
            </w:r>
          </w:p>
        </w:tc>
      </w:tr>
      <w:tr>
        <w:trPr>
          <w:trHeight w:val="485"/>
        </w:trPr>
        <w:tc>
          <w:tcPr>
            <w:gridSpan w:val="3"/>
            <w:tcW w:w="8119" w:type="dxa"/>
            <w:vAlign w:val="center"/>
            <w:textDirection w:val="lrTb"/>
            <w:noWrap w:val="false"/>
          </w:tcPr>
          <w:p>
            <w:pPr>
              <w:jc w:val="center"/>
              <w:spacing w:line="380" w:lineRule="exact"/>
              <w:rPr>
                <w:rFonts w:hint="default" w:ascii="Times New Roman" w:hAnsi="Times New Roman" w:eastAsia="宋体" w:cs="Times New Roman"/>
                <w:bCs/>
                <w:sz w:val="21"/>
                <w:szCs w:val="21"/>
                <w:highlight w:val="none"/>
              </w:rPr>
            </w:pPr>
            <w:r>
              <w:rPr>
                <w:bCs/>
                <w:color w:val="000000" w:themeColor="text1"/>
                <w:szCs w:val="21"/>
                <w:highlight w:val="none"/>
                <w14:textFill>
                  <w14:solidFill>
                    <w14:schemeClr w14:val="tx1"/>
                  </w14:solidFill>
                </w14:textFill>
              </w:rPr>
              <w:t xml:space="preserve">得分合计</w:t>
            </w:r>
            <w:r>
              <w:rPr>
                <w:highlight w:val="none"/>
              </w:rPr>
            </w:r>
          </w:p>
        </w:tc>
        <w:tc>
          <w:tcPr>
            <w:tcW w:w="636" w:type="dxa"/>
            <w:vAlign w:val="center"/>
            <w:textDirection w:val="lrTb"/>
            <w:noWrap w:val="false"/>
          </w:tcPr>
          <w:p>
            <w:pPr>
              <w:jc w:val="center"/>
              <w:spacing w:line="380" w:lineRule="exact"/>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rPr>
              <w:t xml:space="preserve">100</w:t>
            </w:r>
            <w:r>
              <w:rPr>
                <w:highlight w:val="none"/>
              </w:rPr>
            </w:r>
          </w:p>
        </w:tc>
      </w:tr>
    </w:tbl>
    <w:p>
      <w:pPr>
        <w:pStyle w:val="723"/>
        <w:rPr>
          <w:rFonts w:hint="eastAsia"/>
          <w:highlight w:val="none"/>
        </w:rPr>
      </w:pPr>
      <w:r>
        <w:rPr>
          <w:rFonts w:hint="eastAsia"/>
          <w:highlight w:val="none"/>
        </w:rPr>
      </w:r>
      <w:r>
        <w:rPr>
          <w:highlight w:val="none"/>
        </w:rPr>
      </w:r>
    </w:p>
    <w:p>
      <w:pPr>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br w:type="page" w:clear="all"/>
      </w:r>
      <w:r>
        <w:rPr>
          <w:highlight w:val="none"/>
        </w:rP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r>
      <w:r>
        <w:rPr>
          <w:highlight w:val="none"/>
        </w:rP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t xml:space="preserve">第六章  投标</w:t>
      </w:r>
      <w:bookmarkEnd w:id="182"/>
      <w:r>
        <w:rPr>
          <w:highlight w:val="none"/>
        </w:rPr>
      </w:r>
      <w:bookmarkEnd w:id="183"/>
      <w:r>
        <w:rPr>
          <w:highlight w:val="none"/>
        </w:rPr>
      </w:r>
      <w:bookmarkEnd w:id="184"/>
      <w:r>
        <w:rPr>
          <w:rFonts w:hint="eastAsia" w:ascii="黑体" w:hAnsi="Times New Roman" w:eastAsia="黑体"/>
          <w:bCs/>
          <w:color w:val="000000" w:themeColor="text1"/>
          <w:sz w:val="44"/>
          <w:szCs w:val="28"/>
          <w:highlight w:val="none"/>
          <w14:textFill>
            <w14:solidFill>
              <w14:schemeClr w14:val="tx1"/>
            </w14:solidFill>
          </w14:textFill>
        </w:rPr>
        <w:t xml:space="preserve">文件格式 </w:t>
      </w:r>
      <w:r>
        <w:rPr>
          <w:highlight w:val="none"/>
        </w:rPr>
      </w:r>
    </w:p>
    <w:p>
      <w:pPr>
        <w:jc w:val="center"/>
        <w:rPr>
          <w:rFonts w:hint="eastAsia" w:ascii="宋体" w:hAnsi="宋体"/>
          <w:b/>
          <w:color w:val="000000" w:themeColor="text1"/>
          <w:sz w:val="72"/>
          <w:szCs w:val="21"/>
          <w:highlight w:val="none"/>
          <w14:textFill>
            <w14:solidFill>
              <w14:schemeClr w14:val="tx1"/>
            </w14:solidFill>
          </w14:textFill>
        </w:rPr>
      </w:pPr>
      <w:r>
        <w:rPr>
          <w:highlight w:val="none"/>
        </w:rPr>
      </w:r>
      <w:bookmarkStart w:id="185" w:name="_Hlt26671244"/>
      <w:r>
        <w:rPr>
          <w:highlight w:val="none"/>
        </w:rPr>
      </w:r>
      <w:bookmarkEnd w:id="185"/>
      <w:r>
        <w:rPr>
          <w:highlight w:val="none"/>
        </w:rPr>
      </w:r>
      <w:bookmarkStart w:id="186" w:name="_Hlt26955039"/>
      <w:r>
        <w:rPr>
          <w:highlight w:val="none"/>
        </w:rPr>
      </w:r>
      <w:bookmarkEnd w:id="186"/>
      <w:r>
        <w:rPr>
          <w:highlight w:val="none"/>
        </w:rPr>
      </w:r>
      <w:bookmarkStart w:id="187" w:name="_Toc120614282"/>
      <w:r>
        <w:rPr>
          <w:highlight w:val="none"/>
        </w:rPr>
      </w:r>
      <w:bookmarkStart w:id="188" w:name="_Toc26554094"/>
      <w:r>
        <w:rPr>
          <w:highlight w:val="none"/>
        </w:rPr>
      </w:r>
      <w:bookmarkStart w:id="189" w:name="_Toc49090576"/>
      <w:r>
        <w:rPr>
          <w:highlight w:val="none"/>
        </w:rPr>
      </w:r>
      <w:r>
        <w:rPr>
          <w:highlight w:val="none"/>
        </w:rP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rPr>
          <w:highlight w:val="none"/>
        </w:rP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p>
    <w:p>
      <w:pPr>
        <w:ind w:firstLine="1080"/>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p>
    <w:p>
      <w:pPr>
        <w:ind w:firstLine="1080"/>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rPr>
          <w:highlight w:val="none"/>
        </w:rP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rPr>
          <w:highlight w:val="none"/>
        </w:rPr>
      </w:r>
    </w:p>
    <w:p>
      <w:pPr>
        <w:jc w:val="cente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rPr>
          <w:highlight w:val="none"/>
        </w:rP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clear="all"/>
      </w:r>
      <w:r>
        <w:rPr>
          <w:highlight w:val="none"/>
        </w:rPr>
      </w:r>
    </w:p>
    <w:p>
      <w:pPr>
        <w:jc w:val="cente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投标文件的</w:t>
      </w:r>
      <w:r>
        <w:rPr>
          <w:rFonts w:ascii="宋体" w:hAnsi="宋体"/>
          <w:b/>
          <w:bCs/>
          <w:color w:val="000000" w:themeColor="text1"/>
          <w:sz w:val="32"/>
          <w:szCs w:val="32"/>
          <w:highlight w:val="none"/>
          <w14:textFill>
            <w14:solidFill>
              <w14:schemeClr w14:val="tx1"/>
            </w14:solidFill>
          </w14:textFill>
        </w:rPr>
        <w:t xml:space="preserve">组成</w:t>
      </w:r>
      <w:r>
        <w:rPr>
          <w:highlight w:val="none"/>
        </w:rP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rPr>
          <w:highlight w:val="none"/>
        </w:rPr>
      </w:r>
    </w:p>
    <w:p>
      <w:pPr>
        <w:ind w:left="480"/>
        <w:spacing w:line="400" w:lineRule="exact"/>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一、基本目录</w:t>
      </w:r>
      <w:r>
        <w:rPr>
          <w:highlight w:val="none"/>
        </w:rPr>
      </w:r>
    </w:p>
    <w:p>
      <w:pPr>
        <w:ind w:left="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开标一览表（格式见附件</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投标分项报价表（格式见</w:t>
      </w:r>
      <w:r>
        <w:rPr>
          <w:rFonts w:ascii="宋体" w:hAnsi="宋体"/>
          <w:color w:val="000000" w:themeColor="text1"/>
          <w:sz w:val="24"/>
          <w:szCs w:val="21"/>
          <w:highlight w:val="none"/>
          <w14:textFill>
            <w14:solidFill>
              <w14:schemeClr w14:val="tx1"/>
            </w14:solidFill>
          </w14:textFill>
        </w:rPr>
        <w:t xml:space="preserve">附件2</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技术要求响应及偏离表（格式见</w:t>
      </w:r>
      <w:r>
        <w:rPr>
          <w:rFonts w:ascii="宋体" w:hAnsi="宋体"/>
          <w:color w:val="000000" w:themeColor="text1"/>
          <w:sz w:val="24"/>
          <w:szCs w:val="21"/>
          <w:highlight w:val="none"/>
          <w14:textFill>
            <w14:solidFill>
              <w14:schemeClr w14:val="tx1"/>
            </w14:solidFill>
          </w14:textFill>
        </w:rPr>
        <w:t xml:space="preserve">附件3</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商务要求响应及偏离表（格式见</w:t>
      </w:r>
      <w:r>
        <w:rPr>
          <w:rFonts w:ascii="宋体" w:hAnsi="宋体"/>
          <w:color w:val="000000" w:themeColor="text1"/>
          <w:sz w:val="24"/>
          <w:szCs w:val="21"/>
          <w:highlight w:val="none"/>
          <w14:textFill>
            <w14:solidFill>
              <w14:schemeClr w14:val="tx1"/>
            </w14:solidFill>
          </w14:textFill>
        </w:rPr>
        <w:t xml:space="preserve">附件4</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left="480"/>
        <w:spacing w:line="400" w:lineRule="exact"/>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二</w:t>
      </w:r>
      <w:r>
        <w:rPr>
          <w:rFonts w:ascii="宋体" w:hAnsi="宋体"/>
          <w:b/>
          <w:color w:val="000000" w:themeColor="text1"/>
          <w:sz w:val="24"/>
          <w:szCs w:val="21"/>
          <w:highlight w:val="none"/>
          <w14:textFill>
            <w14:solidFill>
              <w14:schemeClr w14:val="tx1"/>
            </w14:solidFill>
          </w14:textFill>
        </w:rPr>
        <w:t xml:space="preserve">、资格审查内容</w:t>
      </w:r>
      <w:r>
        <w:rPr>
          <w:highlight w:val="none"/>
        </w:rPr>
      </w:r>
    </w:p>
    <w:p>
      <w:pPr>
        <w:ind w:left="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法人或者其他组织的营业执照等证明文件，自然人的身份证明</w:t>
      </w:r>
      <w:r>
        <w:rPr>
          <w:highlight w:val="none"/>
        </w:rPr>
      </w:r>
    </w:p>
    <w:p>
      <w:pPr>
        <w:ind w:left="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上一年度的财务状况报告（投标人成立不满一年无需提供）</w:t>
      </w:r>
      <w:r>
        <w:rPr>
          <w:highlight w:val="none"/>
        </w:rP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依法缴纳税收和社会保障资金的相关材料（提供提交投标文件截止时间前</w:t>
      </w:r>
      <w:r>
        <w:rPr>
          <w:highlight w:val="none"/>
        </w:rPr>
      </w:r>
    </w:p>
    <w:p>
      <w:pPr>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一年内至少一个月依法缴纳税收及缴纳社会保障资金的证明材料。投标人依法享受缓缴、免缴税收、社会保障资金的提供证明材料。）</w:t>
      </w:r>
      <w:r>
        <w:rPr>
          <w:highlight w:val="none"/>
        </w:rP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具备履行合同所必需的设备和专业技术能力的书面声明（格式见</w:t>
      </w:r>
      <w:r>
        <w:rPr>
          <w:rFonts w:ascii="宋体" w:hAnsi="宋体"/>
          <w:color w:val="000000" w:themeColor="text1"/>
          <w:sz w:val="24"/>
          <w:szCs w:val="21"/>
          <w:highlight w:val="none"/>
          <w14:textFill>
            <w14:solidFill>
              <w14:schemeClr w14:val="tx1"/>
            </w14:solidFill>
          </w14:textFill>
        </w:rPr>
        <w:t xml:space="preserve">附件5</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left="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5.参加政府采购活动前 3 年内在经营活动中没有重大违法记录的书面声明</w:t>
      </w:r>
      <w:r>
        <w:rPr>
          <w:highlight w:val="none"/>
        </w:rPr>
      </w:r>
    </w:p>
    <w:p>
      <w:pPr>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（格式见</w:t>
      </w:r>
      <w:r>
        <w:rPr>
          <w:rFonts w:ascii="宋体" w:hAnsi="宋体"/>
          <w:color w:val="000000" w:themeColor="text1"/>
          <w:sz w:val="24"/>
          <w:szCs w:val="21"/>
          <w:highlight w:val="none"/>
          <w14:textFill>
            <w14:solidFill>
              <w14:schemeClr w14:val="tx1"/>
            </w14:solidFill>
          </w14:textFill>
        </w:rPr>
        <w:t xml:space="preserve">附件6</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特定资格要求的证明文件（如果本项目对投标人</w:t>
      </w:r>
      <w:r>
        <w:rPr>
          <w:rFonts w:ascii="宋体" w:hAnsi="宋体"/>
          <w:color w:val="000000" w:themeColor="text1"/>
          <w:sz w:val="24"/>
          <w:szCs w:val="21"/>
          <w:highlight w:val="none"/>
          <w14:textFill>
            <w14:solidFill>
              <w14:schemeClr w14:val="tx1"/>
            </w14:solidFill>
          </w14:textFill>
        </w:rPr>
        <w:t xml:space="preserve">做出特定资格要求的</w:t>
      </w:r>
      <w:r>
        <w:rPr>
          <w:rFonts w:hint="eastAsia" w:ascii="宋体" w:hAnsi="宋体"/>
          <w:color w:val="000000" w:themeColor="text1"/>
          <w:sz w:val="24"/>
          <w:szCs w:val="21"/>
          <w:highlight w:val="none"/>
          <w14:textFill>
            <w14:solidFill>
              <w14:schemeClr w14:val="tx1"/>
            </w14:solidFill>
          </w14:textFill>
        </w:rPr>
        <w:t xml:space="preserve">，必须提供）</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8.</w:t>
      </w:r>
      <w:r>
        <w:rPr>
          <w:rFonts w:hint="eastAsia" w:ascii="宋体" w:hAnsi="宋体"/>
          <w:color w:val="000000" w:themeColor="text1"/>
          <w:sz w:val="24"/>
          <w:szCs w:val="21"/>
          <w:highlight w:val="none"/>
          <w14:textFill>
            <w14:solidFill>
              <w14:schemeClr w14:val="tx1"/>
            </w14:solidFill>
          </w14:textFill>
        </w:rPr>
        <w:t xml:space="preserve">法人授权书（格式见附件</w:t>
      </w: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9.</w:t>
      </w:r>
      <w:r>
        <w:rPr>
          <w:rFonts w:hint="eastAsia" w:ascii="宋体" w:hAnsi="宋体"/>
          <w:color w:val="000000" w:themeColor="text1"/>
          <w:sz w:val="24"/>
          <w:szCs w:val="21"/>
          <w:highlight w:val="none"/>
          <w14:textFill>
            <w14:solidFill>
              <w14:schemeClr w14:val="tx1"/>
            </w14:solidFill>
          </w14:textFill>
        </w:rPr>
        <w:t xml:space="preserve">投标函（格式见附件</w:t>
      </w:r>
      <w:r>
        <w:rPr>
          <w:rFonts w:ascii="宋体" w:hAnsi="宋体"/>
          <w:color w:val="000000" w:themeColor="text1"/>
          <w:sz w:val="24"/>
          <w:szCs w:val="21"/>
          <w:highlight w:val="none"/>
          <w14:textFill>
            <w14:solidFill>
              <w14:schemeClr w14:val="tx1"/>
            </w14:solidFill>
          </w14:textFill>
        </w:rPr>
        <w:t xml:space="preserve">8</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left="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备注：上述“资格审查内容”中1-5条、</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、9条投标人必须在投标文件</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中提供相关材料，否则作无效投标处理。</w:t>
      </w:r>
      <w:r>
        <w:rPr>
          <w:highlight w:val="none"/>
        </w:rPr>
      </w:r>
    </w:p>
    <w:p>
      <w:pPr>
        <w:ind w:left="480"/>
        <w:spacing w:line="400" w:lineRule="exact"/>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三</w:t>
      </w:r>
      <w:r>
        <w:rPr>
          <w:rFonts w:ascii="宋体" w:hAnsi="宋体"/>
          <w:b/>
          <w:color w:val="000000" w:themeColor="text1"/>
          <w:sz w:val="24"/>
          <w:szCs w:val="21"/>
          <w:highlight w:val="none"/>
          <w14:textFill>
            <w14:solidFill>
              <w14:schemeClr w14:val="tx1"/>
            </w14:solidFill>
          </w14:textFill>
        </w:rPr>
        <w:t xml:space="preserve">、</w:t>
      </w:r>
      <w:r>
        <w:rPr>
          <w:rFonts w:hint="eastAsia" w:ascii="宋体" w:hAnsi="宋体"/>
          <w:b/>
          <w:color w:val="000000" w:themeColor="text1"/>
          <w:sz w:val="24"/>
          <w:szCs w:val="21"/>
          <w:highlight w:val="none"/>
          <w14:textFill>
            <w14:solidFill>
              <w14:schemeClr w14:val="tx1"/>
            </w14:solidFill>
          </w14:textFill>
        </w:rPr>
        <w:t xml:space="preserve">符合性</w:t>
      </w:r>
      <w:r>
        <w:rPr>
          <w:rFonts w:ascii="宋体" w:hAnsi="宋体"/>
          <w:b/>
          <w:color w:val="000000" w:themeColor="text1"/>
          <w:sz w:val="24"/>
          <w:szCs w:val="21"/>
          <w:highlight w:val="none"/>
          <w14:textFill>
            <w14:solidFill>
              <w14:schemeClr w14:val="tx1"/>
            </w14:solidFill>
          </w14:textFill>
        </w:rPr>
        <w:t xml:space="preserve">审查内容</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投标人必须</w:t>
      </w:r>
      <w:r>
        <w:rPr>
          <w:rFonts w:ascii="宋体" w:hAnsi="宋体"/>
          <w:color w:val="000000" w:themeColor="text1"/>
          <w:sz w:val="24"/>
          <w:szCs w:val="21"/>
          <w:highlight w:val="none"/>
          <w14:textFill>
            <w14:solidFill>
              <w14:schemeClr w14:val="tx1"/>
            </w14:solidFill>
          </w14:textFill>
        </w:rPr>
        <w:t xml:space="preserve">对</w:t>
      </w:r>
      <w:r>
        <w:rPr>
          <w:rFonts w:hint="eastAsia" w:ascii="宋体" w:hAnsi="宋体"/>
          <w:color w:val="000000" w:themeColor="text1"/>
          <w:sz w:val="24"/>
          <w:szCs w:val="21"/>
          <w:highlight w:val="none"/>
          <w14:textFill>
            <w14:solidFill>
              <w14:schemeClr w14:val="tx1"/>
            </w14:solidFill>
          </w14:textFill>
        </w:rPr>
        <w:t xml:space="preserve">技术</w:t>
      </w:r>
      <w:r>
        <w:rPr>
          <w:rFonts w:ascii="宋体" w:hAnsi="宋体"/>
          <w:color w:val="000000" w:themeColor="text1"/>
          <w:sz w:val="24"/>
          <w:szCs w:val="21"/>
          <w:highlight w:val="none"/>
          <w14:textFill>
            <w14:solidFill>
              <w14:schemeClr w14:val="tx1"/>
            </w14:solidFill>
          </w14:textFill>
        </w:rPr>
        <w:t xml:space="preserve">要求和商务</w:t>
      </w:r>
      <w:r>
        <w:rPr>
          <w:rFonts w:hint="eastAsia" w:ascii="宋体" w:hAnsi="宋体"/>
          <w:color w:val="000000" w:themeColor="text1"/>
          <w:sz w:val="24"/>
          <w:szCs w:val="21"/>
          <w:highlight w:val="none"/>
          <w14:textFill>
            <w14:solidFill>
              <w14:schemeClr w14:val="tx1"/>
            </w14:solidFill>
          </w14:textFill>
        </w:rPr>
        <w:t xml:space="preserve">要求</w:t>
      </w:r>
      <w:r>
        <w:rPr>
          <w:rFonts w:ascii="宋体" w:hAnsi="宋体"/>
          <w:color w:val="000000" w:themeColor="text1"/>
          <w:sz w:val="24"/>
          <w:szCs w:val="21"/>
          <w:highlight w:val="none"/>
          <w14:textFill>
            <w14:solidFill>
              <w14:schemeClr w14:val="tx1"/>
            </w14:solidFill>
          </w14:textFill>
        </w:rPr>
        <w:t xml:space="preserve">中加斜体下划线的实质性要求</w:t>
      </w:r>
      <w:r>
        <w:rPr>
          <w:rFonts w:hint="eastAsia" w:ascii="宋体" w:hAnsi="宋体"/>
          <w:color w:val="000000" w:themeColor="text1"/>
          <w:sz w:val="24"/>
          <w:szCs w:val="21"/>
          <w:highlight w:val="none"/>
          <w14:textFill>
            <w14:solidFill>
              <w14:schemeClr w14:val="tx1"/>
            </w14:solidFill>
          </w14:textFill>
        </w:rPr>
        <w:t xml:space="preserve">逐条</w:t>
      </w:r>
      <w:r>
        <w:rPr>
          <w:rFonts w:ascii="宋体" w:hAnsi="宋体"/>
          <w:color w:val="000000" w:themeColor="text1"/>
          <w:sz w:val="24"/>
          <w:szCs w:val="21"/>
          <w:highlight w:val="none"/>
          <w14:textFill>
            <w14:solidFill>
              <w14:schemeClr w14:val="tx1"/>
            </w14:solidFill>
          </w14:textFill>
        </w:rPr>
        <w:t xml:space="preserve">做出响应，并按照招标</w:t>
      </w:r>
      <w:r>
        <w:rPr>
          <w:rFonts w:hint="eastAsia" w:ascii="宋体" w:hAnsi="宋体"/>
          <w:color w:val="000000" w:themeColor="text1"/>
          <w:sz w:val="24"/>
          <w:szCs w:val="21"/>
          <w:highlight w:val="none"/>
          <w14:textFill>
            <w14:solidFill>
              <w14:schemeClr w14:val="tx1"/>
            </w14:solidFill>
          </w14:textFill>
        </w:rPr>
        <w:t xml:space="preserve">文件</w:t>
      </w:r>
      <w:r>
        <w:rPr>
          <w:rFonts w:ascii="宋体" w:hAnsi="宋体"/>
          <w:color w:val="000000" w:themeColor="text1"/>
          <w:sz w:val="24"/>
          <w:szCs w:val="21"/>
          <w:highlight w:val="none"/>
          <w14:textFill>
            <w14:solidFill>
              <w14:schemeClr w14:val="tx1"/>
            </w14:solidFill>
          </w14:textFill>
        </w:rPr>
        <w:t xml:space="preserve">要求提供</w:t>
      </w:r>
      <w:r>
        <w:rPr>
          <w:rFonts w:hint="eastAsia" w:ascii="宋体" w:hAnsi="宋体"/>
          <w:color w:val="000000" w:themeColor="text1"/>
          <w:sz w:val="24"/>
          <w:szCs w:val="21"/>
          <w:highlight w:val="none"/>
          <w14:textFill>
            <w14:solidFill>
              <w14:schemeClr w14:val="tx1"/>
            </w14:solidFill>
          </w14:textFill>
        </w:rPr>
        <w:t xml:space="preserve">证明</w:t>
      </w:r>
      <w:r>
        <w:rPr>
          <w:rFonts w:ascii="宋体" w:hAnsi="宋体"/>
          <w:color w:val="000000" w:themeColor="text1"/>
          <w:sz w:val="24"/>
          <w:szCs w:val="21"/>
          <w:highlight w:val="none"/>
          <w14:textFill>
            <w14:solidFill>
              <w14:schemeClr w14:val="tx1"/>
            </w14:solidFill>
          </w14:textFill>
        </w:rPr>
        <w:t xml:space="preserve">材料</w:t>
      </w:r>
      <w:r>
        <w:rPr>
          <w:rFonts w:hint="eastAsia" w:ascii="宋体" w:hAnsi="宋体"/>
          <w:color w:val="000000" w:themeColor="text1"/>
          <w:sz w:val="24"/>
          <w:szCs w:val="21"/>
          <w:highlight w:val="none"/>
          <w14:textFill>
            <w14:solidFill>
              <w14:schemeClr w14:val="tx1"/>
            </w14:solidFill>
          </w14:textFill>
        </w:rPr>
        <w:t xml:space="preserve">，否则做无效投标处理。（格式见</w:t>
      </w:r>
      <w:r>
        <w:rPr>
          <w:rFonts w:ascii="宋体" w:hAnsi="宋体"/>
          <w:color w:val="000000" w:themeColor="text1"/>
          <w:sz w:val="24"/>
          <w:szCs w:val="21"/>
          <w:highlight w:val="none"/>
          <w14:textFill>
            <w14:solidFill>
              <w14:schemeClr w14:val="tx1"/>
            </w14:solidFill>
          </w14:textFill>
        </w:rPr>
        <w:t xml:space="preserve">附件12</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四、价格</w:t>
      </w:r>
      <w:r>
        <w:rPr>
          <w:rFonts w:ascii="宋体" w:hAnsi="宋体"/>
          <w:b/>
          <w:color w:val="000000" w:themeColor="text1"/>
          <w:sz w:val="24"/>
          <w:szCs w:val="21"/>
          <w:highlight w:val="none"/>
          <w14:textFill>
            <w14:solidFill>
              <w14:schemeClr w14:val="tx1"/>
            </w14:solidFill>
          </w14:textFill>
        </w:rPr>
        <w:t xml:space="preserve">扣除证明文件</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中小微企业声明函（</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附件9</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残疾人福利性单位声明函（</w:t>
      </w:r>
      <w:r>
        <w:rPr>
          <w:rFonts w:ascii="宋体" w:hAnsi="宋体"/>
          <w:color w:val="000000" w:themeColor="text1"/>
          <w:sz w:val="24"/>
          <w:szCs w:val="21"/>
          <w:highlight w:val="none"/>
          <w14:textFill>
            <w14:solidFill>
              <w14:schemeClr w14:val="tx1"/>
            </w14:solidFill>
          </w14:textFill>
        </w:rPr>
        <w:t xml:space="preserve">格式</w:t>
      </w:r>
      <w:r>
        <w:rPr>
          <w:rFonts w:hint="eastAsia" w:ascii="宋体" w:hAnsi="宋体"/>
          <w:color w:val="000000" w:themeColor="text1"/>
          <w:sz w:val="24"/>
          <w:szCs w:val="21"/>
          <w:highlight w:val="none"/>
          <w14:textFill>
            <w14:solidFill>
              <w14:schemeClr w14:val="tx1"/>
            </w14:solidFill>
          </w14:textFill>
        </w:rPr>
        <w:t xml:space="preserve">见</w:t>
      </w:r>
      <w:r>
        <w:rPr>
          <w:rFonts w:ascii="宋体" w:hAnsi="宋体"/>
          <w:color w:val="000000" w:themeColor="text1"/>
          <w:sz w:val="24"/>
          <w:szCs w:val="21"/>
          <w:highlight w:val="none"/>
          <w14:textFill>
            <w14:solidFill>
              <w14:schemeClr w14:val="tx1"/>
            </w14:solidFill>
          </w14:textFill>
        </w:rPr>
        <w:t xml:space="preserve">附件10</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rPr>
          <w:highlight w:val="none"/>
        </w:rPr>
      </w:r>
    </w:p>
    <w:p>
      <w:pPr>
        <w:jc w:val="center"/>
        <w:rPr>
          <w:rFonts w:hint="eastAsia" w:ascii="Times New Roman" w:hAnsi="Times New Roman" w:eastAsia="仿宋_GB2312"/>
          <w:color w:val="000000" w:themeColor="text1"/>
          <w:sz w:val="24"/>
          <w:szCs w:val="20"/>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 </w:t>
      </w:r>
      <w:r>
        <w:rPr>
          <w:rFonts w:hint="eastAsia" w:ascii="宋体" w:hAnsi="宋体"/>
          <w:b/>
          <w:color w:val="000000" w:themeColor="text1"/>
          <w:sz w:val="24"/>
          <w:szCs w:val="24"/>
          <w:highlight w:val="none"/>
          <w14:textFill>
            <w14:solidFill>
              <w14:schemeClr w14:val="tx1"/>
            </w14:solidFill>
          </w14:textFill>
        </w:rPr>
        <w:t xml:space="preserve">开标一览表</w:t>
      </w:r>
      <w:r>
        <w:rPr>
          <w:highlight w:val="none"/>
        </w:rPr>
      </w:r>
    </w:p>
    <w:p>
      <w:pPr>
        <w:ind w:firstLine="482"/>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投标人全称（加盖CA电子签章）：</w:t>
      </w:r>
      <w:r>
        <w:rPr>
          <w:highlight w:val="none"/>
        </w:rPr>
      </w:r>
    </w:p>
    <w:p>
      <w:pPr>
        <w:ind w:firstLine="482"/>
        <w:spacing w:line="400" w:lineRule="exact"/>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rPr>
          <w:highlight w:val="none"/>
        </w:rPr>
      </w:r>
    </w:p>
    <w:p>
      <w:pPr>
        <w:ind w:firstLine="482"/>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w:t>
      </w:r>
      <w:r>
        <w:rPr>
          <w:highlight w:val="none"/>
        </w:rPr>
      </w:r>
    </w:p>
    <w:p>
      <w:pPr>
        <w:ind w:firstLine="482"/>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采购包号：</w:t>
      </w:r>
      <w:r>
        <w:rPr>
          <w:highlight w:val="none"/>
        </w:rPr>
      </w:r>
    </w:p>
    <w:tbl>
      <w:tblPr>
        <w:tblStyle w:val="7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投标总报价</w:t>
            </w:r>
            <w:r>
              <w:rPr>
                <w:highlight w:val="none"/>
              </w:rP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小写：                             （人民币：元）</w:t>
            </w:r>
            <w:r>
              <w:rPr>
                <w:highlight w:val="none"/>
              </w:rP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核心产品品牌</w:t>
            </w:r>
            <w:r>
              <w:rPr>
                <w:highlight w:val="none"/>
              </w:rPr>
            </w:r>
          </w:p>
        </w:tc>
        <w:tc>
          <w:tcPr>
            <w:tcW w:w="6405" w:type="dxa"/>
            <w:vAlign w:val="center"/>
            <w:textDirection w:val="lrTb"/>
            <w:noWrap w:val="false"/>
          </w:tcPr>
          <w:p>
            <w:pPr>
              <w:jc w:val="left"/>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rPr>
                <w:highlight w:val="none"/>
              </w:rPr>
            </w:r>
          </w:p>
        </w:tc>
      </w:tr>
    </w:tbl>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rPr>
          <w:highlight w:val="none"/>
        </w:rP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 投标分项报价表（采购包号：***）</w:t>
      </w:r>
      <w:r>
        <w:rPr>
          <w:highlight w:val="none"/>
        </w:rPr>
      </w:r>
    </w:p>
    <w:tbl>
      <w:tblPr>
        <w:tblStyle w:val="701"/>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rPr>
                <w:highlight w:val="none"/>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highlight w:val="none"/>
              </w:rPr>
            </w:r>
          </w:p>
        </w:tc>
        <w:tc>
          <w:tcPr>
            <w:tcW w:w="93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highlight w:val="none"/>
              </w:rPr>
            </w:r>
          </w:p>
        </w:tc>
        <w:tc>
          <w:tcPr>
            <w:tcW w:w="98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highlight w:val="none"/>
              </w:rPr>
            </w:r>
          </w:p>
        </w:tc>
        <w:tc>
          <w:tcPr>
            <w:tcW w:w="110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rPr>
                <w:highlight w:val="none"/>
              </w:rPr>
            </w:r>
          </w:p>
        </w:tc>
        <w:tc>
          <w:tcPr>
            <w:tcW w:w="138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rPr>
                <w:highlight w:val="none"/>
              </w:rP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rPr>
                <w:highlight w:val="none"/>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rPr>
                <w:highlight w:val="none"/>
              </w:rPr>
            </w:r>
          </w:p>
        </w:tc>
        <w:tc>
          <w:tcPr>
            <w:tcW w:w="96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highlight w:val="none"/>
              </w:rPr>
            </w:r>
          </w:p>
        </w:tc>
      </w:tr>
      <w:tr>
        <w:trPr>
          <w:cantSplit/>
          <w:trHeight w:val="294"/>
        </w:trPr>
        <w:tc>
          <w:tcPr>
            <w:tcW w:w="50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rPr>
                <w:highlight w:val="none"/>
              </w:rPr>
            </w:r>
          </w:p>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rPr>
                <w:highlight w:val="none"/>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rPr>
                <w:highlight w:val="none"/>
              </w:rPr>
            </w:r>
          </w:p>
        </w:tc>
        <w:tc>
          <w:tcPr>
            <w:tcW w:w="93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rPr>
                <w:highlight w:val="none"/>
              </w:rPr>
            </w:r>
          </w:p>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rPr>
                <w:highlight w:val="none"/>
              </w:rPr>
            </w:r>
          </w:p>
        </w:tc>
        <w:tc>
          <w:tcPr>
            <w:tcW w:w="98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rPr>
                <w:highlight w:val="none"/>
              </w:rPr>
            </w:r>
          </w:p>
        </w:tc>
        <w:tc>
          <w:tcPr>
            <w:tcW w:w="110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rPr>
                <w:highlight w:val="none"/>
              </w:rPr>
            </w:r>
          </w:p>
        </w:tc>
        <w:tc>
          <w:tcPr>
            <w:tcW w:w="138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rPr>
                <w:highlight w:val="none"/>
              </w:rP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rPr>
                <w:highlight w:val="none"/>
              </w:rPr>
            </w:r>
          </w:p>
        </w:tc>
        <w:tc>
          <w:tcPr>
            <w:tcW w:w="100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rPr>
                <w:highlight w:val="none"/>
              </w:rPr>
            </w:r>
          </w:p>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rPr>
                <w:highlight w:val="none"/>
              </w:rPr>
            </w:r>
          </w:p>
        </w:tc>
        <w:tc>
          <w:tcPr>
            <w:tcW w:w="966"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rPr>
                <w:highlight w:val="none"/>
              </w:rPr>
            </w:r>
          </w:p>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rPr>
                <w:highlight w:val="none"/>
              </w:rPr>
            </w:r>
          </w:p>
        </w:tc>
      </w:tr>
      <w:tr>
        <w:trPr>
          <w:cantSplit/>
          <w:trHeight w:val="696"/>
        </w:trPr>
        <w:tc>
          <w:tcPr>
            <w:tcW w:w="50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highlight w:val="none"/>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3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8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106" w:type="dxa"/>
            <w:vAlign w:val="top"/>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0" w:lineRule="atLeast"/>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合同签订后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rPr>
                <w:highlight w:val="none"/>
              </w:rP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6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r>
        <w:trPr>
          <w:cantSplit/>
          <w:trHeight w:val="724"/>
        </w:trPr>
        <w:tc>
          <w:tcPr>
            <w:tcW w:w="50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highlight w:val="none"/>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3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8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106" w:type="dxa"/>
            <w:vAlign w:val="top"/>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6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r>
        <w:trPr>
          <w:cantSplit/>
          <w:trHeight w:val="640"/>
        </w:trPr>
        <w:tc>
          <w:tcPr>
            <w:tcW w:w="50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highlight w:val="none"/>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3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8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106" w:type="dxa"/>
            <w:vAlign w:val="top"/>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6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r>
        <w:trPr>
          <w:cantSplit/>
          <w:trHeight w:val="580"/>
        </w:trPr>
        <w:tc>
          <w:tcPr>
            <w:tcW w:w="500"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highlight w:val="none"/>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highlight w:val="none"/>
              </w:rPr>
            </w:r>
          </w:p>
        </w:tc>
        <w:tc>
          <w:tcPr>
            <w:tcW w:w="72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3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8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106" w:type="dxa"/>
            <w:vAlign w:val="top"/>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966"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r>
        <w:trPr>
          <w:cantSplit/>
          <w:trHeight w:val="249"/>
        </w:trPr>
        <w:tc>
          <w:tcPr>
            <w:tcW w:w="500"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gridSpan w:val="8"/>
            <w:tcW w:w="7797"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rPr>
                <w:highlight w:val="none"/>
              </w:rPr>
            </w:r>
          </w:p>
        </w:tc>
        <w:tc>
          <w:tcPr>
            <w:tcW w:w="966" w:type="dxa"/>
            <w:vAlign w:val="top"/>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highlight w:val="none"/>
        </w:rPr>
      </w:r>
    </w:p>
    <w:p>
      <w:pPr>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1.投标报价</w:t>
      </w:r>
      <w:r>
        <w:rPr>
          <w:rFonts w:hint="eastAsia" w:ascii="宋体" w:hAnsi="宋体"/>
          <w:color w:val="000000" w:themeColor="text1"/>
          <w:sz w:val="24"/>
          <w:szCs w:val="21"/>
          <w:highlight w:val="none"/>
          <w14:textFill>
            <w14:solidFill>
              <w14:schemeClr w14:val="tx1"/>
            </w14:solidFill>
          </w14:textFill>
        </w:rPr>
        <w:t xml:space="preserve">采用总承包方式，“投标总报价”应包括所投货物（包含与货物相关的服务）费用、安装调试费、测试验收费、培训费、运行维护费用、税金、国际（如果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）国内运输保险、报关清关（如果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）、开证（如果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）、办理全套免税手续费用（如果</w:t>
      </w:r>
      <w:r>
        <w:rPr>
          <w:rFonts w:ascii="宋体" w:hAnsi="宋体"/>
          <w:color w:val="000000" w:themeColor="text1"/>
          <w:sz w:val="24"/>
          <w:szCs w:val="21"/>
          <w:highlight w:val="none"/>
          <w14:textFill>
            <w14:solidFill>
              <w14:schemeClr w14:val="tx1"/>
            </w14:solidFill>
          </w14:textFill>
        </w:rPr>
        <w:t xml:space="preserve">有</w:t>
      </w:r>
      <w:r>
        <w:rPr>
          <w:rFonts w:hint="eastAsia" w:ascii="宋体" w:hAnsi="宋体"/>
          <w:color w:val="000000" w:themeColor="text1"/>
          <w:sz w:val="24"/>
          <w:szCs w:val="21"/>
          <w:highlight w:val="none"/>
          <w14:textFill>
            <w14:solidFill>
              <w14:schemeClr w14:val="tx1"/>
            </w14:solidFill>
          </w14:textFill>
        </w:rPr>
        <w:t xml:space="preserve">）及其他有关的为完成本项目发生的所有费用，招标文件中另有规定的除外。</w:t>
      </w:r>
      <w:r>
        <w:rPr>
          <w:highlight w:val="none"/>
        </w:rPr>
      </w:r>
    </w:p>
    <w:p>
      <w:pPr>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投标分项报价表</w:t>
      </w: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中“投标总报价”数额应当与“开标一览表”中“投标总报价”数额一致。</w:t>
      </w:r>
      <w:r>
        <w:rPr>
          <w:highlight w:val="none"/>
        </w:rPr>
      </w:r>
    </w:p>
    <w:p>
      <w:pPr>
        <w:spacing w:line="400" w:lineRule="exact"/>
        <w:rPr>
          <w:rFonts w:hint="eastAsia" w:ascii="方正黑体_GBK" w:hAnsi="宋体" w:eastAsia="方正黑体_GBK"/>
          <w:b/>
          <w:color w:val="000000" w:themeColor="text1"/>
          <w:sz w:val="32"/>
          <w:szCs w:val="32"/>
          <w:highlight w:val="none"/>
          <w14:textFill>
            <w14:solidFill>
              <w14:schemeClr w14:val="tx1"/>
            </w14:solidFill>
          </w14:textFill>
        </w:rPr>
      </w:pPr>
      <w:r>
        <w:rPr>
          <w:rFonts w:hint="eastAsia" w:ascii="方正黑体_GBK" w:hAnsi="宋体" w:eastAsia="方正黑体_GBK"/>
          <w:b/>
          <w:color w:val="000000" w:themeColor="text1"/>
          <w:sz w:val="32"/>
          <w:szCs w:val="32"/>
          <w:highlight w:val="none"/>
          <w14:textFill>
            <w14:solidFill>
              <w14:schemeClr w14:val="tx1"/>
            </w14:solidFill>
          </w14:textFill>
        </w:rPr>
        <w:t xml:space="preserve">3.投标人需认真填写本报价表，尤其注意规格型号的准确填写。</w:t>
      </w:r>
      <w:r>
        <w:rPr>
          <w:highlight w:val="none"/>
        </w:rP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4.项目</w:t>
      </w:r>
      <w:r>
        <w:rPr>
          <w:rFonts w:ascii="宋体" w:hAnsi="宋体"/>
          <w:color w:val="000000" w:themeColor="text1"/>
          <w:sz w:val="24"/>
          <w:szCs w:val="21"/>
          <w:highlight w:val="none"/>
          <w14:textFill>
            <w14:solidFill>
              <w14:schemeClr w14:val="tx1"/>
            </w14:solidFill>
          </w14:textFill>
        </w:rPr>
        <w:t xml:space="preserve">经办人可以根据</w:t>
      </w:r>
      <w:r>
        <w:rPr>
          <w:rFonts w:hint="eastAsia" w:ascii="宋体" w:hAnsi="宋体"/>
          <w:color w:val="000000" w:themeColor="text1"/>
          <w:sz w:val="24"/>
          <w:szCs w:val="21"/>
          <w:highlight w:val="none"/>
          <w14:textFill>
            <w14:solidFill>
              <w14:schemeClr w14:val="tx1"/>
            </w14:solidFill>
          </w14:textFill>
        </w:rPr>
        <w:t xml:space="preserve">项目</w:t>
      </w:r>
      <w:r>
        <w:rPr>
          <w:rFonts w:ascii="宋体" w:hAnsi="宋体"/>
          <w:color w:val="000000" w:themeColor="text1"/>
          <w:sz w:val="24"/>
          <w:szCs w:val="21"/>
          <w:highlight w:val="none"/>
          <w14:textFill>
            <w14:solidFill>
              <w14:schemeClr w14:val="tx1"/>
            </w14:solidFill>
          </w14:textFill>
        </w:rPr>
        <w:t xml:space="preserve">实际需要</w:t>
      </w:r>
      <w:r>
        <w:rPr>
          <w:rFonts w:hint="eastAsia" w:ascii="宋体" w:hAnsi="宋体"/>
          <w:color w:val="000000" w:themeColor="text1"/>
          <w:sz w:val="24"/>
          <w:szCs w:val="21"/>
          <w:highlight w:val="none"/>
          <w14:textFill>
            <w14:solidFill>
              <w14:schemeClr w14:val="tx1"/>
            </w14:solidFill>
          </w14:textFill>
        </w:rPr>
        <w:t xml:space="preserve">对</w:t>
      </w:r>
      <w:r>
        <w:rPr>
          <w:rFonts w:ascii="宋体" w:hAnsi="宋体"/>
          <w:color w:val="000000" w:themeColor="text1"/>
          <w:sz w:val="24"/>
          <w:szCs w:val="21"/>
          <w:highlight w:val="none"/>
          <w14:textFill>
            <w14:solidFill>
              <w14:schemeClr w14:val="tx1"/>
            </w14:solidFill>
          </w14:textFill>
        </w:rPr>
        <w:t xml:space="preserve">表格结构进行</w:t>
      </w:r>
      <w:r>
        <w:rPr>
          <w:rFonts w:hint="eastAsia" w:ascii="宋体" w:hAnsi="宋体"/>
          <w:color w:val="000000" w:themeColor="text1"/>
          <w:sz w:val="24"/>
          <w:szCs w:val="21"/>
          <w:highlight w:val="none"/>
          <w14:textFill>
            <w14:solidFill>
              <w14:schemeClr w14:val="tx1"/>
            </w14:solidFill>
          </w14:textFill>
        </w:rPr>
        <w:t xml:space="preserve">调整</w:t>
      </w:r>
      <w:r>
        <w:rPr>
          <w:rFonts w:ascii="宋体" w:hAnsi="宋体"/>
          <w:color w:val="000000" w:themeColor="text1"/>
          <w:sz w:val="24"/>
          <w:szCs w:val="21"/>
          <w:highlight w:val="none"/>
          <w14:textFill>
            <w14:solidFill>
              <w14:schemeClr w14:val="tx1"/>
            </w14:solidFill>
          </w14:textFill>
        </w:rPr>
        <w:t xml:space="preserve">。</w:t>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rPr>
          <w:highlight w:val="none"/>
        </w:rPr>
      </w:r>
    </w:p>
    <w:p>
      <w:pP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rPr>
          <w:highlight w:val="none"/>
        </w:rP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3 </w:t>
      </w:r>
      <w:r>
        <w:rPr>
          <w:rFonts w:hint="eastAsia" w:ascii="宋体" w:hAnsi="宋体"/>
          <w:b/>
          <w:color w:val="000000" w:themeColor="text1"/>
          <w:sz w:val="24"/>
          <w:szCs w:val="24"/>
          <w:highlight w:val="none"/>
          <w:lang w:val="en-US" w:eastAsia="zh-CN"/>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 xml:space="preserve">技术要求响应及偏离表（采购包号：**）</w:t>
      </w:r>
      <w:r>
        <w:rPr>
          <w:highlight w:val="none"/>
        </w:rP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rPr>
                <w:highlight w:val="none"/>
              </w:rPr>
            </w:r>
          </w:p>
        </w:tc>
        <w:tc>
          <w:tcPr>
            <w:tcW w:w="3063"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技术要求</w:t>
            </w:r>
            <w:r>
              <w:rPr>
                <w:highlight w:val="none"/>
              </w:rPr>
            </w:r>
          </w:p>
        </w:tc>
        <w:tc>
          <w:tcPr>
            <w:tcW w:w="3191"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rPr>
                <w:highlight w:val="none"/>
              </w:rPr>
            </w:r>
          </w:p>
        </w:tc>
        <w:tc>
          <w:tcPr>
            <w:tcW w:w="2128"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rPr>
                <w:highlight w:val="none"/>
              </w:rP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p>
        </w:tc>
        <w:tc>
          <w:tcPr>
            <w:tcW w:w="3063"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3191"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2128"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3063"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highlight w:val="none"/>
              </w:rPr>
            </w:r>
          </w:p>
        </w:tc>
        <w:tc>
          <w:tcPr>
            <w:tcW w:w="3191"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2128"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bl>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-1  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1.投标人需</w:t>
      </w:r>
      <w:r>
        <w:rPr>
          <w:rFonts w:ascii="宋体" w:hAnsi="宋体"/>
          <w:color w:val="000000" w:themeColor="text1"/>
          <w:sz w:val="24"/>
          <w:szCs w:val="24"/>
          <w:highlight w:val="none"/>
          <w14:textFill>
            <w14:solidFill>
              <w14:schemeClr w14:val="tx1"/>
            </w14:solidFill>
          </w14:textFill>
        </w:rPr>
        <w:t xml:space="preserve">对技术</w:t>
      </w:r>
      <w:r>
        <w:rPr>
          <w:rFonts w:hint="eastAsia" w:ascii="宋体" w:hAnsi="宋体"/>
          <w:color w:val="000000" w:themeColor="text1"/>
          <w:sz w:val="24"/>
          <w:szCs w:val="24"/>
          <w:highlight w:val="none"/>
          <w14:textFill>
            <w14:solidFill>
              <w14:schemeClr w14:val="tx1"/>
            </w14:solidFill>
          </w14:textFill>
        </w:rPr>
        <w:t xml:space="preserve">要求（未加斜体</w:t>
      </w:r>
      <w:r>
        <w:rPr>
          <w:rFonts w:ascii="宋体" w:hAnsi="宋体"/>
          <w:color w:val="000000" w:themeColor="text1"/>
          <w:sz w:val="24"/>
          <w:szCs w:val="24"/>
          <w:highlight w:val="none"/>
          <w14:textFill>
            <w14:solidFill>
              <w14:schemeClr w14:val="tx1"/>
            </w14:solidFill>
          </w14:textFill>
        </w:rPr>
        <w:t xml:space="preserve">下划线的</w:t>
      </w:r>
      <w:r>
        <w:rPr>
          <w:rFonts w:hint="eastAsia" w:ascii="宋体" w:hAnsi="宋体"/>
          <w:color w:val="000000" w:themeColor="text1"/>
          <w:sz w:val="24"/>
          <w:szCs w:val="24"/>
          <w:highlight w:val="none"/>
          <w14:textFill>
            <w14:solidFill>
              <w14:schemeClr w14:val="tx1"/>
            </w14:solidFill>
          </w14:textFill>
        </w:rPr>
        <w:t xml:space="preserve">非</w:t>
      </w:r>
      <w:r>
        <w:rPr>
          <w:rFonts w:ascii="宋体" w:hAnsi="宋体"/>
          <w:color w:val="000000" w:themeColor="text1"/>
          <w:sz w:val="24"/>
          <w:szCs w:val="24"/>
          <w:highlight w:val="none"/>
          <w14:textFill>
            <w14:solidFill>
              <w14:schemeClr w14:val="tx1"/>
            </w14:solidFill>
          </w14:textFill>
        </w:rPr>
        <w:t xml:space="preserve">实质性</w:t>
      </w:r>
      <w:r>
        <w:rPr>
          <w:rFonts w:hint="eastAsia" w:ascii="宋体" w:hAnsi="宋体"/>
          <w:color w:val="000000" w:themeColor="text1"/>
          <w:sz w:val="24"/>
          <w:szCs w:val="24"/>
          <w:highlight w:val="none"/>
          <w14:textFill>
            <w14:solidFill>
              <w14:schemeClr w14:val="tx1"/>
            </w14:solidFill>
          </w14:textFill>
        </w:rPr>
        <w:t xml:space="preserve">要求）</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需</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rPr>
          <w:highlight w:val="none"/>
        </w:rP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rPr>
          <w:highlight w:val="none"/>
        </w:rP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4 </w:t>
      </w:r>
      <w:r>
        <w:rPr>
          <w:rFonts w:hint="eastAsia" w:ascii="宋体" w:hAnsi="宋体"/>
          <w:b/>
          <w:color w:val="000000" w:themeColor="text1"/>
          <w:sz w:val="24"/>
          <w:szCs w:val="24"/>
          <w:highlight w:val="none"/>
          <w14:textFill>
            <w14:solidFill>
              <w14:schemeClr w14:val="tx1"/>
            </w14:solidFill>
          </w14:textFill>
        </w:rPr>
        <w:t xml:space="preserve">商务要求响应及偏离表（采购包号：**）</w:t>
      </w:r>
      <w:r>
        <w:rPr>
          <w:highlight w:val="none"/>
        </w:rP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rPr>
                <w:highlight w:val="none"/>
              </w:rPr>
            </w:r>
          </w:p>
        </w:tc>
        <w:tc>
          <w:tcPr>
            <w:tcW w:w="3063"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商务要求</w:t>
            </w:r>
            <w:r>
              <w:rPr>
                <w:highlight w:val="none"/>
              </w:rPr>
            </w:r>
          </w:p>
        </w:tc>
        <w:tc>
          <w:tcPr>
            <w:tcW w:w="3191"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rPr>
                <w:highlight w:val="none"/>
              </w:rPr>
            </w:r>
          </w:p>
        </w:tc>
        <w:tc>
          <w:tcPr>
            <w:tcW w:w="2128"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rPr>
                <w:highlight w:val="none"/>
              </w:rP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p>
        </w:tc>
        <w:tc>
          <w:tcPr>
            <w:tcW w:w="3063"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3191"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2128"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3063"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highlight w:val="none"/>
              </w:rPr>
            </w:r>
          </w:p>
        </w:tc>
        <w:tc>
          <w:tcPr>
            <w:tcW w:w="3191"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2128"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bl>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  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1.投标人需</w:t>
      </w:r>
      <w:r>
        <w:rPr>
          <w:rFonts w:ascii="宋体" w:hAnsi="宋体"/>
          <w:color w:val="000000" w:themeColor="text1"/>
          <w:sz w:val="24"/>
          <w:szCs w:val="24"/>
          <w:highlight w:val="none"/>
          <w14:textFill>
            <w14:solidFill>
              <w14:schemeClr w14:val="tx1"/>
            </w14:solidFill>
          </w14:textFill>
        </w:rPr>
        <w:t xml:space="preserve">对</w:t>
      </w:r>
      <w:r>
        <w:rPr>
          <w:rFonts w:hint="eastAsia" w:ascii="宋体" w:hAnsi="宋体"/>
          <w:color w:val="000000" w:themeColor="text1"/>
          <w:sz w:val="24"/>
          <w:szCs w:val="24"/>
          <w:highlight w:val="none"/>
          <w14:textFill>
            <w14:solidFill>
              <w14:schemeClr w14:val="tx1"/>
            </w14:solidFill>
          </w14:textFill>
        </w:rPr>
        <w:t xml:space="preserve">商务要求（未加斜体</w:t>
      </w:r>
      <w:r>
        <w:rPr>
          <w:rFonts w:ascii="宋体" w:hAnsi="宋体"/>
          <w:color w:val="000000" w:themeColor="text1"/>
          <w:sz w:val="24"/>
          <w:szCs w:val="24"/>
          <w:highlight w:val="none"/>
          <w14:textFill>
            <w14:solidFill>
              <w14:schemeClr w14:val="tx1"/>
            </w14:solidFill>
          </w14:textFill>
        </w:rPr>
        <w:t xml:space="preserve">下划线的</w:t>
      </w:r>
      <w:r>
        <w:rPr>
          <w:rFonts w:hint="eastAsia" w:ascii="宋体" w:hAnsi="宋体"/>
          <w:color w:val="000000" w:themeColor="text1"/>
          <w:sz w:val="24"/>
          <w:szCs w:val="24"/>
          <w:highlight w:val="none"/>
          <w14:textFill>
            <w14:solidFill>
              <w14:schemeClr w14:val="tx1"/>
            </w14:solidFill>
          </w14:textFill>
        </w:rPr>
        <w:t xml:space="preserve">非</w:t>
      </w:r>
      <w:r>
        <w:rPr>
          <w:rFonts w:ascii="宋体" w:hAnsi="宋体"/>
          <w:color w:val="000000" w:themeColor="text1"/>
          <w:sz w:val="24"/>
          <w:szCs w:val="24"/>
          <w:highlight w:val="none"/>
          <w14:textFill>
            <w14:solidFill>
              <w14:schemeClr w14:val="tx1"/>
            </w14:solidFill>
          </w14:textFill>
        </w:rPr>
        <w:t xml:space="preserve">实质性</w:t>
      </w:r>
      <w:r>
        <w:rPr>
          <w:rFonts w:hint="eastAsia" w:ascii="宋体" w:hAnsi="宋体"/>
          <w:color w:val="000000" w:themeColor="text1"/>
          <w:sz w:val="24"/>
          <w:szCs w:val="24"/>
          <w:highlight w:val="none"/>
          <w14:textFill>
            <w14:solidFill>
              <w14:schemeClr w14:val="tx1"/>
            </w14:solidFill>
          </w14:textFill>
        </w:rPr>
        <w:t xml:space="preserve">要求）</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需</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rPr>
          <w:highlight w:val="none"/>
        </w:rPr>
      </w:r>
    </w:p>
    <w:p>
      <w:pPr>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br w:type="page" w:clear="all"/>
      </w:r>
      <w:r>
        <w:rPr>
          <w:highlight w:val="none"/>
        </w:rPr>
      </w:r>
    </w:p>
    <w:p>
      <w:pPr>
        <w:ind w:left="480"/>
        <w:jc w:val="center"/>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5</w:t>
      </w:r>
      <w:r>
        <w:rPr>
          <w:rFonts w:hint="eastAsia" w:ascii="宋体" w:hAnsi="宋体"/>
          <w:b/>
          <w:color w:val="000000" w:themeColor="text1"/>
          <w:sz w:val="24"/>
          <w:szCs w:val="21"/>
          <w:highlight w:val="none"/>
          <w14:textFill>
            <w14:solidFill>
              <w14:schemeClr w14:val="tx1"/>
            </w14:solidFill>
          </w14:textFill>
        </w:rPr>
        <w:t xml:space="preserve"> </w:t>
      </w:r>
      <w:r>
        <w:rPr>
          <w:rFonts w:hint="eastAsia" w:ascii="宋体" w:hAnsi="宋体"/>
          <w:b/>
          <w:color w:val="000000" w:themeColor="text1"/>
          <w:sz w:val="24"/>
          <w:szCs w:val="21"/>
          <w:highlight w:val="none"/>
          <w:lang w:val="en-US" w:eastAsia="zh-CN"/>
          <w14:textFill>
            <w14:solidFill>
              <w14:schemeClr w14:val="tx1"/>
            </w14:solidFill>
          </w14:textFill>
        </w:rPr>
        <w:t xml:space="preserve"> </w:t>
      </w:r>
      <w:r>
        <w:rPr>
          <w:rFonts w:hint="eastAsia" w:ascii="宋体" w:hAnsi="宋体"/>
          <w:b/>
          <w:color w:val="000000" w:themeColor="text1"/>
          <w:sz w:val="24"/>
          <w:szCs w:val="21"/>
          <w:highlight w:val="none"/>
          <w14:textFill>
            <w14:solidFill>
              <w14:schemeClr w14:val="tx1"/>
            </w14:solidFill>
          </w14:textFill>
        </w:rPr>
        <w:t xml:space="preserve">具备履行合同所必需的设备和专业技术能力的书面声明</w:t>
      </w:r>
      <w:r>
        <w:rPr>
          <w:highlight w:val="none"/>
        </w:rP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rPr>
          <w:highlight w:val="none"/>
        </w:rP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主要设备有：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w:t>
      </w:r>
      <w:r>
        <w:rPr>
          <w:highlight w:val="none"/>
        </w:rPr>
      </w:r>
    </w:p>
    <w:p>
      <w:pPr>
        <w:ind w:firstLine="492"/>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主要专业技术能力有：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w:t>
      </w:r>
      <w:r>
        <w:rPr>
          <w:highlight w:val="none"/>
        </w:rPr>
      </w:r>
    </w:p>
    <w:p>
      <w:pP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w:t>
      </w:r>
      <w:r>
        <w:rPr>
          <w:highlight w:val="none"/>
        </w:rPr>
      </w:r>
    </w:p>
    <w:p>
      <w:pPr>
        <w:ind w:left="480"/>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br w:type="page" w:clear="all"/>
      </w:r>
      <w:r>
        <w:rPr>
          <w:highlight w:val="none"/>
        </w:rPr>
      </w:r>
    </w:p>
    <w:p>
      <w:pPr>
        <w:ind w:left="480"/>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6 </w:t>
      </w:r>
      <w:r>
        <w:rPr>
          <w:rFonts w:hint="eastAsia" w:ascii="宋体" w:hAnsi="宋体"/>
          <w:b/>
          <w:color w:val="000000" w:themeColor="text1"/>
          <w:sz w:val="24"/>
          <w:szCs w:val="21"/>
          <w:highlight w:val="none"/>
          <w14:textFill>
            <w14:solidFill>
              <w14:schemeClr w14:val="tx1"/>
            </w14:solidFill>
          </w14:textFill>
        </w:rPr>
        <w:t xml:space="preserve">参加政府采购活动前 3 年内在经营活动中没有重大违法记录的书面声明</w:t>
      </w:r>
      <w:r>
        <w:rPr>
          <w:highlight w:val="none"/>
        </w:rPr>
      </w:r>
    </w:p>
    <w:p>
      <w:pPr>
        <w:jc w:val="center"/>
        <w:spacing w:line="460" w:lineRule="exact"/>
        <w:rPr>
          <w:rFonts w:ascii="宋体" w:hAnsi="宋体"/>
          <w:b/>
          <w:bCs/>
          <w:color w:val="000000" w:themeColor="text1"/>
          <w:sz w:val="24"/>
          <w:szCs w:val="21"/>
          <w:highlight w:val="none"/>
          <w14:textFill>
            <w14:solidFill>
              <w14:schemeClr w14:val="tx1"/>
            </w14:solidFill>
          </w14:textFill>
        </w:rPr>
      </w:pPr>
      <w:r>
        <w:rPr>
          <w:rFonts w:ascii="宋体" w:hAnsi="宋体"/>
          <w:b/>
          <w:bCs/>
          <w:color w:val="000000" w:themeColor="text1"/>
          <w:sz w:val="24"/>
          <w:szCs w:val="21"/>
          <w:highlight w:val="none"/>
          <w14:textFill>
            <w14:solidFill>
              <w14:schemeClr w14:val="tx1"/>
            </w14:solidFill>
          </w14:textFill>
        </w:rPr>
      </w:r>
      <w:r>
        <w:rPr>
          <w:highlight w:val="none"/>
        </w:rPr>
      </w:r>
    </w:p>
    <w:p>
      <w:pPr>
        <w:ind w:firstLine="480"/>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bookmarkEnd w:id="187"/>
      <w:r>
        <w:rPr>
          <w:highlight w:val="none"/>
        </w:rPr>
      </w:r>
      <w:bookmarkEnd w:id="188"/>
      <w:r>
        <w:rPr>
          <w:highlight w:val="none"/>
        </w:rPr>
      </w:r>
      <w:bookmarkEnd w:id="189"/>
      <w:r>
        <w:rPr>
          <w:highlight w:val="none"/>
        </w:rPr>
      </w:r>
      <w:bookmarkStart w:id="190" w:name="_Toc120614284"/>
      <w:r>
        <w:rPr>
          <w:highlight w:val="none"/>
        </w:rPr>
      </w:r>
      <w:r>
        <w:rPr>
          <w:highlight w:val="none"/>
        </w:rPr>
      </w:r>
    </w:p>
    <w:p>
      <w:pPr>
        <w:spacing w:line="460" w:lineRule="exact"/>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r>
      <w:r>
        <w:rPr>
          <w:highlight w:val="none"/>
        </w:rPr>
      </w:r>
    </w:p>
    <w:p>
      <w:pPr>
        <w:ind w:firstLine="480"/>
        <w:spacing w:line="4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br w:type="page" w:clear="all"/>
      </w:r>
      <w:r>
        <w:rPr>
          <w:highlight w:val="none"/>
        </w:rPr>
      </w:r>
    </w:p>
    <w:p>
      <w:pPr>
        <w:ind w:firstLine="480"/>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7</w:t>
      </w:r>
      <w:r>
        <w:rPr>
          <w:rFonts w:hint="eastAsia" w:ascii="宋体" w:hAnsi="宋体"/>
          <w:b/>
          <w:color w:val="000000" w:themeColor="text1"/>
          <w:sz w:val="24"/>
          <w:szCs w:val="21"/>
          <w:highlight w:val="none"/>
          <w14:textFill>
            <w14:solidFill>
              <w14:schemeClr w14:val="tx1"/>
            </w14:solidFill>
          </w14:textFill>
        </w:rPr>
        <w:t xml:space="preserve"> </w:t>
      </w:r>
      <w:r>
        <w:rPr>
          <w:rFonts w:ascii="宋体" w:hAnsi="宋体"/>
          <w:b/>
          <w:color w:val="000000" w:themeColor="text1"/>
          <w:sz w:val="24"/>
          <w:szCs w:val="21"/>
          <w:highlight w:val="none"/>
          <w14:textFill>
            <w14:solidFill>
              <w14:schemeClr w14:val="tx1"/>
            </w14:solidFill>
          </w14:textFill>
        </w:rPr>
        <w:t xml:space="preserve">                        </w:t>
      </w:r>
      <w:r>
        <w:rPr>
          <w:rFonts w:hint="eastAsia" w:ascii="宋体" w:hAnsi="宋体"/>
          <w:b/>
          <w:color w:val="000000" w:themeColor="text1"/>
          <w:sz w:val="24"/>
          <w:szCs w:val="21"/>
          <w:highlight w:val="none"/>
          <w14:textFill>
            <w14:solidFill>
              <w14:schemeClr w14:val="tx1"/>
            </w14:solidFill>
          </w14:textFill>
        </w:rPr>
        <w:t xml:space="preserve">法人授权书</w:t>
      </w:r>
      <w:r>
        <w:rPr>
          <w:highlight w:val="none"/>
        </w:rPr>
      </w:r>
    </w:p>
    <w:p>
      <w:pPr>
        <w:ind w:firstLine="480"/>
        <w:spacing w:line="400" w:lineRule="exact"/>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本授权书声明：____________（投标人名称）授权________________（被授权人的姓名）为我方就JSZC-</w:t>
      </w:r>
      <w:r>
        <w:rPr>
          <w:rFonts w:ascii="Times New Roman" w:hAnsi="Times New Roman"/>
          <w:color w:val="000000" w:themeColor="text1"/>
          <w:sz w:val="24"/>
          <w:szCs w:val="24"/>
          <w:highlight w:val="none"/>
          <w14:textFill>
            <w14:solidFill>
              <w14:schemeClr w14:val="tx1"/>
            </w14:solidFill>
          </w14:textFill>
        </w:rPr>
        <w:t xml:space="preserve">320000-</w:t>
      </w:r>
      <w:r>
        <w:rPr>
          <w:rFonts w:ascii="Times New Roman" w:hAnsi="Times New Roman"/>
          <w:color w:val="000000" w:themeColor="text1"/>
          <w:sz w:val="24"/>
          <w:szCs w:val="24"/>
          <w:highlight w:val="none"/>
          <w:u w:val="single"/>
          <w14:textFill>
            <w14:solidFill>
              <w14:schemeClr w14:val="tx1"/>
            </w14:solidFill>
          </w14:textFill>
        </w:rPr>
        <w:t xml:space="preserve">***</w:t>
      </w:r>
      <w:r>
        <w:rPr>
          <w:rFonts w:hint="eastAsia" w:ascii="Times New Roman" w:hAnsi="Times New Roman"/>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rPr>
          <w:highlight w:val="none"/>
        </w:rPr>
      </w:r>
    </w:p>
    <w:p>
      <w:pPr>
        <w:ind w:firstLine="480"/>
        <w:spacing w:line="400" w:lineRule="exact"/>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本授权书于______年____月____日起生效，特此声明。</w:t>
      </w:r>
      <w:r>
        <w:rPr>
          <w:highlight w:val="none"/>
        </w:rPr>
      </w:r>
    </w:p>
    <w:p>
      <w:pPr>
        <w:spacing w:line="400" w:lineRule="exact"/>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被授权人身份证号码：</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highlight w:val="none"/>
        </w:rPr>
      </w:r>
    </w:p>
    <w:p>
      <w:pPr>
        <w:spacing w:line="400" w:lineRule="exact"/>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被授权人联系电话：（手机）</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highlight w:val="none"/>
        </w:rPr>
      </w:r>
    </w:p>
    <w:p>
      <w:pPr>
        <w:ind w:firstLine="1200"/>
        <w:spacing w:line="400" w:lineRule="exact"/>
        <w:tabs>
          <w:tab w:val="left" w:pos="360" w:leader="none"/>
        </w:tabs>
        <w:rPr>
          <w:rFonts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被授权人电子邮箱：</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highlight w:val="none"/>
        </w:rPr>
      </w:r>
    </w:p>
    <w:p>
      <w:pPr>
        <w:ind w:firstLine="1200"/>
        <w:spacing w:line="400" w:lineRule="exact"/>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授权单位名称：</w:t>
      </w:r>
      <w:r>
        <w:rPr>
          <w:rFonts w:hint="eastAsia" w:ascii="Times New Roman" w:hAnsi="Times New Roman"/>
          <w:color w:val="000000" w:themeColor="text1"/>
          <w:sz w:val="24"/>
          <w:szCs w:val="24"/>
          <w:highlight w:val="none"/>
          <w:u w:val="single"/>
          <w14:textFill>
            <w14:solidFill>
              <w14:schemeClr w14:val="tx1"/>
            </w14:solidFill>
          </w14:textFill>
        </w:rPr>
        <w:t xml:space="preserve">（加盖CA电子公章）</w:t>
      </w:r>
      <w:r>
        <w:rPr>
          <w:highlight w:val="none"/>
        </w:rPr>
      </w:r>
    </w:p>
    <w:p>
      <w:pPr>
        <w:ind w:firstLine="480"/>
        <w:spacing w:line="400" w:lineRule="exact"/>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单位地址：</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highlight w:val="none"/>
        </w:rPr>
      </w:r>
    </w:p>
    <w:p>
      <w:pPr>
        <w:ind w:firstLine="480"/>
        <w:spacing w:line="400" w:lineRule="exact"/>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日期：</w:t>
      </w:r>
      <w:bookmarkStart w:id="191" w:name="_Hlt26955070"/>
      <w:r>
        <w:rPr>
          <w:highlight w:val="none"/>
        </w:rPr>
      </w:r>
      <w:bookmarkEnd w:id="191"/>
      <w:r>
        <w:rPr>
          <w:highlight w:val="none"/>
        </w:rPr>
      </w:r>
      <w:bookmarkStart w:id="192" w:name="_格式3__银行出具的资信证明"/>
      <w:r>
        <w:rPr>
          <w:highlight w:val="none"/>
        </w:rPr>
      </w:r>
      <w:bookmarkEnd w:id="192"/>
      <w:r>
        <w:rPr>
          <w:highlight w:val="none"/>
        </w:rPr>
      </w:r>
      <w:bookmarkStart w:id="193" w:name="_Hlt26671380"/>
      <w:r>
        <w:rPr>
          <w:highlight w:val="none"/>
        </w:rPr>
      </w:r>
      <w:bookmarkEnd w:id="193"/>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highlight w:val="none"/>
        </w:rPr>
      </w:r>
    </w:p>
    <w:p>
      <w:pPr>
        <w:ind w:firstLine="360"/>
        <w:spacing w:line="40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rPr>
          <w:highlight w:val="none"/>
        </w:rPr>
      </w:r>
    </w:p>
    <w:p>
      <w:pPr>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br w:type="page" w:clear="all"/>
      </w:r>
      <w:r>
        <w:rPr>
          <w:highlight w:val="none"/>
        </w:rPr>
      </w:r>
    </w:p>
    <w:p>
      <w:pPr>
        <w:keepLines/>
        <w:keepNext/>
        <w:spacing w:before="260" w:after="260" w:line="416" w:lineRule="auto"/>
        <w:rPr>
          <w:rFonts w:ascii="黑体" w:hAnsi="黑体" w:eastAsia="黑体"/>
          <w:b/>
          <w:i/>
          <w:color w:val="000000" w:themeColor="text1"/>
          <w:sz w:val="32"/>
          <w:szCs w:val="32"/>
          <w:highlight w:val="none"/>
          <w:u w:val="single"/>
          <w14:textFill>
            <w14:solidFill>
              <w14:schemeClr w14:val="tx1"/>
            </w14:solidFill>
          </w14:textFill>
        </w:rPr>
        <w:outlineLvl w:val="1"/>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8                            </w:t>
      </w:r>
      <w:r>
        <w:rPr>
          <w:rFonts w:hint="eastAsia" w:ascii="宋体" w:hAnsi="宋体"/>
          <w:b/>
          <w:color w:val="000000" w:themeColor="text1"/>
          <w:sz w:val="24"/>
          <w:szCs w:val="21"/>
          <w:highlight w:val="none"/>
          <w14:textFill>
            <w14:solidFill>
              <w14:schemeClr w14:val="tx1"/>
            </w14:solidFill>
          </w14:textFill>
        </w:rPr>
        <w:t xml:space="preserve">投标函</w:t>
      </w:r>
      <w:r>
        <w:rPr>
          <w:highlight w:val="none"/>
        </w:rPr>
      </w:r>
    </w:p>
    <w:p>
      <w:pPr>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致：江苏省政府采购中心</w:t>
      </w:r>
      <w:r>
        <w:rPr>
          <w:highlight w:val="none"/>
        </w:rP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根据贵方的JSZC-</w:t>
      </w:r>
      <w:r>
        <w:rPr>
          <w:rFonts w:ascii="宋体" w:hAnsi="宋体"/>
          <w:color w:val="000000" w:themeColor="text1"/>
          <w:sz w:val="24"/>
          <w:szCs w:val="21"/>
          <w:highlight w:val="none"/>
          <w14:textFill>
            <w14:solidFill>
              <w14:schemeClr w14:val="tx1"/>
            </w14:solidFill>
          </w14:textFill>
        </w:rPr>
        <w:t xml:space="preserve">320000-</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号招标文件，正式授权下述签字人_____(姓名)代表我方_______（投标人的名称），全权处理本次项目投标的有关事宜。</w:t>
      </w:r>
      <w:r>
        <w:rPr>
          <w:highlight w:val="none"/>
        </w:rP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rPr>
          <w:highlight w:val="none"/>
        </w:rP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rPr>
          <w:highlight w:val="none"/>
        </w:rP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rPr>
          <w:highlight w:val="none"/>
        </w:rP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rPr>
          <w:highlight w:val="none"/>
        </w:rP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rPr>
          <w:highlight w:val="none"/>
        </w:rP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rPr>
          <w:highlight w:val="none"/>
        </w:rP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rPr>
          <w:highlight w:val="none"/>
        </w:rPr>
      </w:r>
    </w:p>
    <w:p>
      <w:pPr>
        <w:ind w:left="425"/>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rPr>
          <w:highlight w:val="none"/>
        </w:rP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rPr>
          <w:highlight w:val="none"/>
        </w:rP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rPr>
          <w:highlight w:val="none"/>
        </w:rP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rPr>
          <w:highlight w:val="none"/>
        </w:rP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rPr>
          <w:highlight w:val="none"/>
        </w:rP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rPr>
          <w:highlight w:val="none"/>
        </w:rP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rPr>
          <w:highlight w:val="none"/>
        </w:rP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期：________年____月____日</w:t>
      </w:r>
      <w:r>
        <w:rPr>
          <w:highlight w:val="none"/>
        </w:rP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rPr>
          <w:highlight w:val="none"/>
        </w:rP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rPr>
          <w:highlight w:val="none"/>
        </w:rP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rPr>
          <w:highlight w:val="none"/>
        </w:rPr>
      </w:r>
    </w:p>
    <w:p>
      <w:pPr>
        <w:ind w:firstLine="240"/>
        <w:jc w:val="center"/>
        <w:spacing w:line="5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rPr>
          <w:highlight w:val="none"/>
        </w:rPr>
      </w:r>
    </w:p>
    <w:p>
      <w:pPr>
        <w:ind w:firstLine="240"/>
        <w:jc w:val="center"/>
        <w:spacing w:line="5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rPr>
          <w:highlight w:val="none"/>
        </w:rPr>
      </w:r>
    </w:p>
    <w:p>
      <w:pPr>
        <w:ind w:firstLine="240"/>
        <w:jc w:val="center"/>
        <w:spacing w:line="560" w:lineRule="exact"/>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r>
      <w:r>
        <w:rPr>
          <w:highlight w:val="none"/>
        </w:rPr>
      </w:r>
    </w:p>
    <w:p>
      <w:pPr>
        <w:ind w:firstLine="240"/>
        <w:jc w:val="center"/>
        <w:spacing w:line="560" w:lineRule="exact"/>
        <w:rPr>
          <w:rFonts w:hint="eastAsia"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 xml:space="preserve">附件</w:t>
      </w:r>
      <w:r>
        <w:rPr>
          <w:rFonts w:ascii="宋体" w:hAnsi="宋体"/>
          <w:b/>
          <w:color w:val="000000" w:themeColor="text1"/>
          <w:sz w:val="24"/>
          <w:szCs w:val="21"/>
          <w:highlight w:val="none"/>
          <w14:textFill>
            <w14:solidFill>
              <w14:schemeClr w14:val="tx1"/>
            </w14:solidFill>
          </w14:textFill>
        </w:rPr>
        <w:t xml:space="preserve">9</w:t>
      </w:r>
      <w:r>
        <w:rPr>
          <w:rFonts w:hint="eastAsia" w:ascii="宋体" w:hAnsi="宋体"/>
          <w:b/>
          <w:color w:val="000000" w:themeColor="text1"/>
          <w:sz w:val="24"/>
          <w:szCs w:val="21"/>
          <w:highlight w:val="none"/>
          <w14:textFill>
            <w14:solidFill>
              <w14:schemeClr w14:val="tx1"/>
            </w14:solidFill>
          </w14:textFill>
        </w:rPr>
        <w:t xml:space="preserve"> </w:t>
      </w:r>
      <w:r>
        <w:rPr>
          <w:rFonts w:ascii="宋体" w:hAnsi="宋体"/>
          <w:b/>
          <w:color w:val="000000" w:themeColor="text1"/>
          <w:sz w:val="24"/>
          <w:szCs w:val="21"/>
          <w:highlight w:val="none"/>
          <w14:textFill>
            <w14:solidFill>
              <w14:schemeClr w14:val="tx1"/>
            </w14:solidFill>
          </w14:textFill>
        </w:rPr>
        <w:t xml:space="preserve"> </w:t>
      </w:r>
      <w:r>
        <w:rPr>
          <w:rFonts w:hint="eastAsia" w:ascii="宋体" w:hAnsi="宋体"/>
          <w:b/>
          <w:color w:val="000000" w:themeColor="text1"/>
          <w:sz w:val="24"/>
          <w:szCs w:val="21"/>
          <w:highlight w:val="none"/>
          <w14:textFill>
            <w14:solidFill>
              <w14:schemeClr w14:val="tx1"/>
            </w14:solidFill>
          </w14:textFill>
        </w:rPr>
        <w:t xml:space="preserve">中小微企业声明函（货物类项目）（采购包号：**）</w:t>
      </w:r>
      <w:r>
        <w:rPr>
          <w:highlight w:val="none"/>
        </w:rP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highlight w:val="none"/>
          <w:u w:val="single"/>
          <w14:textFill>
            <w14:solidFill>
              <w14:schemeClr w14:val="tx1"/>
            </w14:solidFill>
          </w14:textFill>
        </w:rPr>
        <w:t xml:space="preserve">（单位名称）</w:t>
      </w:r>
      <w:r>
        <w:rPr>
          <w:rFonts w:hint="eastAsia" w:ascii="宋体" w:hAnsi="宋体"/>
          <w:color w:val="000000" w:themeColor="text1"/>
          <w:sz w:val="24"/>
          <w:szCs w:val="24"/>
          <w:highlight w:val="none"/>
          <w14:textFill>
            <w14:solidFill>
              <w14:schemeClr w14:val="tx1"/>
            </w14:solidFill>
          </w14:textFill>
        </w:rPr>
        <w:t xml:space="preserve">采购编号为JSZC</w:t>
      </w:r>
      <w:r>
        <w:rPr>
          <w:rFonts w:ascii="宋体" w:hAnsi="宋体"/>
          <w:color w:val="000000" w:themeColor="text1"/>
          <w:sz w:val="24"/>
          <w:szCs w:val="24"/>
          <w:highlight w:val="none"/>
          <w14:textFill>
            <w14:solidFill>
              <w14:schemeClr w14:val="tx1"/>
            </w14:solidFill>
          </w14:textFill>
        </w:rPr>
        <w:t xml:space="preserve">-320000-</w:t>
      </w:r>
      <w:r>
        <w:rPr>
          <w:rFonts w:hint="eastAsia" w:ascii="宋体" w:hAnsi="宋体"/>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（项目名称）（采购包号：**）</w:t>
      </w:r>
      <w:r>
        <w:rPr>
          <w:rFonts w:hint="eastAsia" w:ascii="宋体" w:hAnsi="宋体"/>
          <w:color w:val="000000" w:themeColor="text1"/>
          <w:sz w:val="24"/>
          <w:szCs w:val="24"/>
          <w:highlight w:val="none"/>
          <w14:textFill>
            <w14:solidFill>
              <w14:schemeClr w14:val="tx1"/>
            </w14:solidFill>
          </w14:textFill>
        </w:rPr>
        <w:t xml:space="preserve">的采购活动，提供的货物全部由符合政策要求的中小微企业制造。相关企业（含联合体中的中小微企业、签订采购包意向协议的中小微企业）的具体情况如下：</w:t>
      </w:r>
      <w:r>
        <w:rPr>
          <w:highlight w:val="none"/>
        </w:rPr>
      </w:r>
    </w:p>
    <w:p>
      <w:pPr>
        <w:ind w:firstLine="360"/>
        <w:spacing w:line="400" w:lineRule="exact"/>
        <w:rPr>
          <w:rFonts w:hint="eastAsia"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（供应商填写招标文件中明确的所属行业）</w:t>
      </w:r>
      <w:r>
        <w:rPr>
          <w:rFonts w:hint="eastAsia" w:ascii="宋体" w:hAnsi="宋体"/>
          <w:color w:val="000000" w:themeColor="text1"/>
          <w:sz w:val="24"/>
          <w:szCs w:val="24"/>
          <w:highlight w:val="none"/>
          <w14:textFill>
            <w14:solidFill>
              <w14:schemeClr w14:val="tx1"/>
            </w14:solidFill>
          </w14:textFill>
        </w:rPr>
        <w:t xml:space="preserve">行业；投标产品制造商为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万元，属于</w:t>
      </w:r>
      <w:r>
        <w:rPr>
          <w:rFonts w:hint="eastAsia" w:ascii="宋体" w:hAnsi="宋体"/>
          <w:color w:val="000000" w:themeColor="text1"/>
          <w:sz w:val="24"/>
          <w:szCs w:val="24"/>
          <w:highlight w:val="none"/>
          <w:u w:val="single"/>
          <w14:textFill>
            <w14:solidFill>
              <w14:schemeClr w14:val="tx1"/>
            </w14:solidFill>
          </w14:textFill>
        </w:rPr>
        <w:t xml:space="preserve">（□中型企业 □小型企业 □微型企业）；</w:t>
      </w:r>
      <w:r>
        <w:rPr>
          <w:highlight w:val="none"/>
        </w:rPr>
      </w:r>
    </w:p>
    <w:p>
      <w:pPr>
        <w:ind w:firstLine="360"/>
        <w:spacing w:line="400" w:lineRule="exact"/>
        <w:rPr>
          <w:rFonts w:hint="eastAsia"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（供应商填写招标文件中明确的所属行业）</w:t>
      </w:r>
      <w:r>
        <w:rPr>
          <w:rFonts w:hint="eastAsia" w:ascii="宋体" w:hAnsi="宋体"/>
          <w:color w:val="000000" w:themeColor="text1"/>
          <w:sz w:val="24"/>
          <w:szCs w:val="24"/>
          <w:highlight w:val="none"/>
          <w14:textFill>
            <w14:solidFill>
              <w14:schemeClr w14:val="tx1"/>
            </w14:solidFill>
          </w14:textFill>
        </w:rPr>
        <w:t xml:space="preserve">行业；投标产品制造商为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万元，属于</w:t>
      </w:r>
      <w:r>
        <w:rPr>
          <w:rFonts w:hint="eastAsia" w:ascii="宋体" w:hAnsi="宋体"/>
          <w:color w:val="000000" w:themeColor="text1"/>
          <w:sz w:val="24"/>
          <w:szCs w:val="24"/>
          <w:highlight w:val="none"/>
          <w:u w:val="single"/>
          <w14:textFill>
            <w14:solidFill>
              <w14:schemeClr w14:val="tx1"/>
            </w14:solidFill>
          </w14:textFill>
        </w:rPr>
        <w:t xml:space="preserve">（□中型企业 □小型企业 □微型企业）；</w:t>
      </w:r>
      <w:r>
        <w:rPr>
          <w:highlight w:val="none"/>
        </w:rP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highlight w:val="none"/>
        </w:rP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rPr>
          <w:highlight w:val="none"/>
        </w:rPr>
      </w:r>
    </w:p>
    <w:p>
      <w:pPr>
        <w:ind w:firstLine="36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rPr>
          <w:highlight w:val="none"/>
        </w:rPr>
      </w:r>
    </w:p>
    <w:p>
      <w:pPr>
        <w:ind w:right="72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ind w:right="180" w:firstLine="360"/>
        <w:jc w:val="right"/>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企业名称（加盖CA电子公章）：</w:t>
      </w:r>
      <w:r>
        <w:rPr>
          <w:highlight w:val="none"/>
        </w:rPr>
      </w:r>
    </w:p>
    <w:p>
      <w:pPr>
        <w:ind w:right="480" w:firstLine="480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w:t>
      </w:r>
      <w:r>
        <w:rPr>
          <w:highlight w:val="none"/>
        </w:rP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highlight w:val="none"/>
        </w:rP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rPr>
          <w:highlight w:val="none"/>
        </w:rPr>
      </w:r>
    </w:p>
    <w:p>
      <w:pPr>
        <w:ind w:firstLine="48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2.专门</w:t>
      </w:r>
      <w:r>
        <w:rPr>
          <w:rFonts w:ascii="宋体" w:hAnsi="宋体"/>
          <w:color w:val="000000" w:themeColor="text1"/>
          <w:sz w:val="24"/>
          <w:szCs w:val="24"/>
          <w:highlight w:val="none"/>
          <w14:textFill>
            <w14:solidFill>
              <w14:schemeClr w14:val="tx1"/>
            </w14:solidFill>
          </w14:textFill>
        </w:rPr>
        <w:t xml:space="preserve">面向中小微型企业</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的项目，</w:t>
      </w:r>
      <w:r>
        <w:rPr>
          <w:rFonts w:hint="eastAsia" w:ascii="宋体" w:hAnsi="宋体"/>
          <w:color w:val="000000" w:themeColor="text1"/>
          <w:sz w:val="24"/>
          <w:szCs w:val="24"/>
          <w:highlight w:val="none"/>
          <w14:textFill>
            <w14:solidFill>
              <w14:schemeClr w14:val="tx1"/>
            </w14:solidFill>
          </w14:textFill>
        </w:rPr>
        <w:t xml:space="preserve">供应商如不提供此声明函，则</w:t>
      </w:r>
      <w:r>
        <w:rPr>
          <w:rFonts w:ascii="宋体" w:hAnsi="宋体"/>
          <w:color w:val="000000" w:themeColor="text1"/>
          <w:sz w:val="24"/>
          <w:szCs w:val="24"/>
          <w:highlight w:val="none"/>
          <w14:textFill>
            <w14:solidFill>
              <w14:schemeClr w14:val="tx1"/>
            </w14:solidFill>
          </w14:textFill>
        </w:rPr>
        <w:t xml:space="preserve">不能通过资格审查；</w:t>
      </w:r>
      <w:r>
        <w:rPr>
          <w:rFonts w:hint="eastAsia" w:ascii="宋体" w:hAnsi="宋体"/>
          <w:color w:val="000000" w:themeColor="text1"/>
          <w:sz w:val="24"/>
          <w:szCs w:val="24"/>
          <w:highlight w:val="none"/>
          <w14:textFill>
            <w14:solidFill>
              <w14:schemeClr w14:val="tx1"/>
            </w14:solidFill>
          </w14:textFill>
        </w:rPr>
        <w:t xml:space="preserve">非专门</w:t>
      </w:r>
      <w:r>
        <w:rPr>
          <w:rFonts w:ascii="宋体" w:hAnsi="宋体"/>
          <w:color w:val="000000" w:themeColor="text1"/>
          <w:sz w:val="24"/>
          <w:szCs w:val="24"/>
          <w:highlight w:val="none"/>
          <w14:textFill>
            <w14:solidFill>
              <w14:schemeClr w14:val="tx1"/>
            </w14:solidFill>
          </w14:textFill>
        </w:rPr>
        <w:t xml:space="preserve">面向中小微型企业</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的项目，</w:t>
      </w:r>
      <w:r>
        <w:rPr>
          <w:rFonts w:hint="eastAsia" w:ascii="宋体" w:hAnsi="宋体"/>
          <w:color w:val="000000" w:themeColor="text1"/>
          <w:sz w:val="24"/>
          <w:szCs w:val="24"/>
          <w:highlight w:val="none"/>
          <w14:textFill>
            <w14:solidFill>
              <w14:schemeClr w14:val="tx1"/>
            </w14:solidFill>
          </w14:textFill>
        </w:rPr>
        <w:t xml:space="preserve">供应商如不提供此声明函，价格将不做相应扣除。</w:t>
      </w:r>
      <w:r>
        <w:rPr>
          <w:highlight w:val="none"/>
        </w:rPr>
      </w:r>
    </w:p>
    <w:p>
      <w:pPr>
        <w:ind w:left="540" w:hanging="12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3.供应商应对照《工业和信息化部、国家统计局、国家发展和改革委员会、</w:t>
      </w:r>
      <w:r>
        <w:rPr>
          <w:highlight w:val="none"/>
        </w:rPr>
      </w:r>
    </w:p>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themeColor="text1"/>
          <w:sz w:val="24"/>
          <w:szCs w:val="24"/>
          <w:highlight w:val="none"/>
          <w14:textFill>
            <w14:solidFill>
              <w14:schemeClr w14:val="tx1"/>
            </w14:solidFill>
          </w14:textFill>
        </w:rPr>
        <w:t xml:space="preserve">自行勾选</w:t>
      </w:r>
      <w:r>
        <w:rPr>
          <w:rFonts w:hint="eastAsia" w:ascii="宋体" w:hAnsi="宋体"/>
          <w:color w:val="000000" w:themeColor="text1"/>
          <w:sz w:val="24"/>
          <w:szCs w:val="24"/>
          <w:highlight w:val="none"/>
          <w14:textFill>
            <w14:solidFill>
              <w14:schemeClr w14:val="tx1"/>
            </w14:solidFill>
          </w14:textFill>
        </w:rPr>
        <w:t xml:space="preserve">制造商</w:t>
      </w:r>
      <w:r>
        <w:rPr>
          <w:rFonts w:ascii="宋体" w:hAnsi="宋体"/>
          <w:color w:val="000000" w:themeColor="text1"/>
          <w:sz w:val="24"/>
          <w:szCs w:val="24"/>
          <w:highlight w:val="none"/>
          <w14:textFill>
            <w14:solidFill>
              <w14:schemeClr w14:val="tx1"/>
            </w14:solidFill>
          </w14:textFill>
        </w:rPr>
        <w:t xml:space="preserve">的企业</w:t>
      </w:r>
      <w:r>
        <w:rPr>
          <w:rFonts w:hint="eastAsia" w:ascii="宋体" w:hAnsi="宋体"/>
          <w:color w:val="000000" w:themeColor="text1"/>
          <w:sz w:val="24"/>
          <w:szCs w:val="24"/>
          <w:highlight w:val="none"/>
          <w14:textFill>
            <w14:solidFill>
              <w14:schemeClr w14:val="tx1"/>
            </w14:solidFill>
          </w14:textFill>
        </w:rPr>
        <w:t xml:space="preserve">规模类型</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ascii="黑体" w:hAnsi="黑体" w:eastAsia="黑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10</w:t>
      </w:r>
      <w:r>
        <w:rPr>
          <w:rFonts w:hint="eastAsia" w:ascii="宋体" w:hAnsi="宋体"/>
          <w:b/>
          <w:color w:val="000000" w:themeColor="text1"/>
          <w:sz w:val="24"/>
          <w:szCs w:val="24"/>
          <w:highlight w:val="none"/>
          <w:lang w:val="en-US" w:eastAsia="zh-CN"/>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 xml:space="preserve">残疾人福利性单位声明函（货物类项目）（采购包号：**）</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themeColor="text1"/>
          <w:sz w:val="24"/>
          <w:szCs w:val="21"/>
          <w:highlight w:val="none"/>
          <w14:textFill>
            <w14:solidFill>
              <w14:schemeClr w14:val="tx1"/>
            </w14:solidFill>
          </w14:textFill>
        </w:rPr>
        <w:t xml:space="preserve">JSZC-320000-</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的</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项目（采购包号：**）采购活动提供本单位制造的货物，或者提供其他残疾人福利性单位制造的货物（不包括使用非残疾人福利性单位注册商标的货物）。</w:t>
      </w:r>
      <w:r>
        <w:rPr>
          <w:highlight w:val="none"/>
        </w:rP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本单位对上述声明的真实性负责。如有虚假，将依法承担相应责任。</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专门面向中小微型企业采购的</w:t>
      </w:r>
      <w:r>
        <w:rPr>
          <w:rFonts w:ascii="宋体" w:hAnsi="宋体"/>
          <w:color w:val="000000" w:themeColor="text1"/>
          <w:sz w:val="24"/>
          <w:szCs w:val="21"/>
          <w:highlight w:val="none"/>
          <w14:textFill>
            <w14:solidFill>
              <w14:schemeClr w14:val="tx1"/>
            </w14:solidFill>
          </w14:textFill>
        </w:rPr>
        <w:t xml:space="preserve">项目</w:t>
      </w:r>
      <w:r>
        <w:rPr>
          <w:rFonts w:hint="eastAsia" w:ascii="宋体" w:hAnsi="宋体"/>
          <w:color w:val="000000" w:themeColor="text1"/>
          <w:sz w:val="24"/>
          <w:szCs w:val="21"/>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宋体" w:hAnsi="宋体"/>
          <w:color w:val="000000" w:themeColor="text1"/>
          <w:sz w:val="24"/>
          <w:szCs w:val="21"/>
          <w:highlight w:val="none"/>
          <w14:textFill>
            <w14:solidFill>
              <w14:schemeClr w14:val="tx1"/>
            </w14:solidFill>
          </w14:textFill>
        </w:rPr>
        <w:t xml:space="preserve">声明函</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否则将</w:t>
      </w:r>
      <w:r>
        <w:rPr>
          <w:rFonts w:hint="eastAsia" w:ascii="宋体" w:hAnsi="宋体"/>
          <w:color w:val="000000" w:themeColor="text1"/>
          <w:sz w:val="24"/>
          <w:szCs w:val="21"/>
          <w:highlight w:val="none"/>
          <w14:textFill>
            <w14:solidFill>
              <w14:schemeClr w14:val="tx1"/>
            </w14:solidFill>
          </w14:textFill>
        </w:rPr>
        <w:t xml:space="preserve">不能</w:t>
      </w:r>
      <w:r>
        <w:rPr>
          <w:rFonts w:ascii="宋体" w:hAnsi="宋体"/>
          <w:color w:val="000000" w:themeColor="text1"/>
          <w:sz w:val="24"/>
          <w:szCs w:val="21"/>
          <w:highlight w:val="none"/>
          <w14:textFill>
            <w14:solidFill>
              <w14:schemeClr w14:val="tx1"/>
            </w14:solidFill>
          </w14:textFill>
        </w:rPr>
        <w:t xml:space="preserve">通过资格审查</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 非专门面向中小微型企业采购的</w:t>
      </w:r>
      <w:r>
        <w:rPr>
          <w:rFonts w:ascii="宋体" w:hAnsi="宋体"/>
          <w:color w:val="000000" w:themeColor="text1"/>
          <w:sz w:val="24"/>
          <w:szCs w:val="21"/>
          <w:highlight w:val="none"/>
          <w14:textFill>
            <w14:solidFill>
              <w14:schemeClr w14:val="tx1"/>
            </w14:solidFill>
          </w14:textFill>
        </w:rPr>
        <w:t xml:space="preserve">项目</w:t>
      </w:r>
      <w:r>
        <w:rPr>
          <w:rFonts w:hint="eastAsia" w:ascii="宋体" w:hAnsi="宋体"/>
          <w:color w:val="000000" w:themeColor="text1"/>
          <w:sz w:val="24"/>
          <w:szCs w:val="21"/>
          <w:highlight w:val="none"/>
          <w14:textFill>
            <w14:solidFill>
              <w14:schemeClr w14:val="tx1"/>
            </w14:solidFill>
          </w14:textFill>
        </w:rPr>
        <w:t xml:space="preserve">，供应商如不提供此声明函，价格将不做相应扣除。</w:t>
      </w:r>
      <w:r>
        <w:rPr>
          <w:highlight w:val="none"/>
        </w:rPr>
      </w:r>
    </w:p>
    <w:p>
      <w:pPr>
        <w:ind w:firstLine="480"/>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.中标/成交供应商为残疾人福利性单位的，此声明函将随中标/成交结果同时公告，接受社会监督。</w:t>
      </w:r>
      <w:r>
        <w:rPr>
          <w:highlight w:val="none"/>
        </w:rPr>
      </w:r>
    </w:p>
    <w:p>
      <w:pPr>
        <w:ind w:firstLine="624"/>
        <w:spacing w:line="588" w:lineRule="exact"/>
        <w:rPr>
          <w:rFonts w:ascii="仿宋_GB2312" w:hAnsi="Times New Roman" w:eastAsia="仿宋_GB2312"/>
          <w:color w:val="000000" w:themeColor="text1"/>
          <w:spacing w:val="6"/>
          <w:sz w:val="30"/>
          <w:szCs w:val="30"/>
          <w:highlight w:val="none"/>
          <w14:textFill>
            <w14:solidFill>
              <w14:schemeClr w14:val="tx1"/>
            </w14:solidFill>
          </w14:textFill>
        </w:rPr>
      </w:pPr>
      <w:r>
        <w:rPr>
          <w:rFonts w:ascii="仿宋_GB2312" w:hAnsi="Times New Roman" w:eastAsia="仿宋_GB2312"/>
          <w:color w:val="000000" w:themeColor="text1"/>
          <w:spacing w:val="6"/>
          <w:sz w:val="30"/>
          <w:szCs w:val="30"/>
          <w:highlight w:val="none"/>
          <w14:textFill>
            <w14:solidFill>
              <w14:schemeClr w14:val="tx1"/>
            </w14:solidFill>
          </w14:textFill>
        </w:rPr>
      </w:r>
      <w:r>
        <w:rPr>
          <w:highlight w:val="none"/>
        </w:rPr>
      </w:r>
    </w:p>
    <w:p>
      <w:pPr>
        <w:ind w:right="1559" w:firstLine="624"/>
        <w:jc w:val="center"/>
        <w:spacing w:line="400"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仿宋_GB2312" w:hAnsi="Times New Roman" w:eastAsia="仿宋_GB2312"/>
          <w:color w:val="000000" w:themeColor="text1"/>
          <w:spacing w:val="6"/>
          <w:sz w:val="30"/>
          <w:szCs w:val="30"/>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供应商全称（加盖CA电子公章）：</w:t>
      </w:r>
      <w:r>
        <w:rPr>
          <w:highlight w:val="none"/>
        </w:rPr>
      </w:r>
    </w:p>
    <w:p>
      <w:pPr>
        <w:ind w:right="1559" w:firstLine="480"/>
        <w:jc w:val="center"/>
        <w:spacing w:line="400" w:lineRule="exact"/>
        <w:tabs>
          <w:tab w:val="left" w:pos="4860" w:leader="none"/>
        </w:tabs>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日  期：</w:t>
      </w:r>
      <w:r>
        <w:rPr>
          <w:highlight w:val="none"/>
        </w:rP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rPr>
          <w:highlight w:val="none"/>
        </w:rPr>
      </w:r>
    </w:p>
    <w:p>
      <w:pPr>
        <w:jc w:val="center"/>
        <w:spacing w:line="5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11</w:t>
      </w:r>
      <w:r>
        <w:rPr>
          <w:rFonts w:hint="eastAsia" w:ascii="宋体" w:hAnsi="宋体"/>
          <w:b/>
          <w:color w:val="000000" w:themeColor="text1"/>
          <w:sz w:val="24"/>
          <w:szCs w:val="24"/>
          <w:highlight w:val="none"/>
          <w:lang w:val="en-US" w:eastAsia="zh-CN"/>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 xml:space="preserve"> 联合体协议（参考格式）（采购包号：**）</w:t>
      </w:r>
      <w:r>
        <w:rPr>
          <w:highlight w:val="none"/>
        </w:rPr>
      </w:r>
    </w:p>
    <w:p>
      <w:pPr>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（联合体中各供应商全称）在此达成以下协议：</w:t>
      </w:r>
      <w:r>
        <w:rPr>
          <w:highlight w:val="none"/>
        </w:rP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、我们</w:t>
      </w:r>
      <w:r>
        <w:rPr>
          <w:rFonts w:hint="eastAsia" w:ascii="宋体" w:hAnsi="宋体"/>
          <w:color w:val="000000" w:themeColor="text1"/>
          <w:sz w:val="24"/>
          <w:szCs w:val="21"/>
          <w:highlight w:val="none"/>
          <w:u w:val="single"/>
          <w14:textFill>
            <w14:solidFill>
              <w14:schemeClr w14:val="tx1"/>
            </w14:solidFill>
          </w14:textFill>
        </w:rPr>
        <w:t xml:space="preserve"> （供应商1），（供应商2） ，</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自愿组成联合体，参加江苏省政府采购中心组织的采购编号为</w:t>
      </w:r>
      <w:r>
        <w:rPr>
          <w:rFonts w:hint="eastAsia" w:ascii="宋体" w:hAnsi="宋体"/>
          <w:color w:val="000000" w:themeColor="text1"/>
          <w:sz w:val="24"/>
          <w:szCs w:val="21"/>
          <w:highlight w:val="none"/>
          <w:u w:val="single"/>
          <w14:textFill>
            <w14:solidFill>
              <w14:schemeClr w14:val="tx1"/>
            </w14:solidFill>
          </w14:textFill>
        </w:rPr>
        <w:t xml:space="preserve">（编号全称），（项目全称）</w:t>
      </w:r>
      <w:r>
        <w:rPr>
          <w:rFonts w:hint="eastAsia" w:ascii="宋体" w:hAnsi="宋体"/>
          <w:color w:val="000000" w:themeColor="text1"/>
          <w:sz w:val="24"/>
          <w:szCs w:val="21"/>
          <w:highlight w:val="none"/>
          <w14:textFill>
            <w14:solidFill>
              <w14:schemeClr w14:val="tx1"/>
            </w14:solidFill>
          </w14:textFill>
        </w:rPr>
        <w:t xml:space="preserve">项目（采购包号：**）的政府采购活动，我联合体指定</w:t>
      </w:r>
      <w:r>
        <w:rPr>
          <w:rFonts w:hint="eastAsia" w:ascii="宋体" w:hAnsi="宋体"/>
          <w:color w:val="000000" w:themeColor="text1"/>
          <w:sz w:val="24"/>
          <w:szCs w:val="21"/>
          <w:highlight w:val="none"/>
          <w:u w:val="single"/>
          <w14:textFill>
            <w14:solidFill>
              <w14:schemeClr w14:val="tx1"/>
            </w14:solidFill>
          </w14:textFill>
        </w:rPr>
        <w:t xml:space="preserve">（供应商*）</w:t>
      </w:r>
      <w:r>
        <w:rPr>
          <w:rFonts w:hint="eastAsia" w:ascii="宋体" w:hAnsi="宋体"/>
          <w:color w:val="000000" w:themeColor="text1"/>
          <w:sz w:val="24"/>
          <w:szCs w:val="21"/>
          <w:highlight w:val="none"/>
          <w14:textFill>
            <w14:solidFill>
              <w14:schemeClr w14:val="tx1"/>
            </w14:solidFill>
          </w14:textFill>
        </w:rPr>
        <w:t xml:space="preserve">为牵头单位（牵头单位必须为联合体成员）。</w:t>
      </w:r>
      <w:r>
        <w:rPr>
          <w:highlight w:val="none"/>
        </w:rP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、若我们联合中标、成交，（供应商单位</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全称）实施项目中（工作内容）部分工作，并承担相应的责任。（供应商单位</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全称）实施项目中（工作内容）部分工作，并承担相应的责任……。（注：联合体中各供应商都应明示所承担的工作和相应的责任）。</w:t>
      </w:r>
      <w:r>
        <w:rPr>
          <w:highlight w:val="none"/>
        </w:rPr>
      </w:r>
    </w:p>
    <w:p>
      <w:pPr>
        <w:ind w:firstLine="645"/>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、其中</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（小型、微型企业/残疾人福利性单位/监狱企业全称）为</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highlight w:val="none"/>
          <w:u w:val="single"/>
          <w14:textFill>
            <w14:solidFill>
              <w14:schemeClr w14:val="tx1"/>
            </w14:solidFill>
          </w14:textFill>
        </w:rPr>
        <w:t xml:space="preserve">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w:t>
      </w:r>
      <w:r>
        <w:rPr>
          <w:highlight w:val="none"/>
        </w:rPr>
      </w:r>
    </w:p>
    <w:p>
      <w:pPr>
        <w:ind w:firstLine="645"/>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rPr>
          <w:highlight w:val="none"/>
        </w:rP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w:t>
      </w:r>
      <w:r>
        <w:rPr>
          <w:highlight w:val="none"/>
        </w:rPr>
      </w:r>
    </w:p>
    <w:p>
      <w:pPr>
        <w:ind w:firstLine="646"/>
        <w:jc w:val="right"/>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联合体中各供应商全称（公章）：</w:t>
      </w:r>
      <w:r>
        <w:rPr>
          <w:rFonts w:ascii="宋体" w:hAnsi="宋体"/>
          <w:color w:val="000000" w:themeColor="text1"/>
          <w:sz w:val="24"/>
          <w:szCs w:val="21"/>
          <w:highlight w:val="none"/>
          <w14:textFill>
            <w14:solidFill>
              <w14:schemeClr w14:val="tx1"/>
            </w14:solidFill>
          </w14:textFill>
        </w:rPr>
        <w:t xml:space="preserve">     </w:t>
      </w:r>
      <w:r>
        <w:rPr>
          <w:highlight w:val="none"/>
        </w:rPr>
      </w:r>
    </w:p>
    <w:p>
      <w:pPr>
        <w:ind w:firstLine="646"/>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日期：</w:t>
      </w:r>
      <w:r>
        <w:rPr>
          <w:highlight w:val="none"/>
        </w:rP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rPr>
          <w:highlight w:val="none"/>
        </w:rP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rPr>
          <w:highlight w:val="none"/>
        </w:rPr>
      </w:r>
    </w:p>
    <w:p>
      <w:pPr>
        <w:ind w:firstLine="645"/>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备注：本招标文件中要求加盖CA电子签章的地方，仅需加盖牵头单位的CA电子签章。</w:t>
      </w:r>
      <w:r>
        <w:rPr>
          <w:highlight w:val="none"/>
        </w:rP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rPr>
          <w:highlight w:val="none"/>
        </w:rP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rPr>
          <w:highlight w:val="none"/>
        </w:rP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rPr>
          <w:highlight w:val="none"/>
        </w:rP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rPr>
          <w:highlight w:val="none"/>
        </w:rP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rPr>
          <w:highlight w:val="none"/>
        </w:rP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rPr>
          <w:highlight w:val="none"/>
        </w:rP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rPr>
          <w:highlight w:val="none"/>
        </w:rP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rPr>
          <w:highlight w:val="none"/>
        </w:rP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rPr>
          <w:highlight w:val="none"/>
        </w:rP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rPr>
          <w:highlight w:val="none"/>
        </w:rPr>
      </w:r>
    </w:p>
    <w:p>
      <w:pPr>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rPr>
          <w:highlight w:val="none"/>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rPr>
          <w:highlight w:val="none"/>
        </w:rPr>
      </w:r>
    </w:p>
    <w:p>
      <w:pP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rPr>
          <w:highlight w:val="none"/>
        </w:rPr>
      </w:r>
    </w:p>
    <w:p>
      <w:pPr>
        <w:jc w:val="cente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ascii="宋体" w:hAnsi="宋体"/>
          <w:b/>
          <w:color w:val="000000" w:themeColor="text1"/>
          <w:sz w:val="24"/>
          <w:szCs w:val="24"/>
          <w:highlight w:val="none"/>
          <w14:textFill>
            <w14:solidFill>
              <w14:schemeClr w14:val="tx1"/>
            </w14:solidFill>
          </w14:textFill>
        </w:rPr>
        <w:t xml:space="preserve">12</w:t>
      </w:r>
      <w:r>
        <w:rPr>
          <w:rFonts w:hint="eastAsia" w:ascii="宋体" w:hAnsi="宋体"/>
          <w:b/>
          <w:color w:val="000000" w:themeColor="text1"/>
          <w:sz w:val="24"/>
          <w:szCs w:val="24"/>
          <w:highlight w:val="none"/>
          <w14:textFill>
            <w14:solidFill>
              <w14:schemeClr w14:val="tx1"/>
            </w14:solidFill>
          </w14:textFill>
        </w:rPr>
        <w:t xml:space="preserve">实质性要求响应及偏离表（采购包号：**）</w:t>
      </w:r>
      <w:r>
        <w:rPr>
          <w:highlight w:val="none"/>
        </w:rP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rPr>
                <w:highlight w:val="none"/>
              </w:rPr>
            </w:r>
          </w:p>
        </w:tc>
        <w:tc>
          <w:tcPr>
            <w:tcW w:w="3609"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w:t>
            </w:r>
            <w:r>
              <w:rPr>
                <w:rFonts w:ascii="宋体" w:hAnsi="宋体"/>
                <w:color w:val="000000" w:themeColor="text1"/>
                <w:sz w:val="24"/>
                <w:szCs w:val="24"/>
                <w:highlight w:val="none"/>
                <w14:textFill>
                  <w14:solidFill>
                    <w14:schemeClr w14:val="tx1"/>
                  </w14:solidFill>
                </w14:textFill>
              </w:rPr>
              <w:t xml:space="preserve">要求和商务要求中的实质性要求</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i/>
                <w:color w:val="000000" w:themeColor="text1"/>
                <w:sz w:val="24"/>
                <w:szCs w:val="21"/>
                <w:highlight w:val="none"/>
                <w:u w:val="single"/>
                <w14:textFill>
                  <w14:solidFill>
                    <w14:schemeClr w14:val="tx1"/>
                  </w14:solidFill>
                </w14:textFill>
              </w:rPr>
              <w:t xml:space="preserve">斜体且有下划线部分</w:t>
            </w:r>
            <w:r>
              <w:rPr>
                <w:rFonts w:hint="eastAsia" w:ascii="宋体" w:hAnsi="宋体"/>
                <w:b/>
                <w:bCs/>
                <w:color w:val="000000" w:themeColor="text1"/>
                <w:sz w:val="24"/>
                <w:szCs w:val="21"/>
                <w:highlight w:val="none"/>
                <w14:textFill>
                  <w14:solidFill>
                    <w14:schemeClr w14:val="tx1"/>
                  </w14:solidFill>
                </w14:textFill>
              </w:rPr>
              <w:t xml:space="preserve">或加*号条款）</w:t>
            </w:r>
            <w:r>
              <w:rPr>
                <w:highlight w:val="none"/>
              </w:rPr>
            </w:r>
          </w:p>
        </w:tc>
        <w:tc>
          <w:tcPr>
            <w:tcW w:w="3317"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rPr>
                <w:highlight w:val="none"/>
              </w:rPr>
            </w:r>
          </w:p>
        </w:tc>
        <w:tc>
          <w:tcPr>
            <w:tcW w:w="1526" w:type="dxa"/>
            <w:vAlign w:val="center"/>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rPr>
                <w:highlight w:val="none"/>
              </w:rP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highlight w:val="none"/>
              </w:rPr>
            </w:r>
          </w:p>
        </w:tc>
        <w:tc>
          <w:tcPr>
            <w:tcW w:w="3609"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3317"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526"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highlight w:val="none"/>
              </w:rPr>
            </w:r>
          </w:p>
        </w:tc>
        <w:tc>
          <w:tcPr>
            <w:tcW w:w="3609"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3317"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526"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3609"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highlight w:val="none"/>
              </w:rPr>
            </w:r>
          </w:p>
        </w:tc>
        <w:tc>
          <w:tcPr>
            <w:tcW w:w="3317"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c>
          <w:tcPr>
            <w:tcW w:w="1526" w:type="dxa"/>
            <w:vAlign w:val="top"/>
            <w:textDirection w:val="lrTb"/>
            <w:noWrap w:val="false"/>
          </w:tcPr>
          <w:p>
            <w:pPr>
              <w:jc w:val="cente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附件</w:t>
      </w:r>
      <w:r>
        <w:rPr>
          <w:rFonts w:ascii="宋体" w:hAnsi="宋体"/>
          <w:color w:val="000000" w:themeColor="text1"/>
          <w:sz w:val="24"/>
          <w:szCs w:val="24"/>
          <w:highlight w:val="none"/>
          <w14:textFill>
            <w14:solidFill>
              <w14:schemeClr w14:val="tx1"/>
            </w14:solidFill>
          </w14:textFill>
        </w:rPr>
        <w:t xml:space="preserve">12-1 </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1，证明</w:t>
      </w:r>
      <w:r>
        <w:rPr>
          <w:rFonts w:ascii="宋体" w:hAnsi="宋体"/>
          <w:color w:val="000000" w:themeColor="text1"/>
          <w:sz w:val="24"/>
          <w:szCs w:val="24"/>
          <w:highlight w:val="none"/>
          <w14:textFill>
            <w14:solidFill>
              <w14:schemeClr w14:val="tx1"/>
            </w14:solidFill>
          </w14:textFill>
        </w:rPr>
        <w:t xml:space="preserve">材料</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1.投标人必须</w:t>
      </w:r>
      <w:r>
        <w:rPr>
          <w:rFonts w:ascii="宋体" w:hAnsi="宋体"/>
          <w:color w:val="000000" w:themeColor="text1"/>
          <w:sz w:val="24"/>
          <w:szCs w:val="24"/>
          <w:highlight w:val="none"/>
          <w14:textFill>
            <w14:solidFill>
              <w14:schemeClr w14:val="tx1"/>
            </w14:solidFill>
          </w14:textFill>
        </w:rPr>
        <w:t xml:space="preserve">对技术</w:t>
      </w:r>
      <w:r>
        <w:rPr>
          <w:rFonts w:hint="eastAsia" w:ascii="宋体" w:hAnsi="宋体"/>
          <w:color w:val="000000" w:themeColor="text1"/>
          <w:sz w:val="24"/>
          <w:szCs w:val="24"/>
          <w:highlight w:val="none"/>
          <w14:textFill>
            <w14:solidFill>
              <w14:schemeClr w14:val="tx1"/>
            </w14:solidFill>
          </w14:textFill>
        </w:rPr>
        <w:t xml:space="preserve">要求</w:t>
      </w:r>
      <w:r>
        <w:rPr>
          <w:rFonts w:ascii="宋体" w:hAnsi="宋体"/>
          <w:color w:val="000000" w:themeColor="text1"/>
          <w:sz w:val="24"/>
          <w:szCs w:val="24"/>
          <w:highlight w:val="none"/>
          <w14:textFill>
            <w14:solidFill>
              <w14:schemeClr w14:val="tx1"/>
            </w14:solidFill>
          </w14:textFill>
        </w:rPr>
        <w:t xml:space="preserve">和商务要求中的实质性要求</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i/>
          <w:color w:val="000000" w:themeColor="text1"/>
          <w:sz w:val="24"/>
          <w:szCs w:val="21"/>
          <w:highlight w:val="none"/>
          <w:u w:val="single"/>
          <w14:textFill>
            <w14:solidFill>
              <w14:schemeClr w14:val="tx1"/>
            </w14:solidFill>
          </w14:textFill>
        </w:rPr>
        <w:t xml:space="preserve">斜体且有下划线部分</w:t>
      </w:r>
      <w:r>
        <w:rPr>
          <w:rFonts w:hint="eastAsia" w:ascii="宋体" w:hAnsi="宋体"/>
          <w:b/>
          <w:bCs/>
          <w:color w:val="000000" w:themeColor="text1"/>
          <w:sz w:val="24"/>
          <w:szCs w:val="21"/>
          <w:highlight w:val="none"/>
          <w14:textFill>
            <w14:solidFill>
              <w14:schemeClr w14:val="tx1"/>
            </w14:solidFill>
          </w14:textFill>
        </w:rPr>
        <w:t xml:space="preserve">或加*号条款）</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rPr>
          <w:highlight w:val="none"/>
        </w:rP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2.如果招标</w:t>
      </w:r>
      <w:r>
        <w:rPr>
          <w:rFonts w:ascii="宋体" w:hAnsi="宋体"/>
          <w:color w:val="000000" w:themeColor="text1"/>
          <w:sz w:val="24"/>
          <w:szCs w:val="24"/>
          <w:highlight w:val="none"/>
          <w14:textFill>
            <w14:solidFill>
              <w14:schemeClr w14:val="tx1"/>
            </w14:solidFill>
          </w14:textFill>
        </w:rPr>
        <w:t xml:space="preserve">文件要求提供</w:t>
      </w:r>
      <w:r>
        <w:rPr>
          <w:rFonts w:hint="eastAsia" w:ascii="宋体" w:hAnsi="宋体"/>
          <w:color w:val="000000" w:themeColor="text1"/>
          <w:sz w:val="24"/>
          <w:szCs w:val="24"/>
          <w:highlight w:val="none"/>
          <w14:textFill>
            <w14:solidFill>
              <w14:schemeClr w14:val="tx1"/>
            </w14:solidFill>
          </w14:textFill>
        </w:rPr>
        <w:t xml:space="preserve">证明</w:t>
      </w:r>
      <w:r>
        <w:rPr>
          <w:rFonts w:ascii="宋体" w:hAnsi="宋体"/>
          <w:color w:val="000000" w:themeColor="text1"/>
          <w:sz w:val="24"/>
          <w:szCs w:val="24"/>
          <w:highlight w:val="none"/>
          <w14:textFill>
            <w14:solidFill>
              <w14:schemeClr w14:val="tx1"/>
            </w14:solidFill>
          </w14:textFill>
        </w:rPr>
        <w:t xml:space="preserve">材料，投标人</w:t>
      </w:r>
      <w:r>
        <w:rPr>
          <w:rFonts w:hint="eastAsia" w:ascii="宋体" w:hAnsi="宋体"/>
          <w:color w:val="000000" w:themeColor="text1"/>
          <w:sz w:val="24"/>
          <w:szCs w:val="24"/>
          <w:highlight w:val="none"/>
          <w14:textFill>
            <w14:solidFill>
              <w14:schemeClr w14:val="tx1"/>
            </w14:solidFill>
          </w14:textFill>
        </w:rPr>
        <w:t xml:space="preserve">必须</w:t>
      </w:r>
      <w:r>
        <w:rPr>
          <w:rFonts w:ascii="宋体" w:hAnsi="宋体"/>
          <w:color w:val="000000" w:themeColor="text1"/>
          <w:sz w:val="24"/>
          <w:szCs w:val="24"/>
          <w:highlight w:val="none"/>
          <w14:textFill>
            <w14:solidFill>
              <w14:schemeClr w14:val="tx1"/>
            </w14:solidFill>
          </w14:textFill>
        </w:rPr>
        <w:t xml:space="preserve">将证明材料</w:t>
      </w:r>
      <w:r>
        <w:rPr>
          <w:rFonts w:hint="eastAsia" w:ascii="宋体" w:hAnsi="宋体"/>
          <w:color w:val="000000" w:themeColor="text1"/>
          <w:sz w:val="24"/>
          <w:szCs w:val="24"/>
          <w:highlight w:val="none"/>
          <w14:textFill>
            <w14:solidFill>
              <w14:schemeClr w14:val="tx1"/>
            </w14:solidFill>
          </w14:textFill>
        </w:rPr>
        <w:t xml:space="preserve">列于</w:t>
      </w:r>
      <w:r>
        <w:rPr>
          <w:rFonts w:ascii="宋体" w:hAnsi="宋体"/>
          <w:color w:val="000000" w:themeColor="text1"/>
          <w:sz w:val="24"/>
          <w:szCs w:val="24"/>
          <w:highlight w:val="none"/>
          <w14:textFill>
            <w14:solidFill>
              <w14:schemeClr w14:val="tx1"/>
            </w14:solidFill>
          </w14:textFill>
        </w:rPr>
        <w:t xml:space="preserve">该表之下。</w:t>
      </w:r>
      <w:r>
        <w:rPr>
          <w:highlight w:val="none"/>
        </w:rP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3.投标人未对实质性要求逐条作出明确响应的，或未按招标文件要求提供证明材料的，该采购包作无效投标处理。</w:t>
      </w:r>
      <w:r>
        <w:rPr>
          <w:highlight w:val="none"/>
        </w:rPr>
      </w:r>
    </w:p>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rPr>
          <w:highlight w:val="none"/>
        </w:rPr>
      </w:r>
    </w:p>
    <w:p>
      <w:pPr>
        <w:jc w:val="cente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bookmarkEnd w:id="180"/>
      <w:r/>
      <w:bookmarkEnd w:id="181"/>
      <w:r/>
      <w:bookmarkEnd w:id="190"/>
      <w:r/>
      <w:r>
        <w:rPr>
          <w:highlight w:val="none"/>
        </w:rP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rPr>
          <w:highlight w:val="none"/>
        </w:rPr>
      </w:r>
    </w:p>
    <w:p>
      <w:pP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br w:type="page" w:clear="all"/>
      </w:r>
      <w:r>
        <w:rPr>
          <w:highlight w:val="none"/>
        </w:rPr>
      </w:r>
    </w:p>
    <w:p>
      <w:pPr>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rPr>
          <w:highlight w:val="none"/>
        </w:rPr>
      </w:r>
    </w:p>
    <w:p>
      <w:pPr>
        <w:spacing w:before="312"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rPr>
          <w:highlight w:val="none"/>
        </w:rP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rPr>
          <w:highlight w:val="none"/>
        </w:rP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rPr>
          <w:highlight w:val="none"/>
        </w:rP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rPr>
          <w:highlight w:val="none"/>
        </w:rP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rPr>
          <w:highlight w:val="none"/>
        </w:rP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rPr>
          <w:highlight w:val="none"/>
        </w:rPr>
      </w:r>
    </w:p>
    <w:p>
      <w:pPr>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3.质疑供应商若对项目的某一采购包进行质疑，质疑函中应列明具体采购包号。</w:t>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rPr>
          <w:highlight w:val="none"/>
        </w:rP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fldChar w:fldCharType="begin"/>
    </w:r>
    <w:r>
      <w:instrText xml:space="preserve">PAGE   \* MERGEFORMAT</w:instrText>
    </w:r>
    <w:r>
      <w:fldChar w:fldCharType="separate"/>
    </w:r>
    <w:r>
      <w:rPr>
        <w:lang w:val="zh-CN"/>
      </w:rPr>
      <w:t xml:space="preserve">17</w:t>
    </w:r>
    <w:r>
      <w:fldChar w:fldCharType="end"/>
    </w:r>
    <w:r/>
  </w:p>
  <w:p>
    <w:pPr>
      <w:pStyle w:val="9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40</w:t>
    </w:r>
    <w:r>
      <w:rPr>
        <w:rFonts w:ascii="宋体" w:hAnsi="宋体"/>
      </w:rPr>
      <w:fldChar w:fldCharType="end"/>
    </w:r>
    <w:r/>
  </w:p>
  <w:p>
    <w:pPr>
      <w:pStyle w:val="917"/>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8"/>
      <w:isLgl w:val="false"/>
      <w:suff w:val="nothing"/>
      <w:lvlText w:val=""/>
      <w:lvlJc w:val="left"/>
      <w:pPr>
        <w:ind w:left="0" w:firstLine="0"/>
      </w:pPr>
      <w:rPr>
        <w:rFonts w:hint="eastAsia"/>
      </w:rPr>
    </w:lvl>
    <w:lvl w:ilvl="6">
      <w:start w:val="1"/>
      <w:numFmt w:val="decimal"/>
      <w:pStyle w:val="879"/>
      <w:isLgl w:val="false"/>
      <w:suff w:val="nothing"/>
      <w:lvlText w:val=""/>
      <w:lvlJc w:val="left"/>
      <w:pPr>
        <w:ind w:left="0" w:firstLine="0"/>
      </w:pPr>
      <w:rPr>
        <w:rFonts w:hint="eastAsia"/>
      </w:rPr>
    </w:lvl>
    <w:lvl w:ilvl="7">
      <w:start w:val="1"/>
      <w:numFmt w:val="decimal"/>
      <w:pStyle w:val="880"/>
      <w:isLgl w:val="false"/>
      <w:suff w:val="nothing"/>
      <w:lvlText w:val=""/>
      <w:lvlJc w:val="left"/>
      <w:pPr>
        <w:ind w:left="0" w:firstLine="0"/>
      </w:pPr>
      <w:rPr>
        <w:rFonts w:hint="eastAsia"/>
      </w:rPr>
    </w:lvl>
    <w:lvl w:ilvl="8">
      <w:start w:val="1"/>
      <w:numFmt w:val="decimal"/>
      <w:pStyle w:val="881"/>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96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7"/>
  </w:num>
  <w:num w:numId="3">
    <w:abstractNumId w:val="13"/>
  </w:num>
  <w:num w:numId="4">
    <w:abstractNumId w:val="3"/>
  </w:num>
  <w:num w:numId="5">
    <w:abstractNumId w:val="0"/>
  </w:num>
  <w:num w:numId="6">
    <w:abstractNumId w:val="8"/>
  </w:num>
  <w:num w:numId="7">
    <w:abstractNumId w:val="12"/>
  </w:num>
  <w:num w:numId="8">
    <w:abstractNumId w:val="1"/>
  </w:num>
  <w:num w:numId="9">
    <w:abstractNumId w:val="10"/>
  </w:num>
  <w:num w:numId="10">
    <w:abstractNumId w:val="2"/>
  </w:num>
  <w:num w:numId="11">
    <w:abstractNumId w:val="6"/>
  </w:num>
  <w:num w:numId="12">
    <w:abstractNumId w:val="5"/>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46"/>
    <w:uiPriority w:val="0"/>
    <w:qFormat/>
    <w:pPr>
      <w:jc w:val="both"/>
      <w:widowControl w:val="off"/>
    </w:pPr>
    <w:rPr>
      <w:rFonts w:hint="default" w:ascii="Calibri" w:hAnsi="Calibri" w:eastAsia="宋体" w:cs="Times New Roman"/>
      <w:sz w:val="21"/>
      <w:szCs w:val="22"/>
      <w:lang w:val="en-US" w:eastAsia="zh-CN" w:bidi="ar-SA"/>
    </w:rPr>
  </w:style>
  <w:style w:type="paragraph" w:styleId="691">
    <w:name w:val="Heading 1"/>
    <w:basedOn w:val="690"/>
    <w:next w:val="690"/>
    <w:link w:val="724"/>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5"/>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7"/>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2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29"/>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1"/>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2"/>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toc 5"/>
    <w:basedOn w:val="690"/>
    <w:next w:val="690"/>
    <w:uiPriority w:val="39"/>
    <w:unhideWhenUsed/>
    <w:qFormat/>
    <w:pPr>
      <w:ind w:left="1134" w:right="0" w:firstLine="0"/>
      <w:spacing w:after="57"/>
    </w:pPr>
  </w:style>
  <w:style w:type="paragraph" w:styleId="705">
    <w:name w:val="toc 3"/>
    <w:basedOn w:val="690"/>
    <w:next w:val="690"/>
    <w:uiPriority w:val="39"/>
    <w:unhideWhenUsed/>
    <w:qFormat/>
    <w:pPr>
      <w:ind w:left="567" w:right="0" w:firstLine="0"/>
      <w:spacing w:after="57"/>
    </w:pPr>
  </w:style>
  <w:style w:type="paragraph" w:styleId="706">
    <w:name w:val="toc 8"/>
    <w:basedOn w:val="690"/>
    <w:next w:val="690"/>
    <w:uiPriority w:val="39"/>
    <w:unhideWhenUsed/>
    <w:qFormat/>
    <w:pPr>
      <w:ind w:left="1984" w:right="0" w:firstLine="0"/>
      <w:spacing w:after="57"/>
    </w:pPr>
  </w:style>
  <w:style w:type="paragraph" w:styleId="707">
    <w:name w:val="endnote text"/>
    <w:basedOn w:val="690"/>
    <w:link w:val="870"/>
    <w:uiPriority w:val="99"/>
    <w:semiHidden/>
    <w:unhideWhenUsed/>
    <w:qFormat/>
    <w:pPr>
      <w:spacing w:after="0" w:line="240" w:lineRule="auto"/>
    </w:pPr>
    <w:rPr>
      <w:sz w:val="20"/>
    </w:rPr>
  </w:style>
  <w:style w:type="paragraph" w:styleId="708">
    <w:name w:val="Footer"/>
    <w:basedOn w:val="690"/>
    <w:link w:val="743"/>
    <w:uiPriority w:val="99"/>
    <w:unhideWhenUsed/>
    <w:qFormat/>
    <w:pPr>
      <w:spacing w:after="0" w:line="240" w:lineRule="auto"/>
      <w:tabs>
        <w:tab w:val="center" w:pos="7143" w:leader="none"/>
        <w:tab w:val="right" w:pos="14287" w:leader="none"/>
      </w:tabs>
    </w:pPr>
  </w:style>
  <w:style w:type="paragraph" w:styleId="709">
    <w:name w:val="Header"/>
    <w:basedOn w:val="690"/>
    <w:link w:val="741"/>
    <w:uiPriority w:val="99"/>
    <w:unhideWhenUsed/>
    <w:qFormat/>
    <w:pPr>
      <w:spacing w:after="0" w:line="240" w:lineRule="auto"/>
      <w:tabs>
        <w:tab w:val="center" w:pos="7143" w:leader="none"/>
        <w:tab w:val="right" w:pos="14287" w:leader="none"/>
      </w:tabs>
    </w:pPr>
  </w:style>
  <w:style w:type="paragraph" w:styleId="710">
    <w:name w:val="toc 1"/>
    <w:basedOn w:val="690"/>
    <w:next w:val="690"/>
    <w:uiPriority w:val="39"/>
    <w:unhideWhenUsed/>
    <w:qFormat/>
    <w:pPr>
      <w:ind w:left="0" w:right="0" w:firstLine="0"/>
      <w:spacing w:after="57"/>
    </w:pPr>
  </w:style>
  <w:style w:type="paragraph" w:styleId="711">
    <w:name w:val="toc 4"/>
    <w:basedOn w:val="690"/>
    <w:next w:val="690"/>
    <w:uiPriority w:val="39"/>
    <w:unhideWhenUsed/>
    <w:qFormat/>
    <w:pPr>
      <w:ind w:left="850" w:right="0" w:firstLine="0"/>
      <w:spacing w:after="57"/>
    </w:pPr>
  </w:style>
  <w:style w:type="paragraph" w:styleId="712">
    <w:name w:val="Subtitle"/>
    <w:basedOn w:val="690"/>
    <w:next w:val="690"/>
    <w:link w:val="736"/>
    <w:uiPriority w:val="11"/>
    <w:qFormat/>
    <w:pPr>
      <w:spacing w:before="200" w:after="200"/>
    </w:pPr>
    <w:rPr>
      <w:sz w:val="24"/>
      <w:szCs w:val="24"/>
    </w:rPr>
  </w:style>
  <w:style w:type="paragraph" w:styleId="713">
    <w:name w:val="footnote text"/>
    <w:basedOn w:val="690"/>
    <w:link w:val="869"/>
    <w:uiPriority w:val="99"/>
    <w:semiHidden/>
    <w:unhideWhenUsed/>
    <w:qFormat/>
    <w:pPr>
      <w:spacing w:after="40" w:line="240" w:lineRule="auto"/>
    </w:pPr>
    <w:rPr>
      <w:sz w:val="18"/>
    </w:rPr>
  </w:style>
  <w:style w:type="paragraph" w:styleId="714">
    <w:name w:val="toc 6"/>
    <w:basedOn w:val="690"/>
    <w:next w:val="690"/>
    <w:uiPriority w:val="39"/>
    <w:unhideWhenUsed/>
    <w:qFormat/>
    <w:pPr>
      <w:ind w:left="1417" w:right="0" w:firstLine="0"/>
      <w:spacing w:after="57"/>
    </w:pPr>
  </w:style>
  <w:style w:type="paragraph" w:styleId="715">
    <w:name w:val="table of figures"/>
    <w:basedOn w:val="690"/>
    <w:next w:val="690"/>
    <w:uiPriority w:val="99"/>
    <w:unhideWhenUsed/>
    <w:qFormat/>
    <w:pPr>
      <w:spacing w:after="0" w:afterAutospacing="0"/>
    </w:pPr>
  </w:style>
  <w:style w:type="paragraph" w:styleId="716">
    <w:name w:val="toc 2"/>
    <w:basedOn w:val="690"/>
    <w:next w:val="690"/>
    <w:uiPriority w:val="39"/>
    <w:unhideWhenUsed/>
    <w:qFormat/>
    <w:pPr>
      <w:ind w:left="283" w:right="0" w:firstLine="0"/>
      <w:spacing w:after="57"/>
    </w:pPr>
  </w:style>
  <w:style w:type="paragraph" w:styleId="717">
    <w:name w:val="toc 9"/>
    <w:basedOn w:val="690"/>
    <w:next w:val="690"/>
    <w:uiPriority w:val="39"/>
    <w:unhideWhenUsed/>
    <w:qFormat/>
    <w:pPr>
      <w:ind w:left="2268" w:right="0" w:firstLine="0"/>
      <w:spacing w:after="57"/>
    </w:pPr>
  </w:style>
  <w:style w:type="paragraph" w:styleId="718">
    <w:name w:val="Title"/>
    <w:basedOn w:val="690"/>
    <w:next w:val="690"/>
    <w:link w:val="735"/>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paragraph" w:styleId="723" w:customStyle="1">
    <w:name w:val="正文文本1"/>
    <w:basedOn w:val="690"/>
    <w:next w:val="690"/>
    <w:link w:val="884"/>
    <w:uiPriority w:val="0"/>
    <w:qFormat/>
    <w:rPr>
      <w:rFonts w:ascii="楷体_GB2312" w:hAnsi="Arial" w:eastAsia="楷体_GB2312" w:cs="Times New Roman"/>
      <w:sz w:val="28"/>
      <w:szCs w:val="28"/>
    </w:rPr>
  </w:style>
  <w:style w:type="character" w:styleId="724" w:customStyle="1">
    <w:name w:val="Heading 1 Char"/>
    <w:link w:val="691"/>
    <w:uiPriority w:val="9"/>
    <w:qFormat/>
    <w:rPr>
      <w:rFonts w:ascii="Arial" w:hAnsi="Arial" w:eastAsia="Arial" w:cs="Arial"/>
      <w:sz w:val="40"/>
      <w:szCs w:val="40"/>
    </w:rPr>
  </w:style>
  <w:style w:type="character" w:styleId="725" w:customStyle="1">
    <w:name w:val="Heading 2 Char"/>
    <w:link w:val="692"/>
    <w:uiPriority w:val="9"/>
    <w:qFormat/>
    <w:rPr>
      <w:rFonts w:ascii="Arial" w:hAnsi="Arial" w:eastAsia="Arial" w:cs="Arial"/>
      <w:sz w:val="34"/>
    </w:rPr>
  </w:style>
  <w:style w:type="character" w:styleId="726" w:customStyle="1">
    <w:name w:val="Heading 3 Char"/>
    <w:link w:val="693"/>
    <w:uiPriority w:val="9"/>
    <w:qFormat/>
    <w:rPr>
      <w:rFonts w:ascii="Arial" w:hAnsi="Arial" w:eastAsia="Arial" w:cs="Arial"/>
      <w:sz w:val="30"/>
      <w:szCs w:val="30"/>
    </w:rPr>
  </w:style>
  <w:style w:type="character" w:styleId="727" w:customStyle="1">
    <w:name w:val="Heading 4 Char"/>
    <w:link w:val="694"/>
    <w:uiPriority w:val="9"/>
    <w:qFormat/>
    <w:rPr>
      <w:rFonts w:ascii="Arial" w:hAnsi="Arial" w:eastAsia="Arial" w:cs="Arial"/>
      <w:b/>
      <w:bCs/>
      <w:sz w:val="26"/>
      <w:szCs w:val="26"/>
    </w:rPr>
  </w:style>
  <w:style w:type="character" w:styleId="728" w:customStyle="1">
    <w:name w:val="Heading 5 Char"/>
    <w:link w:val="695"/>
    <w:uiPriority w:val="9"/>
    <w:qFormat/>
    <w:rPr>
      <w:rFonts w:ascii="Arial" w:hAnsi="Arial" w:eastAsia="Arial" w:cs="Arial"/>
      <w:b/>
      <w:bCs/>
      <w:sz w:val="24"/>
      <w:szCs w:val="24"/>
    </w:rPr>
  </w:style>
  <w:style w:type="character" w:styleId="729" w:customStyle="1">
    <w:name w:val="Heading 6 Char"/>
    <w:link w:val="696"/>
    <w:uiPriority w:val="9"/>
    <w:qFormat/>
    <w:rPr>
      <w:rFonts w:ascii="Arial" w:hAnsi="Arial" w:eastAsia="Arial" w:cs="Arial"/>
      <w:b/>
      <w:bCs/>
      <w:sz w:val="22"/>
      <w:szCs w:val="22"/>
    </w:rPr>
  </w:style>
  <w:style w:type="character" w:styleId="730" w:customStyle="1">
    <w:name w:val="Heading 7 Char"/>
    <w:link w:val="697"/>
    <w:uiPriority w:val="9"/>
    <w:qFormat/>
    <w:rPr>
      <w:rFonts w:ascii="Arial" w:hAnsi="Arial" w:eastAsia="Arial" w:cs="Arial"/>
      <w:b/>
      <w:bCs/>
      <w:i/>
      <w:iCs/>
      <w:sz w:val="22"/>
      <w:szCs w:val="22"/>
    </w:rPr>
  </w:style>
  <w:style w:type="character" w:styleId="731" w:customStyle="1">
    <w:name w:val="Heading 8 Char"/>
    <w:link w:val="698"/>
    <w:uiPriority w:val="9"/>
    <w:qFormat/>
    <w:rPr>
      <w:rFonts w:ascii="Arial" w:hAnsi="Arial" w:eastAsia="Arial" w:cs="Arial"/>
      <w:i/>
      <w:iCs/>
      <w:sz w:val="22"/>
      <w:szCs w:val="22"/>
    </w:rPr>
  </w:style>
  <w:style w:type="character" w:styleId="732" w:customStyle="1">
    <w:name w:val="Heading 9 Char"/>
    <w:link w:val="699"/>
    <w:uiPriority w:val="9"/>
    <w:qFormat/>
    <w:rPr>
      <w:rFonts w:ascii="Arial" w:hAnsi="Arial" w:eastAsia="Arial" w:cs="Arial"/>
      <w:i/>
      <w:iCs/>
      <w:sz w:val="21"/>
      <w:szCs w:val="21"/>
    </w:rPr>
  </w:style>
  <w:style w:type="paragraph" w:styleId="733">
    <w:name w:val="List Paragraph"/>
    <w:basedOn w:val="690"/>
    <w:uiPriority w:val="34"/>
    <w:qFormat/>
    <w:pPr>
      <w:contextualSpacing/>
      <w:ind w:left="720"/>
    </w:pPr>
  </w:style>
  <w:style w:type="paragraph" w:styleId="734">
    <w:name w:val="No Spacing"/>
    <w:uiPriority w:val="1"/>
    <w:qFormat/>
    <w:pPr>
      <w:spacing w:before="0" w:after="0" w:line="240" w:lineRule="auto"/>
    </w:pPr>
    <w:rPr>
      <w:rFonts w:hint="default" w:ascii="Calibri" w:hAnsi="Calibri" w:eastAsia="宋体" w:cs="Times New Roman"/>
    </w:rPr>
  </w:style>
  <w:style w:type="character" w:styleId="735" w:customStyle="1">
    <w:name w:val="Title Char"/>
    <w:link w:val="718"/>
    <w:uiPriority w:val="10"/>
    <w:qFormat/>
    <w:rPr>
      <w:sz w:val="48"/>
      <w:szCs w:val="48"/>
    </w:rPr>
  </w:style>
  <w:style w:type="character" w:styleId="736" w:customStyle="1">
    <w:name w:val="Subtitle Char"/>
    <w:link w:val="712"/>
    <w:uiPriority w:val="11"/>
    <w:qFormat/>
    <w:rPr>
      <w:sz w:val="24"/>
      <w:szCs w:val="24"/>
    </w:rPr>
  </w:style>
  <w:style w:type="paragraph" w:styleId="737">
    <w:name w:val="Quote"/>
    <w:basedOn w:val="690"/>
    <w:next w:val="690"/>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90"/>
    <w:next w:val="690"/>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09"/>
    <w:uiPriority w:val="99"/>
    <w:qFormat/>
  </w:style>
  <w:style w:type="character" w:styleId="742" w:customStyle="1">
    <w:name w:val="Footer Char"/>
    <w:link w:val="708"/>
    <w:uiPriority w:val="99"/>
    <w:qFormat/>
  </w:style>
  <w:style w:type="character" w:styleId="743" w:customStyle="1">
    <w:name w:val="Caption Char"/>
    <w:link w:val="708"/>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13"/>
    <w:uiPriority w:val="99"/>
    <w:qFormat/>
    <w:rPr>
      <w:sz w:val="18"/>
    </w:rPr>
  </w:style>
  <w:style w:type="character" w:styleId="870" w:customStyle="1">
    <w:name w:val="Endnote Text Char"/>
    <w:link w:val="707"/>
    <w:uiPriority w:val="99"/>
    <w:qFormat/>
    <w:rPr>
      <w:sz w:val="20"/>
    </w:rPr>
  </w:style>
  <w:style w:type="paragraph" w:styleId="871" w:customStyle="1">
    <w:name w:val="TOC Heading"/>
    <w:uiPriority w:val="39"/>
    <w:unhideWhenUsed/>
    <w:qFormat/>
    <w:rPr>
      <w:rFonts w:hint="default" w:ascii="Calibri" w:hAnsi="Calibri" w:eastAsia="宋体" w:cs="Times New Roman"/>
    </w:rPr>
  </w:style>
  <w:style w:type="paragraph" w:styleId="872" w:customStyle="1">
    <w:name w:val="标题 11"/>
    <w:basedOn w:val="690"/>
    <w:next w:val="690"/>
    <w:link w:val="885"/>
    <w:uiPriority w:val="0"/>
    <w:qFormat/>
    <w:pPr>
      <w:jc w:val="center"/>
      <w:keepNext/>
      <w:outlineLvl w:val="0"/>
    </w:pPr>
    <w:rPr>
      <w:rFonts w:ascii="楷体_GB2312" w:hAnsi="Times New Roman" w:eastAsia="楷体_GB2312" w:cs="Times New Roman"/>
      <w:sz w:val="28"/>
      <w:szCs w:val="28"/>
    </w:rPr>
  </w:style>
  <w:style w:type="paragraph" w:styleId="873" w:customStyle="1">
    <w:name w:val="标题 21"/>
    <w:basedOn w:val="690"/>
    <w:next w:val="874"/>
    <w:link w:val="8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4" w:customStyle="1">
    <w:name w:val="正文缩进1"/>
    <w:basedOn w:val="690"/>
    <w:link w:val="887"/>
    <w:uiPriority w:val="0"/>
    <w:qFormat/>
    <w:pPr>
      <w:ind w:firstLine="420"/>
    </w:pPr>
    <w:rPr>
      <w:szCs w:val="21"/>
    </w:rPr>
  </w:style>
  <w:style w:type="paragraph" w:styleId="875" w:customStyle="1">
    <w:name w:val="标题 31"/>
    <w:basedOn w:val="690"/>
    <w:next w:val="874"/>
    <w:link w:val="88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6" w:customStyle="1">
    <w:name w:val="标题 41"/>
    <w:basedOn w:val="690"/>
    <w:next w:val="874"/>
    <w:link w:val="889"/>
    <w:uiPriority w:val="0"/>
    <w:qFormat/>
    <w:pPr>
      <w:keepLines/>
      <w:keepNext/>
      <w:spacing w:before="280" w:after="290" w:line="376" w:lineRule="auto"/>
      <w:outlineLvl w:val="3"/>
    </w:pPr>
    <w:rPr>
      <w:rFonts w:ascii="Arial" w:hAnsi="Arial" w:eastAsia="黑体" w:cs="Arial"/>
      <w:b/>
      <w:bCs/>
      <w:sz w:val="28"/>
      <w:szCs w:val="28"/>
    </w:rPr>
  </w:style>
  <w:style w:type="paragraph" w:styleId="877" w:customStyle="1">
    <w:name w:val="标题 51"/>
    <w:basedOn w:val="690"/>
    <w:next w:val="874"/>
    <w:link w:val="890"/>
    <w:uiPriority w:val="0"/>
    <w:qFormat/>
    <w:pPr>
      <w:keepNext/>
      <w:outlineLvl w:val="4"/>
    </w:pPr>
    <w:rPr>
      <w:rFonts w:ascii="宋体" w:hAnsi="Times New Roman" w:eastAsia="宋体" w:cs="Times New Roman"/>
      <w:color w:val="000000"/>
      <w:sz w:val="28"/>
      <w:szCs w:val="28"/>
    </w:rPr>
  </w:style>
  <w:style w:type="paragraph" w:styleId="878" w:customStyle="1">
    <w:name w:val="标题 61"/>
    <w:basedOn w:val="690"/>
    <w:next w:val="690"/>
    <w:link w:val="89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9" w:customStyle="1">
    <w:name w:val="标题 71"/>
    <w:basedOn w:val="690"/>
    <w:next w:val="690"/>
    <w:link w:val="89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0" w:customStyle="1">
    <w:name w:val="标题 81"/>
    <w:basedOn w:val="690"/>
    <w:next w:val="690"/>
    <w:link w:val="89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1" w:customStyle="1">
    <w:name w:val="标题 91"/>
    <w:basedOn w:val="690"/>
    <w:next w:val="690"/>
    <w:link w:val="89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2" w:customStyle="1">
    <w:name w:val="默认段落字体1"/>
    <w:link w:val="690"/>
    <w:uiPriority w:val="1"/>
    <w:unhideWhenUsed/>
    <w:qFormat/>
  </w:style>
  <w:style w:type="table" w:styleId="883" w:customStyle="1">
    <w:name w:val="普通表格1"/>
    <w:uiPriority w:val="99"/>
    <w:unhideWhenUsed/>
    <w:qFormat/>
    <w:tblPr/>
  </w:style>
  <w:style w:type="character" w:styleId="884" w:customStyle="1">
    <w:name w:val="正文文本 字符"/>
    <w:link w:val="723"/>
    <w:uiPriority w:val="0"/>
    <w:qFormat/>
    <w:rPr>
      <w:rFonts w:ascii="楷体_GB2312" w:hAnsi="Arial" w:eastAsia="楷体_GB2312" w:cs="Times New Roman"/>
      <w:sz w:val="28"/>
      <w:szCs w:val="28"/>
    </w:rPr>
  </w:style>
  <w:style w:type="character" w:styleId="885" w:customStyle="1">
    <w:name w:val="标题 1 字符"/>
    <w:link w:val="872"/>
    <w:uiPriority w:val="0"/>
    <w:qFormat/>
    <w:rPr>
      <w:rFonts w:ascii="楷体_GB2312" w:hAnsi="Times New Roman" w:eastAsia="楷体_GB2312" w:cs="Times New Roman"/>
      <w:sz w:val="28"/>
      <w:szCs w:val="28"/>
    </w:rPr>
  </w:style>
  <w:style w:type="character" w:styleId="886" w:customStyle="1">
    <w:name w:val="标题 2 字符"/>
    <w:link w:val="873"/>
    <w:uiPriority w:val="0"/>
    <w:qFormat/>
    <w:rPr>
      <w:rFonts w:ascii="Arial" w:hAnsi="Arial" w:eastAsia="幼圆" w:cs="Arial"/>
      <w:b/>
      <w:bCs/>
      <w:sz w:val="44"/>
      <w:szCs w:val="44"/>
    </w:rPr>
  </w:style>
  <w:style w:type="character" w:styleId="887" w:customStyle="1">
    <w:name w:val="正文缩进 字符"/>
    <w:link w:val="874"/>
    <w:uiPriority w:val="0"/>
    <w:qFormat/>
    <w:rPr>
      <w:szCs w:val="21"/>
    </w:rPr>
  </w:style>
  <w:style w:type="character" w:styleId="888" w:customStyle="1">
    <w:name w:val="标题 3 字符"/>
    <w:link w:val="875"/>
    <w:uiPriority w:val="0"/>
    <w:qFormat/>
    <w:rPr>
      <w:rFonts w:ascii="Times New Roman" w:hAnsi="Times New Roman" w:eastAsia="宋体" w:cs="Times New Roman"/>
      <w:b/>
      <w:bCs/>
      <w:sz w:val="32"/>
      <w:szCs w:val="32"/>
    </w:rPr>
  </w:style>
  <w:style w:type="character" w:styleId="889" w:customStyle="1">
    <w:name w:val="标题 4 字符"/>
    <w:link w:val="876"/>
    <w:uiPriority w:val="0"/>
    <w:qFormat/>
    <w:rPr>
      <w:rFonts w:ascii="Arial" w:hAnsi="Arial" w:eastAsia="黑体" w:cs="Arial"/>
      <w:b/>
      <w:bCs/>
      <w:sz w:val="28"/>
      <w:szCs w:val="28"/>
    </w:rPr>
  </w:style>
  <w:style w:type="character" w:styleId="890" w:customStyle="1">
    <w:name w:val="标题 5 字符"/>
    <w:link w:val="877"/>
    <w:uiPriority w:val="0"/>
    <w:qFormat/>
    <w:rPr>
      <w:rFonts w:ascii="宋体" w:hAnsi="Times New Roman" w:eastAsia="宋体" w:cs="Times New Roman"/>
      <w:color w:val="000000"/>
      <w:sz w:val="28"/>
      <w:szCs w:val="28"/>
    </w:rPr>
  </w:style>
  <w:style w:type="character" w:styleId="891" w:customStyle="1">
    <w:name w:val="标题 6 字符"/>
    <w:link w:val="878"/>
    <w:uiPriority w:val="0"/>
    <w:qFormat/>
    <w:rPr>
      <w:rFonts w:ascii="Arial" w:hAnsi="Arial" w:eastAsia="黑体" w:cs="Times New Roman"/>
      <w:b/>
      <w:bCs/>
      <w:sz w:val="24"/>
      <w:szCs w:val="24"/>
    </w:rPr>
  </w:style>
  <w:style w:type="character" w:styleId="892" w:customStyle="1">
    <w:name w:val="标题 7 字符"/>
    <w:link w:val="879"/>
    <w:uiPriority w:val="0"/>
    <w:qFormat/>
    <w:rPr>
      <w:rFonts w:ascii="Times New Roman" w:hAnsi="Times New Roman" w:eastAsia="宋体" w:cs="Times New Roman"/>
      <w:b/>
      <w:bCs/>
      <w:sz w:val="24"/>
      <w:szCs w:val="24"/>
    </w:rPr>
  </w:style>
  <w:style w:type="character" w:styleId="893" w:customStyle="1">
    <w:name w:val="标题 8 字符"/>
    <w:link w:val="880"/>
    <w:uiPriority w:val="0"/>
    <w:qFormat/>
    <w:rPr>
      <w:rFonts w:ascii="Arial" w:hAnsi="Arial" w:eastAsia="黑体" w:cs="Times New Roman"/>
      <w:sz w:val="24"/>
      <w:szCs w:val="24"/>
    </w:rPr>
  </w:style>
  <w:style w:type="character" w:styleId="894" w:customStyle="1">
    <w:name w:val="标题 9 字符"/>
    <w:link w:val="881"/>
    <w:uiPriority w:val="0"/>
    <w:qFormat/>
    <w:rPr>
      <w:rFonts w:ascii="Arial" w:hAnsi="Arial" w:eastAsia="黑体" w:cs="Times New Roman"/>
      <w:szCs w:val="21"/>
    </w:rPr>
  </w:style>
  <w:style w:type="paragraph" w:styleId="895" w:customStyle="1">
    <w:name w:val="列表 31"/>
    <w:basedOn w:val="690"/>
    <w:uiPriority w:val="0"/>
    <w:qFormat/>
    <w:pPr>
      <w:ind w:left="100" w:hanging="200"/>
    </w:pPr>
    <w:rPr>
      <w:rFonts w:ascii="Times New Roman" w:hAnsi="Times New Roman" w:eastAsia="宋体" w:cs="Times New Roman"/>
      <w:szCs w:val="21"/>
    </w:rPr>
  </w:style>
  <w:style w:type="paragraph" w:styleId="896"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897" w:customStyle="1">
    <w:name w:val="文档结构图1"/>
    <w:basedOn w:val="690"/>
    <w:link w:val="898"/>
    <w:uiPriority w:val="0"/>
    <w:semiHidden/>
    <w:qFormat/>
    <w:pPr>
      <w:shd w:val="clear" w:color="auto" w:fill="000080"/>
    </w:pPr>
    <w:rPr>
      <w:rFonts w:ascii="Times New Roman" w:hAnsi="Times New Roman" w:eastAsia="宋体" w:cs="Times New Roman"/>
      <w:szCs w:val="21"/>
    </w:rPr>
  </w:style>
  <w:style w:type="character" w:styleId="898" w:customStyle="1">
    <w:name w:val="文档结构图 字符"/>
    <w:link w:val="897"/>
    <w:uiPriority w:val="0"/>
    <w:semiHidden/>
    <w:qFormat/>
    <w:rPr>
      <w:rFonts w:ascii="Times New Roman" w:hAnsi="Times New Roman" w:eastAsia="宋体" w:cs="Times New Roman"/>
      <w:szCs w:val="21"/>
      <w:shd w:val="clear" w:color="auto" w:fill="000080"/>
    </w:rPr>
  </w:style>
  <w:style w:type="paragraph" w:styleId="899" w:customStyle="1">
    <w:name w:val="批注文字1"/>
    <w:basedOn w:val="690"/>
    <w:link w:val="900"/>
    <w:uiPriority w:val="0"/>
    <w:unhideWhenUsed/>
    <w:qFormat/>
    <w:pPr>
      <w:jc w:val="left"/>
    </w:pPr>
  </w:style>
  <w:style w:type="character" w:styleId="900" w:customStyle="1">
    <w:name w:val="批注文字 字符"/>
    <w:link w:val="899"/>
    <w:uiPriority w:val="99"/>
    <w:semiHidden/>
    <w:qFormat/>
  </w:style>
  <w:style w:type="paragraph" w:styleId="901" w:customStyle="1">
    <w:name w:val="正文文本 31"/>
    <w:basedOn w:val="690"/>
    <w:link w:val="902"/>
    <w:uiPriority w:val="0"/>
    <w:qFormat/>
    <w:rPr>
      <w:rFonts w:ascii="仿宋_GB2312" w:hAnsi="Arial" w:eastAsia="仿宋_GB2312" w:cs="Times New Roman"/>
      <w:sz w:val="32"/>
      <w:szCs w:val="32"/>
    </w:rPr>
  </w:style>
  <w:style w:type="character" w:styleId="902" w:customStyle="1">
    <w:name w:val="正文文本 3 字符"/>
    <w:link w:val="901"/>
    <w:uiPriority w:val="0"/>
    <w:qFormat/>
    <w:rPr>
      <w:rFonts w:ascii="仿宋_GB2312" w:hAnsi="Arial" w:eastAsia="仿宋_GB2312" w:cs="Times New Roman"/>
      <w:sz w:val="32"/>
      <w:szCs w:val="32"/>
    </w:rPr>
  </w:style>
  <w:style w:type="paragraph" w:styleId="903" w:customStyle="1">
    <w:name w:val="正文文本缩进1"/>
    <w:basedOn w:val="690"/>
    <w:link w:val="904"/>
    <w:uiPriority w:val="0"/>
    <w:unhideWhenUsed/>
    <w:qFormat/>
    <w:pPr>
      <w:ind w:left="420"/>
      <w:spacing w:after="120"/>
    </w:pPr>
  </w:style>
  <w:style w:type="character" w:styleId="904" w:customStyle="1">
    <w:name w:val="正文文本缩进 字符"/>
    <w:link w:val="903"/>
    <w:uiPriority w:val="99"/>
    <w:semiHidden/>
    <w:qFormat/>
  </w:style>
  <w:style w:type="paragraph" w:styleId="905" w:customStyle="1">
    <w:name w:val="列表 21"/>
    <w:basedOn w:val="690"/>
    <w:uiPriority w:val="0"/>
    <w:qFormat/>
    <w:pPr>
      <w:ind w:left="100" w:hanging="200"/>
    </w:pPr>
    <w:rPr>
      <w:rFonts w:ascii="Times New Roman" w:hAnsi="Times New Roman" w:eastAsia="宋体" w:cs="Times New Roman"/>
      <w:szCs w:val="21"/>
    </w:rPr>
  </w:style>
  <w:style w:type="paragraph" w:styleId="906"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07"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08" w:customStyle="1">
    <w:name w:val="纯文本1"/>
    <w:basedOn w:val="690"/>
    <w:link w:val="909"/>
    <w:uiPriority w:val="0"/>
    <w:qFormat/>
    <w:rPr>
      <w:rFonts w:ascii="宋体" w:hAnsi="Courier New" w:eastAsia="宋体" w:cs="Courier New"/>
      <w:szCs w:val="21"/>
    </w:rPr>
  </w:style>
  <w:style w:type="character" w:styleId="909" w:customStyle="1">
    <w:name w:val="纯文本 字符"/>
    <w:link w:val="908"/>
    <w:uiPriority w:val="0"/>
    <w:qFormat/>
    <w:rPr>
      <w:rFonts w:ascii="宋体" w:hAnsi="Courier New" w:eastAsia="宋体" w:cs="Courier New"/>
      <w:szCs w:val="21"/>
    </w:rPr>
  </w:style>
  <w:style w:type="paragraph" w:styleId="910"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11" w:customStyle="1">
    <w:name w:val="日期1"/>
    <w:basedOn w:val="690"/>
    <w:next w:val="690"/>
    <w:link w:val="912"/>
    <w:uiPriority w:val="0"/>
    <w:qFormat/>
    <w:rPr>
      <w:rFonts w:ascii="Times New Roman" w:hAnsi="Times New Roman" w:eastAsia="宋体" w:cs="Times New Roman"/>
      <w:sz w:val="24"/>
      <w:szCs w:val="24"/>
    </w:rPr>
  </w:style>
  <w:style w:type="character" w:styleId="912" w:customStyle="1">
    <w:name w:val="日期 字符"/>
    <w:link w:val="911"/>
    <w:uiPriority w:val="0"/>
    <w:qFormat/>
    <w:rPr>
      <w:rFonts w:ascii="Times New Roman" w:hAnsi="Times New Roman" w:eastAsia="宋体" w:cs="Times New Roman"/>
      <w:sz w:val="24"/>
      <w:szCs w:val="24"/>
    </w:rPr>
  </w:style>
  <w:style w:type="paragraph" w:styleId="913" w:customStyle="1">
    <w:name w:val="正文文本缩进 21"/>
    <w:basedOn w:val="690"/>
    <w:link w:val="914"/>
    <w:uiPriority w:val="0"/>
    <w:qFormat/>
    <w:pPr>
      <w:ind w:left="630" w:firstLine="645"/>
    </w:pPr>
    <w:rPr>
      <w:rFonts w:ascii="Arial" w:hAnsi="Arial" w:eastAsia="仿宋_GB2312" w:cs="Arial"/>
      <w:sz w:val="32"/>
      <w:szCs w:val="32"/>
    </w:rPr>
  </w:style>
  <w:style w:type="character" w:styleId="914" w:customStyle="1">
    <w:name w:val="正文文本缩进 2 字符"/>
    <w:link w:val="913"/>
    <w:uiPriority w:val="0"/>
    <w:qFormat/>
    <w:rPr>
      <w:rFonts w:ascii="Arial" w:hAnsi="Arial" w:eastAsia="仿宋_GB2312" w:cs="Arial"/>
      <w:sz w:val="32"/>
      <w:szCs w:val="32"/>
    </w:rPr>
  </w:style>
  <w:style w:type="paragraph" w:styleId="915" w:customStyle="1">
    <w:name w:val="批注框文本1"/>
    <w:basedOn w:val="690"/>
    <w:link w:val="916"/>
    <w:uiPriority w:val="0"/>
    <w:semiHidden/>
    <w:qFormat/>
    <w:rPr>
      <w:rFonts w:ascii="Times New Roman" w:hAnsi="Times New Roman" w:eastAsia="宋体" w:cs="Times New Roman"/>
      <w:sz w:val="18"/>
      <w:szCs w:val="18"/>
    </w:rPr>
  </w:style>
  <w:style w:type="character" w:styleId="916" w:customStyle="1">
    <w:name w:val="批注框文本 字符"/>
    <w:link w:val="915"/>
    <w:uiPriority w:val="0"/>
    <w:semiHidden/>
    <w:qFormat/>
    <w:rPr>
      <w:rFonts w:ascii="Times New Roman" w:hAnsi="Times New Roman" w:eastAsia="宋体" w:cs="Times New Roman"/>
      <w:sz w:val="18"/>
      <w:szCs w:val="18"/>
    </w:rPr>
  </w:style>
  <w:style w:type="paragraph" w:styleId="917" w:customStyle="1">
    <w:name w:val="页脚1"/>
    <w:basedOn w:val="690"/>
    <w:link w:val="918"/>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18" w:customStyle="1">
    <w:name w:val="页脚 字符"/>
    <w:link w:val="917"/>
    <w:uiPriority w:val="99"/>
    <w:qFormat/>
    <w:rPr>
      <w:rFonts w:ascii="Times New Roman" w:hAnsi="Times New Roman" w:eastAsia="宋体" w:cs="Times New Roman"/>
      <w:sz w:val="18"/>
      <w:szCs w:val="18"/>
    </w:rPr>
  </w:style>
  <w:style w:type="paragraph" w:styleId="919" w:customStyle="1">
    <w:name w:val="页眉1"/>
    <w:basedOn w:val="690"/>
    <w:link w:val="92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customStyle="1">
    <w:name w:val="页眉 字符"/>
    <w:link w:val="919"/>
    <w:uiPriority w:val="0"/>
    <w:qFormat/>
    <w:rPr>
      <w:rFonts w:ascii="Times New Roman" w:hAnsi="Times New Roman" w:eastAsia="宋体" w:cs="Times New Roman"/>
      <w:sz w:val="18"/>
      <w:szCs w:val="18"/>
    </w:rPr>
  </w:style>
  <w:style w:type="paragraph" w:styleId="921"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2"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23" w:customStyle="1">
    <w:name w:val="列表1"/>
    <w:basedOn w:val="690"/>
    <w:uiPriority w:val="0"/>
    <w:qFormat/>
    <w:pPr>
      <w:ind w:left="200" w:hanging="200"/>
    </w:pPr>
    <w:rPr>
      <w:rFonts w:ascii="Times New Roman" w:hAnsi="Times New Roman" w:eastAsia="宋体" w:cs="Times New Roman"/>
      <w:szCs w:val="21"/>
    </w:rPr>
  </w:style>
  <w:style w:type="paragraph" w:styleId="924"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25" w:customStyle="1">
    <w:name w:val="正文文本缩进 31"/>
    <w:basedOn w:val="690"/>
    <w:link w:val="926"/>
    <w:uiPriority w:val="0"/>
    <w:qFormat/>
    <w:pPr>
      <w:ind w:left="645" w:firstLine="645"/>
    </w:pPr>
    <w:rPr>
      <w:rFonts w:ascii="Arial" w:hAnsi="Arial" w:eastAsia="仿宋_GB2312" w:cs="Arial"/>
      <w:color w:val="ffff00"/>
      <w:sz w:val="32"/>
      <w:szCs w:val="32"/>
    </w:rPr>
  </w:style>
  <w:style w:type="character" w:styleId="926" w:customStyle="1">
    <w:name w:val="正文文本缩进 3 字符"/>
    <w:link w:val="925"/>
    <w:uiPriority w:val="0"/>
    <w:qFormat/>
    <w:rPr>
      <w:rFonts w:ascii="Arial" w:hAnsi="Arial" w:eastAsia="仿宋_GB2312" w:cs="Arial"/>
      <w:color w:val="ffff00"/>
      <w:sz w:val="32"/>
      <w:szCs w:val="32"/>
    </w:rPr>
  </w:style>
  <w:style w:type="paragraph" w:styleId="927"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28"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29"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0" w:customStyle="1">
    <w:name w:val="正文文本 21"/>
    <w:basedOn w:val="690"/>
    <w:link w:val="931"/>
    <w:uiPriority w:val="0"/>
    <w:qFormat/>
    <w:pPr>
      <w:jc w:val="center"/>
      <w:widowControl/>
    </w:pPr>
    <w:rPr>
      <w:rFonts w:ascii="楷体_GB2312" w:hAnsi="Times New Roman" w:eastAsia="楷体_GB2312" w:cs="Times New Roman"/>
      <w:sz w:val="28"/>
      <w:szCs w:val="28"/>
    </w:rPr>
  </w:style>
  <w:style w:type="character" w:styleId="931" w:customStyle="1">
    <w:name w:val="正文文本 2 字符"/>
    <w:link w:val="930"/>
    <w:uiPriority w:val="0"/>
    <w:qFormat/>
    <w:rPr>
      <w:rFonts w:ascii="楷体_GB2312" w:hAnsi="Times New Roman" w:eastAsia="楷体_GB2312" w:cs="Times New Roman"/>
      <w:sz w:val="28"/>
      <w:szCs w:val="28"/>
    </w:rPr>
  </w:style>
  <w:style w:type="paragraph" w:styleId="932"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33"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34" w:customStyle="1">
    <w:name w:val="批注主题1"/>
    <w:basedOn w:val="899"/>
    <w:next w:val="899"/>
    <w:link w:val="935"/>
    <w:uiPriority w:val="0"/>
    <w:semiHidden/>
    <w:qFormat/>
    <w:rPr>
      <w:rFonts w:ascii="Times New Roman" w:hAnsi="Times New Roman" w:eastAsia="宋体" w:cs="Times New Roman"/>
      <w:b/>
      <w:bCs/>
      <w:szCs w:val="21"/>
    </w:rPr>
  </w:style>
  <w:style w:type="character" w:styleId="935" w:customStyle="1">
    <w:name w:val="批注主题 字符"/>
    <w:link w:val="934"/>
    <w:uiPriority w:val="0"/>
    <w:semiHidden/>
    <w:qFormat/>
    <w:rPr>
      <w:rFonts w:ascii="Times New Roman" w:hAnsi="Times New Roman" w:eastAsia="宋体" w:cs="Times New Roman"/>
      <w:b/>
      <w:bCs/>
      <w:szCs w:val="21"/>
    </w:rPr>
  </w:style>
  <w:style w:type="paragraph" w:styleId="936" w:customStyle="1">
    <w:name w:val="正文首行缩进1"/>
    <w:basedOn w:val="690"/>
    <w:link w:val="937"/>
    <w:uiPriority w:val="0"/>
    <w:qFormat/>
    <w:pPr>
      <w:ind w:firstLine="200"/>
      <w:spacing w:line="360" w:lineRule="auto"/>
    </w:pPr>
    <w:rPr>
      <w:rFonts w:ascii="仿宋_GB2312" w:hAnsi="Times New Roman" w:eastAsia="仿宋_GB2312" w:cs="Times New Roman"/>
      <w:sz w:val="30"/>
      <w:szCs w:val="30"/>
    </w:rPr>
  </w:style>
  <w:style w:type="character" w:styleId="937" w:customStyle="1">
    <w:name w:val="正文首行缩进 字符"/>
    <w:link w:val="936"/>
    <w:uiPriority w:val="0"/>
    <w:qFormat/>
    <w:rPr>
      <w:rFonts w:ascii="仿宋_GB2312" w:hAnsi="Times New Roman" w:eastAsia="仿宋_GB2312" w:cs="Times New Roman"/>
      <w:sz w:val="30"/>
      <w:szCs w:val="30"/>
    </w:rPr>
  </w:style>
  <w:style w:type="paragraph" w:styleId="938" w:customStyle="1">
    <w:name w:val="正文首行缩进 21"/>
    <w:basedOn w:val="903"/>
    <w:link w:val="939"/>
    <w:uiPriority w:val="0"/>
    <w:qFormat/>
    <w:pPr>
      <w:ind w:left="0" w:firstLine="420"/>
      <w:spacing w:after="0" w:line="360" w:lineRule="auto"/>
    </w:pPr>
    <w:rPr>
      <w:rFonts w:ascii="宋体" w:hAnsi="宋体" w:eastAsia="宋体" w:cs="Times New Roman"/>
      <w:szCs w:val="20"/>
    </w:rPr>
  </w:style>
  <w:style w:type="character" w:styleId="939" w:customStyle="1">
    <w:name w:val="正文首行缩进 2 字符"/>
    <w:link w:val="938"/>
    <w:uiPriority w:val="0"/>
    <w:qFormat/>
    <w:rPr>
      <w:rFonts w:ascii="宋体" w:hAnsi="宋体" w:eastAsia="宋体" w:cs="Times New Roman"/>
      <w:szCs w:val="20"/>
    </w:rPr>
  </w:style>
  <w:style w:type="table" w:styleId="940" w:customStyle="1">
    <w:name w:val="网格型1"/>
    <w:basedOn w:val="883"/>
    <w:uiPriority w:val="0"/>
    <w:qFormat/>
    <w:pPr>
      <w:jc w:val="both"/>
      <w:widowControl w:val="off"/>
    </w:pPr>
    <w:rPr>
      <w:rFonts w:ascii="Times New Roman" w:hAnsi="Times New Roman" w:eastAsia="宋体" w:cs="Times New Roman"/>
      <w:sz w:val="20"/>
      <w:szCs w:val="20"/>
    </w:rPr>
    <w:tblPr/>
  </w:style>
  <w:style w:type="character" w:styleId="941" w:customStyle="1">
    <w:name w:val="要点1"/>
    <w:link w:val="690"/>
    <w:uiPriority w:val="0"/>
    <w:qFormat/>
    <w:rPr>
      <w:b/>
      <w:bCs/>
    </w:rPr>
  </w:style>
  <w:style w:type="character" w:styleId="942" w:customStyle="1">
    <w:name w:val="页码1"/>
    <w:link w:val="690"/>
    <w:uiPriority w:val="0"/>
    <w:qFormat/>
  </w:style>
  <w:style w:type="character" w:styleId="943" w:customStyle="1">
    <w:name w:val="已访问的超链接1"/>
    <w:link w:val="690"/>
    <w:uiPriority w:val="0"/>
    <w:qFormat/>
    <w:rPr>
      <w:color w:val="800080"/>
      <w:u w:val="single"/>
    </w:rPr>
  </w:style>
  <w:style w:type="character" w:styleId="944" w:customStyle="1">
    <w:name w:val="超链接1"/>
    <w:link w:val="690"/>
    <w:uiPriority w:val="0"/>
    <w:qFormat/>
    <w:rPr>
      <w:color w:val="0000ff"/>
      <w:u w:val="single"/>
    </w:rPr>
  </w:style>
  <w:style w:type="character" w:styleId="945" w:customStyle="1">
    <w:name w:val="批注引用1"/>
    <w:link w:val="690"/>
    <w:uiPriority w:val="0"/>
    <w:semiHidden/>
    <w:qFormat/>
    <w:rPr>
      <w:sz w:val="21"/>
      <w:szCs w:val="21"/>
    </w:rPr>
  </w:style>
  <w:style w:type="character" w:styleId="946" w:customStyle="1">
    <w:name w:val="font5 Char"/>
    <w:link w:val="690"/>
    <w:uiPriority w:val="0"/>
    <w:qFormat/>
    <w:rPr>
      <w:rFonts w:ascii="宋体" w:hAnsi="宋体" w:eastAsia="宋体"/>
      <w:sz w:val="28"/>
      <w:szCs w:val="28"/>
      <w:lang w:val="en-US" w:eastAsia="zh-CN" w:bidi="ar-SA"/>
    </w:rPr>
  </w:style>
  <w:style w:type="character" w:styleId="947" w:customStyle="1">
    <w:name w:val="二级目录 Char"/>
    <w:link w:val="948"/>
    <w:uiPriority w:val="0"/>
    <w:qFormat/>
    <w:rPr>
      <w:b/>
      <w:sz w:val="30"/>
      <w:szCs w:val="28"/>
    </w:rPr>
  </w:style>
  <w:style w:type="paragraph" w:styleId="948" w:customStyle="1">
    <w:name w:val="二级目录"/>
    <w:next w:val="690"/>
    <w:link w:val="94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49" w:customStyle="1">
    <w:name w:val="列出段落 Char"/>
    <w:link w:val="950"/>
    <w:uiPriority w:val="0"/>
    <w:qFormat/>
    <w:rPr>
      <w:rFonts w:ascii="Calibri" w:hAnsi="Calibri"/>
      <w:sz w:val="24"/>
      <w:szCs w:val="24"/>
      <w:lang w:eastAsia="en-US" w:bidi="en-US"/>
    </w:rPr>
  </w:style>
  <w:style w:type="paragraph" w:styleId="950" w:customStyle="1">
    <w:name w:val="列出段落1"/>
    <w:basedOn w:val="690"/>
    <w:link w:val="949"/>
    <w:uiPriority w:val="0"/>
    <w:qFormat/>
    <w:pPr>
      <w:contextualSpacing/>
      <w:ind w:left="720"/>
      <w:jc w:val="left"/>
      <w:widowControl/>
    </w:pPr>
    <w:rPr>
      <w:rFonts w:ascii="Calibri" w:hAnsi="Calibri"/>
      <w:sz w:val="24"/>
      <w:szCs w:val="24"/>
      <w:lang w:eastAsia="en-US" w:bidi="en-US"/>
    </w:rPr>
  </w:style>
  <w:style w:type="paragraph" w:styleId="951" w:customStyle="1">
    <w:name w:val="Body Text(ch)"/>
    <w:basedOn w:val="690"/>
    <w:next w:val="723"/>
    <w:uiPriority w:val="0"/>
    <w:qFormat/>
    <w:pPr>
      <w:spacing w:after="120"/>
    </w:pPr>
    <w:rPr>
      <w:rFonts w:ascii="宋体" w:hAnsi="Arial" w:eastAsia="宋体" w:cs="Times New Roman"/>
      <w:bCs/>
      <w:iCs/>
      <w:szCs w:val="24"/>
    </w:rPr>
  </w:style>
  <w:style w:type="paragraph" w:styleId="952"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55" w:customStyle="1">
    <w:name w:val=" Char"/>
    <w:basedOn w:val="897"/>
    <w:uiPriority w:val="0"/>
    <w:qFormat/>
    <w:rPr>
      <w:rFonts w:ascii="Tahoma" w:hAnsi="Tahoma"/>
      <w:sz w:val="24"/>
      <w:szCs w:val="24"/>
    </w:rPr>
  </w:style>
  <w:style w:type="paragraph" w:styleId="956"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57"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5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9"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0" w:customStyle="1">
    <w:name w:val=" Char Char Char Char"/>
    <w:basedOn w:val="897"/>
    <w:uiPriority w:val="0"/>
    <w:qFormat/>
    <w:pPr>
      <w:spacing w:line="360" w:lineRule="auto"/>
    </w:pPr>
    <w:rPr>
      <w:rFonts w:ascii="Tahoma" w:hAnsi="Tahoma"/>
      <w:sz w:val="24"/>
      <w:szCs w:val="24"/>
    </w:rPr>
  </w:style>
  <w:style w:type="paragraph" w:styleId="961" w:customStyle="1">
    <w:name w:val="列出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62" w:customStyle="1">
    <w:name w:val="4"/>
    <w:basedOn w:val="690"/>
    <w:next w:val="925"/>
    <w:uiPriority w:val="0"/>
    <w:qFormat/>
    <w:pPr>
      <w:ind w:firstLine="420"/>
      <w:spacing w:line="360" w:lineRule="auto"/>
    </w:pPr>
    <w:rPr>
      <w:rFonts w:ascii="Times New Roman" w:hAnsi="Times New Roman" w:eastAsia="宋体" w:cs="Times New Roman"/>
      <w:color w:val="ff0000"/>
      <w:sz w:val="24"/>
      <w:szCs w:val="24"/>
    </w:rPr>
  </w:style>
  <w:style w:type="paragraph" w:styleId="963"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64"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65" w:customStyle="1">
    <w:name w:val="样式1"/>
    <w:basedOn w:val="690"/>
    <w:uiPriority w:val="0"/>
    <w:qFormat/>
    <w:pPr>
      <w:numPr>
        <w:ilvl w:val="0"/>
        <w:numId w:val="3"/>
      </w:numPr>
    </w:pPr>
    <w:rPr>
      <w:rFonts w:ascii="宋体" w:hAnsi="宋体" w:eastAsia="宋体" w:cs="Times New Roman"/>
      <w:szCs w:val="21"/>
    </w:rPr>
  </w:style>
  <w:style w:type="paragraph" w:styleId="966"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7"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8"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9"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70"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2"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73"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4"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75"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6" w:customStyle="1">
    <w:name w:val="Char Char Char Char"/>
    <w:basedOn w:val="897"/>
    <w:uiPriority w:val="0"/>
    <w:qFormat/>
    <w:pPr>
      <w:spacing w:line="360" w:lineRule="auto"/>
    </w:pPr>
    <w:rPr>
      <w:rFonts w:ascii="Tahoma" w:hAnsi="Tahoma"/>
      <w:sz w:val="24"/>
      <w:szCs w:val="24"/>
    </w:rPr>
  </w:style>
  <w:style w:type="paragraph" w:styleId="977"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78"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9"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3" w:customStyle="1">
    <w:name w:val="正文样式"/>
    <w:uiPriority w:val="0"/>
    <w:unhideWhenUsed/>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84" w:customStyle="1">
    <w:name w:val="表头样式"/>
    <w:uiPriority w:val="0"/>
    <w:unhideWhenUsed/>
    <w:qFormat/>
    <w:pPr>
      <w:jc w:val="center"/>
      <w:keepNext/>
      <w:widowControl w:val="off"/>
    </w:pPr>
    <w:rPr>
      <w:rFonts w:hint="default" w:ascii="Times New Roman" w:hAnsi="Times New Roman" w:eastAsia="宋体" w:cs="Times New Roman"/>
      <w:b/>
      <w:bCs/>
      <w:sz w:val="21"/>
      <w:szCs w:val="32"/>
      <w:lang w:val="zh-CN" w:eastAsia="zh-CN" w:bidi="ar-SA"/>
    </w:rPr>
  </w:style>
  <w:style w:type="paragraph" w:styleId="985" w:customStyle="1">
    <w:name w:val="表格样式"/>
    <w:uiPriority w:val="0"/>
    <w:unhideWhenUsed/>
    <w:qFormat/>
    <w:pPr>
      <w:widowControl w:val="off"/>
    </w:pPr>
    <w:rPr>
      <w:rFonts w:hint="default" w:ascii="Times New Roman" w:hAnsi="Times New Roman" w:eastAsia="宋体" w:cs="Times New Roman"/>
      <w:sz w:val="21"/>
      <w:szCs w:val="21"/>
      <w:lang w:val="en-US" w:eastAsia="zh-CN" w:bidi="ar-SA"/>
    </w:rPr>
  </w:style>
  <w:style w:type="character" w:styleId="986" w:customStyle="1">
    <w:name w:val="font91"/>
    <w:basedOn w:val="700"/>
    <w:uiPriority w:val="0"/>
    <w:qFormat/>
    <w:rPr>
      <w:rFonts w:ascii="黑体" w:hAnsi="宋体" w:eastAsia="黑体" w:cs="黑体"/>
      <w:color w:val="000000"/>
      <w:sz w:val="22"/>
      <w:szCs w:val="22"/>
      <w:u w:val="none"/>
    </w:rPr>
  </w:style>
  <w:style w:type="numbering" w:styleId="15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王建浩</cp:lastModifiedBy>
  <cp:revision>5</cp:revision>
  <dcterms:created xsi:type="dcterms:W3CDTF">2023-03-16T02:13:00Z</dcterms:created>
  <dcterms:modified xsi:type="dcterms:W3CDTF">2024-09-12T02:37:08Z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980259022E294056A02C3CF052DD38E5_13</vt:lpwstr>
  </property>
</Properties>
</file>