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江阴市人民医院吊塔采购项目</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JSZC-320281-JZCG-G2025-0072</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宋体"/>
          <w:b/>
          <w:bCs/>
          <w:sz w:val="32"/>
          <w:szCs w:val="32"/>
          <w:lang w:eastAsia="zh-CN"/>
        </w:rPr>
        <w:t xml:space="preserve">：</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2"/>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lang w:eastAsia="zh-CN"/>
        </w:rPr>
        <w:t xml:space="preserve">二〇二五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lang w:eastAsia="zh-CN"/>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65"/>
        <w:spacing w:line="600" w:lineRule="exact"/>
        <w:tabs>
          <w:tab w:val="right" w:pos="9402" w:leader="dot"/>
        </w:tabs>
        <w:rPr>
          <w:rStyle w:val="778"/>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"_Toc201302569" \o "#_Toc201302569" </w:instrText>
      </w:r>
      <w:r>
        <w:fldChar w:fldCharType="separate"/>
      </w:r>
      <w:r>
        <w:rPr>
          <w:rStyle w:val="778"/>
          <w:rFonts w:hint="eastAsia"/>
          <w:color w:val="auto"/>
          <w:sz w:val="30"/>
          <w:szCs w:val="30"/>
        </w:rPr>
        <w:t xml:space="preserve">第一章　投标邀请</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_Toc201302569 \h </w:instrText>
      </w:r>
      <w:r>
        <w:rPr>
          <w:rStyle w:val="778"/>
          <w:color w:val="auto"/>
          <w:sz w:val="30"/>
          <w:szCs w:val="30"/>
        </w:rPr>
        <w:fldChar w:fldCharType="separate"/>
      </w:r>
      <w:r>
        <w:rPr>
          <w:rStyle w:val="778"/>
          <w:color w:val="auto"/>
          <w:sz w:val="30"/>
          <w:szCs w:val="30"/>
        </w:rPr>
        <w:t xml:space="preserve">3</w:t>
      </w:r>
      <w:r>
        <w:rPr>
          <w:rStyle w:val="778"/>
          <w:color w:val="auto"/>
          <w:sz w:val="30"/>
          <w:szCs w:val="30"/>
        </w:rPr>
        <w:fldChar w:fldCharType="end"/>
      </w:r>
      <w:r>
        <w:rPr>
          <w:rStyle w:val="778"/>
          <w:color w:val="auto"/>
          <w:sz w:val="30"/>
          <w:szCs w:val="30"/>
        </w:rPr>
        <w:fldChar w:fldCharType="end"/>
      </w:r>
      <w:r/>
    </w:p>
    <w:p>
      <w:pPr>
        <w:pStyle w:val="765"/>
        <w:spacing w:line="600" w:lineRule="exact"/>
        <w:tabs>
          <w:tab w:val="right" w:pos="9402" w:leader="dot"/>
        </w:tabs>
        <w:rPr>
          <w:rStyle w:val="778"/>
          <w:color w:val="auto"/>
          <w:sz w:val="30"/>
          <w:szCs w:val="30"/>
        </w:rPr>
      </w:pPr>
      <w:r>
        <w:fldChar w:fldCharType="begin"/>
      </w:r>
      <w:r>
        <w:instrText xml:space="preserve"> HYPERLINK \l "_Toc201302570" \o "#_Toc201302570" </w:instrText>
      </w:r>
      <w:r>
        <w:fldChar w:fldCharType="separate"/>
      </w:r>
      <w:r>
        <w:rPr>
          <w:rStyle w:val="778"/>
          <w:rFonts w:hint="eastAsia"/>
          <w:color w:val="auto"/>
          <w:sz w:val="30"/>
          <w:szCs w:val="30"/>
        </w:rPr>
        <w:t xml:space="preserve">第二章　投标人须知</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_Toc201302570 \h </w:instrText>
      </w:r>
      <w:r>
        <w:rPr>
          <w:rStyle w:val="778"/>
          <w:color w:val="auto"/>
          <w:sz w:val="30"/>
          <w:szCs w:val="30"/>
        </w:rPr>
        <w:fldChar w:fldCharType="separate"/>
      </w:r>
      <w:r>
        <w:rPr>
          <w:rStyle w:val="778"/>
          <w:color w:val="auto"/>
          <w:sz w:val="30"/>
          <w:szCs w:val="30"/>
        </w:rPr>
        <w:t xml:space="preserve">6</w:t>
      </w:r>
      <w:r>
        <w:rPr>
          <w:rStyle w:val="778"/>
          <w:color w:val="auto"/>
          <w:sz w:val="30"/>
          <w:szCs w:val="30"/>
        </w:rPr>
        <w:fldChar w:fldCharType="end"/>
      </w:r>
      <w:r>
        <w:rPr>
          <w:rStyle w:val="778"/>
          <w:color w:val="auto"/>
          <w:sz w:val="30"/>
          <w:szCs w:val="30"/>
        </w:rPr>
        <w:fldChar w:fldCharType="end"/>
      </w:r>
      <w:r/>
    </w:p>
    <w:p>
      <w:pPr>
        <w:pStyle w:val="765"/>
        <w:spacing w:line="600" w:lineRule="exact"/>
        <w:tabs>
          <w:tab w:val="right" w:pos="9402" w:leader="dot"/>
        </w:tabs>
        <w:rPr>
          <w:rStyle w:val="778"/>
          <w:color w:val="auto"/>
          <w:sz w:val="30"/>
          <w:szCs w:val="30"/>
        </w:rPr>
      </w:pPr>
      <w:r>
        <w:fldChar w:fldCharType="begin"/>
      </w:r>
      <w:r>
        <w:instrText xml:space="preserve"> HYPERLINK \l "_Toc201302571" \o "#_Toc201302571" </w:instrText>
      </w:r>
      <w:r>
        <w:fldChar w:fldCharType="separate"/>
      </w:r>
      <w:r>
        <w:rPr>
          <w:rStyle w:val="778"/>
          <w:rFonts w:hint="eastAsia"/>
          <w:color w:val="auto"/>
          <w:sz w:val="30"/>
          <w:szCs w:val="30"/>
        </w:rPr>
        <w:t xml:space="preserve">第三章　项目要求和有关说明</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_Toc201302571 \h </w:instrText>
      </w:r>
      <w:r>
        <w:rPr>
          <w:rStyle w:val="778"/>
          <w:color w:val="auto"/>
          <w:sz w:val="30"/>
          <w:szCs w:val="30"/>
        </w:rPr>
        <w:fldChar w:fldCharType="separate"/>
      </w:r>
      <w:r>
        <w:rPr>
          <w:rStyle w:val="778"/>
          <w:color w:val="auto"/>
          <w:sz w:val="30"/>
          <w:szCs w:val="30"/>
        </w:rPr>
        <w:t xml:space="preserve">- 17 -</w:t>
      </w:r>
      <w:r>
        <w:rPr>
          <w:rStyle w:val="778"/>
          <w:color w:val="auto"/>
          <w:sz w:val="30"/>
          <w:szCs w:val="30"/>
        </w:rPr>
        <w:fldChar w:fldCharType="end"/>
      </w:r>
      <w:r>
        <w:rPr>
          <w:rStyle w:val="778"/>
          <w:color w:val="auto"/>
          <w:sz w:val="30"/>
          <w:szCs w:val="30"/>
        </w:rPr>
        <w:fldChar w:fldCharType="end"/>
      </w:r>
      <w:r/>
    </w:p>
    <w:p>
      <w:pPr>
        <w:pStyle w:val="765"/>
        <w:spacing w:line="600" w:lineRule="exact"/>
        <w:tabs>
          <w:tab w:val="right" w:pos="9402" w:leader="dot"/>
        </w:tabs>
        <w:rPr>
          <w:rStyle w:val="778"/>
          <w:color w:val="auto"/>
          <w:sz w:val="30"/>
          <w:szCs w:val="30"/>
        </w:rPr>
      </w:pPr>
      <w:r>
        <w:fldChar w:fldCharType="begin"/>
      </w:r>
      <w:r>
        <w:instrText xml:space="preserve"> HYPERLINK \l "_Toc201302572" \o "#_Toc201302572" </w:instrText>
      </w:r>
      <w:r>
        <w:fldChar w:fldCharType="separate"/>
      </w:r>
      <w:r>
        <w:rPr>
          <w:rStyle w:val="778"/>
          <w:rFonts w:hint="eastAsia"/>
          <w:color w:val="auto"/>
          <w:sz w:val="30"/>
          <w:szCs w:val="30"/>
        </w:rPr>
        <w:t xml:space="preserve">第四章　评标方法和评标标准</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_Toc201302572 \h </w:instrText>
      </w:r>
      <w:r>
        <w:rPr>
          <w:rStyle w:val="778"/>
          <w:color w:val="auto"/>
          <w:sz w:val="30"/>
          <w:szCs w:val="30"/>
        </w:rPr>
        <w:fldChar w:fldCharType="separate"/>
      </w:r>
      <w:r>
        <w:rPr>
          <w:rStyle w:val="778"/>
          <w:color w:val="auto"/>
          <w:sz w:val="30"/>
          <w:szCs w:val="30"/>
        </w:rPr>
        <w:t xml:space="preserve">26</w:t>
      </w:r>
      <w:r>
        <w:rPr>
          <w:rStyle w:val="778"/>
          <w:color w:val="auto"/>
          <w:sz w:val="30"/>
          <w:szCs w:val="30"/>
        </w:rPr>
        <w:fldChar w:fldCharType="end"/>
      </w:r>
      <w:r>
        <w:rPr>
          <w:rStyle w:val="778"/>
          <w:color w:val="auto"/>
          <w:sz w:val="30"/>
          <w:szCs w:val="30"/>
        </w:rPr>
        <w:fldChar w:fldCharType="end"/>
      </w:r>
      <w:r/>
    </w:p>
    <w:p>
      <w:pPr>
        <w:pStyle w:val="765"/>
        <w:spacing w:line="600" w:lineRule="exact"/>
        <w:tabs>
          <w:tab w:val="right" w:pos="9402" w:leader="dot"/>
        </w:tabs>
        <w:rPr>
          <w:rStyle w:val="778"/>
          <w:color w:val="auto"/>
          <w:sz w:val="30"/>
          <w:szCs w:val="30"/>
        </w:rPr>
      </w:pPr>
      <w:r>
        <w:fldChar w:fldCharType="begin"/>
      </w:r>
      <w:r>
        <w:instrText xml:space="preserve"> HYPERLINK \l "_Toc201302573" \o "#_Toc201302573" </w:instrText>
      </w:r>
      <w:r>
        <w:fldChar w:fldCharType="separate"/>
      </w:r>
      <w:r>
        <w:rPr>
          <w:rStyle w:val="778"/>
          <w:rFonts w:hint="eastAsia"/>
          <w:color w:val="auto"/>
          <w:sz w:val="30"/>
          <w:szCs w:val="30"/>
        </w:rPr>
        <w:t xml:space="preserve">第五章　合同书（格式）</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_Toc201302573 \h </w:instrText>
      </w:r>
      <w:r>
        <w:rPr>
          <w:rStyle w:val="778"/>
          <w:color w:val="auto"/>
          <w:sz w:val="30"/>
          <w:szCs w:val="30"/>
        </w:rPr>
        <w:fldChar w:fldCharType="separate"/>
      </w:r>
      <w:r>
        <w:rPr>
          <w:rStyle w:val="778"/>
          <w:color w:val="auto"/>
          <w:sz w:val="30"/>
          <w:szCs w:val="30"/>
        </w:rPr>
        <w:t xml:space="preserve">29</w:t>
      </w:r>
      <w:r>
        <w:rPr>
          <w:rStyle w:val="778"/>
          <w:color w:val="auto"/>
          <w:sz w:val="30"/>
          <w:szCs w:val="30"/>
        </w:rPr>
        <w:fldChar w:fldCharType="end"/>
      </w:r>
      <w:r>
        <w:rPr>
          <w:rStyle w:val="778"/>
          <w:color w:val="auto"/>
          <w:sz w:val="30"/>
          <w:szCs w:val="30"/>
        </w:rPr>
        <w:fldChar w:fldCharType="end"/>
      </w:r>
      <w:r/>
    </w:p>
    <w:p>
      <w:pPr>
        <w:pStyle w:val="765"/>
        <w:spacing w:line="600" w:lineRule="exact"/>
        <w:tabs>
          <w:tab w:val="right" w:pos="9402" w:leader="dot"/>
        </w:tabs>
        <w:rPr>
          <w:rStyle w:val="778"/>
          <w:color w:val="auto"/>
          <w:sz w:val="30"/>
          <w:szCs w:val="30"/>
        </w:rPr>
      </w:pPr>
      <w:r>
        <w:fldChar w:fldCharType="begin"/>
      </w:r>
      <w:r>
        <w:instrText xml:space="preserve"> HYPERLINK \l "_Toc201302574" \o "#_Toc201302574" </w:instrText>
      </w:r>
      <w:r>
        <w:fldChar w:fldCharType="separate"/>
      </w:r>
      <w:r>
        <w:rPr>
          <w:rStyle w:val="778"/>
          <w:rFonts w:hint="eastAsia"/>
          <w:color w:val="auto"/>
          <w:sz w:val="30"/>
          <w:szCs w:val="30"/>
        </w:rPr>
        <w:t xml:space="preserve">第六章　投标文件的组成和格式</w:t>
      </w:r>
      <w:r>
        <w:rPr>
          <w:rStyle w:val="778"/>
          <w:color w:val="auto"/>
          <w:sz w:val="30"/>
          <w:szCs w:val="30"/>
        </w:rPr>
        <w:tab/>
      </w:r>
      <w:r>
        <w:rPr>
          <w:rStyle w:val="778"/>
          <w:color w:val="auto"/>
          <w:sz w:val="30"/>
          <w:szCs w:val="30"/>
        </w:rPr>
        <w:fldChar w:fldCharType="begin"/>
      </w:r>
      <w:r>
        <w:rPr>
          <w:rStyle w:val="778"/>
          <w:color w:val="auto"/>
          <w:sz w:val="30"/>
          <w:szCs w:val="30"/>
        </w:rPr>
        <w:instrText xml:space="preserve"> PAGEREF _Toc201302574 \h </w:instrText>
      </w:r>
      <w:r>
        <w:rPr>
          <w:rStyle w:val="778"/>
          <w:color w:val="auto"/>
          <w:sz w:val="30"/>
          <w:szCs w:val="30"/>
        </w:rPr>
        <w:fldChar w:fldCharType="separate"/>
      </w:r>
      <w:r>
        <w:rPr>
          <w:rStyle w:val="778"/>
          <w:color w:val="auto"/>
          <w:sz w:val="30"/>
          <w:szCs w:val="30"/>
        </w:rPr>
        <w:t xml:space="preserve">33</w:t>
      </w:r>
      <w:r>
        <w:rPr>
          <w:rStyle w:val="778"/>
          <w:color w:val="auto"/>
          <w:sz w:val="30"/>
          <w:szCs w:val="30"/>
        </w:rPr>
        <w:fldChar w:fldCharType="end"/>
      </w:r>
      <w:r>
        <w:rPr>
          <w:rStyle w:val="778"/>
          <w:color w:val="auto"/>
          <w:sz w:val="30"/>
          <w:szCs w:val="30"/>
        </w:rPr>
        <w:fldChar w:fldCharType="end"/>
      </w:r>
      <w:r/>
    </w:p>
    <w:p>
      <w:pPr>
        <w:pStyle w:val="773"/>
        <w:spacing w:before="120" w:after="120" w:line="600" w:lineRule="exact"/>
        <w:sectPr>
          <w:footerReference w:type="even" r:id="rId13"/>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773"/>
      </w:pPr>
      <w:r/>
      <w:r/>
    </w:p>
    <w:p>
      <w:pPr>
        <w:pStyle w:val="773"/>
      </w:pPr>
      <w:r/>
      <w:bookmarkStart w:id="6" w:name="_Toc201302569"/>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江阴市人民医院吊塔采购项目</w:t>
      </w:r>
      <w:r>
        <w:rPr>
          <w:rFonts w:hint="eastAsia" w:ascii="宋体" w:hAnsi="宋体" w:eastAsia="宋体" w:cs="Times New Roman"/>
          <w:bCs/>
          <w:sz w:val="24"/>
          <w:szCs w:val="24"/>
          <w:lang w:eastAsia="zh-CN"/>
        </w:rPr>
        <w:t xml:space="preserve">JSZC-320281-JZCG-G2025-0072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JSZC-320281-JZCG-G2025-0072</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江阴市人民医院吊塔采购项目</w:t>
      </w:r>
      <w:r/>
    </w:p>
    <w:p>
      <w:pPr>
        <w:ind w:firstLine="480"/>
        <w:spacing w:line="400" w:lineRule="exact"/>
        <w:rPr>
          <w:rFonts w:hint="eastAsia" w:ascii="宋体" w:hAnsi="宋体" w:eastAsia="宋体" w:cs="Times New Roman"/>
          <w:sz w:val="24"/>
          <w:szCs w:val="24"/>
          <w:lang w:val="en-US" w:eastAsia="zh-CN"/>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79</w:t>
      </w:r>
      <w:r>
        <w:rPr>
          <w:rFonts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lang w:val="en-US" w:eastAsia="zh-CN"/>
        </w:rPr>
        <w:t xml:space="preserve">1: 160万元；采购包2: 19万元</w:t>
      </w:r>
      <w:r>
        <w:rPr>
          <w:rFonts w:hint="eastAsia" w:ascii="宋体" w:hAnsi="宋体" w:eastAsia="宋体" w:cs="Times New Roman"/>
          <w:sz w:val="24"/>
          <w:szCs w:val="24"/>
          <w:lang w:eastAsia="zh-CN"/>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p>
    <w:tbl>
      <w:tblPr>
        <w:tblStyle w:val="77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2724"/>
        <w:gridCol w:w="3787"/>
        <w:gridCol w:w="3117"/>
      </w:tblGrid>
      <w:tr>
        <w:trPr>
          <w:jc w:val="center"/>
          <w:trHeight w:val="0"/>
          <w:tblHeader/>
        </w:trPr>
        <w:tc>
          <w:tcPr>
            <w:tcW w:w="2724"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采购包号</w:t>
            </w:r>
            <w:r/>
          </w:p>
        </w:tc>
        <w:tc>
          <w:tcPr>
            <w:tcW w:w="3787"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采购包名称</w:t>
            </w:r>
            <w:r/>
          </w:p>
        </w:tc>
        <w:tc>
          <w:tcPr>
            <w:tcW w:w="3117"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最高限价</w:t>
            </w:r>
            <w:r/>
          </w:p>
        </w:tc>
      </w:tr>
      <w:tr>
        <w:trPr>
          <w:jc w:val="center"/>
          <w:trHeight w:val="0"/>
        </w:trPr>
        <w:tc>
          <w:tcPr>
            <w:tcW w:w="27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3787" w:type="dxa"/>
            <w:vAlign w:val="center"/>
            <w:textDirection w:val="lrTb"/>
            <w:noWrap w:val="false"/>
          </w:tcPr>
          <w:p>
            <w:pPr>
              <w:jc w:val="center"/>
              <w:spacing w:line="400" w:lineRule="exact"/>
              <w:rPr>
                <w:rFonts w:ascii="宋体" w:hAnsi="宋体" w:eastAsia="宋体" w:cs="Times New Roman"/>
                <w:sz w:val="24"/>
                <w:szCs w:val="24"/>
              </w:rPr>
            </w:pPr>
            <w:r>
              <w:rPr>
                <w:rFonts w:ascii="Segoe UI" w:hAnsi="Segoe UI" w:eastAsia="Segoe UI" w:cs="Segoe UI"/>
                <w:i w:val="0"/>
                <w:iCs w:val="0"/>
                <w:caps w:val="0"/>
                <w:spacing w:val="0"/>
                <w:sz w:val="21"/>
                <w:szCs w:val="21"/>
                <w:shd w:val="clear" w:color="auto" w:fill="ffffff"/>
              </w:rPr>
              <w:t xml:space="preserve">吊塔（急诊）</w:t>
            </w:r>
            <w:r/>
          </w:p>
        </w:tc>
        <w:tc>
          <w:tcPr>
            <w:tcW w:w="3117" w:type="dxa"/>
            <w:vAlign w:val="center"/>
            <w:textDirection w:val="lrTb"/>
            <w:noWrap w:val="false"/>
          </w:tcPr>
          <w:p>
            <w:pPr>
              <w:jc w:val="cente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160万元</w:t>
            </w:r>
            <w:r/>
          </w:p>
        </w:tc>
      </w:tr>
      <w:tr>
        <w:trPr>
          <w:jc w:val="center"/>
          <w:trHeight w:val="0"/>
        </w:trPr>
        <w:tc>
          <w:tcPr>
            <w:tcW w:w="27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3787" w:type="dxa"/>
            <w:vAlign w:val="center"/>
            <w:textDirection w:val="lrTb"/>
            <w:noWrap w:val="false"/>
          </w:tcPr>
          <w:p>
            <w:pPr>
              <w:jc w:val="center"/>
              <w:spacing w:line="400" w:lineRule="exact"/>
              <w:rPr>
                <w:rFonts w:ascii="宋体" w:hAnsi="宋体" w:eastAsia="宋体" w:cs="Times New Roman"/>
                <w:sz w:val="24"/>
                <w:szCs w:val="24"/>
              </w:rPr>
            </w:pPr>
            <w:r>
              <w:rPr>
                <w:rFonts w:ascii="Segoe UI" w:hAnsi="Segoe UI" w:eastAsia="Segoe UI" w:cs="Segoe UI"/>
                <w:i w:val="0"/>
                <w:iCs w:val="0"/>
                <w:caps w:val="0"/>
                <w:spacing w:val="0"/>
                <w:sz w:val="21"/>
                <w:szCs w:val="21"/>
                <w:shd w:val="clear" w:color="auto" w:fill="ffffff"/>
              </w:rPr>
              <w:t xml:space="preserve">吊塔（手术室）</w:t>
            </w:r>
            <w:r/>
          </w:p>
        </w:tc>
        <w:tc>
          <w:tcPr>
            <w:tcW w:w="3117" w:type="dxa"/>
            <w:vAlign w:val="center"/>
            <w:textDirection w:val="lrTb"/>
            <w:noWrap w:val="false"/>
          </w:tcPr>
          <w:p>
            <w:pPr>
              <w:jc w:val="center"/>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19万元</w:t>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江阴市人民医院吊塔采购项目</w:t>
      </w:r>
      <w:r>
        <w:rPr>
          <w:rFonts w:hint="eastAsia" w:ascii="宋体" w:hAnsi="宋体" w:eastAsia="宋体" w:cs="Times New Roman"/>
          <w:sz w:val="24"/>
          <w:szCs w:val="28"/>
        </w:rPr>
        <w:t xml:space="preserve">。</w:t>
      </w:r>
      <w:r>
        <w:rPr>
          <w:rFonts w:hint="eastAsia" w:ascii="宋体" w:hAnsi="宋体" w:eastAsia="宋体" w:cs="Times New Roman"/>
          <w:sz w:val="24"/>
          <w:szCs w:val="28"/>
          <w:lang w:eastAsia="zh-CN"/>
        </w:rPr>
        <w:t xml:space="preserve">本项目为两个包，各确定一家中标单位，投标人可全报或选报</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sz w:val="24"/>
        </w:rPr>
        <w:t xml:space="preserve">投标产品属于医疗器械注册范畴的，投标人须具有有效的《医疗器械经营许可证》（或《医疗器械经营备案凭证》）且在经营范围内</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地址：江阴市寿山路163号</w:t>
      </w:r>
      <w:r/>
    </w:p>
    <w:p>
      <w:pPr>
        <w:ind w:firstLine="480"/>
        <w:spacing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lang w:eastAsia="zh-CN"/>
        </w:rPr>
        <w:t xml:space="preserve">徐女士</w:t>
      </w:r>
      <w:r/>
    </w:p>
    <w:p>
      <w:pPr>
        <w:ind w:firstLine="48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联系电话：</w:t>
      </w:r>
      <w:r>
        <w:rPr>
          <w:rFonts w:hint="eastAsia" w:ascii="宋体" w:hAnsi="宋体" w:eastAsia="宋体" w:cs="Times New Roman"/>
          <w:sz w:val="24"/>
          <w:szCs w:val="24"/>
          <w:highlight w:val="none"/>
          <w:lang w:val="en-US" w:eastAsia="zh-CN"/>
        </w:rPr>
        <w:t xml:space="preserve">18921233102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73"/>
      </w:pPr>
      <w:r/>
      <w:r/>
    </w:p>
    <w:p>
      <w:pPr>
        <w:pStyle w:val="773"/>
      </w:pPr>
      <w:r/>
      <w:bookmarkStart w:id="9" w:name="_Toc201302570"/>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5.</w:t>
      </w:r>
      <w:r>
        <w:rPr>
          <w:rFonts w:hint="eastAsia" w:ascii="宋体" w:hAnsi="宋体" w:eastAsia="宋体" w:cs="Times New Roman"/>
          <w:sz w:val="24"/>
          <w:szCs w:val="24"/>
        </w:rPr>
        <w:t xml:space="preserve">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（8）</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w:t>
      </w:r>
      <w:r>
        <w:rPr>
          <w:rFonts w:hint="eastAsia" w:ascii="宋体" w:hAnsi="宋体" w:eastAsia="宋体" w:cs="Times New Roman"/>
          <w:b/>
          <w:bCs/>
          <w:sz w:val="24"/>
          <w:szCs w:val="28"/>
          <w:lang w:val="en-US" w:eastAsia="zh-CN"/>
        </w:rPr>
        <w:t xml:space="preserve">4</w:t>
      </w:r>
      <w:r>
        <w:rPr>
          <w:rFonts w:hint="eastAsia" w:ascii="宋体" w:hAnsi="宋体" w:eastAsia="宋体" w:cs="Times New Roman"/>
          <w:b/>
          <w:bCs/>
          <w:sz w:val="24"/>
          <w:szCs w:val="28"/>
        </w:rPr>
        <w:t xml:space="preserve">：</w:t>
      </w: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（9）投标人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eastAsia="zh-CN"/>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lang w:eastAsia="zh-CN"/>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ascii="宋体" w:hAnsi="宋体" w:eastAsia="宋体" w:cs="宋体"/>
          <w:sz w:val="24"/>
          <w:szCs w:val="24"/>
        </w:rPr>
        <w:t xml:space="preserve">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w:t>
      </w:r>
      <w:r>
        <w:rPr>
          <w:rFonts w:hint="eastAsia" w:ascii="宋体" w:hAnsi="宋体" w:eastAsia="宋体" w:cs="宋体"/>
          <w:sz w:val="24"/>
          <w:szCs w:val="24"/>
          <w:lang w:eastAsia="zh-CN"/>
        </w:rPr>
        <w:t xml:space="preserve">充分考虑</w:t>
      </w:r>
      <w:r>
        <w:rPr>
          <w:rFonts w:hint="eastAsia" w:ascii="宋体" w:hAnsi="宋体" w:eastAsia="宋体" w:cs="宋体"/>
          <w:sz w:val="24"/>
          <w:szCs w:val="24"/>
        </w:rPr>
        <w:t xml:space="preserve">网络环境、网络带宽等风险因素，如因供应商自身原因造成的电子响应文件上传不成功的</w:t>
      </w:r>
      <w:r>
        <w:rPr>
          <w:rFonts w:hint="eastAsia" w:ascii="宋体" w:hAnsi="宋体" w:eastAsia="宋体" w:cs="宋体"/>
          <w:sz w:val="24"/>
          <w:szCs w:val="24"/>
          <w:lang w:eastAsia="zh-CN"/>
        </w:rPr>
        <w:t xml:space="preserve">作</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w:t>
      </w:r>
      <w:r>
        <w:rPr>
          <w:rFonts w:hint="eastAsia" w:ascii="宋体" w:hAnsi="宋体" w:eastAsia="宋体" w:cs="宋体"/>
          <w:sz w:val="24"/>
          <w:szCs w:val="24"/>
          <w:lang w:eastAsia="zh-CN"/>
        </w:rPr>
        <w:t xml:space="preserve">涉及</w:t>
      </w:r>
      <w:r>
        <w:rPr>
          <w:rFonts w:hint="eastAsia" w:ascii="宋体" w:hAnsi="宋体" w:eastAsia="宋体" w:cs="宋体"/>
          <w:sz w:val="24"/>
          <w:szCs w:val="24"/>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rPr>
        <w:t xml:space="preserve">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rPr>
        <w:t xml:space="preserve">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4.</w:t>
      </w:r>
      <w:r>
        <w:rPr>
          <w:rFonts w:hint="eastAsia" w:ascii="宋体" w:hAnsi="宋体" w:eastAsia="宋体" w:cs="Times New Roman"/>
          <w:bCs/>
          <w:sz w:val="24"/>
          <w:szCs w:val="24"/>
        </w:rPr>
        <w:t xml:space="preserve">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5.</w:t>
      </w:r>
      <w:r>
        <w:rPr>
          <w:rFonts w:hint="eastAsia" w:ascii="宋体" w:hAnsi="宋体" w:eastAsia="宋体" w:cs="Times New Roman"/>
          <w:bCs/>
          <w:sz w:val="24"/>
          <w:szCs w:val="24"/>
        </w:rPr>
        <w:t xml:space="preserve">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6.</w:t>
      </w:r>
      <w:r>
        <w:rPr>
          <w:rFonts w:hint="eastAsia" w:ascii="宋体" w:hAnsi="宋体" w:eastAsia="宋体" w:cs="Times New Roman"/>
          <w:bCs/>
          <w:sz w:val="24"/>
          <w:szCs w:val="24"/>
        </w:rPr>
        <w:t xml:space="preserve">投标文件内容未实质性响应或不符合法律法规和招标文件中规定的</w:t>
      </w:r>
      <w:r>
        <w:rPr>
          <w:rFonts w:hint="eastAsia" w:ascii="宋体" w:hAnsi="宋体" w:eastAsia="宋体" w:cs="Times New Roman"/>
          <w:bCs/>
          <w:sz w:val="24"/>
          <w:szCs w:val="24"/>
          <w:lang w:eastAsia="zh-CN"/>
        </w:rPr>
        <w:t xml:space="preserve">其他</w:t>
      </w:r>
      <w:r>
        <w:rPr>
          <w:rFonts w:hint="eastAsia" w:ascii="宋体" w:hAnsi="宋体" w:eastAsia="宋体" w:cs="Times New Roman"/>
          <w:bCs/>
          <w:sz w:val="24"/>
          <w:szCs w:val="24"/>
        </w:rPr>
        <w:t xml:space="preserve">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7.</w:t>
      </w:r>
      <w:r>
        <w:rPr>
          <w:rFonts w:hint="eastAsia" w:ascii="宋体" w:hAnsi="宋体" w:eastAsia="宋体" w:cs="Times New Roman"/>
          <w:bCs/>
          <w:sz w:val="24"/>
          <w:szCs w:val="24"/>
        </w:rPr>
        <w:t xml:space="preserve">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9.</w:t>
      </w:r>
      <w:r>
        <w:rPr>
          <w:rFonts w:hint="eastAsia" w:ascii="宋体" w:hAnsi="宋体" w:eastAsia="宋体" w:cs="Times New Roman"/>
          <w:bCs/>
          <w:sz w:val="24"/>
          <w:szCs w:val="24"/>
        </w:rPr>
        <w:t xml:space="preserve">其他</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及本招标文件规定的</w:t>
      </w:r>
      <w:r>
        <w:rPr>
          <w:rFonts w:hint="eastAsia" w:ascii="宋体" w:hAnsi="宋体" w:eastAsia="宋体" w:cs="Times New Roman"/>
          <w:bCs/>
          <w:sz w:val="24"/>
          <w:szCs w:val="24"/>
          <w:lang w:eastAsia="zh-CN"/>
        </w:rPr>
        <w:t xml:space="preserve">属于</w:t>
      </w:r>
      <w:r>
        <w:rPr>
          <w:rFonts w:hint="eastAsia" w:ascii="宋体" w:hAnsi="宋体" w:eastAsia="宋体" w:cs="Times New Roman"/>
          <w:bCs/>
          <w:sz w:val="24"/>
          <w:szCs w:val="24"/>
        </w:rPr>
        <w:t xml:space="preserve">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rPr>
        <w:t xml:space="preserve">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rPr>
        <w:t xml:space="preserve">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4.</w:t>
      </w:r>
      <w:r>
        <w:rPr>
          <w:rFonts w:hint="eastAsia" w:ascii="宋体" w:hAnsi="宋体" w:eastAsia="宋体" w:cs="Times New Roman"/>
          <w:bCs/>
          <w:sz w:val="24"/>
          <w:szCs w:val="24"/>
        </w:rPr>
        <w:t xml:space="preserve">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5.</w:t>
      </w:r>
      <w:r>
        <w:rPr>
          <w:rFonts w:hint="eastAsia" w:ascii="宋体" w:hAnsi="宋体" w:eastAsia="宋体" w:cs="Times New Roman"/>
          <w:bCs/>
          <w:sz w:val="24"/>
          <w:szCs w:val="24"/>
        </w:rPr>
        <w:t xml:space="preserve">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6.</w:t>
      </w:r>
      <w:r>
        <w:rPr>
          <w:rFonts w:hint="eastAsia" w:ascii="宋体" w:hAnsi="宋体" w:eastAsia="宋体" w:cs="Times New Roman"/>
          <w:bCs/>
          <w:sz w:val="24"/>
          <w:szCs w:val="24"/>
        </w:rPr>
        <w:t xml:space="preserve">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7.</w:t>
      </w:r>
      <w:r>
        <w:rPr>
          <w:rFonts w:hint="eastAsia" w:ascii="宋体" w:hAnsi="宋体" w:eastAsia="宋体" w:cs="Times New Roman"/>
          <w:bCs/>
          <w:sz w:val="24"/>
          <w:szCs w:val="24"/>
        </w:rPr>
        <w:t xml:space="preserve">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8.</w:t>
      </w:r>
      <w:r>
        <w:rPr>
          <w:rFonts w:hint="eastAsia" w:ascii="宋体" w:hAnsi="宋体" w:eastAsia="宋体" w:cs="Times New Roman"/>
          <w:bCs/>
          <w:sz w:val="24"/>
          <w:szCs w:val="24"/>
        </w:rPr>
        <w:t xml:space="preserve">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9.</w:t>
      </w:r>
      <w:r>
        <w:rPr>
          <w:rFonts w:hint="eastAsia" w:ascii="宋体" w:hAnsi="宋体" w:eastAsia="宋体" w:cs="Times New Roman"/>
          <w:bCs/>
          <w:sz w:val="24"/>
          <w:szCs w:val="24"/>
        </w:rPr>
        <w:t xml:space="preserve">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10.</w:t>
      </w:r>
      <w:r>
        <w:rPr>
          <w:rFonts w:hint="eastAsia" w:ascii="宋体" w:hAnsi="宋体" w:eastAsia="宋体" w:cs="Times New Roman"/>
          <w:bCs/>
          <w:sz w:val="24"/>
          <w:szCs w:val="24"/>
        </w:rPr>
        <w:t xml:space="preserve">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11.</w:t>
      </w:r>
      <w:r>
        <w:rPr>
          <w:rFonts w:hint="eastAsia" w:ascii="宋体" w:hAnsi="宋体" w:eastAsia="宋体" w:cs="Times New Roman"/>
          <w:bCs/>
          <w:sz w:val="24"/>
          <w:szCs w:val="24"/>
        </w:rPr>
        <w:t xml:space="preserve">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12.</w:t>
      </w:r>
      <w:r>
        <w:rPr>
          <w:rFonts w:hint="eastAsia" w:ascii="宋体" w:hAnsi="宋体" w:eastAsia="宋体" w:cs="Times New Roman"/>
          <w:bCs/>
          <w:sz w:val="24"/>
          <w:szCs w:val="24"/>
        </w:rPr>
        <w:t xml:space="preserve">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lang w:eastAsia="zh-CN"/>
        </w:rPr>
        <w:t xml:space="preserve">13.</w:t>
      </w:r>
      <w:r>
        <w:rPr>
          <w:rFonts w:hint="eastAsia" w:ascii="宋体" w:hAnsi="宋体" w:eastAsia="宋体" w:cs="Times New Roman"/>
          <w:bCs/>
          <w:sz w:val="24"/>
          <w:szCs w:val="24"/>
        </w:rPr>
        <w:t xml:space="preserve">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文件4）等进行审查，以确定投标单位是否具备投标资格。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w:t>
      </w:r>
      <w:r>
        <w:rPr>
          <w:rFonts w:hint="eastAsia" w:ascii="宋体" w:hAnsi="宋体" w:eastAsia="宋体" w:cs="Times New Roman"/>
          <w:sz w:val="24"/>
          <w:szCs w:val="24"/>
          <w:lang w:eastAsia="zh-CN"/>
        </w:rPr>
        <w:t xml:space="preserve">撤销不符</w:t>
      </w:r>
      <w:r>
        <w:rPr>
          <w:rFonts w:hint="eastAsia" w:ascii="宋体" w:hAnsi="宋体" w:eastAsia="宋体" w:cs="Times New Roman"/>
          <w:sz w:val="24"/>
          <w:szCs w:val="24"/>
        </w:rPr>
        <w:t xml:space="preserve">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lang w:eastAsia="zh-CN"/>
        </w:rPr>
        <w:t xml:space="preserve">6.</w:t>
      </w:r>
      <w:r>
        <w:rPr>
          <w:rFonts w:hint="eastAsia" w:ascii="宋体" w:hAnsi="宋体" w:eastAsia="宋体" w:cs="Times New Roman"/>
          <w:b/>
          <w:sz w:val="24"/>
          <w:szCs w:val="24"/>
        </w:rPr>
        <w:t xml:space="preserve">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提供项目具体成本测算等与报价合理性相关的书面说明及</w:t>
      </w:r>
      <w:r>
        <w:rPr>
          <w:rFonts w:hint="eastAsia" w:ascii="宋体" w:hAnsi="宋体" w:eastAsia="宋体" w:cs="Times New Roman"/>
          <w:b/>
          <w:sz w:val="24"/>
          <w:szCs w:val="24"/>
          <w:lang w:eastAsia="zh-CN"/>
        </w:rPr>
        <w:t xml:space="preserve">相关佐证材料</w:t>
      </w:r>
      <w:r>
        <w:rPr>
          <w:rFonts w:hint="eastAsia" w:ascii="宋体" w:hAnsi="宋体" w:eastAsia="宋体" w:cs="Times New Roman"/>
          <w:b/>
          <w:sz w:val="24"/>
          <w:szCs w:val="24"/>
        </w:rPr>
        <w:t xml:space="preserve">，对投标（响应）价格作出解释，由评标（评审）委员会结合同类产品在主要电商平台的价格、该行业当地薪资水平等情况，依据专业经验对供应商报价合理性进行判断。投标（响应）供应商不提供书面说明、证明材料</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投标单位质疑按《中华人民共和国政府采购法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政府采购货物和服务招标投标管理办法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政府采购质疑和投诉办法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江苏省政府采购供应商监督管理暂行办法</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lang w:eastAsia="zh-CN"/>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w:t>
      </w:r>
      <w:r>
        <w:rPr>
          <w:rFonts w:hint="eastAsia" w:ascii="宋体" w:hAnsi="宋体" w:eastAsia="宋体" w:cs="Times New Roman"/>
          <w:sz w:val="24"/>
          <w:szCs w:val="24"/>
          <w:highlight w:val="none"/>
          <w:u w:val="single"/>
        </w:rPr>
        <w:t xml:space="preserve">购人收件人：</w:t>
      </w:r>
      <w:r>
        <w:rPr>
          <w:rFonts w:hint="eastAsia" w:ascii="宋体" w:hAnsi="宋体" w:eastAsia="宋体" w:cs="Times New Roman"/>
          <w:sz w:val="24"/>
          <w:szCs w:val="24"/>
          <w:highlight w:val="none"/>
          <w:u w:val="single"/>
          <w:lang w:eastAsia="zh-CN"/>
        </w:rPr>
        <w:t xml:space="preserve">徐女士</w:t>
      </w:r>
      <w:r>
        <w:rPr>
          <w:rFonts w:hint="eastAsia" w:ascii="宋体" w:hAnsi="宋体" w:eastAsia="宋体" w:cs="Times New Roman"/>
          <w:sz w:val="24"/>
          <w:szCs w:val="24"/>
          <w:highlight w:val="none"/>
          <w:u w:val="single"/>
        </w:rPr>
        <w:t xml:space="preserve">   收件地址：江阴市人民医院敔山湾院区1号楼一层医学工程部办公室   </w:t>
      </w:r>
      <w:r>
        <w:rPr>
          <w:rFonts w:hint="eastAsia" w:ascii="宋体" w:hAnsi="宋体" w:eastAsia="宋体" w:cs="Times New Roman"/>
          <w:sz w:val="24"/>
          <w:szCs w:val="24"/>
          <w:u w:val="single"/>
        </w:rPr>
        <w:t xml:space="preserve">收件电话：</w:t>
      </w:r>
      <w:r>
        <w:rPr>
          <w:rFonts w:ascii="宋体" w:hAnsi="宋体" w:eastAsia="宋体" w:cs="Times New Roman"/>
          <w:sz w:val="24"/>
          <w:szCs w:val="24"/>
          <w:u w:val="single"/>
        </w:rPr>
        <w:t xml:space="preserve">0510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6.</w:t>
      </w:r>
      <w:r>
        <w:rPr>
          <w:rFonts w:hint="eastAsia" w:ascii="宋体" w:hAnsi="宋体" w:eastAsia="宋体" w:cs="Times New Roman"/>
          <w:sz w:val="24"/>
          <w:szCs w:val="24"/>
        </w:rPr>
        <w:t xml:space="preserve">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7.</w:t>
      </w:r>
      <w:r>
        <w:rPr>
          <w:rFonts w:hint="eastAsia" w:ascii="宋体" w:hAnsi="宋体" w:eastAsia="宋体" w:cs="Times New Roman"/>
          <w:sz w:val="24"/>
          <w:szCs w:val="24"/>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8.</w:t>
      </w:r>
      <w:r>
        <w:rPr>
          <w:rFonts w:hint="eastAsia" w:ascii="宋体" w:hAnsi="宋体" w:eastAsia="宋体" w:cs="Times New Roman"/>
          <w:sz w:val="24"/>
          <w:szCs w:val="24"/>
        </w:rPr>
        <w:t xml:space="preserve">投标单位提出</w:t>
      </w:r>
      <w:r>
        <w:rPr>
          <w:rFonts w:hint="eastAsia" w:ascii="宋体" w:hAnsi="宋体" w:eastAsia="宋体" w:cs="Times New Roman"/>
          <w:sz w:val="24"/>
          <w:szCs w:val="24"/>
          <w:lang w:eastAsia="zh-CN"/>
        </w:rPr>
        <w:t xml:space="preserve">质疑</w:t>
      </w:r>
      <w:r>
        <w:rPr>
          <w:rFonts w:hint="eastAsia" w:ascii="宋体" w:hAnsi="宋体" w:eastAsia="宋体" w:cs="Times New Roman"/>
          <w:sz w:val="24"/>
          <w:szCs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lang w:eastAsia="zh-CN"/>
        </w:rPr>
        <w:t xml:space="preserve">9.</w:t>
      </w:r>
      <w:r>
        <w:rPr>
          <w:rFonts w:hint="eastAsia" w:ascii="宋体" w:hAnsi="宋体" w:eastAsia="宋体" w:cs="Times New Roman"/>
          <w:sz w:val="24"/>
          <w:szCs w:val="24"/>
        </w:rPr>
        <w:t xml:space="preserve">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rPr>
        <w:t xml:space="preserve">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lang w:eastAsia="zh-CN"/>
        </w:rPr>
        <w:t xml:space="preserve">时</w:t>
      </w:r>
      <w:bookmarkStart w:id="24" w:name="_GoBack"/>
      <w:r/>
      <w:bookmarkEnd w:id="24"/>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中标方向采购单位缴纳政府采购合同金额5%的履约保证金，采购人应当允许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6.</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的通知》要求，鼓励供应商以履约保函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lang w:eastAsia="zh-CN"/>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773"/>
        <w:sectPr>
          <w:footnotePr/>
          <w:endnotePr/>
          <w:type w:val="nextPage"/>
          <w:pgSz w:w="11906" w:h="16838" w:orient="portrait"/>
          <w:pgMar w:top="1247" w:right="1247" w:bottom="1247" w:left="1247" w:header="680" w:footer="992" w:gutter="0"/>
          <w:cols w:num="1" w:sep="0" w:space="720" w:equalWidth="1"/>
          <w:docGrid w:linePitch="360"/>
        </w:sectPr>
      </w:pPr>
      <w:r/>
      <w:r/>
    </w:p>
    <w:p>
      <w:pPr>
        <w:pStyle w:val="773"/>
      </w:pPr>
      <w:r/>
      <w:r/>
    </w:p>
    <w:p>
      <w:pPr>
        <w:pStyle w:val="773"/>
        <w:rPr>
          <w:rFonts w:ascii="楷体_GB2312" w:hAnsi="Times New Roman" w:eastAsia="楷体_GB2312"/>
          <w:b/>
          <w:sz w:val="28"/>
          <w:szCs w:val="28"/>
        </w:rPr>
      </w:pPr>
      <w:r/>
      <w:bookmarkStart w:id="10" w:name="_Toc201302571"/>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（以下除“三、详细的技术参数要求”中的非打“★”项，其余均为实质性要求）</w:t>
      </w:r>
      <w:r/>
    </w:p>
    <w:p>
      <w:pPr>
        <w:ind w:firstLine="482"/>
        <w:jc w:val="center"/>
        <w:spacing w:line="400" w:lineRule="exact"/>
        <w:widowControl/>
        <w:rPr>
          <w:rFonts w:ascii="宋体" w:hAnsi="宋体" w:eastAsia="宋体" w:cs="宋体"/>
          <w:b/>
          <w:sz w:val="24"/>
        </w:rPr>
      </w:pPr>
      <w:r/>
      <w:bookmarkStart w:id="11" w:name="_Toc251268361"/>
      <w:r/>
      <w:r/>
    </w:p>
    <w:p>
      <w:pPr>
        <w:ind w:firstLine="482"/>
        <w:jc w:val="center"/>
        <w:spacing w:line="400" w:lineRule="exact"/>
        <w:widowControl/>
        <w:rPr>
          <w:rFonts w:hint="eastAsia" w:ascii="宋体" w:hAnsi="宋体" w:eastAsia="宋体" w:cs="宋体"/>
          <w:b/>
          <w:sz w:val="24"/>
        </w:rPr>
      </w:pPr>
      <w:r>
        <w:rPr>
          <w:rFonts w:hint="eastAsia" w:ascii="宋体" w:hAnsi="宋体" w:eastAsia="宋体" w:cs="宋体"/>
          <w:b/>
          <w:sz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一、项目概述：</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本项目为江阴市人民医院吊塔采购项目。本项目为两个包：</w:t>
      </w:r>
      <w:r/>
    </w:p>
    <w:tbl>
      <w:tblPr>
        <w:tblStyle w:val="77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2724"/>
        <w:gridCol w:w="3787"/>
        <w:gridCol w:w="3117"/>
      </w:tblGrid>
      <w:tr>
        <w:trPr>
          <w:jc w:val="center"/>
          <w:tblHeader/>
        </w:trPr>
        <w:tc>
          <w:tcPr>
            <w:tcW w:w="2724"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3787"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3117"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最高限价</w:t>
            </w:r>
            <w:r/>
          </w:p>
        </w:tc>
      </w:tr>
      <w:tr>
        <w:trPr>
          <w:jc w:val="center"/>
        </w:trPr>
        <w:tc>
          <w:tcPr>
            <w:tcW w:w="272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采购包1</w:t>
            </w:r>
            <w:r/>
          </w:p>
        </w:tc>
        <w:tc>
          <w:tcPr>
            <w:tcW w:w="3787" w:type="dxa"/>
            <w:vAlign w:val="center"/>
            <w:textDirection w:val="lrTb"/>
            <w:noWrap w:val="false"/>
          </w:tcPr>
          <w:p>
            <w:pPr>
              <w:jc w:val="center"/>
              <w:spacing w:line="400" w:lineRule="exact"/>
              <w:rPr>
                <w:rFonts w:hint="eastAsia" w:ascii="宋体" w:hAnsi="宋体" w:eastAsia="宋体" w:cs="Times New Roman"/>
                <w:sz w:val="24"/>
                <w:szCs w:val="24"/>
              </w:rPr>
            </w:pPr>
            <w:r>
              <w:rPr>
                <w:rFonts w:ascii="Segoe UI" w:hAnsi="Segoe UI" w:eastAsia="Segoe UI" w:cs="Segoe UI"/>
                <w:szCs w:val="21"/>
                <w:shd w:val="clear" w:color="auto" w:fill="ffffff"/>
              </w:rPr>
              <w:t xml:space="preserve">吊塔（急诊）</w:t>
            </w:r>
            <w:r/>
          </w:p>
        </w:tc>
        <w:tc>
          <w:tcPr>
            <w:tcW w:w="3117"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160万元</w:t>
            </w:r>
            <w:r/>
          </w:p>
        </w:tc>
      </w:tr>
      <w:tr>
        <w:trPr>
          <w:jc w:val="center"/>
        </w:trPr>
        <w:tc>
          <w:tcPr>
            <w:tcW w:w="272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采购包2</w:t>
            </w:r>
            <w:r/>
          </w:p>
        </w:tc>
        <w:tc>
          <w:tcPr>
            <w:tcW w:w="3787" w:type="dxa"/>
            <w:vAlign w:val="center"/>
            <w:textDirection w:val="lrTb"/>
            <w:noWrap w:val="false"/>
          </w:tcPr>
          <w:p>
            <w:pPr>
              <w:jc w:val="center"/>
              <w:spacing w:line="400" w:lineRule="exact"/>
              <w:rPr>
                <w:rFonts w:hint="eastAsia" w:ascii="宋体" w:hAnsi="宋体" w:eastAsia="宋体" w:cs="Times New Roman"/>
                <w:sz w:val="24"/>
                <w:szCs w:val="24"/>
              </w:rPr>
            </w:pPr>
            <w:r>
              <w:rPr>
                <w:rFonts w:ascii="Segoe UI" w:hAnsi="Segoe UI" w:eastAsia="Segoe UI" w:cs="Segoe UI"/>
                <w:szCs w:val="21"/>
                <w:shd w:val="clear" w:color="auto" w:fill="ffffff"/>
              </w:rPr>
              <w:t xml:space="preserve">吊塔（手术室）</w:t>
            </w:r>
            <w:r/>
          </w:p>
        </w:tc>
        <w:tc>
          <w:tcPr>
            <w:tcW w:w="3117"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19万元</w:t>
            </w:r>
            <w:r/>
          </w:p>
        </w:tc>
      </w:tr>
    </w:tbl>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2"/>
        <w:spacing w:line="400" w:lineRule="exact"/>
        <w:tabs>
          <w:tab w:val="left" w:pos="8475" w:leader="none"/>
        </w:tabs>
        <w:rPr>
          <w:rFonts w:hint="eastAsia" w:ascii="宋体" w:hAnsi="宋体" w:eastAsia="宋体" w:cs="Times New Roman"/>
          <w:b/>
          <w:sz w:val="24"/>
          <w:szCs w:val="24"/>
        </w:rPr>
      </w:pPr>
      <w:r>
        <w:tab/>
      </w:r>
      <w:r/>
    </w:p>
    <w:p>
      <w:pPr>
        <w:numPr>
          <w:ilvl w:val="0"/>
          <w:numId w:val="1"/>
        </w:numPr>
        <w:jc w:val="lef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项目采购清单：</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采购包1：</w:t>
      </w:r>
      <w:r/>
    </w:p>
    <w:tbl>
      <w:tblPr>
        <w:tblStyle w:val="752"/>
        <w:tblW w:w="962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4A0" w:firstRow="1" w:lastRow="0" w:firstColumn="1" w:lastColumn="0" w:noHBand="0" w:noVBand="1"/>
      </w:tblPr>
      <w:tblGrid>
        <w:gridCol w:w="1080"/>
        <w:gridCol w:w="4609"/>
        <w:gridCol w:w="1080"/>
        <w:gridCol w:w="1080"/>
        <w:gridCol w:w="1780"/>
      </w:tblGrid>
      <w:tr>
        <w:trPr>
          <w:tblHeader/>
        </w:trPr>
        <w:tc>
          <w:tcPr>
            <w:tcW w:w="1080" w:type="dxa"/>
            <w:vAlign w:val="center"/>
            <w:textDirection w:val="lrTb"/>
            <w:noWrap w:val="false"/>
          </w:tcPr>
          <w:p>
            <w:pPr>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4609" w:type="dxa"/>
            <w:vAlign w:val="center"/>
            <w:textDirection w:val="lrTb"/>
            <w:noWrap w:val="false"/>
          </w:tcPr>
          <w:p>
            <w:pPr>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产品名称</w:t>
            </w:r>
            <w:r/>
          </w:p>
        </w:tc>
        <w:tc>
          <w:tcPr>
            <w:tcW w:w="1080" w:type="dxa"/>
            <w:vAlign w:val="center"/>
            <w:textDirection w:val="lrTb"/>
            <w:noWrap w:val="false"/>
          </w:tcPr>
          <w:p>
            <w:pPr>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1080" w:type="dxa"/>
            <w:vAlign w:val="center"/>
            <w:textDirection w:val="lrTb"/>
            <w:noWrap w:val="false"/>
          </w:tcPr>
          <w:p>
            <w:pPr>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1780" w:type="dxa"/>
            <w:vAlign w:val="center"/>
            <w:textDirection w:val="lrTb"/>
            <w:noWrap w:val="false"/>
          </w:tcPr>
          <w:p>
            <w:pPr>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60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抢救室联排干湿分离桥塔</w:t>
            </w:r>
            <w:r/>
          </w:p>
        </w:tc>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780" w:type="dxa"/>
            <w:vAlign w:val="center"/>
            <w:vMerge w:val="restart"/>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同一品牌</w:t>
            </w:r>
            <w:r/>
          </w:p>
        </w:tc>
      </w:tr>
      <w:tr>
        <w:trPr/>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60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抢救室单间干湿分离组合塔</w:t>
            </w:r>
            <w:r/>
          </w:p>
        </w:tc>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0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780" w:type="dxa"/>
            <w:vAlign w:val="center"/>
            <w:vMerge w:val="continue"/>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752"/>
        <w:tblW w:w="9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4A0" w:firstRow="1" w:lastRow="0" w:firstColumn="1" w:lastColumn="0" w:noHBand="0" w:noVBand="1"/>
      </w:tblPr>
      <w:tblGrid>
        <w:gridCol w:w="1385"/>
        <w:gridCol w:w="4322"/>
        <w:gridCol w:w="1065"/>
        <w:gridCol w:w="1065"/>
        <w:gridCol w:w="1790"/>
      </w:tblGrid>
      <w:tr>
        <w:trPr>
          <w:jc w:val="center"/>
          <w:tblHeader/>
        </w:trPr>
        <w:tc>
          <w:tcPr>
            <w:tcW w:w="1385"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4322"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产品名称</w:t>
            </w:r>
            <w:r/>
          </w:p>
        </w:tc>
        <w:tc>
          <w:tcPr>
            <w:tcW w:w="1065"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数量</w:t>
            </w:r>
            <w:r/>
          </w:p>
        </w:tc>
        <w:tc>
          <w:tcPr>
            <w:tcW w:w="1065"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单位</w:t>
            </w:r>
            <w:r/>
          </w:p>
        </w:tc>
        <w:tc>
          <w:tcPr>
            <w:tcW w:w="1790" w:type="dxa"/>
            <w:vAlign w:val="center"/>
            <w:textDirection w:val="lrTb"/>
            <w:noWrap w:val="false"/>
          </w:tcPr>
          <w:p>
            <w:pPr>
              <w:jc w:val="cente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备注</w:t>
            </w:r>
            <w:r/>
          </w:p>
        </w:tc>
      </w:tr>
      <w:tr>
        <w:trPr>
          <w:jc w:val="center"/>
        </w:trPr>
        <w:tc>
          <w:tcPr>
            <w:tcW w:w="138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4322"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宋体"/>
                <w:sz w:val="24"/>
                <w:szCs w:val="24"/>
              </w:rPr>
              <w:t xml:space="preserve">双臂麻醉吊塔</w:t>
            </w:r>
            <w:r/>
          </w:p>
        </w:tc>
        <w:tc>
          <w:tcPr>
            <w:tcW w:w="10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0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台</w:t>
            </w:r>
            <w:r/>
          </w:p>
        </w:tc>
        <w:tc>
          <w:tcPr>
            <w:tcW w:w="1790" w:type="dxa"/>
            <w:vAlign w:val="center"/>
            <w:vMerge w:val="restart"/>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同一品牌</w:t>
            </w:r>
            <w:r/>
          </w:p>
        </w:tc>
      </w:tr>
      <w:tr>
        <w:trPr>
          <w:jc w:val="center"/>
        </w:trPr>
        <w:tc>
          <w:tcPr>
            <w:tcW w:w="138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4322"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宋体"/>
                <w:sz w:val="24"/>
                <w:szCs w:val="24"/>
              </w:rPr>
              <w:t xml:space="preserve">双臂外科吊塔</w:t>
            </w:r>
            <w:r/>
          </w:p>
        </w:tc>
        <w:tc>
          <w:tcPr>
            <w:tcW w:w="10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06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台</w:t>
            </w:r>
            <w:r/>
          </w:p>
        </w:tc>
        <w:tc>
          <w:tcPr>
            <w:tcW w:w="1790" w:type="dxa"/>
            <w:vAlign w:val="center"/>
            <w:vMerge w:val="continue"/>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lef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left"/>
        <w:keepLines w:val="0"/>
        <w:keepNext w:val="0"/>
        <w:pageBreakBefore w:val="0"/>
        <w:spacing w:line="360" w:lineRule="auto"/>
        <w:widowControl w:val="off"/>
        <w:rPr>
          <w:rFonts w:hint="eastAsia" w:ascii="黑体" w:hAnsi="黑体" w:eastAsia="黑体" w:cs="Times New Roman"/>
          <w:sz w:val="28"/>
          <w:szCs w:val="28"/>
        </w:rPr>
      </w:pPr>
      <w:r>
        <w:rPr>
          <w:rFonts w:hint="eastAsia" w:ascii="黑体" w:hAnsi="黑体" w:eastAsia="黑体" w:cs="Times New Roman"/>
          <w:sz w:val="28"/>
          <w:szCs w:val="28"/>
        </w:rPr>
        <w:t xml:space="preserve">三、详细的技术参数要求：</w:t>
      </w:r>
      <w:r/>
    </w:p>
    <w:p>
      <w:pPr>
        <w:ind w:firstLine="560"/>
        <w:jc w:val="left"/>
        <w:keepLines w:val="0"/>
        <w:keepNext w:val="0"/>
        <w:pageBreakBefore w:val="0"/>
        <w:spacing w:line="360" w:lineRule="auto"/>
        <w:widowControl w:val="off"/>
        <w:rPr>
          <w:rFonts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采购包</w:t>
      </w:r>
      <w:r>
        <w:rPr>
          <w:rFonts w:hint="eastAsia" w:ascii="Times New Roman" w:hAnsi="Times New Roman" w:eastAsia="黑体" w:cs="Times New Roman"/>
          <w:sz w:val="28"/>
          <w:szCs w:val="28"/>
          <w:lang w:val="en-US" w:eastAsia="zh-CN"/>
        </w:rPr>
        <w:t xml:space="preserve">1：</w:t>
      </w:r>
      <w:r>
        <w:rPr>
          <w:rFonts w:ascii="Times New Roman" w:hAnsi="Times New Roman" w:eastAsia="黑体" w:cs="Times New Roman"/>
          <w:sz w:val="28"/>
          <w:szCs w:val="28"/>
        </w:rPr>
        <w:t xml:space="preserve">吊塔（急诊）</w:t>
      </w:r>
      <w:r/>
    </w:p>
    <w:p>
      <w:pPr>
        <w:pStyle w:val="757"/>
        <w:keepLines w:val="0"/>
        <w:keepNext w:val="0"/>
        <w:pageBreakBefore w:val="0"/>
        <w:spacing w:line="360" w:lineRule="auto"/>
        <w:widowControl w:val="off"/>
        <w:rPr>
          <w:rFonts w:ascii="Times New Roman" w:hAnsi="Times New Roman" w:cs="Times New Roman"/>
          <w:strike/>
          <w:color w:val="000000"/>
          <w:sz w:val="24"/>
          <w:highlight w:val="yellow"/>
        </w:rPr>
      </w:pP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一</w:t>
      </w: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基础要求：</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吊塔主体材料为6063T5高强度铝合金，吊塔型材一次挤压成型，整体全封闭式设计，表面无锐角，无螺丝钉外露。</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吊塔表面采用静电粉末喷涂工艺，带有纳米抗菌再生作用涂层，具有抗菌、抑菌，便于清洁的功能，</w:t>
      </w:r>
      <w:r>
        <w:rPr>
          <w:rFonts w:ascii="Times New Roman" w:hAnsi="Times New Roman" w:cs="Times New Roman"/>
          <w:color w:val="000000"/>
          <w:sz w:val="24"/>
          <w:szCs w:val="24"/>
          <w:highlight w:val="none"/>
        </w:rPr>
        <w:t xml:space="preserve">符合GB/T</w:t>
      </w:r>
      <w:r>
        <w:rPr>
          <w:rFonts w:hint="eastAsia"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37</w:t>
      </w:r>
      <w:r>
        <w:rPr>
          <w:rFonts w:ascii="Times New Roman" w:hAnsi="Times New Roman" w:cs="Times New Roman"/>
          <w:color w:val="000000"/>
          <w:sz w:val="24"/>
          <w:szCs w:val="24"/>
        </w:rPr>
        <w:t xml:space="preserve">63-2009标准大肠杆菌及金黄色葡萄球菌抗菌率≥99%要求的检测标准。</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吊塔气体终端具有防误插功能，支持2万次以上的插拔，不同种类的气端均标识为不同颜色和不同形状，并且具有通、断、拔三种状态功能，可带气维修。</w:t>
      </w:r>
      <w:r/>
    </w:p>
    <w:p>
      <w:pPr>
        <w:pStyle w:val="757"/>
        <w:numPr>
          <w:ilvl w:val="0"/>
          <w:numId w:val="2"/>
        </w:numPr>
        <w:ind w:left="420"/>
        <w:spacing w:after="0" w:line="360" w:lineRule="auto"/>
        <w:rPr>
          <w:rFonts w:ascii="Times New Roman" w:hAnsi="Times New Roman" w:cs="Times New Roman"/>
          <w:b/>
          <w:bCs/>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吊塔外壳经过48小时中性盐雾试验可达到ISO9227外观评级10级要求</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吊塔医用气体管路，内径不小于6mm，医用特制3层PVC管，外层耐磨PVC，中间聚酯线加强层，内层为食品级硅胶材料，无异味。</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的电源插座采用220V国标插座，通过CCC认证。采用三孔或五孔国标电源插座。需双路独立供电线路，一用一备。每路提供不小于3700W的承载。当一路意外断电时，另一路仍能够提供正常工作所需的承载。两路线路采用不同颜色的插座进行识别。</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吊塔箱体符合ISO11197医用供电装置标准</w:t>
      </w:r>
      <w:r>
        <w:rPr>
          <w:rFonts w:ascii="Times New Roman" w:hAnsi="Times New Roman" w:cs="Times New Roman"/>
          <w:sz w:val="24"/>
          <w:szCs w:val="24"/>
        </w:rPr>
        <w:t xml:space="preserve">，气电箱体采用多边形设计，每一面都有实际拓展功能，吊塔箱体采用气电分离</w:t>
      </w:r>
      <w:r>
        <w:rPr>
          <w:rFonts w:ascii="Times New Roman" w:hAnsi="Times New Roman" w:cs="Times New Roman"/>
          <w:color w:val="000000"/>
          <w:sz w:val="24"/>
          <w:szCs w:val="24"/>
        </w:rPr>
        <w:t xml:space="preserve">式设计，气路和电路在箱体内分开布局，气体终端和电源插座安装于箱体的不同平面上、不同腔体内，不允许装在同一个平面上、同一个腔体内，确保使用安全并不影响接口的同时使用。</w:t>
      </w:r>
      <w:r/>
    </w:p>
    <w:p>
      <w:pPr>
        <w:pStyle w:val="757"/>
        <w:numPr>
          <w:ilvl w:val="0"/>
          <w:numId w:val="2"/>
        </w:numPr>
        <w:ind w:left="420"/>
        <w:spacing w:after="0" w:line="360" w:lineRule="auto"/>
        <w:rPr>
          <w:rFonts w:ascii="Times New Roman" w:hAnsi="Times New Roman" w:cs="Times New Roman"/>
          <w:b/>
          <w:bCs/>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吊塔安装支架通过专业结构安全评估。</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吊塔需通过防护等级测试，采用不低于IP20的标准</w:t>
      </w:r>
      <w:r>
        <w:rPr>
          <w:rFonts w:hint="eastAsia" w:ascii="Times New Roman" w:hAnsi="Times New Roman" w:cs="Times New Roman"/>
          <w:color w:val="000000"/>
          <w:sz w:val="24"/>
          <w:szCs w:val="24"/>
        </w:rPr>
        <w:t xml:space="preserve">；</w:t>
      </w:r>
      <w:r>
        <w:rPr>
          <w:rFonts w:hint="eastAsia" w:ascii="Times New Roman" w:hAnsi="Times New Roman" w:cs="Times New Roman"/>
          <w:color w:val="000000"/>
          <w:sz w:val="24"/>
          <w:szCs w:val="24"/>
          <w:highlight w:val="none"/>
        </w:rPr>
        <w:t xml:space="preserve">所用塑料材料具备自熄性，移开明火源后10秒内自行熄灭，且不产生引燃其他物体的燃烧滴落物</w:t>
      </w:r>
      <w:r>
        <w:rPr>
          <w:rFonts w:ascii="Times New Roman" w:hAnsi="Times New Roman" w:cs="Times New Roman"/>
          <w:color w:val="000000"/>
          <w:sz w:val="24"/>
          <w:szCs w:val="24"/>
          <w:highlight w:val="none"/>
        </w:rPr>
        <w:t xml:space="preserve">。</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吊塔抗震等级</w:t>
      </w:r>
      <w:r>
        <w:rPr>
          <w:rFonts w:ascii="Times New Roman" w:hAnsi="Times New Roman" w:eastAsia="宋体" w:cs="Times New Roman"/>
          <w:color w:val="000000"/>
          <w:sz w:val="24"/>
          <w:szCs w:val="24"/>
        </w:rPr>
        <w:t xml:space="preserve">里氏</w:t>
      </w:r>
      <w:r>
        <w:rPr>
          <w:rFonts w:ascii="Times New Roman" w:hAnsi="Times New Roman" w:cs="Times New Roman"/>
          <w:color w:val="000000"/>
          <w:sz w:val="24"/>
          <w:szCs w:val="24"/>
        </w:rPr>
        <w:t xml:space="preserve">7-9级。</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全钢制抽屉，带抽屉托盘最大承载重量不小于80</w:t>
      </w:r>
      <w:r>
        <w:rPr>
          <w:rFonts w:ascii="Times New Roman" w:hAnsi="Times New Roman" w:eastAsia="宋体" w:cs="Times New Roman"/>
          <w:color w:val="000000"/>
          <w:sz w:val="24"/>
          <w:szCs w:val="24"/>
        </w:rPr>
        <w:t xml:space="preserve">kg</w:t>
      </w:r>
      <w:r>
        <w:rPr>
          <w:rFonts w:ascii="Times New Roman" w:hAnsi="Times New Roman" w:cs="Times New Roman"/>
          <w:color w:val="000000"/>
          <w:sz w:val="24"/>
          <w:szCs w:val="24"/>
        </w:rPr>
        <w:t xml:space="preserve">，带高质量阻尼导轨，具有自吸作用，带一键拆卸装置，不允许使用塑料托盘。</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箱体底端有氧气泄流孔设计。</w:t>
      </w:r>
      <w:r/>
    </w:p>
    <w:p>
      <w:pPr>
        <w:pStyle w:val="757"/>
        <w:numPr>
          <w:ilvl w:val="0"/>
          <w:numId w:val="2"/>
        </w:numPr>
        <w:ind w:left="420"/>
        <w:spacing w:after="0" w:line="360" w:lineRule="auto"/>
        <w:rPr>
          <w:rFonts w:ascii="Times New Roman" w:hAnsi="Times New Roman" w:cs="Times New Roman"/>
          <w:color w:val="000000"/>
          <w:sz w:val="24"/>
        </w:rPr>
      </w:pPr>
      <w:r>
        <w:rPr>
          <w:rFonts w:ascii="Times New Roman" w:hAnsi="Times New Roman" w:cs="Times New Roman"/>
          <w:sz w:val="24"/>
          <w:szCs w:val="24"/>
        </w:rPr>
        <w:t xml:space="preserve">▲</w:t>
      </w:r>
      <w:r>
        <w:rPr>
          <w:rFonts w:ascii="Times New Roman" w:hAnsi="Times New Roman" w:cs="Times New Roman"/>
          <w:color w:val="000000"/>
          <w:sz w:val="24"/>
          <w:szCs w:val="24"/>
        </w:rPr>
        <w:t xml:space="preserve">吊塔外壳涂膜附着力需达到ISO2409: 2020附着力标准0级要求。</w:t>
      </w:r>
      <w:r>
        <w:rPr>
          <w:rFonts w:ascii="Times New Roman" w:hAnsi="Times New Roman" w:cs="Times New Roman"/>
          <w:b/>
          <w:bCs/>
          <w:color w:val="000000"/>
          <w:sz w:val="24"/>
          <w:szCs w:val="24"/>
        </w:rPr>
        <w:t xml:space="preserve">（</w:t>
      </w:r>
      <w:r>
        <w:rPr>
          <w:rFonts w:ascii="Times New Roman" w:hAnsi="Times New Roman" w:eastAsia="宋体" w:cs="Times New Roman"/>
          <w:b/>
          <w:bCs/>
          <w:color w:val="000000"/>
          <w:sz w:val="24"/>
          <w:szCs w:val="24"/>
        </w:rPr>
        <w:t xml:space="preserve">需提供相关佐证材料</w:t>
      </w:r>
      <w:r>
        <w:rPr>
          <w:rFonts w:ascii="Times New Roman" w:hAnsi="Times New Roman" w:cs="Times New Roman"/>
          <w:b/>
          <w:bCs/>
          <w:color w:val="000000"/>
          <w:sz w:val="24"/>
          <w:szCs w:val="24"/>
        </w:rPr>
        <w:t xml:space="preserve">）</w:t>
      </w:r>
      <w:r/>
    </w:p>
    <w:p>
      <w:pPr>
        <w:pStyle w:val="757"/>
        <w:spacing w:after="0" w:line="360" w:lineRule="auto"/>
        <w:rPr>
          <w:rFonts w:ascii="Times New Roman" w:hAnsi="Times New Roman" w:cs="Times New Roman"/>
          <w:color w:val="000000"/>
          <w:sz w:val="24"/>
        </w:rPr>
      </w:pPr>
      <w:r>
        <w:rPr>
          <w:rFonts w:ascii="Times New Roman" w:hAnsi="Times New Roman" w:cs="Times New Roman"/>
          <w:color w:val="000000"/>
          <w:sz w:val="24"/>
        </w:rPr>
      </w:r>
      <w:r/>
    </w:p>
    <w:p>
      <w:pPr>
        <w:pStyle w:val="757"/>
        <w:spacing w:line="360" w:lineRule="auto"/>
        <w:rPr>
          <w:rFonts w:ascii="Times New Roman" w:hAnsi="Times New Roman" w:cs="Times New Roman"/>
          <w:b/>
          <w:bCs/>
          <w:color w:val="000000"/>
          <w:sz w:val="24"/>
        </w:rPr>
      </w:pPr>
      <w:r>
        <w:rPr>
          <w:rFonts w:hint="eastAsia" w:ascii="Times New Roman" w:hAnsi="Times New Roman" w:cs="Times New Roman"/>
          <w:b/>
          <w:bCs/>
          <w:sz w:val="24"/>
          <w:szCs w:val="24"/>
          <w:lang w:eastAsia="zh-CN"/>
        </w:rPr>
        <w:t xml:space="preserve">（二）</w:t>
      </w:r>
      <w:r>
        <w:rPr>
          <w:rFonts w:ascii="Times New Roman" w:hAnsi="Times New Roman" w:cs="Times New Roman"/>
          <w:b/>
          <w:bCs/>
          <w:color w:val="000000"/>
          <w:sz w:val="24"/>
          <w:szCs w:val="24"/>
        </w:rPr>
        <w:t xml:space="preserve">抢救室联排</w:t>
      </w:r>
      <w:r>
        <w:rPr>
          <w:rFonts w:ascii="Times New Roman" w:hAnsi="Times New Roman" w:cs="Times New Roman"/>
          <w:b/>
          <w:bCs/>
          <w:sz w:val="24"/>
          <w:szCs w:val="24"/>
        </w:rPr>
        <w:t xml:space="preserve">干湿分离桥塔附加要求：</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桥塔横梁长度2400</w:t>
      </w:r>
      <w:r>
        <w:rPr>
          <w:rFonts w:ascii="Times New Roman" w:hAnsi="Times New Roman" w:eastAsia="宋体" w:cs="Times New Roman"/>
          <w:color w:val="000000"/>
          <w:sz w:val="24"/>
          <w:szCs w:val="24"/>
        </w:rPr>
        <w:t xml:space="preserve">～</w:t>
      </w:r>
      <w:r>
        <w:rPr>
          <w:rFonts w:ascii="Times New Roman" w:hAnsi="Times New Roman" w:cs="Times New Roman"/>
          <w:color w:val="000000"/>
          <w:sz w:val="24"/>
          <w:szCs w:val="24"/>
        </w:rPr>
        <w:t xml:space="preserve">2800mm（可根据最终实际尺寸调整）。横梁配置要求： LED灯*1个，开关*1个（可加装气、电终端，各类弱电接口，设备导轨）；</w:t>
      </w:r>
      <w:r/>
    </w:p>
    <w:p>
      <w:pPr>
        <w:pStyle w:val="757"/>
        <w:numPr>
          <w:ilvl w:val="0"/>
          <w:numId w:val="3"/>
        </w:numPr>
        <w:ind w:left="420"/>
        <w:spacing w:after="0" w:line="360" w:lineRule="auto"/>
        <w:rPr>
          <w:rFonts w:ascii="Times New Roman" w:hAnsi="Times New Roman" w:cs="Times New Roman"/>
          <w:color w:val="000000"/>
          <w:sz w:val="24"/>
        </w:rPr>
      </w:pPr>
      <w:r>
        <w:rPr>
          <w:rFonts w:ascii="Segoe UI Symbol" w:hAnsi="Segoe UI Symbol" w:eastAsia="宋体" w:cs="Segoe UI Symbol"/>
          <w:sz w:val="24"/>
          <w:szCs w:val="24"/>
        </w:rPr>
        <w:t xml:space="preserve">★</w:t>
      </w:r>
      <w:r>
        <w:rPr>
          <w:rFonts w:ascii="Times New Roman" w:hAnsi="Times New Roman" w:cs="Times New Roman"/>
          <w:color w:val="000000"/>
          <w:sz w:val="24"/>
          <w:szCs w:val="24"/>
        </w:rPr>
        <w:t xml:space="preserve">桥塔可搭配同品牌检查灯方案，安装于桥塔横梁上，照度分档可调，且灯头控制面板和灯头手柄都支持检查灯的开关和照度调节。</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吊桥最大承载重量不小于200</w:t>
      </w:r>
      <w:r>
        <w:rPr>
          <w:rFonts w:ascii="Times New Roman" w:hAnsi="Times New Roman" w:eastAsia="宋体" w:cs="Times New Roman"/>
          <w:color w:val="000000"/>
          <w:sz w:val="24"/>
          <w:szCs w:val="24"/>
        </w:rPr>
        <w:t xml:space="preserve">kg</w:t>
      </w:r>
      <w:r>
        <w:rPr>
          <w:rFonts w:ascii="Times New Roman" w:hAnsi="Times New Roman" w:cs="Times New Roman"/>
          <w:color w:val="000000"/>
          <w:sz w:val="24"/>
          <w:szCs w:val="24"/>
        </w:rPr>
        <w:t xml:space="preserve">，要求4倍安全系数；</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气电线管路为后背式管理机构，不允许从横梁下方开孔穿线。</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桥塔为干湿分离设计；</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桥塔干区要求：</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气电箱可旋转角度≥340°</w:t>
      </w:r>
      <w:r>
        <w:rPr>
          <w:rFonts w:ascii="Times New Roman" w:hAnsi="Times New Roman" w:cs="Times New Roman"/>
          <w:sz w:val="24"/>
          <w:szCs w:val="24"/>
        </w:rPr>
        <w:t xml:space="preserve">；</w:t>
      </w:r>
      <w:r/>
    </w:p>
    <w:p>
      <w:pPr>
        <w:numPr>
          <w:ilvl w:val="1"/>
          <w:numId w:val="3"/>
        </w:numPr>
        <w:spacing w:line="360" w:lineRule="auto"/>
        <w:rPr>
          <w:rFonts w:ascii="Times New Roman" w:hAnsi="Times New Roman" w:cs="Times New Roman"/>
          <w:sz w:val="24"/>
        </w:rPr>
      </w:pPr>
      <w:r>
        <w:rPr>
          <w:rFonts w:ascii="Segoe UI Symbol" w:hAnsi="Segoe UI Symbol" w:eastAsia="宋体" w:cs="Segoe UI Symbol"/>
          <w:sz w:val="24"/>
          <w:szCs w:val="24"/>
        </w:rPr>
        <w:t xml:space="preserve">★</w:t>
      </w:r>
      <w:r>
        <w:rPr>
          <w:rFonts w:ascii="Times New Roman" w:hAnsi="Times New Roman" w:eastAsia="宋体" w:cs="Times New Roman"/>
          <w:sz w:val="24"/>
          <w:szCs w:val="24"/>
        </w:rPr>
        <w:t xml:space="preserve">气电箱能在横梁上自由滑动，采用滑台式把手刹车方式，下拉把手即可解刹移动气电箱，松开把手自动复位锁定气电箱，不使用老式旋钮刹车。</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干区承载平台承重量≥200KG；</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带双边侧轨设备托盘，其中带把手托盘1层，带抽屉设备托盘1层；</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其他配置：氧气1个，负压1个，空气1个，电端8个，等电位2个，RJ45 2个；</w:t>
      </w:r>
      <w:r/>
    </w:p>
    <w:p>
      <w:pPr>
        <w:pStyle w:val="757"/>
        <w:numPr>
          <w:ilvl w:val="0"/>
          <w:numId w:val="3"/>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桥塔湿区要求：</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气电箱可旋转角度≥340°，长度≥800mm</w:t>
      </w:r>
      <w:r>
        <w:rPr>
          <w:rFonts w:ascii="Times New Roman" w:hAnsi="Times New Roman" w:cs="Times New Roman"/>
          <w:sz w:val="24"/>
          <w:szCs w:val="24"/>
        </w:rPr>
        <w:t xml:space="preserve">；</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湿区承载平台承重量≥200KG；</w:t>
      </w:r>
      <w:r/>
    </w:p>
    <w:p>
      <w:pPr>
        <w:numPr>
          <w:ilvl w:val="1"/>
          <w:numId w:val="3"/>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其他配置：双臂输液架1个，氧气1个，负压1个，空气1个，电端6个，等电位2个，RJ45 2个，监护仪支架1个。</w:t>
      </w:r>
      <w:r/>
    </w:p>
    <w:p>
      <w:pPr>
        <w:spacing w:line="360" w:lineRule="auto"/>
        <w:rPr>
          <w:rFonts w:ascii="Times New Roman" w:hAnsi="Times New Roman" w:cs="Times New Roman"/>
          <w:b/>
          <w:bCs/>
          <w:sz w:val="24"/>
        </w:rPr>
      </w:pPr>
      <w:r>
        <w:rPr>
          <w:rFonts w:ascii="Times New Roman" w:hAnsi="Times New Roman" w:cs="Times New Roman"/>
          <w:b/>
          <w:bCs/>
          <w:sz w:val="24"/>
        </w:rPr>
      </w:r>
      <w:r/>
    </w:p>
    <w:p>
      <w:pPr>
        <w:pStyle w:val="757"/>
        <w:spacing w:line="360" w:lineRule="auto"/>
        <w:rPr>
          <w:rFonts w:ascii="Times New Roman" w:hAnsi="Times New Roman" w:cs="Times New Roman"/>
          <w:b/>
          <w:bCs/>
          <w:color w:val="000000"/>
          <w:sz w:val="24"/>
        </w:rPr>
      </w:pP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三</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抢救室单间干湿分离组合塔</w:t>
      </w:r>
      <w:r>
        <w:rPr>
          <w:rFonts w:ascii="Times New Roman" w:hAnsi="Times New Roman" w:cs="Times New Roman"/>
          <w:b/>
          <w:bCs/>
          <w:sz w:val="24"/>
          <w:szCs w:val="24"/>
        </w:rPr>
        <w:t xml:space="preserve">附加要求</w:t>
      </w:r>
      <w:r/>
    </w:p>
    <w:p>
      <w:pPr>
        <w:pStyle w:val="757"/>
        <w:numPr>
          <w:ilvl w:val="0"/>
          <w:numId w:val="4"/>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吊塔含有旋转臂，单旋转臂旋转半径600</w:t>
      </w:r>
      <w:r>
        <w:rPr>
          <w:rFonts w:ascii="Times New Roman" w:hAnsi="Times New Roman" w:eastAsia="宋体" w:cs="Times New Roman"/>
          <w:color w:val="000000"/>
          <w:sz w:val="24"/>
          <w:szCs w:val="24"/>
        </w:rPr>
        <w:t xml:space="preserve">～</w:t>
      </w:r>
      <w:r>
        <w:rPr>
          <w:rFonts w:ascii="Times New Roman" w:hAnsi="Times New Roman" w:cs="Times New Roman"/>
          <w:color w:val="000000"/>
          <w:sz w:val="24"/>
          <w:szCs w:val="24"/>
        </w:rPr>
        <w:t xml:space="preserve">900mm，双旋转臂旋转半径1200</w:t>
      </w:r>
      <w:r>
        <w:rPr>
          <w:rFonts w:ascii="Times New Roman" w:hAnsi="Times New Roman" w:eastAsia="宋体" w:cs="Times New Roman"/>
          <w:color w:val="000000"/>
          <w:sz w:val="24"/>
          <w:szCs w:val="24"/>
        </w:rPr>
        <w:t xml:space="preserve">～</w:t>
      </w:r>
      <w:r>
        <w:rPr>
          <w:rFonts w:ascii="Times New Roman" w:hAnsi="Times New Roman" w:cs="Times New Roman"/>
          <w:color w:val="000000"/>
          <w:sz w:val="24"/>
          <w:szCs w:val="24"/>
        </w:rPr>
        <w:t xml:space="preserve">1500mm，各旋转臂旋转角度不小于340º。</w:t>
      </w:r>
      <w:r/>
    </w:p>
    <w:p>
      <w:pPr>
        <w:pStyle w:val="757"/>
        <w:numPr>
          <w:ilvl w:val="0"/>
          <w:numId w:val="4"/>
        </w:numPr>
        <w:ind w:left="420"/>
        <w:spacing w:after="0" w:line="360" w:lineRule="auto"/>
        <w:rPr>
          <w:rFonts w:ascii="Times New Roman" w:hAnsi="Times New Roman" w:cs="Times New Roman"/>
          <w:color w:val="000000"/>
          <w:sz w:val="24"/>
        </w:rPr>
      </w:pPr>
      <w:r>
        <w:rPr>
          <w:rFonts w:ascii="Segoe UI Symbol" w:hAnsi="Segoe UI Symbol" w:eastAsia="宋体" w:cs="Segoe UI Symbol"/>
          <w:sz w:val="24"/>
          <w:szCs w:val="24"/>
        </w:rPr>
        <w:t xml:space="preserve">★</w:t>
      </w:r>
      <w:r>
        <w:rPr>
          <w:rFonts w:ascii="Times New Roman" w:hAnsi="Times New Roman" w:cs="Times New Roman"/>
          <w:color w:val="000000"/>
          <w:sz w:val="24"/>
          <w:szCs w:val="24"/>
        </w:rPr>
        <w:t xml:space="preserve">吊塔最大承载重量不小于250</w:t>
      </w:r>
      <w:r>
        <w:rPr>
          <w:rFonts w:ascii="Times New Roman" w:hAnsi="Times New Roman" w:eastAsia="宋体" w:cs="Times New Roman"/>
          <w:color w:val="000000"/>
          <w:sz w:val="24"/>
          <w:szCs w:val="24"/>
        </w:rPr>
        <w:t xml:space="preserve">kg</w:t>
      </w:r>
      <w:r>
        <w:rPr>
          <w:rFonts w:ascii="Times New Roman" w:hAnsi="Times New Roman" w:cs="Times New Roman"/>
          <w:color w:val="000000"/>
          <w:sz w:val="24"/>
          <w:szCs w:val="24"/>
        </w:rPr>
        <w:t xml:space="preserve">，要求4倍安全系数。</w:t>
      </w:r>
      <w:r/>
    </w:p>
    <w:p>
      <w:pPr>
        <w:pStyle w:val="757"/>
        <w:numPr>
          <w:ilvl w:val="0"/>
          <w:numId w:val="4"/>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干湿分离组合塔干区：（臂式吊塔）</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干区含有1个吊臂，吊臂的长度≥1200mm</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旋转半径≥900mm</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吊臂、气电箱及悬挂柱的旋转角度≥340º，吊臂和气电箱可根据医院实际情况配置；</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气电箱采用多边形或蝶形箱体结构，适合安装更多的终端、插座及各类设备仪器支架，气体终端与电源插座及网络端口竖向排列；</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带双边侧轨设备托盘，其中带把手托盘1层，带抽屉托盘1层； </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气体终端：氧气（O2）×2，空气（AIR）×1；根据医院实际需求安装气体终端；</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电源插座≥8个，等电位≥2个，可根据医院实际需求配置各类制式插座；</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RJ45网络端口≥2个（超五类），可根据医院实际需求加装；</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托盘两侧配置有标准侧轨，可夹装仪器设备</w:t>
      </w:r>
      <w:r>
        <w:rPr>
          <w:rFonts w:ascii="Times New Roman" w:hAnsi="Times New Roman" w:cs="Times New Roman"/>
          <w:sz w:val="24"/>
          <w:szCs w:val="24"/>
        </w:rPr>
        <w:t xml:space="preserve">。</w:t>
      </w:r>
      <w:r/>
    </w:p>
    <w:p>
      <w:pPr>
        <w:pStyle w:val="757"/>
        <w:numPr>
          <w:ilvl w:val="0"/>
          <w:numId w:val="4"/>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ICU干湿分离组合湿区：（臂式吊塔）</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湿区含有2个吊臂，吊臂的长度≥1200mm</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旋转半径≥1200mm</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吊臂、气电箱及调节柱的旋转角度≥340º，吊臂和气电箱可根据医院实际情况配置；</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气电箱采用TUB型材吊柱结构，气体终端与电源插座及网络端口竖向排列，方便插拔，摆放各类仪器；</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气电箱上设备托盘≥1个，抽屉≥1个；</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气体终端：空气（Air）×1，负压（Vac）×2；根据医院实际需求安装气体终端；</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电源插座≥8个，等电位≥2个，可根据医院实际需求配置各类制式插座；</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RJ45网络端口≥1个，可根据医院实际需求加装；</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托盘两侧配置有标准侧轨，可夹装仪器设备；</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双关节输液架，延长臂≥2个，输液杆架≥1个，注射泵杆架≥1个</w:t>
      </w:r>
      <w:r>
        <w:rPr>
          <w:rFonts w:ascii="Times New Roman" w:hAnsi="Times New Roman" w:cs="Times New Roman"/>
          <w:sz w:val="24"/>
          <w:szCs w:val="24"/>
        </w:rPr>
        <w:t xml:space="preserve">。</w:t>
      </w:r>
      <w:r/>
    </w:p>
    <w:p>
      <w:pPr>
        <w:pStyle w:val="757"/>
        <w:numPr>
          <w:ilvl w:val="0"/>
          <w:numId w:val="4"/>
        </w:numPr>
        <w:ind w:left="420"/>
        <w:spacing w:after="0" w:line="360" w:lineRule="auto"/>
        <w:rPr>
          <w:rFonts w:ascii="Times New Roman" w:hAnsi="Times New Roman" w:cs="Times New Roman"/>
          <w:color w:val="000000"/>
          <w:sz w:val="24"/>
        </w:rPr>
      </w:pPr>
      <w:r>
        <w:rPr>
          <w:rFonts w:ascii="Times New Roman" w:hAnsi="Times New Roman" w:cs="Times New Roman"/>
          <w:color w:val="000000"/>
          <w:sz w:val="24"/>
          <w:szCs w:val="24"/>
        </w:rPr>
        <w:t xml:space="preserve">组合塔中心位置与吊塔悬臂同品牌同轴安装LED无影灯</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灯头为三叶草中空设计</w:t>
      </w:r>
      <w:r>
        <w:rPr>
          <w:rFonts w:ascii="Times New Roman" w:hAnsi="Times New Roman" w:cs="Times New Roman"/>
          <w:sz w:val="24"/>
          <w:szCs w:val="24"/>
        </w:rPr>
        <w:t xml:space="preserve">；</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采用LED冷光源，灯珠不少于7颗，透镜直径不低于60mm；</w:t>
      </w:r>
      <w:r/>
    </w:p>
    <w:p>
      <w:pPr>
        <w:numPr>
          <w:ilvl w:val="1"/>
          <w:numId w:val="4"/>
        </w:numPr>
        <w:spacing w:line="360" w:lineRule="auto"/>
        <w:rPr>
          <w:rFonts w:ascii="Times New Roman" w:hAnsi="Times New Roman" w:cs="Times New Roman"/>
          <w:b/>
          <w:bCs/>
          <w:sz w:val="24"/>
        </w:rPr>
      </w:pPr>
      <w:r>
        <w:rPr>
          <w:rFonts w:ascii="Times New Roman" w:hAnsi="Times New Roman" w:eastAsia="宋体" w:cs="Times New Roman"/>
          <w:sz w:val="24"/>
          <w:szCs w:val="24"/>
        </w:rPr>
        <w:t xml:space="preserve">▲标配按键和消毒手柄两种控制方式，消毒手柄能够调节照度</w:t>
      </w:r>
      <w:r>
        <w:rPr>
          <w:rFonts w:ascii="Times New Roman" w:hAnsi="Times New Roman" w:eastAsia="宋体" w:cs="Times New Roman"/>
          <w:b/>
          <w:bCs/>
          <w:sz w:val="24"/>
          <w:szCs w:val="24"/>
        </w:rPr>
        <w:t xml:space="preserve">（需提供相关佐证材料）；</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最大照度不低于60KLUX，照度5档可调；</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▲照度达到中心照度50%区域的光斑分布直径d50≥对应光斑d10的50%，即d50:d10≥50%；</w:t>
      </w:r>
      <w:r>
        <w:rPr>
          <w:rFonts w:ascii="Times New Roman" w:hAnsi="Times New Roman" w:eastAsia="宋体" w:cs="Times New Roman"/>
          <w:b/>
          <w:bCs/>
          <w:sz w:val="24"/>
          <w:szCs w:val="24"/>
        </w:rPr>
        <w:t xml:space="preserve">（需提供相关佐证材料）</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色温恒定4500K</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光斑直径160mm；</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照明深度≥1300mm</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显色指数≥96；</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功率≤15W</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使用寿命≥50000h；</w:t>
      </w:r>
      <w:r/>
    </w:p>
    <w:p>
      <w:pPr>
        <w:numPr>
          <w:ilvl w:val="1"/>
          <w:numId w:val="4"/>
        </w:numPr>
        <w:spacing w:line="360" w:lineRule="auto"/>
        <w:rPr>
          <w:rFonts w:ascii="Times New Roman" w:hAnsi="Times New Roman" w:cs="Times New Roman"/>
          <w:sz w:val="24"/>
        </w:rPr>
      </w:pPr>
      <w:r>
        <w:rPr>
          <w:rFonts w:ascii="Times New Roman" w:hAnsi="Times New Roman" w:eastAsia="宋体" w:cs="Times New Roman"/>
          <w:sz w:val="24"/>
          <w:szCs w:val="24"/>
        </w:rPr>
        <w:t xml:space="preserve">弯管组件旋转角度≥360°，灯盘旋转角度≥180°。</w:t>
      </w:r>
      <w:r/>
    </w:p>
    <w:p>
      <w:pPr>
        <w:spacing w:line="360" w:lineRule="auto"/>
        <w:rPr>
          <w:rFonts w:ascii="Times New Roman" w:hAnsi="Times New Roman" w:cs="Times New Roman"/>
          <w:sz w:val="24"/>
        </w:rPr>
      </w:pPr>
      <w:r>
        <w:rPr>
          <w:rFonts w:ascii="Times New Roman" w:hAnsi="Times New Roman" w:cs="Times New Roman"/>
          <w:sz w:val="24"/>
        </w:rPr>
      </w:r>
      <w:r/>
    </w:p>
    <w:p>
      <w:pPr>
        <w:jc w:val="left"/>
        <w:spacing w:line="400" w:lineRule="exact"/>
        <w:rPr>
          <w:rFonts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采购包</w:t>
      </w:r>
      <w:r>
        <w:rPr>
          <w:rFonts w:hint="eastAsia" w:ascii="Times New Roman" w:hAnsi="Times New Roman" w:eastAsia="黑体" w:cs="Times New Roman"/>
          <w:sz w:val="28"/>
          <w:szCs w:val="28"/>
          <w:lang w:val="en-US" w:eastAsia="zh-CN"/>
        </w:rPr>
        <w:t xml:space="preserve">2：</w:t>
      </w:r>
      <w:r>
        <w:rPr>
          <w:rFonts w:ascii="Times New Roman" w:hAnsi="Times New Roman" w:eastAsia="黑体" w:cs="Times New Roman"/>
          <w:sz w:val="28"/>
          <w:szCs w:val="28"/>
        </w:rPr>
        <w:t xml:space="preserve">吊塔（手术室）</w:t>
      </w:r>
      <w:r/>
    </w:p>
    <w:p>
      <w:pPr>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757"/>
        <w:spacing w:line="360" w:lineRule="auto"/>
        <w:rPr>
          <w:rFonts w:ascii="Times New Roman" w:hAnsi="Times New Roman" w:cs="Times New Roman"/>
          <w:b/>
          <w:bCs/>
          <w:color w:val="000000"/>
          <w:sz w:val="24"/>
        </w:rPr>
      </w:pP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一</w:t>
      </w: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基础要求：</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主体材料要求为高强度铝合金，整体全封闭式设计，表面无锐角，无螺丝钉外露，具有升高或旋转限位装置，防腐蚀，便于清洁；</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不同种类气体插座均标识为不同颜色和不同形状，具有防误插功能，并且具有原位待接通状态功能。</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插座插头可保证2万次以上的插拔，可带气维修。</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▲金属气体终端内部，采用不少于2个插销式结构固定插头</w:t>
      </w:r>
      <w:r>
        <w:rPr>
          <w:rFonts w:ascii="Times New Roman" w:hAnsi="Times New Roman" w:cs="Times New Roman"/>
          <w:b/>
          <w:bCs/>
          <w:color w:val="000000"/>
          <w:sz w:val="24"/>
          <w:szCs w:val="24"/>
        </w:rPr>
        <w:t xml:space="preserve">（需提供相关佐证材料）</w:t>
      </w:r>
      <w:r>
        <w:rPr>
          <w:rFonts w:ascii="Times New Roman" w:hAnsi="Times New Roman" w:cs="Times New Roman"/>
          <w:color w:val="000000"/>
          <w:sz w:val="24"/>
          <w:szCs w:val="24"/>
        </w:rPr>
        <w:t xml:space="preserve">。</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气体管路材质：需符合ISO 5359标准，符合医疗标准无异味，通过生物相容性测试。</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▲医用气体软管符合生物相容性ISO10993要求的皮肤刺激测试、细胞毒性测试、致敏测试。</w:t>
      </w:r>
      <w:r>
        <w:rPr>
          <w:rFonts w:ascii="Times New Roman" w:hAnsi="Times New Roman" w:cs="Times New Roman"/>
          <w:b/>
          <w:bCs/>
          <w:color w:val="000000"/>
          <w:sz w:val="24"/>
          <w:szCs w:val="24"/>
        </w:rPr>
        <w:t xml:space="preserve">（需提供相关佐证材料）</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▲气体通路都应满足ISO18562医用气源软管颗粒物排放测试，避免颗粒物吸入肺部</w:t>
      </w:r>
      <w:r>
        <w:rPr>
          <w:rFonts w:ascii="Times New Roman" w:hAnsi="Times New Roman" w:cs="Times New Roman"/>
          <w:b/>
          <w:bCs/>
          <w:color w:val="000000"/>
          <w:sz w:val="24"/>
          <w:szCs w:val="24"/>
        </w:rPr>
        <w:t xml:space="preserve">（需提供相关佐证材料）</w:t>
      </w:r>
      <w:r>
        <w:rPr>
          <w:rFonts w:ascii="Times New Roman" w:hAnsi="Times New Roman" w:cs="Times New Roman"/>
          <w:color w:val="000000"/>
          <w:sz w:val="24"/>
          <w:szCs w:val="24"/>
        </w:rPr>
        <w:t xml:space="preserve">。</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电源插座、网络接口、DVI、BNC等信号线标配耐磨防火聚丙烯酸护管，</w:t>
      </w:r>
      <w:r>
        <w:rPr>
          <w:rFonts w:ascii="Times New Roman" w:hAnsi="Times New Roman" w:cs="Times New Roman"/>
          <w:color w:val="000000"/>
          <w:sz w:val="24"/>
          <w:szCs w:val="24"/>
          <w:highlight w:val="none"/>
        </w:rPr>
        <w:t xml:space="preserve">护管</w:t>
      </w:r>
      <w:r>
        <w:rPr>
          <w:rFonts w:hint="eastAsia" w:ascii="Times New Roman" w:hAnsi="Times New Roman" w:cs="Times New Roman"/>
          <w:color w:val="000000"/>
          <w:sz w:val="24"/>
          <w:szCs w:val="24"/>
          <w:highlight w:val="none"/>
        </w:rPr>
        <w:t xml:space="preserve">具备自熄性，移开明火源后30秒内自行熄灭，且不产生引燃其他物体的燃烧滴落物</w:t>
      </w:r>
      <w:r>
        <w:rPr>
          <w:rFonts w:ascii="Times New Roman" w:hAnsi="Times New Roman" w:cs="Times New Roman"/>
          <w:color w:val="000000"/>
          <w:sz w:val="24"/>
          <w:szCs w:val="24"/>
          <w:highlight w:val="none"/>
        </w:rPr>
        <w:t xml:space="preserve">。</w:t>
      </w:r>
      <w:r/>
    </w:p>
    <w:p>
      <w:pPr>
        <w:pStyle w:val="757"/>
        <w:numPr>
          <w:ilvl w:val="0"/>
          <w:numId w:val="5"/>
        </w:numPr>
        <w:spacing w:after="0" w:line="360" w:lineRule="auto"/>
        <w:rPr>
          <w:rFonts w:ascii="Times New Roman" w:hAnsi="Times New Roman" w:cs="Times New Roman"/>
          <w:color w:val="000000"/>
          <w:sz w:val="24"/>
          <w:szCs w:val="24"/>
        </w:rPr>
      </w:pPr>
      <w:r>
        <w:rPr>
          <w:rFonts w:ascii="Segoe UI Symbol" w:hAnsi="Segoe UI Symbol" w:cs="Segoe UI Symbol"/>
          <w:color w:val="000000"/>
          <w:sz w:val="24"/>
          <w:szCs w:val="24"/>
        </w:rPr>
        <w:t xml:space="preserve">★</w:t>
      </w:r>
      <w:r>
        <w:rPr>
          <w:rFonts w:ascii="Times New Roman" w:hAnsi="Times New Roman" w:cs="Times New Roman"/>
          <w:color w:val="000000"/>
          <w:sz w:val="24"/>
          <w:szCs w:val="24"/>
        </w:rPr>
        <w:t xml:space="preserve">吊塔具备符合人体工学的附件定位系统，安装在吊塔导轨上，吊塔附件可安装固定在定位系统的任意位置，且定位系统可带24V电压供附件运转。</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吊塔插座为交流电220V并有单独接地线，每一插座需带等电位接地端子，接地线不得与吊塔接地共用。</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▲吊塔悬臂内径≥120mm，可配备更多气电口</w:t>
      </w:r>
      <w:r>
        <w:rPr>
          <w:rFonts w:ascii="Times New Roman" w:hAnsi="Times New Roman" w:cs="Times New Roman"/>
          <w:b/>
          <w:bCs/>
          <w:color w:val="000000"/>
          <w:sz w:val="24"/>
          <w:szCs w:val="24"/>
        </w:rPr>
        <w:t xml:space="preserve">（需提供相关佐证材料）</w:t>
      </w:r>
      <w:r>
        <w:rPr>
          <w:rFonts w:ascii="Times New Roman" w:hAnsi="Times New Roman" w:cs="Times New Roman"/>
          <w:color w:val="000000"/>
          <w:sz w:val="24"/>
          <w:szCs w:val="24"/>
        </w:rPr>
        <w:t xml:space="preserve">。</w:t>
      </w:r>
      <w:r/>
    </w:p>
    <w:p>
      <w:pPr>
        <w:pStyle w:val="757"/>
        <w:numPr>
          <w:ilvl w:val="0"/>
          <w:numId w:val="5"/>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▲吊塔箱体上具有≥3个长度与吊塔箱体长度一致安装附件的轨道</w:t>
      </w:r>
      <w:r>
        <w:rPr>
          <w:rFonts w:ascii="Times New Roman" w:hAnsi="Times New Roman" w:cs="Times New Roman"/>
          <w:b/>
          <w:bCs/>
          <w:color w:val="000000"/>
          <w:sz w:val="24"/>
          <w:szCs w:val="24"/>
        </w:rPr>
        <w:t xml:space="preserve">（需提供相关佐证材料）</w:t>
      </w:r>
      <w:r>
        <w:rPr>
          <w:rFonts w:ascii="Times New Roman" w:hAnsi="Times New Roman" w:cs="Times New Roman"/>
          <w:color w:val="000000"/>
          <w:sz w:val="24"/>
          <w:szCs w:val="24"/>
        </w:rPr>
        <w:t xml:space="preserve">。</w:t>
      </w:r>
      <w:r/>
    </w:p>
    <w:p>
      <w:pPr>
        <w:rPr>
          <w:rFonts w:ascii="Times New Roman" w:hAnsi="Times New Roman" w:cs="Times New Roman"/>
          <w:szCs w:val="21"/>
        </w:rPr>
      </w:pPr>
      <w:r>
        <w:rPr>
          <w:rFonts w:ascii="Times New Roman" w:hAnsi="Times New Roman" w:cs="Times New Roman"/>
          <w:szCs w:val="21"/>
        </w:rPr>
      </w:r>
      <w:r/>
    </w:p>
    <w:p>
      <w:pPr>
        <w:pStyle w:val="757"/>
        <w:spacing w:line="360" w:lineRule="auto"/>
        <w:rPr>
          <w:rFonts w:ascii="Times New Roman" w:hAnsi="Times New Roman" w:cs="Times New Roman"/>
          <w:b/>
          <w:bCs/>
          <w:color w:val="000000"/>
          <w:sz w:val="24"/>
        </w:rPr>
      </w:pP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二</w:t>
      </w: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双臂麻醉吊塔附加要求：</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双臂吊塔，臂长L ≥600+600mm；根据手术室实际情况可调整；</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最大承载重量≥290kg；</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阻尼刹车系统，阻力可调；</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吊柱式箱体，长度≥800mm，为多边型或蝶型设计，保证气、电分离的同时，要求强电和弱电分离。确保使用安全并不影响接口的同时使用；</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吊臂（包括吊臂柱）旋转角度≥330º；</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▲设备托盘（带双边侧导轨）：1个（每个设备托盘最大承载重量≥50kg）</w:t>
      </w:r>
      <w:r>
        <w:rPr>
          <w:rFonts w:ascii="Times New Roman" w:hAnsi="Times New Roman" w:cs="Times New Roman"/>
          <w:b/>
          <w:bCs/>
          <w:color w:val="000000"/>
          <w:sz w:val="24"/>
          <w:szCs w:val="24"/>
        </w:rPr>
        <w:t xml:space="preserve">（需提供相关佐证材料）</w:t>
      </w:r>
      <w:r>
        <w:rPr>
          <w:rFonts w:ascii="Times New Roman" w:hAnsi="Times New Roman" w:cs="Times New Roman"/>
          <w:color w:val="000000"/>
          <w:sz w:val="24"/>
          <w:szCs w:val="24"/>
        </w:rPr>
        <w:t xml:space="preserve">；</w:t>
      </w:r>
      <w:r/>
    </w:p>
    <w:p>
      <w:pPr>
        <w:pStyle w:val="757"/>
        <w:numPr>
          <w:ilvl w:val="0"/>
          <w:numId w:val="6"/>
        </w:numPr>
        <w:spacing w:after="0" w:line="360" w:lineRule="auto"/>
        <w:rPr>
          <w:rFonts w:ascii="Times New Roman" w:hAnsi="Times New Roman" w:cs="Times New Roman"/>
          <w:color w:val="000000"/>
          <w:sz w:val="24"/>
          <w:szCs w:val="24"/>
        </w:rPr>
      </w:pPr>
      <w:r>
        <w:rPr>
          <w:rFonts w:ascii="Segoe UI Symbol" w:hAnsi="Segoe UI Symbol" w:cs="Segoe UI Symbol"/>
          <w:color w:val="000000"/>
          <w:sz w:val="24"/>
          <w:szCs w:val="24"/>
        </w:rPr>
        <w:t xml:space="preserve">★</w:t>
      </w:r>
      <w:r>
        <w:rPr>
          <w:rFonts w:ascii="Times New Roman" w:hAnsi="Times New Roman" w:cs="Times New Roman"/>
          <w:color w:val="000000"/>
          <w:sz w:val="24"/>
          <w:szCs w:val="24"/>
        </w:rPr>
        <w:t xml:space="preserve">设备托盘层板具有模块化宽度加长板套件，可将层板单侧延长，该套件可单手拆卸和安装；</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气体终端含夹头：O2×1，Air×1，VAC×2，AGSS×1；</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电源插座：10A×7个，16A×1个；</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等电位接地端子：2个；网络口（六类屏蔽）×2个；</w:t>
      </w:r>
      <w:r/>
    </w:p>
    <w:p>
      <w:pPr>
        <w:pStyle w:val="757"/>
        <w:numPr>
          <w:ilvl w:val="0"/>
          <w:numId w:val="6"/>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抽屉：1套；输液架：1套；</w:t>
      </w:r>
      <w:r/>
    </w:p>
    <w:p>
      <w:pPr>
        <w:pStyle w:val="757"/>
        <w:numPr>
          <w:ilvl w:val="0"/>
          <w:numId w:val="6"/>
        </w:numPr>
        <w:spacing w:after="0" w:line="360" w:lineRule="auto"/>
        <w:rPr>
          <w:rFonts w:ascii="Times New Roman" w:hAnsi="Times New Roman" w:cs="Times New Roman"/>
          <w:color w:val="000000"/>
          <w:sz w:val="24"/>
          <w:szCs w:val="24"/>
        </w:rPr>
      </w:pPr>
      <w:r>
        <w:rPr>
          <w:rFonts w:ascii="Segoe UI Symbol" w:hAnsi="Segoe UI Symbol" w:cs="Segoe UI Symbol"/>
          <w:color w:val="000000"/>
          <w:sz w:val="24"/>
          <w:szCs w:val="24"/>
        </w:rPr>
        <w:t xml:space="preserve">★</w:t>
      </w:r>
      <w:r>
        <w:rPr>
          <w:rFonts w:ascii="Times New Roman" w:hAnsi="Times New Roman" w:cs="Times New Roman"/>
          <w:color w:val="000000"/>
          <w:sz w:val="24"/>
          <w:szCs w:val="24"/>
        </w:rPr>
        <w:t xml:space="preserve">输液架关节臂采用双关节设计，关节臂的活动关节采用按压式锁扣设计。</w:t>
      </w:r>
      <w:r/>
    </w:p>
    <w:p>
      <w:pPr>
        <w:pStyle w:val="790"/>
        <w:ind w:left="283"/>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pStyle w:val="757"/>
        <w:ind w:left="0" w:firstLine="240"/>
        <w:spacing w:line="360" w:lineRule="auto"/>
        <w:rPr>
          <w:rFonts w:ascii="Times New Roman" w:hAnsi="Times New Roman" w:cs="Times New Roman"/>
          <w:b/>
          <w:bCs/>
          <w:color w:val="000000"/>
          <w:sz w:val="24"/>
        </w:rPr>
      </w:pP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三</w:t>
      </w:r>
      <w:r>
        <w:rPr>
          <w:rFonts w:hint="eastAsia" w:ascii="Times New Roman" w:hAnsi="Times New Roman" w:cs="Times New Roman"/>
          <w:b/>
          <w:bCs/>
          <w:color w:val="000000"/>
          <w:sz w:val="24"/>
          <w:lang w:eastAsia="zh-CN"/>
        </w:rPr>
        <w:t xml:space="preserve">）</w:t>
      </w:r>
      <w:r>
        <w:rPr>
          <w:rFonts w:ascii="Times New Roman" w:hAnsi="Times New Roman" w:cs="Times New Roman"/>
          <w:b/>
          <w:bCs/>
          <w:color w:val="000000"/>
          <w:sz w:val="24"/>
        </w:rPr>
        <w:t xml:space="preserve">双臂外科吊塔附加要求：</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双臂吊塔，臂长L ≥600+600mm；根据手术室实际情况可调整；</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最大承载重量≥290kg；</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吊臂（包括吊臂柱）旋转角度≥300º；</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吊柱式箱体，长度≥1200mm；</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设备托盘（带双边侧导轨）：3个（每个设备托盘最大承载重量≥50kg）；后续可增加设备托盘用于吊塔升级；</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气体终端含夹头：O2×1，Air×1，VAC×2，N2×1个，CO2 ×1；</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电源插座：10A×7个，16A×1个；</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视频接口：1个；</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等电位接地端子：2个；网络口（六类屏蔽）×2个；</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抽屉：1套；</w:t>
      </w:r>
      <w:r/>
    </w:p>
    <w:p>
      <w:pPr>
        <w:pStyle w:val="757"/>
        <w:numPr>
          <w:ilvl w:val="0"/>
          <w:numId w:val="7"/>
        </w:num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▲吊塔有预留升级模块，后期可在悬臂上安装手术灯或显示器支架。</w:t>
      </w:r>
      <w:r>
        <w:rPr>
          <w:rFonts w:ascii="Times New Roman" w:hAnsi="Times New Roman" w:cs="Times New Roman"/>
          <w:b/>
          <w:bCs/>
          <w:color w:val="000000"/>
          <w:sz w:val="24"/>
          <w:szCs w:val="24"/>
        </w:rPr>
        <w:t xml:space="preserve">（需提供相关佐证材料）</w:t>
      </w:r>
      <w:r/>
    </w:p>
    <w:p>
      <w:pPr>
        <w:jc w:val="left"/>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spacing w:line="400" w:lineRule="exact"/>
        <w:rPr>
          <w:rFonts w:hint="eastAsia" w:ascii="宋体" w:hAnsi="宋体" w:eastAsia="宋体" w:cs="Times New Roman"/>
          <w:b/>
          <w:bCs/>
          <w:sz w:val="24"/>
          <w:szCs w:val="24"/>
        </w:rPr>
      </w:pPr>
      <w:r>
        <w:rPr>
          <w:rFonts w:hint="eastAsia" w:ascii="宋体" w:hAnsi="宋体" w:eastAsia="宋体" w:cs="宋体"/>
          <w:b/>
          <w:bCs/>
          <w:sz w:val="24"/>
          <w:szCs w:val="24"/>
        </w:rPr>
        <w:t xml:space="preserve">备注：</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其中打“★”项为实质性要求，有一项负偏离将作为无效投标；打“▲”项为重要指标项，未按要求提供佐证材料的视为负偏离，佐证材料可为产品注册证、有效检测报告、官方使用说明书、产品铭牌、实物照片、功能界面截图等。</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2.投标产品属于医疗器械注册范畴的，须提供《医疗器械注册证》。（扫描件）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3.投标人必须如实地在偏离说明中做出明确的逐项响应承诺，并对其真实性负责。</w:t>
      </w:r>
      <w:r/>
    </w:p>
    <w:p>
      <w:pPr>
        <w:ind w:firstLine="480"/>
        <w:spacing w:line="400" w:lineRule="exact"/>
        <w:rPr>
          <w:rFonts w:hint="eastAsia" w:ascii="宋体" w:hAnsi="宋体" w:eastAsia="宋体" w:cs="宋体"/>
          <w:bCs/>
          <w:sz w:val="24"/>
          <w:szCs w:val="24"/>
        </w:rPr>
      </w:pPr>
      <w:r>
        <w:rPr>
          <w:rFonts w:hint="eastAsia" w:ascii="宋体" w:hAnsi="宋体" w:eastAsia="宋体" w:cs="Times New Roman"/>
          <w:sz w:val="24"/>
          <w:szCs w:val="24"/>
        </w:rPr>
        <w:t xml:space="preserve">4.所投产品技术参数单位与采购文件不一致的由投标供应商自行换算成与采购文件一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5.如中标单位供货产品的技术参数与“投标文件技术规范描述”不符，则按“提供虚假材料谋取中标”处理。</w:t>
      </w:r>
      <w:r/>
    </w:p>
    <w:p>
      <w:pPr>
        <w:contextualSpacing/>
        <w:ind w:firstLine="482"/>
        <w:jc w:val="left"/>
        <w:spacing w:line="400" w:lineRule="exact"/>
        <w:rPr>
          <w:rFonts w:hint="eastAsia" w:ascii="宋体" w:hAnsi="宋体" w:eastAsia="宋体"/>
          <w:b/>
          <w:sz w:val="22"/>
        </w:rPr>
      </w:pPr>
      <w:r>
        <w:rPr>
          <w:rFonts w:hint="eastAsia" w:ascii="宋体" w:hAnsi="宋体"/>
          <w:b/>
          <w:sz w:val="22"/>
        </w:rPr>
        <w:t xml:space="preserve">6</w:t>
      </w:r>
      <w:r>
        <w:rPr>
          <w:rFonts w:hint="eastAsia" w:ascii="宋体" w:hAnsi="宋体" w:eastAsia="宋体"/>
          <w:b/>
          <w:sz w:val="22"/>
        </w:rPr>
        <w:t xml:space="preserve">、本项目核心产品为： </w:t>
      </w:r>
      <w:r/>
    </w:p>
    <w:tbl>
      <w:tblPr>
        <w:tblStyle w:val="775"/>
        <w:tblW w:w="31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1"/>
        <w:gridCol w:w="4203"/>
      </w:tblGrid>
      <w:tr>
        <w:trPr>
          <w:jc w:val="center"/>
        </w:trPr>
        <w:tc>
          <w:tcPr>
            <w:tcW w:w="1901" w:type="dxa"/>
            <w:textDirection w:val="lrTb"/>
            <w:noWrap w:val="false"/>
          </w:tcPr>
          <w:p>
            <w:pPr>
              <w:ind w:firstLine="482"/>
              <w:spacing w:line="400" w:lineRule="exact"/>
              <w:rPr>
                <w:rFonts w:hint="eastAsia" w:ascii="宋体" w:hAnsi="宋体" w:eastAsia="宋体" w:cs="Times New Roman"/>
                <w:b/>
                <w:sz w:val="22"/>
              </w:rPr>
            </w:pPr>
            <w:r>
              <w:rPr>
                <w:rFonts w:hint="eastAsia" w:ascii="宋体" w:hAnsi="宋体" w:eastAsia="宋体" w:cs="Times New Roman"/>
                <w:b/>
                <w:sz w:val="22"/>
              </w:rPr>
            </w:r>
            <w:r/>
          </w:p>
        </w:tc>
        <w:tc>
          <w:tcPr>
            <w:tcW w:w="4204" w:type="dxa"/>
            <w:textDirection w:val="lrTb"/>
            <w:noWrap w:val="false"/>
          </w:tcPr>
          <w:p>
            <w:pPr>
              <w:ind w:firstLine="482"/>
              <w:jc w:val="center"/>
              <w:spacing w:line="400" w:lineRule="exact"/>
              <w:rPr>
                <w:rFonts w:hint="eastAsia" w:ascii="宋体" w:hAnsi="宋体" w:eastAsia="宋体" w:cs="Times New Roman"/>
                <w:b/>
                <w:sz w:val="22"/>
              </w:rPr>
            </w:pPr>
            <w:r>
              <w:rPr>
                <w:rFonts w:hint="eastAsia" w:ascii="宋体" w:hAnsi="宋体" w:eastAsia="宋体" w:cs="Times New Roman"/>
                <w:b/>
                <w:sz w:val="22"/>
              </w:rPr>
              <w:t xml:space="preserve">核心设备名称</w:t>
            </w:r>
            <w:r/>
          </w:p>
        </w:tc>
      </w:tr>
      <w:tr>
        <w:trPr>
          <w:jc w:val="center"/>
        </w:trPr>
        <w:tc>
          <w:tcPr>
            <w:tcW w:w="1901" w:type="dxa"/>
            <w:textDirection w:val="lrTb"/>
            <w:noWrap w:val="false"/>
          </w:tcPr>
          <w:p>
            <w:pPr>
              <w:jc w:val="center"/>
              <w:spacing w:line="400" w:lineRule="exact"/>
              <w:rPr>
                <w:rFonts w:hint="eastAsia" w:ascii="宋体" w:hAnsi="宋体" w:eastAsia="宋体" w:cs="Times New Roman"/>
                <w:sz w:val="22"/>
              </w:rPr>
            </w:pPr>
            <w:r>
              <w:rPr>
                <w:rFonts w:hint="eastAsia" w:ascii="宋体" w:hAnsi="宋体" w:eastAsia="宋体" w:cs="Times New Roman"/>
                <w:sz w:val="22"/>
              </w:rPr>
              <w:t xml:space="preserve">采购包1</w:t>
            </w:r>
            <w:r/>
          </w:p>
        </w:tc>
        <w:tc>
          <w:tcPr>
            <w:tcW w:w="4204" w:type="dxa"/>
            <w:textDirection w:val="lrTb"/>
            <w:noWrap w:val="false"/>
          </w:tcPr>
          <w:p>
            <w:pPr>
              <w:jc w:val="center"/>
              <w:spacing w:line="400" w:lineRule="exact"/>
              <w:rPr>
                <w:rFonts w:hint="eastAsia" w:ascii="宋体" w:hAnsi="宋体" w:eastAsia="宋体" w:cs="Times New Roman"/>
                <w:sz w:val="22"/>
              </w:rPr>
            </w:pPr>
            <w:r>
              <w:rPr>
                <w:rFonts w:hint="eastAsia" w:ascii="宋体" w:hAnsi="宋体" w:eastAsia="宋体" w:cs="宋体"/>
                <w:sz w:val="24"/>
                <w:szCs w:val="24"/>
              </w:rPr>
              <w:t xml:space="preserve">抢救室联排干湿分离桥塔</w:t>
            </w:r>
            <w:r/>
          </w:p>
        </w:tc>
      </w:tr>
      <w:tr>
        <w:trPr>
          <w:jc w:val="center"/>
        </w:trPr>
        <w:tc>
          <w:tcPr>
            <w:tcW w:w="1901" w:type="dxa"/>
            <w:textDirection w:val="lrTb"/>
            <w:noWrap w:val="false"/>
          </w:tcPr>
          <w:p>
            <w:pPr>
              <w:jc w:val="center"/>
              <w:spacing w:line="400" w:lineRule="exact"/>
              <w:rPr>
                <w:rFonts w:hint="eastAsia" w:ascii="宋体" w:hAnsi="宋体" w:eastAsia="宋体" w:cs="Times New Roman"/>
                <w:sz w:val="22"/>
              </w:rPr>
            </w:pPr>
            <w:r>
              <w:rPr>
                <w:rFonts w:hint="eastAsia" w:ascii="宋体" w:hAnsi="宋体" w:eastAsia="宋体" w:cs="Times New Roman"/>
                <w:sz w:val="22"/>
              </w:rPr>
              <w:t xml:space="preserve">采购包2</w:t>
            </w:r>
            <w:r/>
          </w:p>
        </w:tc>
        <w:tc>
          <w:tcPr>
            <w:tcW w:w="4204" w:type="dxa"/>
            <w:textDirection w:val="lrTb"/>
            <w:noWrap w:val="false"/>
          </w:tcPr>
          <w:p>
            <w:pPr>
              <w:jc w:val="center"/>
              <w:spacing w:line="400" w:lineRule="exact"/>
              <w:rPr>
                <w:rFonts w:hint="eastAsia" w:ascii="宋体" w:hAnsi="宋体" w:eastAsia="宋体" w:cs="Times New Roman"/>
                <w:sz w:val="22"/>
              </w:rPr>
            </w:pPr>
            <w:r>
              <w:rPr>
                <w:rFonts w:hint="eastAsia" w:ascii="宋体" w:hAnsi="宋体" w:eastAsia="宋体" w:cs="宋体"/>
                <w:sz w:val="24"/>
                <w:szCs w:val="24"/>
              </w:rPr>
              <w:t xml:space="preserve">双臂麻醉吊塔</w:t>
            </w:r>
            <w:r/>
          </w:p>
        </w:tc>
      </w:tr>
    </w:tbl>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通过资格审查、符合性审查的多家投标人提供的</w:t>
      </w:r>
      <w:r>
        <w:rPr>
          <w:rFonts w:hint="eastAsia" w:ascii="宋体" w:hAnsi="宋体" w:eastAsia="宋体" w:cs="Times New Roman"/>
          <w:b/>
          <w:bCs/>
          <w:sz w:val="24"/>
          <w:szCs w:val="24"/>
        </w:rPr>
        <w:t xml:space="preserve">核心产品品牌相同的</w:t>
      </w:r>
      <w:r>
        <w:rPr>
          <w:rFonts w:hint="eastAsia" w:ascii="宋体" w:hAnsi="宋体" w:eastAsia="宋体" w:cs="Times New Roman"/>
          <w:sz w:val="24"/>
          <w:szCs w:val="24"/>
        </w:rPr>
        <w:t xml:space="preserve">，按一家投标人计算,评审后得分最高的同品牌投标人获得中标人推荐资格;评审得分相同的，由采购人或者采购人委托评标委员会按照招标文件规定的方式确定一个投标人获得中标人推荐资格。</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四、交货时间和地点：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五、安装及验收：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3.提供设备的出厂检验报告、合格证书、装箱单，并预先提供验收标准，填写验收报告书，供双方最终确认使用。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3.如买方需将该设备联入内部网络或外部网络（LIS,HIS,PACS等系统），卖方必须承担所有相关费用（含开放端口费用）并提供技术支持。</w:t>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spacing w:line="400" w:lineRule="exact"/>
        <w:rPr>
          <w:rFonts w:hint="eastAsia" w:ascii="宋体" w:hAnsi="宋体" w:eastAsia="宋体" w:cs="Times New Roman"/>
          <w:sz w:val="24"/>
          <w:szCs w:val="24"/>
        </w:rPr>
      </w:pPr>
      <w:r>
        <w:rPr>
          <w:rFonts w:hint="eastAsia" w:ascii="黑体" w:hAnsi="黑体" w:eastAsia="黑体" w:cs="Times New Roman"/>
          <w:sz w:val="28"/>
          <w:szCs w:val="28"/>
        </w:rPr>
        <w:t xml:space="preserve">七、备件和资料：</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1.为保证设备正常运行，卖方应在中国境内设置备件库，存入所有必需的备件，并保证10年以上的供应期。</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w:t>
      </w:r>
      <w:r>
        <w:rPr>
          <w:rFonts w:hint="eastAsia" w:ascii="宋体" w:hAnsi="宋体" w:eastAsia="宋体" w:cs="Times New Roman"/>
          <w:sz w:val="24"/>
          <w:szCs w:val="24"/>
        </w:rPr>
        <w:t xml:space="preserve">涉及</w:t>
      </w:r>
      <w:r>
        <w:rPr>
          <w:rFonts w:ascii="宋体" w:hAnsi="宋体" w:eastAsia="宋体" w:cs="Times New Roman"/>
          <w:sz w:val="24"/>
          <w:szCs w:val="24"/>
        </w:rPr>
        <w:t xml:space="preserve">软件重装或升级，终身免费</w:t>
      </w:r>
      <w:r>
        <w:rPr>
          <w:rFonts w:hint="eastAsia" w:ascii="宋体" w:hAnsi="宋体" w:eastAsia="宋体" w:cs="Times New Roman"/>
          <w:sz w:val="24"/>
          <w:szCs w:val="24"/>
        </w:rPr>
        <w:t xml:space="preserve">。</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八、质量保证及售后服务：</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须在投标文件中注明所投产品说明书或质量保修卡等其他随设备出厂资料的原厂质保期限</w:t>
      </w:r>
      <w:r>
        <w:rPr>
          <w:rFonts w:hint="eastAsia" w:ascii="宋体" w:hAnsi="宋体" w:eastAsia="宋体" w:cs="Times New Roman"/>
          <w:sz w:val="24"/>
          <w:szCs w:val="24"/>
        </w:rPr>
        <w:t xml:space="preserve">，至少1年（合同签订后采购方货物开箱验收时与产品说明书或质量保修卡等其他随设备出厂的资料进行核对）。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4.要求保证开机率≥96%（按一年365天），全年停机日期不超过14天，若开机率 ＜ 96%，每停机1天则保修期延长7天。</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九、付款方式：</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分两期付款</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1.第1期：</w:t>
      </w:r>
      <w:r>
        <w:rPr>
          <w:rFonts w:ascii="宋体" w:hAnsi="宋体" w:eastAsia="宋体" w:cs="Times New Roman"/>
          <w:sz w:val="24"/>
          <w:szCs w:val="24"/>
        </w:rPr>
        <w:t xml:space="preserve">全部设备到货后，由买方逐一清点无误，与合同规定相符；设备软、硬件安装完毕，系统工作稳定，无故障，由买方组织验收，符合</w:t>
      </w:r>
      <w:r>
        <w:rPr>
          <w:rFonts w:hint="eastAsia" w:ascii="宋体" w:hAnsi="宋体" w:eastAsia="宋体" w:cs="Times New Roman"/>
          <w:sz w:val="24"/>
          <w:szCs w:val="24"/>
        </w:rPr>
        <w:t xml:space="preserve">招标文件及合同要求</w:t>
      </w:r>
      <w:r>
        <w:rPr>
          <w:rFonts w:ascii="宋体" w:hAnsi="宋体" w:eastAsia="宋体" w:cs="Times New Roman"/>
          <w:sz w:val="24"/>
          <w:szCs w:val="24"/>
        </w:rPr>
        <w:t xml:space="preserve">，正常运行满1个月后，</w:t>
      </w:r>
      <w:r>
        <w:rPr>
          <w:rFonts w:hint="eastAsia" w:ascii="宋体" w:hAnsi="宋体" w:eastAsia="宋体" w:cs="Times New Roman"/>
          <w:sz w:val="24"/>
          <w:szCs w:val="24"/>
        </w:rPr>
        <w:t xml:space="preserve">由买方组织验收合格签字后，买方</w:t>
      </w:r>
      <w:r>
        <w:rPr>
          <w:rFonts w:ascii="宋体" w:hAnsi="宋体" w:eastAsia="宋体" w:cs="Times New Roman"/>
          <w:sz w:val="24"/>
          <w:szCs w:val="24"/>
        </w:rPr>
        <w:t xml:space="preserve">将在10个工作日内支付合同总价的</w:t>
      </w:r>
      <w:r>
        <w:rPr>
          <w:rFonts w:hint="eastAsia" w:ascii="宋体" w:hAnsi="宋体" w:eastAsia="宋体" w:cs="Times New Roman"/>
          <w:sz w:val="24"/>
          <w:szCs w:val="24"/>
        </w:rPr>
        <w:t xml:space="preserve">80</w:t>
      </w:r>
      <w:r>
        <w:rPr>
          <w:rFonts w:ascii="宋体" w:hAnsi="宋体" w:eastAsia="宋体" w:cs="Times New Roman"/>
          <w:sz w:val="24"/>
          <w:szCs w:val="24"/>
        </w:rPr>
        <w:t xml:space="preserve">%。</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2、</w:t>
      </w:r>
      <w:r>
        <w:rPr>
          <w:rFonts w:hint="eastAsia" w:ascii="宋体" w:hAnsi="宋体" w:eastAsia="宋体" w:cs="Times New Roman"/>
          <w:sz w:val="24"/>
          <w:szCs w:val="24"/>
        </w:rPr>
        <w:t xml:space="preserve">第2期：验收合格</w:t>
      </w:r>
      <w:r>
        <w:rPr>
          <w:rFonts w:ascii="宋体" w:hAnsi="宋体" w:eastAsia="宋体" w:cs="Times New Roman"/>
          <w:sz w:val="24"/>
          <w:szCs w:val="24"/>
        </w:rPr>
        <w:t xml:space="preserve">满</w:t>
      </w:r>
      <w:r>
        <w:rPr>
          <w:rFonts w:hint="eastAsia" w:ascii="宋体" w:hAnsi="宋体" w:eastAsia="宋体" w:cs="Times New Roman"/>
          <w:sz w:val="24"/>
          <w:szCs w:val="24"/>
        </w:rPr>
        <w:t xml:space="preserve">12</w:t>
      </w:r>
      <w:r>
        <w:rPr>
          <w:rFonts w:ascii="宋体" w:hAnsi="宋体" w:eastAsia="宋体" w:cs="Times New Roman"/>
          <w:sz w:val="24"/>
          <w:szCs w:val="24"/>
        </w:rPr>
        <w:t xml:space="preserve">个月，</w:t>
      </w:r>
      <w:r>
        <w:rPr>
          <w:rFonts w:hint="eastAsia" w:ascii="宋体" w:hAnsi="宋体" w:eastAsia="宋体" w:cs="Times New Roman"/>
          <w:sz w:val="24"/>
          <w:szCs w:val="24"/>
        </w:rPr>
        <w:t xml:space="preserve">买方</w:t>
      </w:r>
      <w:r>
        <w:rPr>
          <w:rFonts w:ascii="宋体" w:hAnsi="宋体" w:eastAsia="宋体" w:cs="Times New Roman"/>
          <w:sz w:val="24"/>
          <w:szCs w:val="24"/>
        </w:rPr>
        <w:t xml:space="preserve">将在</w:t>
      </w:r>
      <w:r>
        <w:rPr>
          <w:rFonts w:hint="eastAsia" w:ascii="宋体" w:hAnsi="宋体" w:eastAsia="宋体" w:cs="Times New Roman"/>
          <w:sz w:val="24"/>
          <w:szCs w:val="24"/>
        </w:rPr>
        <w:t xml:space="preserve">一个月</w:t>
      </w:r>
      <w:r>
        <w:rPr>
          <w:rFonts w:ascii="宋体" w:hAnsi="宋体" w:eastAsia="宋体" w:cs="Times New Roman"/>
          <w:sz w:val="24"/>
          <w:szCs w:val="24"/>
        </w:rPr>
        <w:t xml:space="preserve">内付</w:t>
      </w:r>
      <w:r>
        <w:rPr>
          <w:rFonts w:hint="eastAsia" w:ascii="宋体" w:hAnsi="宋体" w:eastAsia="宋体" w:cs="Times New Roman"/>
          <w:sz w:val="24"/>
          <w:szCs w:val="24"/>
        </w:rPr>
        <w:t xml:space="preserve">清余款</w:t>
      </w:r>
      <w:r>
        <w:rPr>
          <w:rFonts w:ascii="宋体" w:hAnsi="宋体" w:eastAsia="宋体" w:cs="Times New Roman"/>
          <w:sz w:val="24"/>
          <w:szCs w:val="24"/>
        </w:rPr>
        <w:t xml:space="preserve">。</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十、有关说明：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1.公开招标为两个包，投标人可全投或选投</w:t>
      </w:r>
      <w:r>
        <w:rPr>
          <w:rFonts w:hint="eastAsia" w:ascii="宋体" w:hAnsi="宋体" w:eastAsia="宋体" w:cs="Times New Roman"/>
          <w:sz w:val="24"/>
          <w:szCs w:val="24"/>
        </w:rPr>
        <w:t xml:space="preserve">，但每包内容必须报全，不得漏项。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2.投标报价应包括产品、税金、包装、运费、仓储、质量检验、技术指导、验收、售后服务费、安装、培训等所有费用。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rPr>
          <w:rFonts w:ascii="宋体" w:hAnsi="宋体" w:eastAsia="宋体" w:cs="Times New Roman"/>
          <w:sz w:val="24"/>
          <w:szCs w:val="24"/>
        </w:rPr>
        <w:t xml:space="preserve">。</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hint="eastAsia" w:ascii="宋体" w:hAnsi="宋体" w:eastAsia="宋体" w:cs="Times New Roman"/>
          <w:sz w:val="24"/>
          <w:szCs w:val="24"/>
        </w:rPr>
        <w:sectPr>
          <w:headerReference w:type="default" r:id="rId10"/>
          <w:footerReference w:type="default" r:id="rId14"/>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7.江阴市政府采购中心对本次招标结果不做任何解释。</w:t>
      </w:r>
      <w:bookmarkEnd w:id="11"/>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pStyle w:val="773"/>
      </w:pPr>
      <w:r/>
      <w:bookmarkStart w:id="12" w:name="_Toc201302572"/>
      <w:r>
        <w:rPr>
          <w:rFonts w:hint="eastAsia"/>
        </w:rPr>
        <w:t xml:space="preserve">第四章　评标方法和评标标准</w:t>
      </w:r>
      <w:bookmarkEnd w:id="12"/>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spacing w:line="400" w:lineRule="exact"/>
        <w:rPr>
          <w:rFonts w:hint="default" w:ascii="黑体" w:hAnsi="黑体" w:eastAsia="黑体" w:cs="Times New Roman"/>
          <w:sz w:val="28"/>
          <w:szCs w:val="28"/>
          <w:lang w:val="en-US" w:eastAsia="zh-CN"/>
        </w:rPr>
      </w:pPr>
      <w:r>
        <w:rPr>
          <w:rFonts w:hint="eastAsia" w:ascii="黑体" w:hAnsi="黑体" w:eastAsia="黑体" w:cs="Times New Roman"/>
          <w:sz w:val="28"/>
          <w:szCs w:val="28"/>
          <w:lang w:eastAsia="zh-CN"/>
        </w:rPr>
        <w:t xml:space="preserve">采购包</w:t>
      </w:r>
      <w:r>
        <w:rPr>
          <w:rFonts w:hint="eastAsia" w:ascii="黑体" w:hAnsi="黑体" w:eastAsia="黑体" w:cs="Times New Roman"/>
          <w:sz w:val="28"/>
          <w:szCs w:val="28"/>
          <w:lang w:val="en-US" w:eastAsia="zh-CN"/>
        </w:rPr>
        <w:t xml:space="preserve">1、采购包2</w:t>
      </w:r>
      <w:r/>
    </w:p>
    <w:tbl>
      <w:tblPr>
        <w:tblStyle w:val="752"/>
        <w:tblW w:w="96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96" w:type="dxa"/>
          <w:top w:w="56" w:type="dxa"/>
          <w:right w:w="96" w:type="dxa"/>
          <w:bottom w:w="56" w:type="dxa"/>
        </w:tblCellMar>
        <w:tblLook w:val="04A0" w:firstRow="1" w:lastRow="0" w:firstColumn="1" w:lastColumn="0" w:noHBand="0" w:noVBand="1"/>
      </w:tblPr>
      <w:tblGrid>
        <w:gridCol w:w="1720"/>
        <w:gridCol w:w="792"/>
        <w:gridCol w:w="842"/>
        <w:gridCol w:w="5482"/>
        <w:gridCol w:w="792"/>
      </w:tblGrid>
      <w:tr>
        <w:trPr>
          <w:jc w:val="center"/>
          <w:trHeight w:val="0"/>
          <w:tblHeader/>
        </w:trPr>
        <w:tc>
          <w:tcPr>
            <w:tcBorders>
              <w:top w:val="single" w:color="auto" w:sz="8" w:space="0"/>
              <w:left w:val="single" w:color="auto" w:sz="8" w:space="0"/>
              <w:bottom w:val="single" w:color="auto" w:sz="6" w:space="0"/>
              <w:right w:val="single" w:color="auto" w:sz="6" w:space="0"/>
            </w:tcBorders>
            <w:tcW w:w="1720"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评分项</w:t>
            </w:r>
            <w:r/>
          </w:p>
        </w:tc>
        <w:tc>
          <w:tcPr>
            <w:tcBorders>
              <w:top w:val="single" w:color="auto" w:sz="8"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序号</w:t>
            </w:r>
            <w:r/>
          </w:p>
        </w:tc>
        <w:tc>
          <w:tcPr>
            <w:tcBorders>
              <w:top w:val="single" w:color="auto" w:sz="8"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评分因素</w:t>
            </w:r>
            <w:r/>
          </w:p>
        </w:tc>
        <w:tc>
          <w:tcPr>
            <w:tcBorders>
              <w:top w:val="single" w:color="auto" w:sz="8" w:space="0"/>
              <w:left w:val="single" w:color="auto" w:sz="6" w:space="0"/>
              <w:bottom w:val="single" w:color="auto" w:sz="6" w:space="0"/>
              <w:right w:val="single" w:color="auto" w:sz="6" w:space="0"/>
            </w:tcBorders>
            <w:tcW w:w="5482"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评分细则</w:t>
            </w:r>
            <w:r/>
          </w:p>
        </w:tc>
        <w:tc>
          <w:tcPr>
            <w:tcBorders>
              <w:top w:val="single" w:color="auto" w:sz="8"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分值</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一、价格部分</w:t>
            </w:r>
            <w:r/>
          </w:p>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满足招标文件要求且投标报价最低的投标报价为评标基准价，其价格为满分。其他投标人的价格分按照下列公式计算：</w:t>
            </w:r>
            <w:r/>
          </w:p>
          <w:p>
            <w:pPr>
              <w:jc w:val="left"/>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30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restart"/>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二、技术部分</w:t>
            </w:r>
            <w:r/>
          </w:p>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（65分）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sz w:val="24"/>
              </w:rPr>
            </w:pPr>
            <w:r>
              <w:rPr>
                <w:rFonts w:hint="eastAsia" w:ascii="宋体" w:hAnsi="宋体"/>
                <w:sz w:val="24"/>
              </w:rPr>
              <w:t xml:space="preserve">根据所投产品的主要技术指标的性能、技术参数的响应情况进行评审打分，产品符合招标文件要求，无负偏离得40分。打“★”项参数有一项负偏离，则视为无效投标。</w:t>
            </w:r>
            <w:r/>
          </w:p>
          <w:p>
            <w:pPr>
              <w:jc w:val="left"/>
              <w:spacing w:line="400" w:lineRule="exact"/>
              <w:rPr>
                <w:rFonts w:hint="eastAsia" w:ascii="宋体" w:hAnsi="宋体" w:eastAsia="Arial"/>
                <w:sz w:val="24"/>
              </w:rPr>
            </w:pPr>
            <w:r>
              <w:rPr>
                <w:rFonts w:hint="eastAsia" w:ascii="宋体" w:hAnsi="宋体" w:eastAsia="宋体"/>
                <w:b/>
                <w:bCs/>
                <w:sz w:val="24"/>
                <w:lang w:eastAsia="zh-CN"/>
              </w:rPr>
              <w:t xml:space="preserve">采购包</w:t>
            </w:r>
            <w:r>
              <w:rPr>
                <w:rFonts w:hint="eastAsia" w:ascii="宋体" w:hAnsi="宋体" w:eastAsia="宋体"/>
                <w:b/>
                <w:bCs/>
                <w:sz w:val="24"/>
                <w:lang w:val="en-US" w:eastAsia="zh-CN"/>
              </w:rPr>
              <w:t xml:space="preserve">1</w:t>
            </w:r>
            <w:r>
              <w:rPr>
                <w:rFonts w:hint="eastAsia" w:ascii="宋体" w:hAnsi="宋体"/>
                <w:sz w:val="24"/>
              </w:rPr>
              <w:t xml:space="preserve">打“▲”项参数每一项负偏离扣1.5分，非打“▲”项参数每一项负偏离扣0.5分，扣完为止。</w:t>
            </w:r>
            <w:r>
              <w:rPr>
                <w:rFonts w:hint="eastAsia" w:ascii="宋体" w:hAnsi="宋体" w:eastAsia="宋体"/>
                <w:b/>
                <w:bCs/>
                <w:sz w:val="24"/>
                <w:lang w:eastAsia="zh-CN"/>
              </w:rPr>
              <w:t xml:space="preserve">采购包</w:t>
            </w:r>
            <w:r>
              <w:rPr>
                <w:rFonts w:hint="eastAsia" w:ascii="宋体" w:hAnsi="宋体" w:eastAsia="宋体"/>
                <w:b/>
                <w:bCs/>
                <w:sz w:val="24"/>
                <w:lang w:val="en-US" w:eastAsia="zh-CN"/>
              </w:rPr>
              <w:t xml:space="preserve">2</w:t>
            </w:r>
            <w:r>
              <w:rPr>
                <w:rFonts w:hint="eastAsia" w:ascii="宋体" w:hAnsi="宋体"/>
                <w:sz w:val="24"/>
              </w:rPr>
              <w:t xml:space="preserve">打“▲”项参数每一项负偏离扣1.5分，非打“▲”项参数每一项负偏离扣1分，扣完为止。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40</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widowControl/>
              <w:rPr>
                <w:rFonts w:hint="eastAsia" w:ascii="宋体" w:hAnsi="宋体" w:eastAsia="Arial" w:cs="Times New Roman"/>
                <w:sz w:val="24"/>
                <w:szCs w:val="24"/>
              </w:rPr>
            </w:pPr>
            <w:r>
              <w:rPr>
                <w:rFonts w:hint="eastAsia" w:ascii="宋体" w:hAnsi="宋体"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实施方案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cs="宋体"/>
                <w:sz w:val="24"/>
              </w:rPr>
            </w:pPr>
            <w:r>
              <w:rPr>
                <w:rFonts w:hint="eastAsia" w:ascii="宋体" w:hAnsi="宋体" w:eastAsia="Arial" w:cs="宋体"/>
                <w:sz w:val="24"/>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r/>
          </w:p>
          <w:p>
            <w:pPr>
              <w:jc w:val="left"/>
              <w:spacing w:line="400" w:lineRule="exact"/>
              <w:rPr>
                <w:rFonts w:hint="eastAsia" w:ascii="宋体" w:hAnsi="宋体" w:eastAsia="Arial" w:cs="宋体"/>
                <w:sz w:val="24"/>
              </w:rPr>
            </w:pPr>
            <w:r>
              <w:rPr>
                <w:rFonts w:hint="eastAsia" w:ascii="宋体" w:hAnsi="宋体" w:eastAsia="Arial"/>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widowControl/>
              <w:rPr>
                <w:rFonts w:hint="eastAsia" w:ascii="宋体" w:hAnsi="宋体" w:eastAsia="Arial" w:cs="Times New Roman"/>
                <w:sz w:val="24"/>
                <w:szCs w:val="24"/>
              </w:rPr>
            </w:pPr>
            <w:r>
              <w:rPr>
                <w:rFonts w:hint="eastAsia" w:ascii="宋体" w:hAnsi="宋体"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培训方案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cs="宋体"/>
                <w:sz w:val="24"/>
              </w:rPr>
            </w:pPr>
            <w:r>
              <w:rPr>
                <w:rFonts w:hint="eastAsia" w:ascii="宋体" w:hAnsi="宋体" w:eastAsia="Arial" w:cs="宋体"/>
                <w:sz w:val="24"/>
              </w:rPr>
              <w:t xml:space="preserve">投标人针对本项目提供</w:t>
            </w:r>
            <w:r>
              <w:rPr>
                <w:rFonts w:hint="eastAsia" w:ascii="宋体" w:hAnsi="宋体" w:eastAsia="Arial"/>
                <w:sz w:val="24"/>
              </w:rPr>
              <w:t xml:space="preserve">培训方案</w:t>
            </w:r>
            <w:r>
              <w:rPr>
                <w:rFonts w:hint="eastAsia" w:ascii="宋体" w:hAnsi="宋体" w:eastAsia="Arial" w:cs="宋体"/>
                <w:sz w:val="24"/>
              </w:rPr>
              <w:t xml:space="preserve">，包括①培训内容、②培训人员安排、③培训周期，方案内容描述全面合理符合采购需求的得7.5分，每有一项内容缺失的扣2.5分；每有一项内容存在缺陷或不满足要求的扣1.5分，扣完为止。</w:t>
            </w:r>
            <w:r/>
          </w:p>
          <w:p>
            <w:pPr>
              <w:jc w:val="left"/>
              <w:spacing w:line="400" w:lineRule="exact"/>
              <w:rPr>
                <w:rFonts w:hint="eastAsia" w:ascii="宋体" w:hAnsi="宋体" w:eastAsia="Arial"/>
                <w:sz w:val="24"/>
              </w:rPr>
            </w:pPr>
            <w:r>
              <w:rPr>
                <w:rFonts w:hint="eastAsia" w:ascii="宋体" w:hAnsi="宋体" w:eastAsia="Arial"/>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7.5</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widowControl/>
              <w:rPr>
                <w:rFonts w:hint="eastAsia" w:ascii="宋体" w:hAnsi="宋体" w:eastAsia="Arial" w:cs="Times New Roman"/>
                <w:sz w:val="24"/>
                <w:szCs w:val="24"/>
              </w:rPr>
            </w:pPr>
            <w:r>
              <w:rPr>
                <w:rFonts w:hint="eastAsia" w:ascii="宋体" w:hAnsi="宋体"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应急保障方案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cs="宋体"/>
                <w:sz w:val="24"/>
              </w:rPr>
            </w:pPr>
            <w:r>
              <w:rPr>
                <w:rFonts w:hint="eastAsia" w:ascii="宋体" w:hAnsi="宋体" w:eastAsia="Arial" w:cs="宋体"/>
                <w:sz w:val="24"/>
              </w:rPr>
              <w:t xml:space="preserve">投标人针对本项目提供</w:t>
            </w:r>
            <w:r>
              <w:rPr>
                <w:rFonts w:hint="eastAsia" w:ascii="宋体" w:hAnsi="宋体" w:eastAsia="Arial"/>
                <w:sz w:val="24"/>
              </w:rPr>
              <w:t xml:space="preserve">应急保障方案</w:t>
            </w:r>
            <w:r>
              <w:rPr>
                <w:rFonts w:hint="eastAsia" w:ascii="宋体" w:hAnsi="宋体" w:eastAsia="Arial" w:cs="宋体"/>
                <w:sz w:val="24"/>
              </w:rPr>
              <w:t xml:space="preserve">，包括①</w:t>
            </w:r>
            <w:r>
              <w:rPr>
                <w:rFonts w:hint="eastAsia" w:ascii="宋体" w:hAnsi="宋体" w:eastAsia="Arial"/>
                <w:sz w:val="24"/>
              </w:rPr>
              <w:t xml:space="preserve">应急响应时间及修复时间、</w:t>
            </w:r>
            <w:r>
              <w:rPr>
                <w:rFonts w:hint="eastAsia" w:ascii="宋体" w:hAnsi="宋体" w:eastAsia="Arial" w:cs="宋体"/>
                <w:sz w:val="24"/>
              </w:rPr>
              <w:t xml:space="preserve">②</w:t>
            </w:r>
            <w:r>
              <w:rPr>
                <w:rFonts w:hint="eastAsia" w:ascii="宋体" w:hAnsi="宋体" w:eastAsia="Arial"/>
                <w:sz w:val="24"/>
              </w:rPr>
              <w:t xml:space="preserve">应急保障措施</w:t>
            </w:r>
            <w:r>
              <w:rPr>
                <w:rFonts w:hint="eastAsia" w:ascii="宋体" w:hAnsi="宋体" w:eastAsia="Arial" w:cs="宋体"/>
                <w:sz w:val="24"/>
              </w:rPr>
              <w:t xml:space="preserve">，方案内容描述全面合理符合采购需求的得4分，每有一项内容缺失的扣2分；每有一项内容存在缺陷或不满足要求的扣1分，扣完为止。</w:t>
            </w:r>
            <w:r/>
          </w:p>
          <w:p>
            <w:pPr>
              <w:jc w:val="left"/>
              <w:spacing w:line="400" w:lineRule="exact"/>
              <w:rPr>
                <w:rFonts w:hint="eastAsia" w:ascii="宋体" w:hAnsi="宋体" w:eastAsia="Arial" w:cs="宋体"/>
                <w:sz w:val="24"/>
              </w:rPr>
            </w:pPr>
            <w:r>
              <w:rPr>
                <w:rFonts w:hint="eastAsia" w:ascii="宋体" w:hAnsi="宋体" w:eastAsia="Arial"/>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4</w:t>
            </w:r>
            <w:r/>
          </w:p>
        </w:tc>
      </w:tr>
      <w:tr>
        <w:trPr>
          <w:jc w:val="center"/>
          <w:trHeight w:val="0"/>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widowControl/>
              <w:rPr>
                <w:rFonts w:hint="eastAsia" w:ascii="宋体" w:hAnsi="宋体" w:eastAsia="Arial" w:cs="Times New Roman"/>
                <w:sz w:val="24"/>
                <w:szCs w:val="24"/>
              </w:rPr>
            </w:pPr>
            <w:r>
              <w:rPr>
                <w:rFonts w:hint="eastAsia" w:ascii="宋体" w:hAnsi="宋体"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售后服务方案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cs="宋体"/>
                <w:sz w:val="24"/>
              </w:rPr>
            </w:pPr>
            <w:r>
              <w:rPr>
                <w:rFonts w:hint="eastAsia" w:ascii="宋体" w:hAnsi="宋体" w:eastAsia="Arial" w:cs="宋体"/>
                <w:sz w:val="24"/>
              </w:rPr>
              <w:t xml:space="preserve">投标人针对本项目提供</w:t>
            </w:r>
            <w:r>
              <w:rPr>
                <w:rFonts w:hint="eastAsia" w:ascii="宋体" w:hAnsi="宋体" w:eastAsia="Arial"/>
                <w:sz w:val="24"/>
              </w:rPr>
              <w:t xml:space="preserve">售后服务方案</w:t>
            </w:r>
            <w:r>
              <w:rPr>
                <w:rFonts w:hint="eastAsia" w:ascii="宋体" w:hAnsi="宋体" w:eastAsia="Arial" w:cs="宋体"/>
                <w:sz w:val="24"/>
              </w:rPr>
              <w:t xml:space="preserve">，包括①售后服务内容、②售后</w:t>
            </w:r>
            <w:r>
              <w:rPr>
                <w:rFonts w:hint="eastAsia" w:ascii="宋体" w:hAnsi="宋体" w:eastAsia="Arial"/>
                <w:sz w:val="24"/>
              </w:rPr>
              <w:t xml:space="preserve">服务</w:t>
            </w:r>
            <w:r>
              <w:rPr>
                <w:rFonts w:hint="eastAsia" w:ascii="宋体" w:hAnsi="宋体" w:eastAsia="Arial"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jc w:val="left"/>
              <w:spacing w:line="400" w:lineRule="exact"/>
              <w:rPr>
                <w:rFonts w:hint="eastAsia" w:ascii="宋体" w:hAnsi="宋体" w:eastAsia="Arial"/>
                <w:sz w:val="24"/>
              </w:rPr>
            </w:pPr>
            <w:r>
              <w:rPr>
                <w:rFonts w:hint="eastAsia" w:ascii="宋体" w:hAnsi="宋体" w:eastAsia="Arial"/>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6</w:t>
            </w:r>
            <w:r/>
          </w:p>
        </w:tc>
      </w:tr>
      <w:tr>
        <w:trPr>
          <w:jc w:val="center"/>
          <w:trHeight w:val="0"/>
        </w:trPr>
        <w:tc>
          <w:tcPr>
            <w:tcBorders>
              <w:top w:val="single" w:color="auto" w:sz="6" w:space="0"/>
              <w:left w:val="single" w:color="auto" w:sz="8" w:space="0"/>
              <w:right w:val="single" w:color="auto" w:sz="6" w:space="0"/>
            </w:tcBorders>
            <w:tcW w:w="1720"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三、商务部分</w:t>
            </w:r>
            <w:r/>
          </w:p>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（5分）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hint="eastAsia" w:ascii="宋体" w:hAnsi="宋体" w:eastAsia="Arial" w:cs="Times New Roman"/>
                <w:sz w:val="24"/>
                <w:szCs w:val="24"/>
              </w:rPr>
            </w:pPr>
            <w:r>
              <w:rPr>
                <w:rFonts w:hint="eastAsia" w:ascii="宋体" w:hAnsi="宋体" w:eastAsia="Arial"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业绩</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hint="eastAsia" w:ascii="宋体" w:hAnsi="宋体" w:eastAsia="Arial"/>
                <w:sz w:val="24"/>
              </w:rPr>
            </w:pPr>
            <w:r>
              <w:rPr>
                <w:rFonts w:hint="eastAsia" w:ascii="宋体" w:hAnsi="宋体" w:eastAsia="Arial"/>
                <w:sz w:val="24"/>
              </w:rPr>
              <w:t xml:space="preserve">2022年1月1日以来（以合同签订时间为准），投标人具有与本项目同类项目的销售业绩的，有一个得1分，最高得5分。【如有多个同型号设备同一个采购人的业绩仅作同一个业绩计算，须</w:t>
            </w:r>
            <w:r>
              <w:rPr>
                <w:rFonts w:hint="eastAsia" w:ascii="宋体" w:hAnsi="宋体" w:eastAsia="Arial"/>
                <w:b/>
                <w:sz w:val="24"/>
              </w:rPr>
              <w:t xml:space="preserve">同时提供</w:t>
            </w:r>
            <w:r>
              <w:rPr>
                <w:rFonts w:hint="eastAsia" w:ascii="宋体" w:hAnsi="宋体" w:eastAsia="Arial"/>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hint="eastAsia" w:ascii="宋体" w:hAnsi="宋体" w:eastAsia="Arial"/>
                <w:sz w:val="24"/>
              </w:rPr>
            </w:pPr>
            <w:r>
              <w:rPr>
                <w:rFonts w:hint="eastAsia" w:ascii="宋体" w:hAnsi="宋体" w:eastAsia="Arial"/>
                <w:sz w:val="24"/>
              </w:rPr>
              <w:t xml:space="preserve">5</w:t>
            </w:r>
            <w:r/>
          </w:p>
        </w:tc>
      </w:tr>
    </w:tbl>
    <w:p>
      <w:pPr>
        <w:spacing w:line="400" w:lineRule="exact"/>
        <w:rPr>
          <w:rFonts w:ascii="黑体" w:hAnsi="黑体" w:eastAsia="黑体" w:cs="Times New Roman"/>
          <w:sz w:val="28"/>
          <w:szCs w:val="28"/>
        </w:rPr>
        <w:sectPr>
          <w:headerReference w:type="default" r:id="rId11"/>
          <w:footerReference w:type="default" r:id="rId15"/>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773"/>
      </w:pPr>
      <w:r/>
      <w:r/>
    </w:p>
    <w:p>
      <w:pPr>
        <w:pStyle w:val="773"/>
      </w:pPr>
      <w:r/>
      <w:bookmarkStart w:id="13" w:name="_Toc201302573"/>
      <w:r>
        <w:rPr>
          <w:rFonts w:hint="eastAsia"/>
        </w:rPr>
        <w:t xml:space="preserve">第五章　合同书（格式）</w:t>
      </w:r>
      <w:bookmarkEnd w:id="13"/>
      <w:r/>
      <w:r/>
    </w:p>
    <w:p>
      <w:pPr>
        <w:spacing w:line="400" w:lineRule="exact"/>
        <w:rPr>
          <w:rFonts w:ascii="宋体" w:hAnsi="宋体" w:eastAsia="宋体" w:cs="Times New Roman"/>
          <w:bCs/>
          <w:sz w:val="24"/>
          <w:szCs w:val="24"/>
        </w:rPr>
      </w:pPr>
      <w:r/>
      <w:bookmarkStart w:id="14"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w:t>
      </w:r>
      <w:r>
        <w:rPr>
          <w:rFonts w:hint="eastAsia" w:ascii="宋体" w:hAnsi="宋体" w:eastAsia="宋体" w:cs="楷体_GB2312"/>
          <w:sz w:val="24"/>
          <w:szCs w:val="24"/>
          <w:lang w:eastAsia="zh-CN"/>
        </w:rPr>
        <w:t xml:space="preserve">训等</w:t>
      </w:r>
      <w:r>
        <w:rPr>
          <w:rFonts w:hint="eastAsia" w:ascii="宋体" w:hAnsi="宋体" w:eastAsia="宋体" w:cs="楷体_GB2312"/>
          <w:sz w:val="24"/>
          <w:szCs w:val="24"/>
        </w:rPr>
        <w:t xml:space="preserve">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rPr>
        <w:t xml:space="preserve">乙方所提供的货物的技术规格应与招标文件与投标文件规定的技术规格相一致；若技术性能无特殊说明，则按国家有关部门最新颁布的标准及规范为准。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 xml:space="preserve">如验收完成后发生质量问题，在质保期内应免费进行维修或更换。对于货物由设计、工艺</w:t>
      </w:r>
      <w:r>
        <w:rPr>
          <w:rFonts w:hint="eastAsia" w:ascii="宋体" w:hAnsi="宋体" w:eastAsia="宋体" w:cs="Times New Roman"/>
          <w:sz w:val="24"/>
          <w:szCs w:val="24"/>
          <w:lang w:eastAsia="zh-CN"/>
        </w:rPr>
        <w:t xml:space="preserve">或</w:t>
      </w:r>
      <w:r>
        <w:rPr>
          <w:rFonts w:hint="eastAsia" w:ascii="宋体" w:hAnsi="宋体" w:eastAsia="宋体" w:cs="Times New Roman"/>
          <w:sz w:val="24"/>
          <w:szCs w:val="24"/>
        </w:rPr>
        <w:t xml:space="preserve">材料的缺陷所发生的任何故障或不足都应终身免费更换。</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ascii="宋体" w:hAnsi="宋体" w:eastAsia="宋体" w:cs="Times New Roman"/>
          <w:sz w:val="24"/>
          <w:szCs w:val="24"/>
        </w:rPr>
        <w:t xml:space="preserve">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rPr>
        <w:t xml:space="preserve">乙方</w:t>
      </w:r>
      <w:r>
        <w:rPr>
          <w:rFonts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w:t>
      </w:r>
      <w:r>
        <w:rPr>
          <w:rFonts w:ascii="宋体" w:hAnsi="宋体" w:eastAsia="宋体" w:cs="Times New Roman"/>
          <w:sz w:val="24"/>
          <w:szCs w:val="24"/>
          <w:lang w:val="zh-CN"/>
        </w:rPr>
        <w:t xml:space="preserve">8</w:t>
      </w:r>
      <w:r>
        <w:rPr>
          <w:rFonts w:hint="eastAsia" w:ascii="宋体" w:hAnsi="宋体" w:eastAsia="宋体" w:cs="Times New Roman"/>
          <w:sz w:val="24"/>
          <w:szCs w:val="24"/>
          <w:lang w:val="zh-CN"/>
        </w:rPr>
        <w:t xml:space="preserve">工作小时后仍无法排除，乙方应在</w:t>
      </w:r>
      <w:r>
        <w:rPr>
          <w:rFonts w:ascii="宋体" w:hAnsi="宋体" w:eastAsia="宋体" w:cs="Times New Roman"/>
          <w:sz w:val="24"/>
          <w:szCs w:val="24"/>
          <w:lang w:val="zh-CN"/>
        </w:rPr>
        <w:t xml:space="preserve">48</w:t>
      </w:r>
      <w:r>
        <w:rPr>
          <w:rFonts w:hint="eastAsia" w:ascii="宋体" w:hAnsi="宋体" w:eastAsia="宋体" w:cs="Times New Roman"/>
          <w:sz w:val="24"/>
          <w:szCs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lang w:eastAsia="zh-CN"/>
        </w:rPr>
        <w:t xml:space="preserve">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lang w:eastAsia="zh-CN"/>
        </w:rPr>
        <w:t xml:space="preserve">4.</w:t>
      </w:r>
      <w:r>
        <w:rPr>
          <w:rFonts w:hint="eastAsia" w:ascii="宋体" w:hAnsi="宋体" w:eastAsia="宋体" w:cs="宋体"/>
          <w:bCs/>
          <w:sz w:val="24"/>
          <w:szCs w:val="24"/>
        </w:rPr>
        <w:t xml:space="preserve">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2.因履行本合同引起的或与本合同有关的争议，甲、乙双方应首先通过友好协商解决，如果协商不能解决争议，则采取向甲方所在地有管辖权的人民法院提起诉讼的方式解决争议。</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3.在诉讼期间，本合同应继续履行。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Style w:val="75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773"/>
      </w:pPr>
      <w:r/>
      <w:r/>
    </w:p>
    <w:p>
      <w:pPr>
        <w:pStyle w:val="773"/>
      </w:pPr>
      <w:r/>
      <w:bookmarkStart w:id="15" w:name="_Toc201302574"/>
      <w:r>
        <w:rPr>
          <w:rFonts w:hint="eastAsia"/>
        </w:rPr>
        <w:t xml:space="preserve">第六章　投标文件的组成和格式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lang w:eastAsia="zh-CN"/>
        </w:rPr>
        <w:t xml:space="preserve">二〇</w:t>
      </w:r>
      <w:r>
        <w:rPr>
          <w:rFonts w:hint="eastAsia" w:ascii="宋体" w:hAnsi="宋体" w:eastAsia="宋体" w:cs="Times New Roman"/>
          <w:bCs/>
          <w:sz w:val="30"/>
          <w:szCs w:val="24"/>
        </w:rPr>
        <w:t xml:space="preserve">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rPr>
        <w:t xml:space="preserve">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rPr>
        <w:t xml:space="preserve">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4.</w:t>
      </w:r>
      <w:r>
        <w:rPr>
          <w:rFonts w:hint="eastAsia" w:ascii="宋体" w:hAnsi="宋体" w:eastAsia="宋体" w:cs="Times New Roman"/>
          <w:bCs/>
          <w:sz w:val="24"/>
          <w:szCs w:val="24"/>
        </w:rPr>
        <w:t xml:space="preserve">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5.</w:t>
      </w:r>
      <w:r>
        <w:rPr>
          <w:rFonts w:hint="eastAsia" w:ascii="宋体" w:hAnsi="宋体" w:eastAsia="宋体" w:cs="Times New Roman"/>
          <w:bCs/>
          <w:sz w:val="24"/>
          <w:szCs w:val="24"/>
        </w:rPr>
        <w:t xml:space="preserve">我方愿意遵守《中华人民共和国政府采购法</w:t>
      </w:r>
      <w:r>
        <w:rPr>
          <w:rFonts w:hint="eastAsia" w:ascii="宋体" w:hAnsi="宋体" w:eastAsia="宋体" w:cs="Times New Roman"/>
          <w:bCs/>
          <w:sz w:val="24"/>
          <w:szCs w:val="24"/>
          <w:lang w:eastAsia="zh-CN"/>
        </w:rPr>
        <w:t xml:space="preserve">》《</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6.</w:t>
      </w:r>
      <w:r>
        <w:rPr>
          <w:rFonts w:hint="eastAsia" w:ascii="宋体" w:hAnsi="宋体" w:eastAsia="宋体" w:cs="Times New Roman"/>
          <w:bCs/>
          <w:sz w:val="24"/>
          <w:szCs w:val="24"/>
        </w:rPr>
        <w:t xml:space="preserve">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7.</w:t>
      </w:r>
      <w:r>
        <w:rPr>
          <w:rFonts w:hint="eastAsia" w:ascii="宋体" w:hAnsi="宋体" w:eastAsia="宋体" w:cs="Times New Roman"/>
          <w:bCs/>
          <w:sz w:val="24"/>
          <w:szCs w:val="24"/>
        </w:rPr>
        <w:t xml:space="preserve">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8.</w:t>
      </w:r>
      <w:r>
        <w:rPr>
          <w:rFonts w:hint="eastAsia" w:ascii="宋体" w:hAnsi="宋体" w:eastAsia="宋体" w:cs="Times New Roman"/>
          <w:bCs/>
          <w:sz w:val="24"/>
          <w:szCs w:val="24"/>
        </w:rPr>
        <w:t xml:space="preserve">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9.</w:t>
      </w:r>
      <w:r>
        <w:rPr>
          <w:rFonts w:hint="eastAsia" w:ascii="宋体" w:hAnsi="宋体" w:eastAsia="宋体" w:cs="Times New Roman"/>
          <w:bCs/>
          <w:sz w:val="24"/>
          <w:szCs w:val="24"/>
        </w:rPr>
        <w:t xml:space="preserve">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194739809"/>
      <w:r/>
      <w:bookmarkStart w:id="17"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hint="default" w:ascii="黑体" w:hAnsi="黑体" w:eastAsia="黑体" w:cs="Times New Roman"/>
          <w:bCs/>
          <w:sz w:val="28"/>
          <w:szCs w:val="28"/>
          <w:u w:val="single"/>
          <w:lang w:val="en-US" w:eastAsia="zh-CN"/>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75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JSZC-320281-JZCG-G2025-0072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江阴市人民医院吊塔采购项目</w:t>
            </w:r>
            <w:r>
              <w:rPr>
                <w:rFonts w:hint="eastAsia" w:ascii="宋体" w:hAnsi="宋体" w:eastAsia="宋体" w:cs="宋体"/>
                <w:sz w:val="24"/>
                <w:szCs w:val="24"/>
                <w:lang w:val="en-US" w:eastAsia="zh-CN"/>
              </w:rPr>
              <w:t xml:space="preserve">(采购包1)</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8" w:name="_Toc145474400"/>
      <w:r/>
      <w:bookmarkStart w:id="19" w:name="_Toc194386107"/>
      <w:r/>
      <w:bookmarkStart w:id="20" w:name="_Toc158691780"/>
      <w:r>
        <w:rPr>
          <w:rFonts w:hint="eastAsia" w:ascii="宋体" w:hAnsi="宋体" w:eastAsia="宋体" w:cs="Times New Roman"/>
          <w:b/>
          <w:sz w:val="24"/>
          <w:szCs w:val="24"/>
        </w:rPr>
        <w:t xml:space="preserve">注</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18"/>
      <w:bookmarkEnd w:id="19"/>
      <w:bookmarkEnd w:id="20"/>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hint="default" w:ascii="黑体" w:hAnsi="黑体" w:eastAsia="黑体" w:cs="Times New Roman"/>
          <w:bCs/>
          <w:sz w:val="28"/>
          <w:szCs w:val="28"/>
          <w:u w:val="single"/>
          <w:lang w:val="en-US" w:eastAsia="zh-CN"/>
        </w:rPr>
      </w:pPr>
      <w:r/>
      <w:bookmarkStart w:id="21" w:name="_Toc194386110"/>
      <w:r/>
      <w:bookmarkStart w:id="22" w:name="_Toc129333640"/>
      <w:r/>
      <w:bookmarkStart w:id="23" w:name="_Toc158691783"/>
      <w:r>
        <w:rPr>
          <w:rFonts w:hint="eastAsia" w:ascii="黑体" w:hAnsi="黑体" w:eastAsia="黑体" w:cs="Times New Roman"/>
          <w:sz w:val="28"/>
          <w:szCs w:val="28"/>
        </w:rPr>
        <w:t xml:space="preserve">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75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JSZC-320281-JZCG-G2025-0072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江阴市人民医院吊塔采购项目（采购包</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Style w:val="75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bookmarkEnd w:id="16"/>
      <w:bookmarkEnd w:id="17"/>
      <w:bookmarkEnd w:id="21"/>
      <w:bookmarkEnd w:id="22"/>
      <w:bookmarkEnd w:id="23"/>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四、详细配置一览表</w:t>
      </w:r>
      <w:r/>
    </w:p>
    <w:p>
      <w:pPr>
        <w:spacing w:line="400" w:lineRule="exact"/>
        <w:rPr>
          <w:rFonts w:ascii="黑体" w:hAnsi="Times New Roman" w:eastAsia="黑体" w:cs="Times New Roman"/>
          <w:b/>
          <w:sz w:val="28"/>
          <w:szCs w:val="28"/>
        </w:rPr>
        <w:outlineLvl w:val="1"/>
      </w:pPr>
      <w:r>
        <w:rPr>
          <w:rFonts w:ascii="黑体" w:hAnsi="Times New Roman" w:eastAsia="黑体" w:cs="Times New Roman"/>
          <w:b/>
          <w:sz w:val="28"/>
          <w:szCs w:val="28"/>
        </w:rPr>
      </w:r>
      <w:r/>
    </w:p>
    <w:tbl>
      <w:tblPr>
        <w:tblStyle w:val="75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400" w:lineRule="exact"/>
        <w:rPr>
          <w:rFonts w:ascii="宋体" w:hAnsi="宋体" w:eastAsia="宋体" w:cs="Times New Roman"/>
          <w:szCs w:val="21"/>
        </w:rPr>
      </w:pPr>
      <w:r>
        <w:rPr>
          <w:rFonts w:ascii="宋体" w:hAnsi="宋体" w:eastAsia="宋体" w:cs="Times New Roman"/>
          <w:szCs w:val="21"/>
        </w:rPr>
      </w:r>
      <w:r/>
    </w:p>
    <w:p>
      <w:pPr>
        <w:spacing w:line="40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75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75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lang w:eastAsia="zh-CN"/>
        </w:rPr>
        <w:t xml:space="preserve">2.</w:t>
      </w:r>
      <w:r>
        <w:rPr>
          <w:rFonts w:hint="eastAsia" w:ascii="宋体" w:hAnsi="宋体" w:eastAsia="宋体" w:cs="Times New Roman"/>
          <w:szCs w:val="21"/>
        </w:rPr>
        <w:t xml:space="preserve">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lang w:eastAsia="zh-CN"/>
        </w:rPr>
        <w:t xml:space="preserve">3.</w:t>
      </w:r>
      <w:r>
        <w:rPr>
          <w:rFonts w:hint="eastAsia" w:ascii="宋体" w:hAnsi="宋体" w:eastAsia="宋体" w:cs="Times New Roman"/>
          <w:szCs w:val="21"/>
        </w:rPr>
        <w:t xml:space="preserve">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lang w:eastAsia="zh-CN"/>
        </w:rPr>
        <w:t xml:space="preserve">4.</w:t>
      </w:r>
      <w:r>
        <w:rPr>
          <w:rFonts w:hint="eastAsia" w:ascii="宋体" w:hAnsi="宋体" w:eastAsia="宋体" w:cs="Times New Roman"/>
          <w:szCs w:val="21"/>
        </w:rPr>
        <w:t xml:space="preserve">“投标文件技术规范描述”完全照抄“招标文件技术要求”的，有被判定为负偏离的风险。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lang w:eastAsia="zh-CN"/>
        </w:rPr>
        <w:t xml:space="preserve">5.</w:t>
      </w:r>
      <w:r>
        <w:rPr>
          <w:rFonts w:hint="eastAsia" w:ascii="宋体" w:hAnsi="宋体" w:eastAsia="宋体" w:cs="Times New Roman"/>
          <w:szCs w:val="21"/>
        </w:rPr>
        <w:t xml:space="preserve">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rPr>
        <w:t xml:space="preserve">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投标人认为需要加以说明的其他内容，格式自定。</w:t>
      </w:r>
      <w:r/>
    </w:p>
    <w:p>
      <w:pPr>
        <w:jc w:val="center"/>
        <w:spacing w:line="36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752"/>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752"/>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w:t>
      </w:r>
      <w:r>
        <w:rPr>
          <w:rFonts w:hint="eastAsia" w:ascii="宋体" w:hAnsi="宋体" w:eastAsia="宋体" w:cs="Times New Roman"/>
          <w:bCs/>
          <w:sz w:val="24"/>
          <w:szCs w:val="24"/>
          <w:lang w:eastAsia="zh-CN"/>
        </w:rPr>
        <w:t xml:space="preserve">、第</w:t>
      </w:r>
      <w:r>
        <w:rPr>
          <w:rFonts w:hint="eastAsia" w:ascii="宋体" w:hAnsi="宋体" w:eastAsia="宋体" w:cs="Times New Roman"/>
          <w:bCs/>
          <w:sz w:val="24"/>
          <w:szCs w:val="24"/>
        </w:rPr>
        <w:t xml:space="preserve">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CN"/>
        </w:rPr>
        <w:t xml:space="preserve">江阴市人民医院吊塔采购项目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pacing w:val="6"/>
          <w:sz w:val="24"/>
          <w:szCs w:val="24"/>
          <w:lang w:eastAsia="zh-CN"/>
        </w:rPr>
        <w:t xml:space="preserve">〔2017〕141号</w:t>
      </w:r>
      <w:r>
        <w:rPr>
          <w:rFonts w:hint="eastAsia" w:ascii="宋体" w:hAnsi="宋体" w:eastAsia="宋体" w:cs="Times New Roman"/>
          <w:spacing w:val="6"/>
          <w:sz w:val="24"/>
          <w:szCs w:val="24"/>
        </w:rPr>
        <w:t xml:space="preserve">）的规定，本单位为符合条件的残疾人福利性单位，且本单位参加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763"/>
          <w:jc w:val="center"/>
        </w:pPr>
        <w:r>
          <w:fldChar w:fldCharType="begin"/>
        </w:r>
        <w:r>
          <w:instrText xml:space="preserve">PAGE   \* MERGEFORMAT</w:instrText>
        </w:r>
        <w:r>
          <w:fldChar w:fldCharType="separate"/>
        </w:r>
        <w:r>
          <w:rPr>
            <w:lang w:val="zh-CN"/>
          </w:rPr>
          <w:t xml:space="preserve">-</w:t>
        </w:r>
        <w:r>
          <w:t xml:space="preserve"> 4 -</w:t>
        </w:r>
        <w:r>
          <w:fldChar w:fldCharType="end"/>
        </w:r>
        <w:r/>
      </w:p>
    </w:sdtContent>
  </w:sdt>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6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1076"/>
      <w:rPr/>
    </w:sdtPr>
    <w:sdtContent>
      <w:p>
        <w:pPr>
          <w:pStyle w:val="763"/>
          <w:jc w:val="center"/>
        </w:pPr>
        <w:r>
          <w:fldChar w:fldCharType="begin"/>
        </w:r>
        <w:r>
          <w:instrText xml:space="preserve">PAGE   \* MERGEFORMAT</w:instrText>
        </w:r>
        <w:r>
          <w:fldChar w:fldCharType="separate"/>
        </w:r>
        <w:r>
          <w:rPr>
            <w:lang w:val="zh-CN"/>
          </w:rPr>
          <w:t xml:space="preserve">-</w:t>
        </w:r>
        <w:r>
          <w:t xml:space="preserve"> 4 -</w:t>
        </w:r>
        <w:r>
          <w:fldChar w:fldCharType="end"/>
        </w:r>
        <w:r/>
      </w:p>
    </w:sdtContent>
  </w:sdt>
  <w:p>
    <w:pPr>
      <w:pStyle w:val="7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2583"/>
      <w:docPartObj>
        <w:docPartGallery w:val="autotext"/>
      </w:docPartObj>
      <w:rPr/>
    </w:sdtPr>
    <w:sdtContent>
      <w:p>
        <w:pPr>
          <w:pStyle w:val="763"/>
          <w:jc w:val="center"/>
        </w:pPr>
        <w:r>
          <w:fldChar w:fldCharType="begin"/>
        </w:r>
        <w:r>
          <w:instrText xml:space="preserve">PAGE   \* MERGEFORMAT</w:instrText>
        </w:r>
        <w:r>
          <w:fldChar w:fldCharType="separate"/>
        </w:r>
        <w:r>
          <w:rPr>
            <w:lang w:val="zh-CN"/>
          </w:rPr>
          <w:t xml:space="preserve">-</w:t>
        </w:r>
        <w:r>
          <w:t xml:space="preserve"> 4 -</w:t>
        </w:r>
        <w:r>
          <w:fldChar w:fldCharType="end"/>
        </w:r>
        <w:r/>
      </w:p>
    </w:sdtContent>
  </w:sdt>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JSZC-320281-JZCG-G2025-0072江阴市人民医院吊塔采购项目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JSZC-320281-JZCG-G2025-0072</w:t>
    </w:r>
    <w:r>
      <w:rPr>
        <w:rFonts w:hint="eastAsia" w:ascii="黑体" w:hAnsi="黑体" w:eastAsia="黑体" w:cs="Times New Roman"/>
        <w:bCs/>
        <w:sz w:val="16"/>
        <w:szCs w:val="18"/>
      </w:rPr>
      <w:t xml:space="preserve">江阴市人民医院吊塔采购项目                                      江阴市政</w:t>
    </w:r>
    <w:r>
      <w:rPr>
        <w:rFonts w:ascii="黑体" w:hAnsi="黑体" w:eastAsia="黑体" w:cs="Times New Roman"/>
        <w:bCs/>
        <w:sz w:val="16"/>
        <w:szCs w:val="18"/>
      </w:rPr>
      <w:t xml:space="preserve">府采购中心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JSZC-320281-JZCG-G2025-0072江阴市人民医院吊塔采购项目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850"/>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5">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850"/>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1"/>
      <w:numFmt w:val="decimal"/>
      <w:isLgl w:val="false"/>
      <w:suff w:val="tab"/>
      <w:lvlText w:val="%1."/>
      <w:lvlJc w:val="left"/>
      <w:pPr>
        <w:ind w:left="283"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3"/>
  </w:num>
  <w:num w:numId="2">
    <w:abstractNumId w:val="0"/>
  </w:num>
  <w:num w:numId="3">
    <w:abstractNumId w:val="1"/>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42">
    <w:name w:val="Heading 1"/>
    <w:basedOn w:val="741"/>
    <w:next w:val="741"/>
    <w:link w:val="946"/>
    <w:uiPriority w:val="9"/>
    <w:qFormat/>
    <w:pPr>
      <w:keepLines/>
      <w:keepNext/>
      <w:spacing w:before="340" w:after="330" w:line="578" w:lineRule="auto"/>
      <w:outlineLvl w:val="0"/>
    </w:pPr>
    <w:rPr>
      <w:b/>
      <w:bCs/>
      <w:sz w:val="44"/>
      <w:szCs w:val="44"/>
    </w:rPr>
  </w:style>
  <w:style w:type="paragraph" w:styleId="743">
    <w:name w:val="Heading 2"/>
    <w:basedOn w:val="741"/>
    <w:next w:val="741"/>
    <w:link w:val="782"/>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3"/>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84"/>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85"/>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6"/>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88"/>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89"/>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260"/>
      <w:jc w:val="left"/>
    </w:pPr>
    <w:rPr>
      <w:sz w:val="18"/>
      <w:szCs w:val="18"/>
    </w:r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1"/>
    <w:link w:val="933"/>
    <w:uiPriority w:val="99"/>
    <w:semiHidden/>
    <w:unhideWhenUsed/>
    <w:qFormat/>
    <w:pPr>
      <w:jc w:val="left"/>
    </w:pPr>
  </w:style>
  <w:style w:type="paragraph" w:styleId="756">
    <w:name w:val="Body Text"/>
    <w:basedOn w:val="741"/>
    <w:link w:val="936"/>
    <w:uiPriority w:val="0"/>
    <w:qFormat/>
    <w:pPr>
      <w:spacing w:line="360" w:lineRule="auto"/>
    </w:pPr>
    <w:rPr>
      <w:rFonts w:ascii="楷体_GB2312" w:hAnsi="Times New Roman" w:eastAsia="楷体_GB2312" w:cs="Times New Roman"/>
      <w:bCs/>
      <w:sz w:val="28"/>
      <w:szCs w:val="24"/>
    </w:rPr>
  </w:style>
  <w:style w:type="paragraph" w:styleId="757">
    <w:name w:val="Body Text Indent"/>
    <w:basedOn w:val="741"/>
    <w:link w:val="940"/>
    <w:uiPriority w:val="0"/>
    <w:unhideWhenUsed/>
    <w:qFormat/>
    <w:pPr>
      <w:ind w:left="420"/>
      <w:spacing w:after="120"/>
    </w:pPr>
  </w:style>
  <w:style w:type="paragraph" w:styleId="758">
    <w:name w:val="toc 5"/>
    <w:basedOn w:val="741"/>
    <w:next w:val="741"/>
    <w:uiPriority w:val="39"/>
    <w:unhideWhenUsed/>
    <w:qFormat/>
    <w:pPr>
      <w:ind w:left="840"/>
      <w:jc w:val="left"/>
    </w:pPr>
    <w:rPr>
      <w:sz w:val="18"/>
      <w:szCs w:val="18"/>
    </w:rPr>
  </w:style>
  <w:style w:type="paragraph" w:styleId="759">
    <w:name w:val="toc 3"/>
    <w:basedOn w:val="741"/>
    <w:next w:val="741"/>
    <w:uiPriority w:val="39"/>
    <w:unhideWhenUsed/>
    <w:qFormat/>
    <w:pPr>
      <w:ind w:left="420"/>
      <w:jc w:val="left"/>
    </w:pPr>
    <w:rPr>
      <w:i/>
      <w:iCs/>
      <w:sz w:val="20"/>
      <w:szCs w:val="20"/>
    </w:rPr>
  </w:style>
  <w:style w:type="paragraph" w:styleId="760">
    <w:name w:val="toc 8"/>
    <w:basedOn w:val="741"/>
    <w:next w:val="741"/>
    <w:uiPriority w:val="39"/>
    <w:unhideWhenUsed/>
    <w:qFormat/>
    <w:pPr>
      <w:ind w:left="1470"/>
      <w:jc w:val="left"/>
    </w:pPr>
    <w:rPr>
      <w:sz w:val="18"/>
      <w:szCs w:val="18"/>
    </w:rPr>
  </w:style>
  <w:style w:type="paragraph" w:styleId="761">
    <w:name w:val="endnote text"/>
    <w:basedOn w:val="741"/>
    <w:link w:val="926"/>
    <w:uiPriority w:val="99"/>
    <w:semiHidden/>
    <w:unhideWhenUsed/>
    <w:qFormat/>
    <w:pPr>
      <w:spacing w:after="0" w:line="240" w:lineRule="auto"/>
    </w:pPr>
    <w:rPr>
      <w:sz w:val="20"/>
    </w:rPr>
  </w:style>
  <w:style w:type="paragraph" w:styleId="762">
    <w:name w:val="Balloon Text"/>
    <w:basedOn w:val="741"/>
    <w:link w:val="931"/>
    <w:uiPriority w:val="99"/>
    <w:semiHidden/>
    <w:unhideWhenUsed/>
    <w:qFormat/>
    <w:rPr>
      <w:sz w:val="18"/>
      <w:szCs w:val="18"/>
    </w:rPr>
  </w:style>
  <w:style w:type="paragraph" w:styleId="763">
    <w:name w:val="Footer"/>
    <w:basedOn w:val="741"/>
    <w:link w:val="929"/>
    <w:uiPriority w:val="0"/>
    <w:unhideWhenUsed/>
    <w:qFormat/>
    <w:pPr>
      <w:jc w:val="left"/>
      <w:tabs>
        <w:tab w:val="center" w:pos="4153" w:leader="none"/>
        <w:tab w:val="right" w:pos="8306" w:leader="none"/>
      </w:tabs>
    </w:pPr>
    <w:rPr>
      <w:sz w:val="18"/>
      <w:szCs w:val="18"/>
    </w:rPr>
  </w:style>
  <w:style w:type="paragraph" w:styleId="764">
    <w:name w:val="Header"/>
    <w:basedOn w:val="741"/>
    <w:link w:val="9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41"/>
    <w:next w:val="741"/>
    <w:uiPriority w:val="39"/>
    <w:unhideWhenUsed/>
    <w:qFormat/>
    <w:pPr>
      <w:jc w:val="left"/>
      <w:spacing w:before="120" w:after="120"/>
    </w:pPr>
    <w:rPr>
      <w:b/>
      <w:bCs/>
      <w:caps/>
      <w:sz w:val="20"/>
      <w:szCs w:val="20"/>
    </w:rPr>
  </w:style>
  <w:style w:type="paragraph" w:styleId="766">
    <w:name w:val="toc 4"/>
    <w:basedOn w:val="741"/>
    <w:next w:val="741"/>
    <w:uiPriority w:val="39"/>
    <w:unhideWhenUsed/>
    <w:qFormat/>
    <w:pPr>
      <w:ind w:left="630"/>
      <w:jc w:val="left"/>
    </w:pPr>
    <w:rPr>
      <w:sz w:val="18"/>
      <w:szCs w:val="18"/>
    </w:rPr>
  </w:style>
  <w:style w:type="paragraph" w:styleId="767">
    <w:name w:val="Subtitle"/>
    <w:basedOn w:val="741"/>
    <w:next w:val="741"/>
    <w:link w:val="792"/>
    <w:uiPriority w:val="11"/>
    <w:qFormat/>
    <w:pPr>
      <w:spacing w:before="200" w:after="200"/>
    </w:pPr>
    <w:rPr>
      <w:sz w:val="24"/>
      <w:szCs w:val="24"/>
    </w:rPr>
  </w:style>
  <w:style w:type="paragraph" w:styleId="768">
    <w:name w:val="footnote text"/>
    <w:basedOn w:val="741"/>
    <w:link w:val="925"/>
    <w:uiPriority w:val="99"/>
    <w:semiHidden/>
    <w:unhideWhenUsed/>
    <w:qFormat/>
    <w:pPr>
      <w:spacing w:after="40" w:line="240" w:lineRule="auto"/>
    </w:pPr>
    <w:rPr>
      <w:sz w:val="18"/>
    </w:rPr>
  </w:style>
  <w:style w:type="paragraph" w:styleId="769">
    <w:name w:val="toc 6"/>
    <w:basedOn w:val="741"/>
    <w:next w:val="741"/>
    <w:uiPriority w:val="39"/>
    <w:unhideWhenUsed/>
    <w:qFormat/>
    <w:pPr>
      <w:ind w:left="1050"/>
      <w:jc w:val="left"/>
    </w:pPr>
    <w:rPr>
      <w:sz w:val="18"/>
      <w:szCs w:val="18"/>
    </w:rPr>
  </w:style>
  <w:style w:type="paragraph" w:styleId="770">
    <w:name w:val="table of figures"/>
    <w:basedOn w:val="741"/>
    <w:next w:val="741"/>
    <w:uiPriority w:val="99"/>
    <w:unhideWhenUsed/>
    <w:qFormat/>
    <w:pPr>
      <w:spacing w:after="0" w:afterAutospacing="0"/>
    </w:pPr>
  </w:style>
  <w:style w:type="paragraph" w:styleId="771">
    <w:name w:val="toc 2"/>
    <w:basedOn w:val="741"/>
    <w:next w:val="741"/>
    <w:uiPriority w:val="39"/>
    <w:unhideWhenUsed/>
    <w:qFormat/>
    <w:pPr>
      <w:ind w:left="210"/>
      <w:jc w:val="left"/>
    </w:pPr>
    <w:rPr>
      <w:smallCaps/>
      <w:sz w:val="20"/>
      <w:szCs w:val="20"/>
    </w:rPr>
  </w:style>
  <w:style w:type="paragraph" w:styleId="772">
    <w:name w:val="toc 9"/>
    <w:basedOn w:val="741"/>
    <w:next w:val="741"/>
    <w:uiPriority w:val="39"/>
    <w:unhideWhenUsed/>
    <w:qFormat/>
    <w:pPr>
      <w:ind w:left="1680"/>
      <w:jc w:val="left"/>
    </w:pPr>
    <w:rPr>
      <w:sz w:val="18"/>
      <w:szCs w:val="18"/>
    </w:rPr>
  </w:style>
  <w:style w:type="paragraph" w:styleId="773">
    <w:name w:val="Title"/>
    <w:basedOn w:val="741"/>
    <w:next w:val="741"/>
    <w:link w:val="927"/>
    <w:uiPriority w:val="10"/>
    <w:qFormat/>
    <w:pPr>
      <w:jc w:val="center"/>
      <w:spacing w:line="400" w:lineRule="exact"/>
      <w:outlineLvl w:val="0"/>
    </w:pPr>
    <w:rPr>
      <w:rFonts w:eastAsia="黑体" w:asciiTheme="majorHAnsi" w:hAnsiTheme="majorHAnsi" w:cstheme="majorBidi"/>
      <w:bCs/>
      <w:sz w:val="30"/>
      <w:szCs w:val="32"/>
    </w:rPr>
  </w:style>
  <w:style w:type="paragraph" w:styleId="774">
    <w:name w:val="annotation subject"/>
    <w:basedOn w:val="755"/>
    <w:next w:val="755"/>
    <w:link w:val="934"/>
    <w:uiPriority w:val="99"/>
    <w:semiHidden/>
    <w:unhideWhenUsed/>
    <w:qFormat/>
    <w:rPr>
      <w:b/>
      <w:bCs/>
    </w:rPr>
  </w:style>
  <w:style w:type="table" w:styleId="775">
    <w:name w:val="Table Grid"/>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basedOn w:val="751"/>
    <w:uiPriority w:val="99"/>
    <w:semiHidden/>
    <w:unhideWhenUsed/>
    <w:qFormat/>
    <w:rPr>
      <w:vertAlign w:val="superscript"/>
    </w:rPr>
  </w:style>
  <w:style w:type="character" w:styleId="777">
    <w:name w:val="page number"/>
    <w:uiPriority w:val="0"/>
    <w:qFormat/>
  </w:style>
  <w:style w:type="character" w:styleId="778">
    <w:name w:val="Hyperlink"/>
    <w:basedOn w:val="751"/>
    <w:uiPriority w:val="99"/>
    <w:unhideWhenUsed/>
    <w:qFormat/>
    <w:rPr>
      <w:color w:val="0000ff" w:themeColor="hyperlink"/>
      <w:u w:val="single"/>
      <w14:textFill>
        <w14:solidFill>
          <w14:schemeClr w14:val="hlink"/>
        </w14:solidFill>
      </w14:textFill>
    </w:rPr>
  </w:style>
  <w:style w:type="character" w:styleId="779">
    <w:name w:val="annotation reference"/>
    <w:basedOn w:val="751"/>
    <w:uiPriority w:val="99"/>
    <w:semiHidden/>
    <w:unhideWhenUsed/>
    <w:qFormat/>
    <w:rPr>
      <w:sz w:val="21"/>
      <w:szCs w:val="21"/>
    </w:rPr>
  </w:style>
  <w:style w:type="character" w:styleId="780">
    <w:name w:val="footnote reference"/>
    <w:basedOn w:val="751"/>
    <w:uiPriority w:val="99"/>
    <w:unhideWhenUsed/>
    <w:qFormat/>
    <w:rPr>
      <w:vertAlign w:val="superscript"/>
    </w:rPr>
  </w:style>
  <w:style w:type="character" w:styleId="781" w:customStyle="1">
    <w:name w:val="Heading 1 Char"/>
    <w:basedOn w:val="751"/>
    <w:uiPriority w:val="9"/>
    <w:qFormat/>
    <w:rPr>
      <w:rFonts w:ascii="Arial" w:hAnsi="Arial" w:eastAsia="Arial" w:cs="Arial"/>
      <w:sz w:val="40"/>
      <w:szCs w:val="40"/>
    </w:rPr>
  </w:style>
  <w:style w:type="character" w:styleId="782" w:customStyle="1">
    <w:name w:val="Heading 2 Char"/>
    <w:basedOn w:val="751"/>
    <w:link w:val="743"/>
    <w:uiPriority w:val="9"/>
    <w:qFormat/>
    <w:rPr>
      <w:rFonts w:ascii="Arial" w:hAnsi="Arial" w:eastAsia="Arial" w:cs="Arial"/>
      <w:sz w:val="34"/>
    </w:rPr>
  </w:style>
  <w:style w:type="character" w:styleId="783" w:customStyle="1">
    <w:name w:val="Heading 3 Char"/>
    <w:basedOn w:val="751"/>
    <w:link w:val="744"/>
    <w:uiPriority w:val="9"/>
    <w:qFormat/>
    <w:rPr>
      <w:rFonts w:ascii="Arial" w:hAnsi="Arial" w:eastAsia="Arial" w:cs="Arial"/>
      <w:sz w:val="30"/>
      <w:szCs w:val="30"/>
    </w:rPr>
  </w:style>
  <w:style w:type="character" w:styleId="784" w:customStyle="1">
    <w:name w:val="Heading 4 Char"/>
    <w:basedOn w:val="751"/>
    <w:link w:val="745"/>
    <w:uiPriority w:val="9"/>
    <w:qFormat/>
    <w:rPr>
      <w:rFonts w:ascii="Arial" w:hAnsi="Arial" w:eastAsia="Arial" w:cs="Arial"/>
      <w:b/>
      <w:bCs/>
      <w:sz w:val="26"/>
      <w:szCs w:val="26"/>
    </w:rPr>
  </w:style>
  <w:style w:type="character" w:styleId="785" w:customStyle="1">
    <w:name w:val="Heading 5 Char"/>
    <w:basedOn w:val="751"/>
    <w:link w:val="746"/>
    <w:uiPriority w:val="9"/>
    <w:qFormat/>
    <w:rPr>
      <w:rFonts w:ascii="Arial" w:hAnsi="Arial" w:eastAsia="Arial" w:cs="Arial"/>
      <w:b/>
      <w:bCs/>
      <w:sz w:val="24"/>
      <w:szCs w:val="24"/>
    </w:rPr>
  </w:style>
  <w:style w:type="character" w:styleId="786" w:customStyle="1">
    <w:name w:val="Heading 6 Char"/>
    <w:basedOn w:val="751"/>
    <w:link w:val="747"/>
    <w:uiPriority w:val="9"/>
    <w:qFormat/>
    <w:rPr>
      <w:rFonts w:ascii="Arial" w:hAnsi="Arial" w:eastAsia="Arial" w:cs="Arial"/>
      <w:b/>
      <w:bCs/>
      <w:sz w:val="22"/>
      <w:szCs w:val="22"/>
    </w:rPr>
  </w:style>
  <w:style w:type="character" w:styleId="787" w:customStyle="1">
    <w:name w:val="Heading 7 Char"/>
    <w:basedOn w:val="751"/>
    <w:link w:val="748"/>
    <w:uiPriority w:val="9"/>
    <w:qFormat/>
    <w:rPr>
      <w:rFonts w:ascii="Arial" w:hAnsi="Arial" w:eastAsia="Arial" w:cs="Arial"/>
      <w:b/>
      <w:bCs/>
      <w:i/>
      <w:iCs/>
      <w:sz w:val="22"/>
      <w:szCs w:val="22"/>
    </w:rPr>
  </w:style>
  <w:style w:type="character" w:styleId="788" w:customStyle="1">
    <w:name w:val="Heading 8 Char"/>
    <w:basedOn w:val="751"/>
    <w:link w:val="749"/>
    <w:uiPriority w:val="9"/>
    <w:qFormat/>
    <w:rPr>
      <w:rFonts w:ascii="Arial" w:hAnsi="Arial" w:eastAsia="Arial" w:cs="Arial"/>
      <w:i/>
      <w:iCs/>
      <w:sz w:val="22"/>
      <w:szCs w:val="22"/>
    </w:rPr>
  </w:style>
  <w:style w:type="character" w:styleId="789" w:customStyle="1">
    <w:name w:val="Heading 9 Char"/>
    <w:basedOn w:val="751"/>
    <w:link w:val="750"/>
    <w:uiPriority w:val="9"/>
    <w:qFormat/>
    <w:rPr>
      <w:rFonts w:ascii="Arial" w:hAnsi="Arial" w:eastAsia="Arial" w:cs="Arial"/>
      <w:i/>
      <w:iCs/>
      <w:sz w:val="21"/>
      <w:szCs w:val="21"/>
    </w:rPr>
  </w:style>
  <w:style w:type="paragraph" w:styleId="790">
    <w:name w:val="List Paragraph"/>
    <w:basedOn w:val="741"/>
    <w:uiPriority w:val="34"/>
    <w:qFormat/>
    <w:pPr>
      <w:contextualSpacing/>
      <w:ind w:left="720"/>
    </w:pPr>
  </w:style>
  <w:style w:type="character" w:styleId="791" w:customStyle="1">
    <w:name w:val="Title Char"/>
    <w:basedOn w:val="751"/>
    <w:uiPriority w:val="10"/>
    <w:qFormat/>
    <w:rPr>
      <w:sz w:val="48"/>
      <w:szCs w:val="48"/>
    </w:rPr>
  </w:style>
  <w:style w:type="character" w:styleId="792" w:customStyle="1">
    <w:name w:val="Subtitle Char"/>
    <w:basedOn w:val="751"/>
    <w:link w:val="767"/>
    <w:uiPriority w:val="11"/>
    <w:qFormat/>
    <w:rPr>
      <w:sz w:val="24"/>
      <w:szCs w:val="24"/>
    </w:rPr>
  </w:style>
  <w:style w:type="paragraph" w:styleId="793">
    <w:name w:val="Quote"/>
    <w:basedOn w:val="741"/>
    <w:next w:val="741"/>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41"/>
    <w:next w:val="74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51"/>
    <w:uiPriority w:val="99"/>
    <w:qFormat/>
  </w:style>
  <w:style w:type="character" w:styleId="798" w:customStyle="1">
    <w:name w:val="Footer Char"/>
    <w:basedOn w:val="751"/>
    <w:uiPriority w:val="99"/>
    <w:qFormat/>
  </w:style>
  <w:style w:type="character" w:styleId="799" w:customStyle="1">
    <w:name w:val="Caption Char"/>
    <w:uiPriority w:val="99"/>
    <w:qFormat/>
  </w:style>
  <w:style w:type="table" w:styleId="800"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68"/>
    <w:uiPriority w:val="99"/>
    <w:qFormat/>
    <w:rPr>
      <w:sz w:val="18"/>
    </w:rPr>
  </w:style>
  <w:style w:type="character" w:styleId="926" w:customStyle="1">
    <w:name w:val="Endnote Text Char"/>
    <w:link w:val="761"/>
    <w:uiPriority w:val="99"/>
    <w:qFormat/>
    <w:rPr>
      <w:sz w:val="20"/>
    </w:rPr>
  </w:style>
  <w:style w:type="character" w:styleId="927" w:customStyle="1">
    <w:name w:val="标题 Char"/>
    <w:basedOn w:val="751"/>
    <w:link w:val="773"/>
    <w:uiPriority w:val="10"/>
    <w:qFormat/>
    <w:rPr>
      <w:rFonts w:eastAsia="黑体" w:asciiTheme="majorHAnsi" w:hAnsiTheme="majorHAnsi" w:cstheme="majorBidi"/>
      <w:bCs/>
      <w:sz w:val="30"/>
      <w:szCs w:val="32"/>
    </w:rPr>
  </w:style>
  <w:style w:type="character" w:styleId="928" w:customStyle="1">
    <w:name w:val="页眉 Char"/>
    <w:basedOn w:val="751"/>
    <w:link w:val="764"/>
    <w:uiPriority w:val="0"/>
    <w:qFormat/>
    <w:rPr>
      <w:sz w:val="18"/>
      <w:szCs w:val="18"/>
    </w:rPr>
  </w:style>
  <w:style w:type="character" w:styleId="929" w:customStyle="1">
    <w:name w:val="页脚 Char"/>
    <w:basedOn w:val="751"/>
    <w:link w:val="763"/>
    <w:uiPriority w:val="0"/>
    <w:qFormat/>
    <w:rPr>
      <w:sz w:val="18"/>
      <w:szCs w:val="18"/>
    </w:rPr>
  </w:style>
  <w:style w:type="character" w:styleId="930" w:customStyle="1">
    <w:name w:val="font2800"/>
    <w:basedOn w:val="751"/>
    <w:uiPriority w:val="0"/>
    <w:qFormat/>
  </w:style>
  <w:style w:type="character" w:styleId="931" w:customStyle="1">
    <w:name w:val="批注框文本 Char"/>
    <w:basedOn w:val="751"/>
    <w:link w:val="762"/>
    <w:uiPriority w:val="99"/>
    <w:semiHidden/>
    <w:qFormat/>
    <w:rPr>
      <w:sz w:val="18"/>
      <w:szCs w:val="18"/>
    </w:rPr>
  </w:style>
  <w:style w:type="table" w:styleId="932" w:customStyle="1">
    <w:name w:val="网格型1"/>
    <w:basedOn w:val="752"/>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customStyle="1">
    <w:name w:val="批注文字 Char"/>
    <w:basedOn w:val="751"/>
    <w:link w:val="755"/>
    <w:uiPriority w:val="99"/>
    <w:semiHidden/>
    <w:qFormat/>
  </w:style>
  <w:style w:type="character" w:styleId="934" w:customStyle="1">
    <w:name w:val="批注主题 Char"/>
    <w:basedOn w:val="933"/>
    <w:link w:val="774"/>
    <w:uiPriority w:val="99"/>
    <w:semiHidden/>
    <w:qFormat/>
    <w:rPr>
      <w:b/>
      <w:bCs/>
    </w:rPr>
  </w:style>
  <w:style w:type="character" w:styleId="935" w:customStyle="1">
    <w:name w:val="正文文本 Char"/>
    <w:basedOn w:val="751"/>
    <w:uiPriority w:val="99"/>
    <w:semiHidden/>
    <w:qFormat/>
  </w:style>
  <w:style w:type="character" w:styleId="936" w:customStyle="1">
    <w:name w:val="正文文本 Char1"/>
    <w:link w:val="756"/>
    <w:uiPriority w:val="0"/>
    <w:qFormat/>
    <w:rPr>
      <w:rFonts w:ascii="楷体_GB2312" w:hAnsi="Times New Roman" w:eastAsia="楷体_GB2312" w:cs="Times New Roman"/>
      <w:bCs/>
      <w:sz w:val="28"/>
      <w:szCs w:val="24"/>
    </w:rPr>
  </w:style>
  <w:style w:type="paragraph" w:styleId="937" w:customStyle="1">
    <w:name w:val="Table Paragraph"/>
    <w:basedOn w:val="741"/>
    <w:uiPriority w:val="1"/>
    <w:qFormat/>
    <w:pPr>
      <w:ind w:firstLine="260"/>
      <w:jc w:val="left"/>
      <w:spacing w:line="360" w:lineRule="auto"/>
    </w:pPr>
    <w:rPr>
      <w:rFonts w:ascii="Calibri" w:hAnsi="Calibri" w:eastAsia="仿宋" w:cs="Times New Roman"/>
      <w:sz w:val="28"/>
      <w:lang w:eastAsia="en-US"/>
    </w:rPr>
  </w:style>
  <w:style w:type="paragraph" w:styleId="938">
    <w:name w:val="No Spacing"/>
    <w:link w:val="939"/>
    <w:uiPriority w:val="1"/>
    <w:qFormat/>
    <w:pPr>
      <w:jc w:val="both"/>
      <w:spacing w:line="360" w:lineRule="auto"/>
      <w:widowControl w:val="off"/>
    </w:pPr>
    <w:rPr>
      <w:rFonts w:hint="default" w:ascii="宋体" w:hAnsi="宋体" w:eastAsiaTheme="minorEastAsia" w:cstheme="minorBidi"/>
      <w:sz w:val="24"/>
      <w:szCs w:val="22"/>
    </w:rPr>
  </w:style>
  <w:style w:type="character" w:styleId="939" w:customStyle="1">
    <w:name w:val="无间隔 Char"/>
    <w:link w:val="938"/>
    <w:uiPriority w:val="1"/>
    <w:qFormat/>
    <w:rPr>
      <w:rFonts w:ascii="宋体" w:hAnsi="宋体"/>
      <w:sz w:val="24"/>
    </w:rPr>
  </w:style>
  <w:style w:type="character" w:styleId="940" w:customStyle="1">
    <w:name w:val="正文文本缩进 Char"/>
    <w:basedOn w:val="751"/>
    <w:link w:val="757"/>
    <w:uiPriority w:val="0"/>
    <w:qFormat/>
  </w:style>
  <w:style w:type="table" w:styleId="941" w:customStyle="1">
    <w:name w:val="网格型2"/>
    <w:basedOn w:val="752"/>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2" w:customStyle="1">
    <w:name w:val="Revision"/>
    <w:hidden/>
    <w:uiPriority w:val="99"/>
    <w:unhideWhenUsed/>
    <w:qFormat/>
    <w:rPr>
      <w:rFonts w:hint="default" w:asciiTheme="minorHAnsi" w:hAnsiTheme="minorHAnsi" w:eastAsiaTheme="minorEastAsia" w:cstheme="minorBidi"/>
      <w:sz w:val="21"/>
      <w:szCs w:val="22"/>
    </w:rPr>
  </w:style>
  <w:style w:type="table" w:styleId="943" w:customStyle="1">
    <w:name w:val="网格型3"/>
    <w:basedOn w:val="752"/>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customStyle="1">
    <w:name w:val="网格型4"/>
    <w:basedOn w:val="752"/>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46" w:customStyle="1">
    <w:name w:val="标题 1 Char"/>
    <w:basedOn w:val="751"/>
    <w:link w:val="742"/>
    <w:uiPriority w:val="9"/>
    <w:qFormat/>
    <w:rPr>
      <w:b/>
      <w:bCs/>
      <w:sz w:val="44"/>
      <w:szCs w:val="44"/>
    </w:rPr>
  </w:style>
  <w:style w:type="paragraph" w:styleId="947" w:customStyle="1">
    <w:name w:val="TOC Heading"/>
    <w:basedOn w:val="742"/>
    <w:next w:val="741"/>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948" w:customStyle="1">
    <w:name w:val="font21"/>
    <w:basedOn w:val="751"/>
    <w:uiPriority w:val="0"/>
    <w:qFormat/>
    <w:rPr>
      <w:rFonts w:ascii="Calibri" w:hAnsi="Calibri" w:cs="Calibri"/>
      <w:color w:val="000000"/>
      <w:sz w:val="21"/>
      <w:szCs w:val="21"/>
      <w:u w:val="none"/>
    </w:rPr>
  </w:style>
  <w:style w:type="character" w:styleId="949" w:customStyle="1">
    <w:name w:val="font11"/>
    <w:basedOn w:val="751"/>
    <w:uiPriority w:val="0"/>
    <w:qFormat/>
    <w:rPr>
      <w:rFonts w:hint="eastAsia" w:ascii="宋体" w:hAnsi="宋体" w:eastAsia="宋体" w:cs="宋体"/>
      <w:color w:val="000000"/>
      <w:sz w:val="21"/>
      <w:szCs w:val="21"/>
      <w:u w:val="none"/>
    </w:rPr>
  </w:style>
  <w:style w:type="numbering" w:styleId="8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BE6412-89FA-46F5-BDE9-D9434CEB0E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664</cp:revision>
  <dcterms:created xsi:type="dcterms:W3CDTF">2024-05-14T07:17:00Z</dcterms:created>
  <dcterms:modified xsi:type="dcterms:W3CDTF">2025-10-16T02:45:12Z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2052-12.1.0.23125</vt:lpwstr>
  </property>
  <property fmtid="{D5CDD505-2E9C-101B-9397-08002B2CF9AE}" pid="4" name="ICV">
    <vt:lpwstr>C7402BB1854E4A768D7649C58BECC05A_13</vt:lpwstr>
  </property>
</Properties>
</file>