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66"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6"/>
      </w:tblGrid>
      <w:tr w14:paraId="4AD3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9266" w:type="dxa"/>
            <w:tcBorders>
              <w:top w:val="nil"/>
              <w:left w:val="nil"/>
              <w:bottom w:val="nil"/>
              <w:right w:val="nil"/>
            </w:tcBorders>
            <w:shd w:val="clear" w:color="FFFFFF" w:fill="FFFFFF"/>
            <w:vAlign w:val="center"/>
          </w:tcPr>
          <w:p w14:paraId="785BAE52">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编制说明</w:t>
            </w:r>
          </w:p>
        </w:tc>
      </w:tr>
      <w:tr w14:paraId="1B4D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266" w:type="dxa"/>
            <w:tcBorders>
              <w:top w:val="nil"/>
              <w:left w:val="nil"/>
              <w:bottom w:val="nil"/>
              <w:right w:val="nil"/>
            </w:tcBorders>
            <w:shd w:val="clear" w:color="FFFFFF" w:fill="FFFFFF"/>
            <w:vAlign w:val="center"/>
          </w:tcPr>
          <w:p w14:paraId="2CCF76AC">
            <w:pPr>
              <w:spacing w:line="480" w:lineRule="exact"/>
              <w:rPr>
                <w:rFonts w:hint="eastAsia" w:ascii="宋体" w:hAnsi="宋体"/>
                <w:sz w:val="24"/>
              </w:rPr>
            </w:pPr>
            <w:r>
              <w:rPr>
                <w:rFonts w:hint="eastAsia" w:ascii="宋体" w:hAnsi="宋体"/>
                <w:sz w:val="24"/>
                <w:lang w:val="en-US" w:eastAsia="zh-CN"/>
              </w:rPr>
              <w:t>工程名称： 2025年省宜居宜业和美乡村搬经镇卢庄村亮化、道路硬化项目、垃圾分类项目</w:t>
            </w:r>
          </w:p>
        </w:tc>
      </w:tr>
      <w:tr w14:paraId="4644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92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6D85087">
            <w:pPr>
              <w:spacing w:line="480" w:lineRule="exact"/>
              <w:ind w:firstLine="480" w:firstLineChars="200"/>
              <w:rPr>
                <w:rFonts w:hint="eastAsia" w:ascii="宋体" w:hAnsi="宋体"/>
                <w:sz w:val="24"/>
              </w:rPr>
            </w:pPr>
            <w:r>
              <w:rPr>
                <w:rFonts w:hint="eastAsia" w:ascii="宋体" w:hAnsi="宋体"/>
                <w:sz w:val="24"/>
                <w:lang w:val="en-US" w:eastAsia="zh-CN"/>
              </w:rPr>
              <w:t>1.工程概况：本工程为2025年省宜居宜业和美乡村搬经镇卢庄村亮化、道路硬化项目、垃圾分类项目，主要包括如下内容：</w:t>
            </w:r>
          </w:p>
          <w:p w14:paraId="73516677">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新建道路1(2组银杏树后道路)：长约115m，宽6m，水泥砼路面；</w:t>
            </w:r>
          </w:p>
          <w:p w14:paraId="38CB2BD5">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新建道路2(1组道路)：长约231m，加宽宽度3m，水泥砼路面；</w:t>
            </w:r>
          </w:p>
          <w:p w14:paraId="4D3CE195">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新建道路3(3组新建道路至334省道)：长约302m，宽6m，水泥砼路面；</w:t>
            </w:r>
          </w:p>
          <w:p w14:paraId="6A4F22D3">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新建道路5(6组道路)：长约115m；宽3.5m，水泥砼路面；</w:t>
            </w:r>
          </w:p>
          <w:p w14:paraId="33094705">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新建道路6(5组道路)：长约119m，宽3.5m，水泥砼路面；</w:t>
            </w:r>
          </w:p>
          <w:p w14:paraId="2CE0D428">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新建道路7(11组道路)：长约66m，宽3.5m，水泥砼路面；</w:t>
            </w:r>
          </w:p>
          <w:p w14:paraId="3C812E18">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新建道路8(24组道路)：长约195m，宽3.5m，水泥砼路面；</w:t>
            </w:r>
          </w:p>
          <w:p w14:paraId="7D8B88E0">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新建道路9(29组道路)：长约263m，宽3.5m，水泥砼路面；</w:t>
            </w:r>
          </w:p>
          <w:p w14:paraId="76417B47">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拓宽道路10(卢黄中路)：长约2356m，加宽宽度1.5m，水泥砼路面；</w:t>
            </w:r>
          </w:p>
          <w:p w14:paraId="139851E0">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新建道路11(银杏路)：南北路长约1372m，宽5m，水泥砼路面；东西路长约302m，加宽宽度2m，水泥砼路面；</w:t>
            </w:r>
          </w:p>
          <w:p w14:paraId="3A498299">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拓宽道路12(小杨河两岸道路)：长约4609m，加宽宽度1m，水泥砼路面；</w:t>
            </w:r>
          </w:p>
          <w:p w14:paraId="5EC5991F">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DN1000管涵约121m，DN600管涵约70m，DN400管涵约22m。</w:t>
            </w:r>
          </w:p>
          <w:p w14:paraId="090C58C7">
            <w:pPr>
              <w:numPr>
                <w:ilvl w:val="0"/>
                <w:numId w:val="1"/>
              </w:numPr>
              <w:spacing w:line="480" w:lineRule="exact"/>
              <w:ind w:left="454" w:leftChars="0" w:firstLine="283" w:firstLineChars="0"/>
              <w:rPr>
                <w:rFonts w:hint="eastAsia" w:ascii="宋体" w:hAnsi="宋体"/>
                <w:sz w:val="24"/>
                <w:lang w:val="en-US" w:eastAsia="zh-CN"/>
              </w:rPr>
            </w:pPr>
            <w:r>
              <w:rPr>
                <w:rFonts w:hint="eastAsia" w:ascii="宋体" w:hAnsi="宋体"/>
                <w:sz w:val="24"/>
                <w:lang w:val="en-US" w:eastAsia="zh-CN"/>
              </w:rPr>
              <w:t>亮化工程的231盏路灯；分类垃圾亭4座。</w:t>
            </w:r>
            <w:bookmarkStart w:id="0" w:name="_GoBack"/>
            <w:bookmarkEnd w:id="0"/>
          </w:p>
          <w:p w14:paraId="52E39AFD">
            <w:pPr>
              <w:spacing w:line="480" w:lineRule="exact"/>
              <w:ind w:firstLine="480" w:firstLineChars="200"/>
              <w:rPr>
                <w:rFonts w:hint="eastAsia" w:ascii="宋体" w:hAnsi="宋体"/>
                <w:sz w:val="24"/>
              </w:rPr>
            </w:pPr>
            <w:r>
              <w:rPr>
                <w:rFonts w:hint="eastAsia" w:ascii="宋体" w:hAnsi="宋体"/>
                <w:sz w:val="24"/>
              </w:rPr>
              <w:t>2、具体建设规模、工程特征、自然地理条件、环境保护要求、现场实际情况、交通运输情况等详见图纸要求。</w:t>
            </w:r>
          </w:p>
          <w:p w14:paraId="6BBD04F9">
            <w:pPr>
              <w:spacing w:line="480" w:lineRule="exact"/>
              <w:ind w:firstLine="480" w:firstLineChars="200"/>
              <w:rPr>
                <w:rFonts w:hint="eastAsia" w:ascii="宋体" w:hAnsi="宋体"/>
                <w:sz w:val="24"/>
              </w:rPr>
            </w:pPr>
            <w:r>
              <w:rPr>
                <w:rFonts w:hint="eastAsia" w:ascii="宋体" w:hAnsi="宋体"/>
                <w:sz w:val="24"/>
                <w:lang w:val="en-US" w:eastAsia="zh-CN"/>
              </w:rPr>
              <w:t>3.编制范围：标段内的市政工程。</w:t>
            </w:r>
            <w:r>
              <w:rPr>
                <w:rFonts w:hint="eastAsia" w:ascii="宋体" w:hAnsi="宋体"/>
                <w:sz w:val="24"/>
                <w:lang w:val="en-US" w:eastAsia="zh-CN"/>
              </w:rPr>
              <w:br w:type="textWrapping"/>
            </w:r>
            <w:r>
              <w:rPr>
                <w:rFonts w:hint="eastAsia" w:ascii="宋体" w:hAnsi="宋体"/>
                <w:sz w:val="24"/>
                <w:lang w:val="en-US" w:eastAsia="zh-CN"/>
              </w:rPr>
              <w:t xml:space="preserve">    4.工程量清单编制依据：</w:t>
            </w:r>
            <w:r>
              <w:rPr>
                <w:rFonts w:hint="eastAsia" w:ascii="宋体" w:hAnsi="宋体"/>
                <w:sz w:val="24"/>
                <w:lang w:val="en-US" w:eastAsia="zh-CN"/>
              </w:rPr>
              <w:br w:type="textWrapping"/>
            </w:r>
            <w:r>
              <w:rPr>
                <w:rFonts w:hint="eastAsia" w:ascii="宋体" w:hAnsi="宋体"/>
                <w:sz w:val="24"/>
                <w:lang w:val="en-US" w:eastAsia="zh-CN"/>
              </w:rPr>
              <w:t xml:space="preserve">   （1）《2025年如皋市搬经镇卢庄村宜居宜业和美乡村建设项目》施工图</w:t>
            </w:r>
            <w:r>
              <w:rPr>
                <w:rFonts w:hint="eastAsia" w:ascii="宋体" w:hAnsi="宋体"/>
                <w:sz w:val="24"/>
                <w:lang w:val="en-US" w:eastAsia="zh-CN"/>
              </w:rPr>
              <w:br w:type="textWrapping"/>
            </w:r>
            <w:r>
              <w:rPr>
                <w:rFonts w:hint="eastAsia" w:ascii="宋体" w:hAnsi="宋体"/>
                <w:sz w:val="24"/>
                <w:lang w:val="en-US" w:eastAsia="zh-CN"/>
              </w:rPr>
              <w:t xml:space="preserve">   （2）《建设工程工程量清单计价规范》GB50500-2013；</w:t>
            </w:r>
            <w:r>
              <w:rPr>
                <w:rFonts w:hint="eastAsia" w:ascii="宋体" w:hAnsi="宋体"/>
                <w:sz w:val="24"/>
                <w:lang w:val="en-US" w:eastAsia="zh-CN"/>
              </w:rPr>
              <w:br w:type="textWrapping"/>
            </w:r>
            <w:r>
              <w:rPr>
                <w:rFonts w:hint="eastAsia" w:ascii="宋体" w:hAnsi="宋体"/>
                <w:sz w:val="24"/>
                <w:lang w:val="en-US" w:eastAsia="zh-CN"/>
              </w:rPr>
              <w:t xml:space="preserve">   （3）《江苏省建筑与装饰工程计价表》（2014年）、《江苏省安装工程计价表》（2014年）、 《江苏省市政工程计价表》（2014年）；</w:t>
            </w:r>
            <w:r>
              <w:rPr>
                <w:rFonts w:hint="eastAsia" w:ascii="宋体" w:hAnsi="宋体"/>
                <w:sz w:val="24"/>
                <w:lang w:val="en-US" w:eastAsia="zh-CN"/>
              </w:rPr>
              <w:br w:type="textWrapping"/>
            </w:r>
            <w:r>
              <w:rPr>
                <w:rFonts w:hint="eastAsia" w:ascii="宋体" w:hAnsi="宋体"/>
                <w:sz w:val="24"/>
                <w:lang w:val="en-US" w:eastAsia="zh-CN"/>
              </w:rPr>
              <w:t xml:space="preserve">   （4）《江苏省建设工程费用定额》（2014年）以及营改增后调整内容</w:t>
            </w:r>
            <w:r>
              <w:rPr>
                <w:rFonts w:hint="eastAsia" w:ascii="宋体" w:hAnsi="宋体"/>
                <w:sz w:val="24"/>
              </w:rPr>
              <w:t>、江苏省及南通市现行的计价文件及补充计价规定，本工程为一般计税方法。详见财税【2016】36号文、《关于深化增值税改革有关政策的公告》（财政部、税务总局、海关总署公告2019年第39号）和《住房城乡建设部办公厅关于重新调整建设工程计价依据增值税税率的通知》（建办标函〔20</w:t>
            </w:r>
            <w:r>
              <w:rPr>
                <w:rFonts w:ascii="宋体" w:hAnsi="宋体"/>
                <w:sz w:val="24"/>
              </w:rPr>
              <w:t>21</w:t>
            </w:r>
            <w:r>
              <w:rPr>
                <w:rFonts w:hint="eastAsia" w:ascii="宋体" w:hAnsi="宋体"/>
                <w:sz w:val="24"/>
              </w:rPr>
              <w:t>〕193号）的规定，苏建函价[2019]178号省住房城乡建设厅关于调整建设工程计价增值税税率的通知。</w:t>
            </w:r>
          </w:p>
          <w:p w14:paraId="3D307394">
            <w:pPr>
              <w:spacing w:line="480" w:lineRule="exact"/>
              <w:ind w:firstLine="480" w:firstLineChars="200"/>
              <w:rPr>
                <w:rFonts w:hint="eastAsia" w:ascii="宋体" w:hAnsi="宋体" w:eastAsia="宋体"/>
                <w:sz w:val="24"/>
                <w:lang w:eastAsia="zh-CN"/>
              </w:rPr>
            </w:pPr>
            <w:r>
              <w:rPr>
                <w:rFonts w:hint="eastAsia" w:ascii="宋体" w:hAnsi="宋体"/>
                <w:sz w:val="24"/>
                <w:lang w:val="en-US" w:eastAsia="zh-CN"/>
              </w:rPr>
              <w:t>（5）</w:t>
            </w:r>
            <w:r>
              <w:rPr>
                <w:rFonts w:hint="eastAsia" w:ascii="宋体" w:hAnsi="宋体" w:eastAsia="宋体" w:cs="Times New Roman"/>
                <w:kern w:val="2"/>
                <w:sz w:val="24"/>
                <w:szCs w:val="24"/>
                <w:lang w:val="en-US" w:eastAsia="zh-CN" w:bidi="ar-SA"/>
              </w:rPr>
              <w:t>人工费、材料费按市场询价计入</w:t>
            </w:r>
            <w:r>
              <w:rPr>
                <w:rFonts w:hint="eastAsia" w:ascii="宋体" w:hAnsi="宋体"/>
                <w:sz w:val="24"/>
                <w:lang w:val="en-US" w:eastAsia="zh-CN"/>
              </w:rPr>
              <w:t>；</w:t>
            </w:r>
            <w:r>
              <w:rPr>
                <w:rFonts w:hint="eastAsia" w:ascii="宋体" w:hAnsi="宋体"/>
                <w:sz w:val="24"/>
                <w:lang w:val="en-US" w:eastAsia="zh-CN"/>
              </w:rPr>
              <w:br w:type="textWrapping"/>
            </w:r>
            <w:r>
              <w:rPr>
                <w:rFonts w:hint="eastAsia" w:ascii="宋体" w:hAnsi="宋体"/>
                <w:sz w:val="24"/>
                <w:lang w:val="en-US" w:eastAsia="zh-CN"/>
              </w:rPr>
              <w:t xml:space="preserve">    （6）</w:t>
            </w:r>
            <w:r>
              <w:rPr>
                <w:rFonts w:hint="eastAsia" w:ascii="宋体" w:hAnsi="宋体" w:eastAsia="宋体" w:cs="Times New Roman"/>
                <w:kern w:val="2"/>
                <w:sz w:val="24"/>
                <w:szCs w:val="24"/>
                <w:lang w:val="en-US" w:eastAsia="zh-CN" w:bidi="ar-SA"/>
              </w:rPr>
              <w:t>与本工程项目相关的标准、规范及技术资料，施工现场情况、工程特点及施工方案。</w:t>
            </w:r>
            <w:r>
              <w:rPr>
                <w:rFonts w:hint="eastAsia" w:ascii="宋体" w:hAnsi="宋体"/>
                <w:sz w:val="24"/>
                <w:lang w:val="en-US" w:eastAsia="zh-CN"/>
              </w:rPr>
              <w:br w:type="textWrapping"/>
            </w:r>
            <w:r>
              <w:rPr>
                <w:rFonts w:hint="eastAsia" w:ascii="宋体" w:hAnsi="宋体"/>
                <w:sz w:val="24"/>
                <w:lang w:val="en-US" w:eastAsia="zh-CN"/>
              </w:rPr>
              <w:t xml:space="preserve">    5、</w:t>
            </w:r>
            <w:r>
              <w:rPr>
                <w:rFonts w:hint="eastAsia" w:ascii="宋体" w:hAnsi="宋体"/>
                <w:sz w:val="24"/>
              </w:rPr>
              <w:t>工程质量、材料、施工等的特殊要求详见施工规范、设计图纸及本工程量清单</w:t>
            </w:r>
            <w:r>
              <w:rPr>
                <w:rFonts w:hint="eastAsia" w:ascii="宋体" w:hAnsi="宋体"/>
                <w:sz w:val="24"/>
                <w:lang w:eastAsia="zh-CN"/>
              </w:rPr>
              <w:t>；</w:t>
            </w:r>
          </w:p>
          <w:p w14:paraId="79B9023D">
            <w:pPr>
              <w:numPr>
                <w:ilvl w:val="0"/>
                <w:numId w:val="2"/>
              </w:numPr>
              <w:spacing w:line="480" w:lineRule="exact"/>
              <w:ind w:firstLine="480" w:firstLineChars="200"/>
              <w:rPr>
                <w:rFonts w:hint="eastAsia" w:ascii="宋体" w:hAnsi="宋体" w:eastAsia="宋体" w:cs="Times New Roman"/>
                <w:kern w:val="2"/>
                <w:sz w:val="24"/>
                <w:szCs w:val="24"/>
                <w:lang w:val="en-US" w:eastAsia="zh-CN" w:bidi="ar-SA"/>
              </w:rPr>
            </w:pPr>
            <w:r>
              <w:rPr>
                <w:rFonts w:hint="eastAsia"/>
                <w:sz w:val="24"/>
              </w:rPr>
              <w:t>工程类别：三类</w:t>
            </w:r>
          </w:p>
          <w:p w14:paraId="14A64FB4">
            <w:pPr>
              <w:pStyle w:val="2"/>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left"/>
              <w:textAlignment w:val="auto"/>
              <w:rPr>
                <w:rFonts w:hint="eastAsia" w:ascii="宋体" w:hAnsi="宋体"/>
                <w:sz w:val="24"/>
                <w:lang w:val="en-US" w:eastAsia="zh-CN"/>
              </w:rPr>
            </w:pPr>
            <w:r>
              <w:rPr>
                <w:rFonts w:hint="eastAsia" w:ascii="宋体" w:hAnsi="宋体" w:eastAsia="宋体" w:cs="Times New Roman"/>
                <w:kern w:val="2"/>
                <w:sz w:val="24"/>
                <w:szCs w:val="24"/>
                <w:lang w:val="en-US" w:eastAsia="zh-CN" w:bidi="ar-SA"/>
              </w:rPr>
              <w:t>需要说明事项：</w:t>
            </w:r>
            <w:r>
              <w:rPr>
                <w:rFonts w:hint="eastAsia" w:ascii="宋体" w:hAnsi="宋体"/>
                <w:sz w:val="24"/>
                <w:lang w:val="en-US" w:eastAsia="zh-CN"/>
              </w:rPr>
              <w:t>本工程投标单位报价时务必详细踏勘现场综合考虑现场情况报价；本工程未包含11#道路的混凝土排水沟部分，道路尽头圆管涵的暂定工程量由40米改为65米计入；</w:t>
            </w:r>
            <w:r>
              <w:rPr>
                <w:rFonts w:hint="eastAsia" w:ascii="宋体" w:hAnsi="宋体" w:eastAsia="宋体" w:cs="Times New Roman"/>
                <w:kern w:val="2"/>
                <w:sz w:val="24"/>
                <w:szCs w:val="24"/>
                <w:lang w:val="en-US" w:eastAsia="zh-CN" w:bidi="ar-SA"/>
              </w:rPr>
              <w:t>根据业主提供资料施工中如需缺土，土源由村里提供,施工单位负责挖运</w:t>
            </w:r>
            <w:r>
              <w:rPr>
                <w:rFonts w:hint="eastAsia" w:ascii="宋体" w:hAnsi="宋体"/>
                <w:sz w:val="24"/>
                <w:lang w:val="en-US" w:eastAsia="zh-CN"/>
              </w:rPr>
              <w:t xml:space="preserve">  。   </w:t>
            </w:r>
          </w:p>
          <w:p w14:paraId="4358F089">
            <w:pPr>
              <w:spacing w:line="480" w:lineRule="exact"/>
              <w:ind w:firstLine="480" w:firstLineChars="200"/>
              <w:rPr>
                <w:rFonts w:hint="eastAsia"/>
                <w:sz w:val="24"/>
              </w:rPr>
            </w:pPr>
            <w:r>
              <w:rPr>
                <w:rFonts w:hint="eastAsia" w:ascii="宋体" w:hAnsi="宋体"/>
                <w:sz w:val="24"/>
                <w:lang w:val="en-US" w:eastAsia="zh-CN"/>
              </w:rPr>
              <w:t>8</w:t>
            </w:r>
            <w:r>
              <w:rPr>
                <w:rFonts w:hint="eastAsia" w:ascii="宋体" w:hAnsi="宋体"/>
                <w:sz w:val="24"/>
              </w:rPr>
              <w:t>、</w:t>
            </w:r>
            <w:r>
              <w:rPr>
                <w:rFonts w:hint="eastAsia"/>
                <w:sz w:val="24"/>
              </w:rPr>
              <w:t>暂列金额：</w:t>
            </w:r>
            <w:r>
              <w:rPr>
                <w:rFonts w:hint="eastAsia"/>
                <w:sz w:val="24"/>
                <w:lang w:val="en-US" w:eastAsia="zh-CN"/>
              </w:rPr>
              <w:t>0万元(不含税)</w:t>
            </w:r>
            <w:r>
              <w:rPr>
                <w:rFonts w:hint="eastAsia"/>
                <w:sz w:val="24"/>
              </w:rPr>
              <w:t>；</w:t>
            </w:r>
          </w:p>
          <w:p w14:paraId="7D383327">
            <w:pPr>
              <w:widowControl/>
              <w:spacing w:line="500" w:lineRule="exact"/>
              <w:ind w:firstLine="480" w:firstLineChars="200"/>
              <w:textAlignment w:val="baseline"/>
              <w:rPr>
                <w:rFonts w:hint="eastAsia" w:ascii="宋体" w:hAnsi="宋体"/>
                <w:sz w:val="24"/>
              </w:rPr>
            </w:pPr>
            <w:r>
              <w:rPr>
                <w:rFonts w:hint="eastAsia" w:ascii="宋体" w:hAnsi="宋体"/>
                <w:sz w:val="24"/>
                <w:lang w:val="en-US" w:eastAsia="zh-CN"/>
              </w:rPr>
              <w:t>9</w:t>
            </w:r>
            <w:r>
              <w:rPr>
                <w:rFonts w:hint="eastAsia" w:ascii="宋体" w:hAnsi="宋体"/>
                <w:sz w:val="24"/>
              </w:rPr>
              <w:t>、工程量清单以外不可预见项目的费用，视实际施工中所遇情况，按业主及监理审批程序批准的施工方案与招标文件精神，由承包人具实报价，经发包人确认后作为结算依据，</w:t>
            </w:r>
            <w:r>
              <w:rPr>
                <w:rFonts w:ascii="宋体" w:hAnsi="宋体"/>
                <w:sz w:val="24"/>
              </w:rPr>
              <w:t>详见</w:t>
            </w:r>
            <w:r>
              <w:rPr>
                <w:rFonts w:hint="eastAsia" w:ascii="宋体" w:hAnsi="宋体"/>
                <w:sz w:val="24"/>
              </w:rPr>
              <w:t>皋政办发〔2020〕82号；</w:t>
            </w:r>
          </w:p>
          <w:p w14:paraId="093EFDAB">
            <w:pPr>
              <w:widowControl/>
              <w:spacing w:line="500" w:lineRule="exact"/>
              <w:ind w:firstLine="480" w:firstLineChars="200"/>
              <w:textAlignment w:val="baseline"/>
              <w:rPr>
                <w:rFonts w:hint="eastAsia" w:ascii="宋体" w:hAnsi="宋体"/>
                <w:sz w:val="24"/>
                <w:szCs w:val="22"/>
              </w:rPr>
            </w:pPr>
            <w:r>
              <w:rPr>
                <w:rFonts w:ascii="宋体" w:hAnsi="宋体"/>
                <w:sz w:val="24"/>
              </w:rPr>
              <w:t>1</w:t>
            </w:r>
            <w:r>
              <w:rPr>
                <w:rFonts w:hint="eastAsia" w:ascii="宋体" w:hAnsi="宋体"/>
                <w:sz w:val="24"/>
                <w:lang w:val="en-US" w:eastAsia="zh-CN"/>
              </w:rPr>
              <w:t>0</w:t>
            </w:r>
            <w:r>
              <w:rPr>
                <w:rFonts w:hint="eastAsia" w:ascii="宋体" w:hAnsi="宋体"/>
                <w:sz w:val="24"/>
              </w:rPr>
              <w:t>、措施项目清单报价投标人应根据现场踏勘情况、工程项目特性、施工组织设计方案增加相应措施项目费用；各投标单位根据施工图及现场踏勘等因素及企业自身实际条件具体报价，竣工结算时如无招标文件中相关明示结算条款时均</w:t>
            </w:r>
            <w:r>
              <w:rPr>
                <w:rFonts w:hint="eastAsia" w:ascii="宋体" w:hAnsi="宋体"/>
                <w:sz w:val="24"/>
                <w:szCs w:val="22"/>
              </w:rPr>
              <w:t>不作任何调整。</w:t>
            </w:r>
          </w:p>
          <w:p w14:paraId="6CD3772C">
            <w:pPr>
              <w:spacing w:line="480" w:lineRule="exact"/>
              <w:ind w:firstLine="5040" w:firstLineChars="2100"/>
              <w:rPr>
                <w:rFonts w:hint="eastAsia" w:ascii="宋体" w:hAnsi="宋体"/>
                <w:sz w:val="24"/>
                <w:lang w:val="en-US" w:eastAsia="zh-CN"/>
              </w:rPr>
            </w:pPr>
            <w:r>
              <w:rPr>
                <w:rFonts w:hint="eastAsia" w:ascii="宋体" w:hAnsi="宋体"/>
                <w:sz w:val="24"/>
                <w:lang w:val="en-US" w:eastAsia="zh-CN"/>
              </w:rPr>
              <w:t xml:space="preserve"> 中鸿亿博集团有限公司</w:t>
            </w:r>
          </w:p>
          <w:p w14:paraId="2C320AE7">
            <w:pPr>
              <w:spacing w:line="480" w:lineRule="exact"/>
              <w:ind w:firstLine="480" w:firstLineChars="200"/>
              <w:rPr>
                <w:rFonts w:hint="eastAsia" w:ascii="宋体" w:hAnsi="宋体"/>
                <w:sz w:val="24"/>
                <w:lang w:val="en-US" w:eastAsia="zh-CN"/>
              </w:rPr>
            </w:pPr>
            <w:r>
              <w:rPr>
                <w:rFonts w:hint="eastAsia" w:ascii="宋体" w:hAnsi="宋体"/>
                <w:sz w:val="24"/>
                <w:lang w:val="en-US" w:eastAsia="zh-CN"/>
              </w:rPr>
              <w:t xml:space="preserve">                                                 2025年9月</w:t>
            </w:r>
          </w:p>
        </w:tc>
      </w:tr>
    </w:tbl>
    <w:p w14:paraId="011F8F4C"/>
    <w:sectPr>
      <w:pgSz w:w="11906" w:h="16838"/>
      <w:pgMar w:top="1100" w:right="1463" w:bottom="110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37275"/>
    <w:multiLevelType w:val="singleLevel"/>
    <w:tmpl w:val="0F237275"/>
    <w:lvl w:ilvl="0" w:tentative="0">
      <w:start w:val="6"/>
      <w:numFmt w:val="decimal"/>
      <w:suff w:val="nothing"/>
      <w:lvlText w:val="%1、"/>
      <w:lvlJc w:val="left"/>
    </w:lvl>
  </w:abstractNum>
  <w:abstractNum w:abstractNumId="1">
    <w:nsid w:val="50F340FD"/>
    <w:multiLevelType w:val="singleLevel"/>
    <w:tmpl w:val="50F340FD"/>
    <w:lvl w:ilvl="0" w:tentative="0">
      <w:start w:val="1"/>
      <w:numFmt w:val="decimal"/>
      <w:lvlText w:val="(%1)"/>
      <w:lvlJc w:val="left"/>
      <w:pPr>
        <w:ind w:left="454" w:leftChars="0" w:firstLine="283"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7354"/>
    <w:rsid w:val="0C5F3163"/>
    <w:rsid w:val="10BF16E0"/>
    <w:rsid w:val="154C49E4"/>
    <w:rsid w:val="17B823AE"/>
    <w:rsid w:val="1E706CC7"/>
    <w:rsid w:val="46EE4D37"/>
    <w:rsid w:val="47B52AE3"/>
    <w:rsid w:val="520E3FD5"/>
    <w:rsid w:val="58115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1273</Words>
  <Characters>1457</Characters>
  <Lines>0</Lines>
  <Paragraphs>0</Paragraphs>
  <TotalTime>3</TotalTime>
  <ScaleCrop>false</ScaleCrop>
  <LinksUpToDate>false</LinksUpToDate>
  <CharactersWithSpaces>1538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2025-09-11T07:17:00Z</dcterms:created>
  <dc:creator>Administrator</dc:creator>
  <cp:lastModifiedBy>波格士</cp:lastModifiedBy>
  <dcterms:modified xsi:type="dcterms:W3CDTF">2025-10-14T08:33:08Z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eyJoZGlkIjoiMzg1NzYzMjM4OTdlZGZkNmNmYzc5NDA0YWNjMWE4YmMiLCJ1c2VySWQiOiIyNDEzNjg5MjgifQ==</vt:lpwstr>
  </property>
  <property fmtid="{D5CDD505-2E9C-101B-9397-08002B2CF9AE}" pid="4" name="ICV">
    <vt:lpwstr>24CEB971FB3F4AA1822BB28C28962DE8_13</vt:lpwstr>
  </property>
</Properties>
</file>